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2BEA16" w14:textId="77777777" w:rsidR="009E66AD" w:rsidRDefault="009E66AD" w:rsidP="009E66AD">
      <w:pPr>
        <w:jc w:val="center"/>
        <w:rPr>
          <w:sz w:val="60"/>
          <w:szCs w:val="60"/>
        </w:rPr>
      </w:pPr>
    </w:p>
    <w:p w14:paraId="2FC008E3" w14:textId="77777777" w:rsidR="009E66AD" w:rsidRDefault="009E66AD" w:rsidP="009E66AD">
      <w:pPr>
        <w:jc w:val="center"/>
        <w:rPr>
          <w:sz w:val="60"/>
          <w:szCs w:val="60"/>
        </w:rPr>
      </w:pPr>
    </w:p>
    <w:p w14:paraId="7521BD76" w14:textId="77777777" w:rsidR="009E66AD" w:rsidRDefault="009E66AD" w:rsidP="009E66AD">
      <w:pPr>
        <w:jc w:val="center"/>
        <w:rPr>
          <w:sz w:val="60"/>
          <w:szCs w:val="60"/>
        </w:rPr>
      </w:pPr>
    </w:p>
    <w:p w14:paraId="2A6E4DA8" w14:textId="77777777" w:rsidR="009E66AD" w:rsidRDefault="009E66AD" w:rsidP="009E66AD">
      <w:pPr>
        <w:jc w:val="center"/>
        <w:rPr>
          <w:sz w:val="60"/>
          <w:szCs w:val="60"/>
        </w:rPr>
      </w:pPr>
    </w:p>
    <w:p w14:paraId="64A5EE2F" w14:textId="77777777" w:rsidR="009E66AD" w:rsidRDefault="009E66AD" w:rsidP="009E66AD">
      <w:pPr>
        <w:jc w:val="center"/>
        <w:rPr>
          <w:sz w:val="60"/>
          <w:szCs w:val="60"/>
        </w:rPr>
      </w:pPr>
    </w:p>
    <w:p w14:paraId="4CAF7E34" w14:textId="77777777" w:rsidR="00E03E59" w:rsidRPr="009E66AD" w:rsidRDefault="009E66AD" w:rsidP="009E66AD">
      <w:pPr>
        <w:jc w:val="center"/>
        <w:rPr>
          <w:sz w:val="60"/>
          <w:szCs w:val="60"/>
          <w:lang w:val="ro-RO"/>
        </w:rPr>
      </w:pPr>
      <w:r w:rsidRPr="009E66AD">
        <w:rPr>
          <w:sz w:val="60"/>
          <w:szCs w:val="60"/>
        </w:rPr>
        <w:t>Impactul ader</w:t>
      </w:r>
      <w:r w:rsidRPr="009E66AD">
        <w:rPr>
          <w:sz w:val="60"/>
          <w:szCs w:val="60"/>
          <w:lang w:val="ro-RO"/>
        </w:rPr>
        <w:t>ării României la Uniunea Europeană</w:t>
      </w:r>
    </w:p>
    <w:p w14:paraId="038977C5" w14:textId="6B39156F" w:rsidR="009E66AD" w:rsidRPr="009E66AD" w:rsidRDefault="00022FE1" w:rsidP="009E66AD">
      <w:pPr>
        <w:jc w:val="center"/>
        <w:rPr>
          <w:sz w:val="60"/>
          <w:szCs w:val="60"/>
          <w:lang w:val="ro-RO"/>
        </w:rPr>
      </w:pPr>
      <w:r>
        <w:rPr>
          <w:sz w:val="60"/>
          <w:szCs w:val="60"/>
          <w:lang w:val="ro-RO"/>
        </w:rPr>
        <w:t>a</w:t>
      </w:r>
      <w:r w:rsidR="007E70FB">
        <w:rPr>
          <w:sz w:val="60"/>
          <w:szCs w:val="60"/>
          <w:lang w:val="ro-RO"/>
        </w:rPr>
        <w:t>supra afacerilor locale di</w:t>
      </w:r>
      <w:r w:rsidR="009E66AD" w:rsidRPr="009E66AD">
        <w:rPr>
          <w:sz w:val="60"/>
          <w:szCs w:val="60"/>
          <w:lang w:val="ro-RO"/>
        </w:rPr>
        <w:t>n domeniul TIC</w:t>
      </w:r>
    </w:p>
    <w:p w14:paraId="4BC4831A" w14:textId="77777777" w:rsidR="009E66AD" w:rsidRDefault="009E66AD">
      <w:pPr>
        <w:rPr>
          <w:lang w:val="ro-RO"/>
        </w:rPr>
      </w:pPr>
    </w:p>
    <w:p w14:paraId="4CE661AC" w14:textId="77777777" w:rsidR="009E66AD" w:rsidRDefault="009E66AD">
      <w:pPr>
        <w:rPr>
          <w:lang w:val="ro-RO"/>
        </w:rPr>
      </w:pPr>
    </w:p>
    <w:p w14:paraId="3D3DEC89" w14:textId="77777777" w:rsidR="009E66AD" w:rsidRDefault="009E66AD">
      <w:pPr>
        <w:rPr>
          <w:lang w:val="ro-RO"/>
        </w:rPr>
      </w:pPr>
    </w:p>
    <w:p w14:paraId="0BA81093" w14:textId="77777777" w:rsidR="009E66AD" w:rsidRDefault="009E66AD">
      <w:pPr>
        <w:rPr>
          <w:lang w:val="ro-RO"/>
        </w:rPr>
      </w:pPr>
    </w:p>
    <w:p w14:paraId="499091D9" w14:textId="77777777" w:rsidR="009E66AD" w:rsidRDefault="009E66AD">
      <w:pPr>
        <w:rPr>
          <w:lang w:val="ro-RO"/>
        </w:rPr>
      </w:pPr>
    </w:p>
    <w:p w14:paraId="614D2C5D" w14:textId="77777777" w:rsidR="009E66AD" w:rsidRDefault="009E66AD">
      <w:pPr>
        <w:rPr>
          <w:lang w:val="ro-RO"/>
        </w:rPr>
      </w:pPr>
    </w:p>
    <w:p w14:paraId="68ABDCDA" w14:textId="77777777" w:rsidR="009E66AD" w:rsidRDefault="009E66AD">
      <w:pPr>
        <w:rPr>
          <w:lang w:val="ro-RO"/>
        </w:rPr>
      </w:pPr>
    </w:p>
    <w:p w14:paraId="244474B5" w14:textId="77777777" w:rsidR="009E66AD" w:rsidRDefault="009E66AD">
      <w:pPr>
        <w:rPr>
          <w:lang w:val="ro-RO"/>
        </w:rPr>
      </w:pPr>
    </w:p>
    <w:p w14:paraId="713E119A" w14:textId="77777777" w:rsidR="009E66AD" w:rsidRDefault="009E66AD">
      <w:pPr>
        <w:rPr>
          <w:lang w:val="ro-RO"/>
        </w:rPr>
      </w:pPr>
    </w:p>
    <w:p w14:paraId="75363694" w14:textId="77777777" w:rsidR="009E66AD" w:rsidRDefault="009E66AD">
      <w:pPr>
        <w:rPr>
          <w:lang w:val="ro-RO"/>
        </w:rPr>
      </w:pPr>
    </w:p>
    <w:p w14:paraId="3BD8D2DD" w14:textId="77777777" w:rsidR="009E66AD" w:rsidRDefault="009E66AD">
      <w:pPr>
        <w:rPr>
          <w:lang w:val="ro-RO"/>
        </w:rPr>
      </w:pPr>
    </w:p>
    <w:p w14:paraId="3BDE33FD" w14:textId="77777777" w:rsidR="009E66AD" w:rsidRDefault="009E66AD">
      <w:pPr>
        <w:rPr>
          <w:lang w:val="ro-RO"/>
        </w:rPr>
      </w:pPr>
    </w:p>
    <w:p w14:paraId="567D5251" w14:textId="77777777" w:rsidR="009E66AD" w:rsidRDefault="009E66AD">
      <w:pPr>
        <w:rPr>
          <w:lang w:val="ro-RO"/>
        </w:rPr>
      </w:pPr>
    </w:p>
    <w:p w14:paraId="20CBCC5D" w14:textId="7C4E0F0D" w:rsidR="009E66AD" w:rsidRDefault="0096633F" w:rsidP="009E66AD">
      <w:pPr>
        <w:jc w:val="center"/>
        <w:rPr>
          <w:lang w:val="ro-RO"/>
        </w:rPr>
      </w:pPr>
      <w:r>
        <w:rPr>
          <w:lang w:val="ro-RO"/>
        </w:rPr>
        <w:t>Mai 2015</w:t>
      </w:r>
    </w:p>
    <w:p w14:paraId="099A9DD7" w14:textId="77777777" w:rsidR="007E70FB" w:rsidRDefault="007E70FB" w:rsidP="009E66AD">
      <w:pPr>
        <w:jc w:val="center"/>
        <w:rPr>
          <w:lang w:val="ro-RO"/>
        </w:rPr>
      </w:pPr>
    </w:p>
    <w:p w14:paraId="0BA5F2A3" w14:textId="77777777" w:rsidR="007E70FB" w:rsidRDefault="007E70FB" w:rsidP="009E66AD">
      <w:pPr>
        <w:jc w:val="center"/>
        <w:rPr>
          <w:lang w:val="ro-RO"/>
        </w:rPr>
      </w:pPr>
    </w:p>
    <w:p w14:paraId="785A0D29" w14:textId="1105EF9F" w:rsidR="007E70FB" w:rsidRDefault="007E70FB" w:rsidP="009E66AD">
      <w:pPr>
        <w:jc w:val="center"/>
        <w:rPr>
          <w:lang w:val="ro-RO"/>
        </w:rPr>
      </w:pPr>
      <w:r>
        <w:rPr>
          <w:lang w:val="ro-RO"/>
        </w:rPr>
        <w:t>Universitatea Ștefan cel Mare din Suceava</w:t>
      </w:r>
    </w:p>
    <w:p w14:paraId="31B7D5B5" w14:textId="77777777" w:rsidR="007E70FB" w:rsidRDefault="007E70FB" w:rsidP="009E66AD">
      <w:pPr>
        <w:jc w:val="center"/>
        <w:rPr>
          <w:lang w:val="ro-RO"/>
        </w:rPr>
      </w:pPr>
    </w:p>
    <w:p w14:paraId="748E454F" w14:textId="77777777" w:rsidR="007E70FB" w:rsidRDefault="007E70FB" w:rsidP="009E66AD">
      <w:pPr>
        <w:jc w:val="center"/>
        <w:rPr>
          <w:lang w:val="ro-RO"/>
        </w:rPr>
      </w:pPr>
    </w:p>
    <w:p w14:paraId="456BC495" w14:textId="77777777" w:rsidR="009E66AD" w:rsidRDefault="009E66AD">
      <w:pPr>
        <w:rPr>
          <w:lang w:val="ro-RO"/>
        </w:rPr>
      </w:pPr>
    </w:p>
    <w:p w14:paraId="526155D4" w14:textId="77777777" w:rsidR="009E66AD" w:rsidRDefault="009E66AD" w:rsidP="009E66AD">
      <w:pPr>
        <w:jc w:val="right"/>
        <w:rPr>
          <w:lang w:val="ro-RO"/>
        </w:rPr>
      </w:pPr>
      <w:r>
        <w:rPr>
          <w:lang w:val="ro-RO"/>
        </w:rPr>
        <w:t xml:space="preserve">Îndrumător de doctorat: </w:t>
      </w:r>
      <w:r w:rsidRPr="009E66AD">
        <w:rPr>
          <w:lang w:val="ro-RO"/>
        </w:rPr>
        <w:t>Prof. univ. dr. Gabriela PRELIPCEAN</w:t>
      </w:r>
    </w:p>
    <w:p w14:paraId="7B268DB7" w14:textId="77777777" w:rsidR="009E66AD" w:rsidRDefault="009E66AD">
      <w:pPr>
        <w:rPr>
          <w:lang w:val="ro-RO"/>
        </w:rPr>
      </w:pPr>
    </w:p>
    <w:p w14:paraId="6A8CC3E8" w14:textId="77777777" w:rsidR="001C3023" w:rsidRDefault="001C3023">
      <w:pPr>
        <w:rPr>
          <w:lang w:val="ro-RO"/>
        </w:rPr>
      </w:pPr>
    </w:p>
    <w:p w14:paraId="11178E4F" w14:textId="77777777" w:rsidR="009E66AD" w:rsidRDefault="009E66AD">
      <w:pPr>
        <w:rPr>
          <w:lang w:val="ro-RO"/>
        </w:rPr>
      </w:pPr>
      <w:r>
        <w:rPr>
          <w:lang w:val="ro-RO"/>
        </w:rPr>
        <w:t>Doctorand: Laurian Gabriel Tănăsescu</w:t>
      </w:r>
    </w:p>
    <w:p w14:paraId="4FBB24AC" w14:textId="77777777" w:rsidR="009E66AD" w:rsidRDefault="009E66AD">
      <w:pPr>
        <w:rPr>
          <w:lang w:val="ro-RO"/>
        </w:rPr>
      </w:pPr>
    </w:p>
    <w:p w14:paraId="597AA842" w14:textId="77777777" w:rsidR="009E66AD" w:rsidRDefault="009E66AD">
      <w:pPr>
        <w:rPr>
          <w:lang w:val="ro-RO"/>
        </w:rPr>
      </w:pPr>
    </w:p>
    <w:p w14:paraId="5195DAA5" w14:textId="77777777" w:rsidR="009E66AD" w:rsidRDefault="009E66AD">
      <w:pPr>
        <w:rPr>
          <w:lang w:val="ro-RO"/>
        </w:rPr>
      </w:pPr>
      <w:r>
        <w:rPr>
          <w:lang w:val="ro-RO"/>
        </w:rPr>
        <w:br w:type="page"/>
      </w:r>
    </w:p>
    <w:p w14:paraId="7CF1D0A4" w14:textId="77777777" w:rsidR="009E66AD" w:rsidRDefault="009E66AD">
      <w:pPr>
        <w:rPr>
          <w:lang w:val="ro-RO"/>
        </w:rPr>
      </w:pPr>
    </w:p>
    <w:sdt>
      <w:sdtPr>
        <w:rPr>
          <w:rFonts w:asciiTheme="minorHAnsi" w:eastAsiaTheme="minorEastAsia" w:hAnsiTheme="minorHAnsi" w:cstheme="minorBidi"/>
          <w:b w:val="0"/>
          <w:bCs w:val="0"/>
          <w:color w:val="auto"/>
          <w:sz w:val="24"/>
          <w:szCs w:val="24"/>
        </w:rPr>
        <w:id w:val="1318155515"/>
        <w:docPartObj>
          <w:docPartGallery w:val="Table of Contents"/>
          <w:docPartUnique/>
        </w:docPartObj>
      </w:sdtPr>
      <w:sdtEndPr>
        <w:rPr>
          <w:noProof/>
        </w:rPr>
      </w:sdtEndPr>
      <w:sdtContent>
        <w:bookmarkStart w:id="0" w:name="_GoBack" w:displacedByCustomXml="prev"/>
        <w:bookmarkEnd w:id="0" w:displacedByCustomXml="prev"/>
        <w:p w14:paraId="19888945" w14:textId="4F679825" w:rsidR="00AC4412" w:rsidRDefault="00895084" w:rsidP="00895084">
          <w:pPr>
            <w:pStyle w:val="TOCHeading"/>
            <w:numPr>
              <w:ilvl w:val="0"/>
              <w:numId w:val="0"/>
            </w:numPr>
            <w:ind w:left="720" w:hanging="360"/>
            <w:jc w:val="center"/>
          </w:pPr>
          <w:r>
            <w:t>Cuprins</w:t>
          </w:r>
        </w:p>
        <w:p w14:paraId="5444AAC4" w14:textId="77777777" w:rsidR="00895084" w:rsidRPr="00895084" w:rsidRDefault="00895084" w:rsidP="00895084"/>
        <w:p w14:paraId="3764DE14" w14:textId="77777777" w:rsidR="00CD7F37" w:rsidRDefault="00AC4412">
          <w:pPr>
            <w:pStyle w:val="TOC1"/>
            <w:tabs>
              <w:tab w:val="left" w:pos="421"/>
              <w:tab w:val="right" w:pos="8290"/>
            </w:tabs>
            <w:rPr>
              <w:b w:val="0"/>
              <w:noProof/>
              <w:sz w:val="24"/>
              <w:szCs w:val="24"/>
              <w:lang w:val="ro-RO" w:eastAsia="ja-JP"/>
            </w:rPr>
          </w:pPr>
          <w:r>
            <w:rPr>
              <w:b w:val="0"/>
            </w:rPr>
            <w:fldChar w:fldCharType="begin"/>
          </w:r>
          <w:r>
            <w:instrText xml:space="preserve"> TOC \o "1-3" \h \z \u </w:instrText>
          </w:r>
          <w:r>
            <w:rPr>
              <w:b w:val="0"/>
            </w:rPr>
            <w:fldChar w:fldCharType="separate"/>
          </w:r>
          <w:r w:rsidR="00CD7F37">
            <w:rPr>
              <w:noProof/>
            </w:rPr>
            <w:t>1.</w:t>
          </w:r>
          <w:r w:rsidR="00CD7F37">
            <w:rPr>
              <w:b w:val="0"/>
              <w:noProof/>
              <w:sz w:val="24"/>
              <w:szCs w:val="24"/>
              <w:lang w:val="ro-RO" w:eastAsia="ja-JP"/>
            </w:rPr>
            <w:tab/>
          </w:r>
          <w:r w:rsidR="00CD7F37">
            <w:rPr>
              <w:noProof/>
            </w:rPr>
            <w:t>Rezumat (Abstract )</w:t>
          </w:r>
          <w:r w:rsidR="00CD7F37">
            <w:rPr>
              <w:noProof/>
            </w:rPr>
            <w:tab/>
          </w:r>
          <w:r w:rsidR="00CD7F37">
            <w:rPr>
              <w:noProof/>
            </w:rPr>
            <w:fldChar w:fldCharType="begin"/>
          </w:r>
          <w:r w:rsidR="00CD7F37">
            <w:rPr>
              <w:noProof/>
            </w:rPr>
            <w:instrText xml:space="preserve"> PAGEREF _Toc290830237 \h </w:instrText>
          </w:r>
          <w:r w:rsidR="00CD7F37">
            <w:rPr>
              <w:noProof/>
            </w:rPr>
          </w:r>
          <w:r w:rsidR="00CD7F37">
            <w:rPr>
              <w:noProof/>
            </w:rPr>
            <w:fldChar w:fldCharType="separate"/>
          </w:r>
          <w:r w:rsidR="00CD7F37">
            <w:rPr>
              <w:noProof/>
            </w:rPr>
            <w:t>3</w:t>
          </w:r>
          <w:r w:rsidR="00CD7F37">
            <w:rPr>
              <w:noProof/>
            </w:rPr>
            <w:fldChar w:fldCharType="end"/>
          </w:r>
        </w:p>
        <w:p w14:paraId="33A87896" w14:textId="77777777" w:rsidR="00CD7F37" w:rsidRDefault="00CD7F37">
          <w:pPr>
            <w:pStyle w:val="TOC1"/>
            <w:tabs>
              <w:tab w:val="left" w:pos="421"/>
              <w:tab w:val="right" w:pos="8290"/>
            </w:tabs>
            <w:rPr>
              <w:b w:val="0"/>
              <w:noProof/>
              <w:sz w:val="24"/>
              <w:szCs w:val="24"/>
              <w:lang w:val="ro-RO" w:eastAsia="ja-JP"/>
            </w:rPr>
          </w:pPr>
          <w:r>
            <w:rPr>
              <w:noProof/>
            </w:rPr>
            <w:t>2.</w:t>
          </w:r>
          <w:r>
            <w:rPr>
              <w:b w:val="0"/>
              <w:noProof/>
              <w:sz w:val="24"/>
              <w:szCs w:val="24"/>
              <w:lang w:val="ro-RO" w:eastAsia="ja-JP"/>
            </w:rPr>
            <w:tab/>
          </w:r>
          <w:r>
            <w:rPr>
              <w:noProof/>
            </w:rPr>
            <w:t>Introducere</w:t>
          </w:r>
          <w:r>
            <w:rPr>
              <w:noProof/>
            </w:rPr>
            <w:tab/>
          </w:r>
          <w:r>
            <w:rPr>
              <w:noProof/>
            </w:rPr>
            <w:fldChar w:fldCharType="begin"/>
          </w:r>
          <w:r>
            <w:rPr>
              <w:noProof/>
            </w:rPr>
            <w:instrText xml:space="preserve"> PAGEREF _Toc290830238 \h </w:instrText>
          </w:r>
          <w:r>
            <w:rPr>
              <w:noProof/>
            </w:rPr>
          </w:r>
          <w:r>
            <w:rPr>
              <w:noProof/>
            </w:rPr>
            <w:fldChar w:fldCharType="separate"/>
          </w:r>
          <w:r>
            <w:rPr>
              <w:noProof/>
            </w:rPr>
            <w:t>3</w:t>
          </w:r>
          <w:r>
            <w:rPr>
              <w:noProof/>
            </w:rPr>
            <w:fldChar w:fldCharType="end"/>
          </w:r>
        </w:p>
        <w:p w14:paraId="6126EBBB" w14:textId="77777777" w:rsidR="00CD7F37" w:rsidRDefault="00CD7F37">
          <w:pPr>
            <w:pStyle w:val="TOC1"/>
            <w:tabs>
              <w:tab w:val="left" w:pos="407"/>
              <w:tab w:val="right" w:pos="8290"/>
            </w:tabs>
            <w:rPr>
              <w:b w:val="0"/>
              <w:noProof/>
              <w:sz w:val="24"/>
              <w:szCs w:val="24"/>
              <w:lang w:val="ro-RO" w:eastAsia="ja-JP"/>
            </w:rPr>
          </w:pPr>
          <w:r w:rsidRPr="00D12C48">
            <w:rPr>
              <w:b w:val="0"/>
              <w:smallCaps/>
              <w:noProof/>
            </w:rPr>
            <w:t>3.</w:t>
          </w:r>
          <w:r>
            <w:rPr>
              <w:b w:val="0"/>
              <w:noProof/>
              <w:sz w:val="24"/>
              <w:szCs w:val="24"/>
              <w:lang w:val="ro-RO" w:eastAsia="ja-JP"/>
            </w:rPr>
            <w:tab/>
          </w:r>
          <w:r w:rsidRPr="00D12C48">
            <w:rPr>
              <w:b w:val="0"/>
              <w:smallCaps/>
              <w:noProof/>
            </w:rPr>
            <w:t>Principalele repere ale aderării României la Uniunea Europeană</w:t>
          </w:r>
          <w:r>
            <w:rPr>
              <w:noProof/>
            </w:rPr>
            <w:tab/>
          </w:r>
          <w:r>
            <w:rPr>
              <w:noProof/>
            </w:rPr>
            <w:fldChar w:fldCharType="begin"/>
          </w:r>
          <w:r>
            <w:rPr>
              <w:noProof/>
            </w:rPr>
            <w:instrText xml:space="preserve"> PAGEREF _Toc290830239 \h </w:instrText>
          </w:r>
          <w:r>
            <w:rPr>
              <w:noProof/>
            </w:rPr>
          </w:r>
          <w:r>
            <w:rPr>
              <w:noProof/>
            </w:rPr>
            <w:fldChar w:fldCharType="separate"/>
          </w:r>
          <w:r>
            <w:rPr>
              <w:noProof/>
            </w:rPr>
            <w:t>4</w:t>
          </w:r>
          <w:r>
            <w:rPr>
              <w:noProof/>
            </w:rPr>
            <w:fldChar w:fldCharType="end"/>
          </w:r>
        </w:p>
        <w:p w14:paraId="2D2E4B96" w14:textId="77777777" w:rsidR="00CD7F37" w:rsidRDefault="00CD7F37">
          <w:pPr>
            <w:pStyle w:val="TOC1"/>
            <w:tabs>
              <w:tab w:val="left" w:pos="421"/>
              <w:tab w:val="right" w:pos="8290"/>
            </w:tabs>
            <w:rPr>
              <w:b w:val="0"/>
              <w:noProof/>
              <w:sz w:val="24"/>
              <w:szCs w:val="24"/>
              <w:lang w:val="ro-RO" w:eastAsia="ja-JP"/>
            </w:rPr>
          </w:pPr>
          <w:r>
            <w:rPr>
              <w:noProof/>
            </w:rPr>
            <w:t>4.</w:t>
          </w:r>
          <w:r>
            <w:rPr>
              <w:b w:val="0"/>
              <w:noProof/>
              <w:sz w:val="24"/>
              <w:szCs w:val="24"/>
              <w:lang w:val="ro-RO" w:eastAsia="ja-JP"/>
            </w:rPr>
            <w:tab/>
          </w:r>
          <w:r>
            <w:rPr>
              <w:noProof/>
            </w:rPr>
            <w:t>Importanța sectorului TIC și inițiative internaționale relevante pentru acest domeniu</w:t>
          </w:r>
          <w:r>
            <w:rPr>
              <w:noProof/>
            </w:rPr>
            <w:tab/>
          </w:r>
          <w:r>
            <w:rPr>
              <w:noProof/>
            </w:rPr>
            <w:fldChar w:fldCharType="begin"/>
          </w:r>
          <w:r>
            <w:rPr>
              <w:noProof/>
            </w:rPr>
            <w:instrText xml:space="preserve"> PAGEREF _Toc290830240 \h </w:instrText>
          </w:r>
          <w:r>
            <w:rPr>
              <w:noProof/>
            </w:rPr>
          </w:r>
          <w:r>
            <w:rPr>
              <w:noProof/>
            </w:rPr>
            <w:fldChar w:fldCharType="separate"/>
          </w:r>
          <w:r>
            <w:rPr>
              <w:noProof/>
            </w:rPr>
            <w:t>5</w:t>
          </w:r>
          <w:r>
            <w:rPr>
              <w:noProof/>
            </w:rPr>
            <w:fldChar w:fldCharType="end"/>
          </w:r>
        </w:p>
        <w:p w14:paraId="64168D7C" w14:textId="77777777" w:rsidR="00CD7F37" w:rsidRDefault="00CD7F37">
          <w:pPr>
            <w:pStyle w:val="TOC1"/>
            <w:tabs>
              <w:tab w:val="left" w:pos="421"/>
              <w:tab w:val="right" w:pos="8290"/>
            </w:tabs>
            <w:rPr>
              <w:b w:val="0"/>
              <w:noProof/>
              <w:sz w:val="24"/>
              <w:szCs w:val="24"/>
              <w:lang w:val="ro-RO" w:eastAsia="ja-JP"/>
            </w:rPr>
          </w:pPr>
          <w:r>
            <w:rPr>
              <w:noProof/>
            </w:rPr>
            <w:t>5.</w:t>
          </w:r>
          <w:r>
            <w:rPr>
              <w:b w:val="0"/>
              <w:noProof/>
              <w:sz w:val="24"/>
              <w:szCs w:val="24"/>
              <w:lang w:val="ro-RO" w:eastAsia="ja-JP"/>
            </w:rPr>
            <w:tab/>
          </w:r>
          <w:r>
            <w:rPr>
              <w:noProof/>
            </w:rPr>
            <w:t>Inițiative ale României în domeniul sprijinirii sectorului TIC</w:t>
          </w:r>
          <w:r>
            <w:rPr>
              <w:noProof/>
            </w:rPr>
            <w:tab/>
          </w:r>
          <w:r>
            <w:rPr>
              <w:noProof/>
            </w:rPr>
            <w:fldChar w:fldCharType="begin"/>
          </w:r>
          <w:r>
            <w:rPr>
              <w:noProof/>
            </w:rPr>
            <w:instrText xml:space="preserve"> PAGEREF _Toc290830241 \h </w:instrText>
          </w:r>
          <w:r>
            <w:rPr>
              <w:noProof/>
            </w:rPr>
          </w:r>
          <w:r>
            <w:rPr>
              <w:noProof/>
            </w:rPr>
            <w:fldChar w:fldCharType="separate"/>
          </w:r>
          <w:r>
            <w:rPr>
              <w:noProof/>
            </w:rPr>
            <w:t>7</w:t>
          </w:r>
          <w:r>
            <w:rPr>
              <w:noProof/>
            </w:rPr>
            <w:fldChar w:fldCharType="end"/>
          </w:r>
        </w:p>
        <w:p w14:paraId="503EBFA3" w14:textId="77777777" w:rsidR="00CD7F37" w:rsidRDefault="00CD7F37">
          <w:pPr>
            <w:pStyle w:val="TOC1"/>
            <w:tabs>
              <w:tab w:val="left" w:pos="421"/>
              <w:tab w:val="right" w:pos="8290"/>
            </w:tabs>
            <w:rPr>
              <w:b w:val="0"/>
              <w:noProof/>
              <w:sz w:val="24"/>
              <w:szCs w:val="24"/>
              <w:lang w:val="ro-RO" w:eastAsia="ja-JP"/>
            </w:rPr>
          </w:pPr>
          <w:r>
            <w:rPr>
              <w:noProof/>
            </w:rPr>
            <w:t>6.</w:t>
          </w:r>
          <w:r>
            <w:rPr>
              <w:b w:val="0"/>
              <w:noProof/>
              <w:sz w:val="24"/>
              <w:szCs w:val="24"/>
              <w:lang w:val="ro-RO" w:eastAsia="ja-JP"/>
            </w:rPr>
            <w:tab/>
          </w:r>
          <w:r>
            <w:rPr>
              <w:noProof/>
            </w:rPr>
            <w:t>Inițiative la nivel european în domeniul sprijinirii TIC</w:t>
          </w:r>
          <w:r>
            <w:rPr>
              <w:noProof/>
            </w:rPr>
            <w:tab/>
          </w:r>
          <w:r>
            <w:rPr>
              <w:noProof/>
            </w:rPr>
            <w:fldChar w:fldCharType="begin"/>
          </w:r>
          <w:r>
            <w:rPr>
              <w:noProof/>
            </w:rPr>
            <w:instrText xml:space="preserve"> PAGEREF _Toc290830242 \h </w:instrText>
          </w:r>
          <w:r>
            <w:rPr>
              <w:noProof/>
            </w:rPr>
          </w:r>
          <w:r>
            <w:rPr>
              <w:noProof/>
            </w:rPr>
            <w:fldChar w:fldCharType="separate"/>
          </w:r>
          <w:r>
            <w:rPr>
              <w:noProof/>
            </w:rPr>
            <w:t>8</w:t>
          </w:r>
          <w:r>
            <w:rPr>
              <w:noProof/>
            </w:rPr>
            <w:fldChar w:fldCharType="end"/>
          </w:r>
        </w:p>
        <w:p w14:paraId="124AB825" w14:textId="77777777" w:rsidR="00CD7F37" w:rsidRDefault="00CD7F37">
          <w:pPr>
            <w:pStyle w:val="TOC1"/>
            <w:tabs>
              <w:tab w:val="left" w:pos="421"/>
              <w:tab w:val="right" w:pos="8290"/>
            </w:tabs>
            <w:rPr>
              <w:b w:val="0"/>
              <w:noProof/>
              <w:sz w:val="24"/>
              <w:szCs w:val="24"/>
              <w:lang w:val="ro-RO" w:eastAsia="ja-JP"/>
            </w:rPr>
          </w:pPr>
          <w:r>
            <w:rPr>
              <w:noProof/>
            </w:rPr>
            <w:t>7.</w:t>
          </w:r>
          <w:r>
            <w:rPr>
              <w:b w:val="0"/>
              <w:noProof/>
              <w:sz w:val="24"/>
              <w:szCs w:val="24"/>
              <w:lang w:val="ro-RO" w:eastAsia="ja-JP"/>
            </w:rPr>
            <w:tab/>
          </w:r>
          <w:r>
            <w:rPr>
              <w:noProof/>
            </w:rPr>
            <w:t>Domeniul TIC în fondurile structurale și de coeziune disponibile României</w:t>
          </w:r>
          <w:r>
            <w:rPr>
              <w:noProof/>
            </w:rPr>
            <w:tab/>
          </w:r>
          <w:r>
            <w:rPr>
              <w:noProof/>
            </w:rPr>
            <w:fldChar w:fldCharType="begin"/>
          </w:r>
          <w:r>
            <w:rPr>
              <w:noProof/>
            </w:rPr>
            <w:instrText xml:space="preserve"> PAGEREF _Toc290830243 \h </w:instrText>
          </w:r>
          <w:r>
            <w:rPr>
              <w:noProof/>
            </w:rPr>
          </w:r>
          <w:r>
            <w:rPr>
              <w:noProof/>
            </w:rPr>
            <w:fldChar w:fldCharType="separate"/>
          </w:r>
          <w:r>
            <w:rPr>
              <w:noProof/>
            </w:rPr>
            <w:t>10</w:t>
          </w:r>
          <w:r>
            <w:rPr>
              <w:noProof/>
            </w:rPr>
            <w:fldChar w:fldCharType="end"/>
          </w:r>
        </w:p>
        <w:p w14:paraId="57871472" w14:textId="77777777" w:rsidR="00CD7F37" w:rsidRDefault="00CD7F37">
          <w:pPr>
            <w:pStyle w:val="TOC1"/>
            <w:tabs>
              <w:tab w:val="left" w:pos="421"/>
              <w:tab w:val="right" w:pos="8290"/>
            </w:tabs>
            <w:rPr>
              <w:b w:val="0"/>
              <w:noProof/>
              <w:sz w:val="24"/>
              <w:szCs w:val="24"/>
              <w:lang w:val="ro-RO" w:eastAsia="ja-JP"/>
            </w:rPr>
          </w:pPr>
          <w:r>
            <w:rPr>
              <w:noProof/>
            </w:rPr>
            <w:t>8.</w:t>
          </w:r>
          <w:r>
            <w:rPr>
              <w:b w:val="0"/>
              <w:noProof/>
              <w:sz w:val="24"/>
              <w:szCs w:val="24"/>
              <w:lang w:val="ro-RO" w:eastAsia="ja-JP"/>
            </w:rPr>
            <w:tab/>
          </w:r>
          <w:r>
            <w:rPr>
              <w:noProof/>
            </w:rPr>
            <w:t>Domeniul TIC în alte fonduri europene disponibile organizațiilor din România</w:t>
          </w:r>
          <w:r>
            <w:rPr>
              <w:noProof/>
            </w:rPr>
            <w:tab/>
          </w:r>
          <w:r>
            <w:rPr>
              <w:noProof/>
            </w:rPr>
            <w:fldChar w:fldCharType="begin"/>
          </w:r>
          <w:r>
            <w:rPr>
              <w:noProof/>
            </w:rPr>
            <w:instrText xml:space="preserve"> PAGEREF _Toc290830244 \h </w:instrText>
          </w:r>
          <w:r>
            <w:rPr>
              <w:noProof/>
            </w:rPr>
          </w:r>
          <w:r>
            <w:rPr>
              <w:noProof/>
            </w:rPr>
            <w:fldChar w:fldCharType="separate"/>
          </w:r>
          <w:r>
            <w:rPr>
              <w:noProof/>
            </w:rPr>
            <w:t>13</w:t>
          </w:r>
          <w:r>
            <w:rPr>
              <w:noProof/>
            </w:rPr>
            <w:fldChar w:fldCharType="end"/>
          </w:r>
        </w:p>
        <w:p w14:paraId="74282B4F" w14:textId="77777777" w:rsidR="00CD7F37" w:rsidRDefault="00CD7F37">
          <w:pPr>
            <w:pStyle w:val="TOC1"/>
            <w:tabs>
              <w:tab w:val="left" w:pos="421"/>
              <w:tab w:val="right" w:pos="8290"/>
            </w:tabs>
            <w:rPr>
              <w:b w:val="0"/>
              <w:noProof/>
              <w:sz w:val="24"/>
              <w:szCs w:val="24"/>
              <w:lang w:val="ro-RO" w:eastAsia="ja-JP"/>
            </w:rPr>
          </w:pPr>
          <w:r>
            <w:rPr>
              <w:noProof/>
            </w:rPr>
            <w:t>9.</w:t>
          </w:r>
          <w:r>
            <w:rPr>
              <w:b w:val="0"/>
              <w:noProof/>
              <w:sz w:val="24"/>
              <w:szCs w:val="24"/>
              <w:lang w:val="ro-RO" w:eastAsia="ja-JP"/>
            </w:rPr>
            <w:tab/>
          </w:r>
          <w:r>
            <w:rPr>
              <w:noProof/>
            </w:rPr>
            <w:t>Impactul schimbărilor asupra companiilor locale</w:t>
          </w:r>
          <w:r>
            <w:rPr>
              <w:noProof/>
            </w:rPr>
            <w:tab/>
          </w:r>
          <w:r>
            <w:rPr>
              <w:noProof/>
            </w:rPr>
            <w:fldChar w:fldCharType="begin"/>
          </w:r>
          <w:r>
            <w:rPr>
              <w:noProof/>
            </w:rPr>
            <w:instrText xml:space="preserve"> PAGEREF _Toc290830245 \h </w:instrText>
          </w:r>
          <w:r>
            <w:rPr>
              <w:noProof/>
            </w:rPr>
          </w:r>
          <w:r>
            <w:rPr>
              <w:noProof/>
            </w:rPr>
            <w:fldChar w:fldCharType="separate"/>
          </w:r>
          <w:r>
            <w:rPr>
              <w:noProof/>
            </w:rPr>
            <w:t>14</w:t>
          </w:r>
          <w:r>
            <w:rPr>
              <w:noProof/>
            </w:rPr>
            <w:fldChar w:fldCharType="end"/>
          </w:r>
        </w:p>
        <w:p w14:paraId="441263FE" w14:textId="77777777" w:rsidR="00CD7F37" w:rsidRDefault="00CD7F37">
          <w:pPr>
            <w:pStyle w:val="TOC2"/>
            <w:tabs>
              <w:tab w:val="left" w:pos="800"/>
              <w:tab w:val="right" w:pos="8290"/>
            </w:tabs>
            <w:rPr>
              <w:i w:val="0"/>
              <w:noProof/>
              <w:sz w:val="24"/>
              <w:szCs w:val="24"/>
              <w:lang w:val="ro-RO" w:eastAsia="ja-JP"/>
            </w:rPr>
          </w:pPr>
          <w:r>
            <w:rPr>
              <w:noProof/>
            </w:rPr>
            <w:t>9.1.</w:t>
          </w:r>
          <w:r>
            <w:rPr>
              <w:i w:val="0"/>
              <w:noProof/>
              <w:sz w:val="24"/>
              <w:szCs w:val="24"/>
              <w:lang w:val="ro-RO" w:eastAsia="ja-JP"/>
            </w:rPr>
            <w:tab/>
          </w:r>
          <w:r>
            <w:rPr>
              <w:noProof/>
            </w:rPr>
            <w:t>Impactul noilor reglementări</w:t>
          </w:r>
          <w:r>
            <w:rPr>
              <w:noProof/>
            </w:rPr>
            <w:tab/>
          </w:r>
          <w:r>
            <w:rPr>
              <w:noProof/>
            </w:rPr>
            <w:fldChar w:fldCharType="begin"/>
          </w:r>
          <w:r>
            <w:rPr>
              <w:noProof/>
            </w:rPr>
            <w:instrText xml:space="preserve"> PAGEREF _Toc290830246 \h </w:instrText>
          </w:r>
          <w:r>
            <w:rPr>
              <w:noProof/>
            </w:rPr>
          </w:r>
          <w:r>
            <w:rPr>
              <w:noProof/>
            </w:rPr>
            <w:fldChar w:fldCharType="separate"/>
          </w:r>
          <w:r>
            <w:rPr>
              <w:noProof/>
            </w:rPr>
            <w:t>14</w:t>
          </w:r>
          <w:r>
            <w:rPr>
              <w:noProof/>
            </w:rPr>
            <w:fldChar w:fldCharType="end"/>
          </w:r>
        </w:p>
        <w:p w14:paraId="1092EF80" w14:textId="77777777" w:rsidR="00CD7F37" w:rsidRDefault="00CD7F37">
          <w:pPr>
            <w:pStyle w:val="TOC2"/>
            <w:tabs>
              <w:tab w:val="left" w:pos="800"/>
              <w:tab w:val="right" w:pos="8290"/>
            </w:tabs>
            <w:rPr>
              <w:i w:val="0"/>
              <w:noProof/>
              <w:sz w:val="24"/>
              <w:szCs w:val="24"/>
              <w:lang w:val="ro-RO" w:eastAsia="ja-JP"/>
            </w:rPr>
          </w:pPr>
          <w:r>
            <w:rPr>
              <w:noProof/>
            </w:rPr>
            <w:t>9.2.</w:t>
          </w:r>
          <w:r>
            <w:rPr>
              <w:i w:val="0"/>
              <w:noProof/>
              <w:sz w:val="24"/>
              <w:szCs w:val="24"/>
              <w:lang w:val="ro-RO" w:eastAsia="ja-JP"/>
            </w:rPr>
            <w:tab/>
          </w:r>
          <w:r>
            <w:rPr>
              <w:noProof/>
            </w:rPr>
            <w:t>Impactul finanțărilor disponibile</w:t>
          </w:r>
          <w:r>
            <w:rPr>
              <w:noProof/>
            </w:rPr>
            <w:tab/>
          </w:r>
          <w:r>
            <w:rPr>
              <w:noProof/>
            </w:rPr>
            <w:fldChar w:fldCharType="begin"/>
          </w:r>
          <w:r>
            <w:rPr>
              <w:noProof/>
            </w:rPr>
            <w:instrText xml:space="preserve"> PAGEREF _Toc290830247 \h </w:instrText>
          </w:r>
          <w:r>
            <w:rPr>
              <w:noProof/>
            </w:rPr>
          </w:r>
          <w:r>
            <w:rPr>
              <w:noProof/>
            </w:rPr>
            <w:fldChar w:fldCharType="separate"/>
          </w:r>
          <w:r>
            <w:rPr>
              <w:noProof/>
            </w:rPr>
            <w:t>19</w:t>
          </w:r>
          <w:r>
            <w:rPr>
              <w:noProof/>
            </w:rPr>
            <w:fldChar w:fldCharType="end"/>
          </w:r>
        </w:p>
        <w:p w14:paraId="6FFACE60" w14:textId="77777777" w:rsidR="00CD7F37" w:rsidRDefault="00CD7F37">
          <w:pPr>
            <w:pStyle w:val="TOC1"/>
            <w:tabs>
              <w:tab w:val="left" w:pos="552"/>
              <w:tab w:val="right" w:pos="8290"/>
            </w:tabs>
            <w:rPr>
              <w:b w:val="0"/>
              <w:noProof/>
              <w:sz w:val="24"/>
              <w:szCs w:val="24"/>
              <w:lang w:val="ro-RO" w:eastAsia="ja-JP"/>
            </w:rPr>
          </w:pPr>
          <w:r>
            <w:rPr>
              <w:noProof/>
            </w:rPr>
            <w:t>10.</w:t>
          </w:r>
          <w:r>
            <w:rPr>
              <w:b w:val="0"/>
              <w:noProof/>
              <w:sz w:val="24"/>
              <w:szCs w:val="24"/>
              <w:lang w:val="ro-RO" w:eastAsia="ja-JP"/>
            </w:rPr>
            <w:tab/>
          </w:r>
          <w:r>
            <w:rPr>
              <w:noProof/>
            </w:rPr>
            <w:t>Concluzii şi recomandări</w:t>
          </w:r>
          <w:r>
            <w:rPr>
              <w:noProof/>
            </w:rPr>
            <w:tab/>
          </w:r>
          <w:r>
            <w:rPr>
              <w:noProof/>
            </w:rPr>
            <w:fldChar w:fldCharType="begin"/>
          </w:r>
          <w:r>
            <w:rPr>
              <w:noProof/>
            </w:rPr>
            <w:instrText xml:space="preserve"> PAGEREF _Toc290830248 \h </w:instrText>
          </w:r>
          <w:r>
            <w:rPr>
              <w:noProof/>
            </w:rPr>
          </w:r>
          <w:r>
            <w:rPr>
              <w:noProof/>
            </w:rPr>
            <w:fldChar w:fldCharType="separate"/>
          </w:r>
          <w:r>
            <w:rPr>
              <w:noProof/>
            </w:rPr>
            <w:t>21</w:t>
          </w:r>
          <w:r>
            <w:rPr>
              <w:noProof/>
            </w:rPr>
            <w:fldChar w:fldCharType="end"/>
          </w:r>
        </w:p>
        <w:p w14:paraId="03CC20A8" w14:textId="77777777" w:rsidR="00CD7F37" w:rsidRDefault="00CD7F37">
          <w:pPr>
            <w:pStyle w:val="TOC1"/>
            <w:tabs>
              <w:tab w:val="right" w:pos="8290"/>
            </w:tabs>
            <w:rPr>
              <w:b w:val="0"/>
              <w:noProof/>
              <w:sz w:val="24"/>
              <w:szCs w:val="24"/>
              <w:lang w:val="ro-RO" w:eastAsia="ja-JP"/>
            </w:rPr>
          </w:pPr>
          <w:r>
            <w:rPr>
              <w:noProof/>
            </w:rPr>
            <w:t>Lista tabelelor:</w:t>
          </w:r>
          <w:r>
            <w:rPr>
              <w:noProof/>
            </w:rPr>
            <w:tab/>
          </w:r>
          <w:r>
            <w:rPr>
              <w:noProof/>
            </w:rPr>
            <w:fldChar w:fldCharType="begin"/>
          </w:r>
          <w:r>
            <w:rPr>
              <w:noProof/>
            </w:rPr>
            <w:instrText xml:space="preserve"> PAGEREF _Toc290830249 \h </w:instrText>
          </w:r>
          <w:r>
            <w:rPr>
              <w:noProof/>
            </w:rPr>
          </w:r>
          <w:r>
            <w:rPr>
              <w:noProof/>
            </w:rPr>
            <w:fldChar w:fldCharType="separate"/>
          </w:r>
          <w:r>
            <w:rPr>
              <w:noProof/>
            </w:rPr>
            <w:t>22</w:t>
          </w:r>
          <w:r>
            <w:rPr>
              <w:noProof/>
            </w:rPr>
            <w:fldChar w:fldCharType="end"/>
          </w:r>
        </w:p>
        <w:p w14:paraId="490D702C" w14:textId="77777777" w:rsidR="00CD7F37" w:rsidRDefault="00CD7F37">
          <w:pPr>
            <w:pStyle w:val="TOC1"/>
            <w:tabs>
              <w:tab w:val="right" w:pos="8290"/>
            </w:tabs>
            <w:rPr>
              <w:b w:val="0"/>
              <w:noProof/>
              <w:sz w:val="24"/>
              <w:szCs w:val="24"/>
              <w:lang w:val="ro-RO" w:eastAsia="ja-JP"/>
            </w:rPr>
          </w:pPr>
          <w:r>
            <w:rPr>
              <w:noProof/>
            </w:rPr>
            <w:t>Lista figurilor și diagramelor</w:t>
          </w:r>
          <w:r>
            <w:rPr>
              <w:noProof/>
            </w:rPr>
            <w:tab/>
          </w:r>
          <w:r>
            <w:rPr>
              <w:noProof/>
            </w:rPr>
            <w:fldChar w:fldCharType="begin"/>
          </w:r>
          <w:r>
            <w:rPr>
              <w:noProof/>
            </w:rPr>
            <w:instrText xml:space="preserve"> PAGEREF _Toc290830250 \h </w:instrText>
          </w:r>
          <w:r>
            <w:rPr>
              <w:noProof/>
            </w:rPr>
          </w:r>
          <w:r>
            <w:rPr>
              <w:noProof/>
            </w:rPr>
            <w:fldChar w:fldCharType="separate"/>
          </w:r>
          <w:r>
            <w:rPr>
              <w:noProof/>
            </w:rPr>
            <w:t>22</w:t>
          </w:r>
          <w:r>
            <w:rPr>
              <w:noProof/>
            </w:rPr>
            <w:fldChar w:fldCharType="end"/>
          </w:r>
        </w:p>
        <w:p w14:paraId="23952918" w14:textId="77777777" w:rsidR="00CD7F37" w:rsidRDefault="00CD7F37">
          <w:pPr>
            <w:pStyle w:val="TOC1"/>
            <w:tabs>
              <w:tab w:val="right" w:pos="8290"/>
            </w:tabs>
            <w:rPr>
              <w:b w:val="0"/>
              <w:noProof/>
              <w:sz w:val="24"/>
              <w:szCs w:val="24"/>
              <w:lang w:val="ro-RO" w:eastAsia="ja-JP"/>
            </w:rPr>
          </w:pPr>
          <w:r>
            <w:rPr>
              <w:noProof/>
            </w:rPr>
            <w:t>Bibliografie</w:t>
          </w:r>
          <w:r>
            <w:rPr>
              <w:noProof/>
            </w:rPr>
            <w:tab/>
          </w:r>
          <w:r>
            <w:rPr>
              <w:noProof/>
            </w:rPr>
            <w:fldChar w:fldCharType="begin"/>
          </w:r>
          <w:r>
            <w:rPr>
              <w:noProof/>
            </w:rPr>
            <w:instrText xml:space="preserve"> PAGEREF _Toc290830251 \h </w:instrText>
          </w:r>
          <w:r>
            <w:rPr>
              <w:noProof/>
            </w:rPr>
          </w:r>
          <w:r>
            <w:rPr>
              <w:noProof/>
            </w:rPr>
            <w:fldChar w:fldCharType="separate"/>
          </w:r>
          <w:r>
            <w:rPr>
              <w:noProof/>
            </w:rPr>
            <w:t>22</w:t>
          </w:r>
          <w:r>
            <w:rPr>
              <w:noProof/>
            </w:rPr>
            <w:fldChar w:fldCharType="end"/>
          </w:r>
        </w:p>
        <w:p w14:paraId="2606D251" w14:textId="3B663761" w:rsidR="00AC4412" w:rsidRDefault="00AC4412">
          <w:r>
            <w:rPr>
              <w:b/>
              <w:bCs/>
              <w:noProof/>
            </w:rPr>
            <w:fldChar w:fldCharType="end"/>
          </w:r>
        </w:p>
      </w:sdtContent>
    </w:sdt>
    <w:p w14:paraId="1575A5A2" w14:textId="77777777" w:rsidR="002273C4" w:rsidRDefault="002273C4">
      <w:pPr>
        <w:rPr>
          <w:lang w:val="ro-RO"/>
        </w:rPr>
      </w:pPr>
    </w:p>
    <w:p w14:paraId="6425B3F5" w14:textId="77777777" w:rsidR="002273C4" w:rsidRDefault="002273C4">
      <w:pPr>
        <w:rPr>
          <w:lang w:val="ro-RO"/>
        </w:rPr>
      </w:pPr>
    </w:p>
    <w:p w14:paraId="5CC77920" w14:textId="77777777" w:rsidR="009E66AD" w:rsidRDefault="009E66AD">
      <w:pPr>
        <w:rPr>
          <w:lang w:val="ro-RO"/>
        </w:rPr>
      </w:pPr>
      <w:r>
        <w:rPr>
          <w:lang w:val="ro-RO"/>
        </w:rPr>
        <w:br w:type="page"/>
      </w:r>
    </w:p>
    <w:p w14:paraId="721D75ED" w14:textId="6FB201DF" w:rsidR="0096633F" w:rsidRDefault="0096633F" w:rsidP="006A5D86">
      <w:pPr>
        <w:pStyle w:val="Heading1"/>
        <w:numPr>
          <w:ilvl w:val="0"/>
          <w:numId w:val="16"/>
        </w:numPr>
        <w:rPr>
          <w:rStyle w:val="BookTitle"/>
          <w:b/>
          <w:bCs/>
          <w:smallCaps w:val="0"/>
          <w:spacing w:val="0"/>
        </w:rPr>
      </w:pPr>
      <w:bookmarkStart w:id="1" w:name="_Toc290830237"/>
      <w:r>
        <w:rPr>
          <w:rStyle w:val="BookTitle"/>
          <w:b/>
          <w:bCs/>
          <w:smallCaps w:val="0"/>
          <w:spacing w:val="0"/>
        </w:rPr>
        <w:lastRenderedPageBreak/>
        <w:t>Rezumat (</w:t>
      </w:r>
      <w:proofErr w:type="gramStart"/>
      <w:r>
        <w:rPr>
          <w:rStyle w:val="BookTitle"/>
          <w:b/>
          <w:bCs/>
          <w:smallCaps w:val="0"/>
          <w:spacing w:val="0"/>
        </w:rPr>
        <w:t>Abstract )</w:t>
      </w:r>
      <w:bookmarkEnd w:id="1"/>
      <w:proofErr w:type="gramEnd"/>
    </w:p>
    <w:p w14:paraId="4C46463F" w14:textId="1E71642E" w:rsidR="000C1E01" w:rsidRDefault="000C1E01" w:rsidP="0096633F">
      <w:pPr>
        <w:spacing w:before="100" w:beforeAutospacing="1" w:after="100" w:afterAutospacing="1"/>
        <w:rPr>
          <w:lang w:val="ro-RO"/>
        </w:rPr>
      </w:pPr>
      <w:r>
        <w:rPr>
          <w:lang w:val="ro-RO"/>
        </w:rPr>
        <w:t xml:space="preserve">Aderarea României la Uniunea Europeană a fost un proces lung, derulat pe o perioadă de apriximativ 15 ani și care a avut suportul unei </w:t>
      </w:r>
      <w:r w:rsidR="00B8061C">
        <w:rPr>
          <w:lang w:val="ro-RO"/>
        </w:rPr>
        <w:t>părți extrem de mari din populația României. Așa cum s-a întâmplat și în celelalte State Membre care au aderat după anul 1990 la Uniuna Europeană, după momentul adrării a urmat o scădere a popularității Uniunii Europene.</w:t>
      </w:r>
    </w:p>
    <w:p w14:paraId="292F80EA" w14:textId="703CF9C3" w:rsidR="00B8061C" w:rsidRDefault="00B8061C" w:rsidP="0096633F">
      <w:pPr>
        <w:spacing w:before="100" w:beforeAutospacing="1" w:after="100" w:afterAutospacing="1"/>
        <w:rPr>
          <w:lang w:val="ro-RO"/>
        </w:rPr>
      </w:pPr>
      <w:r>
        <w:rPr>
          <w:lang w:val="ro-RO"/>
        </w:rPr>
        <w:t xml:space="preserve">Aderarea la Uniunea Europeană a avut un impact cert negativ asupra unor sectoare de activitate (de  exemplu sectorul mineritului, care a suferit restructurări și reorganizări extrem de importante) și un impact cert pozitiv asupra altr sectoare (de exemplu comerțul sau prestarea de servicii suport către mari companii internaționale). </w:t>
      </w:r>
    </w:p>
    <w:p w14:paraId="6E46A9EB" w14:textId="58344DF0" w:rsidR="00B8061C" w:rsidRDefault="00B8061C" w:rsidP="0096633F">
      <w:pPr>
        <w:spacing w:before="100" w:beforeAutospacing="1" w:after="100" w:afterAutospacing="1"/>
        <w:rPr>
          <w:lang w:val="ro-RO"/>
        </w:rPr>
      </w:pPr>
      <w:r>
        <w:rPr>
          <w:lang w:val="ro-RO"/>
        </w:rPr>
        <w:t xml:space="preserve">Sectorul Tehnologiilor Informaționale și de Comunicații (TIC) este un sector cu o dinamică extrem de mare, la nivel mondial, schimbările și reajustările în acest domeniu fiind foarte rapide. Din această cauză este extrem de dificil de făcut o analiză de tipul „dar dacă nu am fi aderat la UE” pentru acest sector, deoarece este imposibil de construit un sceariu ipotetic (cel al neaderării), parametrii de analiză fiind extrem de sofisticați. Din această cauză prezentul articol își ropune doar să analizeze situația existentă, impactul determinat de aderarea la UE. </w:t>
      </w:r>
    </w:p>
    <w:p w14:paraId="6F08B2B1" w14:textId="77777777" w:rsidR="00B8061C" w:rsidRDefault="00B8061C" w:rsidP="0096633F">
      <w:pPr>
        <w:spacing w:before="100" w:beforeAutospacing="1" w:after="100" w:afterAutospacing="1"/>
        <w:rPr>
          <w:lang w:val="ro-RO"/>
        </w:rPr>
      </w:pPr>
      <w:r>
        <w:rPr>
          <w:lang w:val="ro-RO"/>
        </w:rPr>
        <w:t xml:space="preserve">Analiza a fost realizată pe două planuri (cel normativ și cel al finanțărilor disponibile) în special din perspectiva  IMM-uri cu activitate în domeniul TIC. </w:t>
      </w:r>
    </w:p>
    <w:p w14:paraId="7A0CCD7E" w14:textId="5BE96233" w:rsidR="00B8061C" w:rsidRDefault="00B8061C" w:rsidP="0096633F">
      <w:pPr>
        <w:spacing w:before="100" w:beforeAutospacing="1" w:after="100" w:afterAutospacing="1"/>
        <w:rPr>
          <w:lang w:val="ro-RO"/>
        </w:rPr>
      </w:pPr>
      <w:r>
        <w:rPr>
          <w:lang w:val="ro-RO"/>
        </w:rPr>
        <w:t>Rezultatele analizei ne arată un impact major pe ambele planuri</w:t>
      </w:r>
      <w:r w:rsidR="00ED3C05">
        <w:rPr>
          <w:lang w:val="ro-RO"/>
        </w:rPr>
        <w:t xml:space="preserve">. Impactul este în mod cert unul pozitiv, fiind greu de identificat componente negative ale aderării la UE din această perspectivă. </w:t>
      </w:r>
    </w:p>
    <w:p w14:paraId="693366B3" w14:textId="77777777" w:rsidR="000C1E01" w:rsidRPr="0096633F" w:rsidRDefault="000C1E01" w:rsidP="0096633F">
      <w:pPr>
        <w:spacing w:before="100" w:beforeAutospacing="1" w:after="100" w:afterAutospacing="1"/>
        <w:rPr>
          <w:lang w:val="ro-RO"/>
        </w:rPr>
      </w:pPr>
    </w:p>
    <w:p w14:paraId="6B7EA5C7" w14:textId="17CEC30D" w:rsidR="009E66AD" w:rsidRPr="0096633F" w:rsidRDefault="0096633F" w:rsidP="0096633F">
      <w:pPr>
        <w:pStyle w:val="Heading1"/>
        <w:numPr>
          <w:ilvl w:val="0"/>
          <w:numId w:val="16"/>
        </w:numPr>
        <w:rPr>
          <w:rStyle w:val="BookTitle"/>
          <w:b/>
          <w:bCs/>
          <w:smallCaps w:val="0"/>
          <w:spacing w:val="0"/>
        </w:rPr>
      </w:pPr>
      <w:bookmarkStart w:id="2" w:name="_Toc290830238"/>
      <w:r w:rsidRPr="0096633F">
        <w:rPr>
          <w:rStyle w:val="BookTitle"/>
          <w:b/>
          <w:bCs/>
          <w:smallCaps w:val="0"/>
          <w:spacing w:val="0"/>
        </w:rPr>
        <w:t>Introducere</w:t>
      </w:r>
      <w:bookmarkEnd w:id="2"/>
    </w:p>
    <w:p w14:paraId="53E79D1A" w14:textId="77777777" w:rsidR="000C1E01" w:rsidRDefault="000C1E01" w:rsidP="000C1E01">
      <w:pPr>
        <w:spacing w:before="100" w:beforeAutospacing="1" w:after="100" w:afterAutospacing="1"/>
        <w:rPr>
          <w:lang w:val="ro-RO"/>
        </w:rPr>
      </w:pPr>
      <w:r>
        <w:rPr>
          <w:lang w:val="ro-RO"/>
        </w:rPr>
        <w:t>Impactul aderării României la Uniunea Europeană poate fi analizat din foarte multe perspective. Cele mai evidente sunt:</w:t>
      </w:r>
    </w:p>
    <w:p w14:paraId="7782CECD" w14:textId="77777777" w:rsidR="000C1E01" w:rsidRPr="002A6E32" w:rsidRDefault="000C1E01" w:rsidP="000C1E01">
      <w:pPr>
        <w:pStyle w:val="ListParagraph"/>
        <w:numPr>
          <w:ilvl w:val="0"/>
          <w:numId w:val="28"/>
        </w:numPr>
        <w:spacing w:before="100" w:beforeAutospacing="1" w:after="100" w:afterAutospacing="1"/>
        <w:rPr>
          <w:lang w:val="ro-RO"/>
        </w:rPr>
      </w:pPr>
      <w:r w:rsidRPr="002A6E32">
        <w:rPr>
          <w:lang w:val="ro-RO"/>
        </w:rPr>
        <w:t>Modificarea cadrului de reglementare. România a trebuit să își armonizeze legislația la normele europene</w:t>
      </w:r>
    </w:p>
    <w:p w14:paraId="70447EF0" w14:textId="77777777" w:rsidR="000C1E01" w:rsidRDefault="000C1E01" w:rsidP="000C1E01">
      <w:pPr>
        <w:pStyle w:val="ListParagraph"/>
        <w:numPr>
          <w:ilvl w:val="0"/>
          <w:numId w:val="28"/>
        </w:numPr>
        <w:spacing w:before="100" w:beforeAutospacing="1" w:after="100" w:afterAutospacing="1"/>
        <w:rPr>
          <w:lang w:val="ro-RO"/>
        </w:rPr>
      </w:pPr>
      <w:r w:rsidRPr="002A6E32">
        <w:rPr>
          <w:lang w:val="ro-RO"/>
        </w:rPr>
        <w:t xml:space="preserve">Modificarea instituțiilor și a politicilor naționale. Au fost definite instituții noi (de exemplu Avocatul Poporului, Consiliul Concurenței, etc.) </w:t>
      </w:r>
      <w:r>
        <w:rPr>
          <w:lang w:val="ro-RO"/>
        </w:rPr>
        <w:t>precum și politici naționale specifice abordărilor europene (politica de dezvoltare regională, politica agricolă)</w:t>
      </w:r>
    </w:p>
    <w:p w14:paraId="0EC6AFC2" w14:textId="77777777" w:rsidR="000C1E01" w:rsidRDefault="000C1E01" w:rsidP="000C1E01">
      <w:pPr>
        <w:pStyle w:val="ListParagraph"/>
        <w:numPr>
          <w:ilvl w:val="0"/>
          <w:numId w:val="28"/>
        </w:numPr>
        <w:spacing w:before="100" w:beforeAutospacing="1" w:after="100" w:afterAutospacing="1"/>
        <w:rPr>
          <w:lang w:val="ro-RO"/>
        </w:rPr>
      </w:pPr>
      <w:r>
        <w:rPr>
          <w:lang w:val="ro-RO"/>
        </w:rPr>
        <w:t>Disponibilitatea unor surse de finanțare noi, extrem de importante din punct de vdere strategic și al dimensiunii financiare, dar care pentru a fi accesate presupun mecanisme noi de implementare, monitorizare și control</w:t>
      </w:r>
    </w:p>
    <w:p w14:paraId="77514E9C" w14:textId="77777777" w:rsidR="000C1E01" w:rsidRPr="002A6E32" w:rsidRDefault="000C1E01" w:rsidP="000C1E01">
      <w:pPr>
        <w:pStyle w:val="ListParagraph"/>
        <w:numPr>
          <w:ilvl w:val="0"/>
          <w:numId w:val="28"/>
        </w:numPr>
        <w:spacing w:before="100" w:beforeAutospacing="1" w:after="100" w:afterAutospacing="1"/>
        <w:rPr>
          <w:lang w:val="ro-RO"/>
        </w:rPr>
      </w:pPr>
      <w:r>
        <w:rPr>
          <w:lang w:val="ro-RO"/>
        </w:rPr>
        <w:t xml:space="preserve">Modificări sociale. În special prin libera circulație a persoanelor, prin schimburile și colaborările realzate între Statele Membre, au fost </w:t>
      </w:r>
      <w:r>
        <w:rPr>
          <w:lang w:val="ro-RO"/>
        </w:rPr>
        <w:lastRenderedPageBreak/>
        <w:t xml:space="preserve">determinate o serie de schimbări importante în mentalitatea publică și în abordările și așteptările societății Românești. </w:t>
      </w:r>
    </w:p>
    <w:p w14:paraId="0541AC2A" w14:textId="77777777" w:rsidR="000C1E01" w:rsidRDefault="000C1E01" w:rsidP="000C1E01">
      <w:pPr>
        <w:spacing w:before="100" w:beforeAutospacing="1" w:after="100" w:afterAutospacing="1"/>
        <w:rPr>
          <w:lang w:val="ro-RO"/>
        </w:rPr>
      </w:pPr>
      <w:r>
        <w:rPr>
          <w:lang w:val="ro-RO"/>
        </w:rPr>
        <w:t xml:space="preserve">A analiza doar aceste aspecte ale schimbărilor determinate de aderarea la Uniunea Europeană și ar fi un efort extrem de complex și multidiscipilinar, ceea ce ar excede scopul acestui articol. </w:t>
      </w:r>
    </w:p>
    <w:p w14:paraId="4376738A" w14:textId="77777777" w:rsidR="000C1E01" w:rsidRDefault="000C1E01" w:rsidP="000C1E01">
      <w:pPr>
        <w:spacing w:before="100" w:beforeAutospacing="1" w:after="100" w:afterAutospacing="1"/>
        <w:rPr>
          <w:lang w:val="ro-RO"/>
        </w:rPr>
      </w:pPr>
      <w:r>
        <w:rPr>
          <w:lang w:val="ro-RO"/>
        </w:rPr>
        <w:t>În cotinuare o să ne limităm la două planuri ale schimbărilor determinate în societatea românească de aderarea la Uniunea Europeană:</w:t>
      </w:r>
    </w:p>
    <w:p w14:paraId="323B5C63" w14:textId="77777777" w:rsidR="000C1E01" w:rsidRPr="000C1E01" w:rsidRDefault="000C1E01" w:rsidP="000C1E01">
      <w:pPr>
        <w:pStyle w:val="ListParagraph"/>
        <w:numPr>
          <w:ilvl w:val="0"/>
          <w:numId w:val="29"/>
        </w:numPr>
        <w:spacing w:before="100" w:beforeAutospacing="1" w:after="100" w:afterAutospacing="1"/>
        <w:rPr>
          <w:lang w:val="ro-RO"/>
        </w:rPr>
      </w:pPr>
      <w:r w:rsidRPr="000C1E01">
        <w:rPr>
          <w:lang w:val="ro-RO"/>
        </w:rPr>
        <w:t>Schimbările cadrului de reglementare</w:t>
      </w:r>
    </w:p>
    <w:p w14:paraId="2A5400FB" w14:textId="77777777" w:rsidR="000C1E01" w:rsidRPr="000C1E01" w:rsidRDefault="000C1E01" w:rsidP="000C1E01">
      <w:pPr>
        <w:pStyle w:val="ListParagraph"/>
        <w:numPr>
          <w:ilvl w:val="0"/>
          <w:numId w:val="29"/>
        </w:numPr>
        <w:spacing w:before="100" w:beforeAutospacing="1" w:after="100" w:afterAutospacing="1"/>
        <w:rPr>
          <w:lang w:val="ro-RO"/>
        </w:rPr>
      </w:pPr>
      <w:r w:rsidRPr="000C1E01">
        <w:rPr>
          <w:lang w:val="ro-RO"/>
        </w:rPr>
        <w:t>Finanțările disponibile pentru companii mici și mijlocii</w:t>
      </w:r>
    </w:p>
    <w:p w14:paraId="73B66DCE" w14:textId="77777777" w:rsidR="000C1E01" w:rsidRDefault="000C1E01" w:rsidP="000C1E01">
      <w:pPr>
        <w:spacing w:before="100" w:beforeAutospacing="1" w:after="100" w:afterAutospacing="1"/>
        <w:rPr>
          <w:lang w:val="ro-RO"/>
        </w:rPr>
      </w:pPr>
      <w:r>
        <w:rPr>
          <w:lang w:val="ro-RO"/>
        </w:rPr>
        <w:t xml:space="preserve">Din punct de vdere al domeniului de activitate analizat o să analizăm domeniul Tehnologiilor Informaționale și de Comunicații (TIC) unul din cele mai dinamice sectoare de activitate la nivel global dar și unul din sectoarele considerate a reprezenta un potențial deosebit pentru sprijinirea dezvoltării României pe termen mediu și lung. </w:t>
      </w:r>
    </w:p>
    <w:p w14:paraId="389F62C2" w14:textId="77777777" w:rsidR="000C1E01" w:rsidRDefault="000C1E01" w:rsidP="007C57F5">
      <w:pPr>
        <w:spacing w:before="100" w:beforeAutospacing="1" w:after="100" w:afterAutospacing="1"/>
        <w:rPr>
          <w:lang w:val="ro-RO"/>
        </w:rPr>
      </w:pPr>
    </w:p>
    <w:p w14:paraId="559C8E1B" w14:textId="22EEB859" w:rsidR="000C1E01" w:rsidRPr="000C1E01" w:rsidRDefault="000C1E01" w:rsidP="000C1E01">
      <w:pPr>
        <w:pStyle w:val="Heading1"/>
        <w:numPr>
          <w:ilvl w:val="0"/>
          <w:numId w:val="16"/>
        </w:numPr>
        <w:rPr>
          <w:rStyle w:val="BookTitle"/>
          <w:spacing w:val="0"/>
        </w:rPr>
      </w:pPr>
      <w:bookmarkStart w:id="3" w:name="_Toc290830239"/>
      <w:r w:rsidRPr="000C1E01">
        <w:rPr>
          <w:rStyle w:val="BookTitle"/>
          <w:spacing w:val="0"/>
        </w:rPr>
        <w:t>Principalele repere ale aderării României la Uniunea Europeană</w:t>
      </w:r>
      <w:bookmarkEnd w:id="3"/>
    </w:p>
    <w:p w14:paraId="74AAA55F" w14:textId="138DCB15" w:rsidR="009E66AD" w:rsidRDefault="009E66AD" w:rsidP="007C57F5">
      <w:pPr>
        <w:spacing w:before="100" w:beforeAutospacing="1" w:after="100" w:afterAutospacing="1"/>
        <w:rPr>
          <w:lang w:val="ro-RO"/>
        </w:rPr>
      </w:pPr>
      <w:r>
        <w:rPr>
          <w:lang w:val="ro-RO"/>
        </w:rPr>
        <w:t>Din punct de vedere legal, aderarea României la Uniunea Europ</w:t>
      </w:r>
      <w:r w:rsidR="00022FE1">
        <w:rPr>
          <w:lang w:val="ro-RO"/>
        </w:rPr>
        <w:t>eană a început odată cu semnare</w:t>
      </w:r>
      <w:r>
        <w:rPr>
          <w:lang w:val="ro-RO"/>
        </w:rPr>
        <w:t>a</w:t>
      </w:r>
      <w:r w:rsidR="00022FE1">
        <w:rPr>
          <w:lang w:val="ro-RO"/>
        </w:rPr>
        <w:t xml:space="preserve"> </w:t>
      </w:r>
      <w:r>
        <w:rPr>
          <w:lang w:val="ro-RO"/>
        </w:rPr>
        <w:t>la 01 februarie 1993 a Acordului de Asociere a României la Uniunea Europeană.  Acest document a fost ratificat de parlamentele tuturor Statelor Membre ale Uniunii</w:t>
      </w:r>
      <w:r w:rsidR="00022FE1">
        <w:rPr>
          <w:lang w:val="ro-RO"/>
        </w:rPr>
        <w:t xml:space="preserve"> E</w:t>
      </w:r>
      <w:r>
        <w:rPr>
          <w:lang w:val="ro-RO"/>
        </w:rPr>
        <w:t xml:space="preserve">uropene, precum și de Parlamentul României și a intrat în vigoare doi ani mai târziu, la 01 februarie 1995. </w:t>
      </w:r>
    </w:p>
    <w:p w14:paraId="519724DF" w14:textId="77777777" w:rsidR="009E66AD" w:rsidRDefault="009E66AD" w:rsidP="007C57F5">
      <w:pPr>
        <w:spacing w:before="100" w:beforeAutospacing="1" w:after="100" w:afterAutospacing="1"/>
        <w:rPr>
          <w:lang w:val="ro-RO"/>
        </w:rPr>
      </w:pPr>
      <w:r>
        <w:rPr>
          <w:lang w:val="ro-RO"/>
        </w:rPr>
        <w:t xml:space="preserve">Odată cu intrarea în vigoare a Acordului de Asociere </w:t>
      </w:r>
      <w:r w:rsidR="007C57F5">
        <w:rPr>
          <w:lang w:val="ro-RO"/>
        </w:rPr>
        <w:t xml:space="preserve">România a fost eligibilă să solicite aderarea la Uniunea Europeană. A depus această cerere de aderare în iunie 1995. </w:t>
      </w:r>
    </w:p>
    <w:p w14:paraId="2E6E667D" w14:textId="41B4AF2F" w:rsidR="009E66AD" w:rsidRDefault="007C57F5" w:rsidP="007C57F5">
      <w:pPr>
        <w:spacing w:before="100" w:beforeAutospacing="1" w:after="100" w:afterAutospacing="1"/>
        <w:rPr>
          <w:lang w:val="ro-RO"/>
        </w:rPr>
      </w:pPr>
      <w:r>
        <w:rPr>
          <w:lang w:val="ro-RO"/>
        </w:rPr>
        <w:t>În decembrie 1999 la Helsinki Consiliul European decide începerea negocierilor de aderare cu România și cu alte cinci țări candidate. În f</w:t>
      </w:r>
      <w:r w:rsidRPr="007C57F5">
        <w:rPr>
          <w:lang w:val="ro-RO"/>
        </w:rPr>
        <w:t xml:space="preserve">ebruarie </w:t>
      </w:r>
      <w:r w:rsidR="00093C9D">
        <w:rPr>
          <w:lang w:val="ro-RO"/>
        </w:rPr>
        <w:t>2000, î</w:t>
      </w:r>
      <w:r w:rsidRPr="007C57F5">
        <w:rPr>
          <w:lang w:val="ro-RO"/>
        </w:rPr>
        <w:t xml:space="preserve">n cadrul reuniunii Consiliului UE pentru Afaceri Generale, </w:t>
      </w:r>
      <w:r w:rsidR="00093C9D">
        <w:rPr>
          <w:lang w:val="ro-RO"/>
        </w:rPr>
        <w:t xml:space="preserve">reuniune </w:t>
      </w:r>
      <w:r w:rsidRPr="007C57F5">
        <w:rPr>
          <w:lang w:val="ro-RO"/>
        </w:rPr>
        <w:t>dedicată lansării Conferinţei Interguvernamentale, are loc deschiderea oficială a negocierilor de aderare a României</w:t>
      </w:r>
      <w:r w:rsidR="00093C9D">
        <w:rPr>
          <w:lang w:val="ro-RO"/>
        </w:rPr>
        <w:t xml:space="preserve">. </w:t>
      </w:r>
    </w:p>
    <w:p w14:paraId="5C5E9D54" w14:textId="005A7765" w:rsidR="00093C9D" w:rsidRDefault="00093C9D" w:rsidP="00093C9D">
      <w:pPr>
        <w:spacing w:before="100" w:beforeAutospacing="1" w:after="100" w:afterAutospacing="1"/>
        <w:rPr>
          <w:lang w:val="ro-RO"/>
        </w:rPr>
      </w:pPr>
      <w:r>
        <w:rPr>
          <w:lang w:val="ro-RO"/>
        </w:rPr>
        <w:t>A urmat o perioadă de negociere între România și Statele Membre ale Uniunii Eur</w:t>
      </w:r>
      <w:r w:rsidR="00022FE1">
        <w:rPr>
          <w:lang w:val="ro-RO"/>
        </w:rPr>
        <w:t>opene. Negocierile s-au purtat p</w:t>
      </w:r>
      <w:r>
        <w:rPr>
          <w:lang w:val="ro-RO"/>
        </w:rPr>
        <w:t xml:space="preserve">e capitole de negociere, fiecare capitol </w:t>
      </w:r>
      <w:r w:rsidR="00022FE1">
        <w:rPr>
          <w:lang w:val="ro-RO"/>
        </w:rPr>
        <w:t>reprezentând câte un domeniu re</w:t>
      </w:r>
      <w:r>
        <w:rPr>
          <w:lang w:val="ro-RO"/>
        </w:rPr>
        <w:t xml:space="preserve">glementat la nivel european. </w:t>
      </w:r>
    </w:p>
    <w:p w14:paraId="34C68A24" w14:textId="61960823" w:rsidR="00093C9D" w:rsidRDefault="00093C9D" w:rsidP="00093C9D">
      <w:pPr>
        <w:spacing w:before="100" w:beforeAutospacing="1" w:after="100" w:afterAutospacing="1"/>
        <w:rPr>
          <w:lang w:val="ro-RO"/>
        </w:rPr>
      </w:pPr>
      <w:r>
        <w:rPr>
          <w:lang w:val="ro-RO"/>
        </w:rPr>
        <w:t xml:space="preserve">În </w:t>
      </w:r>
      <w:r w:rsidRPr="00093C9D">
        <w:rPr>
          <w:lang w:val="ro-RO"/>
        </w:rPr>
        <w:t xml:space="preserve">7 decembrie </w:t>
      </w:r>
      <w:r>
        <w:rPr>
          <w:lang w:val="ro-RO"/>
        </w:rPr>
        <w:t>2004</w:t>
      </w:r>
      <w:r w:rsidRPr="00093C9D">
        <w:rPr>
          <w:lang w:val="ro-RO"/>
        </w:rPr>
        <w:t xml:space="preserve"> la Consiliul European de la Bruxelles, România primeşte confirmarea politică a încheierii negocierilor de aderare la Uniunea Europeană</w:t>
      </w:r>
      <w:r>
        <w:rPr>
          <w:lang w:val="ro-RO"/>
        </w:rPr>
        <w:t xml:space="preserve">. Ca urmare în </w:t>
      </w:r>
      <w:r w:rsidRPr="00093C9D">
        <w:rPr>
          <w:lang w:val="ro-RO"/>
        </w:rPr>
        <w:t>13 aprilie</w:t>
      </w:r>
      <w:r>
        <w:rPr>
          <w:lang w:val="ro-RO"/>
        </w:rPr>
        <w:t xml:space="preserve"> 2005</w:t>
      </w:r>
      <w:r w:rsidRPr="00093C9D">
        <w:rPr>
          <w:lang w:val="ro-RO"/>
        </w:rPr>
        <w:t xml:space="preserve"> Parlamentul European dă undă verde aderării României şi Bulgariei la Uniunea Europeană</w:t>
      </w:r>
      <w:r w:rsidR="000B2ABA">
        <w:rPr>
          <w:lang w:val="ro-RO"/>
        </w:rPr>
        <w:t>,</w:t>
      </w:r>
      <w:r w:rsidR="00EC2CBC">
        <w:rPr>
          <w:lang w:val="ro-RO"/>
        </w:rPr>
        <w:t xml:space="preserve"> iar în 25 aprilie 2005</w:t>
      </w:r>
      <w:r w:rsidRPr="00093C9D">
        <w:rPr>
          <w:lang w:val="ro-RO"/>
        </w:rPr>
        <w:t xml:space="preserve"> în cadrul unei </w:t>
      </w:r>
      <w:r w:rsidRPr="00093C9D">
        <w:rPr>
          <w:lang w:val="ro-RO"/>
        </w:rPr>
        <w:lastRenderedPageBreak/>
        <w:t xml:space="preserve">ceremonii oficiale, desfăşurate la Abaţia de Neumunster din Luxemburg, </w:t>
      </w:r>
      <w:r w:rsidR="00EC2CBC">
        <w:rPr>
          <w:lang w:val="ro-RO"/>
        </w:rPr>
        <w:t>este semnat</w:t>
      </w:r>
      <w:r w:rsidRPr="00093C9D">
        <w:rPr>
          <w:lang w:val="ro-RO"/>
        </w:rPr>
        <w:t xml:space="preserve"> Tratatul de Aderare la Uniunea Europeană</w:t>
      </w:r>
      <w:r w:rsidR="00EC2CBC">
        <w:rPr>
          <w:lang w:val="ro-RO"/>
        </w:rPr>
        <w:t>.</w:t>
      </w:r>
    </w:p>
    <w:p w14:paraId="3FAE4CC3" w14:textId="144A97D6" w:rsidR="00EC2CBC" w:rsidRDefault="003B0604" w:rsidP="00093C9D">
      <w:pPr>
        <w:spacing w:before="100" w:beforeAutospacing="1" w:after="100" w:afterAutospacing="1"/>
        <w:rPr>
          <w:lang w:val="ro-RO"/>
        </w:rPr>
      </w:pPr>
      <w:r w:rsidRPr="00895084">
        <w:rPr>
          <w:lang w:val="ro-RO"/>
        </w:rPr>
        <w:t xml:space="preserve">La finalul acestui proces extrem de complex si cu implicații multiple, România </w:t>
      </w:r>
      <w:r w:rsidR="000B2ABA" w:rsidRPr="00895084">
        <w:rPr>
          <w:lang w:val="ro-RO"/>
        </w:rPr>
        <w:t>a devenit de la 01 ianuarie 2007</w:t>
      </w:r>
      <w:r w:rsidRPr="00895084">
        <w:rPr>
          <w:lang w:val="ro-RO"/>
        </w:rPr>
        <w:t xml:space="preserve"> unul din cele 27 de State Membre ale Uniunii Europene.</w:t>
      </w:r>
      <w:r>
        <w:rPr>
          <w:lang w:val="ro-RO"/>
        </w:rPr>
        <w:t xml:space="preserve"> Ca urmare a negocierilor purtate în perioade de pre-aderare, au existrat unele reglementări care au fost suspendate pentru Rom</w:t>
      </w:r>
      <w:r w:rsidR="000B2ABA">
        <w:rPr>
          <w:lang w:val="ro-RO"/>
        </w:rPr>
        <w:t>â</w:t>
      </w:r>
      <w:r>
        <w:rPr>
          <w:lang w:val="ro-RO"/>
        </w:rPr>
        <w:t>nia în relația cu Uniunea Europeană sau cu celelalte State membre pentru o perioadă limitată. Perioada maximă de suspendare a fost de 7 ani, cu dreptul ca în cazuri extrem de limitate și bine justificate să se poată negocia extinderi de maxim 3 ani. Din informațiile publice disponibile în momentul redactării prezentului materia</w:t>
      </w:r>
      <w:r w:rsidR="00747944">
        <w:rPr>
          <w:lang w:val="ro-RO"/>
        </w:rPr>
        <w:t xml:space="preserve">l nicio astfel de situație nu există. Perioadele de tranziție, perioade în care există excepții de la aplicarea unor reglementări comunitare, au fost convenite pentru domeniile nevralgice, unde a existat un dezechilibru în momentul aderării și se estima ca după o anumită perioadă acel dezechilibru să se </w:t>
      </w:r>
      <w:r w:rsidR="000B2ABA">
        <w:rPr>
          <w:lang w:val="ro-RO"/>
        </w:rPr>
        <w:t>finalizeze.</w:t>
      </w:r>
      <w:r w:rsidR="009711A8">
        <w:rPr>
          <w:lang w:val="ro-RO"/>
        </w:rPr>
        <w:t xml:space="preserve"> Cele mai mediatizate domenii au fost cele ale libertății de circulație a persoanelor (cetățenii Ro</w:t>
      </w:r>
      <w:r w:rsidR="000B2ABA">
        <w:rPr>
          <w:lang w:val="ro-RO"/>
        </w:rPr>
        <w:t>mâniei au avut drepturi limitat</w:t>
      </w:r>
      <w:r w:rsidR="009711A8">
        <w:rPr>
          <w:lang w:val="ro-RO"/>
        </w:rPr>
        <w:t>e</w:t>
      </w:r>
      <w:r w:rsidR="000B2ABA">
        <w:rPr>
          <w:lang w:val="ro-RO"/>
        </w:rPr>
        <w:t xml:space="preserve"> </w:t>
      </w:r>
      <w:r w:rsidR="009711A8">
        <w:rPr>
          <w:lang w:val="ro-RO"/>
        </w:rPr>
        <w:t>în anumite țări membre ale UE) sau în tratarea în mod egal a cetățenilor tuturor Statelor Membre din punct de v</w:t>
      </w:r>
      <w:r w:rsidR="000B2ABA">
        <w:rPr>
          <w:lang w:val="ro-RO"/>
        </w:rPr>
        <w:t>e</w:t>
      </w:r>
      <w:r w:rsidR="009711A8">
        <w:rPr>
          <w:lang w:val="ro-RO"/>
        </w:rPr>
        <w:t>dere al drept</w:t>
      </w:r>
      <w:r w:rsidR="000B2ABA">
        <w:rPr>
          <w:lang w:val="ro-RO"/>
        </w:rPr>
        <w:t>urilor și obligațiilor, mai exa</w:t>
      </w:r>
      <w:r w:rsidR="009711A8">
        <w:rPr>
          <w:lang w:val="ro-RO"/>
        </w:rPr>
        <w:t>ct dreptul cetățenilor altor State Membre ale UE de a deține terenuri în România.</w:t>
      </w:r>
    </w:p>
    <w:p w14:paraId="1CC3ABD6" w14:textId="77777777" w:rsidR="009711A8" w:rsidRDefault="009711A8" w:rsidP="00093C9D">
      <w:pPr>
        <w:spacing w:before="100" w:beforeAutospacing="1" w:after="100" w:afterAutospacing="1"/>
        <w:rPr>
          <w:lang w:val="ro-RO"/>
        </w:rPr>
      </w:pPr>
    </w:p>
    <w:p w14:paraId="19A3DFCD" w14:textId="12225C17" w:rsidR="009711A8" w:rsidRPr="006A5D86" w:rsidRDefault="0072401A" w:rsidP="006A5D86">
      <w:pPr>
        <w:pStyle w:val="Heading1"/>
        <w:rPr>
          <w:rStyle w:val="BookTitle"/>
          <w:b/>
          <w:bCs/>
          <w:smallCaps w:val="0"/>
          <w:spacing w:val="0"/>
        </w:rPr>
      </w:pPr>
      <w:bookmarkStart w:id="4" w:name="_Toc290830240"/>
      <w:r w:rsidRPr="006A5D86">
        <w:rPr>
          <w:rStyle w:val="BookTitle"/>
          <w:b/>
          <w:bCs/>
          <w:smallCaps w:val="0"/>
          <w:spacing w:val="0"/>
        </w:rPr>
        <w:t>Importanța sectorului TIC și inițiative internaționale relevante pentru acest domeniu</w:t>
      </w:r>
      <w:bookmarkEnd w:id="4"/>
    </w:p>
    <w:p w14:paraId="3ECD71A5" w14:textId="77777777" w:rsidR="001564F9" w:rsidRDefault="009711A8" w:rsidP="00093C9D">
      <w:pPr>
        <w:spacing w:before="100" w:beforeAutospacing="1" w:after="100" w:afterAutospacing="1"/>
        <w:rPr>
          <w:lang w:val="ro-RO"/>
        </w:rPr>
      </w:pPr>
      <w:r>
        <w:rPr>
          <w:lang w:val="ro-RO"/>
        </w:rPr>
        <w:t xml:space="preserve">Unul din cele mai puternice efecte ale aderării României la Uniunea Europeană este cel asupra economiei Românești. </w:t>
      </w:r>
    </w:p>
    <w:p w14:paraId="6A8DAD4B" w14:textId="00457643" w:rsidR="009711A8" w:rsidRPr="001564F9" w:rsidRDefault="001564F9" w:rsidP="00093C9D">
      <w:pPr>
        <w:spacing w:before="100" w:beforeAutospacing="1" w:after="100" w:afterAutospacing="1"/>
        <w:rPr>
          <w:lang w:val="ro-RO"/>
        </w:rPr>
      </w:pPr>
      <w:r>
        <w:rPr>
          <w:lang w:val="ro-RO"/>
        </w:rPr>
        <w:t xml:space="preserve">Conform regulilor comunitare, dezvoltarea țării trebuie să urmeze niște priorități și să aibă un plan de acțiune. Aceste lucruri s-au materializat prin Planul Național de Dezvoltare 2007 – 2013, document elaborat și asumat de Guvernul României prin adoptarea unei Hotărâri de Guvern. </w:t>
      </w:r>
      <w:r w:rsidR="009711A8">
        <w:t>“</w:t>
      </w:r>
      <w:r w:rsidRPr="001564F9">
        <w:t>Planul Naţional de Dezvoltare (PND) este instrumentul fundamental prin care România va încerca să recupereze cât mai rapid disparităţile de dezvoltare socio-economică faţă de Uniunea Europeană. PND este un concept specific politicii europene de coeziune economică şi socială (Cohesion Policy) şi reprezintă documentul de planificare strategică şi programare financiară multianuală, elaborat într-un larg parteneriat, care va orienta şi stimula dezvoltarea socio-economică a României în conformitate cu Politica de Coeziune a Uniunii Europene.</w:t>
      </w:r>
      <w:r w:rsidR="009711A8">
        <w:t>”</w:t>
      </w:r>
      <w:r>
        <w:t xml:space="preserve"> </w:t>
      </w:r>
      <w:sdt>
        <w:sdtPr>
          <w:id w:val="200220216"/>
          <w:citation/>
        </w:sdtPr>
        <w:sdtContent>
          <w:r>
            <w:fldChar w:fldCharType="begin"/>
          </w:r>
          <w:r w:rsidR="00AC4412">
            <w:rPr>
              <w:rFonts w:ascii="Times New Roman" w:hAnsi="Times New Roman"/>
              <w:lang w:val="ro-RO"/>
            </w:rPr>
            <w:instrText xml:space="preserve">CITATION Guv06 \l 1048 </w:instrText>
          </w:r>
          <w:r>
            <w:fldChar w:fldCharType="separate"/>
          </w:r>
          <w:r w:rsidR="00AC4412" w:rsidRPr="00AC4412">
            <w:rPr>
              <w:rFonts w:ascii="Times New Roman" w:hAnsi="Times New Roman"/>
              <w:noProof/>
              <w:lang w:val="ro-RO"/>
            </w:rPr>
            <w:t>(Guvernul României, 2006)</w:t>
          </w:r>
          <w:r>
            <w:fldChar w:fldCharType="end"/>
          </w:r>
        </w:sdtContent>
      </w:sdt>
      <w:r>
        <w:t>.</w:t>
      </w:r>
    </w:p>
    <w:p w14:paraId="583DF4BB" w14:textId="191003E5" w:rsidR="001564F9" w:rsidRDefault="001564F9" w:rsidP="00093C9D">
      <w:pPr>
        <w:spacing w:before="100" w:beforeAutospacing="1" w:after="100" w:afterAutospacing="1"/>
        <w:rPr>
          <w:lang w:val="ro-RO"/>
        </w:rPr>
      </w:pPr>
      <w:r>
        <w:rPr>
          <w:lang w:val="ro-RO"/>
        </w:rPr>
        <w:t xml:space="preserve">Conform Planului Național de Dezvoltare 2007 – 2013, principalul obiectiv stabilit de România în acel moment, obiectiv ce țara noastră și-a propus să îl atingă </w:t>
      </w:r>
      <w:r w:rsidR="00A523A2">
        <w:rPr>
          <w:lang w:val="ro-RO"/>
        </w:rPr>
        <w:t xml:space="preserve">la finalul anului 2013, a fost de a atinge un nivel al Produsului Intern Brut (PIB) ce să reprezinte cel puțin 40% din nivelul PIB al EU-25 (Statele Membre ale </w:t>
      </w:r>
      <w:r w:rsidR="00A523A2" w:rsidRPr="00895084">
        <w:rPr>
          <w:lang w:val="ro-RO"/>
        </w:rPr>
        <w:t>Uniunii Europene anterior datei de 01 ianuarie 2007). În momentul elaborăr</w:t>
      </w:r>
      <w:r w:rsidR="000B2ABA" w:rsidRPr="00895084">
        <w:rPr>
          <w:lang w:val="ro-RO"/>
        </w:rPr>
        <w:t xml:space="preserve">ii </w:t>
      </w:r>
      <w:r w:rsidR="000B2ABA" w:rsidRPr="00895084">
        <w:rPr>
          <w:lang w:val="ro-RO"/>
        </w:rPr>
        <w:lastRenderedPageBreak/>
        <w:t>PND 2007 – 2013 nivelul PIB al R</w:t>
      </w:r>
      <w:r w:rsidR="00A523A2" w:rsidRPr="00895084">
        <w:rPr>
          <w:lang w:val="ro-RO"/>
        </w:rPr>
        <w:t>omân</w:t>
      </w:r>
      <w:r w:rsidR="000B2ABA" w:rsidRPr="00895084">
        <w:rPr>
          <w:lang w:val="ro-RO"/>
        </w:rPr>
        <w:t>iei</w:t>
      </w:r>
      <w:r w:rsidR="00A523A2" w:rsidRPr="00895084">
        <w:rPr>
          <w:lang w:val="ro-RO"/>
        </w:rPr>
        <w:t xml:space="preserve"> era de apr</w:t>
      </w:r>
      <w:r w:rsidR="000B2ABA" w:rsidRPr="00895084">
        <w:rPr>
          <w:lang w:val="ro-RO"/>
        </w:rPr>
        <w:t>o</w:t>
      </w:r>
      <w:r w:rsidR="00A523A2" w:rsidRPr="00895084">
        <w:rPr>
          <w:lang w:val="ro-RO"/>
        </w:rPr>
        <w:t>ximativ 3,2 ori mai mic decât cel atins de UE-25.</w:t>
      </w:r>
      <w:r w:rsidR="00A523A2">
        <w:rPr>
          <w:lang w:val="ro-RO"/>
        </w:rPr>
        <w:t xml:space="preserve"> </w:t>
      </w:r>
    </w:p>
    <w:p w14:paraId="5BE285A5" w14:textId="77777777" w:rsidR="00A523A2" w:rsidRDefault="00A523A2" w:rsidP="00093C9D">
      <w:pPr>
        <w:spacing w:before="100" w:beforeAutospacing="1" w:after="100" w:afterAutospacing="1"/>
        <w:rPr>
          <w:lang w:val="ro-RO"/>
        </w:rPr>
      </w:pPr>
      <w:r>
        <w:rPr>
          <w:lang w:val="ro-RO"/>
        </w:rPr>
        <w:t>Importanța domeniului Tehnologiilor Informaționale și de Comunicații (TIC) în dezvoltarea României este dovedită</w:t>
      </w:r>
      <w:r w:rsidR="000D1554">
        <w:rPr>
          <w:lang w:val="ro-RO"/>
        </w:rPr>
        <w:t xml:space="preserve"> de includerea unui capitol special în Planul Național de Dezvoltare 2007 – 2013 (pag. 67 – 73) dedicat acestui domeniu. </w:t>
      </w:r>
    </w:p>
    <w:p w14:paraId="1C2DF15F" w14:textId="77777777" w:rsidR="00A523A2" w:rsidRDefault="00557A3E" w:rsidP="00093C9D">
      <w:pPr>
        <w:spacing w:before="100" w:beforeAutospacing="1" w:after="100" w:afterAutospacing="1"/>
        <w:rPr>
          <w:lang w:val="ro-RO"/>
        </w:rPr>
      </w:pPr>
      <w:r>
        <w:rPr>
          <w:lang w:val="ro-RO"/>
        </w:rPr>
        <w:t xml:space="preserve">Importanța TIC în dezvoltarea societății românești a fost recunoscută și de către alte instituții sau inițiative. Acest domeniu reprezintă un potențial motor de dezvoltare pentru societățile emergente, motor recunoscut la nivel mondial. De-a lungul timpului, în special după anul 2000, mai multe inițiative naționale și mondiale au existat în acest domeniu. </w:t>
      </w:r>
    </w:p>
    <w:p w14:paraId="17ABF76C" w14:textId="7878CBB4" w:rsidR="0072401A" w:rsidRDefault="0072401A" w:rsidP="00093C9D">
      <w:pPr>
        <w:spacing w:before="100" w:beforeAutospacing="1" w:after="100" w:afterAutospacing="1"/>
        <w:rPr>
          <w:lang w:val="ro-RO"/>
        </w:rPr>
      </w:pPr>
      <w:r>
        <w:rPr>
          <w:lang w:val="ro-RO"/>
        </w:rPr>
        <w:t>Au existat mai multe inițiative internaționale de utilizare a sectorului TIC în sprijinirea dezvoltării societății. Printre cele mai relevante putem menționa inițiativa Knowledge Economy a Băncii Mondiale / InfoDev</w:t>
      </w:r>
      <w:r w:rsidR="00DF5CCB">
        <w:rPr>
          <w:lang w:val="ro-RO"/>
        </w:rPr>
        <w:t>. Prin dezvoltarea și utilizarea conceptelor de Knowledge Economy / Economia Bazată pe Cunoaștere s-a încercat influențarea într-un mod consistent a dezvoltării societăților subdezvoltate sau în curs de dezvoltare. Utilizarea acestor concepte prezintă următoarele avantaje:</w:t>
      </w:r>
    </w:p>
    <w:p w14:paraId="2A78D464" w14:textId="25ADD69B" w:rsidR="00DF5CCB" w:rsidRDefault="00DF5CCB" w:rsidP="00DF5CCB">
      <w:pPr>
        <w:pStyle w:val="ListParagraph"/>
        <w:numPr>
          <w:ilvl w:val="0"/>
          <w:numId w:val="4"/>
        </w:numPr>
        <w:spacing w:before="100" w:beforeAutospacing="1" w:after="100" w:afterAutospacing="1"/>
        <w:rPr>
          <w:lang w:val="ro-RO"/>
        </w:rPr>
      </w:pPr>
      <w:r w:rsidRPr="00DF5CCB">
        <w:rPr>
          <w:lang w:val="ro-RO"/>
        </w:rPr>
        <w:t>Investițiile inițiale sunt mult mai mici comparativ, de exemplu, cu investițiile necesare într-un pro</w:t>
      </w:r>
      <w:r w:rsidR="000B2ABA">
        <w:rPr>
          <w:lang w:val="ro-RO"/>
        </w:rPr>
        <w:t>ie</w:t>
      </w:r>
      <w:r w:rsidRPr="00DF5CCB">
        <w:rPr>
          <w:lang w:val="ro-RO"/>
        </w:rPr>
        <w:t>ct de dezvoltare care implică o anumită infrastructură rutieră</w:t>
      </w:r>
    </w:p>
    <w:p w14:paraId="2EB0F105" w14:textId="77467146" w:rsidR="00DF5CCB" w:rsidRDefault="00DF5CCB" w:rsidP="00DF5CCB">
      <w:pPr>
        <w:pStyle w:val="ListParagraph"/>
        <w:numPr>
          <w:ilvl w:val="0"/>
          <w:numId w:val="4"/>
        </w:numPr>
        <w:spacing w:before="100" w:beforeAutospacing="1" w:after="100" w:afterAutospacing="1"/>
        <w:rPr>
          <w:lang w:val="ro-RO"/>
        </w:rPr>
      </w:pPr>
      <w:r>
        <w:rPr>
          <w:lang w:val="ro-RO"/>
        </w:rPr>
        <w:t>Pot fi sărite etape de dezvoltare. Nu este</w:t>
      </w:r>
      <w:r w:rsidR="000B2ABA">
        <w:rPr>
          <w:lang w:val="ro-RO"/>
        </w:rPr>
        <w:t xml:space="preserve"> </w:t>
      </w:r>
      <w:r>
        <w:rPr>
          <w:lang w:val="ro-RO"/>
        </w:rPr>
        <w:t>necesară parcurgerea tuturor pașilor tehnologici pentru a aju</w:t>
      </w:r>
      <w:r w:rsidR="000B2ABA">
        <w:rPr>
          <w:lang w:val="ro-RO"/>
        </w:rPr>
        <w:t>nge la un anumit nivel, se poat</w:t>
      </w:r>
      <w:r>
        <w:rPr>
          <w:lang w:val="ro-RO"/>
        </w:rPr>
        <w:t>e</w:t>
      </w:r>
      <w:r w:rsidR="000B2ABA">
        <w:rPr>
          <w:lang w:val="ro-RO"/>
        </w:rPr>
        <w:t xml:space="preserve"> </w:t>
      </w:r>
      <w:r>
        <w:rPr>
          <w:lang w:val="ro-RO"/>
        </w:rPr>
        <w:t>investi direct în ultimele tehnologii</w:t>
      </w:r>
    </w:p>
    <w:p w14:paraId="551B13C6" w14:textId="076ECA9C" w:rsidR="00DF5CCB" w:rsidRDefault="00DF5CCB" w:rsidP="00DF5CCB">
      <w:pPr>
        <w:pStyle w:val="ListParagraph"/>
        <w:numPr>
          <w:ilvl w:val="0"/>
          <w:numId w:val="4"/>
        </w:numPr>
        <w:spacing w:before="100" w:beforeAutospacing="1" w:after="100" w:afterAutospacing="1"/>
        <w:rPr>
          <w:lang w:val="ro-RO"/>
        </w:rPr>
      </w:pPr>
      <w:r>
        <w:rPr>
          <w:lang w:val="ro-RO"/>
        </w:rPr>
        <w:t>Prin utilizarea TIC este facilitată comunicarea între societăți, ceea ce determină o serie de dezvoltări și schmbări sociale și c</w:t>
      </w:r>
      <w:r w:rsidR="007B1605">
        <w:rPr>
          <w:lang w:val="ro-RO"/>
        </w:rPr>
        <w:t>omportamentale</w:t>
      </w:r>
    </w:p>
    <w:p w14:paraId="334149C9" w14:textId="2A585510" w:rsidR="00DF5CCB" w:rsidRDefault="00DF5CCB" w:rsidP="00DF5CCB">
      <w:pPr>
        <w:pStyle w:val="ListParagraph"/>
        <w:numPr>
          <w:ilvl w:val="0"/>
          <w:numId w:val="4"/>
        </w:numPr>
        <w:spacing w:before="100" w:beforeAutospacing="1" w:after="100" w:afterAutospacing="1"/>
        <w:rPr>
          <w:lang w:val="ro-RO"/>
        </w:rPr>
      </w:pPr>
      <w:r>
        <w:rPr>
          <w:lang w:val="ro-RO"/>
        </w:rPr>
        <w:t xml:space="preserve">Pentru foarte multe activități distanțele fizice dintre cel care are nevoie de un serviciu și cel care îi poate </w:t>
      </w:r>
      <w:r w:rsidR="007B1605">
        <w:rPr>
          <w:lang w:val="ro-RO"/>
        </w:rPr>
        <w:t>oferi un astfel de serviciu nu s</w:t>
      </w:r>
      <w:r>
        <w:rPr>
          <w:lang w:val="ro-RO"/>
        </w:rPr>
        <w:t>unt relevante și nu au un impact (inclusiv financiar) major</w:t>
      </w:r>
    </w:p>
    <w:p w14:paraId="0EA9F892" w14:textId="19C41437" w:rsidR="00DF5CCB" w:rsidRPr="00DF5CCB" w:rsidRDefault="00DF5CCB" w:rsidP="00DF5CCB">
      <w:pPr>
        <w:pStyle w:val="ListParagraph"/>
        <w:numPr>
          <w:ilvl w:val="0"/>
          <w:numId w:val="4"/>
        </w:numPr>
        <w:spacing w:before="100" w:beforeAutospacing="1" w:after="100" w:afterAutospacing="1"/>
        <w:rPr>
          <w:lang w:val="ro-RO"/>
        </w:rPr>
      </w:pPr>
      <w:r>
        <w:rPr>
          <w:lang w:val="ro-RO"/>
        </w:rPr>
        <w:t xml:space="preserve">Prin </w:t>
      </w:r>
      <w:r w:rsidR="007B1605">
        <w:rPr>
          <w:lang w:val="ro-RO"/>
        </w:rPr>
        <w:t>u</w:t>
      </w:r>
      <w:r>
        <w:rPr>
          <w:lang w:val="ro-RO"/>
        </w:rPr>
        <w:t>tilizarea noilor tehnologii crește eficiența proceselor educaționale (e-learning) dar și guvernamentale. Crește transparența actului guvernamental precum și capacitatea societății de a identifica și reacționa la acte antisociale, inclusiv la acte de corupție.</w:t>
      </w:r>
    </w:p>
    <w:p w14:paraId="2991889A" w14:textId="6A08E346" w:rsidR="00557A3E" w:rsidRDefault="00557A3E" w:rsidP="00093C9D">
      <w:pPr>
        <w:spacing w:before="100" w:beforeAutospacing="1" w:after="100" w:afterAutospacing="1"/>
        <w:rPr>
          <w:lang w:val="ro-RO"/>
        </w:rPr>
      </w:pPr>
      <w:r>
        <w:rPr>
          <w:lang w:val="ro-RO"/>
        </w:rPr>
        <w:t>Printre inițiativele naționale relevante putem menționa acțiunile Indiei, începute în 1995. India a decis să sprijine sectorul IT, chiar și în detrimentul altor sectoare. Au fost acordate facilități guvernamental</w:t>
      </w:r>
      <w:r w:rsidR="007B1605">
        <w:rPr>
          <w:lang w:val="ro-RO"/>
        </w:rPr>
        <w:t>e investițiilor în acest sector</w:t>
      </w:r>
      <w:r>
        <w:rPr>
          <w:lang w:val="ro-RO"/>
        </w:rPr>
        <w:t>, au fost reduse taxele, oferite servicii suport pentru companiile interesate, au fost derulate programe de promovare a sectorului IT din India. Învățământul de s</w:t>
      </w:r>
      <w:r w:rsidR="00652881">
        <w:rPr>
          <w:lang w:val="ro-RO"/>
        </w:rPr>
        <w:t xml:space="preserve">pecialitate a fost sprijinit prin toate formele posibile. Rezultatul a fost că o parte foarte mare a celor ce acționau sau utilizau acest sector și-au mutat cel puțin o parte a activității lor în India. Companii multinaționale precum HP, IBM și-au mutat centrele de servicii în India. A fost dezvoltată o întreagă industrie a call center-elor. Companii precum British Airlines asigurau asistența pentru clienții lor utilizând centre din India. Au fost dezvoltate nu numai centre de servicii sau pentru oferirea de sprijin ce nu presupunea cunoștințe de specialitate foarte </w:t>
      </w:r>
      <w:r w:rsidR="00652881">
        <w:rPr>
          <w:lang w:val="ro-RO"/>
        </w:rPr>
        <w:lastRenderedPageBreak/>
        <w:t xml:space="preserve">ridicate, dar și dezvoltarea de aplicații software. Toți marii actori din piața internațională a industriei software și-au mutat </w:t>
      </w:r>
      <w:r w:rsidR="007B1605">
        <w:rPr>
          <w:lang w:val="ro-RO"/>
        </w:rPr>
        <w:t xml:space="preserve">cel puțin </w:t>
      </w:r>
      <w:r w:rsidR="00652881">
        <w:rPr>
          <w:lang w:val="ro-RO"/>
        </w:rPr>
        <w:t xml:space="preserve">o parte a activității în India, dacă nu și-au mutat întreaga activitate acolo. </w:t>
      </w:r>
    </w:p>
    <w:p w14:paraId="4F325389" w14:textId="6818FDC5" w:rsidR="00652881" w:rsidRDefault="00652881" w:rsidP="00093C9D">
      <w:pPr>
        <w:spacing w:before="100" w:beforeAutospacing="1" w:after="100" w:afterAutospacing="1"/>
        <w:rPr>
          <w:lang w:val="ro-RO"/>
        </w:rPr>
      </w:pPr>
      <w:r>
        <w:rPr>
          <w:lang w:val="ro-RO"/>
        </w:rPr>
        <w:t xml:space="preserve">Această dezvoltare însă a fost una în discrepanță cu societatea. S-a ajuns la situația în care o clădire de sticlă </w:t>
      </w:r>
      <w:r w:rsidR="007B1605">
        <w:rPr>
          <w:lang w:val="ro-RO"/>
        </w:rPr>
        <w:t>de zeci de metri înălțime era si</w:t>
      </w:r>
      <w:r>
        <w:rPr>
          <w:lang w:val="ro-RO"/>
        </w:rPr>
        <w:t>tuată la o distanță foarte mică (căteva sute de metri) de un cartier sărac, plin de locuitori analfabeți, cu venituri foarte reduse, trăind îmtr-o sărăcie extremă. Aceste discrepanțe au generat probleme sociale foarte mari, conflicte ce au avut efecte atât asupra politicilor guvernamentale</w:t>
      </w:r>
      <w:r w:rsidR="007B1605">
        <w:rPr>
          <w:lang w:val="ro-RO"/>
        </w:rPr>
        <w:t>,</w:t>
      </w:r>
      <w:r>
        <w:rPr>
          <w:lang w:val="ro-RO"/>
        </w:rPr>
        <w:t xml:space="preserve"> cât și asupra calității serviciilor oferite de angajații centrelor de cost din India. </w:t>
      </w:r>
      <w:r w:rsidR="00B96A5F">
        <w:rPr>
          <w:lang w:val="ro-RO"/>
        </w:rPr>
        <w:t xml:space="preserve">Rezultatul a fost că acest mod de dezvoltare s-a dovedit a fi nesustenabil, fiind extrem de dificil (sau imposibil) să dezvolți o secțiune așa de mică dintr-o societate / economie, fără să ai și restul societății la un nivel apropiat de dezvoltare. </w:t>
      </w:r>
    </w:p>
    <w:p w14:paraId="13BF11F1" w14:textId="77777777" w:rsidR="0072401A" w:rsidRDefault="0072401A" w:rsidP="00093C9D">
      <w:pPr>
        <w:spacing w:before="100" w:beforeAutospacing="1" w:after="100" w:afterAutospacing="1"/>
        <w:rPr>
          <w:lang w:val="ro-RO"/>
        </w:rPr>
      </w:pPr>
    </w:p>
    <w:p w14:paraId="7D7D6063" w14:textId="59A46EC4" w:rsidR="0072401A" w:rsidRPr="006A5D86" w:rsidRDefault="0072401A" w:rsidP="006A5D86">
      <w:pPr>
        <w:pStyle w:val="Heading1"/>
        <w:rPr>
          <w:rStyle w:val="BookTitle"/>
          <w:b/>
          <w:bCs/>
          <w:smallCaps w:val="0"/>
          <w:spacing w:val="0"/>
        </w:rPr>
      </w:pPr>
      <w:bookmarkStart w:id="5" w:name="_Toc290830241"/>
      <w:r w:rsidRPr="006A5D86">
        <w:rPr>
          <w:rStyle w:val="BookTitle"/>
          <w:b/>
          <w:bCs/>
          <w:smallCaps w:val="0"/>
          <w:spacing w:val="0"/>
        </w:rPr>
        <w:t xml:space="preserve">Inițiative ale României în domeniul </w:t>
      </w:r>
      <w:r w:rsidR="0096633F">
        <w:rPr>
          <w:rStyle w:val="BookTitle"/>
          <w:b/>
          <w:bCs/>
          <w:smallCaps w:val="0"/>
          <w:spacing w:val="0"/>
        </w:rPr>
        <w:t xml:space="preserve">sprijinirii sectorului </w:t>
      </w:r>
      <w:r w:rsidRPr="006A5D86">
        <w:rPr>
          <w:rStyle w:val="BookTitle"/>
          <w:b/>
          <w:bCs/>
          <w:smallCaps w:val="0"/>
          <w:spacing w:val="0"/>
        </w:rPr>
        <w:t>TIC</w:t>
      </w:r>
      <w:bookmarkEnd w:id="5"/>
    </w:p>
    <w:p w14:paraId="58BB9592" w14:textId="35CE390E" w:rsidR="00B96A5F" w:rsidRDefault="0071197A" w:rsidP="00093C9D">
      <w:pPr>
        <w:spacing w:before="100" w:beforeAutospacing="1" w:after="100" w:afterAutospacing="1"/>
        <w:rPr>
          <w:lang w:val="ro-RO"/>
        </w:rPr>
      </w:pPr>
      <w:r>
        <w:rPr>
          <w:lang w:val="ro-RO"/>
        </w:rPr>
        <w:t>România a avut multe inițiative care se bazau pe dezvoltarea sectorului TIC. Unele s-au oprit însă la nivel declarativ sau de planuri ce au fost doar elab</w:t>
      </w:r>
      <w:r w:rsidR="00A05868">
        <w:rPr>
          <w:lang w:val="ro-RO"/>
        </w:rPr>
        <w:t>o</w:t>
      </w:r>
      <w:r>
        <w:rPr>
          <w:lang w:val="ro-RO"/>
        </w:rPr>
        <w:t xml:space="preserve">rate și publicate dar nu au ajuns niciodată să fie implementate. Au existat însă și inițiative ce și-au arătat rezultatele și au făcut ca sectorul TIC să fie una din locomotivele economiei românești, situându-se la un nivel de dezvoltare peste media europeană. </w:t>
      </w:r>
    </w:p>
    <w:p w14:paraId="0B3D5B21" w14:textId="70F3D47F" w:rsidR="00E42FE1" w:rsidRDefault="00E42FE1" w:rsidP="00093C9D">
      <w:pPr>
        <w:spacing w:before="100" w:beforeAutospacing="1" w:after="100" w:afterAutospacing="1"/>
        <w:rPr>
          <w:lang w:val="ro-RO"/>
        </w:rPr>
      </w:pPr>
      <w:r>
        <w:rPr>
          <w:lang w:val="ro-RO"/>
        </w:rPr>
        <w:t xml:space="preserve">Una din primele inițiative ce au sprijinit la modul general sectorul TIC în România a fost </w:t>
      </w:r>
      <w:r w:rsidR="00A05868">
        <w:rPr>
          <w:lang w:val="ro-RO"/>
        </w:rPr>
        <w:t xml:space="preserve">scutirea acordată la impozitul </w:t>
      </w:r>
      <w:r>
        <w:rPr>
          <w:lang w:val="ro-RO"/>
        </w:rPr>
        <w:t>p</w:t>
      </w:r>
      <w:r w:rsidR="00A05868">
        <w:rPr>
          <w:lang w:val="ro-RO"/>
        </w:rPr>
        <w:t>e</w:t>
      </w:r>
      <w:r>
        <w:rPr>
          <w:lang w:val="ro-RO"/>
        </w:rPr>
        <w:t xml:space="preserve"> salarii pentru angajații din acest domeniu, scutire adopatată în anul 2003. Similar, tot atunci au fost adă</w:t>
      </w:r>
      <w:r w:rsidR="00A05868">
        <w:rPr>
          <w:lang w:val="ro-RO"/>
        </w:rPr>
        <w:t>u</w:t>
      </w:r>
      <w:r>
        <w:rPr>
          <w:lang w:val="ro-RO"/>
        </w:rPr>
        <w:t xml:space="preserve">gate câteva activități economice din domeniul IT pe lista activităților pentru care persoanele fizice care oferă astfel de servicii pot opta pentru un impozit pe venit calculat pe baza unei norme de venit. Astfel impozitul pe venit pentru aceste persoane (care operează ca PFA) este plafonat la un nivel echivalent cu un salariu anual de 25.000 – 30.000 lei. </w:t>
      </w:r>
      <w:sdt>
        <w:sdtPr>
          <w:rPr>
            <w:lang w:val="ro-RO"/>
          </w:rPr>
          <w:id w:val="422851705"/>
          <w:citation/>
        </w:sdtPr>
        <w:sdtContent>
          <w:r w:rsidR="00D44CB4">
            <w:rPr>
              <w:lang w:val="ro-RO"/>
            </w:rPr>
            <w:fldChar w:fldCharType="begin"/>
          </w:r>
          <w:r w:rsidR="00D44CB4">
            <w:rPr>
              <w:rFonts w:ascii="Times New Roman" w:hAnsi="Times New Roman"/>
              <w:lang w:val="ro-RO"/>
            </w:rPr>
            <w:instrText xml:space="preserve"> CITATION Min14 \l 1048 </w:instrText>
          </w:r>
          <w:r w:rsidR="00D44CB4">
            <w:rPr>
              <w:lang w:val="ro-RO"/>
            </w:rPr>
            <w:fldChar w:fldCharType="separate"/>
          </w:r>
          <w:r w:rsidR="00D44CB4" w:rsidRPr="00D44CB4">
            <w:rPr>
              <w:rFonts w:ascii="Times New Roman" w:hAnsi="Times New Roman"/>
              <w:noProof/>
              <w:lang w:val="ro-RO"/>
            </w:rPr>
            <w:t>(Ministerul Finantelor Publice, 2014)</w:t>
          </w:r>
          <w:r w:rsidR="00D44CB4">
            <w:rPr>
              <w:lang w:val="ro-RO"/>
            </w:rPr>
            <w:fldChar w:fldCharType="end"/>
          </w:r>
        </w:sdtContent>
      </w:sdt>
      <w:r w:rsidR="00D44CB4">
        <w:rPr>
          <w:lang w:val="ro-RO"/>
        </w:rPr>
        <w:t xml:space="preserve">. </w:t>
      </w:r>
    </w:p>
    <w:p w14:paraId="124D5DCD" w14:textId="3FD0A0E4" w:rsidR="00D44CB4" w:rsidRDefault="0072401A" w:rsidP="00093C9D">
      <w:pPr>
        <w:spacing w:before="100" w:beforeAutospacing="1" w:after="100" w:afterAutospacing="1"/>
        <w:rPr>
          <w:lang w:val="ro-RO"/>
        </w:rPr>
      </w:pPr>
      <w:r>
        <w:rPr>
          <w:lang w:val="ro-RO"/>
        </w:rPr>
        <w:t xml:space="preserve">Și la nivelul programelor guvernamentale au fost inițiative importante pentru domeniul TIC din România. Una din cele mai importante inițiative de acest fel a fost Proiectul Economia Bazată pe Cunoaștere. Acest proiect a beneficiat de o fază pilot, în care au fost implicate 20 comunități locale, urmată de faza națională în care au fost implicate 255 comunități locale. </w:t>
      </w:r>
      <w:sdt>
        <w:sdtPr>
          <w:rPr>
            <w:lang w:val="ro-RO"/>
          </w:rPr>
          <w:id w:val="-539280298"/>
          <w:citation/>
        </w:sdtPr>
        <w:sdtContent>
          <w:r>
            <w:rPr>
              <w:lang w:val="ro-RO"/>
            </w:rPr>
            <w:fldChar w:fldCharType="begin"/>
          </w:r>
          <w:r w:rsidR="004C5CC4">
            <w:rPr>
              <w:rFonts w:ascii="Times New Roman" w:hAnsi="Times New Roman"/>
              <w:lang w:val="ro-RO"/>
            </w:rPr>
            <w:instrText xml:space="preserve">CITATION Min04 \l 1048 </w:instrText>
          </w:r>
          <w:r>
            <w:rPr>
              <w:lang w:val="ro-RO"/>
            </w:rPr>
            <w:fldChar w:fldCharType="separate"/>
          </w:r>
          <w:r w:rsidR="004C5CC4" w:rsidRPr="004C5CC4">
            <w:rPr>
              <w:rFonts w:ascii="Times New Roman" w:hAnsi="Times New Roman"/>
              <w:noProof/>
              <w:lang w:val="ro-RO"/>
            </w:rPr>
            <w:t>(Ministerul pentru Societatea Informațională, 2007)</w:t>
          </w:r>
          <w:r>
            <w:rPr>
              <w:lang w:val="ro-RO"/>
            </w:rPr>
            <w:fldChar w:fldCharType="end"/>
          </w:r>
        </w:sdtContent>
      </w:sdt>
      <w:r>
        <w:rPr>
          <w:lang w:val="ro-RO"/>
        </w:rPr>
        <w:t>. Proiectul a beneficiat de o finanțare asigurată printr-un împru</w:t>
      </w:r>
      <w:r w:rsidR="00A05868">
        <w:rPr>
          <w:lang w:val="ro-RO"/>
        </w:rPr>
        <w:t>mut de la Banca Mondială și faz</w:t>
      </w:r>
      <w:r>
        <w:rPr>
          <w:lang w:val="ro-RO"/>
        </w:rPr>
        <w:t>a</w:t>
      </w:r>
      <w:r w:rsidR="00A05868">
        <w:rPr>
          <w:lang w:val="ro-RO"/>
        </w:rPr>
        <w:t xml:space="preserve"> </w:t>
      </w:r>
      <w:r>
        <w:rPr>
          <w:lang w:val="ro-RO"/>
        </w:rPr>
        <w:t xml:space="preserve">pilot a fost lansată în anul 2004. </w:t>
      </w:r>
    </w:p>
    <w:p w14:paraId="51E48248" w14:textId="7408E516" w:rsidR="0072401A" w:rsidRDefault="00DF5CCB" w:rsidP="00093C9D">
      <w:pPr>
        <w:spacing w:before="100" w:beforeAutospacing="1" w:after="100" w:afterAutospacing="1"/>
        <w:rPr>
          <w:lang w:val="ro-RO"/>
        </w:rPr>
      </w:pPr>
      <w:r>
        <w:rPr>
          <w:lang w:val="ro-RO"/>
        </w:rPr>
        <w:t>În ultimii ani au existat mai mul</w:t>
      </w:r>
      <w:r w:rsidR="00895B2B">
        <w:rPr>
          <w:lang w:val="ro-RO"/>
        </w:rPr>
        <w:t xml:space="preserve">te inițiative ale Guvernului României pentru proiecte cu componente majore de TIC. Cele mai cunoscute sunt cele legate de Ministerul Educației Naționale (sistemul AEL implementat în școlile din România), de Casa Națională de Asigurări de Sănătate (proiecte privind cardul </w:t>
      </w:r>
      <w:r w:rsidR="00895B2B">
        <w:rPr>
          <w:lang w:val="ro-RO"/>
        </w:rPr>
        <w:lastRenderedPageBreak/>
        <w:t>electronic de sănătate, rețeta electronică), Casa Națională de Pensii P</w:t>
      </w:r>
      <w:r w:rsidR="00A05868">
        <w:rPr>
          <w:lang w:val="ro-RO"/>
        </w:rPr>
        <w:t>ublice sau Oficiul Național al R</w:t>
      </w:r>
      <w:r w:rsidR="00895B2B">
        <w:rPr>
          <w:lang w:val="ro-RO"/>
        </w:rPr>
        <w:t xml:space="preserve">egistrului Comerțului. </w:t>
      </w:r>
    </w:p>
    <w:p w14:paraId="09DD305B" w14:textId="2B3899B0" w:rsidR="00895B2B" w:rsidRDefault="00895B2B" w:rsidP="00093C9D">
      <w:pPr>
        <w:spacing w:before="100" w:beforeAutospacing="1" w:after="100" w:afterAutospacing="1"/>
        <w:rPr>
          <w:lang w:val="ro-RO"/>
        </w:rPr>
      </w:pPr>
      <w:r>
        <w:rPr>
          <w:lang w:val="ro-RO"/>
        </w:rPr>
        <w:t xml:space="preserve">Și pentru societățile comerciale au existat câteva inițiative din fonduri publice naționale. Cele mai importante sunt schemele de ajutor de stat instituite prin Hotărârea de Guvern 979 / 2012 sau Hotărârea de Guvern nr. 323 / 2014. Prin aceste scheme sunt acordate granturi (finanțări nerambursabile) pentru companiile care au o investiție </w:t>
      </w:r>
      <w:r w:rsidR="00557EFB">
        <w:rPr>
          <w:lang w:val="ro-RO"/>
        </w:rPr>
        <w:t>i</w:t>
      </w:r>
      <w:r>
        <w:rPr>
          <w:lang w:val="ro-RO"/>
        </w:rPr>
        <w:t xml:space="preserve">mportantă ce implică și TIC. </w:t>
      </w:r>
    </w:p>
    <w:p w14:paraId="5DBB251E" w14:textId="068A511B" w:rsidR="004808F0" w:rsidRDefault="004808F0" w:rsidP="00093C9D">
      <w:pPr>
        <w:spacing w:before="100" w:beforeAutospacing="1" w:after="100" w:afterAutospacing="1"/>
        <w:rPr>
          <w:lang w:val="ro-RO"/>
        </w:rPr>
      </w:pPr>
      <w:r>
        <w:rPr>
          <w:lang w:val="ro-RO"/>
        </w:rPr>
        <w:t>Un impact important l-au avut asupra domeniului TIC și inițiativele finanțate din fonduri private. Cea mai importantă (din punct de v</w:t>
      </w:r>
      <w:r w:rsidR="00CD29DF">
        <w:rPr>
          <w:lang w:val="ro-RO"/>
        </w:rPr>
        <w:t>e</w:t>
      </w:r>
      <w:r>
        <w:rPr>
          <w:lang w:val="ro-RO"/>
        </w:rPr>
        <w:t xml:space="preserve">dere financiar) este programul de informatizare a bibliotecilor, program finanțat de Fundația Bill and Melinda Gates. </w:t>
      </w:r>
    </w:p>
    <w:p w14:paraId="325B7D8F" w14:textId="77777777" w:rsidR="00895B2B" w:rsidRDefault="00895B2B" w:rsidP="00093C9D">
      <w:pPr>
        <w:spacing w:before="100" w:beforeAutospacing="1" w:after="100" w:afterAutospacing="1"/>
        <w:rPr>
          <w:lang w:val="ro-RO"/>
        </w:rPr>
      </w:pPr>
    </w:p>
    <w:p w14:paraId="63FF55CC" w14:textId="143A3796" w:rsidR="00895B2B" w:rsidRPr="006A5D86" w:rsidRDefault="00895B2B" w:rsidP="006A5D86">
      <w:pPr>
        <w:pStyle w:val="Heading1"/>
        <w:rPr>
          <w:rStyle w:val="BookTitle"/>
          <w:b/>
          <w:bCs/>
          <w:smallCaps w:val="0"/>
          <w:spacing w:val="0"/>
        </w:rPr>
      </w:pPr>
      <w:bookmarkStart w:id="6" w:name="_Toc290830242"/>
      <w:r w:rsidRPr="006A5D86">
        <w:rPr>
          <w:rStyle w:val="BookTitle"/>
          <w:b/>
          <w:bCs/>
          <w:smallCaps w:val="0"/>
          <w:spacing w:val="0"/>
        </w:rPr>
        <w:t xml:space="preserve">Inițiative la nivel </w:t>
      </w:r>
      <w:proofErr w:type="gramStart"/>
      <w:r w:rsidRPr="006A5D86">
        <w:rPr>
          <w:rStyle w:val="BookTitle"/>
          <w:b/>
          <w:bCs/>
          <w:smallCaps w:val="0"/>
          <w:spacing w:val="0"/>
        </w:rPr>
        <w:t>european</w:t>
      </w:r>
      <w:proofErr w:type="gramEnd"/>
      <w:r w:rsidRPr="006A5D86">
        <w:rPr>
          <w:rStyle w:val="BookTitle"/>
          <w:b/>
          <w:bCs/>
          <w:smallCaps w:val="0"/>
          <w:spacing w:val="0"/>
        </w:rPr>
        <w:t xml:space="preserve"> în domeniul </w:t>
      </w:r>
      <w:r w:rsidR="0096633F">
        <w:rPr>
          <w:rStyle w:val="BookTitle"/>
          <w:b/>
          <w:bCs/>
          <w:smallCaps w:val="0"/>
          <w:spacing w:val="0"/>
        </w:rPr>
        <w:t xml:space="preserve">sprijinirii </w:t>
      </w:r>
      <w:r w:rsidRPr="006A5D86">
        <w:rPr>
          <w:rStyle w:val="BookTitle"/>
          <w:b/>
          <w:bCs/>
          <w:smallCaps w:val="0"/>
          <w:spacing w:val="0"/>
        </w:rPr>
        <w:t>TIC</w:t>
      </w:r>
      <w:bookmarkEnd w:id="6"/>
    </w:p>
    <w:p w14:paraId="7AECA83E" w14:textId="2E3FD937" w:rsidR="00895B2B" w:rsidRDefault="00CD1FBD" w:rsidP="00093C9D">
      <w:pPr>
        <w:spacing w:before="100" w:beforeAutospacing="1" w:after="100" w:afterAutospacing="1"/>
        <w:rPr>
          <w:lang w:val="ro-RO"/>
        </w:rPr>
      </w:pPr>
      <w:r>
        <w:rPr>
          <w:lang w:val="ro-RO"/>
        </w:rPr>
        <w:t xml:space="preserve">Uniunea Europeană a menționat de la începutul anilor 2000 domeniul TIC pe o poziție importantă în strategiile de dezvoltare economică, pentru a face din UE cea mai importantă economie mondială. </w:t>
      </w:r>
    </w:p>
    <w:p w14:paraId="627CD597" w14:textId="781557C0" w:rsidR="00CD1FBD" w:rsidRDefault="00CD1FBD" w:rsidP="00093C9D">
      <w:pPr>
        <w:spacing w:before="100" w:beforeAutospacing="1" w:after="100" w:afterAutospacing="1"/>
        <w:rPr>
          <w:lang w:val="ro-RO"/>
        </w:rPr>
      </w:pPr>
      <w:r>
        <w:rPr>
          <w:lang w:val="ro-RO"/>
        </w:rPr>
        <w:t xml:space="preserve">Prima formă de manifestare a acestei strategii a fost la nivel declarativ și de planificare, domeniul TIC fiind menționat în diverse strategii și planuri de acțiune. Etapa următoare a fost de a include în anumite programe de finanțare linii speciale pentru domeniul TIC. Așa s-a întâmplat de exemplu cu Programul Cadru (Framework Programm) V și ulterior cu Programul Cadru VI. </w:t>
      </w:r>
    </w:p>
    <w:p w14:paraId="65D4666C" w14:textId="193A6D4C" w:rsidR="00CD1FBD" w:rsidRDefault="004808F0" w:rsidP="00093C9D">
      <w:pPr>
        <w:spacing w:before="100" w:beforeAutospacing="1" w:after="100" w:afterAutospacing="1"/>
        <w:rPr>
          <w:lang w:val="ro-RO"/>
        </w:rPr>
      </w:pPr>
      <w:r>
        <w:rPr>
          <w:lang w:val="ro-RO"/>
        </w:rPr>
        <w:t>Etapa următ</w:t>
      </w:r>
      <w:r w:rsidR="00CD1FBD">
        <w:rPr>
          <w:lang w:val="ro-RO"/>
        </w:rPr>
        <w:t>oare a fost de a iniția programe speciale dedicate inițiativelor din domeniul TIC și de a defini acest domeniu ca fiind o prioritate orizontală, adică el tre</w:t>
      </w:r>
      <w:r w:rsidR="00CD29DF">
        <w:rPr>
          <w:lang w:val="ro-RO"/>
        </w:rPr>
        <w:t>buie avut în vedere de toate pro</w:t>
      </w:r>
      <w:r w:rsidR="00CD1FBD">
        <w:rPr>
          <w:lang w:val="ro-RO"/>
        </w:rPr>
        <w:t xml:space="preserve">gramele și proiectele co-finanțate din fonduri europene. </w:t>
      </w:r>
      <w:r>
        <w:rPr>
          <w:lang w:val="ro-RO"/>
        </w:rPr>
        <w:t xml:space="preserve"> În această etapă au fost lansate inițiative de tipul eContent, eContent+.</w:t>
      </w:r>
    </w:p>
    <w:p w14:paraId="14058B5A" w14:textId="05ACE180" w:rsidR="004808F0" w:rsidRDefault="004808F0" w:rsidP="00093C9D">
      <w:pPr>
        <w:spacing w:before="100" w:beforeAutospacing="1" w:after="100" w:afterAutospacing="1"/>
        <w:rPr>
          <w:lang w:val="ro-RO"/>
        </w:rPr>
      </w:pPr>
      <w:r>
        <w:rPr>
          <w:lang w:val="ro-RO"/>
        </w:rPr>
        <w:t>România fiind un Stat Membru al Uniunii Europene din 01 ianuarie 2007, impactul inițiativelor europene asupra domeniului TIC trebuie analizat și din punct de vedere al impactului legislației europene.</w:t>
      </w:r>
    </w:p>
    <w:p w14:paraId="4EFE1D0A" w14:textId="61D09D0B" w:rsidR="004808F0" w:rsidRDefault="00CD29DF" w:rsidP="00093C9D">
      <w:pPr>
        <w:spacing w:before="100" w:beforeAutospacing="1" w:after="100" w:afterAutospacing="1"/>
        <w:rPr>
          <w:lang w:val="ro-RO"/>
        </w:rPr>
      </w:pPr>
      <w:r>
        <w:rPr>
          <w:lang w:val="ro-RO"/>
        </w:rPr>
        <w:t>Inițiativa european</w:t>
      </w:r>
      <w:r w:rsidR="004808F0">
        <w:rPr>
          <w:lang w:val="ro-RO"/>
        </w:rPr>
        <w:t>ă din domeniul TIC cu cea mai mare vizibilitate la nivelul României este</w:t>
      </w:r>
      <w:r>
        <w:rPr>
          <w:lang w:val="ro-RO"/>
        </w:rPr>
        <w:t xml:space="preserve"> </w:t>
      </w:r>
      <w:r w:rsidR="004808F0">
        <w:rPr>
          <w:lang w:val="ro-RO"/>
        </w:rPr>
        <w:t xml:space="preserve">probabil cea legată </w:t>
      </w:r>
      <w:r>
        <w:rPr>
          <w:lang w:val="ro-RO"/>
        </w:rPr>
        <w:t xml:space="preserve">de tarifele de roaming </w:t>
      </w:r>
      <w:r w:rsidR="004808F0">
        <w:rPr>
          <w:lang w:val="ro-RO"/>
        </w:rPr>
        <w:t>ce pot fi aplicate d</w:t>
      </w:r>
      <w:r>
        <w:rPr>
          <w:lang w:val="ro-RO"/>
        </w:rPr>
        <w:t>e companiile de telefonie mobilă</w:t>
      </w:r>
      <w:r w:rsidR="004808F0">
        <w:rPr>
          <w:lang w:val="ro-RO"/>
        </w:rPr>
        <w:t>. Exist</w:t>
      </w:r>
      <w:r>
        <w:rPr>
          <w:lang w:val="ro-RO"/>
        </w:rPr>
        <w:t>ă</w:t>
      </w:r>
      <w:r w:rsidR="004808F0">
        <w:rPr>
          <w:lang w:val="ro-RO"/>
        </w:rPr>
        <w:t xml:space="preserve"> u</w:t>
      </w:r>
      <w:r>
        <w:rPr>
          <w:lang w:val="ro-RO"/>
        </w:rPr>
        <w:t>n plan cu termene bine stabili</w:t>
      </w:r>
      <w:r w:rsidR="004808F0">
        <w:rPr>
          <w:lang w:val="ro-RO"/>
        </w:rPr>
        <w:t xml:space="preserve">te </w:t>
      </w:r>
      <w:r w:rsidR="00B50534">
        <w:rPr>
          <w:lang w:val="ro-RO"/>
        </w:rPr>
        <w:t>pentru reducerea acestor tarife. Până în acest moment este foarte vizibil impactul asupra tarifelor de ro</w:t>
      </w:r>
      <w:r>
        <w:rPr>
          <w:lang w:val="ro-RO"/>
        </w:rPr>
        <w:t>a</w:t>
      </w:r>
      <w:r w:rsidR="00B50534">
        <w:rPr>
          <w:lang w:val="ro-RO"/>
        </w:rPr>
        <w:t xml:space="preserve">ming la convorbirile telefonice (dacă la începutul anilor 2000 tariful practicat era de peste 1,2 euro / minut acuma tariful este de 5 ori mai mic, de 0,24 euro / minut). Oficialii europeni declară că doresc să se ajungă chiar la eliminarea acestor tarife. </w:t>
      </w:r>
    </w:p>
    <w:p w14:paraId="5F82B689" w14:textId="33881590" w:rsidR="00B50534" w:rsidRDefault="00B50534" w:rsidP="00093C9D">
      <w:pPr>
        <w:spacing w:before="100" w:beforeAutospacing="1" w:after="100" w:afterAutospacing="1"/>
        <w:rPr>
          <w:lang w:val="ro-RO"/>
        </w:rPr>
      </w:pPr>
      <w:r>
        <w:rPr>
          <w:lang w:val="ro-RO"/>
        </w:rPr>
        <w:t xml:space="preserve">O altă inițiativă de la nivel european cu un impact major pentru domeniul TIC din România este cea legată de perioada minimă obligatorie de garanție pentru </w:t>
      </w:r>
      <w:r>
        <w:rPr>
          <w:lang w:val="ro-RO"/>
        </w:rPr>
        <w:lastRenderedPageBreak/>
        <w:t xml:space="preserve">echipamentele TIC comercializate către cetățeni. Prin această măsură toți producătorii și comercianții de echipamente TIC de folosință îndelungată sunt obligați să </w:t>
      </w:r>
      <w:r w:rsidR="00B14689">
        <w:rPr>
          <w:lang w:val="ro-RO"/>
        </w:rPr>
        <w:t>ofere minim 2 ani de garanț</w:t>
      </w:r>
      <w:r w:rsidR="0022569D">
        <w:rPr>
          <w:lang w:val="ro-RO"/>
        </w:rPr>
        <w:t>ie, un lucru extrem de benefic</w:t>
      </w:r>
      <w:r w:rsidR="00B14689">
        <w:rPr>
          <w:lang w:val="ro-RO"/>
        </w:rPr>
        <w:t xml:space="preserve"> pentru populație.</w:t>
      </w:r>
    </w:p>
    <w:p w14:paraId="36076C4D" w14:textId="4D4BED6B" w:rsidR="00B14689" w:rsidRDefault="00B14689" w:rsidP="00093C9D">
      <w:pPr>
        <w:spacing w:before="100" w:beforeAutospacing="1" w:after="100" w:afterAutospacing="1"/>
        <w:rPr>
          <w:lang w:val="ro-RO"/>
        </w:rPr>
      </w:pPr>
      <w:r>
        <w:rPr>
          <w:lang w:val="ro-RO"/>
        </w:rPr>
        <w:t>Din punct de vedere al reglementărilor europene cu impact asupra activităților din domeniul TIC din România există foarte multe asemenea reglementări neadresate exclusiv domeniului TIC</w:t>
      </w:r>
      <w:r w:rsidR="008B1D43">
        <w:rPr>
          <w:lang w:val="ro-RO"/>
        </w:rPr>
        <w:t>,</w:t>
      </w:r>
      <w:r>
        <w:rPr>
          <w:lang w:val="ro-RO"/>
        </w:rPr>
        <w:t xml:space="preserve"> dar care au o infliență directă sau indirectă, mai mare sau mai redusă. Putem menționa astfel:</w:t>
      </w:r>
    </w:p>
    <w:p w14:paraId="71A7CB44" w14:textId="0E6FCFE0" w:rsidR="00B14689" w:rsidRDefault="00B14689" w:rsidP="00B14689">
      <w:pPr>
        <w:pStyle w:val="ListParagraph"/>
        <w:numPr>
          <w:ilvl w:val="0"/>
          <w:numId w:val="6"/>
        </w:numPr>
        <w:spacing w:before="100" w:beforeAutospacing="1" w:after="100" w:afterAutospacing="1"/>
        <w:rPr>
          <w:lang w:val="ro-RO"/>
        </w:rPr>
      </w:pPr>
      <w:r>
        <w:rPr>
          <w:lang w:val="ro-RO"/>
        </w:rPr>
        <w:t>Regle</w:t>
      </w:r>
      <w:r w:rsidR="008B1D43">
        <w:rPr>
          <w:lang w:val="ro-RO"/>
        </w:rPr>
        <w:t>men</w:t>
      </w:r>
      <w:r>
        <w:rPr>
          <w:lang w:val="ro-RO"/>
        </w:rPr>
        <w:t>tările privind libera concurență și interzicerea înțelegerilor de tip monopo</w:t>
      </w:r>
      <w:r w:rsidR="008B1D43">
        <w:rPr>
          <w:lang w:val="ro-RO"/>
        </w:rPr>
        <w:t>list între principalii actori d</w:t>
      </w:r>
      <w:r>
        <w:rPr>
          <w:lang w:val="ro-RO"/>
        </w:rPr>
        <w:t>e</w:t>
      </w:r>
      <w:r w:rsidR="008B1D43">
        <w:rPr>
          <w:lang w:val="ro-RO"/>
        </w:rPr>
        <w:t xml:space="preserve"> </w:t>
      </w:r>
      <w:r>
        <w:rPr>
          <w:lang w:val="ro-RO"/>
        </w:rPr>
        <w:t>pe piață. Această reglementare are influență în special în sectoarele unde există doar câțiva actori care acționează, de</w:t>
      </w:r>
      <w:r w:rsidR="008B1D43">
        <w:rPr>
          <w:lang w:val="ro-RO"/>
        </w:rPr>
        <w:t xml:space="preserve"> </w:t>
      </w:r>
      <w:r>
        <w:rPr>
          <w:lang w:val="ro-RO"/>
        </w:rPr>
        <w:t>exemplu în domeniul comunicațiilor unde primii 4 actori acoperă peste 90% din piață. Dacă ei ar face, de exemplu, înțelegeri privind stabilirea unui plafon minim pentru anumite oferte, consumatorul final ar fi obligat să plătească acel tarif pentru că nu are și nu ar putea avea opțiuni alternative.</w:t>
      </w:r>
    </w:p>
    <w:p w14:paraId="41695216" w14:textId="0C195192" w:rsidR="00B14689" w:rsidRDefault="00B14689" w:rsidP="00B14689">
      <w:pPr>
        <w:pStyle w:val="ListParagraph"/>
        <w:numPr>
          <w:ilvl w:val="0"/>
          <w:numId w:val="6"/>
        </w:numPr>
        <w:spacing w:before="100" w:beforeAutospacing="1" w:after="100" w:afterAutospacing="1"/>
        <w:rPr>
          <w:lang w:val="ro-RO"/>
        </w:rPr>
      </w:pPr>
      <w:r>
        <w:rPr>
          <w:lang w:val="ro-RO"/>
        </w:rPr>
        <w:t>Regle</w:t>
      </w:r>
      <w:r w:rsidR="008B1D43">
        <w:rPr>
          <w:lang w:val="ro-RO"/>
        </w:rPr>
        <w:t>men</w:t>
      </w:r>
      <w:r>
        <w:rPr>
          <w:lang w:val="ro-RO"/>
        </w:rPr>
        <w:t xml:space="preserve">tările privind libera concurență în ceea ce privește interzicerea unor înțelegeri punctuale de restricționare a altor competitori. Astfel, un producător sau distribuitor al unui produs, de exemplu, nu poate să stabilească un distribuitor unic și să refuze altor distribuitori accesul la produsul sau serviciul respectiv. </w:t>
      </w:r>
    </w:p>
    <w:p w14:paraId="533294AA" w14:textId="3913AE17" w:rsidR="00B14689" w:rsidRDefault="00B14689" w:rsidP="00B14689">
      <w:pPr>
        <w:pStyle w:val="ListParagraph"/>
        <w:numPr>
          <w:ilvl w:val="0"/>
          <w:numId w:val="6"/>
        </w:numPr>
        <w:spacing w:before="100" w:beforeAutospacing="1" w:after="100" w:afterAutospacing="1"/>
        <w:rPr>
          <w:lang w:val="ro-RO"/>
        </w:rPr>
      </w:pPr>
      <w:r>
        <w:rPr>
          <w:lang w:val="ro-RO"/>
        </w:rPr>
        <w:t xml:space="preserve">Libera circulație a mărfurilor și serviciilor. </w:t>
      </w:r>
      <w:r w:rsidR="006937DF">
        <w:rPr>
          <w:lang w:val="ro-RO"/>
        </w:rPr>
        <w:t>Astfel un producător sau distribuitor nu poate să interzică pentru un produs sau serviciu care este disponibil într-un S</w:t>
      </w:r>
      <w:r w:rsidR="008B1D43">
        <w:rPr>
          <w:lang w:val="ro-RO"/>
        </w:rPr>
        <w:t>tat Membru al Uniunii Europene s</w:t>
      </w:r>
      <w:r w:rsidR="006937DF">
        <w:rPr>
          <w:lang w:val="ro-RO"/>
        </w:rPr>
        <w:t>ă fie disponibil și în alt Stat Membru. Astfel piața Uniunii Europene tinde să devină din ce în ce mai mult o piață unică, inclusiv din acest punct de vedere, lucru benefic pentru utilizatorul final</w:t>
      </w:r>
    </w:p>
    <w:p w14:paraId="6B8875FB" w14:textId="4CDEF854" w:rsidR="006937DF" w:rsidRDefault="006937DF" w:rsidP="00B14689">
      <w:pPr>
        <w:pStyle w:val="ListParagraph"/>
        <w:numPr>
          <w:ilvl w:val="0"/>
          <w:numId w:val="6"/>
        </w:numPr>
        <w:spacing w:before="100" w:beforeAutospacing="1" w:after="100" w:afterAutospacing="1"/>
        <w:rPr>
          <w:lang w:val="ro-RO"/>
        </w:rPr>
      </w:pPr>
      <w:r>
        <w:rPr>
          <w:lang w:val="ro-RO"/>
        </w:rPr>
        <w:t>Reglementările privind achizițiile publice. Legislația din domeniul achizițiilor publice aplicabilă până în anul 2006 era una care permitea cheltuirea fondurilor publice (și) în moduri lipsite de transparență. Astfel doar anumite compani</w:t>
      </w:r>
      <w:r w:rsidR="008B1D43">
        <w:rPr>
          <w:lang w:val="ro-RO"/>
        </w:rPr>
        <w:t>i</w:t>
      </w:r>
      <w:r>
        <w:rPr>
          <w:lang w:val="ro-RO"/>
        </w:rPr>
        <w:t>, anumiți furnizori aveau acces uneori la anumite contracte. Prin aplicarea legislației achizițiilor publice procedurile sunt transparente, fiind interzi</w:t>
      </w:r>
      <w:r w:rsidR="008B1D43">
        <w:rPr>
          <w:lang w:val="ro-RO"/>
        </w:rPr>
        <w:t>s</w:t>
      </w:r>
      <w:r>
        <w:rPr>
          <w:lang w:val="ro-RO"/>
        </w:rPr>
        <w:t xml:space="preserve">e (și sancționate dacă sunt întâlnite) includerea de restricții care să </w:t>
      </w:r>
      <w:r w:rsidR="008B1D43">
        <w:rPr>
          <w:lang w:val="ro-RO"/>
        </w:rPr>
        <w:t>limiteze nejustificat competiția</w:t>
      </w:r>
      <w:r>
        <w:rPr>
          <w:lang w:val="ro-RO"/>
        </w:rPr>
        <w:t xml:space="preserve">. </w:t>
      </w:r>
    </w:p>
    <w:p w14:paraId="68116834" w14:textId="0C8B34C1" w:rsidR="00DE30AF" w:rsidRPr="00B14689" w:rsidRDefault="00DE30AF" w:rsidP="00B14689">
      <w:pPr>
        <w:pStyle w:val="ListParagraph"/>
        <w:numPr>
          <w:ilvl w:val="0"/>
          <w:numId w:val="6"/>
        </w:numPr>
        <w:spacing w:before="100" w:beforeAutospacing="1" w:after="100" w:afterAutospacing="1"/>
        <w:rPr>
          <w:lang w:val="ro-RO"/>
        </w:rPr>
      </w:pPr>
      <w:r>
        <w:rPr>
          <w:lang w:val="ro-RO"/>
        </w:rPr>
        <w:t xml:space="preserve">Libera circulație a bunurilor și serviciilor. Prin aceste libertăți companiile românești pot furniza bunuri sau presta servicii în orice Stat Membru. Este interzis la nivelul întregii Uniuni Europene introducerea de reglementări care să facă diferențieri în funcție de Statul Membru în care își are sediul sau originea prestatorul serviciului, furnizorul sau producătorul bunului. </w:t>
      </w:r>
    </w:p>
    <w:p w14:paraId="21368AE1" w14:textId="77777777" w:rsidR="00B14689" w:rsidRDefault="00B14689" w:rsidP="00093C9D">
      <w:pPr>
        <w:spacing w:before="100" w:beforeAutospacing="1" w:after="100" w:afterAutospacing="1"/>
        <w:rPr>
          <w:lang w:val="ro-RO"/>
        </w:rPr>
      </w:pPr>
    </w:p>
    <w:p w14:paraId="731DCEFD" w14:textId="438D89A9" w:rsidR="00746950" w:rsidRPr="006A5D86" w:rsidRDefault="00746950" w:rsidP="006A5D86">
      <w:pPr>
        <w:pStyle w:val="Heading1"/>
        <w:rPr>
          <w:rStyle w:val="BookTitle"/>
          <w:b/>
          <w:bCs/>
          <w:smallCaps w:val="0"/>
          <w:spacing w:val="0"/>
        </w:rPr>
      </w:pPr>
      <w:bookmarkStart w:id="7" w:name="_Toc290830243"/>
      <w:r w:rsidRPr="006A5D86">
        <w:rPr>
          <w:rStyle w:val="BookTitle"/>
          <w:b/>
          <w:bCs/>
          <w:smallCaps w:val="0"/>
          <w:spacing w:val="0"/>
        </w:rPr>
        <w:lastRenderedPageBreak/>
        <w:t>Domeniul TIC în fondurile structurale și de coeziune disponibile României</w:t>
      </w:r>
      <w:bookmarkEnd w:id="7"/>
    </w:p>
    <w:p w14:paraId="30815431" w14:textId="288BE1E7" w:rsidR="00F4597A" w:rsidRDefault="00E663E0" w:rsidP="00093C9D">
      <w:pPr>
        <w:spacing w:before="100" w:beforeAutospacing="1" w:after="100" w:afterAutospacing="1"/>
        <w:rPr>
          <w:lang w:val="ro-RO"/>
        </w:rPr>
      </w:pPr>
      <w:r>
        <w:rPr>
          <w:lang w:val="ro-RO"/>
        </w:rPr>
        <w:t xml:space="preserve">Pentru perioada 2007 – 2013 </w:t>
      </w:r>
      <w:r w:rsidR="000E4866">
        <w:rPr>
          <w:lang w:val="ro-RO"/>
        </w:rPr>
        <w:t xml:space="preserve">României i-au fost alocate apriximativ </w:t>
      </w:r>
      <w:r w:rsidR="00F4597A">
        <w:rPr>
          <w:lang w:val="ro-RO"/>
        </w:rPr>
        <w:t>20</w:t>
      </w:r>
      <w:r w:rsidR="000E4866">
        <w:rPr>
          <w:lang w:val="ro-RO"/>
        </w:rPr>
        <w:t xml:space="preserve"> miliarde euro din fonduri europene nerambursabile, altele decât cele pentru agricultură sau dezvoltare rurală. Aceste fonduri pot fi cheltuite până la finalul anului 2015. Sumele alocate </w:t>
      </w:r>
      <w:r w:rsidR="002E2C98">
        <w:rPr>
          <w:lang w:val="ro-RO"/>
        </w:rPr>
        <w:t>au fost împărțite pe Programe O</w:t>
      </w:r>
      <w:r w:rsidR="000E4866">
        <w:rPr>
          <w:lang w:val="ro-RO"/>
        </w:rPr>
        <w:t>peraționale, fiecare program având mai multe Axe Prioritare, Domenii Majore de Intervenție și Operațiuni. Atât împărțirea sumelor între aceste programe, cât și ariile lo</w:t>
      </w:r>
      <w:r w:rsidR="002E2C98">
        <w:rPr>
          <w:lang w:val="ro-RO"/>
        </w:rPr>
        <w:t>r de acțiune sunt un rezultat al</w:t>
      </w:r>
      <w:r w:rsidR="000E4866">
        <w:rPr>
          <w:lang w:val="ro-RO"/>
        </w:rPr>
        <w:t xml:space="preserve"> priorităților stabilite de România prin Programul Național de Dezvoltare 2007 -2013. Din toate acțiunile prevăzute în PND 2007 – 2013 aproximativ jumătate urmau să fie acoperite din fonduri europene nerambursabile (bugetul total al acțiunilor din PND 2007 – 2013 era estimat la aproximativ 40 miliarde euro</w:t>
      </w:r>
      <w:r w:rsidR="002E2C98">
        <w:rPr>
          <w:lang w:val="ro-RO"/>
        </w:rPr>
        <w:t>,</w:t>
      </w:r>
      <w:r w:rsidR="000E4866">
        <w:rPr>
          <w:lang w:val="ro-RO"/>
        </w:rPr>
        <w:t xml:space="preserve"> iar bugetul total alocat Programelor Operaționale era de </w:t>
      </w:r>
      <w:r w:rsidR="00F4597A">
        <w:rPr>
          <w:lang w:val="ro-RO"/>
        </w:rPr>
        <w:t xml:space="preserve">aproape 20 miliarde euro). </w:t>
      </w:r>
    </w:p>
    <w:p w14:paraId="1E33C807" w14:textId="5247FEF3" w:rsidR="00746950" w:rsidRDefault="00F4597A" w:rsidP="00093C9D">
      <w:pPr>
        <w:spacing w:before="100" w:beforeAutospacing="1" w:after="100" w:afterAutospacing="1"/>
        <w:rPr>
          <w:lang w:val="ro-RO"/>
        </w:rPr>
      </w:pPr>
      <w:r>
        <w:rPr>
          <w:lang w:val="ro-RO"/>
        </w:rPr>
        <w:t>Dacă în ceea ce privește sumele chelt</w:t>
      </w:r>
      <w:r w:rsidR="002E0AA7">
        <w:rPr>
          <w:lang w:val="ro-RO"/>
        </w:rPr>
        <w:t>uite din fonduri europene există</w:t>
      </w:r>
      <w:r>
        <w:rPr>
          <w:lang w:val="ro-RO"/>
        </w:rPr>
        <w:t xml:space="preserve"> date publice disponibile (rata de aborbție este un indicator extrem de mediatizat) gradul de realizare a PND 2007 – 2013 nu este evaluat sau rezultatele unor astfel de evaluări nu sunt disponibile publicului larg.</w:t>
      </w:r>
    </w:p>
    <w:p w14:paraId="41C16D8F" w14:textId="7F22BDBE" w:rsidR="00F4597A" w:rsidRDefault="00F4597A" w:rsidP="00093C9D">
      <w:pPr>
        <w:spacing w:before="100" w:beforeAutospacing="1" w:after="100" w:afterAutospacing="1"/>
        <w:rPr>
          <w:lang w:val="ro-RO"/>
        </w:rPr>
      </w:pPr>
      <w:r>
        <w:rPr>
          <w:lang w:val="ro-RO"/>
        </w:rPr>
        <w:t>Pentru perioada 2014 – 2020 alocarea de fonduri europene nerambursabile păstrează o s</w:t>
      </w:r>
      <w:r w:rsidR="002E2C98">
        <w:rPr>
          <w:lang w:val="ro-RO"/>
        </w:rPr>
        <w:t>t</w:t>
      </w:r>
      <w:r>
        <w:rPr>
          <w:lang w:val="ro-RO"/>
        </w:rPr>
        <w:t>ructură relativ similară, bugetul total disponibil fiind mai mare. O comparație între cele două perioade este prezentată în tabelul următor.</w:t>
      </w:r>
    </w:p>
    <w:p w14:paraId="3D9F3E71" w14:textId="77777777" w:rsidR="00E663E0" w:rsidRDefault="00E663E0" w:rsidP="00093C9D">
      <w:pPr>
        <w:spacing w:before="100" w:beforeAutospacing="1" w:after="100" w:afterAutospacing="1"/>
        <w:rPr>
          <w:lang w:val="ro-RO"/>
        </w:rPr>
        <w:sectPr w:rsidR="00E663E0" w:rsidSect="007E70FB">
          <w:footerReference w:type="even" r:id="rId9"/>
          <w:footerReference w:type="default" r:id="rId10"/>
          <w:pgSz w:w="11900" w:h="16840"/>
          <w:pgMar w:top="1440" w:right="1800" w:bottom="1440" w:left="1800" w:header="708" w:footer="708" w:gutter="0"/>
          <w:cols w:space="708"/>
          <w:titlePg/>
          <w:docGrid w:linePitch="360"/>
        </w:sectPr>
      </w:pPr>
    </w:p>
    <w:p w14:paraId="06F33FAC" w14:textId="5258B046" w:rsidR="00413A2B" w:rsidRPr="00413A2B" w:rsidRDefault="00413A2B" w:rsidP="00413A2B">
      <w:pPr>
        <w:pStyle w:val="Caption"/>
        <w:rPr>
          <w:sz w:val="20"/>
          <w:szCs w:val="20"/>
          <w:lang w:val="ro-RO"/>
        </w:rPr>
      </w:pPr>
      <w:bookmarkStart w:id="8" w:name="_Ref268112840"/>
      <w:bookmarkStart w:id="9" w:name="_Toc268209648"/>
      <w:r w:rsidRPr="00413A2B">
        <w:rPr>
          <w:sz w:val="20"/>
          <w:szCs w:val="20"/>
        </w:rPr>
        <w:lastRenderedPageBreak/>
        <w:t xml:space="preserve">Tabel </w:t>
      </w:r>
      <w:r w:rsidR="00712130">
        <w:rPr>
          <w:sz w:val="20"/>
          <w:szCs w:val="20"/>
        </w:rPr>
        <w:fldChar w:fldCharType="begin"/>
      </w:r>
      <w:r w:rsidR="00712130">
        <w:rPr>
          <w:sz w:val="20"/>
          <w:szCs w:val="20"/>
        </w:rPr>
        <w:instrText xml:space="preserve"> STYLEREF 1 \s </w:instrText>
      </w:r>
      <w:r w:rsidR="00712130">
        <w:rPr>
          <w:sz w:val="20"/>
          <w:szCs w:val="20"/>
        </w:rPr>
        <w:fldChar w:fldCharType="separate"/>
      </w:r>
      <w:r w:rsidR="006D5CC0">
        <w:rPr>
          <w:noProof/>
          <w:sz w:val="20"/>
          <w:szCs w:val="20"/>
        </w:rPr>
        <w:t>5</w:t>
      </w:r>
      <w:r w:rsidR="00712130">
        <w:rPr>
          <w:sz w:val="20"/>
          <w:szCs w:val="20"/>
        </w:rPr>
        <w:fldChar w:fldCharType="end"/>
      </w:r>
      <w:r w:rsidR="00712130">
        <w:rPr>
          <w:sz w:val="20"/>
          <w:szCs w:val="20"/>
        </w:rPr>
        <w:noBreakHyphen/>
      </w:r>
      <w:r w:rsidR="00712130">
        <w:rPr>
          <w:sz w:val="20"/>
          <w:szCs w:val="20"/>
        </w:rPr>
        <w:fldChar w:fldCharType="begin"/>
      </w:r>
      <w:r w:rsidR="00712130">
        <w:rPr>
          <w:sz w:val="20"/>
          <w:szCs w:val="20"/>
        </w:rPr>
        <w:instrText xml:space="preserve"> SEQ Tabel \* ARABIC \s 1 </w:instrText>
      </w:r>
      <w:r w:rsidR="00712130">
        <w:rPr>
          <w:sz w:val="20"/>
          <w:szCs w:val="20"/>
        </w:rPr>
        <w:fldChar w:fldCharType="separate"/>
      </w:r>
      <w:r w:rsidR="006D5CC0">
        <w:rPr>
          <w:noProof/>
          <w:sz w:val="20"/>
          <w:szCs w:val="20"/>
        </w:rPr>
        <w:t>1</w:t>
      </w:r>
      <w:r w:rsidR="00712130">
        <w:rPr>
          <w:sz w:val="20"/>
          <w:szCs w:val="20"/>
        </w:rPr>
        <w:fldChar w:fldCharType="end"/>
      </w:r>
      <w:r w:rsidR="002E2C98">
        <w:rPr>
          <w:sz w:val="20"/>
          <w:szCs w:val="20"/>
        </w:rPr>
        <w:t xml:space="preserve"> Situaţ</w:t>
      </w:r>
      <w:r>
        <w:rPr>
          <w:sz w:val="20"/>
          <w:szCs w:val="20"/>
        </w:rPr>
        <w:t>ia fondurilor</w:t>
      </w:r>
      <w:r w:rsidR="002E2C98">
        <w:rPr>
          <w:sz w:val="20"/>
          <w:szCs w:val="20"/>
        </w:rPr>
        <w:t xml:space="preserve"> </w:t>
      </w:r>
      <w:r>
        <w:rPr>
          <w:sz w:val="20"/>
          <w:szCs w:val="20"/>
        </w:rPr>
        <w:t xml:space="preserve">structurale și de coeziune </w:t>
      </w:r>
      <w:r w:rsidRPr="00413A2B">
        <w:rPr>
          <w:sz w:val="20"/>
          <w:szCs w:val="20"/>
        </w:rPr>
        <w:t>alocate pentru perioada 2007 - 2013, a stadiului cheltuirii lor și a fondurilor alocate pentru perioada 2014 - 2020</w:t>
      </w:r>
      <w:bookmarkEnd w:id="8"/>
      <w:bookmarkEnd w:id="9"/>
    </w:p>
    <w:tbl>
      <w:tblPr>
        <w:tblStyle w:val="TableGrid"/>
        <w:tblW w:w="13750" w:type="dxa"/>
        <w:tblInd w:w="392" w:type="dxa"/>
        <w:tblLayout w:type="fixed"/>
        <w:tblLook w:val="04A0" w:firstRow="1" w:lastRow="0" w:firstColumn="1" w:lastColumn="0" w:noHBand="0" w:noVBand="1"/>
      </w:tblPr>
      <w:tblGrid>
        <w:gridCol w:w="4111"/>
        <w:gridCol w:w="1417"/>
        <w:gridCol w:w="1559"/>
        <w:gridCol w:w="2250"/>
        <w:gridCol w:w="2853"/>
        <w:gridCol w:w="1560"/>
      </w:tblGrid>
      <w:tr w:rsidR="00E663E0" w:rsidRPr="003813FC" w14:paraId="4CC07D73" w14:textId="77777777" w:rsidTr="00E663E0">
        <w:trPr>
          <w:tblHeader/>
        </w:trPr>
        <w:tc>
          <w:tcPr>
            <w:tcW w:w="9337" w:type="dxa"/>
            <w:gridSpan w:val="4"/>
            <w:shd w:val="clear" w:color="auto" w:fill="365F91" w:themeFill="accent1" w:themeFillShade="BF"/>
            <w:vAlign w:val="center"/>
          </w:tcPr>
          <w:p w14:paraId="672B3D2D" w14:textId="77777777" w:rsidR="00E663E0" w:rsidRDefault="00E663E0" w:rsidP="00E663E0">
            <w:pPr>
              <w:pStyle w:val="NormalWeb"/>
              <w:spacing w:before="77" w:beforeAutospacing="0" w:after="0" w:afterAutospacing="0"/>
              <w:jc w:val="center"/>
              <w:textAlignment w:val="baseline"/>
              <w:rPr>
                <w:rFonts w:asciiTheme="minorHAnsi" w:hAnsiTheme="minorHAnsi" w:cs="Arial"/>
                <w:b/>
                <w:bCs/>
                <w:color w:val="FFFFFF" w:themeColor="background1"/>
                <w:kern w:val="24"/>
                <w:lang w:val="ro-RO"/>
              </w:rPr>
            </w:pPr>
            <w:r>
              <w:rPr>
                <w:rFonts w:asciiTheme="minorHAnsi" w:hAnsiTheme="minorHAnsi" w:cs="Arial"/>
                <w:b/>
                <w:bCs/>
                <w:color w:val="FFFFFF" w:themeColor="background1"/>
                <w:kern w:val="24"/>
                <w:lang w:val="ro-RO"/>
              </w:rPr>
              <w:t>Bugetul  pentru 2007 - 2013</w:t>
            </w:r>
          </w:p>
        </w:tc>
        <w:tc>
          <w:tcPr>
            <w:tcW w:w="4413" w:type="dxa"/>
            <w:gridSpan w:val="2"/>
            <w:shd w:val="clear" w:color="auto" w:fill="365F91" w:themeFill="accent1" w:themeFillShade="BF"/>
            <w:vAlign w:val="center"/>
          </w:tcPr>
          <w:p w14:paraId="00D6D546" w14:textId="77777777" w:rsidR="00E663E0" w:rsidRDefault="00E663E0" w:rsidP="00E663E0">
            <w:pPr>
              <w:pStyle w:val="NormalWeb"/>
              <w:spacing w:before="77" w:beforeAutospacing="0" w:after="0" w:afterAutospacing="0"/>
              <w:jc w:val="center"/>
              <w:textAlignment w:val="baseline"/>
              <w:rPr>
                <w:rFonts w:asciiTheme="minorHAnsi" w:hAnsiTheme="minorHAnsi" w:cs="Arial"/>
                <w:b/>
                <w:bCs/>
                <w:color w:val="FFFFFF" w:themeColor="background1"/>
                <w:kern w:val="24"/>
                <w:lang w:val="ro-RO"/>
              </w:rPr>
            </w:pPr>
            <w:r>
              <w:rPr>
                <w:rFonts w:asciiTheme="minorHAnsi" w:hAnsiTheme="minorHAnsi" w:cs="Arial"/>
                <w:b/>
                <w:bCs/>
                <w:color w:val="FFFFFF" w:themeColor="background1"/>
                <w:kern w:val="24"/>
                <w:lang w:val="ro-RO"/>
              </w:rPr>
              <w:t>Bugetul  pentru 2014 - 2020</w:t>
            </w:r>
          </w:p>
        </w:tc>
      </w:tr>
      <w:tr w:rsidR="00E663E0" w:rsidRPr="003813FC" w14:paraId="226ADF15" w14:textId="77777777" w:rsidTr="00E663E0">
        <w:trPr>
          <w:tblHeader/>
        </w:trPr>
        <w:tc>
          <w:tcPr>
            <w:tcW w:w="4111" w:type="dxa"/>
            <w:shd w:val="clear" w:color="auto" w:fill="365F91" w:themeFill="accent1" w:themeFillShade="BF"/>
            <w:vAlign w:val="center"/>
          </w:tcPr>
          <w:p w14:paraId="0F998643" w14:textId="77777777" w:rsidR="00E663E0" w:rsidRPr="003813FC" w:rsidRDefault="00E663E0" w:rsidP="00E663E0">
            <w:pPr>
              <w:pStyle w:val="NormalWeb"/>
              <w:spacing w:before="77" w:beforeAutospacing="0" w:after="0" w:afterAutospacing="0"/>
              <w:jc w:val="center"/>
              <w:textAlignment w:val="baseline"/>
              <w:rPr>
                <w:rFonts w:asciiTheme="minorHAnsi" w:hAnsiTheme="minorHAnsi" w:cs="Arial"/>
                <w:color w:val="FFFFFF" w:themeColor="background1"/>
                <w:lang w:val="ro-RO"/>
              </w:rPr>
            </w:pPr>
            <w:r w:rsidRPr="003813FC">
              <w:rPr>
                <w:rFonts w:asciiTheme="minorHAnsi" w:hAnsiTheme="minorHAnsi" w:cs="Arial"/>
                <w:b/>
                <w:bCs/>
                <w:color w:val="FFFFFF" w:themeColor="background1"/>
                <w:kern w:val="24"/>
                <w:lang w:val="ro-RO"/>
              </w:rPr>
              <w:t>Program operațional</w:t>
            </w:r>
          </w:p>
        </w:tc>
        <w:tc>
          <w:tcPr>
            <w:tcW w:w="1417" w:type="dxa"/>
            <w:shd w:val="clear" w:color="auto" w:fill="365F91" w:themeFill="accent1" w:themeFillShade="BF"/>
            <w:vAlign w:val="center"/>
          </w:tcPr>
          <w:p w14:paraId="0FC08359" w14:textId="77777777" w:rsidR="00E663E0" w:rsidRDefault="00E663E0" w:rsidP="00E663E0">
            <w:pPr>
              <w:pStyle w:val="NormalWeb"/>
              <w:spacing w:before="77" w:beforeAutospacing="0" w:after="0" w:afterAutospacing="0"/>
              <w:jc w:val="center"/>
              <w:textAlignment w:val="baseline"/>
              <w:rPr>
                <w:rFonts w:asciiTheme="minorHAnsi" w:hAnsiTheme="minorHAnsi" w:cs="Arial"/>
                <w:b/>
                <w:bCs/>
                <w:color w:val="FFFFFF" w:themeColor="background1"/>
                <w:kern w:val="24"/>
                <w:lang w:val="ro-RO"/>
              </w:rPr>
            </w:pPr>
            <w:r>
              <w:rPr>
                <w:rFonts w:asciiTheme="minorHAnsi" w:hAnsiTheme="minorHAnsi" w:cs="Arial"/>
                <w:b/>
                <w:bCs/>
                <w:color w:val="FFFFFF" w:themeColor="background1"/>
                <w:kern w:val="24"/>
                <w:lang w:val="ro-RO"/>
              </w:rPr>
              <w:t>Buget</w:t>
            </w:r>
            <w:r w:rsidRPr="003813FC">
              <w:rPr>
                <w:rFonts w:asciiTheme="minorHAnsi" w:hAnsiTheme="minorHAnsi" w:cs="Arial"/>
                <w:b/>
                <w:bCs/>
                <w:color w:val="FFFFFF" w:themeColor="background1"/>
                <w:kern w:val="24"/>
                <w:lang w:val="ro-RO"/>
              </w:rPr>
              <w:t xml:space="preserve"> </w:t>
            </w:r>
            <w:r>
              <w:rPr>
                <w:rFonts w:asciiTheme="minorHAnsi" w:hAnsiTheme="minorHAnsi" w:cs="Arial"/>
                <w:b/>
                <w:bCs/>
                <w:color w:val="FFFFFF" w:themeColor="background1"/>
                <w:kern w:val="24"/>
                <w:lang w:val="ro-RO"/>
              </w:rPr>
              <w:t>alocat</w:t>
            </w:r>
            <w:r w:rsidRPr="003813FC">
              <w:rPr>
                <w:rFonts w:asciiTheme="minorHAnsi" w:hAnsiTheme="minorHAnsi" w:cs="Arial"/>
                <w:b/>
                <w:bCs/>
                <w:color w:val="FFFFFF" w:themeColor="background1"/>
                <w:kern w:val="24"/>
                <w:lang w:val="ro-RO"/>
              </w:rPr>
              <w:t xml:space="preserve"> </w:t>
            </w:r>
          </w:p>
          <w:p w14:paraId="677B99FD" w14:textId="77777777" w:rsidR="00E663E0" w:rsidRPr="003813FC" w:rsidRDefault="00E663E0" w:rsidP="00E663E0">
            <w:pPr>
              <w:pStyle w:val="NormalWeb"/>
              <w:spacing w:before="77" w:beforeAutospacing="0" w:after="0" w:afterAutospacing="0"/>
              <w:jc w:val="center"/>
              <w:textAlignment w:val="baseline"/>
              <w:rPr>
                <w:rFonts w:asciiTheme="minorHAnsi" w:hAnsiTheme="minorHAnsi" w:cs="Arial"/>
                <w:color w:val="FFFFFF" w:themeColor="background1"/>
                <w:lang w:val="ro-RO"/>
              </w:rPr>
            </w:pPr>
            <w:r>
              <w:rPr>
                <w:rFonts w:asciiTheme="minorHAnsi" w:hAnsiTheme="minorHAnsi" w:cs="Arial"/>
                <w:b/>
                <w:bCs/>
                <w:color w:val="FFFFFF" w:themeColor="background1"/>
                <w:kern w:val="24"/>
                <w:lang w:val="ro-RO"/>
              </w:rPr>
              <w:t xml:space="preserve">(miliarde </w:t>
            </w:r>
            <w:r w:rsidRPr="003813FC">
              <w:rPr>
                <w:rFonts w:asciiTheme="minorHAnsi" w:hAnsiTheme="minorHAnsi" w:cs="Arial"/>
                <w:b/>
                <w:bCs/>
                <w:color w:val="FFFFFF" w:themeColor="background1"/>
                <w:kern w:val="24"/>
                <w:lang w:val="ro-RO"/>
              </w:rPr>
              <w:t xml:space="preserve">Euro) </w:t>
            </w:r>
            <w:r w:rsidRPr="003813FC">
              <w:rPr>
                <w:rFonts w:asciiTheme="minorHAnsi" w:hAnsiTheme="minorHAnsi" w:cs="Arial"/>
                <w:b/>
                <w:bCs/>
                <w:color w:val="FFFFFF" w:themeColor="background1"/>
                <w:kern w:val="24"/>
                <w:lang w:val="ro-RO"/>
              </w:rPr>
              <w:tab/>
            </w:r>
          </w:p>
        </w:tc>
        <w:tc>
          <w:tcPr>
            <w:tcW w:w="1559" w:type="dxa"/>
            <w:shd w:val="clear" w:color="auto" w:fill="365F91" w:themeFill="accent1" w:themeFillShade="BF"/>
            <w:vAlign w:val="center"/>
          </w:tcPr>
          <w:p w14:paraId="0BCF62A5" w14:textId="77777777" w:rsidR="00E663E0" w:rsidRDefault="00E663E0" w:rsidP="00E663E0">
            <w:pPr>
              <w:pStyle w:val="NormalWeb"/>
              <w:spacing w:before="77" w:beforeAutospacing="0" w:after="0" w:afterAutospacing="0"/>
              <w:jc w:val="center"/>
              <w:textAlignment w:val="baseline"/>
              <w:rPr>
                <w:rFonts w:asciiTheme="minorHAnsi" w:hAnsiTheme="minorHAnsi" w:cs="Arial"/>
                <w:b/>
                <w:bCs/>
                <w:color w:val="FFFFFF" w:themeColor="background1"/>
                <w:kern w:val="24"/>
                <w:lang w:val="ro-RO"/>
              </w:rPr>
            </w:pPr>
            <w:r>
              <w:rPr>
                <w:rFonts w:asciiTheme="minorHAnsi" w:hAnsiTheme="minorHAnsi" w:cs="Arial"/>
                <w:b/>
                <w:bCs/>
                <w:color w:val="FFFFFF" w:themeColor="background1"/>
                <w:kern w:val="24"/>
                <w:lang w:val="ro-RO"/>
              </w:rPr>
              <w:t>Grad absorbtie 31.05.2014</w:t>
            </w:r>
          </w:p>
          <w:p w14:paraId="2E07FE5A" w14:textId="77777777" w:rsidR="00E663E0" w:rsidRPr="003813FC" w:rsidRDefault="00E663E0" w:rsidP="00E663E0">
            <w:pPr>
              <w:pStyle w:val="NormalWeb"/>
              <w:spacing w:before="77" w:beforeAutospacing="0" w:after="0" w:afterAutospacing="0"/>
              <w:jc w:val="center"/>
              <w:textAlignment w:val="baseline"/>
              <w:rPr>
                <w:rFonts w:asciiTheme="minorHAnsi" w:hAnsiTheme="minorHAnsi" w:cs="Arial"/>
                <w:b/>
                <w:bCs/>
                <w:color w:val="FFFFFF" w:themeColor="background1"/>
                <w:kern w:val="24"/>
                <w:lang w:val="ro-RO"/>
              </w:rPr>
            </w:pPr>
            <w:r>
              <w:rPr>
                <w:rFonts w:asciiTheme="minorHAnsi" w:hAnsiTheme="minorHAnsi" w:cs="Arial"/>
                <w:b/>
                <w:bCs/>
                <w:color w:val="FFFFFF" w:themeColor="background1"/>
                <w:kern w:val="24"/>
                <w:lang w:val="ro-RO"/>
              </w:rPr>
              <w:t>(%)</w:t>
            </w:r>
          </w:p>
        </w:tc>
        <w:tc>
          <w:tcPr>
            <w:tcW w:w="2250" w:type="dxa"/>
            <w:shd w:val="clear" w:color="auto" w:fill="365F91" w:themeFill="accent1" w:themeFillShade="BF"/>
            <w:vAlign w:val="center"/>
          </w:tcPr>
          <w:p w14:paraId="03B59532" w14:textId="77777777" w:rsidR="00E663E0" w:rsidRDefault="00E663E0" w:rsidP="00E663E0">
            <w:pPr>
              <w:pStyle w:val="NormalWeb"/>
              <w:spacing w:before="77" w:beforeAutospacing="0" w:after="0" w:afterAutospacing="0"/>
              <w:jc w:val="center"/>
              <w:textAlignment w:val="baseline"/>
              <w:rPr>
                <w:rFonts w:asciiTheme="minorHAnsi" w:hAnsiTheme="minorHAnsi" w:cs="Arial"/>
                <w:b/>
                <w:bCs/>
                <w:color w:val="FFFFFF" w:themeColor="background1"/>
                <w:kern w:val="24"/>
                <w:lang w:val="ro-RO"/>
              </w:rPr>
            </w:pPr>
            <w:r>
              <w:rPr>
                <w:rFonts w:asciiTheme="minorHAnsi" w:hAnsiTheme="minorHAnsi" w:cs="Arial"/>
                <w:b/>
                <w:bCs/>
                <w:color w:val="FFFFFF" w:themeColor="background1"/>
                <w:kern w:val="24"/>
                <w:lang w:val="ro-RO"/>
              </w:rPr>
              <w:t>Suma rambursata de Comisia Europeana</w:t>
            </w:r>
          </w:p>
          <w:p w14:paraId="6829521D" w14:textId="77777777" w:rsidR="00E663E0" w:rsidRPr="003813FC" w:rsidRDefault="00E663E0" w:rsidP="00E663E0">
            <w:pPr>
              <w:pStyle w:val="NormalWeb"/>
              <w:spacing w:before="77" w:beforeAutospacing="0" w:after="0" w:afterAutospacing="0"/>
              <w:jc w:val="center"/>
              <w:textAlignment w:val="baseline"/>
              <w:rPr>
                <w:rFonts w:asciiTheme="minorHAnsi" w:hAnsiTheme="minorHAnsi" w:cs="Arial"/>
                <w:b/>
                <w:bCs/>
                <w:color w:val="FFFFFF" w:themeColor="background1"/>
                <w:kern w:val="24"/>
                <w:lang w:val="ro-RO"/>
              </w:rPr>
            </w:pPr>
            <w:r>
              <w:rPr>
                <w:rFonts w:asciiTheme="minorHAnsi" w:hAnsiTheme="minorHAnsi" w:cs="Arial"/>
                <w:b/>
                <w:bCs/>
                <w:color w:val="FFFFFF" w:themeColor="background1"/>
                <w:kern w:val="24"/>
                <w:lang w:val="ro-RO"/>
              </w:rPr>
              <w:t>(miliarde Euro)</w:t>
            </w:r>
          </w:p>
        </w:tc>
        <w:tc>
          <w:tcPr>
            <w:tcW w:w="2853" w:type="dxa"/>
            <w:shd w:val="clear" w:color="auto" w:fill="365F91" w:themeFill="accent1" w:themeFillShade="BF"/>
            <w:vAlign w:val="center"/>
          </w:tcPr>
          <w:p w14:paraId="14401029" w14:textId="77777777" w:rsidR="00E663E0" w:rsidRPr="003813FC" w:rsidRDefault="00E663E0" w:rsidP="00E663E0">
            <w:pPr>
              <w:pStyle w:val="NormalWeb"/>
              <w:spacing w:before="77" w:beforeAutospacing="0" w:after="0" w:afterAutospacing="0"/>
              <w:jc w:val="center"/>
              <w:textAlignment w:val="baseline"/>
              <w:rPr>
                <w:rFonts w:asciiTheme="minorHAnsi" w:hAnsiTheme="minorHAnsi" w:cs="Arial"/>
                <w:color w:val="FFFFFF" w:themeColor="background1"/>
                <w:lang w:val="ro-RO"/>
              </w:rPr>
            </w:pPr>
            <w:r w:rsidRPr="003813FC">
              <w:rPr>
                <w:rFonts w:asciiTheme="minorHAnsi" w:hAnsiTheme="minorHAnsi" w:cs="Arial"/>
                <w:b/>
                <w:bCs/>
                <w:color w:val="FFFFFF" w:themeColor="background1"/>
                <w:kern w:val="24"/>
                <w:lang w:val="ro-RO"/>
              </w:rPr>
              <w:t>Program operațional</w:t>
            </w:r>
          </w:p>
        </w:tc>
        <w:tc>
          <w:tcPr>
            <w:tcW w:w="1560" w:type="dxa"/>
            <w:shd w:val="clear" w:color="auto" w:fill="365F91" w:themeFill="accent1" w:themeFillShade="BF"/>
            <w:vAlign w:val="center"/>
          </w:tcPr>
          <w:p w14:paraId="78B89E67" w14:textId="77777777" w:rsidR="00E663E0" w:rsidRDefault="00E663E0" w:rsidP="00E663E0">
            <w:pPr>
              <w:pStyle w:val="NormalWeb"/>
              <w:spacing w:before="77" w:beforeAutospacing="0" w:after="0" w:afterAutospacing="0"/>
              <w:jc w:val="center"/>
              <w:textAlignment w:val="baseline"/>
              <w:rPr>
                <w:rFonts w:asciiTheme="minorHAnsi" w:hAnsiTheme="minorHAnsi" w:cs="Arial"/>
                <w:b/>
                <w:bCs/>
                <w:color w:val="FFFFFF" w:themeColor="background1"/>
                <w:kern w:val="24"/>
                <w:lang w:val="ro-RO"/>
              </w:rPr>
            </w:pPr>
            <w:r>
              <w:rPr>
                <w:rFonts w:asciiTheme="minorHAnsi" w:hAnsiTheme="minorHAnsi" w:cs="Arial"/>
                <w:b/>
                <w:bCs/>
                <w:color w:val="FFFFFF" w:themeColor="background1"/>
                <w:kern w:val="24"/>
                <w:lang w:val="ro-RO"/>
              </w:rPr>
              <w:t>Buget</w:t>
            </w:r>
            <w:r w:rsidRPr="003813FC">
              <w:rPr>
                <w:rFonts w:asciiTheme="minorHAnsi" w:hAnsiTheme="minorHAnsi" w:cs="Arial"/>
                <w:b/>
                <w:bCs/>
                <w:color w:val="FFFFFF" w:themeColor="background1"/>
                <w:kern w:val="24"/>
                <w:lang w:val="ro-RO"/>
              </w:rPr>
              <w:t xml:space="preserve"> </w:t>
            </w:r>
            <w:r>
              <w:rPr>
                <w:rFonts w:asciiTheme="minorHAnsi" w:hAnsiTheme="minorHAnsi" w:cs="Arial"/>
                <w:b/>
                <w:bCs/>
                <w:color w:val="FFFFFF" w:themeColor="background1"/>
                <w:kern w:val="24"/>
                <w:lang w:val="ro-RO"/>
              </w:rPr>
              <w:t>alocat</w:t>
            </w:r>
            <w:r w:rsidRPr="003813FC">
              <w:rPr>
                <w:rFonts w:asciiTheme="minorHAnsi" w:hAnsiTheme="minorHAnsi" w:cs="Arial"/>
                <w:b/>
                <w:bCs/>
                <w:color w:val="FFFFFF" w:themeColor="background1"/>
                <w:kern w:val="24"/>
                <w:lang w:val="ro-RO"/>
              </w:rPr>
              <w:t xml:space="preserve"> </w:t>
            </w:r>
          </w:p>
          <w:p w14:paraId="5DA1C762" w14:textId="77777777" w:rsidR="00E663E0" w:rsidRPr="003813FC" w:rsidRDefault="00E663E0" w:rsidP="00E663E0">
            <w:pPr>
              <w:pStyle w:val="NormalWeb"/>
              <w:spacing w:before="77" w:beforeAutospacing="0" w:after="0" w:afterAutospacing="0"/>
              <w:jc w:val="center"/>
              <w:textAlignment w:val="baseline"/>
              <w:rPr>
                <w:rFonts w:asciiTheme="minorHAnsi" w:hAnsiTheme="minorHAnsi" w:cs="Arial"/>
                <w:color w:val="FFFFFF" w:themeColor="background1"/>
                <w:lang w:val="ro-RO"/>
              </w:rPr>
            </w:pPr>
            <w:r w:rsidRPr="003813FC">
              <w:rPr>
                <w:rFonts w:asciiTheme="minorHAnsi" w:hAnsiTheme="minorHAnsi" w:cs="Arial"/>
                <w:b/>
                <w:bCs/>
                <w:color w:val="FFFFFF" w:themeColor="background1"/>
                <w:kern w:val="24"/>
                <w:lang w:val="ro-RO"/>
              </w:rPr>
              <w:t>(mil</w:t>
            </w:r>
            <w:r>
              <w:rPr>
                <w:rFonts w:asciiTheme="minorHAnsi" w:hAnsiTheme="minorHAnsi" w:cs="Arial"/>
                <w:b/>
                <w:bCs/>
                <w:color w:val="FFFFFF" w:themeColor="background1"/>
                <w:kern w:val="24"/>
                <w:lang w:val="ro-RO"/>
              </w:rPr>
              <w:t>iarde</w:t>
            </w:r>
            <w:r w:rsidRPr="003813FC">
              <w:rPr>
                <w:rFonts w:asciiTheme="minorHAnsi" w:hAnsiTheme="minorHAnsi" w:cs="Arial"/>
                <w:b/>
                <w:bCs/>
                <w:color w:val="FFFFFF" w:themeColor="background1"/>
                <w:kern w:val="24"/>
                <w:lang w:val="ro-RO"/>
              </w:rPr>
              <w:t xml:space="preserve"> Euro) </w:t>
            </w:r>
            <w:r w:rsidRPr="003813FC">
              <w:rPr>
                <w:rFonts w:asciiTheme="minorHAnsi" w:hAnsiTheme="minorHAnsi" w:cs="Arial"/>
                <w:b/>
                <w:bCs/>
                <w:color w:val="FFFFFF" w:themeColor="background1"/>
                <w:kern w:val="24"/>
                <w:lang w:val="ro-RO"/>
              </w:rPr>
              <w:tab/>
            </w:r>
          </w:p>
        </w:tc>
      </w:tr>
      <w:tr w:rsidR="00E663E0" w:rsidRPr="003813FC" w14:paraId="1F153C21" w14:textId="77777777" w:rsidTr="00E663E0">
        <w:tc>
          <w:tcPr>
            <w:tcW w:w="4111" w:type="dxa"/>
            <w:vAlign w:val="center"/>
          </w:tcPr>
          <w:p w14:paraId="78FCF25B" w14:textId="77777777" w:rsidR="00E663E0" w:rsidRPr="003813FC" w:rsidRDefault="00E663E0" w:rsidP="00E663E0">
            <w:pPr>
              <w:pStyle w:val="NormalWeb"/>
              <w:spacing w:before="77" w:beforeAutospacing="0" w:after="0" w:afterAutospacing="0"/>
              <w:textAlignment w:val="baseline"/>
              <w:rPr>
                <w:rFonts w:asciiTheme="minorHAnsi" w:hAnsiTheme="minorHAnsi" w:cs="Arial"/>
                <w:lang w:val="ro-RO"/>
              </w:rPr>
            </w:pPr>
            <w:r w:rsidRPr="003813FC">
              <w:rPr>
                <w:rFonts w:asciiTheme="minorHAnsi" w:hAnsiTheme="minorHAnsi" w:cs="Arial"/>
                <w:color w:val="000000" w:themeColor="text1"/>
                <w:kern w:val="24"/>
                <w:lang w:val="ro-RO"/>
              </w:rPr>
              <w:t>Programul Operațional Sectorial Creșterea Competitivității Economice (POS CCE)</w:t>
            </w:r>
          </w:p>
        </w:tc>
        <w:tc>
          <w:tcPr>
            <w:tcW w:w="1417" w:type="dxa"/>
            <w:vAlign w:val="center"/>
          </w:tcPr>
          <w:p w14:paraId="1AEA8313" w14:textId="77777777" w:rsidR="00E663E0" w:rsidRPr="003813FC" w:rsidRDefault="00E663E0" w:rsidP="00E663E0">
            <w:pPr>
              <w:pStyle w:val="NormalWeb"/>
              <w:spacing w:before="77" w:beforeAutospacing="0" w:after="0" w:afterAutospacing="0"/>
              <w:jc w:val="right"/>
              <w:textAlignment w:val="baseline"/>
              <w:rPr>
                <w:rFonts w:asciiTheme="minorHAnsi" w:hAnsiTheme="minorHAnsi" w:cs="Arial"/>
                <w:lang w:val="ro-RO"/>
              </w:rPr>
            </w:pPr>
            <w:r>
              <w:rPr>
                <w:rFonts w:asciiTheme="minorHAnsi" w:hAnsiTheme="minorHAnsi" w:cs="Arial"/>
                <w:b/>
                <w:bCs/>
                <w:color w:val="000000" w:themeColor="text1"/>
                <w:kern w:val="24"/>
                <w:lang w:val="ro-RO"/>
              </w:rPr>
              <w:t>2,554</w:t>
            </w:r>
            <w:r w:rsidRPr="003813FC">
              <w:rPr>
                <w:rFonts w:asciiTheme="minorHAnsi" w:hAnsiTheme="minorHAnsi" w:cs="Arial"/>
                <w:color w:val="000000" w:themeColor="text1"/>
                <w:kern w:val="24"/>
                <w:lang w:val="ro-RO"/>
              </w:rPr>
              <w:t xml:space="preserve"> </w:t>
            </w:r>
          </w:p>
        </w:tc>
        <w:tc>
          <w:tcPr>
            <w:tcW w:w="1559" w:type="dxa"/>
            <w:vAlign w:val="center"/>
          </w:tcPr>
          <w:p w14:paraId="31B326AD" w14:textId="77777777" w:rsidR="00E663E0" w:rsidRPr="002A6EC9" w:rsidRDefault="00E663E0" w:rsidP="00E663E0">
            <w:pPr>
              <w:pStyle w:val="NormalWeb"/>
              <w:spacing w:before="77" w:beforeAutospacing="0" w:after="0" w:afterAutospacing="0"/>
              <w:jc w:val="right"/>
              <w:textAlignment w:val="baseline"/>
              <w:rPr>
                <w:rFonts w:asciiTheme="minorHAnsi" w:hAnsiTheme="minorHAnsi" w:cs="Arial"/>
                <w:b/>
                <w:bCs/>
                <w:color w:val="000000" w:themeColor="text1"/>
                <w:kern w:val="24"/>
                <w:lang w:val="ro-RO"/>
              </w:rPr>
            </w:pPr>
            <w:r w:rsidRPr="002A6EC9">
              <w:rPr>
                <w:rFonts w:asciiTheme="minorHAnsi" w:hAnsiTheme="minorHAnsi" w:cs="Arial"/>
                <w:b/>
                <w:bCs/>
                <w:color w:val="000000" w:themeColor="text1"/>
                <w:kern w:val="24"/>
                <w:lang w:val="ro-RO"/>
              </w:rPr>
              <w:t>36,40%</w:t>
            </w:r>
          </w:p>
        </w:tc>
        <w:tc>
          <w:tcPr>
            <w:tcW w:w="2250" w:type="dxa"/>
            <w:vAlign w:val="center"/>
          </w:tcPr>
          <w:p w14:paraId="40DF8C38" w14:textId="77777777" w:rsidR="00E663E0" w:rsidRDefault="00E663E0" w:rsidP="00E663E0">
            <w:pPr>
              <w:jc w:val="right"/>
              <w:rPr>
                <w:rFonts w:ascii="Cambria" w:eastAsia="Times New Roman" w:hAnsi="Cambria" w:cs="Times New Roman"/>
                <w:b/>
                <w:bCs/>
                <w:color w:val="000000"/>
                <w:sz w:val="24"/>
                <w:szCs w:val="24"/>
              </w:rPr>
            </w:pPr>
            <w:r>
              <w:rPr>
                <w:rFonts w:ascii="Cambria" w:eastAsia="Times New Roman" w:hAnsi="Cambria" w:cs="Times New Roman"/>
                <w:b/>
                <w:bCs/>
                <w:color w:val="000000"/>
                <w:sz w:val="24"/>
                <w:szCs w:val="24"/>
              </w:rPr>
              <w:t>0,930</w:t>
            </w:r>
          </w:p>
        </w:tc>
        <w:tc>
          <w:tcPr>
            <w:tcW w:w="2853" w:type="dxa"/>
            <w:vAlign w:val="center"/>
          </w:tcPr>
          <w:p w14:paraId="5B132439" w14:textId="77777777" w:rsidR="00E663E0" w:rsidRPr="003813FC" w:rsidRDefault="00E663E0" w:rsidP="00E663E0">
            <w:pPr>
              <w:pStyle w:val="NormalWeb"/>
              <w:spacing w:before="77" w:beforeAutospacing="0" w:after="0" w:afterAutospacing="0"/>
              <w:textAlignment w:val="baseline"/>
              <w:rPr>
                <w:rFonts w:asciiTheme="minorHAnsi" w:hAnsiTheme="minorHAnsi" w:cs="Arial"/>
                <w:lang w:val="ro-RO"/>
              </w:rPr>
            </w:pPr>
            <w:r w:rsidRPr="003813FC">
              <w:rPr>
                <w:rFonts w:asciiTheme="minorHAnsi" w:hAnsiTheme="minorHAnsi" w:cs="Arial"/>
                <w:color w:val="000000" w:themeColor="dark1"/>
                <w:kern w:val="24"/>
                <w:lang w:val="ro-RO"/>
              </w:rPr>
              <w:t>Programul Operațional Competitivitate</w:t>
            </w:r>
          </w:p>
        </w:tc>
        <w:tc>
          <w:tcPr>
            <w:tcW w:w="1560" w:type="dxa"/>
            <w:vAlign w:val="center"/>
          </w:tcPr>
          <w:p w14:paraId="08617D6C" w14:textId="77777777" w:rsidR="00E663E0" w:rsidRPr="003813FC" w:rsidRDefault="00E663E0" w:rsidP="00E663E0">
            <w:pPr>
              <w:pStyle w:val="NormalWeb"/>
              <w:spacing w:before="77" w:beforeAutospacing="0" w:after="0" w:afterAutospacing="0"/>
              <w:jc w:val="right"/>
              <w:textAlignment w:val="baseline"/>
              <w:rPr>
                <w:rFonts w:asciiTheme="minorHAnsi" w:hAnsiTheme="minorHAnsi" w:cs="Arial"/>
                <w:lang w:val="ro-RO"/>
              </w:rPr>
            </w:pPr>
            <w:r>
              <w:rPr>
                <w:rFonts w:asciiTheme="minorHAnsi" w:hAnsiTheme="minorHAnsi" w:cs="Arial"/>
                <w:lang w:val="ro-RO"/>
              </w:rPr>
              <w:t>1,6</w:t>
            </w:r>
          </w:p>
        </w:tc>
      </w:tr>
      <w:tr w:rsidR="00E663E0" w:rsidRPr="003813FC" w14:paraId="7D500D54" w14:textId="77777777" w:rsidTr="00E663E0">
        <w:tc>
          <w:tcPr>
            <w:tcW w:w="4111" w:type="dxa"/>
            <w:vAlign w:val="center"/>
          </w:tcPr>
          <w:p w14:paraId="0CB071B1" w14:textId="77777777" w:rsidR="00E663E0" w:rsidRPr="003813FC" w:rsidRDefault="00E663E0" w:rsidP="00E663E0">
            <w:pPr>
              <w:pStyle w:val="NormalWeb"/>
              <w:spacing w:before="77" w:beforeAutospacing="0" w:after="0" w:afterAutospacing="0"/>
              <w:textAlignment w:val="baseline"/>
              <w:rPr>
                <w:rFonts w:asciiTheme="minorHAnsi" w:hAnsiTheme="minorHAnsi" w:cs="Arial"/>
                <w:lang w:val="ro-RO"/>
              </w:rPr>
            </w:pPr>
            <w:r w:rsidRPr="003813FC">
              <w:rPr>
                <w:rFonts w:asciiTheme="minorHAnsi" w:hAnsiTheme="minorHAnsi" w:cs="Arial"/>
                <w:color w:val="000000" w:themeColor="text1"/>
                <w:kern w:val="24"/>
                <w:lang w:val="ro-RO"/>
              </w:rPr>
              <w:t>Programul Operațional Sectorial Transport  (POS Transport)</w:t>
            </w:r>
          </w:p>
        </w:tc>
        <w:tc>
          <w:tcPr>
            <w:tcW w:w="1417" w:type="dxa"/>
            <w:vAlign w:val="center"/>
          </w:tcPr>
          <w:p w14:paraId="68065383" w14:textId="77777777" w:rsidR="00E663E0" w:rsidRPr="003813FC" w:rsidRDefault="00E663E0" w:rsidP="00E663E0">
            <w:pPr>
              <w:pStyle w:val="NormalWeb"/>
              <w:spacing w:before="77" w:beforeAutospacing="0" w:after="0" w:afterAutospacing="0"/>
              <w:jc w:val="right"/>
              <w:textAlignment w:val="baseline"/>
              <w:rPr>
                <w:rFonts w:asciiTheme="minorHAnsi" w:hAnsiTheme="minorHAnsi" w:cs="Arial"/>
                <w:lang w:val="ro-RO"/>
              </w:rPr>
            </w:pPr>
            <w:r>
              <w:rPr>
                <w:rFonts w:asciiTheme="minorHAnsi" w:hAnsiTheme="minorHAnsi" w:cs="Arial"/>
                <w:b/>
                <w:bCs/>
                <w:color w:val="000000" w:themeColor="text1"/>
                <w:kern w:val="24"/>
                <w:lang w:val="ro-RO"/>
              </w:rPr>
              <w:t>4,426</w:t>
            </w:r>
          </w:p>
        </w:tc>
        <w:tc>
          <w:tcPr>
            <w:tcW w:w="1559" w:type="dxa"/>
            <w:vAlign w:val="center"/>
          </w:tcPr>
          <w:p w14:paraId="55BEBBFA" w14:textId="77777777" w:rsidR="00E663E0" w:rsidRPr="002A6EC9" w:rsidRDefault="00E663E0" w:rsidP="00E663E0">
            <w:pPr>
              <w:pStyle w:val="NormalWeb"/>
              <w:spacing w:before="77" w:beforeAutospacing="0" w:after="0" w:afterAutospacing="0"/>
              <w:jc w:val="right"/>
              <w:textAlignment w:val="baseline"/>
              <w:rPr>
                <w:rFonts w:asciiTheme="minorHAnsi" w:hAnsiTheme="minorHAnsi" w:cs="Arial"/>
                <w:b/>
                <w:bCs/>
                <w:color w:val="000000" w:themeColor="text1"/>
                <w:kern w:val="24"/>
                <w:lang w:val="ro-RO"/>
              </w:rPr>
            </w:pPr>
            <w:r w:rsidRPr="002A6EC9">
              <w:rPr>
                <w:rFonts w:asciiTheme="minorHAnsi" w:hAnsiTheme="minorHAnsi" w:cs="Arial"/>
                <w:b/>
                <w:bCs/>
                <w:color w:val="000000" w:themeColor="text1"/>
                <w:kern w:val="24"/>
                <w:lang w:val="ro-RO"/>
              </w:rPr>
              <w:t>31,23%</w:t>
            </w:r>
          </w:p>
        </w:tc>
        <w:tc>
          <w:tcPr>
            <w:tcW w:w="2250" w:type="dxa"/>
            <w:vAlign w:val="center"/>
          </w:tcPr>
          <w:p w14:paraId="113E5B89" w14:textId="77777777" w:rsidR="00E663E0" w:rsidRDefault="00E663E0" w:rsidP="00E663E0">
            <w:pPr>
              <w:jc w:val="right"/>
              <w:rPr>
                <w:rFonts w:ascii="Cambria" w:eastAsia="Times New Roman" w:hAnsi="Cambria" w:cs="Times New Roman"/>
                <w:b/>
                <w:bCs/>
                <w:color w:val="000000"/>
                <w:sz w:val="24"/>
                <w:szCs w:val="24"/>
              </w:rPr>
            </w:pPr>
            <w:r>
              <w:rPr>
                <w:rFonts w:ascii="Cambria" w:eastAsia="Times New Roman" w:hAnsi="Cambria" w:cs="Times New Roman"/>
                <w:b/>
                <w:bCs/>
                <w:color w:val="000000"/>
                <w:sz w:val="24"/>
                <w:szCs w:val="24"/>
              </w:rPr>
              <w:t>1,426</w:t>
            </w:r>
          </w:p>
        </w:tc>
        <w:tc>
          <w:tcPr>
            <w:tcW w:w="2853" w:type="dxa"/>
            <w:vMerge w:val="restart"/>
            <w:vAlign w:val="center"/>
          </w:tcPr>
          <w:p w14:paraId="204A57F6" w14:textId="77777777" w:rsidR="00E663E0" w:rsidRPr="003813FC" w:rsidRDefault="00E663E0" w:rsidP="00E663E0">
            <w:pPr>
              <w:pStyle w:val="NormalWeb"/>
              <w:spacing w:before="77" w:beforeAutospacing="0" w:after="0" w:afterAutospacing="0"/>
              <w:textAlignment w:val="baseline"/>
              <w:rPr>
                <w:rFonts w:asciiTheme="minorHAnsi" w:hAnsiTheme="minorHAnsi" w:cs="Arial"/>
                <w:lang w:val="ro-RO"/>
              </w:rPr>
            </w:pPr>
            <w:r w:rsidRPr="003813FC">
              <w:rPr>
                <w:rFonts w:asciiTheme="minorHAnsi" w:hAnsiTheme="minorHAnsi" w:cs="Arial"/>
                <w:color w:val="000000" w:themeColor="dark1"/>
                <w:kern w:val="24"/>
                <w:lang w:val="ro-RO"/>
              </w:rPr>
              <w:t>Programul Operațional Infrastructură Mare</w:t>
            </w:r>
          </w:p>
        </w:tc>
        <w:tc>
          <w:tcPr>
            <w:tcW w:w="1560" w:type="dxa"/>
            <w:vMerge w:val="restart"/>
            <w:vAlign w:val="center"/>
          </w:tcPr>
          <w:p w14:paraId="5F1D2CE4" w14:textId="77777777" w:rsidR="00E663E0" w:rsidRPr="003813FC" w:rsidRDefault="00E663E0" w:rsidP="00E663E0">
            <w:pPr>
              <w:pStyle w:val="NormalWeb"/>
              <w:spacing w:before="77" w:beforeAutospacing="0" w:after="0" w:afterAutospacing="0"/>
              <w:jc w:val="right"/>
              <w:textAlignment w:val="baseline"/>
              <w:rPr>
                <w:rFonts w:asciiTheme="minorHAnsi" w:hAnsiTheme="minorHAnsi" w:cs="Arial"/>
                <w:lang w:val="ro-RO"/>
              </w:rPr>
            </w:pPr>
            <w:r>
              <w:rPr>
                <w:rFonts w:asciiTheme="minorHAnsi" w:hAnsiTheme="minorHAnsi" w:cs="Arial"/>
                <w:lang w:val="ro-RO"/>
              </w:rPr>
              <w:t>9,1</w:t>
            </w:r>
          </w:p>
        </w:tc>
      </w:tr>
      <w:tr w:rsidR="00E663E0" w:rsidRPr="003813FC" w14:paraId="57C4E9CC" w14:textId="77777777" w:rsidTr="00E663E0">
        <w:tc>
          <w:tcPr>
            <w:tcW w:w="4111" w:type="dxa"/>
            <w:vAlign w:val="center"/>
          </w:tcPr>
          <w:p w14:paraId="031C3BF1" w14:textId="77777777" w:rsidR="00E663E0" w:rsidRPr="003813FC" w:rsidRDefault="00E663E0" w:rsidP="00E663E0">
            <w:pPr>
              <w:pStyle w:val="NormalWeb"/>
              <w:spacing w:before="77" w:beforeAutospacing="0" w:after="0" w:afterAutospacing="0"/>
              <w:textAlignment w:val="baseline"/>
              <w:rPr>
                <w:rFonts w:asciiTheme="minorHAnsi" w:hAnsiTheme="minorHAnsi" w:cs="Arial"/>
                <w:lang w:val="ro-RO"/>
              </w:rPr>
            </w:pPr>
            <w:r w:rsidRPr="003813FC">
              <w:rPr>
                <w:rFonts w:asciiTheme="minorHAnsi" w:hAnsiTheme="minorHAnsi" w:cs="Arial"/>
                <w:color w:val="000000" w:themeColor="text1"/>
                <w:kern w:val="24"/>
                <w:lang w:val="ro-RO"/>
              </w:rPr>
              <w:t>Programul Operațional Sectorial Mediu (POS Mediu)</w:t>
            </w:r>
          </w:p>
        </w:tc>
        <w:tc>
          <w:tcPr>
            <w:tcW w:w="1417" w:type="dxa"/>
            <w:vAlign w:val="center"/>
          </w:tcPr>
          <w:p w14:paraId="6D3439BB" w14:textId="77777777" w:rsidR="00E663E0" w:rsidRPr="003813FC" w:rsidRDefault="00E663E0" w:rsidP="00E663E0">
            <w:pPr>
              <w:pStyle w:val="NormalWeb"/>
              <w:spacing w:before="77" w:beforeAutospacing="0" w:after="0" w:afterAutospacing="0"/>
              <w:jc w:val="right"/>
              <w:textAlignment w:val="baseline"/>
              <w:rPr>
                <w:rFonts w:asciiTheme="minorHAnsi" w:hAnsiTheme="minorHAnsi" w:cs="Arial"/>
                <w:lang w:val="ro-RO"/>
              </w:rPr>
            </w:pPr>
            <w:r>
              <w:rPr>
                <w:rFonts w:asciiTheme="minorHAnsi" w:hAnsiTheme="minorHAnsi" w:cs="Arial"/>
                <w:b/>
                <w:bCs/>
                <w:color w:val="000000" w:themeColor="text1"/>
                <w:kern w:val="24"/>
                <w:lang w:val="ro-RO"/>
              </w:rPr>
              <w:t>4,413</w:t>
            </w:r>
            <w:r w:rsidRPr="003813FC">
              <w:rPr>
                <w:rFonts w:asciiTheme="minorHAnsi" w:hAnsiTheme="minorHAnsi" w:cs="Arial"/>
                <w:color w:val="000000" w:themeColor="text1"/>
                <w:kern w:val="24"/>
                <w:lang w:val="ro-RO"/>
              </w:rPr>
              <w:t xml:space="preserve"> </w:t>
            </w:r>
          </w:p>
        </w:tc>
        <w:tc>
          <w:tcPr>
            <w:tcW w:w="1559" w:type="dxa"/>
            <w:vAlign w:val="center"/>
          </w:tcPr>
          <w:p w14:paraId="0797A916" w14:textId="77777777" w:rsidR="00E663E0" w:rsidRPr="002A6EC9" w:rsidRDefault="00E663E0" w:rsidP="00E663E0">
            <w:pPr>
              <w:pStyle w:val="NormalWeb"/>
              <w:spacing w:before="77" w:beforeAutospacing="0" w:after="0" w:afterAutospacing="0"/>
              <w:jc w:val="right"/>
              <w:textAlignment w:val="baseline"/>
              <w:rPr>
                <w:rFonts w:asciiTheme="minorHAnsi" w:hAnsiTheme="minorHAnsi" w:cs="Arial"/>
                <w:b/>
                <w:bCs/>
                <w:color w:val="000000" w:themeColor="text1"/>
                <w:kern w:val="24"/>
                <w:lang w:val="ro-RO"/>
              </w:rPr>
            </w:pPr>
            <w:r w:rsidRPr="002A6EC9">
              <w:rPr>
                <w:rFonts w:asciiTheme="minorHAnsi" w:hAnsiTheme="minorHAnsi" w:cs="Arial"/>
                <w:b/>
                <w:bCs/>
                <w:color w:val="000000" w:themeColor="text1"/>
                <w:kern w:val="24"/>
                <w:lang w:val="ro-RO"/>
              </w:rPr>
              <w:t>28,33%</w:t>
            </w:r>
          </w:p>
        </w:tc>
        <w:tc>
          <w:tcPr>
            <w:tcW w:w="2250" w:type="dxa"/>
            <w:vAlign w:val="center"/>
          </w:tcPr>
          <w:p w14:paraId="603E55A1" w14:textId="77777777" w:rsidR="00E663E0" w:rsidRDefault="00E663E0" w:rsidP="00E663E0">
            <w:pPr>
              <w:jc w:val="right"/>
              <w:rPr>
                <w:rFonts w:ascii="Cambria" w:eastAsia="Times New Roman" w:hAnsi="Cambria" w:cs="Times New Roman"/>
                <w:b/>
                <w:bCs/>
                <w:color w:val="000000"/>
                <w:sz w:val="24"/>
                <w:szCs w:val="24"/>
              </w:rPr>
            </w:pPr>
            <w:r>
              <w:rPr>
                <w:rFonts w:ascii="Cambria" w:eastAsia="Times New Roman" w:hAnsi="Cambria" w:cs="Times New Roman"/>
                <w:b/>
                <w:bCs/>
                <w:color w:val="000000"/>
                <w:sz w:val="24"/>
                <w:szCs w:val="24"/>
              </w:rPr>
              <w:t>1,279</w:t>
            </w:r>
          </w:p>
        </w:tc>
        <w:tc>
          <w:tcPr>
            <w:tcW w:w="2853" w:type="dxa"/>
            <w:vMerge/>
            <w:vAlign w:val="center"/>
          </w:tcPr>
          <w:p w14:paraId="5267FADF" w14:textId="77777777" w:rsidR="00E663E0" w:rsidRPr="003813FC" w:rsidRDefault="00E663E0" w:rsidP="00E663E0">
            <w:pPr>
              <w:pStyle w:val="NormalWeb"/>
              <w:spacing w:before="77" w:beforeAutospacing="0" w:after="0" w:afterAutospacing="0"/>
              <w:textAlignment w:val="baseline"/>
              <w:rPr>
                <w:rFonts w:asciiTheme="minorHAnsi" w:hAnsiTheme="minorHAnsi" w:cs="Arial"/>
                <w:lang w:val="ro-RO"/>
              </w:rPr>
            </w:pPr>
          </w:p>
        </w:tc>
        <w:tc>
          <w:tcPr>
            <w:tcW w:w="1560" w:type="dxa"/>
            <w:vMerge/>
            <w:vAlign w:val="center"/>
          </w:tcPr>
          <w:p w14:paraId="7A1020BD" w14:textId="77777777" w:rsidR="00E663E0" w:rsidRPr="003813FC" w:rsidRDefault="00E663E0" w:rsidP="00E663E0">
            <w:pPr>
              <w:pStyle w:val="NormalWeb"/>
              <w:spacing w:before="77" w:beforeAutospacing="0" w:after="0" w:afterAutospacing="0"/>
              <w:jc w:val="right"/>
              <w:textAlignment w:val="baseline"/>
              <w:rPr>
                <w:rFonts w:asciiTheme="minorHAnsi" w:hAnsiTheme="minorHAnsi" w:cs="Arial"/>
                <w:lang w:val="ro-RO"/>
              </w:rPr>
            </w:pPr>
          </w:p>
        </w:tc>
      </w:tr>
      <w:tr w:rsidR="00E663E0" w:rsidRPr="003813FC" w14:paraId="234DF105" w14:textId="77777777" w:rsidTr="00E663E0">
        <w:tc>
          <w:tcPr>
            <w:tcW w:w="4111" w:type="dxa"/>
            <w:vAlign w:val="center"/>
          </w:tcPr>
          <w:p w14:paraId="384A09C2" w14:textId="77777777" w:rsidR="00E663E0" w:rsidRPr="003813FC" w:rsidRDefault="00E663E0" w:rsidP="00E663E0">
            <w:pPr>
              <w:pStyle w:val="NormalWeb"/>
              <w:spacing w:before="77" w:beforeAutospacing="0" w:after="0" w:afterAutospacing="0"/>
              <w:textAlignment w:val="baseline"/>
              <w:rPr>
                <w:rFonts w:asciiTheme="minorHAnsi" w:hAnsiTheme="minorHAnsi" w:cs="Arial"/>
                <w:lang w:val="ro-RO"/>
              </w:rPr>
            </w:pPr>
            <w:r w:rsidRPr="003813FC">
              <w:rPr>
                <w:rFonts w:asciiTheme="minorHAnsi" w:hAnsiTheme="minorHAnsi" w:cs="Arial"/>
                <w:color w:val="000000" w:themeColor="text1"/>
                <w:kern w:val="24"/>
                <w:lang w:val="ro-RO"/>
              </w:rPr>
              <w:t>Programul Operațional Regional (POR)</w:t>
            </w:r>
          </w:p>
        </w:tc>
        <w:tc>
          <w:tcPr>
            <w:tcW w:w="1417" w:type="dxa"/>
            <w:vAlign w:val="center"/>
          </w:tcPr>
          <w:p w14:paraId="0B65185E" w14:textId="77777777" w:rsidR="00E663E0" w:rsidRPr="003813FC" w:rsidRDefault="00E663E0" w:rsidP="00E663E0">
            <w:pPr>
              <w:pStyle w:val="NormalWeb"/>
              <w:spacing w:before="77" w:beforeAutospacing="0" w:after="0" w:afterAutospacing="0"/>
              <w:jc w:val="right"/>
              <w:textAlignment w:val="baseline"/>
              <w:rPr>
                <w:rFonts w:asciiTheme="minorHAnsi" w:hAnsiTheme="minorHAnsi" w:cs="Arial"/>
                <w:lang w:val="ro-RO"/>
              </w:rPr>
            </w:pPr>
            <w:r>
              <w:rPr>
                <w:rFonts w:asciiTheme="minorHAnsi" w:hAnsiTheme="minorHAnsi" w:cs="Arial"/>
                <w:b/>
                <w:bCs/>
                <w:color w:val="000000" w:themeColor="text1"/>
                <w:kern w:val="24"/>
                <w:lang w:val="ro-RO"/>
              </w:rPr>
              <w:t>3,966</w:t>
            </w:r>
            <w:r w:rsidRPr="003813FC">
              <w:rPr>
                <w:rFonts w:asciiTheme="minorHAnsi" w:hAnsiTheme="minorHAnsi" w:cs="Arial"/>
                <w:color w:val="000000" w:themeColor="text1"/>
                <w:kern w:val="24"/>
                <w:lang w:val="ro-RO"/>
              </w:rPr>
              <w:t xml:space="preserve"> </w:t>
            </w:r>
          </w:p>
        </w:tc>
        <w:tc>
          <w:tcPr>
            <w:tcW w:w="1559" w:type="dxa"/>
            <w:vAlign w:val="center"/>
          </w:tcPr>
          <w:p w14:paraId="40648D2A" w14:textId="77777777" w:rsidR="00E663E0" w:rsidRPr="002A6EC9" w:rsidRDefault="00E663E0" w:rsidP="00E663E0">
            <w:pPr>
              <w:pStyle w:val="NormalWeb"/>
              <w:spacing w:before="77" w:beforeAutospacing="0" w:after="0" w:afterAutospacing="0"/>
              <w:jc w:val="right"/>
              <w:textAlignment w:val="baseline"/>
              <w:rPr>
                <w:rFonts w:asciiTheme="minorHAnsi" w:hAnsiTheme="minorHAnsi" w:cs="Arial"/>
                <w:b/>
                <w:bCs/>
                <w:color w:val="000000" w:themeColor="text1"/>
                <w:kern w:val="24"/>
                <w:lang w:val="ro-RO"/>
              </w:rPr>
            </w:pPr>
            <w:r w:rsidRPr="002A6EC9">
              <w:rPr>
                <w:rFonts w:asciiTheme="minorHAnsi" w:hAnsiTheme="minorHAnsi" w:cs="Arial"/>
                <w:b/>
                <w:bCs/>
                <w:color w:val="000000" w:themeColor="text1"/>
                <w:kern w:val="24"/>
                <w:lang w:val="ro-RO"/>
              </w:rPr>
              <w:t>46,70%</w:t>
            </w:r>
          </w:p>
        </w:tc>
        <w:tc>
          <w:tcPr>
            <w:tcW w:w="2250" w:type="dxa"/>
            <w:vAlign w:val="center"/>
          </w:tcPr>
          <w:p w14:paraId="6C8854E1" w14:textId="77777777" w:rsidR="00E663E0" w:rsidRDefault="00E663E0" w:rsidP="00E663E0">
            <w:pPr>
              <w:jc w:val="right"/>
              <w:rPr>
                <w:rFonts w:ascii="Cambria" w:eastAsia="Times New Roman" w:hAnsi="Cambria" w:cs="Times New Roman"/>
                <w:b/>
                <w:bCs/>
                <w:color w:val="000000"/>
                <w:sz w:val="24"/>
                <w:szCs w:val="24"/>
              </w:rPr>
            </w:pPr>
            <w:r>
              <w:rPr>
                <w:rFonts w:ascii="Cambria" w:eastAsia="Times New Roman" w:hAnsi="Cambria" w:cs="Times New Roman"/>
                <w:b/>
                <w:bCs/>
                <w:color w:val="000000"/>
                <w:sz w:val="24"/>
                <w:szCs w:val="24"/>
              </w:rPr>
              <w:t>1,740</w:t>
            </w:r>
          </w:p>
        </w:tc>
        <w:tc>
          <w:tcPr>
            <w:tcW w:w="2853" w:type="dxa"/>
            <w:vAlign w:val="center"/>
          </w:tcPr>
          <w:p w14:paraId="452D26A9" w14:textId="77777777" w:rsidR="00E663E0" w:rsidRPr="003813FC" w:rsidRDefault="00E663E0" w:rsidP="00E663E0">
            <w:pPr>
              <w:pStyle w:val="NormalWeb"/>
              <w:spacing w:before="77" w:beforeAutospacing="0" w:after="0" w:afterAutospacing="0"/>
              <w:textAlignment w:val="baseline"/>
              <w:rPr>
                <w:rFonts w:asciiTheme="minorHAnsi" w:hAnsiTheme="minorHAnsi" w:cs="Arial"/>
                <w:lang w:val="ro-RO"/>
              </w:rPr>
            </w:pPr>
            <w:r w:rsidRPr="003813FC">
              <w:rPr>
                <w:rFonts w:asciiTheme="minorHAnsi" w:hAnsiTheme="minorHAnsi" w:cs="Arial"/>
                <w:color w:val="000000" w:themeColor="dark1"/>
                <w:kern w:val="24"/>
                <w:lang w:val="ro-RO"/>
              </w:rPr>
              <w:t>Programului Operațional Regional</w:t>
            </w:r>
          </w:p>
        </w:tc>
        <w:tc>
          <w:tcPr>
            <w:tcW w:w="1560" w:type="dxa"/>
            <w:vAlign w:val="center"/>
          </w:tcPr>
          <w:p w14:paraId="70310306" w14:textId="77777777" w:rsidR="00E663E0" w:rsidRPr="003813FC" w:rsidRDefault="00E663E0" w:rsidP="00E663E0">
            <w:pPr>
              <w:pStyle w:val="NormalWeb"/>
              <w:spacing w:before="77" w:beforeAutospacing="0" w:after="0" w:afterAutospacing="0"/>
              <w:jc w:val="right"/>
              <w:textAlignment w:val="baseline"/>
              <w:rPr>
                <w:rFonts w:asciiTheme="minorHAnsi" w:hAnsiTheme="minorHAnsi" w:cs="Arial"/>
                <w:lang w:val="ro-RO"/>
              </w:rPr>
            </w:pPr>
            <w:r>
              <w:rPr>
                <w:rFonts w:asciiTheme="minorHAnsi" w:hAnsiTheme="minorHAnsi" w:cs="Arial"/>
                <w:lang w:val="ro-RO"/>
              </w:rPr>
              <w:t>6,5</w:t>
            </w:r>
          </w:p>
        </w:tc>
      </w:tr>
      <w:tr w:rsidR="00E663E0" w:rsidRPr="003813FC" w14:paraId="024FB1C2" w14:textId="77777777" w:rsidTr="00E663E0">
        <w:tc>
          <w:tcPr>
            <w:tcW w:w="4111" w:type="dxa"/>
            <w:vAlign w:val="center"/>
          </w:tcPr>
          <w:p w14:paraId="00241FC4" w14:textId="77777777" w:rsidR="00E663E0" w:rsidRPr="003813FC" w:rsidRDefault="00E663E0" w:rsidP="00E663E0">
            <w:pPr>
              <w:pStyle w:val="NormalWeb"/>
              <w:spacing w:before="77" w:beforeAutospacing="0" w:after="0" w:afterAutospacing="0"/>
              <w:textAlignment w:val="baseline"/>
              <w:rPr>
                <w:rFonts w:asciiTheme="minorHAnsi" w:hAnsiTheme="minorHAnsi" w:cs="Arial"/>
                <w:lang w:val="ro-RO"/>
              </w:rPr>
            </w:pPr>
            <w:r w:rsidRPr="003813FC">
              <w:rPr>
                <w:rFonts w:asciiTheme="minorHAnsi" w:hAnsiTheme="minorHAnsi" w:cs="Arial"/>
                <w:color w:val="000000" w:themeColor="text1"/>
                <w:kern w:val="24"/>
                <w:lang w:val="ro-RO"/>
              </w:rPr>
              <w:t>Programul Operațional Sectorial Dezvoltarea Resurselor Umane (POS DRU)</w:t>
            </w:r>
          </w:p>
        </w:tc>
        <w:tc>
          <w:tcPr>
            <w:tcW w:w="1417" w:type="dxa"/>
            <w:vAlign w:val="center"/>
          </w:tcPr>
          <w:p w14:paraId="04E3589B" w14:textId="77777777" w:rsidR="00E663E0" w:rsidRPr="003813FC" w:rsidRDefault="00E663E0" w:rsidP="00E663E0">
            <w:pPr>
              <w:pStyle w:val="NormalWeb"/>
              <w:spacing w:before="77" w:beforeAutospacing="0" w:after="0" w:afterAutospacing="0"/>
              <w:jc w:val="right"/>
              <w:textAlignment w:val="baseline"/>
              <w:rPr>
                <w:rFonts w:asciiTheme="minorHAnsi" w:hAnsiTheme="minorHAnsi" w:cs="Arial"/>
                <w:lang w:val="ro-RO"/>
              </w:rPr>
            </w:pPr>
            <w:r>
              <w:rPr>
                <w:rFonts w:asciiTheme="minorHAnsi" w:hAnsiTheme="minorHAnsi" w:cs="Arial"/>
                <w:b/>
                <w:bCs/>
                <w:color w:val="000000" w:themeColor="text1"/>
                <w:kern w:val="24"/>
                <w:lang w:val="ro-RO"/>
              </w:rPr>
              <w:t>3,476</w:t>
            </w:r>
            <w:r w:rsidRPr="003813FC">
              <w:rPr>
                <w:rFonts w:asciiTheme="minorHAnsi" w:hAnsiTheme="minorHAnsi" w:cs="Arial"/>
                <w:color w:val="000000" w:themeColor="text1"/>
                <w:kern w:val="24"/>
                <w:lang w:val="ro-RO"/>
              </w:rPr>
              <w:t xml:space="preserve"> </w:t>
            </w:r>
          </w:p>
        </w:tc>
        <w:tc>
          <w:tcPr>
            <w:tcW w:w="1559" w:type="dxa"/>
            <w:vAlign w:val="center"/>
          </w:tcPr>
          <w:p w14:paraId="20CAE0D8" w14:textId="77777777" w:rsidR="00E663E0" w:rsidRPr="002A6EC9" w:rsidRDefault="00E663E0" w:rsidP="00E663E0">
            <w:pPr>
              <w:pStyle w:val="NormalWeb"/>
              <w:spacing w:before="77" w:beforeAutospacing="0" w:after="0" w:afterAutospacing="0"/>
              <w:jc w:val="right"/>
              <w:textAlignment w:val="baseline"/>
              <w:rPr>
                <w:rFonts w:asciiTheme="minorHAnsi" w:hAnsiTheme="minorHAnsi" w:cs="Arial"/>
                <w:b/>
                <w:bCs/>
                <w:color w:val="000000" w:themeColor="text1"/>
                <w:kern w:val="24"/>
                <w:lang w:val="ro-RO"/>
              </w:rPr>
            </w:pPr>
            <w:r w:rsidRPr="002A6EC9">
              <w:rPr>
                <w:rFonts w:asciiTheme="minorHAnsi" w:hAnsiTheme="minorHAnsi" w:cs="Arial"/>
                <w:b/>
                <w:bCs/>
                <w:color w:val="000000" w:themeColor="text1"/>
                <w:kern w:val="24"/>
                <w:lang w:val="ro-RO"/>
              </w:rPr>
              <w:t>28,75%</w:t>
            </w:r>
          </w:p>
        </w:tc>
        <w:tc>
          <w:tcPr>
            <w:tcW w:w="2250" w:type="dxa"/>
            <w:vAlign w:val="center"/>
          </w:tcPr>
          <w:p w14:paraId="2220789A" w14:textId="77777777" w:rsidR="00E663E0" w:rsidRDefault="00E663E0" w:rsidP="00E663E0">
            <w:pPr>
              <w:jc w:val="right"/>
              <w:rPr>
                <w:rFonts w:ascii="Cambria" w:eastAsia="Times New Roman" w:hAnsi="Cambria" w:cs="Times New Roman"/>
                <w:b/>
                <w:bCs/>
                <w:color w:val="000000"/>
                <w:sz w:val="24"/>
                <w:szCs w:val="24"/>
              </w:rPr>
            </w:pPr>
            <w:r>
              <w:rPr>
                <w:rFonts w:ascii="Cambria" w:eastAsia="Times New Roman" w:hAnsi="Cambria" w:cs="Times New Roman"/>
                <w:b/>
                <w:bCs/>
                <w:color w:val="000000"/>
                <w:sz w:val="24"/>
                <w:szCs w:val="24"/>
              </w:rPr>
              <w:t>0,999</w:t>
            </w:r>
          </w:p>
        </w:tc>
        <w:tc>
          <w:tcPr>
            <w:tcW w:w="2853" w:type="dxa"/>
            <w:vAlign w:val="center"/>
          </w:tcPr>
          <w:p w14:paraId="52BF6D18" w14:textId="77777777" w:rsidR="00E663E0" w:rsidRPr="003813FC" w:rsidRDefault="00E663E0" w:rsidP="00E663E0">
            <w:pPr>
              <w:pStyle w:val="NormalWeb"/>
              <w:spacing w:before="77" w:beforeAutospacing="0" w:after="0" w:afterAutospacing="0"/>
              <w:textAlignment w:val="baseline"/>
              <w:rPr>
                <w:rFonts w:asciiTheme="minorHAnsi" w:hAnsiTheme="minorHAnsi" w:cs="Arial"/>
                <w:lang w:val="ro-RO"/>
              </w:rPr>
            </w:pPr>
            <w:r w:rsidRPr="003813FC">
              <w:rPr>
                <w:rFonts w:asciiTheme="minorHAnsi" w:hAnsiTheme="minorHAnsi" w:cs="Arial"/>
                <w:color w:val="000000" w:themeColor="dark1"/>
                <w:kern w:val="24"/>
                <w:lang w:val="ro-RO"/>
              </w:rPr>
              <w:t>Programul Operațional Capital Uman</w:t>
            </w:r>
          </w:p>
        </w:tc>
        <w:tc>
          <w:tcPr>
            <w:tcW w:w="1560" w:type="dxa"/>
            <w:vAlign w:val="center"/>
          </w:tcPr>
          <w:p w14:paraId="14C91C4F" w14:textId="77777777" w:rsidR="00E663E0" w:rsidRPr="003813FC" w:rsidRDefault="00E663E0" w:rsidP="00E663E0">
            <w:pPr>
              <w:pStyle w:val="NormalWeb"/>
              <w:spacing w:before="77" w:beforeAutospacing="0" w:after="0" w:afterAutospacing="0"/>
              <w:jc w:val="right"/>
              <w:textAlignment w:val="baseline"/>
              <w:rPr>
                <w:rFonts w:asciiTheme="minorHAnsi" w:hAnsiTheme="minorHAnsi" w:cs="Arial"/>
                <w:lang w:val="ro-RO"/>
              </w:rPr>
            </w:pPr>
            <w:r>
              <w:rPr>
                <w:rFonts w:asciiTheme="minorHAnsi" w:hAnsiTheme="minorHAnsi" w:cs="Arial"/>
                <w:lang w:val="ro-RO"/>
              </w:rPr>
              <w:t>3,6</w:t>
            </w:r>
          </w:p>
        </w:tc>
      </w:tr>
      <w:tr w:rsidR="00E663E0" w:rsidRPr="003813FC" w14:paraId="15776DEB" w14:textId="77777777" w:rsidTr="00E663E0">
        <w:tc>
          <w:tcPr>
            <w:tcW w:w="4111" w:type="dxa"/>
            <w:vAlign w:val="center"/>
          </w:tcPr>
          <w:p w14:paraId="466315A6" w14:textId="77777777" w:rsidR="00E663E0" w:rsidRPr="003813FC" w:rsidRDefault="00E663E0" w:rsidP="00E663E0">
            <w:pPr>
              <w:pStyle w:val="NormalWeb"/>
              <w:spacing w:before="77" w:beforeAutospacing="0" w:after="0" w:afterAutospacing="0"/>
              <w:textAlignment w:val="baseline"/>
              <w:rPr>
                <w:rFonts w:asciiTheme="minorHAnsi" w:hAnsiTheme="minorHAnsi" w:cs="Arial"/>
                <w:lang w:val="ro-RO"/>
              </w:rPr>
            </w:pPr>
            <w:r w:rsidRPr="003813FC">
              <w:rPr>
                <w:rFonts w:asciiTheme="minorHAnsi" w:hAnsiTheme="minorHAnsi" w:cs="Arial"/>
                <w:color w:val="000000" w:themeColor="text1"/>
                <w:kern w:val="24"/>
                <w:lang w:val="ro-RO"/>
              </w:rPr>
              <w:t>Programul Operațional Dezvoltarea Capacității Administrative (PO DCA)</w:t>
            </w:r>
          </w:p>
        </w:tc>
        <w:tc>
          <w:tcPr>
            <w:tcW w:w="1417" w:type="dxa"/>
            <w:vAlign w:val="center"/>
          </w:tcPr>
          <w:p w14:paraId="624267A8" w14:textId="77777777" w:rsidR="00E663E0" w:rsidRPr="003813FC" w:rsidRDefault="00E663E0" w:rsidP="00E663E0">
            <w:pPr>
              <w:pStyle w:val="NormalWeb"/>
              <w:spacing w:before="77" w:beforeAutospacing="0" w:after="0" w:afterAutospacing="0"/>
              <w:jc w:val="right"/>
              <w:textAlignment w:val="baseline"/>
              <w:rPr>
                <w:rFonts w:asciiTheme="minorHAnsi" w:hAnsiTheme="minorHAnsi" w:cs="Arial"/>
                <w:lang w:val="ro-RO"/>
              </w:rPr>
            </w:pPr>
            <w:r>
              <w:rPr>
                <w:rFonts w:asciiTheme="minorHAnsi" w:hAnsiTheme="minorHAnsi" w:cs="Arial"/>
                <w:b/>
                <w:bCs/>
                <w:color w:val="000000" w:themeColor="text1"/>
                <w:kern w:val="24"/>
                <w:lang w:val="ro-RO"/>
              </w:rPr>
              <w:t xml:space="preserve">0,208 </w:t>
            </w:r>
            <w:r w:rsidRPr="003813FC">
              <w:rPr>
                <w:rFonts w:asciiTheme="minorHAnsi" w:hAnsiTheme="minorHAnsi" w:cs="Arial"/>
                <w:color w:val="000000" w:themeColor="text1"/>
                <w:kern w:val="24"/>
                <w:lang w:val="ro-RO"/>
              </w:rPr>
              <w:t xml:space="preserve"> </w:t>
            </w:r>
          </w:p>
        </w:tc>
        <w:tc>
          <w:tcPr>
            <w:tcW w:w="1559" w:type="dxa"/>
            <w:vAlign w:val="center"/>
          </w:tcPr>
          <w:p w14:paraId="288F8D85" w14:textId="77777777" w:rsidR="00E663E0" w:rsidRPr="002A6EC9" w:rsidRDefault="00E663E0" w:rsidP="00E663E0">
            <w:pPr>
              <w:pStyle w:val="NormalWeb"/>
              <w:spacing w:before="77" w:beforeAutospacing="0" w:after="0" w:afterAutospacing="0"/>
              <w:jc w:val="right"/>
              <w:textAlignment w:val="baseline"/>
              <w:rPr>
                <w:rFonts w:asciiTheme="minorHAnsi" w:hAnsiTheme="minorHAnsi" w:cs="Arial"/>
                <w:b/>
                <w:bCs/>
                <w:color w:val="000000" w:themeColor="text1"/>
                <w:kern w:val="24"/>
                <w:lang w:val="ro-RO"/>
              </w:rPr>
            </w:pPr>
            <w:r w:rsidRPr="002A6EC9">
              <w:rPr>
                <w:rFonts w:asciiTheme="minorHAnsi" w:hAnsiTheme="minorHAnsi" w:cs="Arial"/>
                <w:b/>
                <w:bCs/>
                <w:color w:val="000000" w:themeColor="text1"/>
                <w:kern w:val="24"/>
                <w:lang w:val="ro-RO"/>
              </w:rPr>
              <w:t>55,79%</w:t>
            </w:r>
          </w:p>
        </w:tc>
        <w:tc>
          <w:tcPr>
            <w:tcW w:w="2250" w:type="dxa"/>
            <w:vAlign w:val="center"/>
          </w:tcPr>
          <w:p w14:paraId="2634F9F7" w14:textId="77777777" w:rsidR="00E663E0" w:rsidRDefault="00E663E0" w:rsidP="00E663E0">
            <w:pPr>
              <w:jc w:val="right"/>
              <w:rPr>
                <w:rFonts w:ascii="Cambria" w:eastAsia="Times New Roman" w:hAnsi="Cambria" w:cs="Times New Roman"/>
                <w:b/>
                <w:bCs/>
                <w:color w:val="000000"/>
                <w:sz w:val="24"/>
                <w:szCs w:val="24"/>
              </w:rPr>
            </w:pPr>
            <w:r>
              <w:rPr>
                <w:rFonts w:ascii="Cambria" w:eastAsia="Times New Roman" w:hAnsi="Cambria" w:cs="Times New Roman"/>
                <w:b/>
                <w:bCs/>
                <w:color w:val="000000"/>
                <w:sz w:val="24"/>
                <w:szCs w:val="24"/>
              </w:rPr>
              <w:t>0,116</w:t>
            </w:r>
          </w:p>
        </w:tc>
        <w:tc>
          <w:tcPr>
            <w:tcW w:w="2853" w:type="dxa"/>
            <w:vAlign w:val="center"/>
          </w:tcPr>
          <w:p w14:paraId="5966399E" w14:textId="77777777" w:rsidR="00E663E0" w:rsidRPr="003813FC" w:rsidRDefault="00E663E0" w:rsidP="00E663E0">
            <w:pPr>
              <w:pStyle w:val="NormalWeb"/>
              <w:spacing w:before="77" w:beforeAutospacing="0" w:after="0" w:afterAutospacing="0"/>
              <w:textAlignment w:val="baseline"/>
              <w:rPr>
                <w:rFonts w:asciiTheme="minorHAnsi" w:hAnsiTheme="minorHAnsi" w:cs="Arial"/>
                <w:lang w:val="ro-RO"/>
              </w:rPr>
            </w:pPr>
            <w:r w:rsidRPr="003813FC">
              <w:rPr>
                <w:rFonts w:asciiTheme="minorHAnsi" w:hAnsiTheme="minorHAnsi" w:cs="Arial"/>
                <w:color w:val="000000" w:themeColor="dark1"/>
                <w:kern w:val="24"/>
                <w:lang w:val="ro-RO"/>
              </w:rPr>
              <w:t>Programul Operațional Capacitate Administrativă</w:t>
            </w:r>
          </w:p>
        </w:tc>
        <w:tc>
          <w:tcPr>
            <w:tcW w:w="1560" w:type="dxa"/>
            <w:vAlign w:val="center"/>
          </w:tcPr>
          <w:p w14:paraId="41BD47C7" w14:textId="77777777" w:rsidR="00E663E0" w:rsidRPr="003813FC" w:rsidRDefault="00E663E0" w:rsidP="00E663E0">
            <w:pPr>
              <w:pStyle w:val="NormalWeb"/>
              <w:spacing w:before="77" w:beforeAutospacing="0" w:after="0" w:afterAutospacing="0"/>
              <w:jc w:val="right"/>
              <w:textAlignment w:val="baseline"/>
              <w:rPr>
                <w:rFonts w:asciiTheme="minorHAnsi" w:hAnsiTheme="minorHAnsi" w:cs="Arial"/>
                <w:lang w:val="ro-RO"/>
              </w:rPr>
            </w:pPr>
            <w:r>
              <w:rPr>
                <w:rFonts w:asciiTheme="minorHAnsi" w:hAnsiTheme="minorHAnsi" w:cs="Arial"/>
                <w:lang w:val="ro-RO"/>
              </w:rPr>
              <w:t>0,382</w:t>
            </w:r>
          </w:p>
        </w:tc>
      </w:tr>
      <w:tr w:rsidR="00E663E0" w:rsidRPr="003813FC" w14:paraId="7044ABDA" w14:textId="77777777" w:rsidTr="00E663E0">
        <w:tc>
          <w:tcPr>
            <w:tcW w:w="4111" w:type="dxa"/>
            <w:vAlign w:val="center"/>
          </w:tcPr>
          <w:p w14:paraId="21C094EF" w14:textId="77777777" w:rsidR="00E663E0" w:rsidRPr="003813FC" w:rsidRDefault="00E663E0" w:rsidP="00E663E0">
            <w:pPr>
              <w:pStyle w:val="NormalWeb"/>
              <w:spacing w:before="77" w:beforeAutospacing="0" w:after="0" w:afterAutospacing="0"/>
              <w:textAlignment w:val="baseline"/>
              <w:rPr>
                <w:rFonts w:asciiTheme="minorHAnsi" w:hAnsiTheme="minorHAnsi" w:cs="Arial"/>
                <w:lang w:val="ro-RO"/>
              </w:rPr>
            </w:pPr>
            <w:r w:rsidRPr="003813FC">
              <w:rPr>
                <w:rFonts w:asciiTheme="minorHAnsi" w:hAnsiTheme="minorHAnsi" w:cs="Arial"/>
                <w:color w:val="000000" w:themeColor="text1"/>
                <w:kern w:val="24"/>
                <w:lang w:val="ro-RO"/>
              </w:rPr>
              <w:t>Programul Operațional Asistență Tehnică  (PO AT)</w:t>
            </w:r>
          </w:p>
        </w:tc>
        <w:tc>
          <w:tcPr>
            <w:tcW w:w="1417" w:type="dxa"/>
            <w:vAlign w:val="center"/>
          </w:tcPr>
          <w:p w14:paraId="741E5004" w14:textId="77777777" w:rsidR="00E663E0" w:rsidRPr="003813FC" w:rsidRDefault="00E663E0" w:rsidP="00E663E0">
            <w:pPr>
              <w:pStyle w:val="NormalWeb"/>
              <w:spacing w:before="77" w:beforeAutospacing="0" w:after="0" w:afterAutospacing="0"/>
              <w:jc w:val="right"/>
              <w:textAlignment w:val="baseline"/>
              <w:rPr>
                <w:rFonts w:asciiTheme="minorHAnsi" w:hAnsiTheme="minorHAnsi" w:cs="Arial"/>
                <w:lang w:val="ro-RO"/>
              </w:rPr>
            </w:pPr>
            <w:r>
              <w:rPr>
                <w:rFonts w:asciiTheme="minorHAnsi" w:hAnsiTheme="minorHAnsi" w:cs="Arial"/>
                <w:b/>
                <w:bCs/>
                <w:color w:val="000000" w:themeColor="text1"/>
                <w:kern w:val="24"/>
                <w:lang w:val="ro-RO"/>
              </w:rPr>
              <w:t>0,170</w:t>
            </w:r>
          </w:p>
        </w:tc>
        <w:tc>
          <w:tcPr>
            <w:tcW w:w="1559" w:type="dxa"/>
            <w:vAlign w:val="center"/>
          </w:tcPr>
          <w:p w14:paraId="49F09653" w14:textId="77777777" w:rsidR="00E663E0" w:rsidRPr="002A6EC9" w:rsidRDefault="00E663E0" w:rsidP="00E663E0">
            <w:pPr>
              <w:pStyle w:val="NormalWeb"/>
              <w:spacing w:before="77" w:beforeAutospacing="0" w:after="0" w:afterAutospacing="0"/>
              <w:jc w:val="right"/>
              <w:textAlignment w:val="baseline"/>
              <w:rPr>
                <w:rFonts w:asciiTheme="minorHAnsi" w:hAnsiTheme="minorHAnsi" w:cs="Arial"/>
                <w:b/>
                <w:bCs/>
                <w:color w:val="000000" w:themeColor="text1"/>
                <w:kern w:val="24"/>
                <w:lang w:val="ro-RO"/>
              </w:rPr>
            </w:pPr>
            <w:r w:rsidRPr="002A6EC9">
              <w:rPr>
                <w:rFonts w:asciiTheme="minorHAnsi" w:hAnsiTheme="minorHAnsi" w:cs="Arial"/>
                <w:b/>
                <w:bCs/>
                <w:color w:val="000000" w:themeColor="text1"/>
                <w:kern w:val="24"/>
                <w:lang w:val="ro-RO"/>
              </w:rPr>
              <w:t>33,89%</w:t>
            </w:r>
          </w:p>
        </w:tc>
        <w:tc>
          <w:tcPr>
            <w:tcW w:w="2250" w:type="dxa"/>
            <w:vAlign w:val="center"/>
          </w:tcPr>
          <w:p w14:paraId="2DC3C525" w14:textId="77777777" w:rsidR="00E663E0" w:rsidRDefault="00E663E0" w:rsidP="00E663E0">
            <w:pPr>
              <w:jc w:val="right"/>
              <w:rPr>
                <w:rFonts w:ascii="Cambria" w:eastAsia="Times New Roman" w:hAnsi="Cambria" w:cs="Times New Roman"/>
                <w:b/>
                <w:bCs/>
                <w:color w:val="000000"/>
                <w:sz w:val="24"/>
                <w:szCs w:val="24"/>
              </w:rPr>
            </w:pPr>
            <w:r>
              <w:rPr>
                <w:rFonts w:ascii="Cambria" w:eastAsia="Times New Roman" w:hAnsi="Cambria" w:cs="Times New Roman"/>
                <w:b/>
                <w:bCs/>
                <w:color w:val="000000"/>
                <w:sz w:val="24"/>
                <w:szCs w:val="24"/>
              </w:rPr>
              <w:t>0,058</w:t>
            </w:r>
          </w:p>
        </w:tc>
        <w:tc>
          <w:tcPr>
            <w:tcW w:w="2853" w:type="dxa"/>
            <w:vAlign w:val="center"/>
          </w:tcPr>
          <w:p w14:paraId="4A6EF1DC" w14:textId="77777777" w:rsidR="00E663E0" w:rsidRPr="003813FC" w:rsidRDefault="00E663E0" w:rsidP="00E663E0">
            <w:pPr>
              <w:pStyle w:val="NormalWeb"/>
              <w:spacing w:before="77" w:beforeAutospacing="0" w:after="0" w:afterAutospacing="0"/>
              <w:textAlignment w:val="baseline"/>
              <w:rPr>
                <w:rFonts w:asciiTheme="minorHAnsi" w:hAnsiTheme="minorHAnsi" w:cs="Arial"/>
                <w:lang w:val="ro-RO"/>
              </w:rPr>
            </w:pPr>
            <w:r w:rsidRPr="003813FC">
              <w:rPr>
                <w:rFonts w:asciiTheme="minorHAnsi" w:hAnsiTheme="minorHAnsi" w:cs="Arial"/>
                <w:color w:val="000000" w:themeColor="dark1"/>
                <w:kern w:val="24"/>
                <w:lang w:val="ro-RO"/>
              </w:rPr>
              <w:t>Programul Operațional Asistență Tehnică</w:t>
            </w:r>
          </w:p>
        </w:tc>
        <w:tc>
          <w:tcPr>
            <w:tcW w:w="1560" w:type="dxa"/>
            <w:vAlign w:val="center"/>
          </w:tcPr>
          <w:p w14:paraId="1D416176" w14:textId="77777777" w:rsidR="00E663E0" w:rsidRPr="003813FC" w:rsidRDefault="00E663E0" w:rsidP="00E663E0">
            <w:pPr>
              <w:pStyle w:val="NormalWeb"/>
              <w:spacing w:before="77" w:beforeAutospacing="0" w:after="0" w:afterAutospacing="0"/>
              <w:jc w:val="right"/>
              <w:textAlignment w:val="baseline"/>
              <w:rPr>
                <w:rFonts w:asciiTheme="minorHAnsi" w:hAnsiTheme="minorHAnsi" w:cs="Arial"/>
                <w:lang w:val="ro-RO"/>
              </w:rPr>
            </w:pPr>
            <w:r>
              <w:rPr>
                <w:rFonts w:asciiTheme="minorHAnsi" w:hAnsiTheme="minorHAnsi" w:cs="Arial"/>
                <w:lang w:val="ro-RO"/>
              </w:rPr>
              <w:t>0,3</w:t>
            </w:r>
          </w:p>
        </w:tc>
      </w:tr>
      <w:tr w:rsidR="00E663E0" w:rsidRPr="003813FC" w14:paraId="3978B6F1" w14:textId="77777777" w:rsidTr="00E663E0">
        <w:tc>
          <w:tcPr>
            <w:tcW w:w="4111" w:type="dxa"/>
            <w:vAlign w:val="center"/>
          </w:tcPr>
          <w:p w14:paraId="1581CF0C" w14:textId="77777777" w:rsidR="00E663E0" w:rsidRPr="003813FC" w:rsidRDefault="00E663E0" w:rsidP="00E663E0">
            <w:pPr>
              <w:pStyle w:val="NormalWeb"/>
              <w:spacing w:before="106" w:beforeAutospacing="0" w:after="0" w:afterAutospacing="0"/>
              <w:textAlignment w:val="baseline"/>
              <w:rPr>
                <w:rFonts w:asciiTheme="minorHAnsi" w:hAnsiTheme="minorHAnsi" w:cs="Arial"/>
                <w:b/>
                <w:lang w:val="ro-RO"/>
              </w:rPr>
            </w:pPr>
            <w:r w:rsidRPr="003813FC">
              <w:rPr>
                <w:rFonts w:asciiTheme="minorHAnsi" w:hAnsiTheme="minorHAnsi" w:cs="Arial"/>
                <w:b/>
                <w:color w:val="000000" w:themeColor="text1"/>
                <w:kern w:val="24"/>
                <w:lang w:val="ro-RO"/>
              </w:rPr>
              <w:t>Total</w:t>
            </w:r>
          </w:p>
        </w:tc>
        <w:tc>
          <w:tcPr>
            <w:tcW w:w="1417" w:type="dxa"/>
            <w:vAlign w:val="center"/>
          </w:tcPr>
          <w:p w14:paraId="2FF0B4C9" w14:textId="77777777" w:rsidR="00E663E0" w:rsidRPr="003813FC" w:rsidRDefault="00E663E0" w:rsidP="00E663E0">
            <w:pPr>
              <w:pStyle w:val="NormalWeb"/>
              <w:spacing w:before="77" w:beforeAutospacing="0" w:after="0" w:afterAutospacing="0"/>
              <w:jc w:val="right"/>
              <w:textAlignment w:val="baseline"/>
              <w:rPr>
                <w:rFonts w:asciiTheme="minorHAnsi" w:hAnsiTheme="minorHAnsi" w:cs="Arial"/>
                <w:b/>
                <w:lang w:val="ro-RO"/>
              </w:rPr>
            </w:pPr>
            <w:r>
              <w:rPr>
                <w:rFonts w:asciiTheme="minorHAnsi" w:hAnsiTheme="minorHAnsi" w:cs="Arial"/>
                <w:b/>
                <w:bCs/>
                <w:color w:val="000000" w:themeColor="text1"/>
                <w:kern w:val="24"/>
                <w:lang w:val="ro-RO"/>
              </w:rPr>
              <w:t>19,213</w:t>
            </w:r>
            <w:r w:rsidRPr="003813FC">
              <w:rPr>
                <w:rFonts w:asciiTheme="minorHAnsi" w:hAnsiTheme="minorHAnsi" w:cs="Arial"/>
                <w:b/>
                <w:bCs/>
                <w:color w:val="000000" w:themeColor="text1"/>
                <w:kern w:val="24"/>
                <w:position w:val="1"/>
                <w:lang w:val="ro-RO"/>
              </w:rPr>
              <w:t xml:space="preserve"> </w:t>
            </w:r>
          </w:p>
        </w:tc>
        <w:tc>
          <w:tcPr>
            <w:tcW w:w="1559" w:type="dxa"/>
            <w:vAlign w:val="center"/>
          </w:tcPr>
          <w:p w14:paraId="40544A0D" w14:textId="77777777" w:rsidR="00E663E0" w:rsidRPr="003813FC" w:rsidRDefault="00E663E0" w:rsidP="00E663E0">
            <w:pPr>
              <w:pStyle w:val="NormalWeb"/>
              <w:spacing w:before="106" w:beforeAutospacing="0" w:after="0" w:afterAutospacing="0"/>
              <w:jc w:val="right"/>
              <w:textAlignment w:val="baseline"/>
              <w:rPr>
                <w:rFonts w:asciiTheme="minorHAnsi" w:hAnsiTheme="minorHAnsi" w:cs="Arial"/>
                <w:b/>
                <w:color w:val="000000" w:themeColor="text1"/>
                <w:kern w:val="24"/>
                <w:lang w:val="ro-RO"/>
              </w:rPr>
            </w:pPr>
            <w:r>
              <w:rPr>
                <w:rFonts w:asciiTheme="minorHAnsi" w:hAnsiTheme="minorHAnsi" w:cs="Arial"/>
                <w:b/>
                <w:color w:val="000000" w:themeColor="text1"/>
                <w:kern w:val="24"/>
                <w:lang w:val="ro-RO"/>
              </w:rPr>
              <w:t>34,29%</w:t>
            </w:r>
          </w:p>
        </w:tc>
        <w:tc>
          <w:tcPr>
            <w:tcW w:w="2250" w:type="dxa"/>
            <w:vAlign w:val="center"/>
          </w:tcPr>
          <w:p w14:paraId="7CA9B60D" w14:textId="77777777" w:rsidR="00E663E0" w:rsidRPr="003813FC" w:rsidRDefault="00E663E0" w:rsidP="00E663E0">
            <w:pPr>
              <w:pStyle w:val="NormalWeb"/>
              <w:spacing w:before="106" w:beforeAutospacing="0" w:after="0" w:afterAutospacing="0"/>
              <w:jc w:val="right"/>
              <w:textAlignment w:val="baseline"/>
              <w:rPr>
                <w:rFonts w:asciiTheme="minorHAnsi" w:hAnsiTheme="minorHAnsi" w:cs="Arial"/>
                <w:b/>
                <w:color w:val="000000" w:themeColor="text1"/>
                <w:kern w:val="24"/>
                <w:lang w:val="ro-RO"/>
              </w:rPr>
            </w:pPr>
            <w:r>
              <w:rPr>
                <w:rFonts w:asciiTheme="minorHAnsi" w:hAnsiTheme="minorHAnsi" w:cs="Arial"/>
                <w:b/>
                <w:color w:val="000000" w:themeColor="text1"/>
                <w:kern w:val="24"/>
                <w:lang w:val="ro-RO"/>
              </w:rPr>
              <w:t>6,588</w:t>
            </w:r>
          </w:p>
        </w:tc>
        <w:tc>
          <w:tcPr>
            <w:tcW w:w="2853" w:type="dxa"/>
            <w:vAlign w:val="center"/>
          </w:tcPr>
          <w:p w14:paraId="15BA0F0E" w14:textId="77777777" w:rsidR="00E663E0" w:rsidRPr="003813FC" w:rsidRDefault="00E663E0" w:rsidP="00E663E0">
            <w:pPr>
              <w:pStyle w:val="NormalWeb"/>
              <w:spacing w:before="106" w:beforeAutospacing="0" w:after="0" w:afterAutospacing="0"/>
              <w:textAlignment w:val="baseline"/>
              <w:rPr>
                <w:rFonts w:asciiTheme="minorHAnsi" w:hAnsiTheme="minorHAnsi" w:cs="Arial"/>
                <w:b/>
                <w:lang w:val="ro-RO"/>
              </w:rPr>
            </w:pPr>
          </w:p>
        </w:tc>
        <w:tc>
          <w:tcPr>
            <w:tcW w:w="1560" w:type="dxa"/>
            <w:vAlign w:val="center"/>
          </w:tcPr>
          <w:p w14:paraId="1DE04928" w14:textId="77777777" w:rsidR="00E663E0" w:rsidRPr="002F1A44" w:rsidRDefault="00E663E0" w:rsidP="00E663E0">
            <w:pPr>
              <w:pStyle w:val="NormalWeb"/>
              <w:spacing w:before="77" w:beforeAutospacing="0" w:after="0" w:afterAutospacing="0"/>
              <w:jc w:val="right"/>
              <w:textAlignment w:val="baseline"/>
              <w:rPr>
                <w:rFonts w:asciiTheme="minorHAnsi" w:hAnsiTheme="minorHAnsi" w:cs="Arial"/>
                <w:b/>
                <w:bCs/>
                <w:color w:val="000000" w:themeColor="text1"/>
                <w:kern w:val="24"/>
                <w:lang w:val="ro-RO"/>
              </w:rPr>
            </w:pPr>
            <w:r w:rsidRPr="002F1A44">
              <w:rPr>
                <w:rFonts w:asciiTheme="minorHAnsi" w:hAnsiTheme="minorHAnsi" w:cs="Arial"/>
                <w:b/>
                <w:bCs/>
                <w:color w:val="000000" w:themeColor="text1"/>
                <w:kern w:val="24"/>
                <w:lang w:val="ro-RO"/>
              </w:rPr>
              <w:t>21,482</w:t>
            </w:r>
          </w:p>
          <w:p w14:paraId="4063386E" w14:textId="77777777" w:rsidR="00E663E0" w:rsidRPr="002F1A44" w:rsidRDefault="00E663E0" w:rsidP="00E663E0">
            <w:pPr>
              <w:pStyle w:val="NormalWeb"/>
              <w:spacing w:before="77" w:beforeAutospacing="0" w:after="0" w:afterAutospacing="0"/>
              <w:jc w:val="right"/>
              <w:textAlignment w:val="baseline"/>
              <w:rPr>
                <w:rFonts w:asciiTheme="minorHAnsi" w:hAnsiTheme="minorHAnsi" w:cs="Arial"/>
                <w:b/>
                <w:bCs/>
                <w:color w:val="000000" w:themeColor="text1"/>
                <w:kern w:val="24"/>
                <w:lang w:val="ro-RO"/>
              </w:rPr>
            </w:pPr>
          </w:p>
        </w:tc>
      </w:tr>
    </w:tbl>
    <w:p w14:paraId="6B062E4D" w14:textId="77777777" w:rsidR="00E663E0" w:rsidRDefault="00E663E0" w:rsidP="00093C9D">
      <w:pPr>
        <w:spacing w:before="100" w:beforeAutospacing="1" w:after="100" w:afterAutospacing="1"/>
        <w:rPr>
          <w:lang w:val="ro-RO"/>
        </w:rPr>
        <w:sectPr w:rsidR="00E663E0" w:rsidSect="00E663E0">
          <w:pgSz w:w="16840" w:h="11901" w:orient="landscape"/>
          <w:pgMar w:top="1797" w:right="1440" w:bottom="1797" w:left="1440" w:header="709" w:footer="709" w:gutter="0"/>
          <w:cols w:space="708"/>
          <w:docGrid w:linePitch="360"/>
        </w:sectPr>
      </w:pPr>
    </w:p>
    <w:p w14:paraId="21285801" w14:textId="212B411C" w:rsidR="00E663E0" w:rsidRDefault="00E663E0" w:rsidP="00093C9D">
      <w:pPr>
        <w:spacing w:before="100" w:beforeAutospacing="1" w:after="100" w:afterAutospacing="1"/>
        <w:rPr>
          <w:lang w:val="ro-RO"/>
        </w:rPr>
      </w:pPr>
    </w:p>
    <w:p w14:paraId="23C4EBC4" w14:textId="5CCB7FB1" w:rsidR="00E663E0" w:rsidRDefault="002E0AA7" w:rsidP="00093C9D">
      <w:pPr>
        <w:spacing w:before="100" w:beforeAutospacing="1" w:after="100" w:afterAutospacing="1"/>
        <w:rPr>
          <w:lang w:val="ro-RO"/>
        </w:rPr>
      </w:pPr>
      <w:r>
        <w:rPr>
          <w:lang w:val="ro-RO"/>
        </w:rPr>
        <w:t xml:space="preserve">Pentru perioada 2007 – 2013 la nivel european s-a decis includerea utilizării tehnologiilor informaționale (IT) ca un obiectiv orizontal, acest lucru fiind menționat în directivele care reglementează toate fondurile europene disponibile. În consecință toate proiectele finanțate din fonduri europene au trebuit să menționeze în cererea de finanțare cum contribuie la acest obiectiv orizontal. Această abordare trans-programe are în mod cert un impact asupra includerii unor componente de IT în proiecte, dar acest impact este extrem de greu de evaluat. Este greu să faci diferența între care ar fi fost situația dacă nu ar fi fost această cerință expresă și situația actuală. </w:t>
      </w:r>
    </w:p>
    <w:p w14:paraId="329AEF77" w14:textId="05EE901B" w:rsidR="004C5CC4" w:rsidRDefault="002E0AA7" w:rsidP="001914F5">
      <w:pPr>
        <w:spacing w:before="100" w:beforeAutospacing="1" w:after="100" w:afterAutospacing="1"/>
        <w:rPr>
          <w:lang w:val="ro-RO"/>
        </w:rPr>
      </w:pPr>
      <w:r>
        <w:rPr>
          <w:lang w:val="ro-RO"/>
        </w:rPr>
        <w:t xml:space="preserve">În plus față de componenta generală, valabilă pentru toate proiectele, au fost și sume alocate strict proiectelor de investiții în TIC. În cadrul Programului Operațional Sectorial Creșterea Competitivității Economice 2007 – 2013, </w:t>
      </w:r>
      <w:r w:rsidR="00157487">
        <w:rPr>
          <w:lang w:val="ro-RO"/>
        </w:rPr>
        <w:t xml:space="preserve">din cinci axe prioritare una a fost dedicată acestui sector, </w:t>
      </w:r>
      <w:r w:rsidR="00DD4DA6">
        <w:rPr>
          <w:lang w:val="ro-RO"/>
        </w:rPr>
        <w:t xml:space="preserve"> Axa Prioritară III </w:t>
      </w:r>
      <w:r w:rsidR="00DD4DA6" w:rsidRPr="00DD4DA6">
        <w:rPr>
          <w:lang w:val="ro-RO"/>
        </w:rPr>
        <w:t>"Tehnologia Informaţiei şi Comunicaţiilor pentru sectoarele privat şi public "</w:t>
      </w:r>
      <w:r w:rsidR="00DD4DA6">
        <w:rPr>
          <w:lang w:val="ro-RO"/>
        </w:rPr>
        <w:t>. Așa cum îi spune și numele, această axă a finanțat și finanțează proiecte derulate atât de instituții publice (proiecte de e-guvernare, e-administrație, e-sănătate, e-educație)</w:t>
      </w:r>
      <w:r w:rsidR="002E2C98">
        <w:rPr>
          <w:lang w:val="ro-RO"/>
        </w:rPr>
        <w:t>,</w:t>
      </w:r>
      <w:r w:rsidR="00DD4DA6">
        <w:rPr>
          <w:lang w:val="ro-RO"/>
        </w:rPr>
        <w:t xml:space="preserve"> cât și de companii private (proiecte de e-commerce, business inteligence, e-learning). </w:t>
      </w:r>
      <w:r w:rsidR="001914F5">
        <w:rPr>
          <w:lang w:val="ro-RO"/>
        </w:rPr>
        <w:t xml:space="preserve"> </w:t>
      </w:r>
    </w:p>
    <w:p w14:paraId="0EE81A98" w14:textId="400265ED" w:rsidR="004C5CC4" w:rsidRDefault="001914F5" w:rsidP="001914F5">
      <w:pPr>
        <w:spacing w:before="100" w:beforeAutospacing="1" w:after="100" w:afterAutospacing="1"/>
        <w:rPr>
          <w:lang w:val="ro-RO"/>
        </w:rPr>
      </w:pPr>
      <w:r>
        <w:rPr>
          <w:lang w:val="ro-RO"/>
        </w:rPr>
        <w:t xml:space="preserve">Din păcate însă suma alocată acestei axe este de numai </w:t>
      </w:r>
      <w:r w:rsidRPr="001914F5">
        <w:rPr>
          <w:lang w:val="ro-RO"/>
        </w:rPr>
        <w:t>383 mil</w:t>
      </w:r>
      <w:r>
        <w:rPr>
          <w:lang w:val="ro-RO"/>
        </w:rPr>
        <w:t>ioane</w:t>
      </w:r>
      <w:r w:rsidRPr="001914F5">
        <w:rPr>
          <w:lang w:val="ro-RO"/>
        </w:rPr>
        <w:t xml:space="preserve"> Euro din fonduri</w:t>
      </w:r>
      <w:r>
        <w:rPr>
          <w:lang w:val="ro-RO"/>
        </w:rPr>
        <w:t xml:space="preserve"> </w:t>
      </w:r>
      <w:r w:rsidRPr="001914F5">
        <w:rPr>
          <w:lang w:val="ro-RO"/>
        </w:rPr>
        <w:t>structurale şi 86 mil Euro contribuţia naţională publică</w:t>
      </w:r>
      <w:sdt>
        <w:sdtPr>
          <w:rPr>
            <w:lang w:val="ro-RO"/>
          </w:rPr>
          <w:id w:val="-155924796"/>
          <w:citation/>
        </w:sdtPr>
        <w:sdtContent>
          <w:r>
            <w:rPr>
              <w:lang w:val="ro-RO"/>
            </w:rPr>
            <w:fldChar w:fldCharType="begin"/>
          </w:r>
          <w:r>
            <w:rPr>
              <w:rFonts w:ascii="Times New Roman" w:hAnsi="Times New Roman"/>
              <w:lang w:val="ro-RO"/>
            </w:rPr>
            <w:instrText xml:space="preserve"> CITATION Min07 \l 1048 </w:instrText>
          </w:r>
          <w:r>
            <w:rPr>
              <w:lang w:val="ro-RO"/>
            </w:rPr>
            <w:fldChar w:fldCharType="separate"/>
          </w:r>
          <w:r>
            <w:rPr>
              <w:rFonts w:ascii="Times New Roman" w:hAnsi="Times New Roman"/>
              <w:noProof/>
              <w:lang w:val="ro-RO"/>
            </w:rPr>
            <w:t xml:space="preserve"> </w:t>
          </w:r>
          <w:r w:rsidRPr="001914F5">
            <w:rPr>
              <w:rFonts w:ascii="Times New Roman" w:hAnsi="Times New Roman"/>
              <w:noProof/>
              <w:lang w:val="ro-RO"/>
            </w:rPr>
            <w:t>(Ministerul pentru Societatea Informațională, 2007)</w:t>
          </w:r>
          <w:r>
            <w:rPr>
              <w:lang w:val="ro-RO"/>
            </w:rPr>
            <w:fldChar w:fldCharType="end"/>
          </w:r>
        </w:sdtContent>
      </w:sdt>
      <w:r w:rsidRPr="001914F5">
        <w:rPr>
          <w:lang w:val="ro-RO"/>
        </w:rPr>
        <w:t>.</w:t>
      </w:r>
      <w:r>
        <w:rPr>
          <w:lang w:val="ro-RO"/>
        </w:rPr>
        <w:t xml:space="preserve"> Această sumă reprezintă doar 15% din bugetul alocat POS </w:t>
      </w:r>
      <w:r w:rsidR="002E2C98">
        <w:rPr>
          <w:lang w:val="ro-RO"/>
        </w:rPr>
        <w:t xml:space="preserve">CCE 2007 - 2013 și doar aproape </w:t>
      </w:r>
      <w:r w:rsidR="00EE40C8">
        <w:rPr>
          <w:lang w:val="ro-RO"/>
        </w:rPr>
        <w:t xml:space="preserve">2% din fondurile structurale și de coeziune alocate României pentru perioada 2007 – 2013. </w:t>
      </w:r>
    </w:p>
    <w:p w14:paraId="337DB8D7" w14:textId="370D0426" w:rsidR="004C5CC4" w:rsidRDefault="00EE40C8" w:rsidP="001914F5">
      <w:pPr>
        <w:spacing w:before="100" w:beforeAutospacing="1" w:after="100" w:afterAutospacing="1"/>
        <w:rPr>
          <w:lang w:val="ro-RO"/>
        </w:rPr>
      </w:pPr>
      <w:r>
        <w:rPr>
          <w:lang w:val="ro-RO"/>
        </w:rPr>
        <w:t>Astfel, deși la nivel declarativ toți factorii politici și decizionali declară domeniul TIC ca fiind unul prioritar, care poate să susțină o creștere</w:t>
      </w:r>
      <w:r w:rsidR="002E2C98">
        <w:rPr>
          <w:lang w:val="ro-RO"/>
        </w:rPr>
        <w:t xml:space="preserve"> </w:t>
      </w:r>
      <w:r>
        <w:rPr>
          <w:lang w:val="ro-RO"/>
        </w:rPr>
        <w:t xml:space="preserve">sustenabilă și durabilă a economiei Românești, alocarea de fonduri pentru sprijinirea acestui sector este extrem de redusă. </w:t>
      </w:r>
    </w:p>
    <w:p w14:paraId="005F139A" w14:textId="7CE55B4E" w:rsidR="002E0AA7" w:rsidRDefault="00EE40C8" w:rsidP="001914F5">
      <w:pPr>
        <w:spacing w:before="100" w:beforeAutospacing="1" w:after="100" w:afterAutospacing="1"/>
        <w:rPr>
          <w:lang w:val="ro-RO"/>
        </w:rPr>
      </w:pPr>
      <w:r>
        <w:rPr>
          <w:lang w:val="ro-RO"/>
        </w:rPr>
        <w:t>Deși pentru perioada de programare 2014 – 2020 alocările pe axe prioritare nu sunt finalizate, este de așteptat ca ponderile să se păstreze sau chiar să scadă. Dacă analizăm sumele alocate pentru fiecare Program Operațional (</w:t>
      </w:r>
      <w:r>
        <w:rPr>
          <w:lang w:val="ro-RO"/>
        </w:rPr>
        <w:fldChar w:fldCharType="begin"/>
      </w:r>
      <w:r>
        <w:rPr>
          <w:lang w:val="ro-RO"/>
        </w:rPr>
        <w:instrText xml:space="preserve"> REF _Ref268112840 \h </w:instrText>
      </w:r>
      <w:r w:rsidR="002E2C98">
        <w:rPr>
          <w:lang w:val="ro-RO"/>
        </w:rPr>
        <w:instrText xml:space="preserve"> \* MERGEFORMAT </w:instrText>
      </w:r>
      <w:r>
        <w:rPr>
          <w:lang w:val="ro-RO"/>
        </w:rPr>
      </w:r>
      <w:r>
        <w:rPr>
          <w:lang w:val="ro-RO"/>
        </w:rPr>
        <w:fldChar w:fldCharType="separate"/>
      </w:r>
      <w:r w:rsidR="006D5CC0" w:rsidRPr="006D5CC0">
        <w:rPr>
          <w:lang w:val="ro-RO"/>
        </w:rPr>
        <w:t>Tabel 5</w:t>
      </w:r>
      <w:r w:rsidR="006D5CC0" w:rsidRPr="006D5CC0">
        <w:rPr>
          <w:lang w:val="ro-RO"/>
        </w:rPr>
        <w:noBreakHyphen/>
        <w:t>1 Situaţia fondurilor structurale și de coeziune alocate pentru perioada 2007 - 2013, a stadiului cheltuirii lor și a fondurilor alocate pentru perioada 2014 - 2020</w:t>
      </w:r>
      <w:r>
        <w:rPr>
          <w:lang w:val="ro-RO"/>
        </w:rPr>
        <w:fldChar w:fldCharType="end"/>
      </w:r>
      <w:r>
        <w:rPr>
          <w:lang w:val="ro-RO"/>
        </w:rPr>
        <w:t>) observăm că</w:t>
      </w:r>
      <w:r w:rsidR="002E2C98">
        <w:rPr>
          <w:lang w:val="ro-RO"/>
        </w:rPr>
        <w:t>, deși to</w:t>
      </w:r>
      <w:r>
        <w:rPr>
          <w:lang w:val="ro-RO"/>
        </w:rPr>
        <w:t xml:space="preserve">talul sumelor alocate României din fonduri structurale și de coeziune a crescut cu 11,81% sumele alocate Programului Operațional Competitivitate au scăzut cu 37,35%, ajungând să reprezinte de la 13,29% din sumele alocate în perioada 2007 – 2013 la doar 7,45% în perioada 2014 – 2020. </w:t>
      </w:r>
      <w:r w:rsidR="004C5CC4">
        <w:rPr>
          <w:lang w:val="ro-RO"/>
        </w:rPr>
        <w:t xml:space="preserve">Acest lucru se întâmplă în situația în care POS CEE este pe locul 3 într-o ierarhia a celor 8 Programelor Operaționale în funcție de gradul de absorbție. </w:t>
      </w:r>
    </w:p>
    <w:p w14:paraId="5AE67BD0" w14:textId="44CFC758" w:rsidR="004C5CC4" w:rsidRDefault="004C5CC4" w:rsidP="001914F5">
      <w:pPr>
        <w:spacing w:before="100" w:beforeAutospacing="1" w:after="100" w:afterAutospacing="1"/>
      </w:pPr>
      <w:r>
        <w:rPr>
          <w:lang w:val="ro-RO"/>
        </w:rPr>
        <w:t xml:space="preserve">Din păcate nu </w:t>
      </w:r>
      <w:r w:rsidRPr="00895084">
        <w:rPr>
          <w:lang w:val="ro-RO"/>
        </w:rPr>
        <w:t xml:space="preserve">există rapoarte de analiză publicate referitoare la impactul cheltuirii acestor fonduri. O astfel de analiză ar fi destul de greu de realizat dacă </w:t>
      </w:r>
      <w:r w:rsidR="00895084" w:rsidRPr="00895084">
        <w:rPr>
          <w:lang w:val="ro-RO"/>
        </w:rPr>
        <w:t xml:space="preserve">observăm </w:t>
      </w:r>
      <w:r w:rsidRPr="00895084">
        <w:rPr>
          <w:lang w:val="ro-RO"/>
        </w:rPr>
        <w:t xml:space="preserve">obiectivul axei prioritare, </w:t>
      </w:r>
      <w:r w:rsidRPr="00895084">
        <w:t xml:space="preserve">“Valorificarea pe deplin a potenţialului TIC </w:t>
      </w:r>
      <w:r w:rsidRPr="00895084">
        <w:lastRenderedPageBreak/>
        <w:t xml:space="preserve">de către sectoarele privat şi public;” </w:t>
      </w:r>
      <w:sdt>
        <w:sdtPr>
          <w:id w:val="1168211683"/>
          <w:citation/>
        </w:sdtPr>
        <w:sdtContent>
          <w:r w:rsidRPr="00895084">
            <w:fldChar w:fldCharType="begin"/>
          </w:r>
          <w:r w:rsidRPr="00895084">
            <w:rPr>
              <w:rFonts w:ascii="Times New Roman" w:hAnsi="Times New Roman"/>
              <w:lang w:val="ro-RO"/>
            </w:rPr>
            <w:instrText xml:space="preserve">CITATION Min04 \l 1048 </w:instrText>
          </w:r>
          <w:r w:rsidRPr="00895084">
            <w:fldChar w:fldCharType="separate"/>
          </w:r>
          <w:r w:rsidRPr="00895084">
            <w:rPr>
              <w:rFonts w:ascii="Times New Roman" w:hAnsi="Times New Roman"/>
              <w:noProof/>
              <w:lang w:val="ro-RO"/>
            </w:rPr>
            <w:t>(Ministerul pentru Societatea Informațională, 2007)</w:t>
          </w:r>
          <w:r w:rsidRPr="00895084">
            <w:fldChar w:fldCharType="end"/>
          </w:r>
        </w:sdtContent>
      </w:sdt>
      <w:r w:rsidRPr="00895084">
        <w:t xml:space="preserve">. Un astfel de obiectiv </w:t>
      </w:r>
      <w:proofErr w:type="gramStart"/>
      <w:r w:rsidRPr="00895084">
        <w:t>este</w:t>
      </w:r>
      <w:proofErr w:type="gramEnd"/>
      <w:r w:rsidRPr="00895084">
        <w:t xml:space="preserve"> imposibil</w:t>
      </w:r>
      <w:r>
        <w:t xml:space="preserve"> de evaluat.</w:t>
      </w:r>
    </w:p>
    <w:p w14:paraId="7F4C3EC6" w14:textId="6B9FD87E" w:rsidR="00D12BF5" w:rsidRDefault="004C5CC4" w:rsidP="001914F5">
      <w:pPr>
        <w:spacing w:before="100" w:beforeAutospacing="1" w:after="100" w:afterAutospacing="1"/>
      </w:pPr>
      <w:r>
        <w:t>Cu toate că obiectivele Programului Operațional și ale Axei prioritare sunt destul de vagi, din analiza documentelor publice disponibile (Ghidurile solic</w:t>
      </w:r>
      <w:r w:rsidR="002E2C98">
        <w:t>itantului aferente apelurilor d</w:t>
      </w:r>
      <w:r>
        <w:t>e</w:t>
      </w:r>
      <w:r w:rsidR="002E2C98">
        <w:t xml:space="preserve"> </w:t>
      </w:r>
      <w:r>
        <w:t>proiecte derulate până în acest moment) rezultă că proiectele individuale a</w:t>
      </w:r>
      <w:r w:rsidR="002E2C98">
        <w:t>u indicatori de evaluare extrem</w:t>
      </w:r>
      <w:r>
        <w:t xml:space="preserve"> de clari și preciși, bine definiți în ti</w:t>
      </w:r>
      <w:r w:rsidR="002E2C98">
        <w:t>mp (sunt împărțiți în indicator</w:t>
      </w:r>
      <w:r>
        <w:t>i</w:t>
      </w:r>
      <w:r w:rsidR="002E2C98">
        <w:t xml:space="preserve"> ce trebuie</w:t>
      </w:r>
      <w:r>
        <w:t xml:space="preserve"> realizați până la finalizarea perioadei de implemen</w:t>
      </w:r>
      <w:r w:rsidR="002E2C98">
        <w:t>tare a proiectului și indicator</w:t>
      </w:r>
      <w:r>
        <w:t>i</w:t>
      </w:r>
      <w:r w:rsidR="002E2C98">
        <w:t xml:space="preserve"> </w:t>
      </w:r>
      <w:r>
        <w:t xml:space="preserve">ce trebuie realizați </w:t>
      </w:r>
      <w:r w:rsidR="002E2C98">
        <w:t>până la finalizarea perioadei d</w:t>
      </w:r>
      <w:r>
        <w:t>e</w:t>
      </w:r>
      <w:r w:rsidR="002E2C98">
        <w:t xml:space="preserve"> </w:t>
      </w:r>
      <w:r>
        <w:t xml:space="preserve">monitorizare post implementare, adică de 3 sau 5 ani de la finalizarea perioadei de implementare). </w:t>
      </w:r>
      <w:r w:rsidR="003562F2">
        <w:t xml:space="preserve">Există chiar și mijloace coercitive </w:t>
      </w:r>
      <w:proofErr w:type="gramStart"/>
      <w:r w:rsidR="003562F2">
        <w:t>ce</w:t>
      </w:r>
      <w:proofErr w:type="gramEnd"/>
      <w:r w:rsidR="003562F2">
        <w:t xml:space="preserve"> pot fi aplicate beneficiarilor de finanțări nerambursabile, fiind posibilă diminuarea finanțării nerambursabile proporțional cu gradul de nereralizare a unui indicator. </w:t>
      </w:r>
      <w:r w:rsidR="00D12BF5">
        <w:t xml:space="preserve"> În consecință, la finalul implementării și monitorizării proiectelor, ar trebui să avem o evaluare foarte clară asupra gradului de atingere </w:t>
      </w:r>
      <w:proofErr w:type="gramStart"/>
      <w:r w:rsidR="00D12BF5">
        <w:t>a</w:t>
      </w:r>
      <w:proofErr w:type="gramEnd"/>
      <w:r w:rsidR="00D12BF5">
        <w:t xml:space="preserve"> indicatorilor propuși de către beneficiarii finanțărilor. </w:t>
      </w:r>
    </w:p>
    <w:p w14:paraId="4B3BB915" w14:textId="77777777" w:rsidR="00D12BF5" w:rsidRDefault="00D12BF5" w:rsidP="001914F5">
      <w:pPr>
        <w:spacing w:before="100" w:beforeAutospacing="1" w:after="100" w:afterAutospacing="1"/>
      </w:pPr>
    </w:p>
    <w:p w14:paraId="126D72AF" w14:textId="7F7F9307" w:rsidR="00D12BF5" w:rsidRPr="006A5D86" w:rsidRDefault="00D12BF5" w:rsidP="006A5D86">
      <w:pPr>
        <w:pStyle w:val="Heading1"/>
        <w:rPr>
          <w:rStyle w:val="BookTitle"/>
          <w:b/>
          <w:bCs/>
          <w:smallCaps w:val="0"/>
          <w:spacing w:val="0"/>
        </w:rPr>
      </w:pPr>
      <w:bookmarkStart w:id="10" w:name="_Toc290830244"/>
      <w:r w:rsidRPr="006A5D86">
        <w:rPr>
          <w:rStyle w:val="BookTitle"/>
          <w:b/>
          <w:bCs/>
          <w:smallCaps w:val="0"/>
          <w:spacing w:val="0"/>
        </w:rPr>
        <w:t>Domeniul TIC în alte fonduri europene disponibile organizațiilor din România</w:t>
      </w:r>
      <w:bookmarkEnd w:id="10"/>
    </w:p>
    <w:p w14:paraId="4E4FAD94" w14:textId="168ECF9D" w:rsidR="00D12BF5" w:rsidRDefault="000E2A3A" w:rsidP="001914F5">
      <w:pPr>
        <w:spacing w:before="100" w:beforeAutospacing="1" w:after="100" w:afterAutospacing="1"/>
      </w:pPr>
      <w:r>
        <w:t>La începutul anilor 2000 Comisia Europeană a decis ca una dintre priorități să fie dezvoltarea con</w:t>
      </w:r>
      <w:r w:rsidR="00405A72">
        <w:t>ţ</w:t>
      </w:r>
      <w:r>
        <w:t>inutului digital multilingv. Pornind de la teoria conform căreia pentru a fi utilizată tehnologie trebuie să existe i</w:t>
      </w:r>
      <w:r w:rsidR="00405A72">
        <w:t>nstrumente și conținut, precum ş</w:t>
      </w:r>
      <w:r>
        <w:t>i de la analize care arătau că nu există cooperare între Statele Membre pentru a colabora și a avea acțiuni complementare în ceea ce înseamnă conținutul digital, a fost decisă lansarea unei linii dedicate de finanțare pentru acest do</w:t>
      </w:r>
      <w:r w:rsidR="00405A72">
        <w:t xml:space="preserve">meniu. </w:t>
      </w:r>
      <w:proofErr w:type="gramStart"/>
      <w:r w:rsidR="00405A72">
        <w:t>Astfel în perioada 2001 -</w:t>
      </w:r>
      <w:r>
        <w:t xml:space="preserve"> 2004 s-a derulat programul eContent.</w:t>
      </w:r>
      <w:proofErr w:type="gramEnd"/>
      <w:r>
        <w:t xml:space="preserve"> </w:t>
      </w:r>
    </w:p>
    <w:p w14:paraId="1B6432F8" w14:textId="7009930A" w:rsidR="000E2A3A" w:rsidRDefault="00405A72" w:rsidP="001914F5">
      <w:pPr>
        <w:spacing w:before="100" w:beforeAutospacing="1" w:after="100" w:afterAutospacing="1"/>
      </w:pPr>
      <w:proofErr w:type="gramStart"/>
      <w:r>
        <w:t>Pe baza experienței ac</w:t>
      </w:r>
      <w:r w:rsidR="000E2A3A">
        <w:t>umulate în derularea programului eContent, Comisia Europeană a decis continuarea acestuia, într-o formă revizuită, sub denumirea de eContent Plus.</w:t>
      </w:r>
      <w:proofErr w:type="gramEnd"/>
      <w:r w:rsidR="000E2A3A">
        <w:t xml:space="preserve"> </w:t>
      </w:r>
      <w:proofErr w:type="gramStart"/>
      <w:r w:rsidR="000E2A3A">
        <w:t>Acest nou program s-a derulat în perioada 2005 –</w:t>
      </w:r>
      <w:r w:rsidR="00AB7202">
        <w:t xml:space="preserve"> 2008.</w:t>
      </w:r>
      <w:proofErr w:type="gramEnd"/>
      <w:r w:rsidR="00AB7202">
        <w:t xml:space="preserve"> </w:t>
      </w:r>
    </w:p>
    <w:p w14:paraId="4AC7D1D8" w14:textId="7F823C21" w:rsidR="00AB7202" w:rsidRDefault="00AB7202" w:rsidP="001914F5">
      <w:pPr>
        <w:spacing w:before="100" w:beforeAutospacing="1" w:after="100" w:afterAutospacing="1"/>
      </w:pPr>
      <w:r>
        <w:t>Pentru perioada următoare Comisia Europeană a decis păstrarea unui singur instrument de finanțare a pro</w:t>
      </w:r>
      <w:r w:rsidR="00405A72">
        <w:t>iectelor i</w:t>
      </w:r>
      <w:r>
        <w:t xml:space="preserve">novative, aici fiind încadrate și proiectele din domeniul TIC. Acest instrument unic, denumit </w:t>
      </w:r>
      <w:r w:rsidRPr="00AB7202">
        <w:t>Competitiveness and Innovation framework Programme (CIP</w:t>
      </w:r>
      <w:r>
        <w:t xml:space="preserve">) </w:t>
      </w:r>
      <w:proofErr w:type="gramStart"/>
      <w:r>
        <w:t>a</w:t>
      </w:r>
      <w:proofErr w:type="gramEnd"/>
      <w:r>
        <w:t xml:space="preserve"> acoperit toate</w:t>
      </w:r>
      <w:r w:rsidR="00405A72">
        <w:t xml:space="preserve"> ariile de acțiune legate de ino</w:t>
      </w:r>
      <w:r>
        <w:t xml:space="preserve">vare și competitivitate. </w:t>
      </w:r>
    </w:p>
    <w:p w14:paraId="7C4F9C6F" w14:textId="1FE76896" w:rsidR="00AB7202" w:rsidRDefault="00AB7202" w:rsidP="001914F5">
      <w:pPr>
        <w:spacing w:before="100" w:beforeAutospacing="1" w:after="100" w:afterAutospacing="1"/>
      </w:pPr>
      <w:r>
        <w:t>În acest moment principalul instrume</w:t>
      </w:r>
      <w:r w:rsidR="00405A72">
        <w:t>nt de finanțare a proiectelor i</w:t>
      </w:r>
      <w:r>
        <w:t xml:space="preserve">novative </w:t>
      </w:r>
      <w:proofErr w:type="gramStart"/>
      <w:r>
        <w:t>este</w:t>
      </w:r>
      <w:proofErr w:type="gramEnd"/>
      <w:r>
        <w:t xml:space="preserve"> Programul Orizont 2020 (program construit pornindu-se de la Programul Cadru 7 – Framework Programme 7, fiind un continuator al acestuia).</w:t>
      </w:r>
    </w:p>
    <w:p w14:paraId="254A3370" w14:textId="3A844EB3" w:rsidR="00AB7202" w:rsidRDefault="00AB7202" w:rsidP="001914F5">
      <w:pPr>
        <w:spacing w:before="100" w:beforeAutospacing="1" w:after="100" w:afterAutospacing="1"/>
      </w:pPr>
      <w:r>
        <w:t>Toate aceste instrumente de finanțare disponibile la nivelul întregii Uniuni Europene</w:t>
      </w:r>
      <w:r w:rsidR="00405A72">
        <w:t>,</w:t>
      </w:r>
      <w:r>
        <w:t xml:space="preserve"> precum și pentru unele state în curs de aderare (așa cum a fost și cazul României înainte de 2007)</w:t>
      </w:r>
      <w:r w:rsidR="00405A72">
        <w:t>,</w:t>
      </w:r>
      <w:r>
        <w:t xml:space="preserve"> sunt accesibile pentru proiecte cu un impact transnațional, fiind încurajate proiectele cu o acoperire sau cu impact la nivelul </w:t>
      </w:r>
      <w:r>
        <w:lastRenderedPageBreak/>
        <w:t xml:space="preserve">cât mai multor State Membre. </w:t>
      </w:r>
      <w:proofErr w:type="gramStart"/>
      <w:r w:rsidR="00C27E99">
        <w:t>Astfel</w:t>
      </w:r>
      <w:r w:rsidR="00405A72">
        <w:t>,</w:t>
      </w:r>
      <w:r w:rsidR="00C27E99">
        <w:t xml:space="preserve"> proiectele finanțate prin aceste instrumente sunt derulate întotdeauna de mai mulți parteneri, aceștia punându-și în comun resursele și capacitățile de care dispun.</w:t>
      </w:r>
      <w:proofErr w:type="gramEnd"/>
      <w:r w:rsidR="00C27E99">
        <w:t xml:space="preserve"> În majoritatea cazurilor </w:t>
      </w:r>
      <w:proofErr w:type="gramStart"/>
      <w:r w:rsidR="00C27E99">
        <w:t>este</w:t>
      </w:r>
      <w:proofErr w:type="gramEnd"/>
      <w:r w:rsidR="00C27E99">
        <w:t xml:space="preserve"> vorba de peste 10 parteneri din peste 10 țări. Partenerii trebuie nu numai să beneficieze de proiec</w:t>
      </w:r>
      <w:proofErr w:type="gramStart"/>
      <w:r w:rsidR="00405A72">
        <w:t>,t</w:t>
      </w:r>
      <w:proofErr w:type="gramEnd"/>
      <w:r w:rsidR="00405A72">
        <w:t xml:space="preserve"> dar să </w:t>
      </w:r>
      <w:r w:rsidR="00405A72">
        <w:rPr>
          <w:lang w:val="ro-RO"/>
        </w:rPr>
        <w:t>ş</w:t>
      </w:r>
      <w:r w:rsidR="00405A72">
        <w:t>i contribuie activ</w:t>
      </w:r>
      <w:r w:rsidR="00C27E99">
        <w:t xml:space="preserve"> la derularea lui. </w:t>
      </w:r>
    </w:p>
    <w:p w14:paraId="333E0011" w14:textId="00CC0737" w:rsidR="00C27E99" w:rsidRDefault="00C27E99" w:rsidP="001914F5">
      <w:pPr>
        <w:spacing w:before="100" w:beforeAutospacing="1" w:after="100" w:afterAutospacing="1"/>
      </w:pPr>
      <w:r>
        <w:t xml:space="preserve">România </w:t>
      </w:r>
      <w:proofErr w:type="gramStart"/>
      <w:r>
        <w:t>a</w:t>
      </w:r>
      <w:proofErr w:type="gramEnd"/>
      <w:r>
        <w:t xml:space="preserve"> avut acces încă din perioada de preaderare (înainte de 2007) la aceste programe, organizațiile din România putând fi implicate. </w:t>
      </w:r>
      <w:proofErr w:type="gramStart"/>
      <w:r>
        <w:t>În majoritatea cazurilor în perioada de preaderare organizațiile românești puteau fi doar partenere, neputând fi lideri ai consorțiului.</w:t>
      </w:r>
      <w:proofErr w:type="gramEnd"/>
      <w:r>
        <w:t xml:space="preserve"> </w:t>
      </w:r>
    </w:p>
    <w:p w14:paraId="3846F258" w14:textId="1E86E84C" w:rsidR="00C27E99" w:rsidRDefault="00B24E60" w:rsidP="001914F5">
      <w:pPr>
        <w:spacing w:before="100" w:beforeAutospacing="1" w:after="100" w:afterAutospacing="1"/>
      </w:pPr>
      <w:r>
        <w:t>În condițiile descri</w:t>
      </w:r>
      <w:r w:rsidR="00C27E99">
        <w:t>s</w:t>
      </w:r>
      <w:r>
        <w:t xml:space="preserve">e mai sus </w:t>
      </w:r>
      <w:proofErr w:type="gramStart"/>
      <w:r>
        <w:t>este</w:t>
      </w:r>
      <w:proofErr w:type="gramEnd"/>
      <w:r>
        <w:t xml:space="preserve"> extrem</w:t>
      </w:r>
      <w:r w:rsidR="00C27E99">
        <w:t xml:space="preserve"> de dificil evaluarea impactului acestor proiecte asupra organizați</w:t>
      </w:r>
      <w:r>
        <w:t>ilor</w:t>
      </w:r>
      <w:r w:rsidR="00C27E99">
        <w:t xml:space="preserve"> din România. Din păcate nu există informații publice disponibile nici des</w:t>
      </w:r>
      <w:r>
        <w:t>pre ponderea din bugete aferentă</w:t>
      </w:r>
      <w:r w:rsidR="00C27E99">
        <w:t xml:space="preserve"> partenerilor din România și nici despre ponderea responsabilităților lor în totalul indicatorilor de rezultat și de realizare asumați de proiect</w:t>
      </w:r>
      <w:r>
        <w:t>, astfel în</w:t>
      </w:r>
      <w:r w:rsidR="00C27E99">
        <w:t>c</w:t>
      </w:r>
      <w:r>
        <w:t>ât să putem estima resursele al</w:t>
      </w:r>
      <w:r w:rsidR="00C27E99">
        <w:t xml:space="preserve">ocate (fondurile) și rezultatele obținute (indicatorii). Din păcate însă, la o analiză empirică și fără pretenția ca informațiile obținute să fie general valabile, observăm că încă acest gen de finanțare </w:t>
      </w:r>
      <w:proofErr w:type="gramStart"/>
      <w:r w:rsidR="00C27E99">
        <w:t>este</w:t>
      </w:r>
      <w:proofErr w:type="gramEnd"/>
      <w:r w:rsidR="00C27E99">
        <w:t xml:space="preserve"> puț</w:t>
      </w:r>
      <w:r>
        <w:t>in cunoscută și extrem</w:t>
      </w:r>
      <w:r w:rsidR="00C27E99">
        <w:t xml:space="preserve"> de greu accesibilă organizațiilor românești. Acestea preferă să acceseze fonduri structural</w:t>
      </w:r>
      <w:r>
        <w:t>e și de coeziune, admi</w:t>
      </w:r>
      <w:r w:rsidR="00C27E99">
        <w:t xml:space="preserve">nistrate de ministere din România, care au responsabili la nivel central sau regional din țara noastră. </w:t>
      </w:r>
    </w:p>
    <w:p w14:paraId="4FDB16F9" w14:textId="35F51A98" w:rsidR="00C27E99" w:rsidRPr="004C5CC4" w:rsidRDefault="00C27E99" w:rsidP="001914F5">
      <w:pPr>
        <w:spacing w:before="100" w:beforeAutospacing="1" w:after="100" w:afterAutospacing="1"/>
      </w:pPr>
      <w:r>
        <w:t>Un impediment major în accesarea fondurilor disponibile l</w:t>
      </w:r>
      <w:r w:rsidR="00661714">
        <w:t xml:space="preserve">a nivelul Comisiei Europene </w:t>
      </w:r>
      <w:proofErr w:type="gramStart"/>
      <w:r w:rsidR="00661714">
        <w:t>est</w:t>
      </w:r>
      <w:r>
        <w:t>e</w:t>
      </w:r>
      <w:proofErr w:type="gramEnd"/>
      <w:r w:rsidR="00661714">
        <w:t xml:space="preserve"> necesitatea lucru</w:t>
      </w:r>
      <w:r>
        <w:t>lui în parteneriat multi instituțional, d</w:t>
      </w:r>
      <w:r w:rsidR="00847867">
        <w:t xml:space="preserve">e multe ori fiind implicate organizații de tipuri diferite, cu management diferit. </w:t>
      </w:r>
      <w:proofErr w:type="gramStart"/>
      <w:r w:rsidR="00847867">
        <w:t>Acest gen de lucru în parteneriat nu a fost specific societății românești.</w:t>
      </w:r>
      <w:proofErr w:type="gramEnd"/>
      <w:r w:rsidR="00847867">
        <w:t xml:space="preserve"> Ca dovadă că lucrul în parteneriat este o piedică pentru proiecte stau și apelurile de proiecte implementate cu finanțări din programele operaționale (de exemplu Programul Operațional Dezvoltarea Resurselor Umane – POS DRU – 2007 – 2013) care au avut această obligativitate și unde p</w:t>
      </w:r>
      <w:r w:rsidR="00661714">
        <w:t>roiectele se implementează cu o</w:t>
      </w:r>
      <w:r w:rsidR="00847867">
        <w:t xml:space="preserve"> mult mai mare dificultate decât în cazul altor apeluri. </w:t>
      </w:r>
    </w:p>
    <w:p w14:paraId="0EB5E009" w14:textId="77777777" w:rsidR="00DD4DA6" w:rsidRDefault="00DD4DA6" w:rsidP="00093C9D">
      <w:pPr>
        <w:spacing w:before="100" w:beforeAutospacing="1" w:after="100" w:afterAutospacing="1"/>
        <w:rPr>
          <w:lang w:val="ro-RO"/>
        </w:rPr>
      </w:pPr>
    </w:p>
    <w:p w14:paraId="17C74650" w14:textId="22B3766B" w:rsidR="007F5CDF" w:rsidRPr="006A5D86" w:rsidRDefault="007F5CDF" w:rsidP="006A5D86">
      <w:pPr>
        <w:pStyle w:val="Heading1"/>
        <w:rPr>
          <w:rStyle w:val="BookTitle"/>
          <w:b/>
          <w:bCs/>
          <w:smallCaps w:val="0"/>
          <w:spacing w:val="0"/>
        </w:rPr>
      </w:pPr>
      <w:bookmarkStart w:id="11" w:name="_Toc290830245"/>
      <w:r w:rsidRPr="006A5D86">
        <w:rPr>
          <w:rStyle w:val="BookTitle"/>
          <w:b/>
          <w:bCs/>
          <w:smallCaps w:val="0"/>
          <w:spacing w:val="0"/>
        </w:rPr>
        <w:t>Impactul schimbărilor asupra companiilor locale</w:t>
      </w:r>
      <w:bookmarkEnd w:id="11"/>
    </w:p>
    <w:p w14:paraId="52E12774" w14:textId="318A1D12" w:rsidR="007F5CDF" w:rsidRPr="006A5D86" w:rsidRDefault="006A5D86" w:rsidP="006A5D86">
      <w:pPr>
        <w:pStyle w:val="Heading2"/>
      </w:pPr>
      <w:bookmarkStart w:id="12" w:name="_Toc290830246"/>
      <w:r w:rsidRPr="006A5D86">
        <w:t>Impactul noilor reglementări</w:t>
      </w:r>
      <w:bookmarkEnd w:id="12"/>
    </w:p>
    <w:p w14:paraId="55BF937E" w14:textId="23AF2E56" w:rsidR="006A5D86" w:rsidRDefault="00B4066B" w:rsidP="006A5D86">
      <w:pPr>
        <w:spacing w:before="100" w:beforeAutospacing="1" w:after="100" w:afterAutospacing="1"/>
      </w:pPr>
      <w:r>
        <w:t xml:space="preserve">Noile reglementări au ajutat firmele locale în special în ceea </w:t>
      </w:r>
      <w:proofErr w:type="gramStart"/>
      <w:r>
        <w:t>ce</w:t>
      </w:r>
      <w:proofErr w:type="gramEnd"/>
      <w:r>
        <w:t xml:space="preserve"> privește încrederea noilor clienți în a apela la produsele sau servicile oferite de ele. </w:t>
      </w:r>
      <w:r w:rsidR="003263E0">
        <w:t xml:space="preserve">Astfel, chiar dacă </w:t>
      </w:r>
      <w:proofErr w:type="gramStart"/>
      <w:r w:rsidR="003263E0">
        <w:t>un</w:t>
      </w:r>
      <w:proofErr w:type="gramEnd"/>
      <w:r w:rsidR="00DF4940">
        <w:t xml:space="preserve"> client nu cunoaşte firma respectivă</w:t>
      </w:r>
      <w:r w:rsidR="003263E0">
        <w:t>, nu a mai lucrat cu ea, nu i-a fost recomandată de altcineva, are curajul să apeleze la serviciile oferite de acea firmă sau să cumpere produsele oferite de acea firmă pentru că știe de existența unor reglementări legislative care îl protejează. De exemplu</w:t>
      </w:r>
      <w:r w:rsidR="00DF4940">
        <w:t>,</w:t>
      </w:r>
      <w:r w:rsidR="003263E0">
        <w:t xml:space="preserve"> acel client știe că trebuie să beneficieze de o garanție de minim 2 ani în cazul produselor cu o viață de utilizare mai lungă, știe că poate să returneze fără penalizări un bun achiziționat într-un anumit termen, fără să fie obligat să spună sau să </w:t>
      </w:r>
      <w:r w:rsidR="003263E0">
        <w:lastRenderedPageBreak/>
        <w:t xml:space="preserve">demonstreze nemulțumirile. Toate aceste garanții legislative îl fac pe client să fie mai deschis la bunuri și produse noi, oferite chiar și de firme locale. </w:t>
      </w:r>
    </w:p>
    <w:p w14:paraId="0D387038" w14:textId="6F789A8C" w:rsidR="0030161D" w:rsidRDefault="003263E0" w:rsidP="00093C9D">
      <w:pPr>
        <w:spacing w:before="100" w:beforeAutospacing="1" w:after="100" w:afterAutospacing="1"/>
      </w:pPr>
      <w:r>
        <w:t xml:space="preserve">Un alt impact important al schimbărilor legislative determinate de aderarea la Uniunea Europeană </w:t>
      </w:r>
      <w:proofErr w:type="gramStart"/>
      <w:r>
        <w:t>este</w:t>
      </w:r>
      <w:proofErr w:type="gramEnd"/>
      <w:r>
        <w:t xml:space="preserve"> cel referitor la achiziții publice. Așa cum am arătat mai sus, reglementările europene p</w:t>
      </w:r>
      <w:r w:rsidR="00DF4940">
        <w:t>rivind achizițiile publice impu</w:t>
      </w:r>
      <w:r>
        <w:t xml:space="preserve">n </w:t>
      </w:r>
      <w:proofErr w:type="gramStart"/>
      <w:r>
        <w:t>un</w:t>
      </w:r>
      <w:proofErr w:type="gramEnd"/>
      <w:r>
        <w:t xml:space="preserve"> grad foarte ridicat de transparență și reduc posibilitatea autor</w:t>
      </w:r>
      <w:r w:rsidR="00DF4940">
        <w:t>ităților contractante să includă</w:t>
      </w:r>
      <w:r>
        <w:t xml:space="preserve"> criteri</w:t>
      </w:r>
      <w:r w:rsidR="00DF4940">
        <w:t>i</w:t>
      </w:r>
      <w:r>
        <w:t xml:space="preserve"> sau elemente de restrângere nejustificată a competiției. </w:t>
      </w:r>
      <w:proofErr w:type="gramStart"/>
      <w:r>
        <w:t>Astfel</w:t>
      </w:r>
      <w:r w:rsidR="004156C5">
        <w:t>,</w:t>
      </w:r>
      <w:r>
        <w:t xml:space="preserve"> firmele locale au acces la inform</w:t>
      </w:r>
      <w:r w:rsidR="004156C5">
        <w:t>ațiile despre p</w:t>
      </w:r>
      <w:r>
        <w:t xml:space="preserve">rocedurile de achiziție organizate (accesul este chiar online, la </w:t>
      </w:r>
      <w:hyperlink r:id="rId11" w:history="1">
        <w:r w:rsidRPr="00552364">
          <w:rPr>
            <w:rStyle w:val="Hyperlink"/>
          </w:rPr>
          <w:t>www.e-licitatie.ro</w:t>
        </w:r>
      </w:hyperlink>
      <w:r>
        <w:t xml:space="preserve"> pentru achizițiile organizate de entități din România și la </w:t>
      </w:r>
      <w:hyperlink r:id="rId12" w:history="1">
        <w:r w:rsidR="0030161D" w:rsidRPr="00552364">
          <w:rPr>
            <w:rStyle w:val="Hyperlink"/>
          </w:rPr>
          <w:t>www.ted.europa.eu</w:t>
        </w:r>
      </w:hyperlink>
      <w:r w:rsidR="0030161D">
        <w:t xml:space="preserve"> pentru achizițiile organizate de entități din alte State Membre) și au termene minime reglementate între momentul publicării anunțului și momentul depunerii ofertelor.</w:t>
      </w:r>
      <w:proofErr w:type="gramEnd"/>
      <w:r w:rsidR="0030161D">
        <w:t xml:space="preserve"> În cazul </w:t>
      </w:r>
      <w:r w:rsidR="004156C5">
        <w:t>în care o firmă nu poate să par</w:t>
      </w:r>
      <w:r w:rsidR="0030161D">
        <w:t>ticipe singură la o procedură (fiind cerințe prea înalte sau procedur</w:t>
      </w:r>
      <w:r w:rsidR="004156C5">
        <w:t>a acoperind și domenii care exc</w:t>
      </w:r>
      <w:r w:rsidR="0030161D">
        <w:t xml:space="preserve">ed experiența firmei respective) ea poate să se asocieze, să formeze un consorțiu cu alte firme locale sau din Uniunea Europeană și împreună să realizeze o ofertă competitivă. </w:t>
      </w:r>
      <w:proofErr w:type="gramStart"/>
      <w:r w:rsidR="0030161D">
        <w:t>În acest fel firmele locale pot avea acce</w:t>
      </w:r>
      <w:r w:rsidR="004156C5">
        <w:t>s la o piață mai mare, inclusiv</w:t>
      </w:r>
      <w:r w:rsidR="0030161D">
        <w:t xml:space="preserve"> internațională (la nivelul Uniunii Europene).</w:t>
      </w:r>
      <w:proofErr w:type="gramEnd"/>
      <w:r w:rsidR="0030161D">
        <w:t xml:space="preserve"> </w:t>
      </w:r>
    </w:p>
    <w:p w14:paraId="634B2A76" w14:textId="7438F528" w:rsidR="0030161D" w:rsidRDefault="00480A2B" w:rsidP="00093C9D">
      <w:pPr>
        <w:spacing w:before="100" w:beforeAutospacing="1" w:after="100" w:afterAutospacing="1"/>
      </w:pPr>
      <w:proofErr w:type="gramStart"/>
      <w:r>
        <w:t>Un alt impact major asupra companiilor locale îl au r</w:t>
      </w:r>
      <w:r w:rsidR="00EB3409">
        <w:t>eglementările privind competiția</w:t>
      </w:r>
      <w:r>
        <w:t>.</w:t>
      </w:r>
      <w:proofErr w:type="gramEnd"/>
      <w:r>
        <w:t xml:space="preserve"> Printre principalele elemente de impact sunt:</w:t>
      </w:r>
    </w:p>
    <w:p w14:paraId="2993427E" w14:textId="16A9C0E7" w:rsidR="00480A2B" w:rsidRDefault="00480A2B" w:rsidP="00480A2B">
      <w:pPr>
        <w:pStyle w:val="ListParagraph"/>
        <w:numPr>
          <w:ilvl w:val="0"/>
          <w:numId w:val="17"/>
        </w:numPr>
        <w:spacing w:before="100" w:beforeAutospacing="1" w:after="100" w:afterAutospacing="1"/>
      </w:pPr>
      <w:r>
        <w:t xml:space="preserve">Interdicția ca </w:t>
      </w:r>
      <w:proofErr w:type="gramStart"/>
      <w:r>
        <w:t>un</w:t>
      </w:r>
      <w:proofErr w:type="gramEnd"/>
      <w:r>
        <w:t xml:space="preserve"> Stat Membru să acorde ajutoare de stat care să distorsioneze competiția. Astfel o firmă are siguranța că niciun competitor al ei nu o să primească beneficii din partea statului, beneficii care să îl</w:t>
      </w:r>
      <w:r w:rsidR="00EB3409">
        <w:t xml:space="preserve"> ajute să devină mai competitive </w:t>
      </w:r>
      <w:r>
        <w:t xml:space="preserve">în defavoarea celorlalți actori </w:t>
      </w:r>
      <w:proofErr w:type="gramStart"/>
      <w:r>
        <w:t>c</w:t>
      </w:r>
      <w:r w:rsidR="00EB3409">
        <w:t>e</w:t>
      </w:r>
      <w:proofErr w:type="gramEnd"/>
      <w:r w:rsidR="00EB3409">
        <w:t xml:space="preserve"> acționează pe piața respectivă</w:t>
      </w:r>
      <w:r>
        <w:t>.</w:t>
      </w:r>
    </w:p>
    <w:p w14:paraId="728E088F" w14:textId="2B3E1301" w:rsidR="00026A51" w:rsidRDefault="00480A2B" w:rsidP="00026A51">
      <w:pPr>
        <w:pStyle w:val="ListParagraph"/>
        <w:numPr>
          <w:ilvl w:val="0"/>
          <w:numId w:val="17"/>
        </w:numPr>
        <w:spacing w:before="100" w:beforeAutospacing="1" w:after="100" w:afterAutospacing="1"/>
      </w:pPr>
      <w:r>
        <w:t xml:space="preserve">Niciun producător sau distribuitor nu îi poate restricționa accesul la bunurile sau produsele oferite de el. </w:t>
      </w:r>
      <w:r w:rsidR="00026A51">
        <w:t>Sunt imposibil astfel de construit canale de distribuție exclusiviste.</w:t>
      </w:r>
    </w:p>
    <w:p w14:paraId="44140D3C" w14:textId="050C5D89" w:rsidR="00480A2B" w:rsidRDefault="00026A51" w:rsidP="00093C9D">
      <w:pPr>
        <w:spacing w:before="100" w:beforeAutospacing="1" w:after="100" w:afterAutospacing="1"/>
      </w:pPr>
      <w:r>
        <w:t>Un alt impact major al noului cadru de reglementare îl constituie încrederea pe care o au marii jucători internaționali asupra acestui cadru, încredere datorată atât cunoașterii lui (elementele esențiale sunt aceleași la nivelul întregii Uniuni Europene)</w:t>
      </w:r>
      <w:r w:rsidR="002F5D35">
        <w:t>,</w:t>
      </w:r>
      <w:r>
        <w:t xml:space="preserve"> cât și predictibilității modificărilor acestuia și disponibilității unor instrumente de arbitraj de încredere în cazul în care consideră că acele schimbări le afectează în mod nedrept afacerile.</w:t>
      </w:r>
    </w:p>
    <w:p w14:paraId="47AF817B" w14:textId="6F7376BC" w:rsidR="00DA2A00" w:rsidRDefault="00DA2A00" w:rsidP="00093C9D">
      <w:pPr>
        <w:spacing w:before="100" w:beforeAutospacing="1" w:after="100" w:afterAutospacing="1"/>
      </w:pPr>
      <w:r>
        <w:t>Încrederea mai mare acordată României de către marii actori internaționali are ca rezultat în primu</w:t>
      </w:r>
      <w:r w:rsidR="002F5D35">
        <w:t>l rând o creş</w:t>
      </w:r>
      <w:r>
        <w:t xml:space="preserve">tere </w:t>
      </w:r>
      <w:proofErr w:type="gramStart"/>
      <w:r>
        <w:t>a</w:t>
      </w:r>
      <w:proofErr w:type="gramEnd"/>
      <w:r>
        <w:t xml:space="preserve"> interesului lor (manifestată prin creșterea fluxurilor financiare rulate prin filialele din România)</w:t>
      </w:r>
      <w:r w:rsidR="002F5D35">
        <w:t>,</w:t>
      </w:r>
      <w:r>
        <w:t xml:space="preserve"> dar și disponibilizarea pentru firmele locale a tuturor programelor de parteneriat disponibile altor firme din Uniunea Europeană. Majoritatea acestor multinaționale oferă facilități importante pentru parteneri, facilități care se manifestă prin:</w:t>
      </w:r>
    </w:p>
    <w:p w14:paraId="4671F1A8" w14:textId="77777777" w:rsidR="00DA2A00" w:rsidRDefault="00DA2A00" w:rsidP="00DA2A00">
      <w:pPr>
        <w:pStyle w:val="ListParagraph"/>
        <w:numPr>
          <w:ilvl w:val="0"/>
          <w:numId w:val="20"/>
        </w:numPr>
        <w:spacing w:before="100" w:beforeAutospacing="1" w:after="100" w:afterAutospacing="1"/>
      </w:pPr>
      <w:proofErr w:type="gramStart"/>
      <w:r>
        <w:t>acces</w:t>
      </w:r>
      <w:proofErr w:type="gramEnd"/>
      <w:r>
        <w:t xml:space="preserve"> gratuit sau la costuri minime la produse și servicii oferite de multinațională, pentru companiile partenere, </w:t>
      </w:r>
    </w:p>
    <w:p w14:paraId="7E4806D5" w14:textId="24D0066A" w:rsidR="00DA2A00" w:rsidRDefault="00DA2A00" w:rsidP="00DA2A00">
      <w:pPr>
        <w:pStyle w:val="ListParagraph"/>
        <w:numPr>
          <w:ilvl w:val="0"/>
          <w:numId w:val="20"/>
        </w:numPr>
        <w:spacing w:before="100" w:beforeAutospacing="1" w:after="100" w:afterAutospacing="1"/>
      </w:pPr>
      <w:proofErr w:type="gramStart"/>
      <w:r>
        <w:t>acces</w:t>
      </w:r>
      <w:proofErr w:type="gramEnd"/>
      <w:r>
        <w:t xml:space="preserve"> la programe de instruire pentru specialiștii tehnici sau de vânzări </w:t>
      </w:r>
    </w:p>
    <w:p w14:paraId="1BB370C2" w14:textId="5EC7693B" w:rsidR="00DA2A00" w:rsidRDefault="002F5D35" w:rsidP="00DA2A00">
      <w:pPr>
        <w:pStyle w:val="ListParagraph"/>
        <w:numPr>
          <w:ilvl w:val="0"/>
          <w:numId w:val="20"/>
        </w:numPr>
        <w:spacing w:before="100" w:beforeAutospacing="1" w:after="100" w:afterAutospacing="1"/>
      </w:pPr>
      <w:proofErr w:type="gramStart"/>
      <w:r>
        <w:lastRenderedPageBreak/>
        <w:t>acces</w:t>
      </w:r>
      <w:proofErr w:type="gramEnd"/>
      <w:r>
        <w:t xml:space="preserve"> la servicii de su</w:t>
      </w:r>
      <w:r w:rsidR="00DA2A00">
        <w:t>port tehnic și alte servicii de tip back office atât pentru companiile partenere cât și pentru clienții acestora</w:t>
      </w:r>
    </w:p>
    <w:p w14:paraId="7B14848C" w14:textId="0C0C58A7" w:rsidR="00DA2A00" w:rsidRDefault="00DA2A00" w:rsidP="00DA2A00">
      <w:pPr>
        <w:pStyle w:val="ListParagraph"/>
        <w:numPr>
          <w:ilvl w:val="0"/>
          <w:numId w:val="20"/>
        </w:numPr>
        <w:spacing w:before="100" w:beforeAutospacing="1" w:after="100" w:afterAutospacing="1"/>
      </w:pPr>
      <w:proofErr w:type="gramStart"/>
      <w:r>
        <w:t>acces</w:t>
      </w:r>
      <w:proofErr w:type="gramEnd"/>
      <w:r>
        <w:t xml:space="preserve"> la informații referitoare la pogramele de dezvoltare de noi produse și servicii</w:t>
      </w:r>
    </w:p>
    <w:p w14:paraId="50B1AB53" w14:textId="4B0672E2" w:rsidR="00DA2A00" w:rsidRDefault="00DA2A00" w:rsidP="00DA2A00">
      <w:pPr>
        <w:pStyle w:val="ListParagraph"/>
        <w:numPr>
          <w:ilvl w:val="0"/>
          <w:numId w:val="20"/>
        </w:numPr>
        <w:spacing w:before="100" w:beforeAutospacing="1" w:after="100" w:afterAutospacing="1"/>
      </w:pPr>
      <w:proofErr w:type="gramStart"/>
      <w:r>
        <w:t>acces</w:t>
      </w:r>
      <w:proofErr w:type="gramEnd"/>
      <w:r>
        <w:t xml:space="preserve"> la rețeaua de parteneri ai acelei multinaționale, fiind astfel facilitate cooperările</w:t>
      </w:r>
    </w:p>
    <w:p w14:paraId="5A8200F7" w14:textId="34190626" w:rsidR="00DA2A00" w:rsidRDefault="00712130" w:rsidP="00093C9D">
      <w:pPr>
        <w:spacing w:before="100" w:beforeAutospacing="1" w:after="100" w:afterAutospacing="1"/>
      </w:pPr>
      <w:r>
        <w:t xml:space="preserve">Ca </w:t>
      </w:r>
      <w:proofErr w:type="gramStart"/>
      <w:r>
        <w:t>un</w:t>
      </w:r>
      <w:proofErr w:type="gramEnd"/>
      <w:r>
        <w:t xml:space="preserve"> rezultat direct al îmbunătățirii mediului de afaceri din România, majoritatea multinaționalelor au început să își deschidă centre de servicii în România. Dacă inițial aceste centre erau deschis</w:t>
      </w:r>
      <w:r w:rsidR="002F5D35">
        <w:t>e aproape exclusiv</w:t>
      </w:r>
      <w:r>
        <w:t xml:space="preserve"> în Bucu</w:t>
      </w:r>
      <w:r w:rsidR="002F5D35">
        <w:t xml:space="preserve">rești, în momentul de față ponderea locurilor de muncă nou create în țară </w:t>
      </w:r>
      <w:proofErr w:type="gramStart"/>
      <w:r w:rsidR="002F5D35">
        <w:t>este</w:t>
      </w:r>
      <w:proofErr w:type="gramEnd"/>
      <w:r w:rsidR="002F5D35">
        <w:t xml:space="preserve"> în continuă creș</w:t>
      </w:r>
      <w:r>
        <w:t xml:space="preserve">tere. </w:t>
      </w:r>
      <w:proofErr w:type="gramStart"/>
      <w:r>
        <w:t>Cel mai recent exemplu în acest sens îl constituie lista proiectelor aprobate pentru a primi ajutor de stat în cadrul schemei anunțată prin HG 979 / 2012.</w:t>
      </w:r>
      <w:proofErr w:type="gramEnd"/>
      <w:r>
        <w:t xml:space="preserve"> Această </w:t>
      </w:r>
      <w:r w:rsidR="002F5D35">
        <w:t>l</w:t>
      </w:r>
      <w:r>
        <w:t xml:space="preserve">istă </w:t>
      </w:r>
      <w:proofErr w:type="gramStart"/>
      <w:r>
        <w:t>este</w:t>
      </w:r>
      <w:proofErr w:type="gramEnd"/>
      <w:r>
        <w:t xml:space="preserve"> prezentată în tabelul următor.</w:t>
      </w:r>
    </w:p>
    <w:p w14:paraId="23BB7343" w14:textId="77777777" w:rsidR="00712130" w:rsidRDefault="00712130" w:rsidP="00093C9D">
      <w:pPr>
        <w:spacing w:before="100" w:beforeAutospacing="1" w:after="100" w:afterAutospacing="1"/>
      </w:pPr>
    </w:p>
    <w:p w14:paraId="14A4B42A" w14:textId="0272B9BC" w:rsidR="00712130" w:rsidRPr="00712130" w:rsidRDefault="00712130" w:rsidP="00712130">
      <w:pPr>
        <w:pStyle w:val="Caption"/>
        <w:rPr>
          <w:sz w:val="20"/>
          <w:szCs w:val="20"/>
        </w:rPr>
      </w:pPr>
      <w:bookmarkStart w:id="13" w:name="_Toc268209649"/>
      <w:r w:rsidRPr="00712130">
        <w:rPr>
          <w:sz w:val="20"/>
          <w:szCs w:val="20"/>
        </w:rPr>
        <w:t xml:space="preserve">Tabel </w:t>
      </w:r>
      <w:r w:rsidRPr="00712130">
        <w:rPr>
          <w:sz w:val="20"/>
          <w:szCs w:val="20"/>
        </w:rPr>
        <w:fldChar w:fldCharType="begin"/>
      </w:r>
      <w:r w:rsidRPr="00712130">
        <w:rPr>
          <w:sz w:val="20"/>
          <w:szCs w:val="20"/>
        </w:rPr>
        <w:instrText xml:space="preserve"> STYLEREF 1 \s </w:instrText>
      </w:r>
      <w:r w:rsidRPr="00712130">
        <w:rPr>
          <w:sz w:val="20"/>
          <w:szCs w:val="20"/>
        </w:rPr>
        <w:fldChar w:fldCharType="separate"/>
      </w:r>
      <w:r w:rsidR="006D5CC0">
        <w:rPr>
          <w:noProof/>
          <w:sz w:val="20"/>
          <w:szCs w:val="20"/>
        </w:rPr>
        <w:t>7</w:t>
      </w:r>
      <w:r w:rsidRPr="00712130">
        <w:rPr>
          <w:sz w:val="20"/>
          <w:szCs w:val="20"/>
        </w:rPr>
        <w:fldChar w:fldCharType="end"/>
      </w:r>
      <w:r w:rsidRPr="00712130">
        <w:rPr>
          <w:sz w:val="20"/>
          <w:szCs w:val="20"/>
        </w:rPr>
        <w:noBreakHyphen/>
      </w:r>
      <w:r w:rsidRPr="00712130">
        <w:rPr>
          <w:sz w:val="20"/>
          <w:szCs w:val="20"/>
        </w:rPr>
        <w:fldChar w:fldCharType="begin"/>
      </w:r>
      <w:r w:rsidRPr="00712130">
        <w:rPr>
          <w:sz w:val="20"/>
          <w:szCs w:val="20"/>
        </w:rPr>
        <w:instrText xml:space="preserve"> SEQ Tabel \* ARABIC \s 1 </w:instrText>
      </w:r>
      <w:r w:rsidRPr="00712130">
        <w:rPr>
          <w:sz w:val="20"/>
          <w:szCs w:val="20"/>
        </w:rPr>
        <w:fldChar w:fldCharType="separate"/>
      </w:r>
      <w:r w:rsidR="006D5CC0">
        <w:rPr>
          <w:noProof/>
          <w:sz w:val="20"/>
          <w:szCs w:val="20"/>
        </w:rPr>
        <w:t>1</w:t>
      </w:r>
      <w:r w:rsidRPr="00712130">
        <w:rPr>
          <w:sz w:val="20"/>
          <w:szCs w:val="20"/>
        </w:rPr>
        <w:fldChar w:fldCharType="end"/>
      </w:r>
      <w:r w:rsidRPr="00712130">
        <w:rPr>
          <w:sz w:val="20"/>
          <w:szCs w:val="20"/>
        </w:rPr>
        <w:t xml:space="preserve"> Lista proiectelor aprobate în cadrul schemei de ajutor de stat adoptată prin HG 979 / 2012</w:t>
      </w:r>
      <w:bookmarkEnd w:id="13"/>
    </w:p>
    <w:tbl>
      <w:tblPr>
        <w:tblStyle w:val="TableGrid"/>
        <w:tblW w:w="0" w:type="auto"/>
        <w:tblLook w:val="04A0" w:firstRow="1" w:lastRow="0" w:firstColumn="1" w:lastColumn="0" w:noHBand="0" w:noVBand="1"/>
      </w:tblPr>
      <w:tblGrid>
        <w:gridCol w:w="553"/>
        <w:gridCol w:w="1870"/>
        <w:gridCol w:w="2284"/>
        <w:gridCol w:w="1592"/>
        <w:gridCol w:w="1270"/>
        <w:gridCol w:w="947"/>
      </w:tblGrid>
      <w:tr w:rsidR="00006A93" w:rsidRPr="00006A93" w14:paraId="003A1F11" w14:textId="77777777" w:rsidTr="00006A93">
        <w:trPr>
          <w:tblHeader/>
        </w:trPr>
        <w:tc>
          <w:tcPr>
            <w:tcW w:w="553" w:type="dxa"/>
            <w:shd w:val="clear" w:color="auto" w:fill="333399"/>
            <w:vAlign w:val="center"/>
          </w:tcPr>
          <w:p w14:paraId="6EAEAE0C" w14:textId="4DB48E54" w:rsidR="00712130" w:rsidRPr="00006A93" w:rsidRDefault="00712130" w:rsidP="00006A93">
            <w:pPr>
              <w:pStyle w:val="NormalWeb"/>
              <w:spacing w:before="77" w:beforeAutospacing="0" w:after="0" w:afterAutospacing="0"/>
              <w:jc w:val="center"/>
              <w:textAlignment w:val="baseline"/>
              <w:rPr>
                <w:rFonts w:asciiTheme="majorHAnsi" w:hAnsiTheme="majorHAnsi" w:cs="Arial"/>
                <w:b/>
                <w:bCs/>
                <w:color w:val="FFFFFF" w:themeColor="background1"/>
                <w:kern w:val="24"/>
                <w:sz w:val="20"/>
                <w:szCs w:val="20"/>
                <w:lang w:val="ro-RO"/>
              </w:rPr>
            </w:pPr>
            <w:r w:rsidRPr="00006A93">
              <w:rPr>
                <w:rFonts w:asciiTheme="majorHAnsi" w:hAnsiTheme="majorHAnsi" w:cs="Arial"/>
                <w:b/>
                <w:bCs/>
                <w:color w:val="FFFFFF" w:themeColor="background1"/>
                <w:kern w:val="24"/>
                <w:sz w:val="20"/>
                <w:szCs w:val="20"/>
                <w:lang w:val="ro-RO"/>
              </w:rPr>
              <w:t>Nr. Crt.</w:t>
            </w:r>
          </w:p>
        </w:tc>
        <w:tc>
          <w:tcPr>
            <w:tcW w:w="1870" w:type="dxa"/>
            <w:shd w:val="clear" w:color="auto" w:fill="333399"/>
            <w:vAlign w:val="center"/>
          </w:tcPr>
          <w:p w14:paraId="3E57E69E" w14:textId="05B579CB" w:rsidR="00712130" w:rsidRPr="00006A93" w:rsidRDefault="00712130" w:rsidP="00006A93">
            <w:pPr>
              <w:pStyle w:val="NormalWeb"/>
              <w:spacing w:before="77" w:beforeAutospacing="0" w:after="0" w:afterAutospacing="0"/>
              <w:jc w:val="center"/>
              <w:textAlignment w:val="baseline"/>
              <w:rPr>
                <w:rFonts w:asciiTheme="majorHAnsi" w:hAnsiTheme="majorHAnsi" w:cs="Arial"/>
                <w:b/>
                <w:bCs/>
                <w:color w:val="FFFFFF" w:themeColor="background1"/>
                <w:kern w:val="24"/>
                <w:sz w:val="20"/>
                <w:szCs w:val="20"/>
                <w:lang w:val="ro-RO"/>
              </w:rPr>
            </w:pPr>
            <w:r w:rsidRPr="00006A93">
              <w:rPr>
                <w:rFonts w:asciiTheme="majorHAnsi" w:hAnsiTheme="majorHAnsi" w:cs="Arial"/>
                <w:b/>
                <w:bCs/>
                <w:color w:val="FFFFFF" w:themeColor="background1"/>
                <w:kern w:val="24"/>
                <w:sz w:val="20"/>
                <w:szCs w:val="20"/>
                <w:lang w:val="ro-RO"/>
              </w:rPr>
              <w:t>Societatea</w:t>
            </w:r>
          </w:p>
        </w:tc>
        <w:tc>
          <w:tcPr>
            <w:tcW w:w="2284" w:type="dxa"/>
            <w:shd w:val="clear" w:color="auto" w:fill="333399"/>
            <w:vAlign w:val="center"/>
          </w:tcPr>
          <w:p w14:paraId="4D36FE9C" w14:textId="06F59089" w:rsidR="00712130" w:rsidRPr="00006A93" w:rsidRDefault="00712130" w:rsidP="00006A93">
            <w:pPr>
              <w:pStyle w:val="NormalWeb"/>
              <w:spacing w:before="77" w:beforeAutospacing="0" w:after="0" w:afterAutospacing="0"/>
              <w:jc w:val="center"/>
              <w:textAlignment w:val="baseline"/>
              <w:rPr>
                <w:rFonts w:asciiTheme="majorHAnsi" w:hAnsiTheme="majorHAnsi" w:cs="Arial"/>
                <w:b/>
                <w:bCs/>
                <w:color w:val="FFFFFF" w:themeColor="background1"/>
                <w:kern w:val="24"/>
                <w:sz w:val="20"/>
                <w:szCs w:val="20"/>
                <w:lang w:val="ro-RO"/>
              </w:rPr>
            </w:pPr>
            <w:r w:rsidRPr="00006A93">
              <w:rPr>
                <w:rFonts w:asciiTheme="majorHAnsi" w:hAnsiTheme="majorHAnsi" w:cs="Arial"/>
                <w:b/>
                <w:bCs/>
                <w:color w:val="FFFFFF" w:themeColor="background1"/>
                <w:kern w:val="24"/>
                <w:sz w:val="20"/>
                <w:szCs w:val="20"/>
                <w:lang w:val="ro-RO"/>
              </w:rPr>
              <w:t>Sectorul de activitate / Proiectul de investiţii</w:t>
            </w:r>
          </w:p>
        </w:tc>
        <w:tc>
          <w:tcPr>
            <w:tcW w:w="1592" w:type="dxa"/>
            <w:shd w:val="clear" w:color="auto" w:fill="333399"/>
            <w:vAlign w:val="center"/>
          </w:tcPr>
          <w:p w14:paraId="345BEB56" w14:textId="3746037B" w:rsidR="00712130" w:rsidRPr="00006A93" w:rsidRDefault="00712130" w:rsidP="00006A93">
            <w:pPr>
              <w:pStyle w:val="NormalWeb"/>
              <w:spacing w:before="77" w:beforeAutospacing="0" w:after="0" w:afterAutospacing="0"/>
              <w:jc w:val="center"/>
              <w:textAlignment w:val="baseline"/>
              <w:rPr>
                <w:rFonts w:asciiTheme="majorHAnsi" w:hAnsiTheme="majorHAnsi" w:cs="Arial"/>
                <w:b/>
                <w:bCs/>
                <w:color w:val="FFFFFF" w:themeColor="background1"/>
                <w:kern w:val="24"/>
                <w:sz w:val="20"/>
                <w:szCs w:val="20"/>
                <w:lang w:val="ro-RO"/>
              </w:rPr>
            </w:pPr>
            <w:r w:rsidRPr="00006A93">
              <w:rPr>
                <w:rFonts w:asciiTheme="majorHAnsi" w:hAnsiTheme="majorHAnsi" w:cs="Arial"/>
                <w:b/>
                <w:bCs/>
                <w:color w:val="FFFFFF" w:themeColor="background1"/>
                <w:kern w:val="24"/>
                <w:sz w:val="20"/>
                <w:szCs w:val="20"/>
                <w:lang w:val="ro-RO"/>
              </w:rPr>
              <w:t>Locaţia implementării proiectului de investiţ</w:t>
            </w:r>
          </w:p>
        </w:tc>
        <w:tc>
          <w:tcPr>
            <w:tcW w:w="1270" w:type="dxa"/>
            <w:shd w:val="clear" w:color="auto" w:fill="333399"/>
            <w:vAlign w:val="center"/>
          </w:tcPr>
          <w:p w14:paraId="25EF9C03" w14:textId="5DEDE0EF" w:rsidR="00712130" w:rsidRPr="00006A93" w:rsidRDefault="00712130" w:rsidP="00006A93">
            <w:pPr>
              <w:pStyle w:val="NormalWeb"/>
              <w:spacing w:before="77" w:beforeAutospacing="0" w:after="0" w:afterAutospacing="0"/>
              <w:jc w:val="center"/>
              <w:textAlignment w:val="baseline"/>
              <w:rPr>
                <w:rFonts w:asciiTheme="majorHAnsi" w:hAnsiTheme="majorHAnsi" w:cs="Arial"/>
                <w:b/>
                <w:bCs/>
                <w:color w:val="FFFFFF" w:themeColor="background1"/>
                <w:kern w:val="24"/>
                <w:sz w:val="20"/>
                <w:szCs w:val="20"/>
                <w:lang w:val="ro-RO"/>
              </w:rPr>
            </w:pPr>
            <w:r w:rsidRPr="00006A93">
              <w:rPr>
                <w:rFonts w:asciiTheme="majorHAnsi" w:hAnsiTheme="majorHAnsi" w:cs="Arial"/>
                <w:b/>
                <w:bCs/>
                <w:color w:val="FFFFFF" w:themeColor="background1"/>
                <w:kern w:val="24"/>
                <w:sz w:val="20"/>
                <w:szCs w:val="20"/>
                <w:lang w:val="ro-RO"/>
              </w:rPr>
              <w:t>Valoarea ajutorului de stat apobat (mil. Euro)</w:t>
            </w:r>
            <w:r w:rsidRPr="00006A93">
              <w:rPr>
                <w:rFonts w:asciiTheme="majorHAnsi" w:hAnsiTheme="majorHAnsi" w:cs="Arial"/>
                <w:b/>
                <w:bCs/>
                <w:color w:val="FFFFFF" w:themeColor="background1"/>
                <w:kern w:val="24"/>
                <w:sz w:val="20"/>
                <w:szCs w:val="20"/>
                <w:lang w:val="ro-RO"/>
              </w:rPr>
              <w:tab/>
            </w:r>
          </w:p>
        </w:tc>
        <w:tc>
          <w:tcPr>
            <w:tcW w:w="947" w:type="dxa"/>
            <w:shd w:val="clear" w:color="auto" w:fill="333399"/>
            <w:vAlign w:val="center"/>
          </w:tcPr>
          <w:p w14:paraId="5A18B08E" w14:textId="52319E1D" w:rsidR="00712130" w:rsidRPr="00006A93" w:rsidRDefault="00712130" w:rsidP="00006A93">
            <w:pPr>
              <w:pStyle w:val="NormalWeb"/>
              <w:spacing w:before="77" w:beforeAutospacing="0" w:after="0" w:afterAutospacing="0"/>
              <w:jc w:val="center"/>
              <w:textAlignment w:val="baseline"/>
              <w:rPr>
                <w:rFonts w:asciiTheme="majorHAnsi" w:hAnsiTheme="majorHAnsi" w:cs="Arial"/>
                <w:b/>
                <w:bCs/>
                <w:color w:val="FFFFFF" w:themeColor="background1"/>
                <w:kern w:val="24"/>
                <w:sz w:val="20"/>
                <w:szCs w:val="20"/>
                <w:lang w:val="ro-RO"/>
              </w:rPr>
            </w:pPr>
            <w:r w:rsidRPr="00006A93">
              <w:rPr>
                <w:rFonts w:asciiTheme="majorHAnsi" w:hAnsiTheme="majorHAnsi" w:cs="Arial"/>
                <w:b/>
                <w:bCs/>
                <w:color w:val="FFFFFF" w:themeColor="background1"/>
                <w:kern w:val="24"/>
                <w:sz w:val="20"/>
                <w:szCs w:val="20"/>
                <w:lang w:val="ro-RO"/>
              </w:rPr>
              <w:t>Nr. de noi locuri de muncă estimate</w:t>
            </w:r>
          </w:p>
        </w:tc>
      </w:tr>
      <w:tr w:rsidR="00006A93" w:rsidRPr="00006A93" w14:paraId="4B5AC0AA" w14:textId="77777777" w:rsidTr="00006A93">
        <w:tc>
          <w:tcPr>
            <w:tcW w:w="553" w:type="dxa"/>
            <w:vAlign w:val="center"/>
          </w:tcPr>
          <w:p w14:paraId="50C67CBB" w14:textId="04DCE375" w:rsidR="00006A93" w:rsidRPr="00006A93" w:rsidRDefault="00006A93" w:rsidP="00093C9D">
            <w:pPr>
              <w:spacing w:before="100" w:beforeAutospacing="1" w:after="100" w:afterAutospacing="1"/>
              <w:rPr>
                <w:rFonts w:asciiTheme="majorHAnsi" w:hAnsiTheme="majorHAnsi"/>
                <w:sz w:val="20"/>
                <w:szCs w:val="20"/>
              </w:rPr>
            </w:pPr>
            <w:r w:rsidRPr="00006A93">
              <w:rPr>
                <w:rFonts w:asciiTheme="majorHAnsi" w:eastAsia="Times New Roman" w:hAnsiTheme="majorHAnsi" w:cs="Arial"/>
                <w:sz w:val="20"/>
                <w:szCs w:val="20"/>
              </w:rPr>
              <w:t>1</w:t>
            </w:r>
          </w:p>
        </w:tc>
        <w:tc>
          <w:tcPr>
            <w:tcW w:w="1870" w:type="dxa"/>
            <w:vAlign w:val="center"/>
          </w:tcPr>
          <w:p w14:paraId="69ABFC8E" w14:textId="4C0AC3F9" w:rsidR="00006A93" w:rsidRPr="00006A93" w:rsidRDefault="00006A93" w:rsidP="00093C9D">
            <w:pPr>
              <w:spacing w:before="100" w:beforeAutospacing="1" w:after="100" w:afterAutospacing="1"/>
              <w:rPr>
                <w:rFonts w:asciiTheme="majorHAnsi" w:hAnsiTheme="majorHAnsi"/>
                <w:sz w:val="20"/>
                <w:szCs w:val="20"/>
              </w:rPr>
            </w:pPr>
            <w:r w:rsidRPr="00006A93">
              <w:rPr>
                <w:rFonts w:asciiTheme="majorHAnsi" w:eastAsia="Times New Roman" w:hAnsiTheme="majorHAnsi" w:cs="Arial"/>
                <w:sz w:val="20"/>
                <w:szCs w:val="20"/>
              </w:rPr>
              <w:t>SC ENDAVA ROMÂNIA SRL</w:t>
            </w:r>
          </w:p>
        </w:tc>
        <w:tc>
          <w:tcPr>
            <w:tcW w:w="2284" w:type="dxa"/>
            <w:vAlign w:val="center"/>
          </w:tcPr>
          <w:p w14:paraId="0604CE06" w14:textId="014B2752" w:rsidR="00006A93" w:rsidRPr="00006A93" w:rsidRDefault="00006A93" w:rsidP="00093C9D">
            <w:pPr>
              <w:spacing w:before="100" w:beforeAutospacing="1" w:after="100" w:afterAutospacing="1"/>
              <w:rPr>
                <w:rFonts w:asciiTheme="majorHAnsi" w:hAnsiTheme="majorHAnsi"/>
                <w:sz w:val="20"/>
                <w:szCs w:val="20"/>
              </w:rPr>
            </w:pPr>
            <w:r w:rsidRPr="00006A93">
              <w:rPr>
                <w:rFonts w:asciiTheme="majorHAnsi" w:eastAsia="Times New Roman" w:hAnsiTheme="majorHAnsi" w:cs="Arial"/>
                <w:sz w:val="20"/>
                <w:szCs w:val="20"/>
              </w:rPr>
              <w:t>Activităţi de servicii în tehnologia informaţiei/</w:t>
            </w:r>
            <w:r w:rsidRPr="00006A93">
              <w:rPr>
                <w:rFonts w:asciiTheme="majorHAnsi" w:eastAsia="Times New Roman" w:hAnsiTheme="majorHAnsi" w:cs="Arial"/>
                <w:sz w:val="20"/>
                <w:szCs w:val="20"/>
              </w:rPr>
              <w:br/>
              <w:t>Activităţi de realizare a softului la comandă/</w:t>
            </w:r>
            <w:r w:rsidRPr="00006A93">
              <w:rPr>
                <w:rFonts w:asciiTheme="majorHAnsi" w:eastAsia="Times New Roman" w:hAnsiTheme="majorHAnsi" w:cs="Arial"/>
                <w:sz w:val="20"/>
                <w:szCs w:val="20"/>
              </w:rPr>
              <w:br/>
              <w:t>„Dezvoltare regională Endava 1000+”</w:t>
            </w:r>
            <w:r w:rsidRPr="00006A93">
              <w:rPr>
                <w:rFonts w:asciiTheme="majorHAnsi" w:eastAsia="Times New Roman" w:hAnsiTheme="majorHAnsi" w:cs="Arial"/>
                <w:sz w:val="20"/>
                <w:szCs w:val="20"/>
              </w:rPr>
              <w:br/>
            </w:r>
            <w:r w:rsidRPr="00006A93">
              <w:rPr>
                <w:rFonts w:asciiTheme="majorHAnsi" w:eastAsia="Times New Roman" w:hAnsiTheme="majorHAnsi" w:cs="Arial"/>
                <w:i/>
                <w:iCs/>
                <w:color w:val="0000D4"/>
                <w:sz w:val="20"/>
                <w:szCs w:val="20"/>
              </w:rPr>
              <w:t>extindere</w:t>
            </w:r>
          </w:p>
        </w:tc>
        <w:tc>
          <w:tcPr>
            <w:tcW w:w="1592" w:type="dxa"/>
            <w:vAlign w:val="center"/>
          </w:tcPr>
          <w:p w14:paraId="01606804" w14:textId="3B30196E" w:rsidR="00006A93" w:rsidRPr="00006A93" w:rsidRDefault="00006A93" w:rsidP="00093C9D">
            <w:pPr>
              <w:spacing w:before="100" w:beforeAutospacing="1" w:after="100" w:afterAutospacing="1"/>
              <w:rPr>
                <w:rFonts w:asciiTheme="majorHAnsi" w:hAnsiTheme="majorHAnsi"/>
                <w:sz w:val="20"/>
                <w:szCs w:val="20"/>
              </w:rPr>
            </w:pPr>
            <w:r w:rsidRPr="00006A93">
              <w:rPr>
                <w:rFonts w:asciiTheme="majorHAnsi" w:eastAsia="Times New Roman" w:hAnsiTheme="majorHAnsi" w:cs="Arial"/>
                <w:sz w:val="20"/>
                <w:szCs w:val="20"/>
              </w:rPr>
              <w:t xml:space="preserve">• Bucureşti, </w:t>
            </w:r>
            <w:r w:rsidRPr="00006A93">
              <w:rPr>
                <w:rFonts w:asciiTheme="majorHAnsi" w:eastAsia="Times New Roman" w:hAnsiTheme="majorHAnsi" w:cs="Arial"/>
                <w:sz w:val="20"/>
                <w:szCs w:val="20"/>
              </w:rPr>
              <w:br/>
            </w:r>
            <w:proofErr w:type="gramStart"/>
            <w:r w:rsidRPr="00006A93">
              <w:rPr>
                <w:rFonts w:asciiTheme="majorHAnsi" w:eastAsia="Times New Roman" w:hAnsiTheme="majorHAnsi" w:cs="Arial"/>
                <w:sz w:val="20"/>
                <w:szCs w:val="20"/>
              </w:rPr>
              <w:t xml:space="preserve">   Municipiul</w:t>
            </w:r>
            <w:proofErr w:type="gramEnd"/>
            <w:r w:rsidRPr="00006A93">
              <w:rPr>
                <w:rFonts w:asciiTheme="majorHAnsi" w:eastAsia="Times New Roman" w:hAnsiTheme="majorHAnsi" w:cs="Arial"/>
                <w:sz w:val="20"/>
                <w:szCs w:val="20"/>
              </w:rPr>
              <w:t xml:space="preserve"> Bucureşti</w:t>
            </w:r>
            <w:r w:rsidRPr="00006A93">
              <w:rPr>
                <w:rFonts w:asciiTheme="majorHAnsi" w:eastAsia="Times New Roman" w:hAnsiTheme="majorHAnsi" w:cs="Arial"/>
                <w:sz w:val="20"/>
                <w:szCs w:val="20"/>
              </w:rPr>
              <w:br/>
              <w:t>• Iaşi, Judeţul Iaşi</w:t>
            </w:r>
            <w:r w:rsidRPr="00006A93">
              <w:rPr>
                <w:rFonts w:asciiTheme="majorHAnsi" w:eastAsia="Times New Roman" w:hAnsiTheme="majorHAnsi" w:cs="Arial"/>
                <w:sz w:val="20"/>
                <w:szCs w:val="20"/>
              </w:rPr>
              <w:br/>
              <w:t>• Cluj, Judeţul Cluj-Napoca</w:t>
            </w:r>
          </w:p>
        </w:tc>
        <w:tc>
          <w:tcPr>
            <w:tcW w:w="1270" w:type="dxa"/>
            <w:vAlign w:val="center"/>
          </w:tcPr>
          <w:p w14:paraId="6A831EE4" w14:textId="671E69BD" w:rsidR="00006A93" w:rsidRPr="00006A93" w:rsidRDefault="00006A93" w:rsidP="00093C9D">
            <w:pPr>
              <w:spacing w:before="100" w:beforeAutospacing="1" w:after="100" w:afterAutospacing="1"/>
              <w:rPr>
                <w:rFonts w:asciiTheme="majorHAnsi" w:hAnsiTheme="majorHAnsi"/>
                <w:sz w:val="20"/>
                <w:szCs w:val="20"/>
              </w:rPr>
            </w:pPr>
            <w:r w:rsidRPr="00006A93">
              <w:rPr>
                <w:rFonts w:asciiTheme="majorHAnsi" w:eastAsia="Times New Roman" w:hAnsiTheme="majorHAnsi" w:cs="Arial"/>
                <w:sz w:val="20"/>
                <w:szCs w:val="20"/>
              </w:rPr>
              <w:t>9,50</w:t>
            </w:r>
          </w:p>
        </w:tc>
        <w:tc>
          <w:tcPr>
            <w:tcW w:w="947" w:type="dxa"/>
            <w:vAlign w:val="center"/>
          </w:tcPr>
          <w:p w14:paraId="43450EEF" w14:textId="14CB76BE" w:rsidR="00006A93" w:rsidRPr="00006A93" w:rsidRDefault="00006A93" w:rsidP="00093C9D">
            <w:pPr>
              <w:spacing w:before="100" w:beforeAutospacing="1" w:after="100" w:afterAutospacing="1"/>
              <w:rPr>
                <w:rFonts w:asciiTheme="majorHAnsi" w:hAnsiTheme="majorHAnsi"/>
                <w:sz w:val="20"/>
                <w:szCs w:val="20"/>
              </w:rPr>
            </w:pPr>
            <w:r w:rsidRPr="00006A93">
              <w:rPr>
                <w:rFonts w:asciiTheme="majorHAnsi" w:eastAsia="Times New Roman" w:hAnsiTheme="majorHAnsi" w:cs="Arial"/>
                <w:sz w:val="20"/>
                <w:szCs w:val="20"/>
              </w:rPr>
              <w:t>500</w:t>
            </w:r>
          </w:p>
        </w:tc>
      </w:tr>
      <w:tr w:rsidR="00006A93" w:rsidRPr="00006A93" w14:paraId="1F775FBA" w14:textId="77777777" w:rsidTr="00006A93">
        <w:tc>
          <w:tcPr>
            <w:tcW w:w="553" w:type="dxa"/>
            <w:vAlign w:val="center"/>
          </w:tcPr>
          <w:p w14:paraId="739E0B6D" w14:textId="290EAABD" w:rsidR="00006A93" w:rsidRPr="00006A93" w:rsidRDefault="00006A93" w:rsidP="00093C9D">
            <w:pPr>
              <w:spacing w:before="100" w:beforeAutospacing="1" w:after="100" w:afterAutospacing="1"/>
              <w:rPr>
                <w:rFonts w:asciiTheme="majorHAnsi" w:hAnsiTheme="majorHAnsi"/>
                <w:sz w:val="20"/>
                <w:szCs w:val="20"/>
              </w:rPr>
            </w:pPr>
            <w:r w:rsidRPr="00006A93">
              <w:rPr>
                <w:rFonts w:asciiTheme="majorHAnsi" w:eastAsia="Times New Roman" w:hAnsiTheme="majorHAnsi" w:cs="Arial"/>
                <w:sz w:val="20"/>
                <w:szCs w:val="20"/>
              </w:rPr>
              <w:t>2</w:t>
            </w:r>
          </w:p>
        </w:tc>
        <w:tc>
          <w:tcPr>
            <w:tcW w:w="1870" w:type="dxa"/>
            <w:vAlign w:val="center"/>
          </w:tcPr>
          <w:p w14:paraId="1129545B" w14:textId="540D0DE2" w:rsidR="00006A93" w:rsidRPr="00006A93" w:rsidRDefault="00006A93" w:rsidP="00093C9D">
            <w:pPr>
              <w:spacing w:before="100" w:beforeAutospacing="1" w:after="100" w:afterAutospacing="1"/>
              <w:rPr>
                <w:rFonts w:asciiTheme="majorHAnsi" w:hAnsiTheme="majorHAnsi"/>
                <w:sz w:val="20"/>
                <w:szCs w:val="20"/>
              </w:rPr>
            </w:pPr>
            <w:r w:rsidRPr="00006A93">
              <w:rPr>
                <w:rFonts w:asciiTheme="majorHAnsi" w:eastAsia="Times New Roman" w:hAnsiTheme="majorHAnsi" w:cs="Arial"/>
                <w:sz w:val="20"/>
                <w:szCs w:val="20"/>
              </w:rPr>
              <w:t>SC IBM ROMÂNIA SRL</w:t>
            </w:r>
          </w:p>
        </w:tc>
        <w:tc>
          <w:tcPr>
            <w:tcW w:w="2284" w:type="dxa"/>
            <w:vAlign w:val="center"/>
          </w:tcPr>
          <w:p w14:paraId="7995CEFE" w14:textId="3F4C63FC" w:rsidR="00006A93" w:rsidRPr="00006A93" w:rsidRDefault="00006A93" w:rsidP="00093C9D">
            <w:pPr>
              <w:spacing w:before="100" w:beforeAutospacing="1" w:after="100" w:afterAutospacing="1"/>
              <w:rPr>
                <w:rFonts w:asciiTheme="majorHAnsi" w:hAnsiTheme="majorHAnsi"/>
                <w:sz w:val="20"/>
                <w:szCs w:val="20"/>
              </w:rPr>
            </w:pPr>
            <w:r w:rsidRPr="00006A93">
              <w:rPr>
                <w:rFonts w:asciiTheme="majorHAnsi" w:eastAsia="Times New Roman" w:hAnsiTheme="majorHAnsi" w:cs="Arial"/>
                <w:sz w:val="20"/>
                <w:szCs w:val="20"/>
              </w:rPr>
              <w:t>Activităţi de servicii în tehnologia informaţiei/</w:t>
            </w:r>
            <w:r w:rsidRPr="00006A93">
              <w:rPr>
                <w:rFonts w:asciiTheme="majorHAnsi" w:eastAsia="Times New Roman" w:hAnsiTheme="majorHAnsi" w:cs="Arial"/>
                <w:sz w:val="20"/>
                <w:szCs w:val="20"/>
              </w:rPr>
              <w:br/>
              <w:t>“Extinderea activităţii IBM ROMÂNIA prin realizarea unei investiţii iniţiale constând în achiziţia de echipamente și crearea de noi locuri de muncă”</w:t>
            </w:r>
            <w:r w:rsidRPr="00006A93">
              <w:rPr>
                <w:rFonts w:asciiTheme="majorHAnsi" w:eastAsia="Times New Roman" w:hAnsiTheme="majorHAnsi" w:cs="Arial"/>
                <w:sz w:val="20"/>
                <w:szCs w:val="20"/>
              </w:rPr>
              <w:br/>
            </w:r>
            <w:r w:rsidRPr="00006A93">
              <w:rPr>
                <w:rFonts w:asciiTheme="majorHAnsi" w:eastAsia="Times New Roman" w:hAnsiTheme="majorHAnsi" w:cs="Arial"/>
                <w:i/>
                <w:iCs/>
                <w:color w:val="0000D4"/>
                <w:sz w:val="20"/>
                <w:szCs w:val="20"/>
              </w:rPr>
              <w:t>extindere</w:t>
            </w:r>
          </w:p>
        </w:tc>
        <w:tc>
          <w:tcPr>
            <w:tcW w:w="1592" w:type="dxa"/>
            <w:vAlign w:val="center"/>
          </w:tcPr>
          <w:p w14:paraId="0332DF5D" w14:textId="70A48360" w:rsidR="00006A93" w:rsidRPr="00006A93" w:rsidRDefault="00006A93" w:rsidP="00093C9D">
            <w:pPr>
              <w:spacing w:before="100" w:beforeAutospacing="1" w:after="100" w:afterAutospacing="1"/>
              <w:rPr>
                <w:rFonts w:asciiTheme="majorHAnsi" w:hAnsiTheme="majorHAnsi"/>
                <w:sz w:val="20"/>
                <w:szCs w:val="20"/>
              </w:rPr>
            </w:pPr>
            <w:r w:rsidRPr="00006A93">
              <w:rPr>
                <w:rFonts w:asciiTheme="majorHAnsi" w:eastAsia="Times New Roman" w:hAnsiTheme="majorHAnsi" w:cs="Arial"/>
                <w:sz w:val="20"/>
                <w:szCs w:val="20"/>
              </w:rPr>
              <w:t xml:space="preserve">• Bucureşti, </w:t>
            </w:r>
            <w:r w:rsidRPr="00006A93">
              <w:rPr>
                <w:rFonts w:asciiTheme="majorHAnsi" w:eastAsia="Times New Roman" w:hAnsiTheme="majorHAnsi" w:cs="Arial"/>
                <w:sz w:val="20"/>
                <w:szCs w:val="20"/>
              </w:rPr>
              <w:br/>
            </w:r>
            <w:proofErr w:type="gramStart"/>
            <w:r w:rsidRPr="00006A93">
              <w:rPr>
                <w:rFonts w:asciiTheme="majorHAnsi" w:eastAsia="Times New Roman" w:hAnsiTheme="majorHAnsi" w:cs="Arial"/>
                <w:sz w:val="20"/>
                <w:szCs w:val="20"/>
              </w:rPr>
              <w:t xml:space="preserve">  Municipiul</w:t>
            </w:r>
            <w:proofErr w:type="gramEnd"/>
            <w:r w:rsidRPr="00006A93">
              <w:rPr>
                <w:rFonts w:asciiTheme="majorHAnsi" w:eastAsia="Times New Roman" w:hAnsiTheme="majorHAnsi" w:cs="Arial"/>
                <w:sz w:val="20"/>
                <w:szCs w:val="20"/>
              </w:rPr>
              <w:t xml:space="preserve"> Bucureşti </w:t>
            </w:r>
            <w:r w:rsidRPr="00006A93">
              <w:rPr>
                <w:rFonts w:asciiTheme="majorHAnsi" w:eastAsia="Times New Roman" w:hAnsiTheme="majorHAnsi" w:cs="Arial"/>
                <w:sz w:val="20"/>
                <w:szCs w:val="20"/>
              </w:rPr>
              <w:br/>
              <w:t>• Braşov, Judetul Braşov</w:t>
            </w:r>
          </w:p>
        </w:tc>
        <w:tc>
          <w:tcPr>
            <w:tcW w:w="1270" w:type="dxa"/>
            <w:vAlign w:val="center"/>
          </w:tcPr>
          <w:p w14:paraId="51AF9447" w14:textId="5C970CE5" w:rsidR="00006A93" w:rsidRPr="00006A93" w:rsidRDefault="00006A93" w:rsidP="00093C9D">
            <w:pPr>
              <w:spacing w:before="100" w:beforeAutospacing="1" w:after="100" w:afterAutospacing="1"/>
              <w:rPr>
                <w:rFonts w:asciiTheme="majorHAnsi" w:hAnsiTheme="majorHAnsi"/>
                <w:sz w:val="20"/>
                <w:szCs w:val="20"/>
              </w:rPr>
            </w:pPr>
            <w:r w:rsidRPr="00006A93">
              <w:rPr>
                <w:rFonts w:asciiTheme="majorHAnsi" w:eastAsia="Times New Roman" w:hAnsiTheme="majorHAnsi" w:cs="Arial"/>
                <w:sz w:val="20"/>
                <w:szCs w:val="20"/>
              </w:rPr>
              <w:t>21,00</w:t>
            </w:r>
          </w:p>
        </w:tc>
        <w:tc>
          <w:tcPr>
            <w:tcW w:w="947" w:type="dxa"/>
            <w:vAlign w:val="center"/>
          </w:tcPr>
          <w:p w14:paraId="57D8490D" w14:textId="29D69E09" w:rsidR="00006A93" w:rsidRPr="00006A93" w:rsidRDefault="00006A93" w:rsidP="00093C9D">
            <w:pPr>
              <w:spacing w:before="100" w:beforeAutospacing="1" w:after="100" w:afterAutospacing="1"/>
              <w:rPr>
                <w:rFonts w:asciiTheme="majorHAnsi" w:hAnsiTheme="majorHAnsi"/>
                <w:sz w:val="20"/>
                <w:szCs w:val="20"/>
              </w:rPr>
            </w:pPr>
            <w:r w:rsidRPr="00006A93">
              <w:rPr>
                <w:rFonts w:asciiTheme="majorHAnsi" w:eastAsia="Times New Roman" w:hAnsiTheme="majorHAnsi" w:cs="Arial"/>
                <w:sz w:val="20"/>
                <w:szCs w:val="20"/>
              </w:rPr>
              <w:t>900</w:t>
            </w:r>
          </w:p>
        </w:tc>
      </w:tr>
      <w:tr w:rsidR="00006A93" w:rsidRPr="00006A93" w14:paraId="0377F8B0" w14:textId="77777777" w:rsidTr="00006A93">
        <w:tc>
          <w:tcPr>
            <w:tcW w:w="553" w:type="dxa"/>
            <w:vAlign w:val="center"/>
          </w:tcPr>
          <w:p w14:paraId="41A01A8B" w14:textId="32B8E715" w:rsidR="00006A93" w:rsidRPr="00006A93" w:rsidRDefault="00006A93" w:rsidP="00093C9D">
            <w:pPr>
              <w:spacing w:before="100" w:beforeAutospacing="1" w:after="100" w:afterAutospacing="1"/>
              <w:rPr>
                <w:rFonts w:asciiTheme="majorHAnsi" w:hAnsiTheme="majorHAnsi"/>
                <w:sz w:val="20"/>
                <w:szCs w:val="20"/>
              </w:rPr>
            </w:pPr>
            <w:r w:rsidRPr="00006A93">
              <w:rPr>
                <w:rFonts w:asciiTheme="majorHAnsi" w:eastAsia="Times New Roman" w:hAnsiTheme="majorHAnsi" w:cs="Arial"/>
                <w:sz w:val="20"/>
                <w:szCs w:val="20"/>
              </w:rPr>
              <w:t>3</w:t>
            </w:r>
          </w:p>
        </w:tc>
        <w:tc>
          <w:tcPr>
            <w:tcW w:w="1870" w:type="dxa"/>
            <w:vAlign w:val="center"/>
          </w:tcPr>
          <w:p w14:paraId="36271446" w14:textId="13DA7C8F" w:rsidR="00006A93" w:rsidRPr="00006A93" w:rsidRDefault="00006A93" w:rsidP="00093C9D">
            <w:pPr>
              <w:spacing w:before="100" w:beforeAutospacing="1" w:after="100" w:afterAutospacing="1"/>
              <w:rPr>
                <w:rFonts w:asciiTheme="majorHAnsi" w:hAnsiTheme="majorHAnsi"/>
                <w:sz w:val="20"/>
                <w:szCs w:val="20"/>
              </w:rPr>
            </w:pPr>
            <w:r w:rsidRPr="00006A93">
              <w:rPr>
                <w:rFonts w:asciiTheme="majorHAnsi" w:eastAsia="Times New Roman" w:hAnsiTheme="majorHAnsi" w:cs="Arial"/>
                <w:sz w:val="20"/>
                <w:szCs w:val="20"/>
              </w:rPr>
              <w:t>SC TELECOM GLOBAL SERVICES CENTER SRL (ORANGE)</w:t>
            </w:r>
          </w:p>
        </w:tc>
        <w:tc>
          <w:tcPr>
            <w:tcW w:w="2284" w:type="dxa"/>
            <w:vAlign w:val="center"/>
          </w:tcPr>
          <w:p w14:paraId="144189BD" w14:textId="7250E8FE" w:rsidR="00006A93" w:rsidRPr="00006A93" w:rsidRDefault="00006A93" w:rsidP="00093C9D">
            <w:pPr>
              <w:spacing w:before="100" w:beforeAutospacing="1" w:after="100" w:afterAutospacing="1"/>
              <w:rPr>
                <w:rFonts w:asciiTheme="majorHAnsi" w:hAnsiTheme="majorHAnsi"/>
                <w:sz w:val="20"/>
                <w:szCs w:val="20"/>
              </w:rPr>
            </w:pPr>
            <w:r w:rsidRPr="00006A93">
              <w:rPr>
                <w:rFonts w:asciiTheme="majorHAnsi" w:eastAsia="Times New Roman" w:hAnsiTheme="majorHAnsi" w:cs="Arial"/>
                <w:sz w:val="20"/>
                <w:szCs w:val="20"/>
              </w:rPr>
              <w:t>Activităţi de servicii în tehnologia informaţiei/</w:t>
            </w:r>
            <w:r w:rsidRPr="00006A93">
              <w:rPr>
                <w:rFonts w:asciiTheme="majorHAnsi" w:eastAsia="Times New Roman" w:hAnsiTheme="majorHAnsi" w:cs="Arial"/>
                <w:sz w:val="20"/>
                <w:szCs w:val="20"/>
              </w:rPr>
              <w:br/>
              <w:t>“Umanis”</w:t>
            </w:r>
            <w:r w:rsidRPr="00006A93">
              <w:rPr>
                <w:rFonts w:asciiTheme="majorHAnsi" w:eastAsia="Times New Roman" w:hAnsiTheme="majorHAnsi" w:cs="Arial"/>
                <w:sz w:val="20"/>
                <w:szCs w:val="20"/>
              </w:rPr>
              <w:br/>
            </w:r>
            <w:r w:rsidRPr="00006A93">
              <w:rPr>
                <w:rFonts w:asciiTheme="majorHAnsi" w:eastAsia="Times New Roman" w:hAnsiTheme="majorHAnsi" w:cs="Arial"/>
                <w:i/>
                <w:iCs/>
                <w:color w:val="0000D4"/>
                <w:sz w:val="20"/>
                <w:szCs w:val="20"/>
              </w:rPr>
              <w:t>greenfield</w:t>
            </w:r>
          </w:p>
        </w:tc>
        <w:tc>
          <w:tcPr>
            <w:tcW w:w="1592" w:type="dxa"/>
            <w:vAlign w:val="center"/>
          </w:tcPr>
          <w:p w14:paraId="314DD600" w14:textId="25074080" w:rsidR="00006A93" w:rsidRPr="00006A93" w:rsidRDefault="00006A93" w:rsidP="00093C9D">
            <w:pPr>
              <w:spacing w:before="100" w:beforeAutospacing="1" w:after="100" w:afterAutospacing="1"/>
              <w:rPr>
                <w:rFonts w:asciiTheme="majorHAnsi" w:hAnsiTheme="majorHAnsi"/>
                <w:sz w:val="20"/>
                <w:szCs w:val="20"/>
              </w:rPr>
            </w:pPr>
            <w:r w:rsidRPr="00006A93">
              <w:rPr>
                <w:rFonts w:asciiTheme="majorHAnsi" w:eastAsia="Times New Roman" w:hAnsiTheme="majorHAnsi" w:cs="Arial"/>
                <w:sz w:val="20"/>
                <w:szCs w:val="20"/>
              </w:rPr>
              <w:t xml:space="preserve">• București </w:t>
            </w:r>
            <w:r w:rsidRPr="00006A93">
              <w:rPr>
                <w:rFonts w:asciiTheme="majorHAnsi" w:eastAsia="Times New Roman" w:hAnsiTheme="majorHAnsi" w:cs="Arial"/>
                <w:sz w:val="20"/>
                <w:szCs w:val="20"/>
              </w:rPr>
              <w:br/>
            </w:r>
            <w:proofErr w:type="gramStart"/>
            <w:r w:rsidRPr="00006A93">
              <w:rPr>
                <w:rFonts w:asciiTheme="majorHAnsi" w:eastAsia="Times New Roman" w:hAnsiTheme="majorHAnsi" w:cs="Arial"/>
                <w:sz w:val="20"/>
                <w:szCs w:val="20"/>
              </w:rPr>
              <w:t xml:space="preserve">  Municipiul</w:t>
            </w:r>
            <w:proofErr w:type="gramEnd"/>
            <w:r w:rsidRPr="00006A93">
              <w:rPr>
                <w:rFonts w:asciiTheme="majorHAnsi" w:eastAsia="Times New Roman" w:hAnsiTheme="majorHAnsi" w:cs="Arial"/>
                <w:sz w:val="20"/>
                <w:szCs w:val="20"/>
              </w:rPr>
              <w:t xml:space="preserve"> Bucureşti </w:t>
            </w:r>
          </w:p>
        </w:tc>
        <w:tc>
          <w:tcPr>
            <w:tcW w:w="1270" w:type="dxa"/>
            <w:vAlign w:val="center"/>
          </w:tcPr>
          <w:p w14:paraId="12179CA3" w14:textId="297987E0" w:rsidR="00006A93" w:rsidRPr="00006A93" w:rsidRDefault="00006A93" w:rsidP="00093C9D">
            <w:pPr>
              <w:spacing w:before="100" w:beforeAutospacing="1" w:after="100" w:afterAutospacing="1"/>
              <w:rPr>
                <w:rFonts w:asciiTheme="majorHAnsi" w:hAnsiTheme="majorHAnsi"/>
                <w:sz w:val="20"/>
                <w:szCs w:val="20"/>
              </w:rPr>
            </w:pPr>
            <w:r w:rsidRPr="00006A93">
              <w:rPr>
                <w:rFonts w:asciiTheme="majorHAnsi" w:eastAsia="Times New Roman" w:hAnsiTheme="majorHAnsi" w:cs="Arial"/>
                <w:sz w:val="20"/>
                <w:szCs w:val="20"/>
              </w:rPr>
              <w:t>3,44</w:t>
            </w:r>
          </w:p>
        </w:tc>
        <w:tc>
          <w:tcPr>
            <w:tcW w:w="947" w:type="dxa"/>
            <w:vAlign w:val="center"/>
          </w:tcPr>
          <w:p w14:paraId="2EE0DC80" w14:textId="365E7697" w:rsidR="00006A93" w:rsidRPr="00006A93" w:rsidRDefault="00006A93" w:rsidP="00093C9D">
            <w:pPr>
              <w:spacing w:before="100" w:beforeAutospacing="1" w:after="100" w:afterAutospacing="1"/>
              <w:rPr>
                <w:rFonts w:asciiTheme="majorHAnsi" w:hAnsiTheme="majorHAnsi"/>
                <w:sz w:val="20"/>
                <w:szCs w:val="20"/>
              </w:rPr>
            </w:pPr>
            <w:r w:rsidRPr="00006A93">
              <w:rPr>
                <w:rFonts w:asciiTheme="majorHAnsi" w:eastAsia="Times New Roman" w:hAnsiTheme="majorHAnsi" w:cs="Arial"/>
                <w:sz w:val="20"/>
                <w:szCs w:val="20"/>
              </w:rPr>
              <w:t>220</w:t>
            </w:r>
          </w:p>
        </w:tc>
      </w:tr>
      <w:tr w:rsidR="00006A93" w:rsidRPr="00006A93" w14:paraId="433B3F15" w14:textId="77777777" w:rsidTr="00006A93">
        <w:tc>
          <w:tcPr>
            <w:tcW w:w="553" w:type="dxa"/>
            <w:vAlign w:val="center"/>
          </w:tcPr>
          <w:p w14:paraId="2C8C37C7" w14:textId="7A85E2F9" w:rsidR="00006A93" w:rsidRPr="00006A93" w:rsidRDefault="00006A93" w:rsidP="00093C9D">
            <w:pPr>
              <w:spacing w:before="100" w:beforeAutospacing="1" w:after="100" w:afterAutospacing="1"/>
              <w:rPr>
                <w:rFonts w:asciiTheme="majorHAnsi" w:hAnsiTheme="majorHAnsi"/>
                <w:sz w:val="20"/>
                <w:szCs w:val="20"/>
              </w:rPr>
            </w:pPr>
            <w:r w:rsidRPr="00006A93">
              <w:rPr>
                <w:rFonts w:asciiTheme="majorHAnsi" w:eastAsia="Times New Roman" w:hAnsiTheme="majorHAnsi" w:cs="Arial"/>
                <w:sz w:val="20"/>
                <w:szCs w:val="20"/>
              </w:rPr>
              <w:t>4</w:t>
            </w:r>
          </w:p>
        </w:tc>
        <w:tc>
          <w:tcPr>
            <w:tcW w:w="1870" w:type="dxa"/>
            <w:vAlign w:val="center"/>
          </w:tcPr>
          <w:p w14:paraId="1A449DD8" w14:textId="3FE92B2D" w:rsidR="00006A93" w:rsidRPr="00006A93" w:rsidRDefault="00006A93" w:rsidP="00093C9D">
            <w:pPr>
              <w:spacing w:before="100" w:beforeAutospacing="1" w:after="100" w:afterAutospacing="1"/>
              <w:rPr>
                <w:rFonts w:asciiTheme="majorHAnsi" w:hAnsiTheme="majorHAnsi"/>
                <w:sz w:val="20"/>
                <w:szCs w:val="20"/>
              </w:rPr>
            </w:pPr>
            <w:r w:rsidRPr="00006A93">
              <w:rPr>
                <w:rFonts w:asciiTheme="majorHAnsi" w:eastAsia="Times New Roman" w:hAnsiTheme="majorHAnsi" w:cs="Arial"/>
                <w:sz w:val="20"/>
                <w:szCs w:val="20"/>
              </w:rPr>
              <w:t>S.C. SCC SERVICES ROMÂNIA S.R.L.</w:t>
            </w:r>
          </w:p>
        </w:tc>
        <w:tc>
          <w:tcPr>
            <w:tcW w:w="2284" w:type="dxa"/>
            <w:vAlign w:val="center"/>
          </w:tcPr>
          <w:p w14:paraId="5568250F" w14:textId="22423B74" w:rsidR="00006A93" w:rsidRPr="00006A93" w:rsidRDefault="00006A93" w:rsidP="00093C9D">
            <w:pPr>
              <w:spacing w:before="100" w:beforeAutospacing="1" w:after="100" w:afterAutospacing="1"/>
              <w:rPr>
                <w:rFonts w:asciiTheme="majorHAnsi" w:hAnsiTheme="majorHAnsi"/>
                <w:sz w:val="20"/>
                <w:szCs w:val="20"/>
              </w:rPr>
            </w:pPr>
            <w:r w:rsidRPr="00006A93">
              <w:rPr>
                <w:rFonts w:asciiTheme="majorHAnsi" w:eastAsia="Times New Roman" w:hAnsiTheme="majorHAnsi" w:cs="Arial"/>
                <w:sz w:val="20"/>
                <w:szCs w:val="20"/>
              </w:rPr>
              <w:t>Activităţi de servicii în tehnologia informaţiei/</w:t>
            </w:r>
            <w:r w:rsidRPr="00006A93">
              <w:rPr>
                <w:rFonts w:asciiTheme="majorHAnsi" w:eastAsia="Times New Roman" w:hAnsiTheme="majorHAnsi" w:cs="Arial"/>
                <w:sz w:val="20"/>
                <w:szCs w:val="20"/>
              </w:rPr>
              <w:br/>
              <w:t xml:space="preserve">“Extinderea și diversificarea activităţii SC SCC SERVICES ROMÂNIA prin realizarea unei investiţii iniţiale constând în achiziţia de </w:t>
            </w:r>
            <w:r w:rsidRPr="00006A93">
              <w:rPr>
                <w:rFonts w:asciiTheme="majorHAnsi" w:eastAsia="Times New Roman" w:hAnsiTheme="majorHAnsi" w:cs="Arial"/>
                <w:sz w:val="20"/>
                <w:szCs w:val="20"/>
              </w:rPr>
              <w:lastRenderedPageBreak/>
              <w:t>echipamente și crearea de noi locuri de muncă”</w:t>
            </w:r>
            <w:r w:rsidRPr="00006A93">
              <w:rPr>
                <w:rFonts w:asciiTheme="majorHAnsi" w:eastAsia="Times New Roman" w:hAnsiTheme="majorHAnsi" w:cs="Arial"/>
                <w:sz w:val="20"/>
                <w:szCs w:val="20"/>
              </w:rPr>
              <w:br/>
            </w:r>
            <w:r w:rsidRPr="00006A93">
              <w:rPr>
                <w:rFonts w:asciiTheme="majorHAnsi" w:eastAsia="Times New Roman" w:hAnsiTheme="majorHAnsi" w:cs="Arial"/>
                <w:i/>
                <w:iCs/>
                <w:color w:val="0000D4"/>
                <w:sz w:val="20"/>
                <w:szCs w:val="20"/>
              </w:rPr>
              <w:t>extindere</w:t>
            </w:r>
          </w:p>
        </w:tc>
        <w:tc>
          <w:tcPr>
            <w:tcW w:w="1592" w:type="dxa"/>
            <w:vAlign w:val="center"/>
          </w:tcPr>
          <w:p w14:paraId="17629621" w14:textId="61EF9985" w:rsidR="00006A93" w:rsidRPr="00006A93" w:rsidRDefault="00006A93" w:rsidP="00093C9D">
            <w:pPr>
              <w:spacing w:before="100" w:beforeAutospacing="1" w:after="100" w:afterAutospacing="1"/>
              <w:rPr>
                <w:rFonts w:asciiTheme="majorHAnsi" w:hAnsiTheme="majorHAnsi"/>
                <w:sz w:val="20"/>
                <w:szCs w:val="20"/>
              </w:rPr>
            </w:pPr>
            <w:bookmarkStart w:id="14" w:name="RANGE!E9"/>
            <w:r w:rsidRPr="00006A93">
              <w:rPr>
                <w:rFonts w:asciiTheme="majorHAnsi" w:eastAsia="Times New Roman" w:hAnsiTheme="majorHAnsi" w:cs="Arial"/>
                <w:sz w:val="20"/>
                <w:szCs w:val="20"/>
              </w:rPr>
              <w:lastRenderedPageBreak/>
              <w:t>• Bacău, judeţul Bacău</w:t>
            </w:r>
            <w:bookmarkEnd w:id="14"/>
          </w:p>
        </w:tc>
        <w:tc>
          <w:tcPr>
            <w:tcW w:w="1270" w:type="dxa"/>
            <w:vAlign w:val="center"/>
          </w:tcPr>
          <w:p w14:paraId="3C26361F" w14:textId="60F84D01" w:rsidR="00006A93" w:rsidRPr="00006A93" w:rsidRDefault="00006A93" w:rsidP="00093C9D">
            <w:pPr>
              <w:spacing w:before="100" w:beforeAutospacing="1" w:after="100" w:afterAutospacing="1"/>
              <w:rPr>
                <w:rFonts w:asciiTheme="majorHAnsi" w:hAnsiTheme="majorHAnsi"/>
                <w:sz w:val="20"/>
                <w:szCs w:val="20"/>
              </w:rPr>
            </w:pPr>
            <w:r w:rsidRPr="00006A93">
              <w:rPr>
                <w:rFonts w:asciiTheme="majorHAnsi" w:eastAsia="Times New Roman" w:hAnsiTheme="majorHAnsi" w:cs="Arial"/>
                <w:sz w:val="20"/>
                <w:szCs w:val="20"/>
              </w:rPr>
              <w:t>3,87</w:t>
            </w:r>
          </w:p>
        </w:tc>
        <w:tc>
          <w:tcPr>
            <w:tcW w:w="947" w:type="dxa"/>
            <w:vAlign w:val="center"/>
          </w:tcPr>
          <w:p w14:paraId="20F71DB4" w14:textId="30AF0A83" w:rsidR="00006A93" w:rsidRPr="00006A93" w:rsidRDefault="00006A93" w:rsidP="00093C9D">
            <w:pPr>
              <w:spacing w:before="100" w:beforeAutospacing="1" w:after="100" w:afterAutospacing="1"/>
              <w:rPr>
                <w:rFonts w:asciiTheme="majorHAnsi" w:hAnsiTheme="majorHAnsi"/>
                <w:sz w:val="20"/>
                <w:szCs w:val="20"/>
              </w:rPr>
            </w:pPr>
            <w:r w:rsidRPr="00006A93">
              <w:rPr>
                <w:rFonts w:asciiTheme="majorHAnsi" w:eastAsia="Times New Roman" w:hAnsiTheme="majorHAnsi" w:cs="Arial"/>
                <w:sz w:val="20"/>
                <w:szCs w:val="20"/>
              </w:rPr>
              <w:t>376</w:t>
            </w:r>
          </w:p>
        </w:tc>
      </w:tr>
      <w:tr w:rsidR="00006A93" w:rsidRPr="00006A93" w14:paraId="30F33E8C" w14:textId="77777777" w:rsidTr="00006A93">
        <w:tc>
          <w:tcPr>
            <w:tcW w:w="553" w:type="dxa"/>
            <w:vAlign w:val="center"/>
          </w:tcPr>
          <w:p w14:paraId="52EFE76A" w14:textId="7D615C32" w:rsidR="00006A93" w:rsidRPr="00006A93" w:rsidRDefault="00006A93" w:rsidP="00093C9D">
            <w:pPr>
              <w:spacing w:before="100" w:beforeAutospacing="1" w:after="100" w:afterAutospacing="1"/>
              <w:rPr>
                <w:rFonts w:asciiTheme="majorHAnsi" w:hAnsiTheme="majorHAnsi"/>
                <w:sz w:val="20"/>
                <w:szCs w:val="20"/>
              </w:rPr>
            </w:pPr>
            <w:r w:rsidRPr="00006A93">
              <w:rPr>
                <w:rFonts w:asciiTheme="majorHAnsi" w:eastAsia="Times New Roman" w:hAnsiTheme="majorHAnsi" w:cs="Arial"/>
                <w:sz w:val="20"/>
                <w:szCs w:val="20"/>
              </w:rPr>
              <w:lastRenderedPageBreak/>
              <w:t>5</w:t>
            </w:r>
          </w:p>
        </w:tc>
        <w:tc>
          <w:tcPr>
            <w:tcW w:w="1870" w:type="dxa"/>
            <w:vAlign w:val="center"/>
          </w:tcPr>
          <w:p w14:paraId="588D9EBB" w14:textId="6F2A4426" w:rsidR="00006A93" w:rsidRPr="00006A93" w:rsidRDefault="00006A93" w:rsidP="00093C9D">
            <w:pPr>
              <w:spacing w:before="100" w:beforeAutospacing="1" w:after="100" w:afterAutospacing="1"/>
              <w:rPr>
                <w:rFonts w:asciiTheme="majorHAnsi" w:hAnsiTheme="majorHAnsi"/>
                <w:sz w:val="20"/>
                <w:szCs w:val="20"/>
              </w:rPr>
            </w:pPr>
            <w:r w:rsidRPr="00006A93">
              <w:rPr>
                <w:rFonts w:asciiTheme="majorHAnsi" w:eastAsia="Times New Roman" w:hAnsiTheme="majorHAnsi" w:cs="Arial"/>
                <w:sz w:val="20"/>
                <w:szCs w:val="20"/>
              </w:rPr>
              <w:t>SC DELL INTERNATIONAL SERVICES S.R.L.</w:t>
            </w:r>
          </w:p>
        </w:tc>
        <w:tc>
          <w:tcPr>
            <w:tcW w:w="2284" w:type="dxa"/>
            <w:vAlign w:val="center"/>
          </w:tcPr>
          <w:p w14:paraId="4C0F41E0" w14:textId="3FE16EFD" w:rsidR="00006A93" w:rsidRPr="00006A93" w:rsidRDefault="00006A93" w:rsidP="00093C9D">
            <w:pPr>
              <w:spacing w:before="100" w:beforeAutospacing="1" w:after="100" w:afterAutospacing="1"/>
              <w:rPr>
                <w:rFonts w:asciiTheme="majorHAnsi" w:hAnsiTheme="majorHAnsi"/>
                <w:sz w:val="20"/>
                <w:szCs w:val="20"/>
              </w:rPr>
            </w:pPr>
            <w:r w:rsidRPr="00006A93">
              <w:rPr>
                <w:rFonts w:asciiTheme="majorHAnsi" w:eastAsia="Times New Roman" w:hAnsiTheme="majorHAnsi" w:cs="Arial"/>
                <w:sz w:val="20"/>
                <w:szCs w:val="20"/>
              </w:rPr>
              <w:t>Activităţi de servicii în tehnologia informaţiei/</w:t>
            </w:r>
            <w:r w:rsidRPr="00006A93">
              <w:rPr>
                <w:rFonts w:asciiTheme="majorHAnsi" w:eastAsia="Times New Roman" w:hAnsiTheme="majorHAnsi" w:cs="Arial"/>
                <w:sz w:val="20"/>
                <w:szCs w:val="20"/>
              </w:rPr>
              <w:br w:type="page"/>
              <w:t>“Extinderea activităţii curente prin investiţii în tehnologii noi și crearea de noi locuri de muncă”</w:t>
            </w:r>
            <w:r w:rsidRPr="00006A93">
              <w:rPr>
                <w:rFonts w:asciiTheme="majorHAnsi" w:eastAsia="Times New Roman" w:hAnsiTheme="majorHAnsi" w:cs="Arial"/>
                <w:sz w:val="20"/>
                <w:szCs w:val="20"/>
              </w:rPr>
              <w:br w:type="page"/>
            </w:r>
            <w:r w:rsidRPr="00006A93">
              <w:rPr>
                <w:rFonts w:asciiTheme="majorHAnsi" w:eastAsia="Times New Roman" w:hAnsiTheme="majorHAnsi" w:cs="Arial"/>
                <w:i/>
                <w:iCs/>
                <w:color w:val="0000D4"/>
                <w:sz w:val="20"/>
                <w:szCs w:val="20"/>
              </w:rPr>
              <w:t>extindere</w:t>
            </w:r>
          </w:p>
        </w:tc>
        <w:tc>
          <w:tcPr>
            <w:tcW w:w="1592" w:type="dxa"/>
            <w:vAlign w:val="center"/>
          </w:tcPr>
          <w:p w14:paraId="005F1555" w14:textId="466BBA6C" w:rsidR="00006A93" w:rsidRPr="00006A93" w:rsidRDefault="00006A93" w:rsidP="00093C9D">
            <w:pPr>
              <w:spacing w:before="100" w:beforeAutospacing="1" w:after="100" w:afterAutospacing="1"/>
              <w:rPr>
                <w:rFonts w:asciiTheme="majorHAnsi" w:hAnsiTheme="majorHAnsi"/>
                <w:sz w:val="20"/>
                <w:szCs w:val="20"/>
              </w:rPr>
            </w:pPr>
            <w:r w:rsidRPr="00006A93">
              <w:rPr>
                <w:rFonts w:asciiTheme="majorHAnsi" w:eastAsia="Times New Roman" w:hAnsiTheme="majorHAnsi" w:cs="Arial"/>
                <w:sz w:val="20"/>
                <w:szCs w:val="20"/>
              </w:rPr>
              <w:t xml:space="preserve">• Bucureşti, </w:t>
            </w:r>
            <w:r w:rsidRPr="00006A93">
              <w:rPr>
                <w:rFonts w:asciiTheme="majorHAnsi" w:eastAsia="Times New Roman" w:hAnsiTheme="majorHAnsi" w:cs="Arial"/>
                <w:sz w:val="20"/>
                <w:szCs w:val="20"/>
              </w:rPr>
              <w:br w:type="page"/>
            </w:r>
            <w:proofErr w:type="gramStart"/>
            <w:r w:rsidRPr="00006A93">
              <w:rPr>
                <w:rFonts w:asciiTheme="majorHAnsi" w:eastAsia="Times New Roman" w:hAnsiTheme="majorHAnsi" w:cs="Arial"/>
                <w:sz w:val="20"/>
                <w:szCs w:val="20"/>
              </w:rPr>
              <w:t xml:space="preserve">  Municipiul</w:t>
            </w:r>
            <w:proofErr w:type="gramEnd"/>
            <w:r w:rsidRPr="00006A93">
              <w:rPr>
                <w:rFonts w:asciiTheme="majorHAnsi" w:eastAsia="Times New Roman" w:hAnsiTheme="majorHAnsi" w:cs="Arial"/>
                <w:sz w:val="20"/>
                <w:szCs w:val="20"/>
              </w:rPr>
              <w:t xml:space="preserve"> Bucureşti</w:t>
            </w:r>
          </w:p>
        </w:tc>
        <w:tc>
          <w:tcPr>
            <w:tcW w:w="1270" w:type="dxa"/>
            <w:vAlign w:val="center"/>
          </w:tcPr>
          <w:p w14:paraId="5AC20105" w14:textId="463313B0" w:rsidR="00006A93" w:rsidRPr="00006A93" w:rsidRDefault="00006A93" w:rsidP="00093C9D">
            <w:pPr>
              <w:spacing w:before="100" w:beforeAutospacing="1" w:after="100" w:afterAutospacing="1"/>
              <w:rPr>
                <w:rFonts w:asciiTheme="majorHAnsi" w:hAnsiTheme="majorHAnsi"/>
                <w:sz w:val="20"/>
                <w:szCs w:val="20"/>
              </w:rPr>
            </w:pPr>
            <w:r w:rsidRPr="00006A93">
              <w:rPr>
                <w:rFonts w:asciiTheme="majorHAnsi" w:eastAsia="Times New Roman" w:hAnsiTheme="majorHAnsi" w:cs="Arial"/>
                <w:sz w:val="20"/>
                <w:szCs w:val="20"/>
              </w:rPr>
              <w:t>8,43</w:t>
            </w:r>
          </w:p>
        </w:tc>
        <w:tc>
          <w:tcPr>
            <w:tcW w:w="947" w:type="dxa"/>
            <w:vAlign w:val="center"/>
          </w:tcPr>
          <w:p w14:paraId="5FADFDEC" w14:textId="30872772" w:rsidR="00006A93" w:rsidRPr="00006A93" w:rsidRDefault="00006A93" w:rsidP="00093C9D">
            <w:pPr>
              <w:spacing w:before="100" w:beforeAutospacing="1" w:after="100" w:afterAutospacing="1"/>
              <w:rPr>
                <w:rFonts w:asciiTheme="majorHAnsi" w:hAnsiTheme="majorHAnsi"/>
                <w:sz w:val="20"/>
                <w:szCs w:val="20"/>
              </w:rPr>
            </w:pPr>
            <w:r w:rsidRPr="00006A93">
              <w:rPr>
                <w:rFonts w:asciiTheme="majorHAnsi" w:eastAsia="Times New Roman" w:hAnsiTheme="majorHAnsi" w:cs="Arial"/>
                <w:sz w:val="20"/>
                <w:szCs w:val="20"/>
              </w:rPr>
              <w:t>455</w:t>
            </w:r>
          </w:p>
        </w:tc>
      </w:tr>
      <w:tr w:rsidR="00006A93" w:rsidRPr="00006A93" w14:paraId="088E3F14" w14:textId="77777777" w:rsidTr="00006A93">
        <w:tc>
          <w:tcPr>
            <w:tcW w:w="553" w:type="dxa"/>
            <w:vAlign w:val="center"/>
          </w:tcPr>
          <w:p w14:paraId="7EB34557" w14:textId="1B1AE02E" w:rsidR="00006A93" w:rsidRPr="00006A93" w:rsidRDefault="00006A93" w:rsidP="00093C9D">
            <w:pPr>
              <w:spacing w:before="100" w:beforeAutospacing="1" w:after="100" w:afterAutospacing="1"/>
              <w:rPr>
                <w:rFonts w:asciiTheme="majorHAnsi" w:hAnsiTheme="majorHAnsi"/>
                <w:sz w:val="20"/>
                <w:szCs w:val="20"/>
              </w:rPr>
            </w:pPr>
            <w:r w:rsidRPr="00006A93">
              <w:rPr>
                <w:rFonts w:asciiTheme="majorHAnsi" w:eastAsia="Times New Roman" w:hAnsiTheme="majorHAnsi" w:cs="Arial"/>
                <w:sz w:val="20"/>
                <w:szCs w:val="20"/>
              </w:rPr>
              <w:t>6</w:t>
            </w:r>
          </w:p>
        </w:tc>
        <w:tc>
          <w:tcPr>
            <w:tcW w:w="1870" w:type="dxa"/>
            <w:vAlign w:val="center"/>
          </w:tcPr>
          <w:p w14:paraId="3E781B8F" w14:textId="438547BC" w:rsidR="00006A93" w:rsidRPr="00006A93" w:rsidRDefault="00006A93" w:rsidP="00093C9D">
            <w:pPr>
              <w:spacing w:before="100" w:beforeAutospacing="1" w:after="100" w:afterAutospacing="1"/>
              <w:rPr>
                <w:rFonts w:asciiTheme="majorHAnsi" w:hAnsiTheme="majorHAnsi"/>
                <w:sz w:val="20"/>
                <w:szCs w:val="20"/>
              </w:rPr>
            </w:pPr>
            <w:r w:rsidRPr="00006A93">
              <w:rPr>
                <w:rFonts w:asciiTheme="majorHAnsi" w:eastAsia="Times New Roman" w:hAnsiTheme="majorHAnsi" w:cs="Arial"/>
                <w:sz w:val="20"/>
                <w:szCs w:val="20"/>
              </w:rPr>
              <w:t>SC MICROSOFT ROMÂNIA S.R.L.</w:t>
            </w:r>
          </w:p>
        </w:tc>
        <w:tc>
          <w:tcPr>
            <w:tcW w:w="2284" w:type="dxa"/>
            <w:vAlign w:val="center"/>
          </w:tcPr>
          <w:p w14:paraId="20C607A8" w14:textId="2DDBAB42" w:rsidR="00006A93" w:rsidRPr="00006A93" w:rsidRDefault="00006A93" w:rsidP="00093C9D">
            <w:pPr>
              <w:spacing w:before="100" w:beforeAutospacing="1" w:after="100" w:afterAutospacing="1"/>
              <w:rPr>
                <w:rFonts w:asciiTheme="majorHAnsi" w:hAnsiTheme="majorHAnsi"/>
                <w:sz w:val="20"/>
                <w:szCs w:val="20"/>
              </w:rPr>
            </w:pPr>
            <w:r w:rsidRPr="00006A93">
              <w:rPr>
                <w:rFonts w:asciiTheme="majorHAnsi" w:eastAsia="Times New Roman" w:hAnsiTheme="majorHAnsi" w:cs="Arial"/>
                <w:sz w:val="20"/>
                <w:szCs w:val="20"/>
              </w:rPr>
              <w:t>Activităţi de servicii în tehnologia informaţiei/</w:t>
            </w:r>
            <w:r w:rsidRPr="00006A93">
              <w:rPr>
                <w:rFonts w:asciiTheme="majorHAnsi" w:eastAsia="Times New Roman" w:hAnsiTheme="majorHAnsi" w:cs="Arial"/>
                <w:sz w:val="20"/>
                <w:szCs w:val="20"/>
              </w:rPr>
              <w:br/>
              <w:t xml:space="preserve">„Extinderea și diversificarea Diviziei de Suport și Servicii pentru clienți și parteneri a Microsoft România SRL” </w:t>
            </w:r>
            <w:r w:rsidRPr="00006A93">
              <w:rPr>
                <w:rFonts w:asciiTheme="majorHAnsi" w:eastAsia="Times New Roman" w:hAnsiTheme="majorHAnsi" w:cs="Arial"/>
                <w:sz w:val="20"/>
                <w:szCs w:val="20"/>
              </w:rPr>
              <w:br/>
            </w:r>
            <w:r w:rsidRPr="00006A93">
              <w:rPr>
                <w:rFonts w:asciiTheme="majorHAnsi" w:eastAsia="Times New Roman" w:hAnsiTheme="majorHAnsi" w:cs="Arial"/>
                <w:i/>
                <w:iCs/>
                <w:color w:val="0000D4"/>
                <w:sz w:val="20"/>
                <w:szCs w:val="20"/>
              </w:rPr>
              <w:t>extindere și diversificare</w:t>
            </w:r>
          </w:p>
        </w:tc>
        <w:tc>
          <w:tcPr>
            <w:tcW w:w="1592" w:type="dxa"/>
            <w:vAlign w:val="center"/>
          </w:tcPr>
          <w:p w14:paraId="68206F2D" w14:textId="5F45DDA3" w:rsidR="00006A93" w:rsidRPr="00006A93" w:rsidRDefault="00006A93" w:rsidP="00093C9D">
            <w:pPr>
              <w:spacing w:before="100" w:beforeAutospacing="1" w:after="100" w:afterAutospacing="1"/>
              <w:rPr>
                <w:rFonts w:asciiTheme="majorHAnsi" w:hAnsiTheme="majorHAnsi"/>
                <w:sz w:val="20"/>
                <w:szCs w:val="20"/>
              </w:rPr>
            </w:pPr>
            <w:r w:rsidRPr="00006A93">
              <w:rPr>
                <w:rFonts w:asciiTheme="majorHAnsi" w:eastAsia="Times New Roman" w:hAnsiTheme="majorHAnsi" w:cs="Arial"/>
                <w:sz w:val="20"/>
                <w:szCs w:val="20"/>
              </w:rPr>
              <w:t xml:space="preserve">• Bucureşti, </w:t>
            </w:r>
            <w:r w:rsidRPr="00006A93">
              <w:rPr>
                <w:rFonts w:asciiTheme="majorHAnsi" w:eastAsia="Times New Roman" w:hAnsiTheme="majorHAnsi" w:cs="Arial"/>
                <w:sz w:val="20"/>
                <w:szCs w:val="20"/>
              </w:rPr>
              <w:br/>
            </w:r>
            <w:proofErr w:type="gramStart"/>
            <w:r w:rsidRPr="00006A93">
              <w:rPr>
                <w:rFonts w:asciiTheme="majorHAnsi" w:eastAsia="Times New Roman" w:hAnsiTheme="majorHAnsi" w:cs="Arial"/>
                <w:sz w:val="20"/>
                <w:szCs w:val="20"/>
              </w:rPr>
              <w:t xml:space="preserve">  Municipiul</w:t>
            </w:r>
            <w:proofErr w:type="gramEnd"/>
            <w:r w:rsidRPr="00006A93">
              <w:rPr>
                <w:rFonts w:asciiTheme="majorHAnsi" w:eastAsia="Times New Roman" w:hAnsiTheme="majorHAnsi" w:cs="Arial"/>
                <w:sz w:val="20"/>
                <w:szCs w:val="20"/>
              </w:rPr>
              <w:t xml:space="preserve"> Bucureşti</w:t>
            </w:r>
            <w:r w:rsidRPr="00006A93">
              <w:rPr>
                <w:rFonts w:asciiTheme="majorHAnsi" w:eastAsia="Times New Roman" w:hAnsiTheme="majorHAnsi" w:cs="Arial"/>
                <w:sz w:val="20"/>
                <w:szCs w:val="20"/>
              </w:rPr>
              <w:br/>
              <w:t>• Timișoara, judeţul Timiș</w:t>
            </w:r>
          </w:p>
        </w:tc>
        <w:tc>
          <w:tcPr>
            <w:tcW w:w="1270" w:type="dxa"/>
            <w:vAlign w:val="center"/>
          </w:tcPr>
          <w:p w14:paraId="3F560590" w14:textId="4C011874" w:rsidR="00006A93" w:rsidRPr="00006A93" w:rsidRDefault="00006A93" w:rsidP="00093C9D">
            <w:pPr>
              <w:spacing w:before="100" w:beforeAutospacing="1" w:after="100" w:afterAutospacing="1"/>
              <w:rPr>
                <w:rFonts w:asciiTheme="majorHAnsi" w:hAnsiTheme="majorHAnsi"/>
                <w:sz w:val="20"/>
                <w:szCs w:val="20"/>
              </w:rPr>
            </w:pPr>
            <w:r w:rsidRPr="00006A93">
              <w:rPr>
                <w:rFonts w:asciiTheme="majorHAnsi" w:eastAsia="Times New Roman" w:hAnsiTheme="majorHAnsi" w:cs="Arial"/>
                <w:sz w:val="20"/>
                <w:szCs w:val="20"/>
              </w:rPr>
              <w:t>5,06</w:t>
            </w:r>
          </w:p>
        </w:tc>
        <w:tc>
          <w:tcPr>
            <w:tcW w:w="947" w:type="dxa"/>
            <w:vAlign w:val="center"/>
          </w:tcPr>
          <w:p w14:paraId="62203496" w14:textId="61140463" w:rsidR="00006A93" w:rsidRPr="00006A93" w:rsidRDefault="00006A93" w:rsidP="00093C9D">
            <w:pPr>
              <w:spacing w:before="100" w:beforeAutospacing="1" w:after="100" w:afterAutospacing="1"/>
              <w:rPr>
                <w:rFonts w:asciiTheme="majorHAnsi" w:hAnsiTheme="majorHAnsi"/>
                <w:sz w:val="20"/>
                <w:szCs w:val="20"/>
              </w:rPr>
            </w:pPr>
            <w:r w:rsidRPr="00006A93">
              <w:rPr>
                <w:rFonts w:asciiTheme="majorHAnsi" w:eastAsia="Times New Roman" w:hAnsiTheme="majorHAnsi" w:cs="Arial"/>
                <w:sz w:val="20"/>
                <w:szCs w:val="20"/>
              </w:rPr>
              <w:t>200</w:t>
            </w:r>
          </w:p>
        </w:tc>
      </w:tr>
      <w:tr w:rsidR="00006A93" w:rsidRPr="00006A93" w14:paraId="5A70CEE4" w14:textId="77777777" w:rsidTr="00006A93">
        <w:tc>
          <w:tcPr>
            <w:tcW w:w="553" w:type="dxa"/>
            <w:vAlign w:val="center"/>
          </w:tcPr>
          <w:p w14:paraId="54169AE9" w14:textId="7116FB7B" w:rsidR="00006A93" w:rsidRPr="00006A93" w:rsidRDefault="00006A93" w:rsidP="00093C9D">
            <w:pPr>
              <w:spacing w:before="100" w:beforeAutospacing="1" w:after="100" w:afterAutospacing="1"/>
              <w:rPr>
                <w:rFonts w:asciiTheme="majorHAnsi" w:hAnsiTheme="majorHAnsi"/>
                <w:sz w:val="20"/>
                <w:szCs w:val="20"/>
              </w:rPr>
            </w:pPr>
            <w:r w:rsidRPr="00006A93">
              <w:rPr>
                <w:rFonts w:asciiTheme="majorHAnsi" w:eastAsia="Times New Roman" w:hAnsiTheme="majorHAnsi" w:cs="Arial"/>
                <w:sz w:val="20"/>
                <w:szCs w:val="20"/>
              </w:rPr>
              <w:t>7</w:t>
            </w:r>
          </w:p>
        </w:tc>
        <w:tc>
          <w:tcPr>
            <w:tcW w:w="1870" w:type="dxa"/>
            <w:vAlign w:val="center"/>
          </w:tcPr>
          <w:p w14:paraId="0241C2C7" w14:textId="6B1DE0B8" w:rsidR="00006A93" w:rsidRPr="00006A93" w:rsidRDefault="00006A93" w:rsidP="00093C9D">
            <w:pPr>
              <w:spacing w:before="100" w:beforeAutospacing="1" w:after="100" w:afterAutospacing="1"/>
              <w:rPr>
                <w:rFonts w:asciiTheme="majorHAnsi" w:hAnsiTheme="majorHAnsi"/>
                <w:sz w:val="20"/>
                <w:szCs w:val="20"/>
              </w:rPr>
            </w:pPr>
            <w:r w:rsidRPr="00006A93">
              <w:rPr>
                <w:rFonts w:asciiTheme="majorHAnsi" w:eastAsia="Times New Roman" w:hAnsiTheme="majorHAnsi" w:cs="Arial"/>
                <w:sz w:val="20"/>
                <w:szCs w:val="20"/>
              </w:rPr>
              <w:t>SC DB GLOBAL TECHNOLOGY S.R.L.</w:t>
            </w:r>
          </w:p>
        </w:tc>
        <w:tc>
          <w:tcPr>
            <w:tcW w:w="2284" w:type="dxa"/>
            <w:vAlign w:val="center"/>
          </w:tcPr>
          <w:p w14:paraId="2FD9EF83" w14:textId="1654AE2E" w:rsidR="00006A93" w:rsidRPr="00006A93" w:rsidRDefault="00006A93" w:rsidP="00093C9D">
            <w:pPr>
              <w:spacing w:before="100" w:beforeAutospacing="1" w:after="100" w:afterAutospacing="1"/>
              <w:rPr>
                <w:rFonts w:asciiTheme="majorHAnsi" w:hAnsiTheme="majorHAnsi"/>
                <w:sz w:val="20"/>
                <w:szCs w:val="20"/>
              </w:rPr>
            </w:pPr>
            <w:r w:rsidRPr="00006A93">
              <w:rPr>
                <w:rFonts w:asciiTheme="majorHAnsi" w:eastAsia="Times New Roman" w:hAnsiTheme="majorHAnsi" w:cs="Arial"/>
                <w:sz w:val="20"/>
                <w:szCs w:val="20"/>
              </w:rPr>
              <w:t>Activităţi de servicii în tehnologia informaţiei/</w:t>
            </w:r>
            <w:r w:rsidRPr="00006A93">
              <w:rPr>
                <w:rFonts w:asciiTheme="majorHAnsi" w:eastAsia="Times New Roman" w:hAnsiTheme="majorHAnsi" w:cs="Arial"/>
                <w:sz w:val="20"/>
                <w:szCs w:val="20"/>
              </w:rPr>
              <w:br/>
              <w:t>“Centrul de tehnologie din Europa de Est al Deutsche Bank AG”</w:t>
            </w:r>
            <w:r w:rsidRPr="00006A93">
              <w:rPr>
                <w:rFonts w:asciiTheme="majorHAnsi" w:eastAsia="Times New Roman" w:hAnsiTheme="majorHAnsi" w:cs="Arial"/>
                <w:sz w:val="20"/>
                <w:szCs w:val="20"/>
              </w:rPr>
              <w:br/>
            </w:r>
            <w:r w:rsidRPr="00006A93">
              <w:rPr>
                <w:rFonts w:asciiTheme="majorHAnsi" w:eastAsia="Times New Roman" w:hAnsiTheme="majorHAnsi" w:cs="Arial"/>
                <w:i/>
                <w:iCs/>
                <w:color w:val="0000D4"/>
                <w:sz w:val="20"/>
                <w:szCs w:val="20"/>
              </w:rPr>
              <w:t>greenfield</w:t>
            </w:r>
          </w:p>
        </w:tc>
        <w:tc>
          <w:tcPr>
            <w:tcW w:w="1592" w:type="dxa"/>
            <w:vAlign w:val="center"/>
          </w:tcPr>
          <w:p w14:paraId="56C6364E" w14:textId="49AAC6C5" w:rsidR="00006A93" w:rsidRPr="00006A93" w:rsidRDefault="00006A93" w:rsidP="00093C9D">
            <w:pPr>
              <w:spacing w:before="100" w:beforeAutospacing="1" w:after="100" w:afterAutospacing="1"/>
              <w:rPr>
                <w:rFonts w:asciiTheme="majorHAnsi" w:hAnsiTheme="majorHAnsi"/>
                <w:sz w:val="20"/>
                <w:szCs w:val="20"/>
              </w:rPr>
            </w:pPr>
            <w:r w:rsidRPr="00006A93">
              <w:rPr>
                <w:rFonts w:asciiTheme="majorHAnsi" w:eastAsia="Times New Roman" w:hAnsiTheme="majorHAnsi" w:cs="Arial"/>
                <w:sz w:val="20"/>
                <w:szCs w:val="20"/>
              </w:rPr>
              <w:t xml:space="preserve">• Bucureşti, </w:t>
            </w:r>
            <w:r w:rsidRPr="00006A93">
              <w:rPr>
                <w:rFonts w:asciiTheme="majorHAnsi" w:eastAsia="Times New Roman" w:hAnsiTheme="majorHAnsi" w:cs="Arial"/>
                <w:sz w:val="20"/>
                <w:szCs w:val="20"/>
              </w:rPr>
              <w:br/>
            </w:r>
            <w:proofErr w:type="gramStart"/>
            <w:r w:rsidRPr="00006A93">
              <w:rPr>
                <w:rFonts w:asciiTheme="majorHAnsi" w:eastAsia="Times New Roman" w:hAnsiTheme="majorHAnsi" w:cs="Arial"/>
                <w:sz w:val="20"/>
                <w:szCs w:val="20"/>
              </w:rPr>
              <w:t xml:space="preserve">  Municipiul</w:t>
            </w:r>
            <w:proofErr w:type="gramEnd"/>
            <w:r w:rsidRPr="00006A93">
              <w:rPr>
                <w:rFonts w:asciiTheme="majorHAnsi" w:eastAsia="Times New Roman" w:hAnsiTheme="majorHAnsi" w:cs="Arial"/>
                <w:sz w:val="20"/>
                <w:szCs w:val="20"/>
              </w:rPr>
              <w:t xml:space="preserve"> Bucureşti</w:t>
            </w:r>
          </w:p>
        </w:tc>
        <w:tc>
          <w:tcPr>
            <w:tcW w:w="1270" w:type="dxa"/>
            <w:vAlign w:val="center"/>
          </w:tcPr>
          <w:p w14:paraId="0D1E2448" w14:textId="57F93988" w:rsidR="00006A93" w:rsidRPr="00006A93" w:rsidRDefault="00006A93" w:rsidP="00093C9D">
            <w:pPr>
              <w:spacing w:before="100" w:beforeAutospacing="1" w:after="100" w:afterAutospacing="1"/>
              <w:rPr>
                <w:rFonts w:asciiTheme="majorHAnsi" w:hAnsiTheme="majorHAnsi"/>
                <w:sz w:val="20"/>
                <w:szCs w:val="20"/>
              </w:rPr>
            </w:pPr>
            <w:r w:rsidRPr="00006A93">
              <w:rPr>
                <w:rFonts w:asciiTheme="majorHAnsi" w:eastAsia="Times New Roman" w:hAnsiTheme="majorHAnsi" w:cs="Arial"/>
                <w:sz w:val="20"/>
                <w:szCs w:val="20"/>
              </w:rPr>
              <w:t>15,69</w:t>
            </w:r>
          </w:p>
        </w:tc>
        <w:tc>
          <w:tcPr>
            <w:tcW w:w="947" w:type="dxa"/>
            <w:vAlign w:val="center"/>
          </w:tcPr>
          <w:p w14:paraId="58629EBE" w14:textId="0F210202" w:rsidR="00006A93" w:rsidRPr="00006A93" w:rsidRDefault="00006A93" w:rsidP="00093C9D">
            <w:pPr>
              <w:spacing w:before="100" w:beforeAutospacing="1" w:after="100" w:afterAutospacing="1"/>
              <w:rPr>
                <w:rFonts w:asciiTheme="majorHAnsi" w:hAnsiTheme="majorHAnsi"/>
                <w:sz w:val="20"/>
                <w:szCs w:val="20"/>
              </w:rPr>
            </w:pPr>
            <w:r w:rsidRPr="00006A93">
              <w:rPr>
                <w:rFonts w:asciiTheme="majorHAnsi" w:eastAsia="Times New Roman" w:hAnsiTheme="majorHAnsi" w:cs="Arial"/>
                <w:sz w:val="20"/>
                <w:szCs w:val="20"/>
              </w:rPr>
              <w:t>500</w:t>
            </w:r>
          </w:p>
        </w:tc>
      </w:tr>
      <w:tr w:rsidR="00006A93" w:rsidRPr="00006A93" w14:paraId="1C54C256" w14:textId="77777777" w:rsidTr="00006A93">
        <w:tc>
          <w:tcPr>
            <w:tcW w:w="553" w:type="dxa"/>
            <w:vAlign w:val="center"/>
          </w:tcPr>
          <w:p w14:paraId="34BDE1F0" w14:textId="19BA956C" w:rsidR="00006A93" w:rsidRPr="00006A93" w:rsidRDefault="00006A93" w:rsidP="00093C9D">
            <w:pPr>
              <w:spacing w:before="100" w:beforeAutospacing="1" w:after="100" w:afterAutospacing="1"/>
              <w:rPr>
                <w:rFonts w:asciiTheme="majorHAnsi" w:hAnsiTheme="majorHAnsi"/>
                <w:sz w:val="20"/>
                <w:szCs w:val="20"/>
              </w:rPr>
            </w:pPr>
            <w:r w:rsidRPr="00006A93">
              <w:rPr>
                <w:rFonts w:asciiTheme="majorHAnsi" w:eastAsia="Times New Roman" w:hAnsiTheme="majorHAnsi" w:cs="Arial"/>
                <w:sz w:val="20"/>
                <w:szCs w:val="20"/>
              </w:rPr>
              <w:t>8</w:t>
            </w:r>
          </w:p>
        </w:tc>
        <w:tc>
          <w:tcPr>
            <w:tcW w:w="1870" w:type="dxa"/>
            <w:vAlign w:val="center"/>
          </w:tcPr>
          <w:p w14:paraId="7391773F" w14:textId="7442E27C" w:rsidR="00006A93" w:rsidRPr="00006A93" w:rsidRDefault="00006A93" w:rsidP="00093C9D">
            <w:pPr>
              <w:spacing w:before="100" w:beforeAutospacing="1" w:after="100" w:afterAutospacing="1"/>
              <w:rPr>
                <w:rFonts w:asciiTheme="majorHAnsi" w:hAnsiTheme="majorHAnsi"/>
                <w:sz w:val="20"/>
                <w:szCs w:val="20"/>
              </w:rPr>
            </w:pPr>
            <w:r w:rsidRPr="00006A93">
              <w:rPr>
                <w:rFonts w:asciiTheme="majorHAnsi" w:eastAsia="Times New Roman" w:hAnsiTheme="majorHAnsi" w:cs="Arial"/>
                <w:sz w:val="20"/>
                <w:szCs w:val="20"/>
              </w:rPr>
              <w:t xml:space="preserve">SC LUXOFT PROFESSIONAL ROMÂNIA S.R.L. </w:t>
            </w:r>
          </w:p>
        </w:tc>
        <w:tc>
          <w:tcPr>
            <w:tcW w:w="2284" w:type="dxa"/>
            <w:vAlign w:val="center"/>
          </w:tcPr>
          <w:p w14:paraId="2E989B88" w14:textId="379845EA" w:rsidR="00006A93" w:rsidRPr="00006A93" w:rsidRDefault="00006A93" w:rsidP="00093C9D">
            <w:pPr>
              <w:spacing w:before="100" w:beforeAutospacing="1" w:after="100" w:afterAutospacing="1"/>
              <w:rPr>
                <w:rFonts w:asciiTheme="majorHAnsi" w:hAnsiTheme="majorHAnsi"/>
                <w:sz w:val="20"/>
                <w:szCs w:val="20"/>
              </w:rPr>
            </w:pPr>
            <w:r w:rsidRPr="00006A93">
              <w:rPr>
                <w:rFonts w:asciiTheme="majorHAnsi" w:eastAsia="Times New Roman" w:hAnsiTheme="majorHAnsi" w:cs="Arial"/>
                <w:sz w:val="20"/>
                <w:szCs w:val="20"/>
              </w:rPr>
              <w:t>Activităţi de servicii în tehnologia informaţiei/</w:t>
            </w:r>
            <w:r w:rsidRPr="00006A93">
              <w:rPr>
                <w:rFonts w:asciiTheme="majorHAnsi" w:eastAsia="Times New Roman" w:hAnsiTheme="majorHAnsi" w:cs="Arial"/>
                <w:sz w:val="20"/>
                <w:szCs w:val="20"/>
              </w:rPr>
              <w:br/>
              <w:t>“Extinderea capacităţii Luxoft de dezvoltare a produselor şi serviciilor IT”</w:t>
            </w:r>
            <w:r w:rsidRPr="00006A93">
              <w:rPr>
                <w:rFonts w:asciiTheme="majorHAnsi" w:eastAsia="Times New Roman" w:hAnsiTheme="majorHAnsi" w:cs="Arial"/>
                <w:sz w:val="20"/>
                <w:szCs w:val="20"/>
              </w:rPr>
              <w:br/>
            </w:r>
            <w:r w:rsidRPr="00006A93">
              <w:rPr>
                <w:rFonts w:asciiTheme="majorHAnsi" w:eastAsia="Times New Roman" w:hAnsiTheme="majorHAnsi" w:cs="Arial"/>
                <w:i/>
                <w:iCs/>
                <w:color w:val="0000D4"/>
                <w:sz w:val="20"/>
                <w:szCs w:val="20"/>
              </w:rPr>
              <w:t>extindere</w:t>
            </w:r>
          </w:p>
        </w:tc>
        <w:tc>
          <w:tcPr>
            <w:tcW w:w="1592" w:type="dxa"/>
            <w:vAlign w:val="center"/>
          </w:tcPr>
          <w:p w14:paraId="2F937CC2" w14:textId="67BEED62" w:rsidR="00006A93" w:rsidRPr="00006A93" w:rsidRDefault="00006A93" w:rsidP="00093C9D">
            <w:pPr>
              <w:spacing w:before="100" w:beforeAutospacing="1" w:after="100" w:afterAutospacing="1"/>
              <w:rPr>
                <w:rFonts w:asciiTheme="majorHAnsi" w:hAnsiTheme="majorHAnsi"/>
                <w:sz w:val="20"/>
                <w:szCs w:val="20"/>
              </w:rPr>
            </w:pPr>
            <w:r w:rsidRPr="00006A93">
              <w:rPr>
                <w:rFonts w:asciiTheme="majorHAnsi" w:eastAsia="Times New Roman" w:hAnsiTheme="majorHAnsi" w:cs="Arial"/>
                <w:sz w:val="20"/>
                <w:szCs w:val="20"/>
              </w:rPr>
              <w:t xml:space="preserve">▪ Bucureşti, </w:t>
            </w:r>
            <w:r w:rsidRPr="00006A93">
              <w:rPr>
                <w:rFonts w:asciiTheme="majorHAnsi" w:eastAsia="Times New Roman" w:hAnsiTheme="majorHAnsi" w:cs="Arial"/>
                <w:sz w:val="20"/>
                <w:szCs w:val="20"/>
              </w:rPr>
              <w:br/>
              <w:t>Municipiul Bucureşti</w:t>
            </w:r>
          </w:p>
        </w:tc>
        <w:tc>
          <w:tcPr>
            <w:tcW w:w="1270" w:type="dxa"/>
            <w:vAlign w:val="center"/>
          </w:tcPr>
          <w:p w14:paraId="4825FBD6" w14:textId="0056B3EA" w:rsidR="00006A93" w:rsidRPr="00006A93" w:rsidRDefault="00006A93" w:rsidP="00093C9D">
            <w:pPr>
              <w:spacing w:before="100" w:beforeAutospacing="1" w:after="100" w:afterAutospacing="1"/>
              <w:rPr>
                <w:rFonts w:asciiTheme="majorHAnsi" w:hAnsiTheme="majorHAnsi"/>
                <w:sz w:val="20"/>
                <w:szCs w:val="20"/>
              </w:rPr>
            </w:pPr>
            <w:r w:rsidRPr="00006A93">
              <w:rPr>
                <w:rFonts w:asciiTheme="majorHAnsi" w:eastAsia="Times New Roman" w:hAnsiTheme="majorHAnsi" w:cs="Arial"/>
                <w:sz w:val="20"/>
                <w:szCs w:val="20"/>
              </w:rPr>
              <w:t>4,40</w:t>
            </w:r>
          </w:p>
        </w:tc>
        <w:tc>
          <w:tcPr>
            <w:tcW w:w="947" w:type="dxa"/>
            <w:vAlign w:val="center"/>
          </w:tcPr>
          <w:p w14:paraId="743B2704" w14:textId="1940B96E" w:rsidR="00006A93" w:rsidRPr="00006A93" w:rsidRDefault="00006A93" w:rsidP="00093C9D">
            <w:pPr>
              <w:spacing w:before="100" w:beforeAutospacing="1" w:after="100" w:afterAutospacing="1"/>
              <w:rPr>
                <w:rFonts w:asciiTheme="majorHAnsi" w:hAnsiTheme="majorHAnsi"/>
                <w:sz w:val="20"/>
                <w:szCs w:val="20"/>
              </w:rPr>
            </w:pPr>
            <w:r w:rsidRPr="00006A93">
              <w:rPr>
                <w:rFonts w:asciiTheme="majorHAnsi" w:eastAsia="Times New Roman" w:hAnsiTheme="majorHAnsi" w:cs="Arial"/>
                <w:sz w:val="20"/>
                <w:szCs w:val="20"/>
              </w:rPr>
              <w:t>250</w:t>
            </w:r>
          </w:p>
        </w:tc>
      </w:tr>
      <w:tr w:rsidR="00006A93" w:rsidRPr="00006A93" w14:paraId="07EFE550" w14:textId="77777777" w:rsidTr="00006A93">
        <w:tc>
          <w:tcPr>
            <w:tcW w:w="553" w:type="dxa"/>
            <w:vAlign w:val="center"/>
          </w:tcPr>
          <w:p w14:paraId="7AB016B5" w14:textId="26030DE7" w:rsidR="00006A93" w:rsidRPr="00006A93" w:rsidRDefault="00006A93" w:rsidP="00093C9D">
            <w:pPr>
              <w:spacing w:before="100" w:beforeAutospacing="1" w:after="100" w:afterAutospacing="1"/>
              <w:rPr>
                <w:rFonts w:asciiTheme="majorHAnsi" w:hAnsiTheme="majorHAnsi"/>
                <w:sz w:val="20"/>
                <w:szCs w:val="20"/>
              </w:rPr>
            </w:pPr>
            <w:r w:rsidRPr="00006A93">
              <w:rPr>
                <w:rFonts w:asciiTheme="majorHAnsi" w:eastAsia="Times New Roman" w:hAnsiTheme="majorHAnsi" w:cs="Arial"/>
                <w:sz w:val="20"/>
                <w:szCs w:val="20"/>
              </w:rPr>
              <w:t>9</w:t>
            </w:r>
          </w:p>
        </w:tc>
        <w:tc>
          <w:tcPr>
            <w:tcW w:w="1870" w:type="dxa"/>
            <w:vAlign w:val="center"/>
          </w:tcPr>
          <w:p w14:paraId="50642A2B" w14:textId="44F7A1C3" w:rsidR="00006A93" w:rsidRPr="00006A93" w:rsidRDefault="00006A93" w:rsidP="00093C9D">
            <w:pPr>
              <w:spacing w:before="100" w:beforeAutospacing="1" w:after="100" w:afterAutospacing="1"/>
              <w:rPr>
                <w:rFonts w:asciiTheme="majorHAnsi" w:hAnsiTheme="majorHAnsi"/>
                <w:sz w:val="20"/>
                <w:szCs w:val="20"/>
              </w:rPr>
            </w:pPr>
            <w:r w:rsidRPr="00006A93">
              <w:rPr>
                <w:rFonts w:asciiTheme="majorHAnsi" w:eastAsia="Times New Roman" w:hAnsiTheme="majorHAnsi" w:cs="Arial"/>
                <w:sz w:val="20"/>
                <w:szCs w:val="20"/>
              </w:rPr>
              <w:t>SC PENTALOG ROMÂNIA S.R.L.</w:t>
            </w:r>
          </w:p>
        </w:tc>
        <w:tc>
          <w:tcPr>
            <w:tcW w:w="2284" w:type="dxa"/>
            <w:vAlign w:val="center"/>
          </w:tcPr>
          <w:p w14:paraId="2DB29CBF" w14:textId="22A5BE77" w:rsidR="00006A93" w:rsidRPr="00006A93" w:rsidRDefault="00006A93" w:rsidP="00093C9D">
            <w:pPr>
              <w:spacing w:before="100" w:beforeAutospacing="1" w:after="100" w:afterAutospacing="1"/>
              <w:rPr>
                <w:rFonts w:asciiTheme="majorHAnsi" w:hAnsiTheme="majorHAnsi"/>
                <w:sz w:val="20"/>
                <w:szCs w:val="20"/>
              </w:rPr>
            </w:pPr>
            <w:r w:rsidRPr="00006A93">
              <w:rPr>
                <w:rFonts w:asciiTheme="majorHAnsi" w:eastAsia="Times New Roman" w:hAnsiTheme="majorHAnsi" w:cs="Arial"/>
                <w:sz w:val="20"/>
                <w:szCs w:val="20"/>
              </w:rPr>
              <w:t>Activităţi de servicii în tehnologia informaţiei/</w:t>
            </w:r>
            <w:r w:rsidRPr="00006A93">
              <w:rPr>
                <w:rFonts w:asciiTheme="majorHAnsi" w:eastAsia="Times New Roman" w:hAnsiTheme="majorHAnsi" w:cs="Arial"/>
                <w:sz w:val="20"/>
                <w:szCs w:val="20"/>
              </w:rPr>
              <w:br/>
              <w:t>“Extinderea activităţii S.C. PENTALOG ROMÂNIA S.R.L.”</w:t>
            </w:r>
            <w:r w:rsidRPr="00006A93">
              <w:rPr>
                <w:rFonts w:asciiTheme="majorHAnsi" w:eastAsia="Times New Roman" w:hAnsiTheme="majorHAnsi" w:cs="Arial"/>
                <w:sz w:val="20"/>
                <w:szCs w:val="20"/>
              </w:rPr>
              <w:br/>
            </w:r>
            <w:proofErr w:type="gramStart"/>
            <w:r w:rsidRPr="00006A93">
              <w:rPr>
                <w:rFonts w:asciiTheme="majorHAnsi" w:eastAsia="Times New Roman" w:hAnsiTheme="majorHAnsi" w:cs="Arial"/>
                <w:i/>
                <w:iCs/>
                <w:color w:val="0000D4"/>
                <w:sz w:val="20"/>
                <w:szCs w:val="20"/>
              </w:rPr>
              <w:t>extindere</w:t>
            </w:r>
            <w:proofErr w:type="gramEnd"/>
            <w:r w:rsidRPr="00006A93">
              <w:rPr>
                <w:rFonts w:asciiTheme="majorHAnsi" w:eastAsia="Times New Roman" w:hAnsiTheme="majorHAnsi" w:cs="Arial"/>
                <w:i/>
                <w:iCs/>
                <w:color w:val="0000D4"/>
                <w:sz w:val="20"/>
                <w:szCs w:val="20"/>
              </w:rPr>
              <w:t xml:space="preserve"> </w:t>
            </w:r>
          </w:p>
        </w:tc>
        <w:tc>
          <w:tcPr>
            <w:tcW w:w="1592" w:type="dxa"/>
            <w:vAlign w:val="center"/>
          </w:tcPr>
          <w:p w14:paraId="38341F28" w14:textId="4B88AA5B" w:rsidR="00006A93" w:rsidRPr="00006A93" w:rsidRDefault="00006A93" w:rsidP="00093C9D">
            <w:pPr>
              <w:spacing w:before="100" w:beforeAutospacing="1" w:after="100" w:afterAutospacing="1"/>
              <w:rPr>
                <w:rFonts w:asciiTheme="majorHAnsi" w:hAnsiTheme="majorHAnsi"/>
                <w:sz w:val="20"/>
                <w:szCs w:val="20"/>
              </w:rPr>
            </w:pPr>
            <w:r w:rsidRPr="00006A93">
              <w:rPr>
                <w:rFonts w:asciiTheme="majorHAnsi" w:eastAsia="Times New Roman" w:hAnsiTheme="majorHAnsi" w:cs="Arial"/>
                <w:sz w:val="20"/>
                <w:szCs w:val="20"/>
              </w:rPr>
              <w:t xml:space="preserve">•  Bucureşti, </w:t>
            </w:r>
            <w:r w:rsidRPr="00006A93">
              <w:rPr>
                <w:rFonts w:asciiTheme="majorHAnsi" w:eastAsia="Times New Roman" w:hAnsiTheme="majorHAnsi" w:cs="Arial"/>
                <w:sz w:val="20"/>
                <w:szCs w:val="20"/>
              </w:rPr>
              <w:br/>
              <w:t>Municipiul Bucureşti</w:t>
            </w:r>
            <w:r w:rsidRPr="00006A93">
              <w:rPr>
                <w:rFonts w:asciiTheme="majorHAnsi" w:eastAsia="Times New Roman" w:hAnsiTheme="majorHAnsi" w:cs="Arial"/>
                <w:sz w:val="20"/>
                <w:szCs w:val="20"/>
              </w:rPr>
              <w:br/>
            </w:r>
            <w:proofErr w:type="gramStart"/>
            <w:r w:rsidRPr="00006A93">
              <w:rPr>
                <w:rFonts w:asciiTheme="majorHAnsi" w:eastAsia="Times New Roman" w:hAnsiTheme="majorHAnsi" w:cs="Arial"/>
                <w:sz w:val="20"/>
                <w:szCs w:val="20"/>
              </w:rPr>
              <w:t>•  Braşov</w:t>
            </w:r>
            <w:proofErr w:type="gramEnd"/>
            <w:r w:rsidRPr="00006A93">
              <w:rPr>
                <w:rFonts w:asciiTheme="majorHAnsi" w:eastAsia="Times New Roman" w:hAnsiTheme="majorHAnsi" w:cs="Arial"/>
                <w:sz w:val="20"/>
                <w:szCs w:val="20"/>
              </w:rPr>
              <w:t>, Judetul Braşov</w:t>
            </w:r>
            <w:r w:rsidRPr="00006A93">
              <w:rPr>
                <w:rFonts w:asciiTheme="majorHAnsi" w:eastAsia="Times New Roman" w:hAnsiTheme="majorHAnsi" w:cs="Arial"/>
                <w:sz w:val="20"/>
                <w:szCs w:val="20"/>
              </w:rPr>
              <w:br/>
              <w:t>•  Iaşi, Judeţul Iaşi</w:t>
            </w:r>
            <w:r w:rsidRPr="00006A93">
              <w:rPr>
                <w:rFonts w:asciiTheme="majorHAnsi" w:eastAsia="Times New Roman" w:hAnsiTheme="majorHAnsi" w:cs="Arial"/>
                <w:sz w:val="20"/>
                <w:szCs w:val="20"/>
              </w:rPr>
              <w:br/>
              <w:t>• Cluj-Napoca, Judeţul Cluj</w:t>
            </w:r>
          </w:p>
        </w:tc>
        <w:tc>
          <w:tcPr>
            <w:tcW w:w="1270" w:type="dxa"/>
            <w:vAlign w:val="center"/>
          </w:tcPr>
          <w:p w14:paraId="429C1E38" w14:textId="631664E3" w:rsidR="00006A93" w:rsidRPr="00006A93" w:rsidRDefault="00006A93" w:rsidP="00093C9D">
            <w:pPr>
              <w:spacing w:before="100" w:beforeAutospacing="1" w:after="100" w:afterAutospacing="1"/>
              <w:rPr>
                <w:rFonts w:asciiTheme="majorHAnsi" w:hAnsiTheme="majorHAnsi"/>
                <w:sz w:val="20"/>
                <w:szCs w:val="20"/>
              </w:rPr>
            </w:pPr>
            <w:r w:rsidRPr="00006A93">
              <w:rPr>
                <w:rFonts w:asciiTheme="majorHAnsi" w:eastAsia="Times New Roman" w:hAnsiTheme="majorHAnsi" w:cs="Arial"/>
                <w:sz w:val="20"/>
                <w:szCs w:val="20"/>
              </w:rPr>
              <w:t>5,79</w:t>
            </w:r>
          </w:p>
        </w:tc>
        <w:tc>
          <w:tcPr>
            <w:tcW w:w="947" w:type="dxa"/>
            <w:vAlign w:val="center"/>
          </w:tcPr>
          <w:p w14:paraId="7A401844" w14:textId="6D293BF3" w:rsidR="00006A93" w:rsidRPr="00006A93" w:rsidRDefault="00006A93" w:rsidP="00093C9D">
            <w:pPr>
              <w:spacing w:before="100" w:beforeAutospacing="1" w:after="100" w:afterAutospacing="1"/>
              <w:rPr>
                <w:rFonts w:asciiTheme="majorHAnsi" w:hAnsiTheme="majorHAnsi"/>
                <w:sz w:val="20"/>
                <w:szCs w:val="20"/>
              </w:rPr>
            </w:pPr>
            <w:r w:rsidRPr="00006A93">
              <w:rPr>
                <w:rFonts w:asciiTheme="majorHAnsi" w:eastAsia="Times New Roman" w:hAnsiTheme="majorHAnsi" w:cs="Arial"/>
                <w:sz w:val="20"/>
                <w:szCs w:val="20"/>
              </w:rPr>
              <w:t>230</w:t>
            </w:r>
          </w:p>
        </w:tc>
      </w:tr>
      <w:tr w:rsidR="00006A93" w:rsidRPr="00006A93" w14:paraId="0DA23449" w14:textId="77777777" w:rsidTr="00006A93">
        <w:tc>
          <w:tcPr>
            <w:tcW w:w="553" w:type="dxa"/>
            <w:vAlign w:val="center"/>
          </w:tcPr>
          <w:p w14:paraId="193CE43D" w14:textId="5E391D33" w:rsidR="00006A93" w:rsidRPr="00006A93" w:rsidRDefault="00006A93" w:rsidP="00093C9D">
            <w:pPr>
              <w:spacing w:before="100" w:beforeAutospacing="1" w:after="100" w:afterAutospacing="1"/>
              <w:rPr>
                <w:rFonts w:asciiTheme="majorHAnsi" w:hAnsiTheme="majorHAnsi"/>
                <w:sz w:val="20"/>
                <w:szCs w:val="20"/>
              </w:rPr>
            </w:pPr>
            <w:r w:rsidRPr="00006A93">
              <w:rPr>
                <w:rFonts w:asciiTheme="majorHAnsi" w:eastAsia="Times New Roman" w:hAnsiTheme="majorHAnsi" w:cs="Arial"/>
                <w:sz w:val="20"/>
                <w:szCs w:val="20"/>
              </w:rPr>
              <w:t>10</w:t>
            </w:r>
          </w:p>
        </w:tc>
        <w:tc>
          <w:tcPr>
            <w:tcW w:w="1870" w:type="dxa"/>
            <w:vAlign w:val="center"/>
          </w:tcPr>
          <w:p w14:paraId="500CB826" w14:textId="6B059346" w:rsidR="00006A93" w:rsidRPr="00006A93" w:rsidRDefault="00006A93" w:rsidP="00093C9D">
            <w:pPr>
              <w:spacing w:before="100" w:beforeAutospacing="1" w:after="100" w:afterAutospacing="1"/>
              <w:rPr>
                <w:rFonts w:asciiTheme="majorHAnsi" w:hAnsiTheme="majorHAnsi"/>
                <w:sz w:val="20"/>
                <w:szCs w:val="20"/>
              </w:rPr>
            </w:pPr>
            <w:r w:rsidRPr="00006A93">
              <w:rPr>
                <w:rFonts w:asciiTheme="majorHAnsi" w:eastAsia="Times New Roman" w:hAnsiTheme="majorHAnsi" w:cs="Arial"/>
                <w:sz w:val="20"/>
                <w:szCs w:val="20"/>
              </w:rPr>
              <w:t>SC SIEMENS SRL</w:t>
            </w:r>
          </w:p>
        </w:tc>
        <w:tc>
          <w:tcPr>
            <w:tcW w:w="2284" w:type="dxa"/>
            <w:vAlign w:val="center"/>
          </w:tcPr>
          <w:p w14:paraId="1301684B" w14:textId="54FC37B4" w:rsidR="00006A93" w:rsidRPr="00006A93" w:rsidRDefault="00006A93" w:rsidP="00093C9D">
            <w:pPr>
              <w:spacing w:before="100" w:beforeAutospacing="1" w:after="100" w:afterAutospacing="1"/>
              <w:rPr>
                <w:rFonts w:asciiTheme="majorHAnsi" w:hAnsiTheme="majorHAnsi"/>
                <w:sz w:val="20"/>
                <w:szCs w:val="20"/>
              </w:rPr>
            </w:pPr>
            <w:r w:rsidRPr="00006A93">
              <w:rPr>
                <w:rFonts w:asciiTheme="majorHAnsi" w:eastAsia="Times New Roman" w:hAnsiTheme="majorHAnsi" w:cs="Arial"/>
                <w:sz w:val="20"/>
                <w:szCs w:val="20"/>
              </w:rPr>
              <w:t>Cercetare - dezvoltare în alte știinţe naturale și inginerie/</w:t>
            </w:r>
            <w:r w:rsidRPr="00006A93">
              <w:rPr>
                <w:rFonts w:asciiTheme="majorHAnsi" w:eastAsia="Times New Roman" w:hAnsiTheme="majorHAnsi" w:cs="Arial"/>
                <w:sz w:val="20"/>
                <w:szCs w:val="20"/>
              </w:rPr>
              <w:br/>
              <w:t>“Extinderea capacităţii de cercetare – dezvoltare a SC SIEMENS SRL”</w:t>
            </w:r>
            <w:r w:rsidRPr="00006A93">
              <w:rPr>
                <w:rFonts w:asciiTheme="majorHAnsi" w:eastAsia="Times New Roman" w:hAnsiTheme="majorHAnsi" w:cs="Arial"/>
                <w:sz w:val="20"/>
                <w:szCs w:val="20"/>
              </w:rPr>
              <w:br/>
            </w:r>
            <w:r w:rsidRPr="00006A93">
              <w:rPr>
                <w:rFonts w:asciiTheme="majorHAnsi" w:eastAsia="Times New Roman" w:hAnsiTheme="majorHAnsi" w:cs="Arial"/>
                <w:i/>
                <w:iCs/>
                <w:color w:val="0000D4"/>
                <w:sz w:val="20"/>
                <w:szCs w:val="20"/>
              </w:rPr>
              <w:t>extindere</w:t>
            </w:r>
          </w:p>
        </w:tc>
        <w:tc>
          <w:tcPr>
            <w:tcW w:w="1592" w:type="dxa"/>
            <w:vAlign w:val="center"/>
          </w:tcPr>
          <w:p w14:paraId="380ABA99" w14:textId="6AF1DBA4" w:rsidR="00006A93" w:rsidRPr="00006A93" w:rsidRDefault="00006A93" w:rsidP="00093C9D">
            <w:pPr>
              <w:spacing w:before="100" w:beforeAutospacing="1" w:after="100" w:afterAutospacing="1"/>
              <w:rPr>
                <w:rFonts w:asciiTheme="majorHAnsi" w:hAnsiTheme="majorHAnsi"/>
                <w:sz w:val="20"/>
                <w:szCs w:val="20"/>
              </w:rPr>
            </w:pPr>
            <w:r w:rsidRPr="00006A93">
              <w:rPr>
                <w:rFonts w:asciiTheme="majorHAnsi" w:eastAsia="Times New Roman" w:hAnsiTheme="majorHAnsi" w:cs="Arial"/>
                <w:sz w:val="20"/>
                <w:szCs w:val="20"/>
              </w:rPr>
              <w:t xml:space="preserve">• Bucureşti, </w:t>
            </w:r>
            <w:r w:rsidRPr="00006A93">
              <w:rPr>
                <w:rFonts w:asciiTheme="majorHAnsi" w:eastAsia="Times New Roman" w:hAnsiTheme="majorHAnsi" w:cs="Arial"/>
                <w:sz w:val="20"/>
                <w:szCs w:val="20"/>
              </w:rPr>
              <w:br/>
            </w:r>
            <w:proofErr w:type="gramStart"/>
            <w:r w:rsidRPr="00006A93">
              <w:rPr>
                <w:rFonts w:asciiTheme="majorHAnsi" w:eastAsia="Times New Roman" w:hAnsiTheme="majorHAnsi" w:cs="Arial"/>
                <w:sz w:val="20"/>
                <w:szCs w:val="20"/>
              </w:rPr>
              <w:t xml:space="preserve">  Municipiul</w:t>
            </w:r>
            <w:proofErr w:type="gramEnd"/>
            <w:r w:rsidRPr="00006A93">
              <w:rPr>
                <w:rFonts w:asciiTheme="majorHAnsi" w:eastAsia="Times New Roman" w:hAnsiTheme="majorHAnsi" w:cs="Arial"/>
                <w:sz w:val="20"/>
                <w:szCs w:val="20"/>
              </w:rPr>
              <w:t xml:space="preserve"> Bucureşti</w:t>
            </w:r>
            <w:r w:rsidRPr="00006A93">
              <w:rPr>
                <w:rFonts w:asciiTheme="majorHAnsi" w:eastAsia="Times New Roman" w:hAnsiTheme="majorHAnsi" w:cs="Arial"/>
                <w:sz w:val="20"/>
                <w:szCs w:val="20"/>
              </w:rPr>
              <w:br/>
              <w:t>• Braşov, Judetul Braşov</w:t>
            </w:r>
          </w:p>
        </w:tc>
        <w:tc>
          <w:tcPr>
            <w:tcW w:w="1270" w:type="dxa"/>
            <w:vAlign w:val="center"/>
          </w:tcPr>
          <w:p w14:paraId="0EA53FA6" w14:textId="61EDC360" w:rsidR="00006A93" w:rsidRPr="00006A93" w:rsidRDefault="00006A93" w:rsidP="00093C9D">
            <w:pPr>
              <w:spacing w:before="100" w:beforeAutospacing="1" w:after="100" w:afterAutospacing="1"/>
              <w:rPr>
                <w:rFonts w:asciiTheme="majorHAnsi" w:hAnsiTheme="majorHAnsi"/>
                <w:sz w:val="20"/>
                <w:szCs w:val="20"/>
              </w:rPr>
            </w:pPr>
            <w:r w:rsidRPr="00006A93">
              <w:rPr>
                <w:rFonts w:asciiTheme="majorHAnsi" w:eastAsia="Times New Roman" w:hAnsiTheme="majorHAnsi" w:cs="Arial"/>
                <w:sz w:val="20"/>
                <w:szCs w:val="20"/>
              </w:rPr>
              <w:t>5,41</w:t>
            </w:r>
          </w:p>
        </w:tc>
        <w:tc>
          <w:tcPr>
            <w:tcW w:w="947" w:type="dxa"/>
            <w:vAlign w:val="center"/>
          </w:tcPr>
          <w:p w14:paraId="74878264" w14:textId="796D1B81" w:rsidR="00006A93" w:rsidRPr="00006A93" w:rsidRDefault="00006A93" w:rsidP="00093C9D">
            <w:pPr>
              <w:spacing w:before="100" w:beforeAutospacing="1" w:after="100" w:afterAutospacing="1"/>
              <w:rPr>
                <w:rFonts w:asciiTheme="majorHAnsi" w:hAnsiTheme="majorHAnsi"/>
                <w:sz w:val="20"/>
                <w:szCs w:val="20"/>
              </w:rPr>
            </w:pPr>
            <w:r w:rsidRPr="00006A93">
              <w:rPr>
                <w:rFonts w:asciiTheme="majorHAnsi" w:eastAsia="Times New Roman" w:hAnsiTheme="majorHAnsi" w:cs="Arial"/>
                <w:sz w:val="20"/>
                <w:szCs w:val="20"/>
              </w:rPr>
              <w:t>220</w:t>
            </w:r>
          </w:p>
        </w:tc>
      </w:tr>
      <w:tr w:rsidR="00006A93" w:rsidRPr="00006A93" w14:paraId="42511B06" w14:textId="77777777" w:rsidTr="00006A93">
        <w:tc>
          <w:tcPr>
            <w:tcW w:w="553" w:type="dxa"/>
            <w:vAlign w:val="center"/>
          </w:tcPr>
          <w:p w14:paraId="22BC9509" w14:textId="502215E7" w:rsidR="00006A93" w:rsidRPr="00006A93" w:rsidRDefault="00006A93" w:rsidP="00093C9D">
            <w:pPr>
              <w:spacing w:before="100" w:beforeAutospacing="1" w:after="100" w:afterAutospacing="1"/>
              <w:rPr>
                <w:rFonts w:asciiTheme="majorHAnsi" w:hAnsiTheme="majorHAnsi"/>
                <w:sz w:val="20"/>
                <w:szCs w:val="20"/>
              </w:rPr>
            </w:pPr>
            <w:r w:rsidRPr="00006A93">
              <w:rPr>
                <w:rFonts w:asciiTheme="majorHAnsi" w:eastAsia="Times New Roman" w:hAnsiTheme="majorHAnsi" w:cs="Arial"/>
                <w:sz w:val="20"/>
                <w:szCs w:val="20"/>
              </w:rPr>
              <w:t>11</w:t>
            </w:r>
          </w:p>
        </w:tc>
        <w:tc>
          <w:tcPr>
            <w:tcW w:w="1870" w:type="dxa"/>
            <w:vAlign w:val="center"/>
          </w:tcPr>
          <w:p w14:paraId="37AE3CCF" w14:textId="4FEFD1AD" w:rsidR="00006A93" w:rsidRPr="00006A93" w:rsidRDefault="00006A93" w:rsidP="00093C9D">
            <w:pPr>
              <w:spacing w:before="100" w:beforeAutospacing="1" w:after="100" w:afterAutospacing="1"/>
              <w:rPr>
                <w:rFonts w:asciiTheme="majorHAnsi" w:hAnsiTheme="majorHAnsi"/>
                <w:sz w:val="20"/>
                <w:szCs w:val="20"/>
              </w:rPr>
            </w:pPr>
            <w:r w:rsidRPr="00006A93">
              <w:rPr>
                <w:rFonts w:asciiTheme="majorHAnsi" w:eastAsia="Times New Roman" w:hAnsiTheme="majorHAnsi" w:cs="Arial"/>
                <w:sz w:val="20"/>
                <w:szCs w:val="20"/>
              </w:rPr>
              <w:t>SC NESS ROMÂNIA S.R.L.</w:t>
            </w:r>
          </w:p>
        </w:tc>
        <w:tc>
          <w:tcPr>
            <w:tcW w:w="2284" w:type="dxa"/>
            <w:vAlign w:val="center"/>
          </w:tcPr>
          <w:p w14:paraId="325F9011" w14:textId="5B8407F4" w:rsidR="00006A93" w:rsidRPr="00006A93" w:rsidRDefault="00006A93" w:rsidP="00093C9D">
            <w:pPr>
              <w:spacing w:before="100" w:beforeAutospacing="1" w:after="100" w:afterAutospacing="1"/>
              <w:rPr>
                <w:rFonts w:asciiTheme="majorHAnsi" w:hAnsiTheme="majorHAnsi"/>
                <w:sz w:val="20"/>
                <w:szCs w:val="20"/>
              </w:rPr>
            </w:pPr>
            <w:r w:rsidRPr="00006A93">
              <w:rPr>
                <w:rFonts w:asciiTheme="majorHAnsi" w:eastAsia="Times New Roman" w:hAnsiTheme="majorHAnsi" w:cs="Arial"/>
                <w:sz w:val="20"/>
                <w:szCs w:val="20"/>
              </w:rPr>
              <w:t>Activităţi de servicii în tehnologia informaţiei/</w:t>
            </w:r>
            <w:r w:rsidRPr="00006A93">
              <w:rPr>
                <w:rFonts w:asciiTheme="majorHAnsi" w:eastAsia="Times New Roman" w:hAnsiTheme="majorHAnsi" w:cs="Arial"/>
                <w:sz w:val="20"/>
                <w:szCs w:val="20"/>
              </w:rPr>
              <w:br/>
              <w:t xml:space="preserve">“Extinderea Centrului de Dezvoltare Iași și crearea </w:t>
            </w:r>
            <w:r w:rsidRPr="00006A93">
              <w:rPr>
                <w:rFonts w:asciiTheme="majorHAnsi" w:eastAsia="Times New Roman" w:hAnsiTheme="majorHAnsi" w:cs="Arial"/>
                <w:sz w:val="20"/>
                <w:szCs w:val="20"/>
              </w:rPr>
              <w:lastRenderedPageBreak/>
              <w:t>a 200 de locuri de muncă în cadrul SC NESS ROMÂNIA S.R.L.”</w:t>
            </w:r>
            <w:r w:rsidRPr="00006A93">
              <w:rPr>
                <w:rFonts w:asciiTheme="majorHAnsi" w:eastAsia="Times New Roman" w:hAnsiTheme="majorHAnsi" w:cs="Arial"/>
                <w:sz w:val="20"/>
                <w:szCs w:val="20"/>
              </w:rPr>
              <w:br/>
            </w:r>
            <w:proofErr w:type="gramStart"/>
            <w:r w:rsidRPr="00006A93">
              <w:rPr>
                <w:rFonts w:asciiTheme="majorHAnsi" w:eastAsia="Times New Roman" w:hAnsiTheme="majorHAnsi" w:cs="Arial"/>
                <w:i/>
                <w:iCs/>
                <w:color w:val="0000D4"/>
                <w:sz w:val="20"/>
                <w:szCs w:val="20"/>
              </w:rPr>
              <w:t>extindere</w:t>
            </w:r>
            <w:proofErr w:type="gramEnd"/>
          </w:p>
        </w:tc>
        <w:tc>
          <w:tcPr>
            <w:tcW w:w="1592" w:type="dxa"/>
            <w:vAlign w:val="center"/>
          </w:tcPr>
          <w:p w14:paraId="17269EDD" w14:textId="733212B3" w:rsidR="00006A93" w:rsidRPr="00006A93" w:rsidRDefault="00006A93" w:rsidP="00093C9D">
            <w:pPr>
              <w:spacing w:before="100" w:beforeAutospacing="1" w:after="100" w:afterAutospacing="1"/>
              <w:rPr>
                <w:rFonts w:asciiTheme="majorHAnsi" w:hAnsiTheme="majorHAnsi"/>
                <w:sz w:val="20"/>
                <w:szCs w:val="20"/>
              </w:rPr>
            </w:pPr>
            <w:r w:rsidRPr="00006A93">
              <w:rPr>
                <w:rFonts w:asciiTheme="majorHAnsi" w:eastAsia="Times New Roman" w:hAnsiTheme="majorHAnsi" w:cs="Arial"/>
                <w:sz w:val="20"/>
                <w:szCs w:val="20"/>
              </w:rPr>
              <w:lastRenderedPageBreak/>
              <w:t>• Iaşi, Judeţul Iaşi</w:t>
            </w:r>
          </w:p>
        </w:tc>
        <w:tc>
          <w:tcPr>
            <w:tcW w:w="1270" w:type="dxa"/>
            <w:vAlign w:val="center"/>
          </w:tcPr>
          <w:p w14:paraId="3FA95116" w14:textId="69C517B3" w:rsidR="00006A93" w:rsidRPr="00006A93" w:rsidRDefault="00006A93" w:rsidP="00093C9D">
            <w:pPr>
              <w:spacing w:before="100" w:beforeAutospacing="1" w:after="100" w:afterAutospacing="1"/>
              <w:rPr>
                <w:rFonts w:asciiTheme="majorHAnsi" w:hAnsiTheme="majorHAnsi"/>
                <w:sz w:val="20"/>
                <w:szCs w:val="20"/>
              </w:rPr>
            </w:pPr>
            <w:r w:rsidRPr="00006A93">
              <w:rPr>
                <w:rFonts w:asciiTheme="majorHAnsi" w:eastAsia="Times New Roman" w:hAnsiTheme="majorHAnsi" w:cs="Arial"/>
                <w:sz w:val="20"/>
                <w:szCs w:val="20"/>
              </w:rPr>
              <w:t>5,43</w:t>
            </w:r>
          </w:p>
        </w:tc>
        <w:tc>
          <w:tcPr>
            <w:tcW w:w="947" w:type="dxa"/>
            <w:vAlign w:val="center"/>
          </w:tcPr>
          <w:p w14:paraId="5D9899CC" w14:textId="492B2756" w:rsidR="00006A93" w:rsidRPr="00006A93" w:rsidRDefault="00006A93" w:rsidP="00093C9D">
            <w:pPr>
              <w:spacing w:before="100" w:beforeAutospacing="1" w:after="100" w:afterAutospacing="1"/>
              <w:rPr>
                <w:rFonts w:asciiTheme="majorHAnsi" w:hAnsiTheme="majorHAnsi"/>
                <w:sz w:val="20"/>
                <w:szCs w:val="20"/>
              </w:rPr>
            </w:pPr>
            <w:r w:rsidRPr="00006A93">
              <w:rPr>
                <w:rFonts w:asciiTheme="majorHAnsi" w:eastAsia="Times New Roman" w:hAnsiTheme="majorHAnsi" w:cs="Arial"/>
                <w:sz w:val="20"/>
                <w:szCs w:val="20"/>
              </w:rPr>
              <w:t>200</w:t>
            </w:r>
          </w:p>
        </w:tc>
      </w:tr>
      <w:tr w:rsidR="00006A93" w:rsidRPr="00006A93" w14:paraId="37AF4F95" w14:textId="77777777" w:rsidTr="00006A93">
        <w:tc>
          <w:tcPr>
            <w:tcW w:w="553" w:type="dxa"/>
            <w:vAlign w:val="center"/>
          </w:tcPr>
          <w:p w14:paraId="3C868EF2" w14:textId="46AF19BB" w:rsidR="00006A93" w:rsidRPr="00006A93" w:rsidRDefault="00006A93" w:rsidP="00093C9D">
            <w:pPr>
              <w:spacing w:before="100" w:beforeAutospacing="1" w:after="100" w:afterAutospacing="1"/>
              <w:rPr>
                <w:rFonts w:asciiTheme="majorHAnsi" w:hAnsiTheme="majorHAnsi"/>
                <w:sz w:val="20"/>
                <w:szCs w:val="20"/>
              </w:rPr>
            </w:pPr>
            <w:r w:rsidRPr="00006A93">
              <w:rPr>
                <w:rFonts w:asciiTheme="majorHAnsi" w:eastAsia="Times New Roman" w:hAnsiTheme="majorHAnsi" w:cs="Arial"/>
                <w:sz w:val="20"/>
                <w:szCs w:val="20"/>
              </w:rPr>
              <w:lastRenderedPageBreak/>
              <w:t>12</w:t>
            </w:r>
          </w:p>
        </w:tc>
        <w:tc>
          <w:tcPr>
            <w:tcW w:w="1870" w:type="dxa"/>
            <w:vAlign w:val="center"/>
          </w:tcPr>
          <w:p w14:paraId="1126A49F" w14:textId="3E4BAD65" w:rsidR="00006A93" w:rsidRPr="00006A93" w:rsidRDefault="00006A93" w:rsidP="00093C9D">
            <w:pPr>
              <w:spacing w:before="100" w:beforeAutospacing="1" w:after="100" w:afterAutospacing="1"/>
              <w:rPr>
                <w:rFonts w:asciiTheme="majorHAnsi" w:hAnsiTheme="majorHAnsi"/>
                <w:sz w:val="20"/>
                <w:szCs w:val="20"/>
              </w:rPr>
            </w:pPr>
            <w:r w:rsidRPr="00006A93">
              <w:rPr>
                <w:rFonts w:asciiTheme="majorHAnsi" w:eastAsia="Times New Roman" w:hAnsiTheme="majorHAnsi" w:cs="Arial"/>
                <w:sz w:val="20"/>
                <w:szCs w:val="20"/>
              </w:rPr>
              <w:t>SC ATOS IT SOLUTIONS AND SERVICES SRL</w:t>
            </w:r>
          </w:p>
        </w:tc>
        <w:tc>
          <w:tcPr>
            <w:tcW w:w="2284" w:type="dxa"/>
            <w:vAlign w:val="center"/>
          </w:tcPr>
          <w:p w14:paraId="12861EE9" w14:textId="63044EEB" w:rsidR="00006A93" w:rsidRPr="00006A93" w:rsidRDefault="00006A93" w:rsidP="00093C9D">
            <w:pPr>
              <w:spacing w:before="100" w:beforeAutospacing="1" w:after="100" w:afterAutospacing="1"/>
              <w:rPr>
                <w:rFonts w:asciiTheme="majorHAnsi" w:hAnsiTheme="majorHAnsi"/>
                <w:sz w:val="20"/>
                <w:szCs w:val="20"/>
              </w:rPr>
            </w:pPr>
            <w:r w:rsidRPr="00006A93">
              <w:rPr>
                <w:rFonts w:asciiTheme="majorHAnsi" w:eastAsia="Times New Roman" w:hAnsiTheme="majorHAnsi" w:cs="Arial"/>
                <w:sz w:val="20"/>
                <w:szCs w:val="20"/>
              </w:rPr>
              <w:t>Activităţi de servicii în tehnologia informaţiei/</w:t>
            </w:r>
            <w:r w:rsidRPr="00006A93">
              <w:rPr>
                <w:rFonts w:asciiTheme="majorHAnsi" w:eastAsia="Times New Roman" w:hAnsiTheme="majorHAnsi" w:cs="Arial"/>
                <w:sz w:val="20"/>
                <w:szCs w:val="20"/>
              </w:rPr>
              <w:br w:type="page"/>
              <w:t>“Extinderea Centrului de Dezvoltare Iași și crearea a 200 de locuri de muncă în cadrul SC NESS ROMÂNIA S.R.L.”</w:t>
            </w:r>
            <w:r w:rsidRPr="00006A93">
              <w:rPr>
                <w:rFonts w:asciiTheme="majorHAnsi" w:eastAsia="Times New Roman" w:hAnsiTheme="majorHAnsi" w:cs="Arial"/>
                <w:sz w:val="20"/>
                <w:szCs w:val="20"/>
              </w:rPr>
              <w:br w:type="page"/>
            </w:r>
            <w:proofErr w:type="gramStart"/>
            <w:r w:rsidRPr="00006A93">
              <w:rPr>
                <w:rFonts w:asciiTheme="majorHAnsi" w:eastAsia="Times New Roman" w:hAnsiTheme="majorHAnsi" w:cs="Arial"/>
                <w:i/>
                <w:iCs/>
                <w:color w:val="0000D4"/>
                <w:sz w:val="20"/>
                <w:szCs w:val="20"/>
              </w:rPr>
              <w:t>extindere</w:t>
            </w:r>
            <w:proofErr w:type="gramEnd"/>
          </w:p>
        </w:tc>
        <w:tc>
          <w:tcPr>
            <w:tcW w:w="1592" w:type="dxa"/>
            <w:vAlign w:val="center"/>
          </w:tcPr>
          <w:p w14:paraId="3E5C9E7F" w14:textId="37546ACF" w:rsidR="00006A93" w:rsidRPr="00006A93" w:rsidRDefault="00006A93" w:rsidP="00093C9D">
            <w:pPr>
              <w:spacing w:before="100" w:beforeAutospacing="1" w:after="100" w:afterAutospacing="1"/>
              <w:rPr>
                <w:rFonts w:asciiTheme="majorHAnsi" w:hAnsiTheme="majorHAnsi"/>
                <w:sz w:val="20"/>
                <w:szCs w:val="20"/>
              </w:rPr>
            </w:pPr>
            <w:r w:rsidRPr="00006A93">
              <w:rPr>
                <w:rFonts w:asciiTheme="majorHAnsi" w:eastAsia="Times New Roman" w:hAnsiTheme="majorHAnsi" w:cs="Arial"/>
                <w:sz w:val="20"/>
                <w:szCs w:val="20"/>
              </w:rPr>
              <w:t>• Timisoara, Judeţul Timiș</w:t>
            </w:r>
            <w:r w:rsidRPr="00006A93">
              <w:rPr>
                <w:rFonts w:asciiTheme="majorHAnsi" w:eastAsia="Times New Roman" w:hAnsiTheme="majorHAnsi" w:cs="Arial"/>
                <w:sz w:val="20"/>
                <w:szCs w:val="20"/>
              </w:rPr>
              <w:br w:type="page"/>
              <w:t>• Brașov, Judetul Braşov</w:t>
            </w:r>
          </w:p>
        </w:tc>
        <w:tc>
          <w:tcPr>
            <w:tcW w:w="1270" w:type="dxa"/>
            <w:vAlign w:val="center"/>
          </w:tcPr>
          <w:p w14:paraId="02393D6A" w14:textId="1790EB02" w:rsidR="00006A93" w:rsidRPr="00006A93" w:rsidRDefault="00006A93" w:rsidP="00093C9D">
            <w:pPr>
              <w:spacing w:before="100" w:beforeAutospacing="1" w:after="100" w:afterAutospacing="1"/>
              <w:rPr>
                <w:rFonts w:asciiTheme="majorHAnsi" w:hAnsiTheme="majorHAnsi"/>
                <w:sz w:val="20"/>
                <w:szCs w:val="20"/>
              </w:rPr>
            </w:pPr>
            <w:r w:rsidRPr="00006A93">
              <w:rPr>
                <w:rFonts w:asciiTheme="majorHAnsi" w:eastAsia="Times New Roman" w:hAnsiTheme="majorHAnsi" w:cs="Arial"/>
                <w:sz w:val="20"/>
                <w:szCs w:val="20"/>
              </w:rPr>
              <w:t>6,03</w:t>
            </w:r>
          </w:p>
        </w:tc>
        <w:tc>
          <w:tcPr>
            <w:tcW w:w="947" w:type="dxa"/>
            <w:vAlign w:val="center"/>
          </w:tcPr>
          <w:p w14:paraId="68F5C5BA" w14:textId="2D945A42" w:rsidR="00006A93" w:rsidRPr="00006A93" w:rsidRDefault="00006A93" w:rsidP="00093C9D">
            <w:pPr>
              <w:spacing w:before="100" w:beforeAutospacing="1" w:after="100" w:afterAutospacing="1"/>
              <w:rPr>
                <w:rFonts w:asciiTheme="majorHAnsi" w:hAnsiTheme="majorHAnsi"/>
                <w:sz w:val="20"/>
                <w:szCs w:val="20"/>
              </w:rPr>
            </w:pPr>
            <w:r w:rsidRPr="00006A93">
              <w:rPr>
                <w:rFonts w:asciiTheme="majorHAnsi" w:eastAsia="Times New Roman" w:hAnsiTheme="majorHAnsi" w:cs="Arial"/>
                <w:sz w:val="20"/>
                <w:szCs w:val="20"/>
              </w:rPr>
              <w:t>350</w:t>
            </w:r>
          </w:p>
        </w:tc>
      </w:tr>
      <w:tr w:rsidR="00006A93" w:rsidRPr="00006A93" w14:paraId="5DE3BA21" w14:textId="77777777" w:rsidTr="00006A93">
        <w:tc>
          <w:tcPr>
            <w:tcW w:w="553" w:type="dxa"/>
            <w:vAlign w:val="center"/>
          </w:tcPr>
          <w:p w14:paraId="5B8CDDE5" w14:textId="467AFA78" w:rsidR="00006A93" w:rsidRPr="00006A93" w:rsidRDefault="00006A93" w:rsidP="00093C9D">
            <w:pPr>
              <w:spacing w:before="100" w:beforeAutospacing="1" w:after="100" w:afterAutospacing="1"/>
              <w:rPr>
                <w:rFonts w:asciiTheme="majorHAnsi" w:hAnsiTheme="majorHAnsi"/>
                <w:sz w:val="20"/>
                <w:szCs w:val="20"/>
              </w:rPr>
            </w:pPr>
            <w:r w:rsidRPr="00006A93">
              <w:rPr>
                <w:rFonts w:asciiTheme="majorHAnsi" w:eastAsia="Times New Roman" w:hAnsiTheme="majorHAnsi" w:cs="Arial"/>
                <w:sz w:val="20"/>
                <w:szCs w:val="20"/>
              </w:rPr>
              <w:t>13</w:t>
            </w:r>
          </w:p>
        </w:tc>
        <w:tc>
          <w:tcPr>
            <w:tcW w:w="1870" w:type="dxa"/>
            <w:vAlign w:val="center"/>
          </w:tcPr>
          <w:p w14:paraId="46298111" w14:textId="7847C378" w:rsidR="00006A93" w:rsidRPr="00006A93" w:rsidRDefault="00006A93" w:rsidP="00093C9D">
            <w:pPr>
              <w:spacing w:before="100" w:beforeAutospacing="1" w:after="100" w:afterAutospacing="1"/>
              <w:rPr>
                <w:rFonts w:asciiTheme="majorHAnsi" w:hAnsiTheme="majorHAnsi"/>
                <w:sz w:val="20"/>
                <w:szCs w:val="20"/>
              </w:rPr>
            </w:pPr>
            <w:r w:rsidRPr="00006A93">
              <w:rPr>
                <w:rFonts w:asciiTheme="majorHAnsi" w:eastAsia="Times New Roman" w:hAnsiTheme="majorHAnsi" w:cs="Arial"/>
                <w:sz w:val="20"/>
                <w:szCs w:val="20"/>
              </w:rPr>
              <w:t>SC ACCESA IT SYSTEMS SRL</w:t>
            </w:r>
          </w:p>
        </w:tc>
        <w:tc>
          <w:tcPr>
            <w:tcW w:w="2284" w:type="dxa"/>
            <w:vAlign w:val="center"/>
          </w:tcPr>
          <w:p w14:paraId="41495213" w14:textId="3C924E15" w:rsidR="00006A93" w:rsidRPr="00006A93" w:rsidRDefault="00006A93" w:rsidP="00093C9D">
            <w:pPr>
              <w:spacing w:before="100" w:beforeAutospacing="1" w:after="100" w:afterAutospacing="1"/>
              <w:rPr>
                <w:rFonts w:asciiTheme="majorHAnsi" w:hAnsiTheme="majorHAnsi"/>
                <w:sz w:val="20"/>
                <w:szCs w:val="20"/>
              </w:rPr>
            </w:pPr>
            <w:r w:rsidRPr="00006A93">
              <w:rPr>
                <w:rFonts w:asciiTheme="majorHAnsi" w:eastAsia="Times New Roman" w:hAnsiTheme="majorHAnsi" w:cs="Arial"/>
                <w:sz w:val="20"/>
                <w:szCs w:val="20"/>
              </w:rPr>
              <w:t>Activităţi de servicii în tehnologia informaţiei/</w:t>
            </w:r>
            <w:r w:rsidRPr="00006A93">
              <w:rPr>
                <w:rFonts w:asciiTheme="majorHAnsi" w:eastAsia="Times New Roman" w:hAnsiTheme="majorHAnsi" w:cs="Arial"/>
                <w:sz w:val="20"/>
                <w:szCs w:val="20"/>
              </w:rPr>
              <w:br/>
              <w:t xml:space="preserve">“Crearea unei noi unități de dezvoltare software care conduce la crearea de noi locuri de muncă în Cluj-Napoca” </w:t>
            </w:r>
            <w:r w:rsidRPr="00006A93">
              <w:rPr>
                <w:rFonts w:asciiTheme="majorHAnsi" w:eastAsia="Times New Roman" w:hAnsiTheme="majorHAnsi" w:cs="Arial"/>
                <w:sz w:val="20"/>
                <w:szCs w:val="20"/>
              </w:rPr>
              <w:br/>
            </w:r>
            <w:r w:rsidRPr="00006A93">
              <w:rPr>
                <w:rFonts w:asciiTheme="majorHAnsi" w:eastAsia="Times New Roman" w:hAnsiTheme="majorHAnsi" w:cs="Arial"/>
                <w:i/>
                <w:iCs/>
                <w:color w:val="0000D4"/>
                <w:sz w:val="20"/>
                <w:szCs w:val="20"/>
              </w:rPr>
              <w:t>greenfield</w:t>
            </w:r>
          </w:p>
        </w:tc>
        <w:tc>
          <w:tcPr>
            <w:tcW w:w="1592" w:type="dxa"/>
            <w:vAlign w:val="center"/>
          </w:tcPr>
          <w:p w14:paraId="34DE8822" w14:textId="53CA4F06" w:rsidR="00006A93" w:rsidRPr="00006A93" w:rsidRDefault="00006A93" w:rsidP="00093C9D">
            <w:pPr>
              <w:spacing w:before="100" w:beforeAutospacing="1" w:after="100" w:afterAutospacing="1"/>
              <w:rPr>
                <w:rFonts w:asciiTheme="majorHAnsi" w:hAnsiTheme="majorHAnsi"/>
                <w:sz w:val="20"/>
                <w:szCs w:val="20"/>
              </w:rPr>
            </w:pPr>
            <w:r w:rsidRPr="00006A93">
              <w:rPr>
                <w:rFonts w:asciiTheme="majorHAnsi" w:eastAsia="Times New Roman" w:hAnsiTheme="majorHAnsi" w:cs="Arial"/>
                <w:sz w:val="20"/>
                <w:szCs w:val="20"/>
              </w:rPr>
              <w:t>Cluj – Napoca, Judeţul Cluj</w:t>
            </w:r>
          </w:p>
        </w:tc>
        <w:tc>
          <w:tcPr>
            <w:tcW w:w="1270" w:type="dxa"/>
            <w:vAlign w:val="center"/>
          </w:tcPr>
          <w:p w14:paraId="58194309" w14:textId="2F576819" w:rsidR="00006A93" w:rsidRPr="00006A93" w:rsidRDefault="00006A93" w:rsidP="00093C9D">
            <w:pPr>
              <w:spacing w:before="100" w:beforeAutospacing="1" w:after="100" w:afterAutospacing="1"/>
              <w:rPr>
                <w:rFonts w:asciiTheme="majorHAnsi" w:hAnsiTheme="majorHAnsi"/>
                <w:sz w:val="20"/>
                <w:szCs w:val="20"/>
              </w:rPr>
            </w:pPr>
            <w:r w:rsidRPr="00006A93">
              <w:rPr>
                <w:rFonts w:asciiTheme="majorHAnsi" w:eastAsia="Times New Roman" w:hAnsiTheme="majorHAnsi" w:cs="Arial"/>
                <w:sz w:val="20"/>
                <w:szCs w:val="20"/>
              </w:rPr>
              <w:t>5,38</w:t>
            </w:r>
          </w:p>
        </w:tc>
        <w:tc>
          <w:tcPr>
            <w:tcW w:w="947" w:type="dxa"/>
            <w:vAlign w:val="center"/>
          </w:tcPr>
          <w:p w14:paraId="5C2DA36F" w14:textId="474163EB" w:rsidR="00006A93" w:rsidRPr="00006A93" w:rsidRDefault="00006A93" w:rsidP="00093C9D">
            <w:pPr>
              <w:spacing w:before="100" w:beforeAutospacing="1" w:after="100" w:afterAutospacing="1"/>
              <w:rPr>
                <w:rFonts w:asciiTheme="majorHAnsi" w:hAnsiTheme="majorHAnsi"/>
                <w:sz w:val="20"/>
                <w:szCs w:val="20"/>
              </w:rPr>
            </w:pPr>
            <w:r w:rsidRPr="00006A93">
              <w:rPr>
                <w:rFonts w:asciiTheme="majorHAnsi" w:eastAsia="Times New Roman" w:hAnsiTheme="majorHAnsi" w:cs="Arial"/>
                <w:sz w:val="20"/>
                <w:szCs w:val="20"/>
              </w:rPr>
              <w:t>215</w:t>
            </w:r>
          </w:p>
        </w:tc>
      </w:tr>
      <w:tr w:rsidR="00006A93" w:rsidRPr="00006A93" w14:paraId="6599A7B3" w14:textId="77777777" w:rsidTr="00006A93">
        <w:tc>
          <w:tcPr>
            <w:tcW w:w="553" w:type="dxa"/>
            <w:vAlign w:val="center"/>
          </w:tcPr>
          <w:p w14:paraId="046877E8" w14:textId="76E797C5" w:rsidR="00006A93" w:rsidRPr="00006A93" w:rsidRDefault="00006A93" w:rsidP="00093C9D">
            <w:pPr>
              <w:spacing w:before="100" w:beforeAutospacing="1" w:after="100" w:afterAutospacing="1"/>
              <w:rPr>
                <w:rFonts w:asciiTheme="majorHAnsi" w:hAnsiTheme="majorHAnsi"/>
                <w:sz w:val="20"/>
                <w:szCs w:val="20"/>
              </w:rPr>
            </w:pPr>
            <w:r w:rsidRPr="00006A93">
              <w:rPr>
                <w:rFonts w:asciiTheme="majorHAnsi" w:eastAsia="Times New Roman" w:hAnsiTheme="majorHAnsi" w:cs="Arial"/>
                <w:sz w:val="20"/>
                <w:szCs w:val="20"/>
              </w:rPr>
              <w:t>14</w:t>
            </w:r>
          </w:p>
        </w:tc>
        <w:tc>
          <w:tcPr>
            <w:tcW w:w="1870" w:type="dxa"/>
            <w:vAlign w:val="center"/>
          </w:tcPr>
          <w:p w14:paraId="36CCB2AF" w14:textId="7422D33E" w:rsidR="00006A93" w:rsidRPr="00006A93" w:rsidRDefault="00006A93" w:rsidP="00093C9D">
            <w:pPr>
              <w:spacing w:before="100" w:beforeAutospacing="1" w:after="100" w:afterAutospacing="1"/>
              <w:rPr>
                <w:rFonts w:asciiTheme="majorHAnsi" w:hAnsiTheme="majorHAnsi"/>
                <w:sz w:val="20"/>
                <w:szCs w:val="20"/>
              </w:rPr>
            </w:pPr>
            <w:r w:rsidRPr="00006A93">
              <w:rPr>
                <w:rFonts w:asciiTheme="majorHAnsi" w:eastAsia="Times New Roman" w:hAnsiTheme="majorHAnsi" w:cs="Arial"/>
                <w:sz w:val="20"/>
                <w:szCs w:val="20"/>
              </w:rPr>
              <w:t>SC VODAFONE TECHNOLOGIES ROMANIA SRL</w:t>
            </w:r>
          </w:p>
        </w:tc>
        <w:tc>
          <w:tcPr>
            <w:tcW w:w="2284" w:type="dxa"/>
            <w:vAlign w:val="center"/>
          </w:tcPr>
          <w:p w14:paraId="65EFAE47" w14:textId="13467964" w:rsidR="00006A93" w:rsidRPr="00006A93" w:rsidRDefault="00006A93" w:rsidP="00093C9D">
            <w:pPr>
              <w:spacing w:before="100" w:beforeAutospacing="1" w:after="100" w:afterAutospacing="1"/>
              <w:rPr>
                <w:rFonts w:asciiTheme="majorHAnsi" w:hAnsiTheme="majorHAnsi"/>
                <w:sz w:val="20"/>
                <w:szCs w:val="20"/>
              </w:rPr>
            </w:pPr>
            <w:r w:rsidRPr="00006A93">
              <w:rPr>
                <w:rFonts w:asciiTheme="majorHAnsi" w:eastAsia="Times New Roman" w:hAnsiTheme="majorHAnsi" w:cs="Arial"/>
                <w:sz w:val="20"/>
                <w:szCs w:val="20"/>
              </w:rPr>
              <w:t>Activităţi de servicii în tehnologia informaţiei/</w:t>
            </w:r>
            <w:r w:rsidRPr="00006A93">
              <w:rPr>
                <w:rFonts w:asciiTheme="majorHAnsi" w:eastAsia="Times New Roman" w:hAnsiTheme="majorHAnsi" w:cs="Arial"/>
                <w:sz w:val="20"/>
                <w:szCs w:val="20"/>
              </w:rPr>
              <w:br/>
              <w:t>"Extinderea activităţii SC VODAFONE ROMÂNIA TECHNOLOGIES SRL prin realizarea unei investiţii iniţiale constând în achiziţia de echipamente și crearea de noi locuri de muncă"</w:t>
            </w:r>
            <w:r w:rsidRPr="00006A93">
              <w:rPr>
                <w:rFonts w:asciiTheme="majorHAnsi" w:eastAsia="Times New Roman" w:hAnsiTheme="majorHAnsi" w:cs="Arial"/>
                <w:sz w:val="20"/>
                <w:szCs w:val="20"/>
              </w:rPr>
              <w:br/>
            </w:r>
            <w:r w:rsidRPr="00006A93">
              <w:rPr>
                <w:rFonts w:asciiTheme="majorHAnsi" w:eastAsia="Times New Roman" w:hAnsiTheme="majorHAnsi" w:cs="Arial"/>
                <w:i/>
                <w:iCs/>
                <w:color w:val="0000D4"/>
                <w:sz w:val="20"/>
                <w:szCs w:val="20"/>
              </w:rPr>
              <w:t>extindere</w:t>
            </w:r>
          </w:p>
        </w:tc>
        <w:tc>
          <w:tcPr>
            <w:tcW w:w="1592" w:type="dxa"/>
            <w:vAlign w:val="center"/>
          </w:tcPr>
          <w:p w14:paraId="36FDB74E" w14:textId="11ABAD80" w:rsidR="00006A93" w:rsidRPr="00006A93" w:rsidRDefault="00006A93" w:rsidP="00093C9D">
            <w:pPr>
              <w:spacing w:before="100" w:beforeAutospacing="1" w:after="100" w:afterAutospacing="1"/>
              <w:rPr>
                <w:rFonts w:asciiTheme="majorHAnsi" w:hAnsiTheme="majorHAnsi"/>
                <w:sz w:val="20"/>
                <w:szCs w:val="20"/>
              </w:rPr>
            </w:pPr>
            <w:r w:rsidRPr="00006A93">
              <w:rPr>
                <w:rFonts w:asciiTheme="majorHAnsi" w:eastAsia="Times New Roman" w:hAnsiTheme="majorHAnsi" w:cs="Arial"/>
                <w:sz w:val="20"/>
                <w:szCs w:val="20"/>
              </w:rPr>
              <w:t>Voluntari, Judeţul Ilfov</w:t>
            </w:r>
          </w:p>
        </w:tc>
        <w:tc>
          <w:tcPr>
            <w:tcW w:w="1270" w:type="dxa"/>
            <w:vAlign w:val="center"/>
          </w:tcPr>
          <w:p w14:paraId="3E6DF930" w14:textId="32A30A3C" w:rsidR="00006A93" w:rsidRPr="00006A93" w:rsidRDefault="00006A93" w:rsidP="00093C9D">
            <w:pPr>
              <w:spacing w:before="100" w:beforeAutospacing="1" w:after="100" w:afterAutospacing="1"/>
              <w:rPr>
                <w:rFonts w:asciiTheme="majorHAnsi" w:hAnsiTheme="majorHAnsi"/>
                <w:sz w:val="20"/>
                <w:szCs w:val="20"/>
              </w:rPr>
            </w:pPr>
            <w:r w:rsidRPr="00006A93">
              <w:rPr>
                <w:rFonts w:asciiTheme="majorHAnsi" w:eastAsia="Times New Roman" w:hAnsiTheme="majorHAnsi" w:cs="Arial"/>
                <w:sz w:val="20"/>
                <w:szCs w:val="20"/>
              </w:rPr>
              <w:t>8,19</w:t>
            </w:r>
          </w:p>
        </w:tc>
        <w:tc>
          <w:tcPr>
            <w:tcW w:w="947" w:type="dxa"/>
            <w:vAlign w:val="center"/>
          </w:tcPr>
          <w:p w14:paraId="1BFD75B7" w14:textId="33CC6DCC" w:rsidR="00006A93" w:rsidRPr="00006A93" w:rsidRDefault="00006A93" w:rsidP="00093C9D">
            <w:pPr>
              <w:spacing w:before="100" w:beforeAutospacing="1" w:after="100" w:afterAutospacing="1"/>
              <w:rPr>
                <w:rFonts w:asciiTheme="majorHAnsi" w:hAnsiTheme="majorHAnsi"/>
                <w:sz w:val="20"/>
                <w:szCs w:val="20"/>
              </w:rPr>
            </w:pPr>
            <w:r w:rsidRPr="00006A93">
              <w:rPr>
                <w:rFonts w:asciiTheme="majorHAnsi" w:eastAsia="Times New Roman" w:hAnsiTheme="majorHAnsi" w:cs="Arial"/>
                <w:sz w:val="20"/>
                <w:szCs w:val="20"/>
              </w:rPr>
              <w:t>450</w:t>
            </w:r>
          </w:p>
        </w:tc>
      </w:tr>
      <w:tr w:rsidR="00006A93" w:rsidRPr="00006A93" w14:paraId="3338C795" w14:textId="77777777" w:rsidTr="00006A93">
        <w:tc>
          <w:tcPr>
            <w:tcW w:w="553" w:type="dxa"/>
            <w:vAlign w:val="center"/>
          </w:tcPr>
          <w:p w14:paraId="52C35D09" w14:textId="2DB65A07" w:rsidR="00006A93" w:rsidRPr="00006A93" w:rsidRDefault="00006A93" w:rsidP="00093C9D">
            <w:pPr>
              <w:spacing w:before="100" w:beforeAutospacing="1" w:after="100" w:afterAutospacing="1"/>
              <w:rPr>
                <w:rFonts w:asciiTheme="majorHAnsi" w:hAnsiTheme="majorHAnsi"/>
                <w:sz w:val="20"/>
                <w:szCs w:val="20"/>
              </w:rPr>
            </w:pPr>
            <w:r w:rsidRPr="00006A93">
              <w:rPr>
                <w:rFonts w:asciiTheme="majorHAnsi" w:eastAsia="Times New Roman" w:hAnsiTheme="majorHAnsi" w:cs="Arial"/>
                <w:sz w:val="20"/>
                <w:szCs w:val="20"/>
              </w:rPr>
              <w:t>15</w:t>
            </w:r>
          </w:p>
        </w:tc>
        <w:tc>
          <w:tcPr>
            <w:tcW w:w="1870" w:type="dxa"/>
            <w:vAlign w:val="center"/>
          </w:tcPr>
          <w:p w14:paraId="2BD50866" w14:textId="770EED14" w:rsidR="00006A93" w:rsidRPr="00006A93" w:rsidRDefault="00006A93" w:rsidP="00093C9D">
            <w:pPr>
              <w:spacing w:before="100" w:beforeAutospacing="1" w:after="100" w:afterAutospacing="1"/>
              <w:rPr>
                <w:rFonts w:asciiTheme="majorHAnsi" w:hAnsiTheme="majorHAnsi"/>
                <w:sz w:val="20"/>
                <w:szCs w:val="20"/>
              </w:rPr>
            </w:pPr>
            <w:r w:rsidRPr="00006A93">
              <w:rPr>
                <w:rFonts w:asciiTheme="majorHAnsi" w:eastAsia="Times New Roman" w:hAnsiTheme="majorHAnsi" w:cs="Arial"/>
                <w:sz w:val="20"/>
                <w:szCs w:val="20"/>
              </w:rPr>
              <w:t xml:space="preserve">SC EMAG IT RESEARCH S.R.L. </w:t>
            </w:r>
          </w:p>
        </w:tc>
        <w:tc>
          <w:tcPr>
            <w:tcW w:w="2284" w:type="dxa"/>
            <w:vAlign w:val="center"/>
          </w:tcPr>
          <w:p w14:paraId="26AFFAA3" w14:textId="022BB583" w:rsidR="00006A93" w:rsidRPr="00006A93" w:rsidRDefault="00006A93" w:rsidP="00093C9D">
            <w:pPr>
              <w:spacing w:before="100" w:beforeAutospacing="1" w:after="100" w:afterAutospacing="1"/>
              <w:rPr>
                <w:rFonts w:asciiTheme="majorHAnsi" w:hAnsiTheme="majorHAnsi"/>
                <w:sz w:val="20"/>
                <w:szCs w:val="20"/>
              </w:rPr>
            </w:pPr>
            <w:r w:rsidRPr="00006A93">
              <w:rPr>
                <w:rFonts w:asciiTheme="majorHAnsi" w:eastAsia="Times New Roman" w:hAnsiTheme="majorHAnsi" w:cs="Arial"/>
                <w:sz w:val="20"/>
                <w:szCs w:val="20"/>
              </w:rPr>
              <w:t>Activităţi de servicii în tehnologia informaţiei/</w:t>
            </w:r>
            <w:r w:rsidRPr="00006A93">
              <w:rPr>
                <w:rFonts w:asciiTheme="majorHAnsi" w:eastAsia="Times New Roman" w:hAnsiTheme="majorHAnsi" w:cs="Arial"/>
                <w:sz w:val="20"/>
                <w:szCs w:val="20"/>
              </w:rPr>
              <w:br/>
              <w:t>"Centrul de Dezvoltare Software EMAG IT RESEARCH SRL "</w:t>
            </w:r>
            <w:r w:rsidRPr="00006A93">
              <w:rPr>
                <w:rFonts w:asciiTheme="majorHAnsi" w:eastAsia="Times New Roman" w:hAnsiTheme="majorHAnsi" w:cs="Arial"/>
                <w:sz w:val="20"/>
                <w:szCs w:val="20"/>
              </w:rPr>
              <w:br/>
            </w:r>
            <w:r w:rsidRPr="00006A93">
              <w:rPr>
                <w:rFonts w:asciiTheme="majorHAnsi" w:eastAsia="Times New Roman" w:hAnsiTheme="majorHAnsi" w:cs="Arial"/>
                <w:i/>
                <w:iCs/>
                <w:color w:val="0000D4"/>
                <w:sz w:val="20"/>
                <w:szCs w:val="20"/>
              </w:rPr>
              <w:t>greenfield</w:t>
            </w:r>
          </w:p>
        </w:tc>
        <w:tc>
          <w:tcPr>
            <w:tcW w:w="1592" w:type="dxa"/>
            <w:vAlign w:val="center"/>
          </w:tcPr>
          <w:p w14:paraId="482F00ED" w14:textId="61DF03EE" w:rsidR="00006A93" w:rsidRPr="00006A93" w:rsidRDefault="00006A93" w:rsidP="00093C9D">
            <w:pPr>
              <w:spacing w:before="100" w:beforeAutospacing="1" w:after="100" w:afterAutospacing="1"/>
              <w:rPr>
                <w:rFonts w:asciiTheme="majorHAnsi" w:hAnsiTheme="majorHAnsi"/>
                <w:sz w:val="20"/>
                <w:szCs w:val="20"/>
              </w:rPr>
            </w:pPr>
            <w:r w:rsidRPr="00006A93">
              <w:rPr>
                <w:rFonts w:asciiTheme="majorHAnsi" w:eastAsia="Times New Roman" w:hAnsiTheme="majorHAnsi" w:cs="Arial"/>
                <w:sz w:val="20"/>
                <w:szCs w:val="20"/>
              </w:rPr>
              <w:t>Voluntari, Judeţul Ilfov</w:t>
            </w:r>
          </w:p>
        </w:tc>
        <w:tc>
          <w:tcPr>
            <w:tcW w:w="1270" w:type="dxa"/>
            <w:vAlign w:val="center"/>
          </w:tcPr>
          <w:p w14:paraId="4E436966" w14:textId="449D0852" w:rsidR="00006A93" w:rsidRPr="00006A93" w:rsidRDefault="00006A93" w:rsidP="00093C9D">
            <w:pPr>
              <w:spacing w:before="100" w:beforeAutospacing="1" w:after="100" w:afterAutospacing="1"/>
              <w:rPr>
                <w:rFonts w:asciiTheme="majorHAnsi" w:hAnsiTheme="majorHAnsi"/>
                <w:sz w:val="20"/>
                <w:szCs w:val="20"/>
              </w:rPr>
            </w:pPr>
            <w:r w:rsidRPr="00006A93">
              <w:rPr>
                <w:rFonts w:asciiTheme="majorHAnsi" w:eastAsia="Times New Roman" w:hAnsiTheme="majorHAnsi" w:cs="Arial"/>
                <w:sz w:val="20"/>
                <w:szCs w:val="20"/>
              </w:rPr>
              <w:t>6,65</w:t>
            </w:r>
          </w:p>
        </w:tc>
        <w:tc>
          <w:tcPr>
            <w:tcW w:w="947" w:type="dxa"/>
            <w:vAlign w:val="center"/>
          </w:tcPr>
          <w:p w14:paraId="0B2F5E13" w14:textId="57550A21" w:rsidR="00006A93" w:rsidRPr="00006A93" w:rsidRDefault="00006A93" w:rsidP="00093C9D">
            <w:pPr>
              <w:spacing w:before="100" w:beforeAutospacing="1" w:after="100" w:afterAutospacing="1"/>
              <w:rPr>
                <w:rFonts w:asciiTheme="majorHAnsi" w:hAnsiTheme="majorHAnsi"/>
                <w:sz w:val="20"/>
                <w:szCs w:val="20"/>
              </w:rPr>
            </w:pPr>
            <w:r w:rsidRPr="00006A93">
              <w:rPr>
                <w:rFonts w:asciiTheme="majorHAnsi" w:eastAsia="Times New Roman" w:hAnsiTheme="majorHAnsi" w:cs="Arial"/>
                <w:sz w:val="20"/>
                <w:szCs w:val="20"/>
              </w:rPr>
              <w:t>203</w:t>
            </w:r>
          </w:p>
        </w:tc>
      </w:tr>
      <w:tr w:rsidR="00006A93" w:rsidRPr="00006A93" w14:paraId="4076E79A" w14:textId="77777777" w:rsidTr="00006A93">
        <w:tc>
          <w:tcPr>
            <w:tcW w:w="553" w:type="dxa"/>
            <w:vAlign w:val="center"/>
          </w:tcPr>
          <w:p w14:paraId="244D8050" w14:textId="47A882F4" w:rsidR="00006A93" w:rsidRPr="00006A93" w:rsidRDefault="00006A93" w:rsidP="00093C9D">
            <w:pPr>
              <w:spacing w:before="100" w:beforeAutospacing="1" w:after="100" w:afterAutospacing="1"/>
              <w:rPr>
                <w:rFonts w:asciiTheme="majorHAnsi" w:hAnsiTheme="majorHAnsi"/>
                <w:sz w:val="20"/>
                <w:szCs w:val="20"/>
              </w:rPr>
            </w:pPr>
            <w:r w:rsidRPr="00006A93">
              <w:rPr>
                <w:rFonts w:asciiTheme="majorHAnsi" w:eastAsia="Times New Roman" w:hAnsiTheme="majorHAnsi" w:cs="Arial"/>
                <w:sz w:val="20"/>
                <w:szCs w:val="20"/>
              </w:rPr>
              <w:t>16</w:t>
            </w:r>
          </w:p>
        </w:tc>
        <w:tc>
          <w:tcPr>
            <w:tcW w:w="1870" w:type="dxa"/>
            <w:vAlign w:val="center"/>
          </w:tcPr>
          <w:p w14:paraId="4C404717" w14:textId="12AA0657" w:rsidR="00006A93" w:rsidRPr="00006A93" w:rsidRDefault="00006A93" w:rsidP="00093C9D">
            <w:pPr>
              <w:spacing w:before="100" w:beforeAutospacing="1" w:after="100" w:afterAutospacing="1"/>
              <w:rPr>
                <w:rFonts w:asciiTheme="majorHAnsi" w:hAnsiTheme="majorHAnsi"/>
                <w:sz w:val="20"/>
                <w:szCs w:val="20"/>
              </w:rPr>
            </w:pPr>
            <w:r w:rsidRPr="00006A93">
              <w:rPr>
                <w:rFonts w:asciiTheme="majorHAnsi" w:eastAsia="Times New Roman" w:hAnsiTheme="majorHAnsi" w:cs="Arial"/>
                <w:sz w:val="20"/>
                <w:szCs w:val="20"/>
              </w:rPr>
              <w:t xml:space="preserve">SC COMPUTER GENERATED SOLUTIONS ROMÂNIA SRL </w:t>
            </w:r>
          </w:p>
        </w:tc>
        <w:tc>
          <w:tcPr>
            <w:tcW w:w="2284" w:type="dxa"/>
            <w:vAlign w:val="center"/>
          </w:tcPr>
          <w:p w14:paraId="58F428E0" w14:textId="43A6BB26" w:rsidR="00006A93" w:rsidRPr="00006A93" w:rsidRDefault="00006A93" w:rsidP="00093C9D">
            <w:pPr>
              <w:spacing w:before="100" w:beforeAutospacing="1" w:after="100" w:afterAutospacing="1"/>
              <w:rPr>
                <w:rFonts w:asciiTheme="majorHAnsi" w:hAnsiTheme="majorHAnsi"/>
                <w:sz w:val="20"/>
                <w:szCs w:val="20"/>
              </w:rPr>
            </w:pPr>
            <w:r w:rsidRPr="00006A93">
              <w:rPr>
                <w:rFonts w:asciiTheme="majorHAnsi" w:eastAsia="Times New Roman" w:hAnsiTheme="majorHAnsi" w:cs="Arial"/>
                <w:sz w:val="20"/>
                <w:szCs w:val="20"/>
              </w:rPr>
              <w:t>Activităţi de servicii în tehnologia informaţiei/</w:t>
            </w:r>
            <w:r w:rsidRPr="00006A93">
              <w:rPr>
                <w:rFonts w:asciiTheme="majorHAnsi" w:eastAsia="Times New Roman" w:hAnsiTheme="majorHAnsi" w:cs="Arial"/>
                <w:sz w:val="20"/>
                <w:szCs w:val="20"/>
              </w:rPr>
              <w:br/>
              <w:t>“Dezvoltarea capacităţii companiei Computer Generated Solutions România SRL prin extinderea unităţii de suport tehnic”</w:t>
            </w:r>
            <w:r w:rsidRPr="00006A93">
              <w:rPr>
                <w:rFonts w:asciiTheme="majorHAnsi" w:eastAsia="Times New Roman" w:hAnsiTheme="majorHAnsi" w:cs="Arial"/>
                <w:sz w:val="20"/>
                <w:szCs w:val="20"/>
              </w:rPr>
              <w:br/>
            </w:r>
            <w:r w:rsidRPr="00006A93">
              <w:rPr>
                <w:rFonts w:asciiTheme="majorHAnsi" w:eastAsia="Times New Roman" w:hAnsiTheme="majorHAnsi" w:cs="Arial"/>
                <w:i/>
                <w:iCs/>
                <w:color w:val="0000D4"/>
                <w:sz w:val="20"/>
                <w:szCs w:val="20"/>
              </w:rPr>
              <w:t>extindere</w:t>
            </w:r>
          </w:p>
        </w:tc>
        <w:tc>
          <w:tcPr>
            <w:tcW w:w="1592" w:type="dxa"/>
            <w:vAlign w:val="center"/>
          </w:tcPr>
          <w:p w14:paraId="29D10C51" w14:textId="6E666AAE" w:rsidR="00006A93" w:rsidRPr="00006A93" w:rsidRDefault="00006A93" w:rsidP="00093C9D">
            <w:pPr>
              <w:spacing w:before="100" w:beforeAutospacing="1" w:after="100" w:afterAutospacing="1"/>
              <w:rPr>
                <w:rFonts w:asciiTheme="majorHAnsi" w:hAnsiTheme="majorHAnsi"/>
                <w:sz w:val="20"/>
                <w:szCs w:val="20"/>
              </w:rPr>
            </w:pPr>
            <w:r w:rsidRPr="00006A93">
              <w:rPr>
                <w:rFonts w:asciiTheme="majorHAnsi" w:eastAsia="Times New Roman" w:hAnsiTheme="majorHAnsi" w:cs="Arial"/>
                <w:sz w:val="20"/>
                <w:szCs w:val="20"/>
              </w:rPr>
              <w:t>• București, Municipiul București</w:t>
            </w:r>
            <w:r w:rsidRPr="00006A93">
              <w:rPr>
                <w:rFonts w:asciiTheme="majorHAnsi" w:eastAsia="Times New Roman" w:hAnsiTheme="majorHAnsi" w:cs="Arial"/>
                <w:sz w:val="20"/>
                <w:szCs w:val="20"/>
              </w:rPr>
              <w:br/>
              <w:t>• Sibiu, Judeţul Sibiu</w:t>
            </w:r>
            <w:r w:rsidRPr="00006A93">
              <w:rPr>
                <w:rFonts w:asciiTheme="majorHAnsi" w:eastAsia="Times New Roman" w:hAnsiTheme="majorHAnsi" w:cs="Arial"/>
                <w:sz w:val="20"/>
                <w:szCs w:val="20"/>
              </w:rPr>
              <w:br/>
            </w:r>
            <w:proofErr w:type="gramStart"/>
            <w:r w:rsidRPr="00006A93">
              <w:rPr>
                <w:rFonts w:asciiTheme="majorHAnsi" w:eastAsia="Times New Roman" w:hAnsiTheme="majorHAnsi" w:cs="Arial"/>
                <w:sz w:val="20"/>
                <w:szCs w:val="20"/>
              </w:rPr>
              <w:t>•  Târgu</w:t>
            </w:r>
            <w:proofErr w:type="gramEnd"/>
            <w:r w:rsidRPr="00006A93">
              <w:rPr>
                <w:rFonts w:asciiTheme="majorHAnsi" w:eastAsia="Times New Roman" w:hAnsiTheme="majorHAnsi" w:cs="Arial"/>
                <w:sz w:val="20"/>
                <w:szCs w:val="20"/>
              </w:rPr>
              <w:t xml:space="preserve"> Jiu, Judeţul Gorj</w:t>
            </w:r>
          </w:p>
        </w:tc>
        <w:tc>
          <w:tcPr>
            <w:tcW w:w="1270" w:type="dxa"/>
            <w:vAlign w:val="center"/>
          </w:tcPr>
          <w:p w14:paraId="53D24B54" w14:textId="747273BE" w:rsidR="00006A93" w:rsidRPr="00006A93" w:rsidRDefault="00006A93" w:rsidP="00093C9D">
            <w:pPr>
              <w:spacing w:before="100" w:beforeAutospacing="1" w:after="100" w:afterAutospacing="1"/>
              <w:rPr>
                <w:rFonts w:asciiTheme="majorHAnsi" w:hAnsiTheme="majorHAnsi"/>
                <w:sz w:val="20"/>
                <w:szCs w:val="20"/>
              </w:rPr>
            </w:pPr>
            <w:r w:rsidRPr="00006A93">
              <w:rPr>
                <w:rFonts w:asciiTheme="majorHAnsi" w:eastAsia="Times New Roman" w:hAnsiTheme="majorHAnsi" w:cs="Arial"/>
                <w:sz w:val="20"/>
                <w:szCs w:val="20"/>
              </w:rPr>
              <w:t>3,69</w:t>
            </w:r>
          </w:p>
        </w:tc>
        <w:tc>
          <w:tcPr>
            <w:tcW w:w="947" w:type="dxa"/>
            <w:vAlign w:val="center"/>
          </w:tcPr>
          <w:p w14:paraId="45A0AF6E" w14:textId="65CF4578" w:rsidR="00006A93" w:rsidRPr="00006A93" w:rsidRDefault="00006A93" w:rsidP="00093C9D">
            <w:pPr>
              <w:spacing w:before="100" w:beforeAutospacing="1" w:after="100" w:afterAutospacing="1"/>
              <w:rPr>
                <w:rFonts w:asciiTheme="majorHAnsi" w:hAnsiTheme="majorHAnsi"/>
                <w:sz w:val="20"/>
                <w:szCs w:val="20"/>
              </w:rPr>
            </w:pPr>
            <w:r w:rsidRPr="00006A93">
              <w:rPr>
                <w:rFonts w:asciiTheme="majorHAnsi" w:eastAsia="Times New Roman" w:hAnsiTheme="majorHAnsi" w:cs="Arial"/>
                <w:sz w:val="20"/>
                <w:szCs w:val="20"/>
              </w:rPr>
              <w:t>300</w:t>
            </w:r>
          </w:p>
        </w:tc>
      </w:tr>
      <w:tr w:rsidR="00006A93" w:rsidRPr="00006A93" w14:paraId="600DBA73" w14:textId="77777777" w:rsidTr="00006A93">
        <w:tc>
          <w:tcPr>
            <w:tcW w:w="553" w:type="dxa"/>
            <w:vAlign w:val="center"/>
          </w:tcPr>
          <w:p w14:paraId="2C9FD437" w14:textId="26B49E43" w:rsidR="00006A93" w:rsidRPr="00006A93" w:rsidRDefault="00006A93" w:rsidP="00093C9D">
            <w:pPr>
              <w:spacing w:before="100" w:beforeAutospacing="1" w:after="100" w:afterAutospacing="1"/>
              <w:rPr>
                <w:rFonts w:asciiTheme="majorHAnsi" w:hAnsiTheme="majorHAnsi"/>
                <w:sz w:val="20"/>
                <w:szCs w:val="20"/>
              </w:rPr>
            </w:pPr>
            <w:r w:rsidRPr="00006A93">
              <w:rPr>
                <w:rFonts w:asciiTheme="majorHAnsi" w:eastAsia="Times New Roman" w:hAnsiTheme="majorHAnsi" w:cs="Arial"/>
                <w:sz w:val="20"/>
                <w:szCs w:val="20"/>
              </w:rPr>
              <w:t>17</w:t>
            </w:r>
          </w:p>
        </w:tc>
        <w:tc>
          <w:tcPr>
            <w:tcW w:w="1870" w:type="dxa"/>
            <w:vAlign w:val="center"/>
          </w:tcPr>
          <w:p w14:paraId="0A9D1095" w14:textId="1FC1E4A4" w:rsidR="00006A93" w:rsidRPr="00006A93" w:rsidRDefault="00006A93" w:rsidP="00093C9D">
            <w:pPr>
              <w:spacing w:before="100" w:beforeAutospacing="1" w:after="100" w:afterAutospacing="1"/>
              <w:rPr>
                <w:rFonts w:asciiTheme="majorHAnsi" w:hAnsiTheme="majorHAnsi"/>
                <w:sz w:val="20"/>
                <w:szCs w:val="20"/>
              </w:rPr>
            </w:pPr>
            <w:r w:rsidRPr="00006A93">
              <w:rPr>
                <w:rFonts w:asciiTheme="majorHAnsi" w:eastAsia="Times New Roman" w:hAnsiTheme="majorHAnsi" w:cs="Arial"/>
                <w:sz w:val="20"/>
                <w:szCs w:val="20"/>
              </w:rPr>
              <w:t xml:space="preserve">SC TEAMNET BUSINESS SERVICES </w:t>
            </w:r>
          </w:p>
        </w:tc>
        <w:tc>
          <w:tcPr>
            <w:tcW w:w="2284" w:type="dxa"/>
            <w:vAlign w:val="center"/>
          </w:tcPr>
          <w:p w14:paraId="4691EC5C" w14:textId="6A179928" w:rsidR="00006A93" w:rsidRPr="00006A93" w:rsidRDefault="00006A93" w:rsidP="00093C9D">
            <w:pPr>
              <w:spacing w:before="100" w:beforeAutospacing="1" w:after="100" w:afterAutospacing="1"/>
              <w:rPr>
                <w:rFonts w:asciiTheme="majorHAnsi" w:hAnsiTheme="majorHAnsi"/>
                <w:sz w:val="20"/>
                <w:szCs w:val="20"/>
              </w:rPr>
            </w:pPr>
            <w:r w:rsidRPr="00006A93">
              <w:rPr>
                <w:rFonts w:asciiTheme="majorHAnsi" w:eastAsia="Times New Roman" w:hAnsiTheme="majorHAnsi" w:cs="Arial"/>
                <w:sz w:val="20"/>
                <w:szCs w:val="20"/>
              </w:rPr>
              <w:t>Activităţi de servicii în tehnologia informaţiei/</w:t>
            </w:r>
            <w:r w:rsidRPr="00006A93">
              <w:rPr>
                <w:rFonts w:asciiTheme="majorHAnsi" w:eastAsia="Times New Roman" w:hAnsiTheme="majorHAnsi" w:cs="Arial"/>
                <w:sz w:val="20"/>
                <w:szCs w:val="20"/>
              </w:rPr>
              <w:br/>
              <w:t xml:space="preserve">“Extinderea activităţii Teamnet de dezvoltare de software la nivelul </w:t>
            </w:r>
            <w:r w:rsidRPr="00006A93">
              <w:rPr>
                <w:rFonts w:asciiTheme="majorHAnsi" w:eastAsia="Times New Roman" w:hAnsiTheme="majorHAnsi" w:cs="Arial"/>
                <w:sz w:val="20"/>
                <w:szCs w:val="20"/>
              </w:rPr>
              <w:lastRenderedPageBreak/>
              <w:t>Europei Centrale şi de Est”</w:t>
            </w:r>
            <w:r w:rsidRPr="00006A93">
              <w:rPr>
                <w:rFonts w:asciiTheme="majorHAnsi" w:eastAsia="Times New Roman" w:hAnsiTheme="majorHAnsi" w:cs="Arial"/>
                <w:sz w:val="20"/>
                <w:szCs w:val="20"/>
              </w:rPr>
              <w:br/>
            </w:r>
            <w:r w:rsidRPr="00006A93">
              <w:rPr>
                <w:rFonts w:asciiTheme="majorHAnsi" w:eastAsia="Times New Roman" w:hAnsiTheme="majorHAnsi" w:cs="Arial"/>
                <w:i/>
                <w:iCs/>
                <w:color w:val="0000D4"/>
                <w:sz w:val="20"/>
                <w:szCs w:val="20"/>
              </w:rPr>
              <w:t>extindere</w:t>
            </w:r>
          </w:p>
        </w:tc>
        <w:tc>
          <w:tcPr>
            <w:tcW w:w="1592" w:type="dxa"/>
            <w:vAlign w:val="center"/>
          </w:tcPr>
          <w:p w14:paraId="67256328" w14:textId="265B8ECA" w:rsidR="00006A93" w:rsidRPr="00006A93" w:rsidRDefault="00006A93" w:rsidP="00093C9D">
            <w:pPr>
              <w:spacing w:before="100" w:beforeAutospacing="1" w:after="100" w:afterAutospacing="1"/>
              <w:rPr>
                <w:rFonts w:asciiTheme="majorHAnsi" w:hAnsiTheme="majorHAnsi"/>
                <w:sz w:val="20"/>
                <w:szCs w:val="20"/>
              </w:rPr>
            </w:pPr>
            <w:r w:rsidRPr="00006A93">
              <w:rPr>
                <w:rFonts w:asciiTheme="majorHAnsi" w:eastAsia="Times New Roman" w:hAnsiTheme="majorHAnsi" w:cs="Arial"/>
                <w:sz w:val="20"/>
                <w:szCs w:val="20"/>
              </w:rPr>
              <w:lastRenderedPageBreak/>
              <w:t>• București, Municipiul București</w:t>
            </w:r>
          </w:p>
        </w:tc>
        <w:tc>
          <w:tcPr>
            <w:tcW w:w="1270" w:type="dxa"/>
            <w:vAlign w:val="center"/>
          </w:tcPr>
          <w:p w14:paraId="2059D84A" w14:textId="5BA8F9C3" w:rsidR="00006A93" w:rsidRPr="00006A93" w:rsidRDefault="00006A93" w:rsidP="00093C9D">
            <w:pPr>
              <w:spacing w:before="100" w:beforeAutospacing="1" w:after="100" w:afterAutospacing="1"/>
              <w:rPr>
                <w:rFonts w:asciiTheme="majorHAnsi" w:hAnsiTheme="majorHAnsi"/>
                <w:sz w:val="20"/>
                <w:szCs w:val="20"/>
              </w:rPr>
            </w:pPr>
            <w:r w:rsidRPr="00006A93">
              <w:rPr>
                <w:rFonts w:asciiTheme="majorHAnsi" w:eastAsia="Times New Roman" w:hAnsiTheme="majorHAnsi" w:cs="Arial"/>
                <w:sz w:val="20"/>
                <w:szCs w:val="20"/>
              </w:rPr>
              <w:t>7,60</w:t>
            </w:r>
          </w:p>
        </w:tc>
        <w:tc>
          <w:tcPr>
            <w:tcW w:w="947" w:type="dxa"/>
            <w:vAlign w:val="center"/>
          </w:tcPr>
          <w:p w14:paraId="31CB51CC" w14:textId="7C82A0A0" w:rsidR="00006A93" w:rsidRPr="00006A93" w:rsidRDefault="00006A93" w:rsidP="00093C9D">
            <w:pPr>
              <w:spacing w:before="100" w:beforeAutospacing="1" w:after="100" w:afterAutospacing="1"/>
              <w:rPr>
                <w:rFonts w:asciiTheme="majorHAnsi" w:hAnsiTheme="majorHAnsi"/>
                <w:sz w:val="20"/>
                <w:szCs w:val="20"/>
              </w:rPr>
            </w:pPr>
            <w:r w:rsidRPr="00006A93">
              <w:rPr>
                <w:rFonts w:asciiTheme="majorHAnsi" w:eastAsia="Times New Roman" w:hAnsiTheme="majorHAnsi" w:cs="Arial"/>
                <w:sz w:val="20"/>
                <w:szCs w:val="20"/>
              </w:rPr>
              <w:t>300</w:t>
            </w:r>
          </w:p>
        </w:tc>
      </w:tr>
      <w:tr w:rsidR="00006A93" w:rsidRPr="00006A93" w14:paraId="0F9CEA83" w14:textId="77777777" w:rsidTr="00006A93">
        <w:tc>
          <w:tcPr>
            <w:tcW w:w="553" w:type="dxa"/>
            <w:vAlign w:val="center"/>
          </w:tcPr>
          <w:p w14:paraId="09B6C897" w14:textId="7A283F16" w:rsidR="00006A93" w:rsidRPr="00006A93" w:rsidRDefault="00006A93" w:rsidP="00093C9D">
            <w:pPr>
              <w:spacing w:before="100" w:beforeAutospacing="1" w:after="100" w:afterAutospacing="1"/>
              <w:rPr>
                <w:rFonts w:asciiTheme="majorHAnsi" w:hAnsiTheme="majorHAnsi"/>
                <w:sz w:val="20"/>
                <w:szCs w:val="20"/>
              </w:rPr>
            </w:pPr>
            <w:r w:rsidRPr="00006A93">
              <w:rPr>
                <w:rFonts w:asciiTheme="majorHAnsi" w:eastAsia="Times New Roman" w:hAnsiTheme="majorHAnsi" w:cs="Arial"/>
                <w:sz w:val="20"/>
                <w:szCs w:val="20"/>
              </w:rPr>
              <w:lastRenderedPageBreak/>
              <w:t>18</w:t>
            </w:r>
          </w:p>
        </w:tc>
        <w:tc>
          <w:tcPr>
            <w:tcW w:w="1870" w:type="dxa"/>
            <w:vAlign w:val="center"/>
          </w:tcPr>
          <w:p w14:paraId="4439F12B" w14:textId="6C6D216C" w:rsidR="00006A93" w:rsidRPr="00006A93" w:rsidRDefault="00006A93" w:rsidP="00093C9D">
            <w:pPr>
              <w:spacing w:before="100" w:beforeAutospacing="1" w:after="100" w:afterAutospacing="1"/>
              <w:rPr>
                <w:rFonts w:asciiTheme="majorHAnsi" w:hAnsiTheme="majorHAnsi"/>
                <w:sz w:val="20"/>
                <w:szCs w:val="20"/>
              </w:rPr>
            </w:pPr>
            <w:r w:rsidRPr="00006A93">
              <w:rPr>
                <w:rFonts w:asciiTheme="majorHAnsi" w:eastAsia="Times New Roman" w:hAnsiTheme="majorHAnsi" w:cs="Arial"/>
                <w:sz w:val="20"/>
                <w:szCs w:val="20"/>
              </w:rPr>
              <w:t>SC SAP ROMÂNIA S.R.L.</w:t>
            </w:r>
          </w:p>
        </w:tc>
        <w:tc>
          <w:tcPr>
            <w:tcW w:w="2284" w:type="dxa"/>
            <w:vAlign w:val="center"/>
          </w:tcPr>
          <w:p w14:paraId="7DE5CDD1" w14:textId="2181AD82" w:rsidR="00006A93" w:rsidRPr="00006A93" w:rsidRDefault="00006A93" w:rsidP="00093C9D">
            <w:pPr>
              <w:spacing w:before="100" w:beforeAutospacing="1" w:after="100" w:afterAutospacing="1"/>
              <w:rPr>
                <w:rFonts w:asciiTheme="majorHAnsi" w:hAnsiTheme="majorHAnsi"/>
                <w:sz w:val="20"/>
                <w:szCs w:val="20"/>
              </w:rPr>
            </w:pPr>
            <w:r w:rsidRPr="00006A93">
              <w:rPr>
                <w:rFonts w:asciiTheme="majorHAnsi" w:eastAsia="Times New Roman" w:hAnsiTheme="majorHAnsi" w:cs="Arial"/>
                <w:sz w:val="20"/>
                <w:szCs w:val="20"/>
              </w:rPr>
              <w:t>Activităţi de servicii în tehnologia informaţiei/</w:t>
            </w:r>
            <w:r w:rsidRPr="00006A93">
              <w:rPr>
                <w:rFonts w:asciiTheme="majorHAnsi" w:eastAsia="Times New Roman" w:hAnsiTheme="majorHAnsi" w:cs="Arial"/>
                <w:sz w:val="20"/>
                <w:szCs w:val="20"/>
              </w:rPr>
              <w:br/>
              <w:t>“Extinderea SAP Near Shore Center România”</w:t>
            </w:r>
            <w:r w:rsidRPr="00006A93">
              <w:rPr>
                <w:rFonts w:asciiTheme="majorHAnsi" w:eastAsia="Times New Roman" w:hAnsiTheme="majorHAnsi" w:cs="Arial"/>
                <w:sz w:val="20"/>
                <w:szCs w:val="20"/>
              </w:rPr>
              <w:br/>
            </w:r>
            <w:r w:rsidRPr="00006A93">
              <w:rPr>
                <w:rFonts w:asciiTheme="majorHAnsi" w:eastAsia="Times New Roman" w:hAnsiTheme="majorHAnsi" w:cs="Arial"/>
                <w:i/>
                <w:iCs/>
                <w:color w:val="0000D4"/>
                <w:sz w:val="20"/>
                <w:szCs w:val="20"/>
              </w:rPr>
              <w:t>extindere</w:t>
            </w:r>
          </w:p>
        </w:tc>
        <w:tc>
          <w:tcPr>
            <w:tcW w:w="1592" w:type="dxa"/>
            <w:vAlign w:val="center"/>
          </w:tcPr>
          <w:p w14:paraId="7415CAE7" w14:textId="06EA0AB4" w:rsidR="00006A93" w:rsidRPr="00006A93" w:rsidRDefault="00006A93" w:rsidP="00093C9D">
            <w:pPr>
              <w:spacing w:before="100" w:beforeAutospacing="1" w:after="100" w:afterAutospacing="1"/>
              <w:rPr>
                <w:rFonts w:asciiTheme="majorHAnsi" w:hAnsiTheme="majorHAnsi"/>
                <w:sz w:val="20"/>
                <w:szCs w:val="20"/>
              </w:rPr>
            </w:pPr>
            <w:r w:rsidRPr="00006A93">
              <w:rPr>
                <w:rFonts w:asciiTheme="majorHAnsi" w:eastAsia="Times New Roman" w:hAnsiTheme="majorHAnsi" w:cs="Arial"/>
                <w:sz w:val="20"/>
                <w:szCs w:val="20"/>
              </w:rPr>
              <w:t>• București, Municipiul București</w:t>
            </w:r>
            <w:r w:rsidRPr="00006A93">
              <w:rPr>
                <w:rFonts w:asciiTheme="majorHAnsi" w:eastAsia="Times New Roman" w:hAnsiTheme="majorHAnsi" w:cs="Arial"/>
                <w:sz w:val="20"/>
                <w:szCs w:val="20"/>
              </w:rPr>
              <w:br/>
              <w:t>• Timișoara, Judeţul Timiș</w:t>
            </w:r>
            <w:r w:rsidRPr="00006A93">
              <w:rPr>
                <w:rFonts w:asciiTheme="majorHAnsi" w:eastAsia="Times New Roman" w:hAnsiTheme="majorHAnsi" w:cs="Arial"/>
                <w:sz w:val="20"/>
                <w:szCs w:val="20"/>
              </w:rPr>
              <w:br/>
              <w:t>• Cluj – Napoca, Judeţul Cluj</w:t>
            </w:r>
          </w:p>
        </w:tc>
        <w:tc>
          <w:tcPr>
            <w:tcW w:w="1270" w:type="dxa"/>
            <w:vAlign w:val="center"/>
          </w:tcPr>
          <w:p w14:paraId="0315E30D" w14:textId="3A5924D1" w:rsidR="00006A93" w:rsidRPr="00006A93" w:rsidRDefault="00006A93" w:rsidP="00093C9D">
            <w:pPr>
              <w:spacing w:before="100" w:beforeAutospacing="1" w:after="100" w:afterAutospacing="1"/>
              <w:rPr>
                <w:rFonts w:asciiTheme="majorHAnsi" w:hAnsiTheme="majorHAnsi"/>
                <w:sz w:val="20"/>
                <w:szCs w:val="20"/>
              </w:rPr>
            </w:pPr>
            <w:r w:rsidRPr="00006A93">
              <w:rPr>
                <w:rFonts w:asciiTheme="majorHAnsi" w:eastAsia="Times New Roman" w:hAnsiTheme="majorHAnsi" w:cs="Arial"/>
                <w:sz w:val="20"/>
                <w:szCs w:val="20"/>
              </w:rPr>
              <w:t>8,7</w:t>
            </w:r>
          </w:p>
        </w:tc>
        <w:tc>
          <w:tcPr>
            <w:tcW w:w="947" w:type="dxa"/>
            <w:vAlign w:val="center"/>
          </w:tcPr>
          <w:p w14:paraId="79B4292F" w14:textId="08E64829" w:rsidR="00006A93" w:rsidRPr="00006A93" w:rsidRDefault="00006A93" w:rsidP="00093C9D">
            <w:pPr>
              <w:spacing w:before="100" w:beforeAutospacing="1" w:after="100" w:afterAutospacing="1"/>
              <w:rPr>
                <w:rFonts w:asciiTheme="majorHAnsi" w:hAnsiTheme="majorHAnsi"/>
                <w:sz w:val="20"/>
                <w:szCs w:val="20"/>
              </w:rPr>
            </w:pPr>
            <w:r w:rsidRPr="00006A93">
              <w:rPr>
                <w:rFonts w:asciiTheme="majorHAnsi" w:eastAsia="Times New Roman" w:hAnsiTheme="majorHAnsi" w:cs="Arial"/>
                <w:sz w:val="20"/>
                <w:szCs w:val="20"/>
              </w:rPr>
              <w:t>255</w:t>
            </w:r>
          </w:p>
        </w:tc>
      </w:tr>
      <w:tr w:rsidR="00006A93" w:rsidRPr="00006A93" w14:paraId="170248EE" w14:textId="77777777" w:rsidTr="00006A93">
        <w:tc>
          <w:tcPr>
            <w:tcW w:w="6299" w:type="dxa"/>
            <w:gridSpan w:val="4"/>
            <w:vAlign w:val="center"/>
          </w:tcPr>
          <w:p w14:paraId="51F0C0C7" w14:textId="2D69A881" w:rsidR="00006A93" w:rsidRPr="00006A93" w:rsidRDefault="00006A93" w:rsidP="00093C9D">
            <w:pPr>
              <w:spacing w:before="100" w:beforeAutospacing="1" w:after="100" w:afterAutospacing="1"/>
              <w:rPr>
                <w:rFonts w:asciiTheme="majorHAnsi" w:hAnsiTheme="majorHAnsi"/>
                <w:b/>
                <w:sz w:val="20"/>
                <w:szCs w:val="20"/>
              </w:rPr>
            </w:pPr>
            <w:r w:rsidRPr="00006A93">
              <w:rPr>
                <w:rFonts w:asciiTheme="majorHAnsi" w:hAnsiTheme="majorHAnsi"/>
                <w:b/>
                <w:sz w:val="20"/>
                <w:szCs w:val="20"/>
              </w:rPr>
              <w:t>Total:</w:t>
            </w:r>
          </w:p>
        </w:tc>
        <w:tc>
          <w:tcPr>
            <w:tcW w:w="1270" w:type="dxa"/>
            <w:vAlign w:val="center"/>
          </w:tcPr>
          <w:p w14:paraId="1C206877" w14:textId="41577C21" w:rsidR="00006A93" w:rsidRPr="00006A93" w:rsidRDefault="00006A93" w:rsidP="00093C9D">
            <w:pPr>
              <w:spacing w:before="100" w:beforeAutospacing="1" w:after="100" w:afterAutospacing="1"/>
              <w:rPr>
                <w:rFonts w:asciiTheme="majorHAnsi" w:hAnsiTheme="majorHAnsi"/>
                <w:b/>
                <w:sz w:val="20"/>
                <w:szCs w:val="20"/>
              </w:rPr>
            </w:pPr>
            <w:r w:rsidRPr="00006A93">
              <w:rPr>
                <w:rFonts w:asciiTheme="majorHAnsi" w:hAnsiTheme="majorHAnsi"/>
                <w:b/>
                <w:sz w:val="20"/>
                <w:szCs w:val="20"/>
              </w:rPr>
              <w:t>134,26</w:t>
            </w:r>
          </w:p>
        </w:tc>
        <w:tc>
          <w:tcPr>
            <w:tcW w:w="947" w:type="dxa"/>
            <w:vAlign w:val="center"/>
          </w:tcPr>
          <w:p w14:paraId="22544C5D" w14:textId="5441E7A3" w:rsidR="00006A93" w:rsidRPr="00006A93" w:rsidRDefault="00006A93" w:rsidP="00093C9D">
            <w:pPr>
              <w:spacing w:before="100" w:beforeAutospacing="1" w:after="100" w:afterAutospacing="1"/>
              <w:rPr>
                <w:rFonts w:asciiTheme="majorHAnsi" w:hAnsiTheme="majorHAnsi"/>
                <w:b/>
                <w:sz w:val="20"/>
                <w:szCs w:val="20"/>
              </w:rPr>
            </w:pPr>
            <w:r w:rsidRPr="00006A93">
              <w:rPr>
                <w:rFonts w:asciiTheme="majorHAnsi" w:hAnsiTheme="majorHAnsi"/>
                <w:b/>
                <w:sz w:val="20"/>
                <w:szCs w:val="20"/>
              </w:rPr>
              <w:t>6.124</w:t>
            </w:r>
          </w:p>
        </w:tc>
      </w:tr>
    </w:tbl>
    <w:p w14:paraId="3B7EA206" w14:textId="6AB0AFE2" w:rsidR="00006A93" w:rsidRPr="00006A93" w:rsidRDefault="00006A93" w:rsidP="00093C9D">
      <w:pPr>
        <w:spacing w:before="100" w:beforeAutospacing="1" w:after="100" w:afterAutospacing="1"/>
        <w:rPr>
          <w:sz w:val="20"/>
          <w:szCs w:val="20"/>
        </w:rPr>
      </w:pPr>
      <w:r w:rsidRPr="00006A93">
        <w:rPr>
          <w:sz w:val="20"/>
          <w:szCs w:val="20"/>
        </w:rPr>
        <w:t xml:space="preserve">Sursa: Site-ul Ministerului Finanțelor Publice, </w:t>
      </w:r>
      <w:hyperlink r:id="rId13" w:history="1">
        <w:r w:rsidRPr="00006A93">
          <w:rPr>
            <w:rStyle w:val="Hyperlink"/>
            <w:sz w:val="20"/>
            <w:szCs w:val="20"/>
          </w:rPr>
          <w:t>www.mfinante.ro</w:t>
        </w:r>
      </w:hyperlink>
      <w:r w:rsidRPr="00006A93">
        <w:rPr>
          <w:sz w:val="20"/>
          <w:szCs w:val="20"/>
        </w:rPr>
        <w:t xml:space="preserve"> </w:t>
      </w:r>
    </w:p>
    <w:p w14:paraId="175857E8" w14:textId="77777777" w:rsidR="00006A93" w:rsidRDefault="00006A93" w:rsidP="00093C9D">
      <w:pPr>
        <w:spacing w:before="100" w:beforeAutospacing="1" w:after="100" w:afterAutospacing="1"/>
      </w:pPr>
    </w:p>
    <w:p w14:paraId="0DA07804" w14:textId="0D0D9B50" w:rsidR="00712130" w:rsidRDefault="00006A93" w:rsidP="00093C9D">
      <w:pPr>
        <w:spacing w:before="100" w:beforeAutospacing="1" w:after="100" w:afterAutospacing="1"/>
      </w:pPr>
      <w:r>
        <w:t xml:space="preserve">Din analiza acestei liste observăm că majoritatea marilor competitori din </w:t>
      </w:r>
      <w:r w:rsidR="002F5D35">
        <w:t>piața internațională TIC au dec</w:t>
      </w:r>
      <w:r>
        <w:t xml:space="preserve">is să își extindă centrele de servicii din România sau să inițieze noi centre. Aceste centre de servicii au </w:t>
      </w:r>
      <w:proofErr w:type="gramStart"/>
      <w:r>
        <w:t>un</w:t>
      </w:r>
      <w:proofErr w:type="gramEnd"/>
      <w:r>
        <w:t xml:space="preserve"> impact și asupra economiei locale prin mai multe direcții:</w:t>
      </w:r>
    </w:p>
    <w:p w14:paraId="7DDCB0E6" w14:textId="2BA38584" w:rsidR="00006A93" w:rsidRDefault="00006A93" w:rsidP="00006A93">
      <w:pPr>
        <w:pStyle w:val="ListParagraph"/>
        <w:numPr>
          <w:ilvl w:val="0"/>
          <w:numId w:val="21"/>
        </w:numPr>
        <w:spacing w:before="100" w:beforeAutospacing="1" w:after="100" w:afterAutospacing="1"/>
      </w:pPr>
      <w:r>
        <w:t>Lucrând după niște standard</w:t>
      </w:r>
      <w:r w:rsidR="002F5D35">
        <w:t>e</w:t>
      </w:r>
      <w:r>
        <w:t xml:space="preserve"> și </w:t>
      </w:r>
      <w:r w:rsidR="00A40B34">
        <w:t>proceduri</w:t>
      </w:r>
      <w:r>
        <w:t xml:space="preserve"> extrem de stricte reprezintă </w:t>
      </w:r>
      <w:proofErr w:type="gramStart"/>
      <w:r>
        <w:t>un</w:t>
      </w:r>
      <w:proofErr w:type="gramEnd"/>
      <w:r>
        <w:t xml:space="preserve"> exemplu (cu </w:t>
      </w:r>
      <w:r w:rsidR="00A40B34">
        <w:t>component</w:t>
      </w:r>
      <w:r w:rsidR="002F5D35">
        <w:t>e pozitive ş</w:t>
      </w:r>
      <w:r w:rsidR="00A40B34">
        <w:t>i negative) pentru companiile locale. Acestea pot învăța de la multinaționale și pot să își definească punctele care să le diferențieze față de companiile mari.</w:t>
      </w:r>
    </w:p>
    <w:p w14:paraId="0F9E75E8" w14:textId="0CD49317" w:rsidR="00A40B34" w:rsidRDefault="002F5D35" w:rsidP="00006A93">
      <w:pPr>
        <w:pStyle w:val="ListParagraph"/>
        <w:numPr>
          <w:ilvl w:val="0"/>
          <w:numId w:val="21"/>
        </w:numPr>
        <w:spacing w:before="100" w:beforeAutospacing="1" w:after="100" w:afterAutospacing="1"/>
      </w:pPr>
      <w:r>
        <w:t>Prin activitate</w:t>
      </w:r>
      <w:r w:rsidR="00A40B34">
        <w:t>a</w:t>
      </w:r>
      <w:r>
        <w:t xml:space="preserve"> </w:t>
      </w:r>
      <w:r w:rsidR="00A40B34">
        <w:t>lor aceste centre folosesc și servicii și bunuri oferite de companiile locale. De la servicii imobiliare și de administrare a clădirilor la utilizarea de servicii de comunicații, asistență tehnică pentru activitățile complementare, etc.</w:t>
      </w:r>
    </w:p>
    <w:p w14:paraId="6C73632A" w14:textId="521B9A78" w:rsidR="00A40B34" w:rsidRDefault="00A40B34" w:rsidP="00006A93">
      <w:pPr>
        <w:pStyle w:val="ListParagraph"/>
        <w:numPr>
          <w:ilvl w:val="0"/>
          <w:numId w:val="21"/>
        </w:numPr>
        <w:spacing w:before="100" w:beforeAutospacing="1" w:after="100" w:afterAutospacing="1"/>
      </w:pPr>
      <w:r>
        <w:t xml:space="preserve">Activitatea acestor companii are efecte asupra forței de muncă, acestea derulând programe de instruire și perfecționare. O parte </w:t>
      </w:r>
      <w:proofErr w:type="gramStart"/>
      <w:r>
        <w:t>a</w:t>
      </w:r>
      <w:proofErr w:type="gramEnd"/>
      <w:r>
        <w:t xml:space="preserve"> acelei forțe de muncă va ajunge să lucreze în companii locale, să inițieze afaceri locale, etc.</w:t>
      </w:r>
    </w:p>
    <w:p w14:paraId="486BF9AB" w14:textId="77777777" w:rsidR="00DA2A00" w:rsidRDefault="00DA2A00" w:rsidP="00093C9D">
      <w:pPr>
        <w:spacing w:before="100" w:beforeAutospacing="1" w:after="100" w:afterAutospacing="1"/>
      </w:pPr>
    </w:p>
    <w:p w14:paraId="2886EA10" w14:textId="77777777" w:rsidR="00DA2A00" w:rsidRDefault="00DA2A00" w:rsidP="00093C9D">
      <w:pPr>
        <w:spacing w:before="100" w:beforeAutospacing="1" w:after="100" w:afterAutospacing="1"/>
      </w:pPr>
    </w:p>
    <w:p w14:paraId="7A0F3026" w14:textId="70399831" w:rsidR="00DA2A00" w:rsidRPr="006A5D86" w:rsidRDefault="00DA2A00" w:rsidP="00DA2A00">
      <w:pPr>
        <w:pStyle w:val="Heading2"/>
      </w:pPr>
      <w:bookmarkStart w:id="15" w:name="_Toc290830247"/>
      <w:r w:rsidRPr="006A5D86">
        <w:t xml:space="preserve">Impactul </w:t>
      </w:r>
      <w:r>
        <w:t>finanțărilor disponibile</w:t>
      </w:r>
      <w:bookmarkEnd w:id="15"/>
    </w:p>
    <w:p w14:paraId="33BE1DE1" w14:textId="4669A936" w:rsidR="00D6018D" w:rsidRPr="00FF357A" w:rsidRDefault="00FF357A" w:rsidP="00093C9D">
      <w:pPr>
        <w:spacing w:before="100" w:beforeAutospacing="1" w:after="100" w:afterAutospacing="1"/>
        <w:rPr>
          <w:lang w:val="ro-RO"/>
        </w:rPr>
      </w:pPr>
      <w:r>
        <w:rPr>
          <w:lang w:val="ro-RO"/>
        </w:rPr>
        <w:t>În ceea ce privește impactul finanțărilor nerambursabile disponibile pentru firmele locale ca rezultat al a</w:t>
      </w:r>
      <w:r w:rsidR="002F5D35">
        <w:rPr>
          <w:lang w:val="ro-RO"/>
        </w:rPr>
        <w:t>derării României la Uniunea Euro</w:t>
      </w:r>
      <w:r>
        <w:rPr>
          <w:lang w:val="ro-RO"/>
        </w:rPr>
        <w:t xml:space="preserve">peană, o evaluare detaliată a proiectelor derulate nu există la nivel public în acest moment. O astfel de evaluare ar trebui să analizeze dimensiunea finanțărilor atrase de firmele din România, gradul în care proiectele finanțate din fonduri europene </w:t>
      </w:r>
      <w:r>
        <w:rPr>
          <w:lang w:val="ro-RO"/>
        </w:rPr>
        <w:lastRenderedPageBreak/>
        <w:t xml:space="preserve">nerambursabile și-au atins obiectivele propuse, impactul finanțărilor acordate, etc. </w:t>
      </w:r>
    </w:p>
    <w:p w14:paraId="1F8D1137" w14:textId="0EDA0330" w:rsidR="00D6018D" w:rsidRDefault="00FF357A" w:rsidP="00093C9D">
      <w:pPr>
        <w:spacing w:before="100" w:beforeAutospacing="1" w:after="100" w:afterAutospacing="1"/>
      </w:pPr>
      <w:proofErr w:type="gramStart"/>
      <w:r>
        <w:t xml:space="preserve">Informațiile publice existente se referă strict la numărul de proiecte (Cererii de finanțare) </w:t>
      </w:r>
      <w:r w:rsidR="00BA4A7F">
        <w:t>depuse.</w:t>
      </w:r>
      <w:proofErr w:type="gramEnd"/>
      <w:r w:rsidR="00BA4A7F">
        <w:t xml:space="preserve"> O analiză strict pe baz</w:t>
      </w:r>
      <w:r>
        <w:t>a</w:t>
      </w:r>
      <w:r w:rsidR="00BA4A7F">
        <w:t xml:space="preserve"> </w:t>
      </w:r>
      <w:r>
        <w:t xml:space="preserve">acestui indicator </w:t>
      </w:r>
      <w:proofErr w:type="gramStart"/>
      <w:r>
        <w:t>este</w:t>
      </w:r>
      <w:proofErr w:type="gramEnd"/>
      <w:r>
        <w:t xml:space="preserve"> relevantă deoarece putem presupune că proporțiile privind impactul și dimensiunea financiară se păstr</w:t>
      </w:r>
      <w:r w:rsidR="00BA4A7F">
        <w:t xml:space="preserve">ează. O sinteză </w:t>
      </w:r>
      <w:proofErr w:type="gramStart"/>
      <w:r w:rsidR="00BA4A7F">
        <w:t>a</w:t>
      </w:r>
      <w:proofErr w:type="gramEnd"/>
      <w:r w:rsidR="00BA4A7F">
        <w:t xml:space="preserve"> acesto</w:t>
      </w:r>
      <w:r>
        <w:t>r informații este</w:t>
      </w:r>
      <w:r w:rsidR="00BA4A7F">
        <w:t xml:space="preserve"> reprezentată de următorul graf</w:t>
      </w:r>
      <w:r>
        <w:t>ic.</w:t>
      </w:r>
    </w:p>
    <w:p w14:paraId="5A872694" w14:textId="77777777" w:rsidR="00FF357A" w:rsidRDefault="00FF357A" w:rsidP="00093C9D">
      <w:pPr>
        <w:spacing w:before="100" w:beforeAutospacing="1" w:after="100" w:afterAutospacing="1"/>
      </w:pPr>
    </w:p>
    <w:p w14:paraId="0DDFD755" w14:textId="776C6C2E" w:rsidR="00FF357A" w:rsidRPr="00F01014" w:rsidRDefault="00FF357A" w:rsidP="00FF357A">
      <w:pPr>
        <w:pStyle w:val="Caption"/>
        <w:rPr>
          <w:sz w:val="20"/>
          <w:szCs w:val="20"/>
        </w:rPr>
      </w:pPr>
      <w:bookmarkStart w:id="16" w:name="_Toc268209607"/>
      <w:r w:rsidRPr="00F01014">
        <w:rPr>
          <w:sz w:val="20"/>
          <w:szCs w:val="20"/>
        </w:rPr>
        <w:t xml:space="preserve">Figura  </w:t>
      </w:r>
      <w:r w:rsidRPr="00F01014">
        <w:rPr>
          <w:sz w:val="20"/>
          <w:szCs w:val="20"/>
        </w:rPr>
        <w:fldChar w:fldCharType="begin"/>
      </w:r>
      <w:r w:rsidRPr="00F01014">
        <w:rPr>
          <w:sz w:val="20"/>
          <w:szCs w:val="20"/>
        </w:rPr>
        <w:instrText xml:space="preserve"> SEQ Figura_ \* ARABIC </w:instrText>
      </w:r>
      <w:r w:rsidRPr="00F01014">
        <w:rPr>
          <w:sz w:val="20"/>
          <w:szCs w:val="20"/>
        </w:rPr>
        <w:fldChar w:fldCharType="separate"/>
      </w:r>
      <w:r w:rsidR="006D5CC0">
        <w:rPr>
          <w:noProof/>
          <w:sz w:val="20"/>
          <w:szCs w:val="20"/>
        </w:rPr>
        <w:t>1</w:t>
      </w:r>
      <w:r w:rsidRPr="00F01014">
        <w:rPr>
          <w:sz w:val="20"/>
          <w:szCs w:val="20"/>
        </w:rPr>
        <w:fldChar w:fldCharType="end"/>
      </w:r>
      <w:r w:rsidR="00BA4A7F">
        <w:rPr>
          <w:sz w:val="20"/>
          <w:szCs w:val="20"/>
        </w:rPr>
        <w:t xml:space="preserve"> Numărul de ce</w:t>
      </w:r>
      <w:r w:rsidRPr="00F01014">
        <w:rPr>
          <w:sz w:val="20"/>
          <w:szCs w:val="20"/>
        </w:rPr>
        <w:t xml:space="preserve">reri de finanțare depuse de entități private în cadrul apelurilor derulate în POS CCE Axa </w:t>
      </w:r>
      <w:r w:rsidR="00BA4A7F">
        <w:rPr>
          <w:sz w:val="20"/>
          <w:szCs w:val="20"/>
        </w:rPr>
        <w:t>p</w:t>
      </w:r>
      <w:r w:rsidRPr="00F01014">
        <w:rPr>
          <w:sz w:val="20"/>
          <w:szCs w:val="20"/>
        </w:rPr>
        <w:t xml:space="preserve">rioritară </w:t>
      </w:r>
      <w:r w:rsidR="00F01014" w:rsidRPr="00F01014">
        <w:rPr>
          <w:sz w:val="20"/>
          <w:szCs w:val="20"/>
        </w:rPr>
        <w:t>III</w:t>
      </w:r>
      <w:bookmarkEnd w:id="16"/>
    </w:p>
    <w:p w14:paraId="5F548A01" w14:textId="40816C8E" w:rsidR="00FF357A" w:rsidRDefault="001A726D" w:rsidP="00093C9D">
      <w:pPr>
        <w:spacing w:before="100" w:beforeAutospacing="1" w:after="100" w:afterAutospacing="1"/>
      </w:pPr>
      <w:r>
        <w:rPr>
          <w:noProof/>
        </w:rPr>
        <w:drawing>
          <wp:inline distT="0" distB="0" distL="0" distR="0" wp14:anchorId="1C6BB9CB" wp14:editId="6DF65F60">
            <wp:extent cx="5153925" cy="2501026"/>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71943" cy="2509769"/>
                    </a:xfrm>
                    <a:prstGeom prst="rect">
                      <a:avLst/>
                    </a:prstGeom>
                    <a:noFill/>
                  </pic:spPr>
                </pic:pic>
              </a:graphicData>
            </a:graphic>
          </wp:inline>
        </w:drawing>
      </w:r>
    </w:p>
    <w:p w14:paraId="42340B71" w14:textId="6BE98733" w:rsidR="00F01014" w:rsidRPr="00F01014" w:rsidRDefault="00F01014" w:rsidP="00F01014">
      <w:pPr>
        <w:spacing w:before="100" w:beforeAutospacing="1" w:after="100" w:afterAutospacing="1"/>
        <w:jc w:val="center"/>
        <w:rPr>
          <w:sz w:val="20"/>
          <w:szCs w:val="20"/>
        </w:rPr>
      </w:pPr>
      <w:r w:rsidRPr="00F01014">
        <w:rPr>
          <w:sz w:val="20"/>
          <w:szCs w:val="20"/>
        </w:rPr>
        <w:t xml:space="preserve">Sursa: Site-ul OIPSI, </w:t>
      </w:r>
      <w:hyperlink r:id="rId15" w:history="1">
        <w:r w:rsidRPr="00F01014">
          <w:rPr>
            <w:rStyle w:val="Hyperlink"/>
            <w:sz w:val="20"/>
            <w:szCs w:val="20"/>
          </w:rPr>
          <w:t>http://fonduri.mcsi.ro</w:t>
        </w:r>
      </w:hyperlink>
    </w:p>
    <w:p w14:paraId="61A7D334" w14:textId="77777777" w:rsidR="00F01014" w:rsidRDefault="00F01014" w:rsidP="00093C9D">
      <w:pPr>
        <w:spacing w:before="100" w:beforeAutospacing="1" w:after="100" w:afterAutospacing="1"/>
      </w:pPr>
    </w:p>
    <w:p w14:paraId="520EBB4E" w14:textId="2F140B74" w:rsidR="00F01014" w:rsidRDefault="00F01014" w:rsidP="00093C9D">
      <w:pPr>
        <w:spacing w:before="100" w:beforeAutospacing="1" w:after="100" w:afterAutospacing="1"/>
      </w:pPr>
      <w:r>
        <w:t>Obse</w:t>
      </w:r>
      <w:r w:rsidR="00422C71">
        <w:t>rvăm din acest graf</w:t>
      </w:r>
      <w:r>
        <w:t>ic că în apelul 2 de proiecte numărul de cereri de finanțare înregistrate a crescut de peste 14 ori pentru operațiunea 3</w:t>
      </w:r>
      <w:r w:rsidR="00BA4A7F">
        <w:t>.</w:t>
      </w:r>
      <w:r>
        <w:t>3</w:t>
      </w:r>
      <w:r w:rsidR="00BA4A7F">
        <w:t>.</w:t>
      </w:r>
      <w:r>
        <w:t xml:space="preserve">2 - </w:t>
      </w:r>
      <w:r w:rsidRPr="00F01014">
        <w:t>Suport pentru dezvoltarea sistemelor de comerţ electronic şi a altor soluţii electronice pentru afaceri</w:t>
      </w:r>
      <w:r>
        <w:t>, de peste 5 ori pentru operațiunea 3</w:t>
      </w:r>
      <w:r w:rsidR="00BA4A7F">
        <w:t>.</w:t>
      </w:r>
      <w:r>
        <w:t>3</w:t>
      </w:r>
      <w:r w:rsidR="00BA4A7F">
        <w:t>.</w:t>
      </w:r>
      <w:r>
        <w:t xml:space="preserve">1- </w:t>
      </w:r>
      <w:r w:rsidRPr="00F01014">
        <w:t>Suport pentru implementarea sistemelor informatice integrate şi a altor aplicaţii electronice pentru managementul afacerilor</w:t>
      </w:r>
      <w:r>
        <w:t xml:space="preserve"> și de peste 4 ori pentru operațiunea 3</w:t>
      </w:r>
      <w:r w:rsidR="00BA4A7F">
        <w:t>.</w:t>
      </w:r>
      <w:r>
        <w:t>1</w:t>
      </w:r>
      <w:r w:rsidR="00BA4A7F">
        <w:t>.</w:t>
      </w:r>
      <w:r>
        <w:t xml:space="preserve">1 - </w:t>
      </w:r>
      <w:r w:rsidRPr="00F01014">
        <w:t>Sprijinirea accesului la broadband şi la serviciile conexe</w:t>
      </w:r>
      <w:r>
        <w:t>.</w:t>
      </w:r>
    </w:p>
    <w:p w14:paraId="337A77D1" w14:textId="266F8F1C" w:rsidR="00422C71" w:rsidRDefault="00422C71" w:rsidP="00093C9D">
      <w:pPr>
        <w:spacing w:before="100" w:beforeAutospacing="1" w:after="100" w:afterAutospacing="1"/>
      </w:pPr>
      <w:r>
        <w:t>Aceste creșteri seminificative indică o creștere a vizibilității fondurilor europene nerambursabile dispon</w:t>
      </w:r>
      <w:r w:rsidR="000A0371">
        <w:t xml:space="preserve">ibile, precum şi </w:t>
      </w:r>
      <w:proofErr w:type="gramStart"/>
      <w:r w:rsidR="000A0371">
        <w:t>a</w:t>
      </w:r>
      <w:proofErr w:type="gramEnd"/>
      <w:r w:rsidR="000A0371">
        <w:t xml:space="preserve"> accesibilitaţii lor. Din pă</w:t>
      </w:r>
      <w:r>
        <w:t xml:space="preserve">cate principalele puncte de </w:t>
      </w:r>
      <w:r w:rsidR="000A0371">
        <w:t xml:space="preserve">reducere </w:t>
      </w:r>
      <w:proofErr w:type="gramStart"/>
      <w:r w:rsidR="000A0371">
        <w:t>a</w:t>
      </w:r>
      <w:proofErr w:type="gramEnd"/>
      <w:r w:rsidR="000A0371">
        <w:t xml:space="preserve"> impactului şi eficienţei acestor fonduri îl reprezintă schimbările legislative permanente în acest domeniu, o birocraţie excesivă ş</w:t>
      </w:r>
      <w:r>
        <w:t>i perioade extrem de l</w:t>
      </w:r>
      <w:r w:rsidR="000A0371">
        <w:t>ungi de evaluare a proiectelor ş</w:t>
      </w:r>
      <w:r>
        <w:t>i a Cererilor de rambursare aferente acestora</w:t>
      </w:r>
      <w:r w:rsidR="000A0371">
        <w:t>.</w:t>
      </w:r>
    </w:p>
    <w:p w14:paraId="08ED3025" w14:textId="77777777" w:rsidR="00422C71" w:rsidRDefault="00422C71" w:rsidP="00093C9D">
      <w:pPr>
        <w:spacing w:before="100" w:beforeAutospacing="1" w:after="100" w:afterAutospacing="1"/>
      </w:pPr>
    </w:p>
    <w:p w14:paraId="15C052C3" w14:textId="75B51262" w:rsidR="00422C71" w:rsidRPr="00422C71" w:rsidRDefault="004B5BDD" w:rsidP="00422C71">
      <w:pPr>
        <w:pStyle w:val="Heading1"/>
        <w:rPr>
          <w:rStyle w:val="BookTitle"/>
          <w:b/>
          <w:bCs/>
          <w:smallCaps w:val="0"/>
          <w:spacing w:val="0"/>
        </w:rPr>
      </w:pPr>
      <w:bookmarkStart w:id="17" w:name="_Toc290830248"/>
      <w:r>
        <w:rPr>
          <w:rStyle w:val="BookTitle"/>
          <w:b/>
          <w:bCs/>
          <w:smallCaps w:val="0"/>
          <w:spacing w:val="0"/>
        </w:rPr>
        <w:lastRenderedPageBreak/>
        <w:t>Concluzii ş</w:t>
      </w:r>
      <w:r w:rsidR="00422C71" w:rsidRPr="00422C71">
        <w:rPr>
          <w:rStyle w:val="BookTitle"/>
          <w:b/>
          <w:bCs/>
          <w:smallCaps w:val="0"/>
          <w:spacing w:val="0"/>
        </w:rPr>
        <w:t>i recomand</w:t>
      </w:r>
      <w:r>
        <w:rPr>
          <w:rStyle w:val="BookTitle"/>
          <w:b/>
          <w:bCs/>
          <w:smallCaps w:val="0"/>
          <w:spacing w:val="0"/>
        </w:rPr>
        <w:t>ă</w:t>
      </w:r>
      <w:r w:rsidR="00422C71" w:rsidRPr="00422C71">
        <w:rPr>
          <w:rStyle w:val="BookTitle"/>
          <w:b/>
          <w:bCs/>
          <w:smallCaps w:val="0"/>
          <w:spacing w:val="0"/>
        </w:rPr>
        <w:t>ri</w:t>
      </w:r>
      <w:bookmarkEnd w:id="17"/>
    </w:p>
    <w:p w14:paraId="493F360F" w14:textId="5EFE0315" w:rsidR="00FF357A" w:rsidRPr="006A5D86" w:rsidRDefault="00422C71" w:rsidP="00093C9D">
      <w:pPr>
        <w:spacing w:before="100" w:beforeAutospacing="1" w:after="100" w:afterAutospacing="1"/>
      </w:pPr>
      <w:r>
        <w:t xml:space="preserve">Aderarea României la Uniunea Europeană </w:t>
      </w:r>
      <w:proofErr w:type="gramStart"/>
      <w:r>
        <w:t>a</w:t>
      </w:r>
      <w:proofErr w:type="gramEnd"/>
      <w:r>
        <w:t xml:space="preserve"> avu</w:t>
      </w:r>
      <w:r w:rsidR="004B5BDD">
        <w:t>t o combinație de implicații poz</w:t>
      </w:r>
      <w:r>
        <w:t xml:space="preserve">itive și negative. </w:t>
      </w:r>
      <w:proofErr w:type="gramStart"/>
      <w:r>
        <w:t>În acest moment nu există date publice care să ne permit</w:t>
      </w:r>
      <w:r w:rsidR="004B5BDD">
        <w:t>ă</w:t>
      </w:r>
      <w:r>
        <w:t xml:space="preserve"> să analizăm în mod </w:t>
      </w:r>
      <w:r w:rsidR="00A342E3">
        <w:t>indubitabil</w:t>
      </w:r>
      <w:r>
        <w:t xml:space="preserve"> multe din componentele aderării (în special nu putem să evaluăm eficiența și eficacitatea fondurilor nerambursabile atrase de companiile din </w:t>
      </w:r>
      <w:r w:rsidR="00A342E3">
        <w:t>România).</w:t>
      </w:r>
      <w:proofErr w:type="gramEnd"/>
      <w:r w:rsidR="00A342E3">
        <w:t xml:space="preserve"> </w:t>
      </w:r>
    </w:p>
    <w:p w14:paraId="78D9A5D0" w14:textId="394D03F0" w:rsidR="00DD4DA6" w:rsidRDefault="00A342E3" w:rsidP="00093C9D">
      <w:pPr>
        <w:spacing w:before="100" w:beforeAutospacing="1" w:after="100" w:afterAutospacing="1"/>
      </w:pPr>
      <w:r>
        <w:t xml:space="preserve">O altă </w:t>
      </w:r>
      <w:r w:rsidRPr="00895084">
        <w:t xml:space="preserve">problemă majoră în evaluarea impactului aderării o constituie identificarea și evaluarea scenariului </w:t>
      </w:r>
      <w:r w:rsidRPr="00895084">
        <w:rPr>
          <w:i/>
        </w:rPr>
        <w:t>Dacă nu am fi aderat</w:t>
      </w:r>
      <w:r w:rsidR="004B5BDD" w:rsidRPr="00895084">
        <w:t>. Este greu să avem o evaluare c</w:t>
      </w:r>
      <w:r w:rsidR="00895084" w:rsidRPr="00895084">
        <w:t>al</w:t>
      </w:r>
      <w:r w:rsidR="004B5BDD" w:rsidRPr="00895084">
        <w:t>itativă a acestui scenariu</w:t>
      </w:r>
      <w:r w:rsidRPr="00895084">
        <w:t xml:space="preserve"> pentru că el ar determina o serie de</w:t>
      </w:r>
      <w:r w:rsidR="004B5BDD" w:rsidRPr="00895084">
        <w:t xml:space="preserve"> incertitudini, de parametri </w:t>
      </w:r>
      <w:proofErr w:type="gramStart"/>
      <w:r w:rsidR="004B5BDD" w:rsidRPr="00895084">
        <w:t>c</w:t>
      </w:r>
      <w:r w:rsidRPr="00895084">
        <w:t>e</w:t>
      </w:r>
      <w:proofErr w:type="gramEnd"/>
      <w:r w:rsidR="004B5BDD" w:rsidRPr="00895084">
        <w:t xml:space="preserve"> </w:t>
      </w:r>
      <w:r w:rsidRPr="00895084">
        <w:t xml:space="preserve">ar trebui definiți. De exemplu </w:t>
      </w:r>
      <w:proofErr w:type="gramStart"/>
      <w:r w:rsidRPr="00895084">
        <w:t>ce</w:t>
      </w:r>
      <w:proofErr w:type="gramEnd"/>
      <w:r w:rsidRPr="00895084">
        <w:t xml:space="preserve"> model economic ar fi adoptat România</w:t>
      </w:r>
      <w:r>
        <w:t xml:space="preserve"> într-un astfel de caz? Care ar fi fost relația cu marile puteri economice și politice ale lumii? ș.a.m.d. </w:t>
      </w:r>
    </w:p>
    <w:p w14:paraId="5D99F98F" w14:textId="71BD8FF9" w:rsidR="00A342E3" w:rsidRDefault="00A342E3" w:rsidP="00093C9D">
      <w:pPr>
        <w:spacing w:before="100" w:beforeAutospacing="1" w:after="100" w:afterAutospacing="1"/>
      </w:pPr>
      <w:r>
        <w:t>Cu toate aceste incertitudini și ne</w:t>
      </w:r>
      <w:r w:rsidR="004B5BDD">
        <w:t>lcarități, pe baza celor descri</w:t>
      </w:r>
      <w:r>
        <w:t>s</w:t>
      </w:r>
      <w:r w:rsidR="004B5BDD">
        <w:t>e</w:t>
      </w:r>
      <w:r>
        <w:t xml:space="preserve"> în captolele anterioare putem trage concluzia că per total, la nivelul societății, impactul </w:t>
      </w:r>
      <w:r w:rsidR="004B5BDD">
        <w:t xml:space="preserve">aderării României la Uniunea Europeană asupra firmelor locale </w:t>
      </w:r>
      <w:r>
        <w:t xml:space="preserve">este unul pozitiv, care a adus mai multe beneficii decât dezavantaje. Cele mai mari beneficii sunt legate de credibilitatea mediului economic local, de </w:t>
      </w:r>
      <w:proofErr w:type="gramStart"/>
      <w:r>
        <w:t>un</w:t>
      </w:r>
      <w:proofErr w:type="gramEnd"/>
      <w:r>
        <w:t xml:space="preserve"> cadru de reglementare mai stabil și predictibil din anumite puncte de vedere. Toț</w:t>
      </w:r>
      <w:r w:rsidR="004B5BDD">
        <w:t>i</w:t>
      </w:r>
      <w:r>
        <w:t xml:space="preserve"> acești factori au determinat in</w:t>
      </w:r>
      <w:r w:rsidR="004B5BDD">
        <w:t>clusiv</w:t>
      </w:r>
      <w:r>
        <w:t xml:space="preserve"> o creștere </w:t>
      </w:r>
      <w:proofErr w:type="gramStart"/>
      <w:r>
        <w:t>a</w:t>
      </w:r>
      <w:proofErr w:type="gramEnd"/>
      <w:r>
        <w:t xml:space="preserve"> interesului mar</w:t>
      </w:r>
      <w:r w:rsidR="00FD0C4C">
        <w:t>i</w:t>
      </w:r>
      <w:r>
        <w:t>lor companii multinaționale în a-și dezvolta afaceri</w:t>
      </w:r>
      <w:r w:rsidR="00FD0C4C">
        <w:t>l</w:t>
      </w:r>
      <w:r>
        <w:t xml:space="preserve">e în România, inclusiv prin stabilirarea de centre de servicii și lărgirea bazei de parteneri. </w:t>
      </w:r>
    </w:p>
    <w:p w14:paraId="7150D562" w14:textId="5E6DD26B" w:rsidR="00A342E3" w:rsidRDefault="00A342E3" w:rsidP="00093C9D">
      <w:pPr>
        <w:spacing w:before="100" w:beforeAutospacing="1" w:after="100" w:afterAutospacing="1"/>
      </w:pPr>
      <w:r>
        <w:t xml:space="preserve">Pentru viitor ar trebui ca factorii de decizie să ia măsurile necesare </w:t>
      </w:r>
      <w:r w:rsidR="006943AB">
        <w:t>astfel încât sumele a</w:t>
      </w:r>
      <w:r>
        <w:t xml:space="preserve">locate către firme care doresc să implementeze un proiect TIC la ele sau la </w:t>
      </w:r>
      <w:proofErr w:type="gramStart"/>
      <w:r>
        <w:t>clienții  lor</w:t>
      </w:r>
      <w:proofErr w:type="gramEnd"/>
      <w:r>
        <w:t xml:space="preserve"> să crească. Pentru a avea</w:t>
      </w:r>
      <w:r w:rsidR="00AC4412">
        <w:t xml:space="preserve"> </w:t>
      </w:r>
      <w:proofErr w:type="gramStart"/>
      <w:r w:rsidR="00AC4412">
        <w:t>un</w:t>
      </w:r>
      <w:proofErr w:type="gramEnd"/>
      <w:r w:rsidR="00AC4412">
        <w:t xml:space="preserve"> impact real ar trebui crescută și rata de absorbție a fondurilor europene nerambursabile.</w:t>
      </w:r>
    </w:p>
    <w:p w14:paraId="3B3E6C4E" w14:textId="3DDEB8E5" w:rsidR="00AC4412" w:rsidRDefault="00AC4412" w:rsidP="00093C9D">
      <w:pPr>
        <w:spacing w:before="100" w:beforeAutospacing="1" w:after="100" w:afterAutospacing="1"/>
      </w:pPr>
      <w:r>
        <w:t>O component</w:t>
      </w:r>
      <w:r w:rsidR="006943AB">
        <w:t>ă</w:t>
      </w:r>
      <w:r>
        <w:t xml:space="preserve"> importantă c</w:t>
      </w:r>
      <w:r w:rsidR="006943AB">
        <w:t>ă</w:t>
      </w:r>
      <w:r>
        <w:t>reia dacă România i-ar da atenție ar put</w:t>
      </w:r>
      <w:r w:rsidR="006943AB">
        <w:t>e</w:t>
      </w:r>
      <w:r>
        <w:t>a reprezenta un motor puternic și sustenabil de dezvoltare a componentei TIC a economiei românești o constituie fondurile pentru cercetare și inovare și sprijinirea parteneriatelor transnaționale în vederea inițierii și</w:t>
      </w:r>
      <w:r w:rsidR="006943AB">
        <w:t xml:space="preserve"> implementării unor proiecte ino</w:t>
      </w:r>
      <w:r>
        <w:t>vative.</w:t>
      </w:r>
    </w:p>
    <w:p w14:paraId="2917FD5A" w14:textId="13ABC648" w:rsidR="00AC4412" w:rsidRDefault="00AC4412">
      <w:r>
        <w:br w:type="page"/>
      </w:r>
    </w:p>
    <w:p w14:paraId="329652A4" w14:textId="37676C72" w:rsidR="00AC4412" w:rsidRDefault="00AC4412" w:rsidP="00AC4412">
      <w:pPr>
        <w:pStyle w:val="Heading1"/>
        <w:numPr>
          <w:ilvl w:val="0"/>
          <w:numId w:val="0"/>
        </w:numPr>
        <w:ind w:left="720"/>
      </w:pPr>
      <w:bookmarkStart w:id="18" w:name="_Toc290830249"/>
      <w:r>
        <w:lastRenderedPageBreak/>
        <w:t>Lista tabelelor:</w:t>
      </w:r>
      <w:bookmarkEnd w:id="18"/>
    </w:p>
    <w:p w14:paraId="3F912A88" w14:textId="77777777" w:rsidR="00AC4412" w:rsidRDefault="00AC4412">
      <w:pPr>
        <w:pStyle w:val="TableofFigures"/>
        <w:tabs>
          <w:tab w:val="right" w:leader="dot" w:pos="8290"/>
        </w:tabs>
        <w:rPr>
          <w:noProof/>
          <w:lang w:eastAsia="ja-JP"/>
        </w:rPr>
      </w:pPr>
      <w:r>
        <w:fldChar w:fldCharType="begin"/>
      </w:r>
      <w:r>
        <w:instrText xml:space="preserve"> TOC \c "Tabel" </w:instrText>
      </w:r>
      <w:r>
        <w:fldChar w:fldCharType="separate"/>
      </w:r>
      <w:r>
        <w:rPr>
          <w:noProof/>
        </w:rPr>
        <w:t>Tabel 5</w:t>
      </w:r>
      <w:r>
        <w:rPr>
          <w:noProof/>
        </w:rPr>
        <w:noBreakHyphen/>
        <w:t>1 Situatia fondurilorstructurale și de coeziune alocate pentru perioada 2007 - 2013, a stadiului cheltuirii lor și a fondurilor alocate pentru perioada 2014 - 2020</w:t>
      </w:r>
      <w:r>
        <w:rPr>
          <w:noProof/>
        </w:rPr>
        <w:tab/>
      </w:r>
      <w:r>
        <w:rPr>
          <w:noProof/>
        </w:rPr>
        <w:fldChar w:fldCharType="begin"/>
      </w:r>
      <w:r>
        <w:rPr>
          <w:noProof/>
        </w:rPr>
        <w:instrText xml:space="preserve"> PAGEREF _Toc268209648 \h </w:instrText>
      </w:r>
      <w:r>
        <w:rPr>
          <w:noProof/>
        </w:rPr>
      </w:r>
      <w:r>
        <w:rPr>
          <w:noProof/>
        </w:rPr>
        <w:fldChar w:fldCharType="separate"/>
      </w:r>
      <w:r w:rsidR="006D5CC0">
        <w:rPr>
          <w:noProof/>
        </w:rPr>
        <w:t>9</w:t>
      </w:r>
      <w:r>
        <w:rPr>
          <w:noProof/>
        </w:rPr>
        <w:fldChar w:fldCharType="end"/>
      </w:r>
    </w:p>
    <w:p w14:paraId="3F196917" w14:textId="77777777" w:rsidR="00AC4412" w:rsidRDefault="00AC4412">
      <w:pPr>
        <w:pStyle w:val="TableofFigures"/>
        <w:tabs>
          <w:tab w:val="right" w:leader="dot" w:pos="8290"/>
        </w:tabs>
        <w:rPr>
          <w:noProof/>
          <w:lang w:eastAsia="ja-JP"/>
        </w:rPr>
      </w:pPr>
      <w:r>
        <w:rPr>
          <w:noProof/>
        </w:rPr>
        <w:t>Tabel 7</w:t>
      </w:r>
      <w:r>
        <w:rPr>
          <w:noProof/>
        </w:rPr>
        <w:noBreakHyphen/>
        <w:t>1 Lista proiectelor aprobate în cadrul schemei de ajutor de stat adoptată prin HG 979 / 2012</w:t>
      </w:r>
      <w:r>
        <w:rPr>
          <w:noProof/>
        </w:rPr>
        <w:tab/>
      </w:r>
      <w:r>
        <w:rPr>
          <w:noProof/>
        </w:rPr>
        <w:fldChar w:fldCharType="begin"/>
      </w:r>
      <w:r>
        <w:rPr>
          <w:noProof/>
        </w:rPr>
        <w:instrText xml:space="preserve"> PAGEREF _Toc268209649 \h </w:instrText>
      </w:r>
      <w:r>
        <w:rPr>
          <w:noProof/>
        </w:rPr>
      </w:r>
      <w:r>
        <w:rPr>
          <w:noProof/>
        </w:rPr>
        <w:fldChar w:fldCharType="separate"/>
      </w:r>
      <w:r w:rsidR="006D5CC0">
        <w:rPr>
          <w:noProof/>
        </w:rPr>
        <w:t>14</w:t>
      </w:r>
      <w:r>
        <w:rPr>
          <w:noProof/>
        </w:rPr>
        <w:fldChar w:fldCharType="end"/>
      </w:r>
    </w:p>
    <w:p w14:paraId="6A91AE7D" w14:textId="5BDF88A6" w:rsidR="00AC4412" w:rsidRDefault="00AC4412" w:rsidP="00AC4412">
      <w:r>
        <w:fldChar w:fldCharType="end"/>
      </w:r>
    </w:p>
    <w:p w14:paraId="71DFD25E" w14:textId="08B9DCED" w:rsidR="00AC4412" w:rsidRPr="00AC4412" w:rsidRDefault="00AC4412" w:rsidP="00AC4412">
      <w:pPr>
        <w:pStyle w:val="Heading1"/>
        <w:numPr>
          <w:ilvl w:val="0"/>
          <w:numId w:val="0"/>
        </w:numPr>
        <w:ind w:left="720"/>
      </w:pPr>
      <w:bookmarkStart w:id="19" w:name="_Toc290830250"/>
      <w:r>
        <w:t>Lista figurilor și diagramelor</w:t>
      </w:r>
      <w:bookmarkEnd w:id="19"/>
    </w:p>
    <w:p w14:paraId="3247260E" w14:textId="77777777" w:rsidR="00AC4412" w:rsidRDefault="00AC4412">
      <w:pPr>
        <w:pStyle w:val="TableofFigures"/>
        <w:tabs>
          <w:tab w:val="right" w:leader="dot" w:pos="8290"/>
        </w:tabs>
        <w:rPr>
          <w:noProof/>
          <w:lang w:eastAsia="ja-JP"/>
        </w:rPr>
      </w:pPr>
      <w:r>
        <w:fldChar w:fldCharType="begin"/>
      </w:r>
      <w:r>
        <w:instrText xml:space="preserve"> TOC \c "Figura " </w:instrText>
      </w:r>
      <w:r>
        <w:fldChar w:fldCharType="separate"/>
      </w:r>
      <w:r>
        <w:rPr>
          <w:noProof/>
        </w:rPr>
        <w:t>Figura  1 Numărul de cefreri de finanțare depuse de entități private în cadrul apelurilor derulate în POS CCE Axa rioritară III</w:t>
      </w:r>
      <w:r>
        <w:rPr>
          <w:noProof/>
        </w:rPr>
        <w:tab/>
      </w:r>
      <w:r>
        <w:rPr>
          <w:noProof/>
        </w:rPr>
        <w:fldChar w:fldCharType="begin"/>
      </w:r>
      <w:r>
        <w:rPr>
          <w:noProof/>
        </w:rPr>
        <w:instrText xml:space="preserve"> PAGEREF _Toc268209607 \h </w:instrText>
      </w:r>
      <w:r>
        <w:rPr>
          <w:noProof/>
        </w:rPr>
      </w:r>
      <w:r>
        <w:rPr>
          <w:noProof/>
        </w:rPr>
        <w:fldChar w:fldCharType="separate"/>
      </w:r>
      <w:r w:rsidR="006D5CC0">
        <w:rPr>
          <w:noProof/>
        </w:rPr>
        <w:t>18</w:t>
      </w:r>
      <w:r>
        <w:rPr>
          <w:noProof/>
        </w:rPr>
        <w:fldChar w:fldCharType="end"/>
      </w:r>
    </w:p>
    <w:p w14:paraId="3FE2714A" w14:textId="77777777" w:rsidR="00AC4412" w:rsidRDefault="00AC4412" w:rsidP="00093C9D">
      <w:pPr>
        <w:spacing w:before="100" w:beforeAutospacing="1" w:after="100" w:afterAutospacing="1"/>
      </w:pPr>
      <w:r>
        <w:fldChar w:fldCharType="end"/>
      </w:r>
    </w:p>
    <w:bookmarkStart w:id="20" w:name="_Toc290830251" w:displacedByCustomXml="next"/>
    <w:sdt>
      <w:sdtPr>
        <w:rPr>
          <w:rFonts w:asciiTheme="minorHAnsi" w:eastAsiaTheme="minorEastAsia" w:hAnsiTheme="minorHAnsi" w:cstheme="minorBidi"/>
          <w:b w:val="0"/>
          <w:bCs w:val="0"/>
          <w:color w:val="auto"/>
          <w:sz w:val="24"/>
          <w:szCs w:val="24"/>
        </w:rPr>
        <w:id w:val="-1860271299"/>
        <w:docPartObj>
          <w:docPartGallery w:val="Bibliographies"/>
          <w:docPartUnique/>
        </w:docPartObj>
      </w:sdtPr>
      <w:sdtContent>
        <w:p w14:paraId="614FF55A" w14:textId="526907A9" w:rsidR="00AC4412" w:rsidRDefault="00AC4412" w:rsidP="00AC4412">
          <w:pPr>
            <w:pStyle w:val="Heading1"/>
            <w:numPr>
              <w:ilvl w:val="0"/>
              <w:numId w:val="0"/>
            </w:numPr>
            <w:ind w:left="720"/>
          </w:pPr>
          <w:r>
            <w:t>Bibliografie</w:t>
          </w:r>
          <w:bookmarkEnd w:id="20"/>
        </w:p>
        <w:sdt>
          <w:sdtPr>
            <w:id w:val="111145805"/>
            <w:bibliography/>
          </w:sdtPr>
          <w:sdtContent>
            <w:p w14:paraId="64FC6EF8" w14:textId="77777777" w:rsidR="00AC4412" w:rsidRDefault="00AC4412" w:rsidP="00AC4412">
              <w:pPr>
                <w:pStyle w:val="Bibliography"/>
                <w:spacing w:before="100" w:beforeAutospacing="1" w:after="100" w:afterAutospacing="1"/>
                <w:rPr>
                  <w:rFonts w:cs="Times New Roman"/>
                  <w:noProof/>
                </w:rPr>
              </w:pPr>
              <w:r>
                <w:fldChar w:fldCharType="begin"/>
              </w:r>
              <w:r>
                <w:instrText xml:space="preserve"> BIBLIOGRAPHY </w:instrText>
              </w:r>
              <w:r>
                <w:fldChar w:fldCharType="separate"/>
              </w:r>
              <w:r>
                <w:rPr>
                  <w:rFonts w:cs="Times New Roman"/>
                  <w:noProof/>
                </w:rPr>
                <w:t xml:space="preserve">Guvernul României. (2006, decembrie 01). </w:t>
              </w:r>
              <w:r>
                <w:rPr>
                  <w:rFonts w:cs="Times New Roman"/>
                  <w:i/>
                  <w:iCs/>
                  <w:noProof/>
                </w:rPr>
                <w:t>Planul Național de Dezvoltare 2007 - 2013</w:t>
              </w:r>
              <w:r>
                <w:rPr>
                  <w:rFonts w:cs="Times New Roman"/>
                  <w:noProof/>
                </w:rPr>
                <w:t>. Retrieved iulie 01, 2014, from Ministerul Fondurilor Europene: http://www.fonduri-ue.ro/posdru/images/downdocs/pnd_ro.pdf</w:t>
              </w:r>
            </w:p>
            <w:p w14:paraId="433A0CF7" w14:textId="77777777" w:rsidR="00AC4412" w:rsidRDefault="00AC4412" w:rsidP="00AC4412">
              <w:pPr>
                <w:pStyle w:val="Bibliography"/>
                <w:spacing w:before="100" w:beforeAutospacing="1" w:after="100" w:afterAutospacing="1"/>
                <w:rPr>
                  <w:rFonts w:cs="Times New Roman"/>
                  <w:noProof/>
                </w:rPr>
              </w:pPr>
              <w:r>
                <w:rPr>
                  <w:rFonts w:cs="Times New Roman"/>
                  <w:noProof/>
                </w:rPr>
                <w:t xml:space="preserve">Ministerul Finantelor Publice. (2014, 01 02). </w:t>
              </w:r>
              <w:r>
                <w:rPr>
                  <w:rFonts w:cs="Times New Roman"/>
                  <w:i/>
                  <w:iCs/>
                  <w:noProof/>
                </w:rPr>
                <w:t>Norme Anuale de Venit: Anul 2014</w:t>
              </w:r>
              <w:r>
                <w:rPr>
                  <w:rFonts w:cs="Times New Roman"/>
                  <w:noProof/>
                </w:rPr>
                <w:t>. Retrieved 07 01, 2014, from Ministerul Finantelor Publice - Agenția Națională de Administrație Fiscală: http://www.anaf.ro/anaf/internet/Ilfov_old/asist_contrib_ilfov/norme_venit_2014_if/!ut/p/a1/lZDbCoJAEEC_pR9wxkvrvpqhIsmm4G1fQsE2QV0xyd_Peup-mbeBc-DMAIcMeFecalGMteyK5rJzsvNUj3ga1XzmbhAtZrjEDFBHZs5AfgvQ0HBmAJf-OrFV2yT_-oSZaFHHDRhNVErU33x8MxZ-81Pg98iLCx6A58Qr8KHBBy4aWc7_TFfA3SCL-vBSbnWlTgXwodpXQzUoB3kcIZumSRFSiqZSBgl9G8cZ1ts2yhdnx6Wvmw!!/dl5/d5/L2dBISEvZ0FBIS9nQSEh/</w:t>
              </w:r>
            </w:p>
            <w:p w14:paraId="251036A6" w14:textId="77777777" w:rsidR="00AC4412" w:rsidRDefault="00AC4412" w:rsidP="00AC4412">
              <w:pPr>
                <w:pStyle w:val="Bibliography"/>
                <w:spacing w:before="100" w:beforeAutospacing="1" w:after="100" w:afterAutospacing="1"/>
                <w:rPr>
                  <w:rFonts w:cs="Times New Roman"/>
                  <w:noProof/>
                </w:rPr>
              </w:pPr>
              <w:r>
                <w:rPr>
                  <w:rFonts w:cs="Times New Roman"/>
                  <w:noProof/>
                </w:rPr>
                <w:t xml:space="preserve">Ministerul pentru Societatea Informațională. (2007, 01 01). </w:t>
              </w:r>
              <w:r>
                <w:rPr>
                  <w:rFonts w:cs="Times New Roman"/>
                  <w:i/>
                  <w:iCs/>
                  <w:noProof/>
                </w:rPr>
                <w:t>Organismul Intermediar pentru Promovarea Societății Informaționale</w:t>
              </w:r>
              <w:r>
                <w:rPr>
                  <w:rFonts w:cs="Times New Roman"/>
                  <w:noProof/>
                </w:rPr>
                <w:t>. Retrieved 07 01, 2014, from Ministerul pentru Societatea Informațională: http://fonduri.mcsi.ro/?q=system/files/Axa3.pdf</w:t>
              </w:r>
            </w:p>
            <w:p w14:paraId="7A0D4CC0" w14:textId="77777777" w:rsidR="00AC4412" w:rsidRDefault="00AC4412" w:rsidP="00AC4412">
              <w:pPr>
                <w:pStyle w:val="Bibliography"/>
                <w:spacing w:before="100" w:beforeAutospacing="1" w:after="100" w:afterAutospacing="1"/>
                <w:rPr>
                  <w:rFonts w:cs="Times New Roman"/>
                  <w:noProof/>
                </w:rPr>
              </w:pPr>
              <w:r>
                <w:rPr>
                  <w:rFonts w:cs="Times New Roman"/>
                  <w:noProof/>
                </w:rPr>
                <w:t xml:space="preserve">Ministerul pentru Societatea Informațională. (2007, 01 01). </w:t>
              </w:r>
              <w:r>
                <w:rPr>
                  <w:rFonts w:cs="Times New Roman"/>
                  <w:i/>
                  <w:iCs/>
                  <w:noProof/>
                </w:rPr>
                <w:t>Proiectul Economia Bazată pe Cunoaștere</w:t>
              </w:r>
              <w:r>
                <w:rPr>
                  <w:rFonts w:cs="Times New Roman"/>
                  <w:noProof/>
                </w:rPr>
                <w:t>. Retrieved 07 01, 2014, from Ministerul pentru Societatea Informațională: http://www.ecomunitate.ro/Proiectul_Economia_Bazata_pe_Cunoastere(51).html</w:t>
              </w:r>
            </w:p>
            <w:p w14:paraId="28EB2DF8" w14:textId="341E9590" w:rsidR="00AC4412" w:rsidRPr="00A342E3" w:rsidRDefault="00AC4412" w:rsidP="00093C9D">
              <w:pPr>
                <w:spacing w:before="100" w:beforeAutospacing="1" w:after="100" w:afterAutospacing="1"/>
              </w:pPr>
              <w:r>
                <w:rPr>
                  <w:b/>
                  <w:bCs/>
                  <w:noProof/>
                </w:rPr>
                <w:fldChar w:fldCharType="end"/>
              </w:r>
            </w:p>
          </w:sdtContent>
        </w:sdt>
      </w:sdtContent>
    </w:sdt>
    <w:sectPr w:rsidR="00AC4412" w:rsidRPr="00A342E3" w:rsidSect="008B308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DF9AF4" w14:textId="77777777" w:rsidR="00B8061C" w:rsidRDefault="00B8061C" w:rsidP="007E70FB">
      <w:r>
        <w:separator/>
      </w:r>
    </w:p>
  </w:endnote>
  <w:endnote w:type="continuationSeparator" w:id="0">
    <w:p w14:paraId="4C81CC5F" w14:textId="77777777" w:rsidR="00B8061C" w:rsidRDefault="00B8061C" w:rsidP="007E7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8FDF24" w14:textId="77777777" w:rsidR="00B8061C" w:rsidRDefault="00B8061C" w:rsidP="001C30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03458C" w14:textId="77777777" w:rsidR="00B8061C" w:rsidRDefault="00B8061C" w:rsidP="007E70F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165EDE" w14:textId="77777777" w:rsidR="00B8061C" w:rsidRDefault="00B8061C" w:rsidP="001C30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D7F37">
      <w:rPr>
        <w:rStyle w:val="PageNumber"/>
        <w:noProof/>
      </w:rPr>
      <w:t>3</w:t>
    </w:r>
    <w:r>
      <w:rPr>
        <w:rStyle w:val="PageNumber"/>
      </w:rPr>
      <w:fldChar w:fldCharType="end"/>
    </w:r>
  </w:p>
  <w:p w14:paraId="11B6B896" w14:textId="59B8C069" w:rsidR="00B8061C" w:rsidRPr="007E70FB" w:rsidRDefault="00B8061C" w:rsidP="007E70FB">
    <w:pPr>
      <w:pStyle w:val="Footer"/>
      <w:ind w:right="360"/>
      <w:rPr>
        <w:i/>
        <w:sz w:val="16"/>
        <w:szCs w:val="16"/>
      </w:rPr>
    </w:pPr>
    <w:r w:rsidRPr="007E70FB">
      <w:rPr>
        <w:i/>
        <w:sz w:val="16"/>
        <w:szCs w:val="16"/>
      </w:rPr>
      <w:t>Impactul aderării României la Uniunea Europeană asupra afacerilor locale din domeniul TIC</w:t>
    </w:r>
  </w:p>
  <w:p w14:paraId="1FBA6951" w14:textId="0697D387" w:rsidR="00B8061C" w:rsidRPr="007E70FB" w:rsidRDefault="00B8061C" w:rsidP="007E70FB">
    <w:pPr>
      <w:pStyle w:val="Footer"/>
      <w:ind w:right="360"/>
      <w:rPr>
        <w:i/>
        <w:sz w:val="16"/>
        <w:szCs w:val="16"/>
        <w:lang w:val="ro-RO"/>
      </w:rPr>
    </w:pPr>
    <w:proofErr w:type="gramStart"/>
    <w:r w:rsidRPr="007E70FB">
      <w:rPr>
        <w:i/>
        <w:sz w:val="16"/>
        <w:szCs w:val="16"/>
      </w:rPr>
      <w:t xml:space="preserve">Doctorand </w:t>
    </w:r>
    <w:r w:rsidRPr="007E70FB">
      <w:rPr>
        <w:i/>
        <w:sz w:val="16"/>
        <w:szCs w:val="16"/>
        <w:lang w:val="ro-RO"/>
      </w:rPr>
      <w:t xml:space="preserve"> Laurian</w:t>
    </w:r>
    <w:proofErr w:type="gramEnd"/>
    <w:r w:rsidRPr="007E70FB">
      <w:rPr>
        <w:i/>
        <w:sz w:val="16"/>
        <w:szCs w:val="16"/>
        <w:lang w:val="ro-RO"/>
      </w:rPr>
      <w:t xml:space="preserve"> Gabriel Tănăsescu</w:t>
    </w:r>
  </w:p>
  <w:p w14:paraId="256FD3A0" w14:textId="77777777" w:rsidR="00B8061C" w:rsidRDefault="00B8061C" w:rsidP="007E70F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F02749" w14:textId="77777777" w:rsidR="00B8061C" w:rsidRDefault="00B8061C" w:rsidP="007E70FB">
      <w:r>
        <w:separator/>
      </w:r>
    </w:p>
  </w:footnote>
  <w:footnote w:type="continuationSeparator" w:id="0">
    <w:p w14:paraId="1504366C" w14:textId="77777777" w:rsidR="00B8061C" w:rsidRDefault="00B8061C" w:rsidP="007E70F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42AE7"/>
    <w:multiLevelType w:val="hybridMultilevel"/>
    <w:tmpl w:val="469642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1A029B"/>
    <w:multiLevelType w:val="hybridMultilevel"/>
    <w:tmpl w:val="1966BB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154292"/>
    <w:multiLevelType w:val="multilevel"/>
    <w:tmpl w:val="ABCA0F2C"/>
    <w:lvl w:ilvl="0">
      <w:start w:val="1"/>
      <w:numFmt w:val="decimal"/>
      <w:pStyle w:val="Heading1"/>
      <w:lvlText w:val="%1."/>
      <w:lvlJc w:val="left"/>
      <w:pPr>
        <w:ind w:left="720" w:hanging="360"/>
      </w:pPr>
    </w:lvl>
    <w:lvl w:ilvl="1">
      <w:start w:val="1"/>
      <w:numFmt w:val="decimal"/>
      <w:pStyle w:val="Heading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447A3081"/>
    <w:multiLevelType w:val="hybridMultilevel"/>
    <w:tmpl w:val="04DE23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3325F4"/>
    <w:multiLevelType w:val="hybridMultilevel"/>
    <w:tmpl w:val="5502A4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E27938"/>
    <w:multiLevelType w:val="hybridMultilevel"/>
    <w:tmpl w:val="3F168D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D50CCB"/>
    <w:multiLevelType w:val="hybridMultilevel"/>
    <w:tmpl w:val="A2BC9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E74E99"/>
    <w:multiLevelType w:val="hybridMultilevel"/>
    <w:tmpl w:val="1966BB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4B2588"/>
    <w:multiLevelType w:val="hybridMultilevel"/>
    <w:tmpl w:val="318AE7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810765"/>
    <w:multiLevelType w:val="hybridMultilevel"/>
    <w:tmpl w:val="D4F073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58A5D6C"/>
    <w:multiLevelType w:val="hybridMultilevel"/>
    <w:tmpl w:val="1966BB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EE544C3"/>
    <w:multiLevelType w:val="hybridMultilevel"/>
    <w:tmpl w:val="8348C4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7"/>
  </w:num>
  <w:num w:numId="4">
    <w:abstractNumId w:val="5"/>
  </w:num>
  <w:num w:numId="5">
    <w:abstractNumId w:val="10"/>
  </w:num>
  <w:num w:numId="6">
    <w:abstractNumId w:val="3"/>
  </w:num>
  <w:num w:numId="7">
    <w:abstractNumId w:val="1"/>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9"/>
  </w:num>
  <w:num w:numId="21">
    <w:abstractNumId w:val="0"/>
  </w:num>
  <w:num w:numId="22">
    <w:abstractNumId w:val="2"/>
  </w:num>
  <w:num w:numId="23">
    <w:abstractNumId w:val="2"/>
  </w:num>
  <w:num w:numId="24">
    <w:abstractNumId w:val="2"/>
  </w:num>
  <w:num w:numId="25">
    <w:abstractNumId w:val="2"/>
  </w:num>
  <w:num w:numId="26">
    <w:abstractNumId w:val="2"/>
  </w:num>
  <w:num w:numId="27">
    <w:abstractNumId w:val="2"/>
  </w:num>
  <w:num w:numId="28">
    <w:abstractNumId w:val="11"/>
  </w:num>
  <w:num w:numId="29">
    <w:abstractNumId w:val="4"/>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6AD"/>
    <w:rsid w:val="00006A93"/>
    <w:rsid w:val="000172C6"/>
    <w:rsid w:val="00022FE1"/>
    <w:rsid w:val="00026A51"/>
    <w:rsid w:val="00093C9D"/>
    <w:rsid w:val="000A0371"/>
    <w:rsid w:val="000B2ABA"/>
    <w:rsid w:val="000C1E01"/>
    <w:rsid w:val="000D1554"/>
    <w:rsid w:val="000E2A3A"/>
    <w:rsid w:val="000E4866"/>
    <w:rsid w:val="001564F9"/>
    <w:rsid w:val="00157487"/>
    <w:rsid w:val="001914F5"/>
    <w:rsid w:val="001A726D"/>
    <w:rsid w:val="001C3023"/>
    <w:rsid w:val="0022569D"/>
    <w:rsid w:val="002273C4"/>
    <w:rsid w:val="002A6E32"/>
    <w:rsid w:val="002E0AA7"/>
    <w:rsid w:val="002E2C98"/>
    <w:rsid w:val="002F5D35"/>
    <w:rsid w:val="0030161D"/>
    <w:rsid w:val="00302A75"/>
    <w:rsid w:val="003263E0"/>
    <w:rsid w:val="003562F2"/>
    <w:rsid w:val="003B0604"/>
    <w:rsid w:val="00405A72"/>
    <w:rsid w:val="00413A2B"/>
    <w:rsid w:val="004156C5"/>
    <w:rsid w:val="00422C71"/>
    <w:rsid w:val="004808F0"/>
    <w:rsid w:val="00480A2B"/>
    <w:rsid w:val="004B5BDD"/>
    <w:rsid w:val="004C5CC4"/>
    <w:rsid w:val="00537F45"/>
    <w:rsid w:val="00557A3E"/>
    <w:rsid w:val="00557EFB"/>
    <w:rsid w:val="00652881"/>
    <w:rsid w:val="00661714"/>
    <w:rsid w:val="006937DF"/>
    <w:rsid w:val="006943AB"/>
    <w:rsid w:val="006961DB"/>
    <w:rsid w:val="006A5D86"/>
    <w:rsid w:val="006D5CC0"/>
    <w:rsid w:val="0071197A"/>
    <w:rsid w:val="00712130"/>
    <w:rsid w:val="0072401A"/>
    <w:rsid w:val="00746950"/>
    <w:rsid w:val="00747944"/>
    <w:rsid w:val="007B1605"/>
    <w:rsid w:val="007C57F5"/>
    <w:rsid w:val="007E70FB"/>
    <w:rsid w:val="007F5CDF"/>
    <w:rsid w:val="00820F7B"/>
    <w:rsid w:val="008254CB"/>
    <w:rsid w:val="00847867"/>
    <w:rsid w:val="00893757"/>
    <w:rsid w:val="00895084"/>
    <w:rsid w:val="00895B2B"/>
    <w:rsid w:val="008B1D43"/>
    <w:rsid w:val="008B3088"/>
    <w:rsid w:val="0096633F"/>
    <w:rsid w:val="009711A8"/>
    <w:rsid w:val="009E66AD"/>
    <w:rsid w:val="00A05868"/>
    <w:rsid w:val="00A342E3"/>
    <w:rsid w:val="00A40B34"/>
    <w:rsid w:val="00A523A2"/>
    <w:rsid w:val="00AB7202"/>
    <w:rsid w:val="00AC4412"/>
    <w:rsid w:val="00B014F7"/>
    <w:rsid w:val="00B14689"/>
    <w:rsid w:val="00B24E60"/>
    <w:rsid w:val="00B4066B"/>
    <w:rsid w:val="00B50534"/>
    <w:rsid w:val="00B8061C"/>
    <w:rsid w:val="00B96A5F"/>
    <w:rsid w:val="00BA4A7F"/>
    <w:rsid w:val="00C27E99"/>
    <w:rsid w:val="00C74113"/>
    <w:rsid w:val="00CD1FBD"/>
    <w:rsid w:val="00CD29DF"/>
    <w:rsid w:val="00CD7F37"/>
    <w:rsid w:val="00D12BF5"/>
    <w:rsid w:val="00D44CB4"/>
    <w:rsid w:val="00D6018D"/>
    <w:rsid w:val="00DA2A00"/>
    <w:rsid w:val="00DD4DA6"/>
    <w:rsid w:val="00DE30AF"/>
    <w:rsid w:val="00DF4940"/>
    <w:rsid w:val="00DF5CCB"/>
    <w:rsid w:val="00E03E59"/>
    <w:rsid w:val="00E42FE1"/>
    <w:rsid w:val="00E663E0"/>
    <w:rsid w:val="00E74E82"/>
    <w:rsid w:val="00EB3409"/>
    <w:rsid w:val="00EC2CBC"/>
    <w:rsid w:val="00ED3C05"/>
    <w:rsid w:val="00EE40C8"/>
    <w:rsid w:val="00F01014"/>
    <w:rsid w:val="00F2628D"/>
    <w:rsid w:val="00F4597A"/>
    <w:rsid w:val="00FD0C4C"/>
    <w:rsid w:val="00FF35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2E78A7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6A5D86"/>
    <w:pPr>
      <w:keepNext/>
      <w:keepLines/>
      <w:numPr>
        <w:numId w:val="2"/>
      </w:numPr>
      <w:spacing w:before="480"/>
      <w:outlineLvl w:val="0"/>
    </w:pPr>
    <w:rPr>
      <w:rFonts w:asciiTheme="majorHAnsi" w:eastAsiaTheme="majorEastAsia" w:hAnsiTheme="majorHAnsi" w:cstheme="majorBidi"/>
      <w:b/>
      <w:bCs/>
      <w:color w:val="0000FF"/>
      <w:sz w:val="32"/>
      <w:szCs w:val="32"/>
    </w:rPr>
  </w:style>
  <w:style w:type="paragraph" w:styleId="Heading2">
    <w:name w:val="heading 2"/>
    <w:basedOn w:val="Normal"/>
    <w:next w:val="Normal"/>
    <w:link w:val="Heading2Char"/>
    <w:uiPriority w:val="9"/>
    <w:unhideWhenUsed/>
    <w:qFormat/>
    <w:rsid w:val="006A5D86"/>
    <w:pPr>
      <w:keepNext/>
      <w:keepLines/>
      <w:numPr>
        <w:ilvl w:val="1"/>
        <w:numId w:val="2"/>
      </w:numPr>
      <w:spacing w:before="200"/>
      <w:outlineLvl w:val="1"/>
    </w:pPr>
    <w:rPr>
      <w:rFonts w:asciiTheme="majorHAnsi" w:eastAsiaTheme="majorEastAsia" w:hAnsiTheme="majorHAnsi" w:cstheme="majorBidi"/>
      <w:b/>
      <w:bCs/>
      <w:color w:val="4F81BD" w:themeColor="accent1"/>
      <w:sz w:val="26"/>
      <w:szCs w:val="26"/>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66AD"/>
    <w:pPr>
      <w:ind w:left="720"/>
      <w:contextualSpacing/>
    </w:pPr>
  </w:style>
  <w:style w:type="character" w:styleId="BookTitle">
    <w:name w:val="Book Title"/>
    <w:basedOn w:val="DefaultParagraphFont"/>
    <w:uiPriority w:val="33"/>
    <w:qFormat/>
    <w:rsid w:val="009E66AD"/>
    <w:rPr>
      <w:b/>
      <w:bCs/>
      <w:smallCaps/>
      <w:spacing w:val="5"/>
    </w:rPr>
  </w:style>
  <w:style w:type="character" w:customStyle="1" w:styleId="Heading1Char">
    <w:name w:val="Heading 1 Char"/>
    <w:basedOn w:val="DefaultParagraphFont"/>
    <w:link w:val="Heading1"/>
    <w:uiPriority w:val="9"/>
    <w:rsid w:val="006A5D86"/>
    <w:rPr>
      <w:rFonts w:asciiTheme="majorHAnsi" w:eastAsiaTheme="majorEastAsia" w:hAnsiTheme="majorHAnsi" w:cstheme="majorBidi"/>
      <w:b/>
      <w:bCs/>
      <w:color w:val="0000FF"/>
      <w:sz w:val="32"/>
      <w:szCs w:val="32"/>
    </w:rPr>
  </w:style>
  <w:style w:type="paragraph" w:styleId="BalloonText">
    <w:name w:val="Balloon Text"/>
    <w:basedOn w:val="Normal"/>
    <w:link w:val="BalloonTextChar"/>
    <w:uiPriority w:val="99"/>
    <w:semiHidden/>
    <w:unhideWhenUsed/>
    <w:rsid w:val="009711A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11A8"/>
    <w:rPr>
      <w:rFonts w:ascii="Lucida Grande" w:hAnsi="Lucida Grande" w:cs="Lucida Grande"/>
      <w:sz w:val="18"/>
      <w:szCs w:val="18"/>
    </w:rPr>
  </w:style>
  <w:style w:type="table" w:styleId="TableGrid">
    <w:name w:val="Table Grid"/>
    <w:basedOn w:val="TableNormal"/>
    <w:uiPriority w:val="39"/>
    <w:rsid w:val="00E663E0"/>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663E0"/>
    <w:pPr>
      <w:spacing w:before="100" w:beforeAutospacing="1" w:after="100" w:afterAutospacing="1"/>
    </w:pPr>
    <w:rPr>
      <w:rFonts w:ascii="Times New Roman" w:eastAsia="Times New Roman" w:hAnsi="Times New Roman" w:cs="Times New Roman"/>
    </w:rPr>
  </w:style>
  <w:style w:type="paragraph" w:styleId="TOCHeading">
    <w:name w:val="TOC Heading"/>
    <w:basedOn w:val="Heading1"/>
    <w:next w:val="Normal"/>
    <w:uiPriority w:val="39"/>
    <w:unhideWhenUsed/>
    <w:qFormat/>
    <w:rsid w:val="002273C4"/>
    <w:pPr>
      <w:spacing w:line="276" w:lineRule="auto"/>
      <w:outlineLvl w:val="9"/>
    </w:pPr>
    <w:rPr>
      <w:color w:val="365F91" w:themeColor="accent1" w:themeShade="BF"/>
      <w:sz w:val="28"/>
      <w:szCs w:val="28"/>
    </w:rPr>
  </w:style>
  <w:style w:type="paragraph" w:styleId="TOC1">
    <w:name w:val="toc 1"/>
    <w:basedOn w:val="Normal"/>
    <w:next w:val="Normal"/>
    <w:autoRedefine/>
    <w:uiPriority w:val="39"/>
    <w:unhideWhenUsed/>
    <w:rsid w:val="002273C4"/>
    <w:pPr>
      <w:spacing w:before="120"/>
    </w:pPr>
    <w:rPr>
      <w:b/>
      <w:sz w:val="22"/>
      <w:szCs w:val="22"/>
    </w:rPr>
  </w:style>
  <w:style w:type="paragraph" w:styleId="TOC2">
    <w:name w:val="toc 2"/>
    <w:basedOn w:val="Normal"/>
    <w:next w:val="Normal"/>
    <w:autoRedefine/>
    <w:uiPriority w:val="39"/>
    <w:unhideWhenUsed/>
    <w:rsid w:val="002273C4"/>
    <w:pPr>
      <w:ind w:left="240"/>
    </w:pPr>
    <w:rPr>
      <w:i/>
      <w:sz w:val="22"/>
      <w:szCs w:val="22"/>
    </w:rPr>
  </w:style>
  <w:style w:type="paragraph" w:styleId="TOC3">
    <w:name w:val="toc 3"/>
    <w:basedOn w:val="Normal"/>
    <w:next w:val="Normal"/>
    <w:autoRedefine/>
    <w:uiPriority w:val="39"/>
    <w:semiHidden/>
    <w:unhideWhenUsed/>
    <w:rsid w:val="002273C4"/>
    <w:pPr>
      <w:ind w:left="480"/>
    </w:pPr>
    <w:rPr>
      <w:sz w:val="22"/>
      <w:szCs w:val="22"/>
    </w:rPr>
  </w:style>
  <w:style w:type="paragraph" w:styleId="TOC4">
    <w:name w:val="toc 4"/>
    <w:basedOn w:val="Normal"/>
    <w:next w:val="Normal"/>
    <w:autoRedefine/>
    <w:uiPriority w:val="39"/>
    <w:semiHidden/>
    <w:unhideWhenUsed/>
    <w:rsid w:val="002273C4"/>
    <w:pPr>
      <w:ind w:left="720"/>
    </w:pPr>
    <w:rPr>
      <w:sz w:val="20"/>
      <w:szCs w:val="20"/>
    </w:rPr>
  </w:style>
  <w:style w:type="paragraph" w:styleId="TOC5">
    <w:name w:val="toc 5"/>
    <w:basedOn w:val="Normal"/>
    <w:next w:val="Normal"/>
    <w:autoRedefine/>
    <w:uiPriority w:val="39"/>
    <w:semiHidden/>
    <w:unhideWhenUsed/>
    <w:rsid w:val="002273C4"/>
    <w:pPr>
      <w:ind w:left="960"/>
    </w:pPr>
    <w:rPr>
      <w:sz w:val="20"/>
      <w:szCs w:val="20"/>
    </w:rPr>
  </w:style>
  <w:style w:type="paragraph" w:styleId="TOC6">
    <w:name w:val="toc 6"/>
    <w:basedOn w:val="Normal"/>
    <w:next w:val="Normal"/>
    <w:autoRedefine/>
    <w:uiPriority w:val="39"/>
    <w:semiHidden/>
    <w:unhideWhenUsed/>
    <w:rsid w:val="002273C4"/>
    <w:pPr>
      <w:ind w:left="1200"/>
    </w:pPr>
    <w:rPr>
      <w:sz w:val="20"/>
      <w:szCs w:val="20"/>
    </w:rPr>
  </w:style>
  <w:style w:type="paragraph" w:styleId="TOC7">
    <w:name w:val="toc 7"/>
    <w:basedOn w:val="Normal"/>
    <w:next w:val="Normal"/>
    <w:autoRedefine/>
    <w:uiPriority w:val="39"/>
    <w:semiHidden/>
    <w:unhideWhenUsed/>
    <w:rsid w:val="002273C4"/>
    <w:pPr>
      <w:ind w:left="1440"/>
    </w:pPr>
    <w:rPr>
      <w:sz w:val="20"/>
      <w:szCs w:val="20"/>
    </w:rPr>
  </w:style>
  <w:style w:type="paragraph" w:styleId="TOC8">
    <w:name w:val="toc 8"/>
    <w:basedOn w:val="Normal"/>
    <w:next w:val="Normal"/>
    <w:autoRedefine/>
    <w:uiPriority w:val="39"/>
    <w:semiHidden/>
    <w:unhideWhenUsed/>
    <w:rsid w:val="002273C4"/>
    <w:pPr>
      <w:ind w:left="1680"/>
    </w:pPr>
    <w:rPr>
      <w:sz w:val="20"/>
      <w:szCs w:val="20"/>
    </w:rPr>
  </w:style>
  <w:style w:type="paragraph" w:styleId="TOC9">
    <w:name w:val="toc 9"/>
    <w:basedOn w:val="Normal"/>
    <w:next w:val="Normal"/>
    <w:autoRedefine/>
    <w:uiPriority w:val="39"/>
    <w:semiHidden/>
    <w:unhideWhenUsed/>
    <w:rsid w:val="002273C4"/>
    <w:pPr>
      <w:ind w:left="1920"/>
    </w:pPr>
    <w:rPr>
      <w:sz w:val="20"/>
      <w:szCs w:val="20"/>
    </w:rPr>
  </w:style>
  <w:style w:type="paragraph" w:styleId="Footer">
    <w:name w:val="footer"/>
    <w:basedOn w:val="Normal"/>
    <w:link w:val="FooterChar"/>
    <w:uiPriority w:val="99"/>
    <w:unhideWhenUsed/>
    <w:rsid w:val="007E70FB"/>
    <w:pPr>
      <w:tabs>
        <w:tab w:val="center" w:pos="4320"/>
        <w:tab w:val="right" w:pos="8640"/>
      </w:tabs>
    </w:pPr>
  </w:style>
  <w:style w:type="character" w:customStyle="1" w:styleId="FooterChar">
    <w:name w:val="Footer Char"/>
    <w:basedOn w:val="DefaultParagraphFont"/>
    <w:link w:val="Footer"/>
    <w:uiPriority w:val="99"/>
    <w:rsid w:val="007E70FB"/>
  </w:style>
  <w:style w:type="character" w:styleId="PageNumber">
    <w:name w:val="page number"/>
    <w:basedOn w:val="DefaultParagraphFont"/>
    <w:uiPriority w:val="99"/>
    <w:semiHidden/>
    <w:unhideWhenUsed/>
    <w:rsid w:val="007E70FB"/>
  </w:style>
  <w:style w:type="paragraph" w:styleId="Header">
    <w:name w:val="header"/>
    <w:basedOn w:val="Normal"/>
    <w:link w:val="HeaderChar"/>
    <w:uiPriority w:val="99"/>
    <w:unhideWhenUsed/>
    <w:rsid w:val="007E70FB"/>
    <w:pPr>
      <w:tabs>
        <w:tab w:val="center" w:pos="4320"/>
        <w:tab w:val="right" w:pos="8640"/>
      </w:tabs>
    </w:pPr>
  </w:style>
  <w:style w:type="character" w:customStyle="1" w:styleId="HeaderChar">
    <w:name w:val="Header Char"/>
    <w:basedOn w:val="DefaultParagraphFont"/>
    <w:link w:val="Header"/>
    <w:uiPriority w:val="99"/>
    <w:rsid w:val="007E70FB"/>
  </w:style>
  <w:style w:type="paragraph" w:styleId="FootnoteText">
    <w:name w:val="footnote text"/>
    <w:basedOn w:val="Normal"/>
    <w:link w:val="FootnoteTextChar"/>
    <w:uiPriority w:val="99"/>
    <w:unhideWhenUsed/>
    <w:rsid w:val="00413A2B"/>
  </w:style>
  <w:style w:type="paragraph" w:styleId="TableofFigures">
    <w:name w:val="table of figures"/>
    <w:basedOn w:val="Normal"/>
    <w:next w:val="Normal"/>
    <w:uiPriority w:val="99"/>
    <w:unhideWhenUsed/>
    <w:rsid w:val="001C3023"/>
  </w:style>
  <w:style w:type="character" w:customStyle="1" w:styleId="FootnoteTextChar">
    <w:name w:val="Footnote Text Char"/>
    <w:basedOn w:val="DefaultParagraphFont"/>
    <w:link w:val="FootnoteText"/>
    <w:uiPriority w:val="99"/>
    <w:rsid w:val="00413A2B"/>
  </w:style>
  <w:style w:type="character" w:styleId="FootnoteReference">
    <w:name w:val="footnote reference"/>
    <w:basedOn w:val="DefaultParagraphFont"/>
    <w:uiPriority w:val="99"/>
    <w:unhideWhenUsed/>
    <w:rsid w:val="00413A2B"/>
    <w:rPr>
      <w:vertAlign w:val="superscript"/>
    </w:rPr>
  </w:style>
  <w:style w:type="paragraph" w:styleId="Caption">
    <w:name w:val="caption"/>
    <w:basedOn w:val="Normal"/>
    <w:next w:val="Normal"/>
    <w:uiPriority w:val="35"/>
    <w:unhideWhenUsed/>
    <w:qFormat/>
    <w:rsid w:val="00413A2B"/>
    <w:pPr>
      <w:spacing w:after="200"/>
    </w:pPr>
    <w:rPr>
      <w:b/>
      <w:bCs/>
      <w:color w:val="4F81BD" w:themeColor="accent1"/>
      <w:sz w:val="18"/>
      <w:szCs w:val="18"/>
    </w:rPr>
  </w:style>
  <w:style w:type="character" w:customStyle="1" w:styleId="Heading2Char">
    <w:name w:val="Heading 2 Char"/>
    <w:basedOn w:val="DefaultParagraphFont"/>
    <w:link w:val="Heading2"/>
    <w:uiPriority w:val="9"/>
    <w:rsid w:val="006A5D86"/>
    <w:rPr>
      <w:rFonts w:asciiTheme="majorHAnsi" w:eastAsiaTheme="majorEastAsia" w:hAnsiTheme="majorHAnsi" w:cstheme="majorBidi"/>
      <w:b/>
      <w:bCs/>
      <w:color w:val="4F81BD" w:themeColor="accent1"/>
      <w:sz w:val="26"/>
      <w:szCs w:val="26"/>
      <w:lang w:val="ro-RO"/>
    </w:rPr>
  </w:style>
  <w:style w:type="character" w:styleId="Hyperlink">
    <w:name w:val="Hyperlink"/>
    <w:basedOn w:val="DefaultParagraphFont"/>
    <w:uiPriority w:val="99"/>
    <w:unhideWhenUsed/>
    <w:rsid w:val="003263E0"/>
    <w:rPr>
      <w:color w:val="0000FF" w:themeColor="hyperlink"/>
      <w:u w:val="single"/>
    </w:rPr>
  </w:style>
  <w:style w:type="paragraph" w:styleId="Bibliography">
    <w:name w:val="Bibliography"/>
    <w:basedOn w:val="Normal"/>
    <w:next w:val="Normal"/>
    <w:uiPriority w:val="37"/>
    <w:unhideWhenUsed/>
    <w:rsid w:val="00AC441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6A5D86"/>
    <w:pPr>
      <w:keepNext/>
      <w:keepLines/>
      <w:numPr>
        <w:numId w:val="2"/>
      </w:numPr>
      <w:spacing w:before="480"/>
      <w:outlineLvl w:val="0"/>
    </w:pPr>
    <w:rPr>
      <w:rFonts w:asciiTheme="majorHAnsi" w:eastAsiaTheme="majorEastAsia" w:hAnsiTheme="majorHAnsi" w:cstheme="majorBidi"/>
      <w:b/>
      <w:bCs/>
      <w:color w:val="0000FF"/>
      <w:sz w:val="32"/>
      <w:szCs w:val="32"/>
    </w:rPr>
  </w:style>
  <w:style w:type="paragraph" w:styleId="Heading2">
    <w:name w:val="heading 2"/>
    <w:basedOn w:val="Normal"/>
    <w:next w:val="Normal"/>
    <w:link w:val="Heading2Char"/>
    <w:uiPriority w:val="9"/>
    <w:unhideWhenUsed/>
    <w:qFormat/>
    <w:rsid w:val="006A5D86"/>
    <w:pPr>
      <w:keepNext/>
      <w:keepLines/>
      <w:numPr>
        <w:ilvl w:val="1"/>
        <w:numId w:val="2"/>
      </w:numPr>
      <w:spacing w:before="200"/>
      <w:outlineLvl w:val="1"/>
    </w:pPr>
    <w:rPr>
      <w:rFonts w:asciiTheme="majorHAnsi" w:eastAsiaTheme="majorEastAsia" w:hAnsiTheme="majorHAnsi" w:cstheme="majorBidi"/>
      <w:b/>
      <w:bCs/>
      <w:color w:val="4F81BD" w:themeColor="accent1"/>
      <w:sz w:val="26"/>
      <w:szCs w:val="26"/>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66AD"/>
    <w:pPr>
      <w:ind w:left="720"/>
      <w:contextualSpacing/>
    </w:pPr>
  </w:style>
  <w:style w:type="character" w:styleId="BookTitle">
    <w:name w:val="Book Title"/>
    <w:basedOn w:val="DefaultParagraphFont"/>
    <w:uiPriority w:val="33"/>
    <w:qFormat/>
    <w:rsid w:val="009E66AD"/>
    <w:rPr>
      <w:b/>
      <w:bCs/>
      <w:smallCaps/>
      <w:spacing w:val="5"/>
    </w:rPr>
  </w:style>
  <w:style w:type="character" w:customStyle="1" w:styleId="Heading1Char">
    <w:name w:val="Heading 1 Char"/>
    <w:basedOn w:val="DefaultParagraphFont"/>
    <w:link w:val="Heading1"/>
    <w:uiPriority w:val="9"/>
    <w:rsid w:val="006A5D86"/>
    <w:rPr>
      <w:rFonts w:asciiTheme="majorHAnsi" w:eastAsiaTheme="majorEastAsia" w:hAnsiTheme="majorHAnsi" w:cstheme="majorBidi"/>
      <w:b/>
      <w:bCs/>
      <w:color w:val="0000FF"/>
      <w:sz w:val="32"/>
      <w:szCs w:val="32"/>
    </w:rPr>
  </w:style>
  <w:style w:type="paragraph" w:styleId="BalloonText">
    <w:name w:val="Balloon Text"/>
    <w:basedOn w:val="Normal"/>
    <w:link w:val="BalloonTextChar"/>
    <w:uiPriority w:val="99"/>
    <w:semiHidden/>
    <w:unhideWhenUsed/>
    <w:rsid w:val="009711A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11A8"/>
    <w:rPr>
      <w:rFonts w:ascii="Lucida Grande" w:hAnsi="Lucida Grande" w:cs="Lucida Grande"/>
      <w:sz w:val="18"/>
      <w:szCs w:val="18"/>
    </w:rPr>
  </w:style>
  <w:style w:type="table" w:styleId="TableGrid">
    <w:name w:val="Table Grid"/>
    <w:basedOn w:val="TableNormal"/>
    <w:uiPriority w:val="39"/>
    <w:rsid w:val="00E663E0"/>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663E0"/>
    <w:pPr>
      <w:spacing w:before="100" w:beforeAutospacing="1" w:after="100" w:afterAutospacing="1"/>
    </w:pPr>
    <w:rPr>
      <w:rFonts w:ascii="Times New Roman" w:eastAsia="Times New Roman" w:hAnsi="Times New Roman" w:cs="Times New Roman"/>
    </w:rPr>
  </w:style>
  <w:style w:type="paragraph" w:styleId="TOCHeading">
    <w:name w:val="TOC Heading"/>
    <w:basedOn w:val="Heading1"/>
    <w:next w:val="Normal"/>
    <w:uiPriority w:val="39"/>
    <w:unhideWhenUsed/>
    <w:qFormat/>
    <w:rsid w:val="002273C4"/>
    <w:pPr>
      <w:spacing w:line="276" w:lineRule="auto"/>
      <w:outlineLvl w:val="9"/>
    </w:pPr>
    <w:rPr>
      <w:color w:val="365F91" w:themeColor="accent1" w:themeShade="BF"/>
      <w:sz w:val="28"/>
      <w:szCs w:val="28"/>
    </w:rPr>
  </w:style>
  <w:style w:type="paragraph" w:styleId="TOC1">
    <w:name w:val="toc 1"/>
    <w:basedOn w:val="Normal"/>
    <w:next w:val="Normal"/>
    <w:autoRedefine/>
    <w:uiPriority w:val="39"/>
    <w:unhideWhenUsed/>
    <w:rsid w:val="002273C4"/>
    <w:pPr>
      <w:spacing w:before="120"/>
    </w:pPr>
    <w:rPr>
      <w:b/>
      <w:sz w:val="22"/>
      <w:szCs w:val="22"/>
    </w:rPr>
  </w:style>
  <w:style w:type="paragraph" w:styleId="TOC2">
    <w:name w:val="toc 2"/>
    <w:basedOn w:val="Normal"/>
    <w:next w:val="Normal"/>
    <w:autoRedefine/>
    <w:uiPriority w:val="39"/>
    <w:unhideWhenUsed/>
    <w:rsid w:val="002273C4"/>
    <w:pPr>
      <w:ind w:left="240"/>
    </w:pPr>
    <w:rPr>
      <w:i/>
      <w:sz w:val="22"/>
      <w:szCs w:val="22"/>
    </w:rPr>
  </w:style>
  <w:style w:type="paragraph" w:styleId="TOC3">
    <w:name w:val="toc 3"/>
    <w:basedOn w:val="Normal"/>
    <w:next w:val="Normal"/>
    <w:autoRedefine/>
    <w:uiPriority w:val="39"/>
    <w:semiHidden/>
    <w:unhideWhenUsed/>
    <w:rsid w:val="002273C4"/>
    <w:pPr>
      <w:ind w:left="480"/>
    </w:pPr>
    <w:rPr>
      <w:sz w:val="22"/>
      <w:szCs w:val="22"/>
    </w:rPr>
  </w:style>
  <w:style w:type="paragraph" w:styleId="TOC4">
    <w:name w:val="toc 4"/>
    <w:basedOn w:val="Normal"/>
    <w:next w:val="Normal"/>
    <w:autoRedefine/>
    <w:uiPriority w:val="39"/>
    <w:semiHidden/>
    <w:unhideWhenUsed/>
    <w:rsid w:val="002273C4"/>
    <w:pPr>
      <w:ind w:left="720"/>
    </w:pPr>
    <w:rPr>
      <w:sz w:val="20"/>
      <w:szCs w:val="20"/>
    </w:rPr>
  </w:style>
  <w:style w:type="paragraph" w:styleId="TOC5">
    <w:name w:val="toc 5"/>
    <w:basedOn w:val="Normal"/>
    <w:next w:val="Normal"/>
    <w:autoRedefine/>
    <w:uiPriority w:val="39"/>
    <w:semiHidden/>
    <w:unhideWhenUsed/>
    <w:rsid w:val="002273C4"/>
    <w:pPr>
      <w:ind w:left="960"/>
    </w:pPr>
    <w:rPr>
      <w:sz w:val="20"/>
      <w:szCs w:val="20"/>
    </w:rPr>
  </w:style>
  <w:style w:type="paragraph" w:styleId="TOC6">
    <w:name w:val="toc 6"/>
    <w:basedOn w:val="Normal"/>
    <w:next w:val="Normal"/>
    <w:autoRedefine/>
    <w:uiPriority w:val="39"/>
    <w:semiHidden/>
    <w:unhideWhenUsed/>
    <w:rsid w:val="002273C4"/>
    <w:pPr>
      <w:ind w:left="1200"/>
    </w:pPr>
    <w:rPr>
      <w:sz w:val="20"/>
      <w:szCs w:val="20"/>
    </w:rPr>
  </w:style>
  <w:style w:type="paragraph" w:styleId="TOC7">
    <w:name w:val="toc 7"/>
    <w:basedOn w:val="Normal"/>
    <w:next w:val="Normal"/>
    <w:autoRedefine/>
    <w:uiPriority w:val="39"/>
    <w:semiHidden/>
    <w:unhideWhenUsed/>
    <w:rsid w:val="002273C4"/>
    <w:pPr>
      <w:ind w:left="1440"/>
    </w:pPr>
    <w:rPr>
      <w:sz w:val="20"/>
      <w:szCs w:val="20"/>
    </w:rPr>
  </w:style>
  <w:style w:type="paragraph" w:styleId="TOC8">
    <w:name w:val="toc 8"/>
    <w:basedOn w:val="Normal"/>
    <w:next w:val="Normal"/>
    <w:autoRedefine/>
    <w:uiPriority w:val="39"/>
    <w:semiHidden/>
    <w:unhideWhenUsed/>
    <w:rsid w:val="002273C4"/>
    <w:pPr>
      <w:ind w:left="1680"/>
    </w:pPr>
    <w:rPr>
      <w:sz w:val="20"/>
      <w:szCs w:val="20"/>
    </w:rPr>
  </w:style>
  <w:style w:type="paragraph" w:styleId="TOC9">
    <w:name w:val="toc 9"/>
    <w:basedOn w:val="Normal"/>
    <w:next w:val="Normal"/>
    <w:autoRedefine/>
    <w:uiPriority w:val="39"/>
    <w:semiHidden/>
    <w:unhideWhenUsed/>
    <w:rsid w:val="002273C4"/>
    <w:pPr>
      <w:ind w:left="1920"/>
    </w:pPr>
    <w:rPr>
      <w:sz w:val="20"/>
      <w:szCs w:val="20"/>
    </w:rPr>
  </w:style>
  <w:style w:type="paragraph" w:styleId="Footer">
    <w:name w:val="footer"/>
    <w:basedOn w:val="Normal"/>
    <w:link w:val="FooterChar"/>
    <w:uiPriority w:val="99"/>
    <w:unhideWhenUsed/>
    <w:rsid w:val="007E70FB"/>
    <w:pPr>
      <w:tabs>
        <w:tab w:val="center" w:pos="4320"/>
        <w:tab w:val="right" w:pos="8640"/>
      </w:tabs>
    </w:pPr>
  </w:style>
  <w:style w:type="character" w:customStyle="1" w:styleId="FooterChar">
    <w:name w:val="Footer Char"/>
    <w:basedOn w:val="DefaultParagraphFont"/>
    <w:link w:val="Footer"/>
    <w:uiPriority w:val="99"/>
    <w:rsid w:val="007E70FB"/>
  </w:style>
  <w:style w:type="character" w:styleId="PageNumber">
    <w:name w:val="page number"/>
    <w:basedOn w:val="DefaultParagraphFont"/>
    <w:uiPriority w:val="99"/>
    <w:semiHidden/>
    <w:unhideWhenUsed/>
    <w:rsid w:val="007E70FB"/>
  </w:style>
  <w:style w:type="paragraph" w:styleId="Header">
    <w:name w:val="header"/>
    <w:basedOn w:val="Normal"/>
    <w:link w:val="HeaderChar"/>
    <w:uiPriority w:val="99"/>
    <w:unhideWhenUsed/>
    <w:rsid w:val="007E70FB"/>
    <w:pPr>
      <w:tabs>
        <w:tab w:val="center" w:pos="4320"/>
        <w:tab w:val="right" w:pos="8640"/>
      </w:tabs>
    </w:pPr>
  </w:style>
  <w:style w:type="character" w:customStyle="1" w:styleId="HeaderChar">
    <w:name w:val="Header Char"/>
    <w:basedOn w:val="DefaultParagraphFont"/>
    <w:link w:val="Header"/>
    <w:uiPriority w:val="99"/>
    <w:rsid w:val="007E70FB"/>
  </w:style>
  <w:style w:type="paragraph" w:styleId="FootnoteText">
    <w:name w:val="footnote text"/>
    <w:basedOn w:val="Normal"/>
    <w:link w:val="FootnoteTextChar"/>
    <w:uiPriority w:val="99"/>
    <w:unhideWhenUsed/>
    <w:rsid w:val="00413A2B"/>
  </w:style>
  <w:style w:type="paragraph" w:styleId="TableofFigures">
    <w:name w:val="table of figures"/>
    <w:basedOn w:val="Normal"/>
    <w:next w:val="Normal"/>
    <w:uiPriority w:val="99"/>
    <w:unhideWhenUsed/>
    <w:rsid w:val="001C3023"/>
  </w:style>
  <w:style w:type="character" w:customStyle="1" w:styleId="FootnoteTextChar">
    <w:name w:val="Footnote Text Char"/>
    <w:basedOn w:val="DefaultParagraphFont"/>
    <w:link w:val="FootnoteText"/>
    <w:uiPriority w:val="99"/>
    <w:rsid w:val="00413A2B"/>
  </w:style>
  <w:style w:type="character" w:styleId="FootnoteReference">
    <w:name w:val="footnote reference"/>
    <w:basedOn w:val="DefaultParagraphFont"/>
    <w:uiPriority w:val="99"/>
    <w:unhideWhenUsed/>
    <w:rsid w:val="00413A2B"/>
    <w:rPr>
      <w:vertAlign w:val="superscript"/>
    </w:rPr>
  </w:style>
  <w:style w:type="paragraph" w:styleId="Caption">
    <w:name w:val="caption"/>
    <w:basedOn w:val="Normal"/>
    <w:next w:val="Normal"/>
    <w:uiPriority w:val="35"/>
    <w:unhideWhenUsed/>
    <w:qFormat/>
    <w:rsid w:val="00413A2B"/>
    <w:pPr>
      <w:spacing w:after="200"/>
    </w:pPr>
    <w:rPr>
      <w:b/>
      <w:bCs/>
      <w:color w:val="4F81BD" w:themeColor="accent1"/>
      <w:sz w:val="18"/>
      <w:szCs w:val="18"/>
    </w:rPr>
  </w:style>
  <w:style w:type="character" w:customStyle="1" w:styleId="Heading2Char">
    <w:name w:val="Heading 2 Char"/>
    <w:basedOn w:val="DefaultParagraphFont"/>
    <w:link w:val="Heading2"/>
    <w:uiPriority w:val="9"/>
    <w:rsid w:val="006A5D86"/>
    <w:rPr>
      <w:rFonts w:asciiTheme="majorHAnsi" w:eastAsiaTheme="majorEastAsia" w:hAnsiTheme="majorHAnsi" w:cstheme="majorBidi"/>
      <w:b/>
      <w:bCs/>
      <w:color w:val="4F81BD" w:themeColor="accent1"/>
      <w:sz w:val="26"/>
      <w:szCs w:val="26"/>
      <w:lang w:val="ro-RO"/>
    </w:rPr>
  </w:style>
  <w:style w:type="character" w:styleId="Hyperlink">
    <w:name w:val="Hyperlink"/>
    <w:basedOn w:val="DefaultParagraphFont"/>
    <w:uiPriority w:val="99"/>
    <w:unhideWhenUsed/>
    <w:rsid w:val="003263E0"/>
    <w:rPr>
      <w:color w:val="0000FF" w:themeColor="hyperlink"/>
      <w:u w:val="single"/>
    </w:rPr>
  </w:style>
  <w:style w:type="paragraph" w:styleId="Bibliography">
    <w:name w:val="Bibliography"/>
    <w:basedOn w:val="Normal"/>
    <w:next w:val="Normal"/>
    <w:uiPriority w:val="37"/>
    <w:unhideWhenUsed/>
    <w:rsid w:val="00AC44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57933">
      <w:bodyDiv w:val="1"/>
      <w:marLeft w:val="0"/>
      <w:marRight w:val="0"/>
      <w:marTop w:val="0"/>
      <w:marBottom w:val="0"/>
      <w:divBdr>
        <w:top w:val="none" w:sz="0" w:space="0" w:color="auto"/>
        <w:left w:val="none" w:sz="0" w:space="0" w:color="auto"/>
        <w:bottom w:val="none" w:sz="0" w:space="0" w:color="auto"/>
        <w:right w:val="none" w:sz="0" w:space="0" w:color="auto"/>
      </w:divBdr>
    </w:div>
    <w:div w:id="566231131">
      <w:bodyDiv w:val="1"/>
      <w:marLeft w:val="0"/>
      <w:marRight w:val="0"/>
      <w:marTop w:val="0"/>
      <w:marBottom w:val="0"/>
      <w:divBdr>
        <w:top w:val="none" w:sz="0" w:space="0" w:color="auto"/>
        <w:left w:val="none" w:sz="0" w:space="0" w:color="auto"/>
        <w:bottom w:val="none" w:sz="0" w:space="0" w:color="auto"/>
        <w:right w:val="none" w:sz="0" w:space="0" w:color="auto"/>
      </w:divBdr>
      <w:divsChild>
        <w:div w:id="1456289106">
          <w:marLeft w:val="0"/>
          <w:marRight w:val="0"/>
          <w:marTop w:val="0"/>
          <w:marBottom w:val="0"/>
          <w:divBdr>
            <w:top w:val="none" w:sz="0" w:space="0" w:color="auto"/>
            <w:left w:val="none" w:sz="0" w:space="0" w:color="auto"/>
            <w:bottom w:val="none" w:sz="0" w:space="0" w:color="auto"/>
            <w:right w:val="none" w:sz="0" w:space="0" w:color="auto"/>
          </w:divBdr>
          <w:divsChild>
            <w:div w:id="1805268074">
              <w:marLeft w:val="0"/>
              <w:marRight w:val="0"/>
              <w:marTop w:val="0"/>
              <w:marBottom w:val="0"/>
              <w:divBdr>
                <w:top w:val="none" w:sz="0" w:space="0" w:color="auto"/>
                <w:left w:val="none" w:sz="0" w:space="0" w:color="auto"/>
                <w:bottom w:val="none" w:sz="0" w:space="0" w:color="auto"/>
                <w:right w:val="none" w:sz="0" w:space="0" w:color="auto"/>
              </w:divBdr>
              <w:divsChild>
                <w:div w:id="4737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722388">
      <w:bodyDiv w:val="1"/>
      <w:marLeft w:val="0"/>
      <w:marRight w:val="0"/>
      <w:marTop w:val="0"/>
      <w:marBottom w:val="0"/>
      <w:divBdr>
        <w:top w:val="none" w:sz="0" w:space="0" w:color="auto"/>
        <w:left w:val="none" w:sz="0" w:space="0" w:color="auto"/>
        <w:bottom w:val="none" w:sz="0" w:space="0" w:color="auto"/>
        <w:right w:val="none" w:sz="0" w:space="0" w:color="auto"/>
      </w:divBdr>
    </w:div>
    <w:div w:id="1210606300">
      <w:bodyDiv w:val="1"/>
      <w:marLeft w:val="0"/>
      <w:marRight w:val="0"/>
      <w:marTop w:val="0"/>
      <w:marBottom w:val="0"/>
      <w:divBdr>
        <w:top w:val="none" w:sz="0" w:space="0" w:color="auto"/>
        <w:left w:val="none" w:sz="0" w:space="0" w:color="auto"/>
        <w:bottom w:val="none" w:sz="0" w:space="0" w:color="auto"/>
        <w:right w:val="none" w:sz="0" w:space="0" w:color="auto"/>
      </w:divBdr>
      <w:divsChild>
        <w:div w:id="1612055514">
          <w:marLeft w:val="0"/>
          <w:marRight w:val="0"/>
          <w:marTop w:val="0"/>
          <w:marBottom w:val="0"/>
          <w:divBdr>
            <w:top w:val="none" w:sz="0" w:space="0" w:color="auto"/>
            <w:left w:val="none" w:sz="0" w:space="0" w:color="auto"/>
            <w:bottom w:val="none" w:sz="0" w:space="0" w:color="auto"/>
            <w:right w:val="none" w:sz="0" w:space="0" w:color="auto"/>
          </w:divBdr>
          <w:divsChild>
            <w:div w:id="677125344">
              <w:marLeft w:val="0"/>
              <w:marRight w:val="0"/>
              <w:marTop w:val="0"/>
              <w:marBottom w:val="0"/>
              <w:divBdr>
                <w:top w:val="none" w:sz="0" w:space="0" w:color="auto"/>
                <w:left w:val="none" w:sz="0" w:space="0" w:color="auto"/>
                <w:bottom w:val="none" w:sz="0" w:space="0" w:color="auto"/>
                <w:right w:val="none" w:sz="0" w:space="0" w:color="auto"/>
              </w:divBdr>
              <w:divsChild>
                <w:div w:id="2129468342">
                  <w:marLeft w:val="0"/>
                  <w:marRight w:val="0"/>
                  <w:marTop w:val="0"/>
                  <w:marBottom w:val="0"/>
                  <w:divBdr>
                    <w:top w:val="none" w:sz="0" w:space="0" w:color="auto"/>
                    <w:left w:val="none" w:sz="0" w:space="0" w:color="auto"/>
                    <w:bottom w:val="none" w:sz="0" w:space="0" w:color="auto"/>
                    <w:right w:val="none" w:sz="0" w:space="0" w:color="auto"/>
                  </w:divBdr>
                  <w:divsChild>
                    <w:div w:id="172185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294477">
      <w:bodyDiv w:val="1"/>
      <w:marLeft w:val="0"/>
      <w:marRight w:val="0"/>
      <w:marTop w:val="0"/>
      <w:marBottom w:val="0"/>
      <w:divBdr>
        <w:top w:val="none" w:sz="0" w:space="0" w:color="auto"/>
        <w:left w:val="none" w:sz="0" w:space="0" w:color="auto"/>
        <w:bottom w:val="none" w:sz="0" w:space="0" w:color="auto"/>
        <w:right w:val="none" w:sz="0" w:space="0" w:color="auto"/>
      </w:divBdr>
      <w:divsChild>
        <w:div w:id="1865631544">
          <w:marLeft w:val="0"/>
          <w:marRight w:val="0"/>
          <w:marTop w:val="0"/>
          <w:marBottom w:val="0"/>
          <w:divBdr>
            <w:top w:val="none" w:sz="0" w:space="0" w:color="auto"/>
            <w:left w:val="none" w:sz="0" w:space="0" w:color="auto"/>
            <w:bottom w:val="none" w:sz="0" w:space="0" w:color="auto"/>
            <w:right w:val="none" w:sz="0" w:space="0" w:color="auto"/>
          </w:divBdr>
          <w:divsChild>
            <w:div w:id="1776290266">
              <w:marLeft w:val="0"/>
              <w:marRight w:val="0"/>
              <w:marTop w:val="0"/>
              <w:marBottom w:val="0"/>
              <w:divBdr>
                <w:top w:val="none" w:sz="0" w:space="0" w:color="auto"/>
                <w:left w:val="none" w:sz="0" w:space="0" w:color="auto"/>
                <w:bottom w:val="none" w:sz="0" w:space="0" w:color="auto"/>
                <w:right w:val="none" w:sz="0" w:space="0" w:color="auto"/>
              </w:divBdr>
              <w:divsChild>
                <w:div w:id="73520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875349">
      <w:bodyDiv w:val="1"/>
      <w:marLeft w:val="0"/>
      <w:marRight w:val="0"/>
      <w:marTop w:val="0"/>
      <w:marBottom w:val="0"/>
      <w:divBdr>
        <w:top w:val="none" w:sz="0" w:space="0" w:color="auto"/>
        <w:left w:val="none" w:sz="0" w:space="0" w:color="auto"/>
        <w:bottom w:val="none" w:sz="0" w:space="0" w:color="auto"/>
        <w:right w:val="none" w:sz="0" w:space="0" w:color="auto"/>
      </w:divBdr>
    </w:div>
    <w:div w:id="2031176568">
      <w:bodyDiv w:val="1"/>
      <w:marLeft w:val="0"/>
      <w:marRight w:val="0"/>
      <w:marTop w:val="0"/>
      <w:marBottom w:val="0"/>
      <w:divBdr>
        <w:top w:val="none" w:sz="0" w:space="0" w:color="auto"/>
        <w:left w:val="none" w:sz="0" w:space="0" w:color="auto"/>
        <w:bottom w:val="none" w:sz="0" w:space="0" w:color="auto"/>
        <w:right w:val="none" w:sz="0" w:space="0" w:color="auto"/>
      </w:divBdr>
      <w:divsChild>
        <w:div w:id="956640959">
          <w:marLeft w:val="0"/>
          <w:marRight w:val="0"/>
          <w:marTop w:val="0"/>
          <w:marBottom w:val="0"/>
          <w:divBdr>
            <w:top w:val="none" w:sz="0" w:space="0" w:color="auto"/>
            <w:left w:val="none" w:sz="0" w:space="0" w:color="auto"/>
            <w:bottom w:val="none" w:sz="0" w:space="0" w:color="auto"/>
            <w:right w:val="none" w:sz="0" w:space="0" w:color="auto"/>
          </w:divBdr>
          <w:divsChild>
            <w:div w:id="2090958725">
              <w:marLeft w:val="0"/>
              <w:marRight w:val="0"/>
              <w:marTop w:val="0"/>
              <w:marBottom w:val="0"/>
              <w:divBdr>
                <w:top w:val="none" w:sz="0" w:space="0" w:color="auto"/>
                <w:left w:val="none" w:sz="0" w:space="0" w:color="auto"/>
                <w:bottom w:val="none" w:sz="0" w:space="0" w:color="auto"/>
                <w:right w:val="none" w:sz="0" w:space="0" w:color="auto"/>
              </w:divBdr>
              <w:divsChild>
                <w:div w:id="2126533623">
                  <w:marLeft w:val="0"/>
                  <w:marRight w:val="0"/>
                  <w:marTop w:val="0"/>
                  <w:marBottom w:val="0"/>
                  <w:divBdr>
                    <w:top w:val="none" w:sz="0" w:space="0" w:color="auto"/>
                    <w:left w:val="none" w:sz="0" w:space="0" w:color="auto"/>
                    <w:bottom w:val="none" w:sz="0" w:space="0" w:color="auto"/>
                    <w:right w:val="none" w:sz="0" w:space="0" w:color="auto"/>
                  </w:divBdr>
                  <w:divsChild>
                    <w:div w:id="2052798151">
                      <w:marLeft w:val="0"/>
                      <w:marRight w:val="0"/>
                      <w:marTop w:val="0"/>
                      <w:marBottom w:val="0"/>
                      <w:divBdr>
                        <w:top w:val="none" w:sz="0" w:space="0" w:color="auto"/>
                        <w:left w:val="none" w:sz="0" w:space="0" w:color="auto"/>
                        <w:bottom w:val="none" w:sz="0" w:space="0" w:color="auto"/>
                        <w:right w:val="none" w:sz="0" w:space="0" w:color="auto"/>
                      </w:divBdr>
                    </w:div>
                  </w:divsChild>
                </w:div>
                <w:div w:id="358313831">
                  <w:marLeft w:val="0"/>
                  <w:marRight w:val="0"/>
                  <w:marTop w:val="0"/>
                  <w:marBottom w:val="0"/>
                  <w:divBdr>
                    <w:top w:val="none" w:sz="0" w:space="0" w:color="auto"/>
                    <w:left w:val="none" w:sz="0" w:space="0" w:color="auto"/>
                    <w:bottom w:val="none" w:sz="0" w:space="0" w:color="auto"/>
                    <w:right w:val="none" w:sz="0" w:space="0" w:color="auto"/>
                  </w:divBdr>
                  <w:divsChild>
                    <w:div w:id="97106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e-licitatie.ro" TargetMode="External"/><Relationship Id="rId12" Type="http://schemas.openxmlformats.org/officeDocument/2006/relationships/hyperlink" Target="http://www.ted.europa.eu" TargetMode="External"/><Relationship Id="rId13" Type="http://schemas.openxmlformats.org/officeDocument/2006/relationships/hyperlink" Target="http://www.mfinante.ro" TargetMode="External"/><Relationship Id="rId14" Type="http://schemas.openxmlformats.org/officeDocument/2006/relationships/image" Target="media/image1.png"/><Relationship Id="rId15" Type="http://schemas.openxmlformats.org/officeDocument/2006/relationships/hyperlink" Target="http://fonduri.mcsi.ro"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Min14</b:Tag>
    <b:SourceType>InternetSite</b:SourceType>
    <b:Guid>{C5F4E681-2920-6F4D-B64D-62A2BA2D58E5}</b:Guid>
    <b:Author>
      <b:Author>
        <b:Corporate>Ministerul Finantelor Publice</b:Corporate>
      </b:Author>
    </b:Author>
    <b:Title>Norme Anuale de Venit: Anul 2014</b:Title>
    <b:InternetSiteTitle>Ministerul Finantelor Publice - Agenția Națională de Administrație Fiscală</b:InternetSiteTitle>
    <b:URL>http://www.anaf.ro/anaf/internet/Ilfov_old/asist_contrib_ilfov/norme_venit_2014_if/!ut/p/a1/lZDbCoJAEEC_pR9wxkvrvpqhIsmm4G1fQsE2QV0xyd_Peup-mbeBc-DMAIcMeFecalGMteyK5rJzsvNUj3ga1XzmbhAtZrjEDFBHZs5AfgvQ0HBmAJf-OrFV2yT_-oSZaFHHDRhNVErU33x8MxZ-81Pg98iLCx6A58Qr8KHBBy4aWc7_TFfA3SCL-vBSbnWlTgXwodpXQzUoB3kcIZumSRFSiqZSBgl9G8cZ1ts2yhdnx6Wvmw!!/dl5/d5/L2dBISEvZ0FBIS9nQSEh/</b:URL>
    <b:Year>2014</b:Year>
    <b:Month>01</b:Month>
    <b:Day>02</b:Day>
    <b:YearAccessed>2014</b:YearAccessed>
    <b:MonthAccessed>07</b:MonthAccessed>
    <b:DayAccessed>01</b:DayAccessed>
    <b:RefOrder>2</b:RefOrder>
  </b:Source>
  <b:Source>
    <b:Tag>Min07</b:Tag>
    <b:SourceType>InternetSite</b:SourceType>
    <b:Guid>{5047B23C-B7F3-5347-96CD-237D35433A08}</b:Guid>
    <b:Author>
      <b:Author>
        <b:Corporate>Ministerul pentru Societatea Informațională</b:Corporate>
      </b:Author>
    </b:Author>
    <b:Title>Organismul Intermediar pentru Promovarea Societății Informaționale</b:Title>
    <b:InternetSiteTitle>Ministerul pentru Societatea Informațională</b:InternetSiteTitle>
    <b:URL>http://fonduri.mcsi.ro/?q=system/files/Axa3.pdf</b:URL>
    <b:Year>2007</b:Year>
    <b:Month>01</b:Month>
    <b:Day>01</b:Day>
    <b:YearAccessed>2014</b:YearAccessed>
    <b:MonthAccessed>07</b:MonthAccessed>
    <b:DayAccessed>01</b:DayAccessed>
    <b:RefOrder>4</b:RefOrder>
  </b:Source>
  <b:Source>
    <b:Tag>Min04</b:Tag>
    <b:SourceType>InternetSite</b:SourceType>
    <b:Guid>{51D646F4-240A-7940-BA21-C743F4A5FF24}</b:Guid>
    <b:Author>
      <b:Author>
        <b:Corporate>Ministerul pentru Societatea Informațională</b:Corporate>
      </b:Author>
    </b:Author>
    <b:Title>Proiectul Economia Bazată pe Cunoaștere</b:Title>
    <b:InternetSiteTitle>Ministerul pentru Societatea Informațională</b:InternetSiteTitle>
    <b:URL>http://www.ecomunitate.ro/Proiectul_Economia_Bazata_pe_Cunoastere(51).html</b:URL>
    <b:Year>2007</b:Year>
    <b:Month>01</b:Month>
    <b:Day>01</b:Day>
    <b:YearAccessed>2014</b:YearAccessed>
    <b:MonthAccessed>07</b:MonthAccessed>
    <b:DayAccessed>01</b:DayAccessed>
    <b:RefOrder>3</b:RefOrder>
  </b:Source>
  <b:Source>
    <b:Tag>Guv06</b:Tag>
    <b:SourceType>InternetSite</b:SourceType>
    <b:Guid>{DFC2B678-4909-8F47-A55A-56D9A9A6FC66}</b:Guid>
    <b:Title>Planul Național de Dezvoltare 2007 - 2013</b:Title>
    <b:Year>2006</b:Year>
    <b:Author>
      <b:Author>
        <b:Corporate>Guvernul României</b:Corporate>
      </b:Author>
    </b:Author>
    <b:InternetSiteTitle>Ministerul Fondurilor Europene</b:InternetSiteTitle>
    <b:URL>http://www.fonduri-ue.ro/posdru/images/downdocs/pnd_ro.pdf</b:URL>
    <b:Month>decembrie</b:Month>
    <b:Day>01</b:Day>
    <b:YearAccessed>2014</b:YearAccessed>
    <b:MonthAccessed>iulie</b:MonthAccessed>
    <b:DayAccessed>01</b:DayAccessed>
    <b:RefOrder>1</b:RefOrder>
  </b:Source>
</b:Sources>
</file>

<file path=customXml/itemProps1.xml><?xml version="1.0" encoding="utf-8"?>
<ds:datastoreItem xmlns:ds="http://schemas.openxmlformats.org/officeDocument/2006/customXml" ds:itemID="{759457F7-EDF6-4645-88EB-15C701152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570</TotalTime>
  <Pages>22</Pages>
  <Words>7268</Words>
  <Characters>41431</Characters>
  <Application>Microsoft Macintosh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Laurian Tanasescu</dc:creator>
  <cp:keywords/>
  <dc:description/>
  <cp:lastModifiedBy>Laurian Tanasescu</cp:lastModifiedBy>
  <cp:revision>47</cp:revision>
  <cp:lastPrinted>2014-07-29T16:33:00Z</cp:lastPrinted>
  <dcterms:created xsi:type="dcterms:W3CDTF">2014-07-25T12:42:00Z</dcterms:created>
  <dcterms:modified xsi:type="dcterms:W3CDTF">2015-04-16T16:01:00Z</dcterms:modified>
</cp:coreProperties>
</file>