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C53" w:rsidRPr="00E34ECB" w:rsidRDefault="00E34ECB" w:rsidP="00AF5F88">
      <w:pPr>
        <w:ind w:firstLine="720"/>
        <w:jc w:val="center"/>
        <w:rPr>
          <w:b/>
        </w:rPr>
      </w:pPr>
      <w:r>
        <w:rPr>
          <w:b/>
          <w:lang w:val="en-US"/>
        </w:rPr>
        <w:t>Convergența dezvoltării regionale în Uniunea Europeană</w:t>
      </w:r>
    </w:p>
    <w:p w:rsidR="00AF5F88" w:rsidRPr="00AF5F88" w:rsidRDefault="00AF5F88" w:rsidP="00AF5F88">
      <w:pPr>
        <w:ind w:firstLine="720"/>
        <w:jc w:val="center"/>
        <w:rPr>
          <w:b/>
        </w:rPr>
      </w:pPr>
    </w:p>
    <w:p w:rsidR="00083C53" w:rsidRPr="00AF5F88" w:rsidRDefault="00083C53" w:rsidP="00AF5F88">
      <w:pPr>
        <w:widowControl w:val="0"/>
        <w:autoSpaceDE w:val="0"/>
        <w:autoSpaceDN w:val="0"/>
        <w:adjustRightInd w:val="0"/>
        <w:jc w:val="center"/>
        <w:rPr>
          <w:i/>
          <w:iCs/>
          <w:color w:val="0000FF"/>
          <w:u w:val="single"/>
        </w:rPr>
      </w:pPr>
      <w:bookmarkStart w:id="0" w:name="_GoBack"/>
      <w:bookmarkEnd w:id="0"/>
    </w:p>
    <w:p w:rsidR="00083C53" w:rsidRPr="00AF5F88" w:rsidRDefault="00083C53" w:rsidP="00AF5F88">
      <w:pPr>
        <w:pStyle w:val="ListParagraph"/>
        <w:jc w:val="both"/>
        <w:rPr>
          <w:i/>
        </w:rPr>
      </w:pPr>
    </w:p>
    <w:p w:rsidR="00083C53" w:rsidRPr="00AF5F88" w:rsidRDefault="00083C53" w:rsidP="00AF5F88">
      <w:pPr>
        <w:pStyle w:val="ListParagraph"/>
        <w:jc w:val="both"/>
        <w:rPr>
          <w:b/>
          <w:i/>
        </w:rPr>
      </w:pPr>
      <w:r w:rsidRPr="00AF5F88">
        <w:rPr>
          <w:b/>
          <w:i/>
        </w:rPr>
        <w:t>Abstract</w:t>
      </w:r>
    </w:p>
    <w:p w:rsidR="00083C53" w:rsidRPr="00AF5F88" w:rsidRDefault="00083C53" w:rsidP="00AF5F88">
      <w:pPr>
        <w:pStyle w:val="ListParagraph"/>
        <w:jc w:val="both"/>
      </w:pPr>
    </w:p>
    <w:p w:rsidR="00083C53" w:rsidRPr="00AF5F88" w:rsidRDefault="00083C53" w:rsidP="00AF5F88">
      <w:pPr>
        <w:pStyle w:val="ListParagraph"/>
        <w:jc w:val="both"/>
        <w:rPr>
          <w:i/>
        </w:rPr>
      </w:pPr>
      <w:r w:rsidRPr="00AF5F88">
        <w:tab/>
      </w:r>
      <w:r w:rsidRPr="00AF5F88">
        <w:rPr>
          <w:i/>
        </w:rPr>
        <w:t xml:space="preserve">During last century Europe, politicians have become increasingly aware that the establishment of domestic and international economic relations lasting based on  trust and demonstrating solidarity with individuals and / or nations less  developed,  have become indispensable to </w:t>
      </w:r>
      <w:hyperlink r:id="rId6" w:history="1">
        <w:r w:rsidRPr="00AF5F88">
          <w:rPr>
            <w:rStyle w:val="Hyperlink"/>
            <w:i/>
            <w:color w:val="auto"/>
            <w:u w:val="none"/>
          </w:rPr>
          <w:t>achieve</w:t>
        </w:r>
      </w:hyperlink>
      <w:r w:rsidRPr="00AF5F88">
        <w:rPr>
          <w:i/>
        </w:rPr>
        <w:t xml:space="preserve"> general welfare .</w:t>
      </w:r>
    </w:p>
    <w:p w:rsidR="00083C53" w:rsidRPr="00AF5F88" w:rsidRDefault="00083C53" w:rsidP="00AF5F88">
      <w:pPr>
        <w:pStyle w:val="ListParagraph"/>
        <w:jc w:val="both"/>
        <w:rPr>
          <w:i/>
        </w:rPr>
      </w:pPr>
      <w:r w:rsidRPr="00AF5F88">
        <w:rPr>
          <w:i/>
        </w:rPr>
        <w:tab/>
        <w:t xml:space="preserve"> Is important the analysis of the conditions for achieving economic growth and regional development, which have been discussed in terms of experiences of Member States over time and their critical issues affecting the EU and make it vulnerable. It is also </w:t>
      </w:r>
      <w:hyperlink r:id="rId7" w:history="1">
        <w:r w:rsidRPr="00AF5F88">
          <w:rPr>
            <w:rStyle w:val="Hyperlink"/>
            <w:i/>
            <w:color w:val="auto"/>
            <w:u w:val="none"/>
          </w:rPr>
          <w:t>approached</w:t>
        </w:r>
      </w:hyperlink>
      <w:r w:rsidRPr="00AF5F88">
        <w:rPr>
          <w:i/>
        </w:rPr>
        <w:t xml:space="preserve"> the issues of financial instruments used by the EU to improve regional development and alignment of Member States  policy.</w:t>
      </w:r>
    </w:p>
    <w:p w:rsidR="00D30941" w:rsidRPr="00AF5F88" w:rsidRDefault="00D30941" w:rsidP="00AF5F88">
      <w:pPr>
        <w:pStyle w:val="ListParagraph"/>
        <w:jc w:val="both"/>
        <w:rPr>
          <w:i/>
        </w:rPr>
      </w:pPr>
      <w:r w:rsidRPr="00AF5F88">
        <w:rPr>
          <w:i/>
          <w:lang w:val="en-US"/>
        </w:rPr>
        <w:t>The economic development of a region is, usually, expressed in terms of gross domestic product (GDP). This ratio is also frequently used as a basis for regions comparison.</w:t>
      </w:r>
      <w:r w:rsidRPr="00AF5F88">
        <w:rPr>
          <w:i/>
          <w:lang w:val="en-US" w:eastAsia="en-US"/>
        </w:rPr>
        <w:t xml:space="preserve"> </w:t>
      </w:r>
      <w:r w:rsidRPr="00AF5F88">
        <w:rPr>
          <w:i/>
          <w:lang w:val="en-US"/>
        </w:rPr>
        <w:t>Another indicator  is the one  related to employment.</w:t>
      </w:r>
      <w:r w:rsidRPr="00AF5F88">
        <w:rPr>
          <w:i/>
          <w:lang w:val="en-US" w:eastAsia="en-US"/>
        </w:rPr>
        <w:t xml:space="preserve"> </w:t>
      </w:r>
      <w:r w:rsidRPr="00AF5F88">
        <w:rPr>
          <w:i/>
          <w:lang w:val="en-US"/>
        </w:rPr>
        <w:t>Regional convergence in GDP per capita expressed in PPS can be analyzed in different ways.</w:t>
      </w:r>
    </w:p>
    <w:p w:rsidR="00BD28A7" w:rsidRPr="00AF5F88" w:rsidRDefault="00BD28A7" w:rsidP="00AF5F88"/>
    <w:p w:rsidR="00083C53" w:rsidRPr="00AF5F88" w:rsidRDefault="00083C53" w:rsidP="00AF5F88">
      <w:r w:rsidRPr="00AF5F88">
        <w:rPr>
          <w:b/>
        </w:rPr>
        <w:t xml:space="preserve">            Key words</w:t>
      </w:r>
      <w:r w:rsidRPr="00AF5F88">
        <w:t>:  region, regional development, cohesion policy, disparities, community    funds, convergence.</w:t>
      </w:r>
    </w:p>
    <w:p w:rsidR="00D30941" w:rsidRPr="00AF5F88" w:rsidRDefault="00D30941" w:rsidP="00AF5F88">
      <w:pPr>
        <w:widowControl w:val="0"/>
        <w:overflowPunct w:val="0"/>
        <w:autoSpaceDE w:val="0"/>
        <w:autoSpaceDN w:val="0"/>
        <w:adjustRightInd w:val="0"/>
        <w:jc w:val="both"/>
      </w:pPr>
      <w:r w:rsidRPr="00AF5F88">
        <w:t xml:space="preserve">          JEL Classification.:F36, F63</w:t>
      </w:r>
    </w:p>
    <w:p w:rsidR="00C17693" w:rsidRPr="00AF5F88" w:rsidRDefault="00C17693" w:rsidP="00AF5F88"/>
    <w:p w:rsidR="00C17693" w:rsidRPr="00AF5F88" w:rsidRDefault="00C17693" w:rsidP="00AF5F88"/>
    <w:p w:rsidR="00083C53" w:rsidRPr="00AF5F88" w:rsidRDefault="00AF5F88" w:rsidP="00AF5F88">
      <w:pPr>
        <w:rPr>
          <w:b/>
        </w:rPr>
      </w:pPr>
      <w:r>
        <w:rPr>
          <w:b/>
        </w:rPr>
        <w:tab/>
      </w:r>
      <w:r w:rsidRPr="00AF5F88">
        <w:rPr>
          <w:b/>
        </w:rPr>
        <w:t>Introducere</w:t>
      </w:r>
    </w:p>
    <w:p w:rsidR="002B0437" w:rsidRPr="00AF5F88" w:rsidRDefault="009B54A2" w:rsidP="00AF5F88">
      <w:pPr>
        <w:ind w:firstLine="720"/>
        <w:jc w:val="both"/>
      </w:pPr>
      <w:r w:rsidRPr="00AF5F88">
        <w:t>Dezvoltarea economică a unei regiuni este, de regulă, exprimată în termeni de produs intern brut (PIB). Acest indicator este, de asemenea, frecvent utilizat ca bază pentru comparaţii între regiuni. Acesta este folosit pentru a face comparaţii între statele membre ale UE şi este esenţial în determinarea unei game largi de politici, cum ar fi măsura în care un stat membru ar trebui să contribuie la bugetul UE.</w:t>
      </w:r>
    </w:p>
    <w:p w:rsidR="00F81573" w:rsidRPr="00AF5F88" w:rsidRDefault="00AF5F88" w:rsidP="00AF5F88">
      <w:pPr>
        <w:pStyle w:val="ListParagraph"/>
        <w:ind w:left="0"/>
        <w:jc w:val="both"/>
      </w:pPr>
      <w:r>
        <w:tab/>
      </w:r>
      <w:r w:rsidR="00F81573" w:rsidRPr="00AF5F88">
        <w:t xml:space="preserve">Cea mai mare creștere, a fost înregistrată de Lituania (4,6% pe an),  și Estonia (4,5% pe an) urmată de Letonia (4,4%), Slovacia (4,2%), Bulgaria și Polonia (ambele 3,8 %). Prin contrast, cele mai mici rate de creștere a PIB real în perioada 2000-2012 au fost înregistrate în Italia și Portugalia (0,4% pe an), precum și Danemarca (0,8%). </w:t>
      </w:r>
    </w:p>
    <w:p w:rsidR="00F81573" w:rsidRPr="00AF5F88" w:rsidRDefault="00F81573" w:rsidP="00AF5F88">
      <w:pPr>
        <w:pStyle w:val="ListParagraph"/>
        <w:ind w:left="0"/>
        <w:jc w:val="both"/>
      </w:pPr>
    </w:p>
    <w:p w:rsidR="00F81573" w:rsidRPr="00AF5F88" w:rsidRDefault="00F81573" w:rsidP="00AF5F88">
      <w:pPr>
        <w:jc w:val="both"/>
        <w:rPr>
          <w:rStyle w:val="hps"/>
        </w:rPr>
      </w:pPr>
      <w:r w:rsidRPr="00AF5F88">
        <w:rPr>
          <w:noProof/>
        </w:rPr>
        <w:drawing>
          <wp:inline distT="0" distB="0" distL="0" distR="0">
            <wp:extent cx="4865370" cy="1699260"/>
            <wp:effectExtent l="19050" t="0" r="11430" b="0"/>
            <wp:docPr id="10"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1573" w:rsidRPr="00AF5F88" w:rsidRDefault="00F81573" w:rsidP="00AF5F88">
      <w:pPr>
        <w:jc w:val="center"/>
        <w:rPr>
          <w:b/>
          <w:i/>
          <w:sz w:val="20"/>
          <w:szCs w:val="20"/>
        </w:rPr>
      </w:pPr>
    </w:p>
    <w:p w:rsidR="00F81573" w:rsidRPr="00AF5F88" w:rsidRDefault="00F81573" w:rsidP="00AF5F88">
      <w:pPr>
        <w:jc w:val="center"/>
        <w:rPr>
          <w:rStyle w:val="hps"/>
          <w:b/>
          <w:i/>
          <w:sz w:val="20"/>
          <w:szCs w:val="20"/>
        </w:rPr>
      </w:pPr>
      <w:r w:rsidRPr="00AF5F88">
        <w:rPr>
          <w:b/>
          <w:i/>
          <w:sz w:val="20"/>
          <w:szCs w:val="20"/>
        </w:rPr>
        <w:t xml:space="preserve">Fig. </w:t>
      </w:r>
      <w:r w:rsidR="00AF5F88" w:rsidRPr="00AF5F88">
        <w:rPr>
          <w:b/>
          <w:i/>
          <w:sz w:val="20"/>
          <w:szCs w:val="20"/>
        </w:rPr>
        <w:t>1</w:t>
      </w:r>
      <w:r w:rsidRPr="00AF5F88">
        <w:rPr>
          <w:b/>
          <w:i/>
          <w:sz w:val="20"/>
          <w:szCs w:val="20"/>
        </w:rPr>
        <w:t>. Media ratelor de creștere a PIB în intervalul 2000-2012</w:t>
      </w:r>
    </w:p>
    <w:p w:rsidR="00AF5F88" w:rsidRDefault="00AF5F88" w:rsidP="00AF5F88">
      <w:pPr>
        <w:pStyle w:val="NoSpacing"/>
        <w:ind w:firstLine="708"/>
        <w:jc w:val="both"/>
      </w:pPr>
    </w:p>
    <w:p w:rsidR="00F81573" w:rsidRPr="00AF5F88" w:rsidRDefault="00F81573" w:rsidP="00AF5F88">
      <w:pPr>
        <w:pStyle w:val="NoSpacing"/>
        <w:ind w:firstLine="708"/>
        <w:jc w:val="both"/>
      </w:pPr>
      <w:r w:rsidRPr="00AF5F88">
        <w:t xml:space="preserve">În regiunile de nivel NUTS 2 din UE, PIB-ul pe cap de locuitor a variat de la 6 500 PPS (27% din media UE-27) în Severozapaden în Bulgaria la 80 300 PPS (328% din media UE-27) în regiunea capitală Inner London în Regatul Unit; între cele două capete ale distribuției  a existat un factor de 12,4 la 1. Luxemburg (266% față de media UE-27 și 65200 PIB/loc), regiunea belgiană Bruxelles-Capitale/Brussels Hoofdstedelijk Gewest (223%) și regiunea german Hamburg (202%) ocupă pozițiile următoare  în ceea ce privește clasamentul regiunilor cu cel mai mare PIB/locuitor. </w:t>
      </w:r>
    </w:p>
    <w:p w:rsidR="00E214DD" w:rsidRPr="00AF5F88" w:rsidRDefault="00F81573" w:rsidP="00AF5F88">
      <w:pPr>
        <w:pStyle w:val="ListParagraph"/>
        <w:ind w:left="0"/>
        <w:jc w:val="both"/>
        <w:rPr>
          <w:lang w:val="en-US"/>
        </w:rPr>
      </w:pPr>
      <w:r w:rsidRPr="00AF5F88">
        <w:tab/>
      </w:r>
      <w:r w:rsidR="009B54A2" w:rsidRPr="00AF5F88">
        <w:t xml:space="preserve">Convergenţa regională a PIB-ului pe cap de locuitor exprimată în SPC se poate analiza în diferite moduri. Metoda cea mai la îndemână este măsurarea raportului între valorile cele mai mici și cele mai mari. Conform acestei metode, decalajele dintre regiunile UE-27 au fost diminuate de la un factor de 17,1 în 2000 la 12,2 în 2010, în special datorită dezvoltării rapide a României și Bulgariei. Totuși, această metodă utilizează numai valorile extreme, marea majoritate a regiunilor nefiind luate în calcul. În ansamblu, creșterea convergenţei în câteva state </w:t>
      </w:r>
      <w:r w:rsidR="009B54A2" w:rsidRPr="00AF5F88">
        <w:lastRenderedPageBreak/>
        <w:t>UE-15 și între statele membre a compensat divergenţa în creștere din alte state membre, prin urmare, concluzionăm existenţa unei creșteri a convergenţei pentru toate statele UE-27.</w:t>
      </w:r>
    </w:p>
    <w:p w:rsidR="00F81573" w:rsidRPr="00AF5F88" w:rsidRDefault="00F81573" w:rsidP="00AF5F88">
      <w:pPr>
        <w:pStyle w:val="ListParagraph"/>
        <w:ind w:left="0"/>
        <w:jc w:val="both"/>
      </w:pPr>
      <w:r w:rsidRPr="00AF5F88">
        <w:rPr>
          <w:noProof/>
        </w:rPr>
        <w:drawing>
          <wp:inline distT="0" distB="0" distL="0" distR="0">
            <wp:extent cx="4812665" cy="1837055"/>
            <wp:effectExtent l="19050" t="0" r="26035" b="0"/>
            <wp:docPr id="15"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1573" w:rsidRPr="00AF5F88" w:rsidRDefault="00F81573" w:rsidP="00AF5F88">
      <w:pPr>
        <w:pStyle w:val="NormalWeb"/>
        <w:jc w:val="center"/>
        <w:rPr>
          <w:b/>
          <w:i/>
        </w:rPr>
      </w:pPr>
      <w:r w:rsidRPr="00AF5F88">
        <w:tab/>
      </w:r>
      <w:r w:rsidR="00AF5F88">
        <w:rPr>
          <w:b/>
          <w:i/>
        </w:rPr>
        <w:t>Fig.2</w:t>
      </w:r>
      <w:r w:rsidRPr="00AF5F88">
        <w:rPr>
          <w:b/>
          <w:i/>
        </w:rPr>
        <w:t>.  Dispersia PIB/loc. 2000, 2010</w:t>
      </w:r>
    </w:p>
    <w:p w:rsidR="00AF5F88" w:rsidRDefault="00F81573" w:rsidP="00AF5F88">
      <w:pPr>
        <w:pStyle w:val="NormalWeb"/>
        <w:jc w:val="both"/>
      </w:pPr>
      <w:r w:rsidRPr="00AF5F88">
        <w:tab/>
      </w:r>
    </w:p>
    <w:p w:rsidR="00F81573" w:rsidRPr="00AF5F88" w:rsidRDefault="00F81573" w:rsidP="00AF5F88">
      <w:pPr>
        <w:pStyle w:val="NormalWeb"/>
        <w:jc w:val="both"/>
      </w:pPr>
      <w:r w:rsidRPr="00AF5F88">
        <w:t xml:space="preserve">  Figura anterioară ne oferă o imagine obiectivă asupra dispersiei PIB-ului pe locuitor în cei doi ani luați ca bază de comparație. Tendințele dispesiei au fost asemănătoare în ambele perioade, cu excepția Greciei care a înregistrat o creștere semnificativă în anul 2010 față de anul 2000 datorită crizei economice fără precedent.</w:t>
      </w:r>
    </w:p>
    <w:p w:rsidR="00337FD6" w:rsidRPr="00AF5F88" w:rsidRDefault="00F81573" w:rsidP="00AF5F88">
      <w:pPr>
        <w:pStyle w:val="HTMLPreformatted"/>
        <w:shd w:val="clear" w:color="auto" w:fill="FFFFFF"/>
        <w:rPr>
          <w:rFonts w:ascii="Times New Roman" w:hAnsi="Times New Roman" w:cs="Times New Roman"/>
          <w:color w:val="212121"/>
          <w:sz w:val="24"/>
          <w:szCs w:val="24"/>
        </w:rPr>
      </w:pPr>
      <w:r w:rsidRPr="00AF5F88">
        <w:rPr>
          <w:rFonts w:ascii="Times New Roman" w:hAnsi="Times New Roman" w:cs="Times New Roman"/>
          <w:sz w:val="24"/>
          <w:szCs w:val="24"/>
        </w:rPr>
        <w:tab/>
      </w:r>
      <w:r w:rsidR="00AF5F88" w:rsidRPr="00AF5F88">
        <w:rPr>
          <w:rFonts w:ascii="Times New Roman" w:hAnsi="Times New Roman" w:cs="Times New Roman"/>
          <w:color w:val="212121"/>
          <w:sz w:val="24"/>
          <w:szCs w:val="24"/>
        </w:rPr>
        <w:t>Pe baza datelor statistice disponibile , am analizat PIB pentru statele membre UE , folosind diagrama box - plot și analiza componentelor principale ( PCA ) . APC a evidențiat două grupe de țări :</w:t>
      </w:r>
    </w:p>
    <w:p w:rsidR="00337FD6" w:rsidRPr="00AF5F88" w:rsidRDefault="00337FD6" w:rsidP="00AF5F88">
      <w:pPr>
        <w:pStyle w:val="NormalWeb"/>
        <w:numPr>
          <w:ilvl w:val="2"/>
          <w:numId w:val="1"/>
        </w:numPr>
        <w:ind w:left="851" w:hanging="317"/>
        <w:jc w:val="both"/>
      </w:pPr>
      <w:r w:rsidRPr="00AF5F88">
        <w:t>Grupul țărilor care au înregistrat un  PIB ridicat în toți anii considerați(2001-2012) respectiv Suedia, Danemarca, Olanda, Irlanda, Finlanda;</w:t>
      </w:r>
    </w:p>
    <w:p w:rsidR="00337FD6" w:rsidRPr="00AF5F88" w:rsidRDefault="00337FD6" w:rsidP="00AF5F88">
      <w:pPr>
        <w:pStyle w:val="NormalWeb"/>
        <w:numPr>
          <w:ilvl w:val="2"/>
          <w:numId w:val="1"/>
        </w:numPr>
        <w:ind w:left="851" w:hanging="317"/>
        <w:jc w:val="both"/>
      </w:pPr>
      <w:r w:rsidRPr="00AF5F88">
        <w:t>Grupul țărilor care au înregistrat un PIB mai scăzut în aceeași perioadă, respectiv, Letonia, Lituania, România sau Ungaria, șa.</w:t>
      </w:r>
    </w:p>
    <w:p w:rsidR="00337FD6" w:rsidRPr="00AF5F88" w:rsidRDefault="00337FD6" w:rsidP="00AF5F88">
      <w:pPr>
        <w:pStyle w:val="NormalWeb"/>
        <w:jc w:val="both"/>
        <w:rPr>
          <w:lang w:val="ro-RO"/>
        </w:rPr>
      </w:pPr>
      <w:r w:rsidRPr="00AF5F88">
        <w:rPr>
          <w:noProof/>
          <w:lang w:val="ro-RO" w:eastAsia="ro-RO"/>
        </w:rPr>
        <w:drawing>
          <wp:inline distT="0" distB="0" distL="0" distR="0">
            <wp:extent cx="3162300" cy="1714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162300" cy="1714500"/>
                    </a:xfrm>
                    <a:prstGeom prst="rect">
                      <a:avLst/>
                    </a:prstGeom>
                    <a:noFill/>
                    <a:ln w="9525">
                      <a:noFill/>
                      <a:miter lim="800000"/>
                      <a:headEnd/>
                      <a:tailEnd/>
                    </a:ln>
                  </pic:spPr>
                </pic:pic>
              </a:graphicData>
            </a:graphic>
          </wp:inline>
        </w:drawing>
      </w:r>
    </w:p>
    <w:p w:rsidR="00337FD6" w:rsidRPr="00AF5F88" w:rsidRDefault="00AF5F88" w:rsidP="00AF5F88">
      <w:pPr>
        <w:pStyle w:val="NormalWeb"/>
        <w:jc w:val="both"/>
        <w:rPr>
          <w:lang w:val="ro-RO"/>
        </w:rPr>
      </w:pPr>
      <w:r>
        <w:rPr>
          <w:lang w:val="ro-RO"/>
        </w:rPr>
        <w:t>Fig.3. diagrama box-plot</w:t>
      </w:r>
    </w:p>
    <w:p w:rsidR="00337FD6" w:rsidRPr="00AF5F88" w:rsidRDefault="00AF5F88" w:rsidP="00AF5F88">
      <w:pPr>
        <w:pStyle w:val="NormalWeb"/>
        <w:jc w:val="both"/>
      </w:pPr>
      <w:r>
        <w:tab/>
      </w:r>
      <w:r w:rsidR="00337FD6" w:rsidRPr="00AF5F88">
        <w:t>Conform diagramei box-plot, Luxemburgul este țara care înregistrează un punct extrem(outlier) în ceea ce privește produsul intern brut, motiv pentru care am continuat cu analiza componentelor principale  fără această țară.</w:t>
      </w:r>
    </w:p>
    <w:p w:rsidR="00337FD6" w:rsidRPr="00AF5F88" w:rsidRDefault="00337FD6" w:rsidP="00AF5F88">
      <w:pPr>
        <w:pStyle w:val="NormalWeb"/>
        <w:jc w:val="both"/>
      </w:pPr>
      <w:r w:rsidRPr="00AF5F88">
        <w:tab/>
        <w:t>Testarea ipotezei de independență dintre variabile  după cum ne arată și imaginea următoare, unde Sig. este mai mic de 0,05, cu o probabilitate de 95 de procente, ipoteza de independență se respinge, deci între variabile există o legătură care urmează a fi descrisă prin ACP.</w:t>
      </w:r>
    </w:p>
    <w:p w:rsidR="00337FD6" w:rsidRPr="00AF5F88" w:rsidRDefault="00337FD6" w:rsidP="00AF5F88">
      <w:pPr>
        <w:pStyle w:val="NormalWeb"/>
        <w:jc w:val="center"/>
        <w:rPr>
          <w:b/>
          <w:bCs/>
        </w:rPr>
      </w:pPr>
      <w:r w:rsidRPr="00AF5F88">
        <w:rPr>
          <w:b/>
          <w:bCs/>
          <w:noProof/>
          <w:lang w:val="ro-RO" w:eastAsia="ro-RO"/>
        </w:rPr>
        <w:drawing>
          <wp:inline distT="0" distB="0" distL="0" distR="0">
            <wp:extent cx="3916680" cy="1257300"/>
            <wp:effectExtent l="1905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916680" cy="1257300"/>
                    </a:xfrm>
                    <a:prstGeom prst="rect">
                      <a:avLst/>
                    </a:prstGeom>
                    <a:noFill/>
                    <a:ln w="9525">
                      <a:noFill/>
                      <a:miter lim="800000"/>
                      <a:headEnd/>
                      <a:tailEnd/>
                    </a:ln>
                  </pic:spPr>
                </pic:pic>
              </a:graphicData>
            </a:graphic>
          </wp:inline>
        </w:drawing>
      </w:r>
    </w:p>
    <w:p w:rsidR="00337FD6" w:rsidRPr="00AF5F88" w:rsidRDefault="00337FD6" w:rsidP="00AF5F88">
      <w:pPr>
        <w:pStyle w:val="NormalWeb"/>
        <w:jc w:val="center"/>
        <w:rPr>
          <w:i/>
        </w:rPr>
      </w:pPr>
      <w:r w:rsidRPr="00AF5F88">
        <w:rPr>
          <w:b/>
          <w:bCs/>
          <w:i/>
        </w:rPr>
        <w:t>Fig.nr.</w:t>
      </w:r>
      <w:r w:rsidR="00AF5F88">
        <w:rPr>
          <w:b/>
          <w:bCs/>
          <w:i/>
        </w:rPr>
        <w:t>4</w:t>
      </w:r>
      <w:r w:rsidRPr="00AF5F88">
        <w:rPr>
          <w:b/>
          <w:bCs/>
          <w:i/>
        </w:rPr>
        <w:t xml:space="preserve"> Testarea ipotezei de independență</w:t>
      </w:r>
    </w:p>
    <w:p w:rsidR="00337FD6" w:rsidRPr="00AF5F88" w:rsidRDefault="00337FD6" w:rsidP="00AF5F88">
      <w:pPr>
        <w:pStyle w:val="NormalWeb"/>
        <w:jc w:val="both"/>
        <w:rPr>
          <w:i/>
        </w:rPr>
      </w:pPr>
    </w:p>
    <w:p w:rsidR="00E214DD" w:rsidRPr="00AF5F88" w:rsidRDefault="00337FD6" w:rsidP="00AF5F88">
      <w:pPr>
        <w:pStyle w:val="NormalWeb"/>
        <w:jc w:val="both"/>
      </w:pPr>
      <w:r w:rsidRPr="00AF5F88">
        <w:tab/>
        <w:t>Procentul de 98,907% din variația totală este explicat și interpretat printr-un ax factorial care ne arată o  concentrare.</w:t>
      </w:r>
    </w:p>
    <w:p w:rsidR="00E214DD" w:rsidRPr="00AF5F88" w:rsidRDefault="00E214DD" w:rsidP="00AF5F88">
      <w:pPr>
        <w:pStyle w:val="NormalWeb"/>
        <w:jc w:val="both"/>
      </w:pPr>
      <w:r w:rsidRPr="00AF5F88">
        <w:rPr>
          <w:b/>
        </w:rPr>
        <w:t xml:space="preserve">  </w:t>
      </w:r>
      <w:r w:rsidR="009B54A2" w:rsidRPr="00AF5F88">
        <w:rPr>
          <w:b/>
        </w:rPr>
        <w:tab/>
      </w:r>
      <w:r w:rsidRPr="00AF5F88">
        <w:t>Regiunile, aflate în urmă ca dezvoltare, recuperează rapid din decalaj în ceea ce priveşte productivitatea. Acest lucru este evident mai ales în noile state membre: în cele trei state baltice şi în unele zone din Polonia, productivitatea a crescut de patru ori mai repede decât media UE între 1995 şi 2004. Unele dintre aceste regiuni pornesc însă de la niveluri foarte scăzute. Cum forţa de muncă din aceste regiuni se reorientează către sectoare cu o valoare adăugată mai mare, este de aşteptat ca productivitatea regională să crească, chiar dacă productivitatea sectorială rămâne la un nivel stabil.</w:t>
      </w:r>
      <w:r w:rsidRPr="00AF5F88">
        <w:rPr>
          <w:color w:val="auto"/>
          <w:lang w:val="ro-RO"/>
        </w:rPr>
        <w:t xml:space="preserve"> </w:t>
      </w:r>
      <w:r w:rsidRPr="00AF5F88">
        <w:rPr>
          <w:lang w:val="ro-RO"/>
        </w:rPr>
        <w:t xml:space="preserve">Luxemburg și Irlanda au înregistrat creşteri semnificative ale productivităţii menținându-se pe primele poziții din 2001 până în 2011. Pe de altă parte, dezvoltarea economică </w:t>
      </w:r>
      <w:r w:rsidRPr="00AF5F88">
        <w:rPr>
          <w:lang w:val="ro-RO"/>
        </w:rPr>
        <w:lastRenderedPageBreak/>
        <w:t>regională din Spania s-a bazat aproape în exclusivitate pe creşterea ocupării forţei de muncă, ceea ce sugerează că o astfel de creştere se poate dovedi greu de susţinut pe termen lung. În Portugalia, ocuparea forţei de muncă a rămas constant după 2001.</w:t>
      </w:r>
      <w:r w:rsidRPr="00AF5F88">
        <w:t xml:space="preserve"> Multe dintre statele membre UE au înregistrat  rate de ocupare a forței de muncă peste media europeană, cele care nu au reușit să atingă pragul în 2012 fiind Grecia,  Polonia, sau Cipru.</w:t>
      </w:r>
      <w:r w:rsidRPr="00AF5F88">
        <w:tab/>
      </w:r>
    </w:p>
    <w:p w:rsidR="00F81573" w:rsidRPr="00AF5F88" w:rsidRDefault="00AF5F88" w:rsidP="00AF5F88">
      <w:pPr>
        <w:pStyle w:val="Default"/>
      </w:pPr>
      <w:r>
        <w:rPr>
          <w:lang w:val="ro-RO"/>
        </w:rPr>
        <w:tab/>
      </w:r>
      <w:r w:rsidR="009B54A2" w:rsidRPr="00AF5F88">
        <w:t xml:space="preserve">Un alt indicator analizat este cel legat de ocuparea forței de muncă. Anumite ţări au cunoscut o creştere consistentă şi larg răspândită a ocupării forţei de muncă, în timp ce altele – precum România şi Portugalia– au înregistrat un declin de patru sau cinci puncte procentuale. Marja care separă </w:t>
      </w:r>
      <w:r>
        <w:t xml:space="preserve"> </w:t>
      </w:r>
      <w:r w:rsidR="009B54A2" w:rsidRPr="00AF5F88">
        <w:t xml:space="preserve">cele mai mici rate de angajare de cele mai mari rate de ocupare a forţei de muncă în 2012 este încă semnificativă, Grecia la 51,3% la o extremă şi Olanda 75,1% la cealaltă. </w:t>
      </w:r>
      <w:r w:rsidR="00F81573" w:rsidRPr="00AF5F88">
        <w:rPr>
          <w:noProof/>
          <w:lang w:val="ro-RO" w:eastAsia="ro-RO"/>
        </w:rPr>
        <w:drawing>
          <wp:inline distT="0" distB="0" distL="0" distR="0">
            <wp:extent cx="5280660" cy="1836420"/>
            <wp:effectExtent l="19050" t="0" r="15240" b="0"/>
            <wp:docPr id="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1573" w:rsidRPr="00AF5F88" w:rsidRDefault="00F81573" w:rsidP="00AF5F88">
      <w:pPr>
        <w:pStyle w:val="NormalWeb"/>
        <w:jc w:val="center"/>
        <w:rPr>
          <w:rStyle w:val="hps"/>
          <w:b/>
          <w:i/>
          <w:lang w:val="ro-RO"/>
        </w:rPr>
      </w:pPr>
      <w:r w:rsidRPr="00AF5F88">
        <w:rPr>
          <w:rStyle w:val="hps"/>
          <w:lang w:val="ro-RO"/>
        </w:rPr>
        <w:t>Fig</w:t>
      </w:r>
      <w:r w:rsidR="00AF5F88">
        <w:rPr>
          <w:rStyle w:val="hps"/>
          <w:lang w:val="ro-RO"/>
        </w:rPr>
        <w:t>. 5</w:t>
      </w:r>
      <w:r w:rsidRPr="00AF5F88">
        <w:rPr>
          <w:rStyle w:val="hps"/>
          <w:lang w:val="ro-RO"/>
        </w:rPr>
        <w:t>.  Rata de ocupare a forței de muncă comparative 2001-2012 în UE-27</w:t>
      </w:r>
    </w:p>
    <w:p w:rsidR="00F81573" w:rsidRPr="00AF5F88" w:rsidRDefault="00F81573" w:rsidP="00AF5F88">
      <w:pPr>
        <w:pStyle w:val="NormalWeb"/>
        <w:jc w:val="center"/>
        <w:rPr>
          <w:rStyle w:val="hps"/>
          <w:b/>
          <w:i/>
          <w:lang w:val="ro-RO"/>
        </w:rPr>
      </w:pPr>
      <w:r w:rsidRPr="00AF5F88">
        <w:rPr>
          <w:rStyle w:val="hps"/>
          <w:lang w:val="ro-RO"/>
        </w:rPr>
        <w:t xml:space="preserve"> </w:t>
      </w:r>
    </w:p>
    <w:p w:rsidR="009B54A2" w:rsidRPr="00AF5F88" w:rsidRDefault="00F81573" w:rsidP="00AF5F88">
      <w:pPr>
        <w:ind w:firstLine="720"/>
        <w:jc w:val="both"/>
      </w:pPr>
      <w:r w:rsidRPr="00AF5F88">
        <w:tab/>
      </w:r>
      <w:r w:rsidR="009B54A2" w:rsidRPr="00AF5F88">
        <w:t xml:space="preserve">Pentru a atinge obiectivele de la Lisabona care stabileau o rată generală de ocupare a forței de muncă de 70% şi o rată de ocupare în rândul femeilor, de 60%, UE trebuie să genereze aproximativ 23,5 milioane de locuri de muncă suplimentare, dintre care 7 milioane ar trebui să fie destinate femeilor, iar 7 milioane persoanelor cu vârsta între 55 şi 64 de ani.Ratele de ocupare variază considerabil nu doar la nivel național, dar și în interiorul statelor membre ale UE, în funcție de caracteristicile regionale, cu o dispersie relativ mare (masurată prin coeficientul de variație pentru regiunile de la nivel NUTS2, observate în Cipru (20,5%) în 2012. </w:t>
      </w:r>
    </w:p>
    <w:p w:rsidR="009B54A2" w:rsidRPr="00AF5F88" w:rsidRDefault="009B54A2" w:rsidP="00AF5F88">
      <w:pPr>
        <w:ind w:firstLine="720"/>
        <w:jc w:val="both"/>
      </w:pPr>
      <w:r w:rsidRPr="00AF5F88">
        <w:t xml:space="preserve">Pentru a analiza cât de mult regiunile diferă unele de altele într-o ţară sau în întreaga UE-27, avem nevoie de un alt fel de indicator. Dispersia ocupării forţei de muncă şi rata şomajului ne oferă o idee despre cât de mult ratele regionale diferă unele de altele. </w:t>
      </w:r>
    </w:p>
    <w:p w:rsidR="00371A74" w:rsidRPr="00AF5F88" w:rsidRDefault="00371A74" w:rsidP="00AF5F88">
      <w:pPr>
        <w:ind w:firstLine="720"/>
        <w:jc w:val="both"/>
      </w:pPr>
      <w:r w:rsidRPr="00AF5F88">
        <w:rPr>
          <w:noProof/>
          <w:color w:val="FF0000"/>
        </w:rPr>
        <w:drawing>
          <wp:inline distT="0" distB="0" distL="0" distR="0">
            <wp:extent cx="5676900" cy="1668780"/>
            <wp:effectExtent l="19050" t="0" r="0" b="0"/>
            <wp:docPr id="6" name="Chart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8"/>
                    <pic:cNvPicPr>
                      <a:picLocks noChangeArrowheads="1"/>
                    </pic:cNvPicPr>
                  </pic:nvPicPr>
                  <pic:blipFill>
                    <a:blip r:embed="rId13" cstate="print"/>
                    <a:srcRect/>
                    <a:stretch>
                      <a:fillRect/>
                    </a:stretch>
                  </pic:blipFill>
                  <pic:spPr bwMode="auto">
                    <a:xfrm>
                      <a:off x="0" y="0"/>
                      <a:ext cx="5676900" cy="1668780"/>
                    </a:xfrm>
                    <a:prstGeom prst="rect">
                      <a:avLst/>
                    </a:prstGeom>
                    <a:noFill/>
                    <a:ln w="9525">
                      <a:noFill/>
                      <a:miter lim="800000"/>
                      <a:headEnd/>
                      <a:tailEnd/>
                    </a:ln>
                  </pic:spPr>
                </pic:pic>
              </a:graphicData>
            </a:graphic>
          </wp:inline>
        </w:drawing>
      </w:r>
    </w:p>
    <w:p w:rsidR="00371A74" w:rsidRPr="00AF5F88" w:rsidRDefault="00371A74" w:rsidP="00AF5F88">
      <w:pPr>
        <w:pStyle w:val="NormalWeb"/>
        <w:jc w:val="both"/>
        <w:rPr>
          <w:rStyle w:val="hps"/>
        </w:rPr>
      </w:pPr>
    </w:p>
    <w:p w:rsidR="00371A74" w:rsidRPr="00AF5F88" w:rsidRDefault="00371A74" w:rsidP="00AF5F88">
      <w:pPr>
        <w:pStyle w:val="NormalWeb"/>
        <w:jc w:val="both"/>
        <w:rPr>
          <w:b/>
          <w:i/>
          <w:lang w:val="ro-RO"/>
        </w:rPr>
      </w:pPr>
      <w:r w:rsidRPr="00AF5F88">
        <w:rPr>
          <w:b/>
          <w:i/>
          <w:lang w:val="ro-RO"/>
        </w:rPr>
        <w:t>Fig</w:t>
      </w:r>
      <w:r w:rsidR="00AF5F88">
        <w:rPr>
          <w:b/>
          <w:i/>
          <w:lang w:val="ro-RO"/>
        </w:rPr>
        <w:t xml:space="preserve">. 6 </w:t>
      </w:r>
      <w:r w:rsidRPr="00AF5F88">
        <w:rPr>
          <w:b/>
          <w:i/>
          <w:lang w:val="ro-RO"/>
        </w:rPr>
        <w:t>Dispersia ratelor de ocupare regionale, 2001,2008 și  2012  (coeficientul de variație al ratelor de angajare  (din grupa de vârstă 15-64 de ani) din regiunile  (de nivel NUTS 2).</w:t>
      </w:r>
    </w:p>
    <w:p w:rsidR="00371A74" w:rsidRPr="00AF5F88" w:rsidRDefault="00AF5F88" w:rsidP="00AF5F88">
      <w:pPr>
        <w:pStyle w:val="NormalWeb"/>
        <w:jc w:val="both"/>
        <w:rPr>
          <w:rStyle w:val="hps"/>
        </w:rPr>
      </w:pPr>
      <w:r>
        <w:rPr>
          <w:lang w:val="ro-RO"/>
        </w:rPr>
        <w:tab/>
      </w:r>
      <w:r w:rsidR="00371A74" w:rsidRPr="00AF5F88">
        <w:rPr>
          <w:lang w:val="ro-RO"/>
        </w:rPr>
        <w:t>Ratele de ocupare variază considerabil nu doar la nivel național, dar și în interiorul statelor membre ale UE, în funcție de caracteristicile regionale, cu o dispersie relativ mare (masurată prin coeficientul de variație pentru regiunile de la nivel NUTS2, observate în Cipru (20,5%) în 2012. Există, de asemenea, un grad relativ ridicat de dispersie pe regiuni în Spania (10,8%), în timp ce Bulgaria, Belgia, Franța, Malta au raportat coeficienți între 8% și 9%. În  contrast cu situația anterioară, există puține diferențe în ratele de ocupare în regiunile din Austria, Suedia, Portugalia România sau Danemarca (toate sub 4%). Dispersia  ocupării forței de muncă regionale pe întreg teritoriul UE-27 este mai mare în 2012 decât ar fi fost cu patru ani în urmă ( în creștere cu 1,9 puncte procentuale), dar relativ echivalentă cu anul 2001( a se vedea fig.</w:t>
      </w:r>
      <w:r>
        <w:rPr>
          <w:lang w:val="ro-RO"/>
        </w:rPr>
        <w:t>6)</w:t>
      </w:r>
    </w:p>
    <w:p w:rsidR="00F62E1B" w:rsidRPr="00AF5F88" w:rsidRDefault="00F62E1B" w:rsidP="00AF5F88">
      <w:pPr>
        <w:pStyle w:val="NoSpacing"/>
        <w:jc w:val="both"/>
      </w:pPr>
      <w:r w:rsidRPr="00AF5F88">
        <w:tab/>
        <w:t>Șomajul pe termen lung este una dintre principalele preocupări ale politicienilor. În afară de efectele financiare și sociale asupra vieții personale, șomajul pe termen lung afectează în mod negativ coeziunea socială și, în cele din urmă, ar putea împiedica creșterea economică. În total, 4,6% din forța de muncă din UE-27 în 2012 au fost în șomaj de mai mult de un an, cifre care marchează o creștere considerabilă din 2008, când aceasta a fost, de 2,6% .</w:t>
      </w:r>
    </w:p>
    <w:p w:rsidR="00F62E1B" w:rsidRPr="00AF5F88" w:rsidRDefault="00F62E1B" w:rsidP="00AF5F88">
      <w:pPr>
        <w:pStyle w:val="NoSpacing"/>
        <w:jc w:val="both"/>
        <w:rPr>
          <w:rStyle w:val="hps"/>
          <w:b/>
        </w:rPr>
      </w:pPr>
      <w:r w:rsidRPr="00AF5F88">
        <w:tab/>
      </w:r>
      <w:r w:rsidRPr="00AF5F88">
        <w:rPr>
          <w:rStyle w:val="hps"/>
          <w:b/>
        </w:rPr>
        <w:t xml:space="preserve">  </w:t>
      </w:r>
    </w:p>
    <w:p w:rsidR="00F62E1B" w:rsidRPr="00AF5F88" w:rsidRDefault="00F62E1B" w:rsidP="00AF5F88">
      <w:pPr>
        <w:pStyle w:val="NoSpacing"/>
        <w:jc w:val="center"/>
        <w:rPr>
          <w:rStyle w:val="hps"/>
          <w:b/>
        </w:rPr>
      </w:pPr>
      <w:r w:rsidRPr="00AF5F88">
        <w:rPr>
          <w:noProof/>
        </w:rPr>
        <w:lastRenderedPageBreak/>
        <w:drawing>
          <wp:inline distT="0" distB="0" distL="0" distR="0">
            <wp:extent cx="5501640" cy="2080260"/>
            <wp:effectExtent l="19050" t="0" r="3810" b="0"/>
            <wp:docPr id="9" name="Chart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5"/>
                    <pic:cNvPicPr>
                      <a:picLocks noChangeArrowheads="1"/>
                    </pic:cNvPicPr>
                  </pic:nvPicPr>
                  <pic:blipFill>
                    <a:blip r:embed="rId14" cstate="print"/>
                    <a:srcRect b="-44"/>
                    <a:stretch>
                      <a:fillRect/>
                    </a:stretch>
                  </pic:blipFill>
                  <pic:spPr bwMode="auto">
                    <a:xfrm>
                      <a:off x="0" y="0"/>
                      <a:ext cx="5501640" cy="2080260"/>
                    </a:xfrm>
                    <a:prstGeom prst="rect">
                      <a:avLst/>
                    </a:prstGeom>
                    <a:noFill/>
                    <a:ln w="9525">
                      <a:noFill/>
                      <a:miter lim="800000"/>
                      <a:headEnd/>
                      <a:tailEnd/>
                    </a:ln>
                  </pic:spPr>
                </pic:pic>
              </a:graphicData>
            </a:graphic>
          </wp:inline>
        </w:drawing>
      </w:r>
      <w:r w:rsidRPr="00AF5F88">
        <w:rPr>
          <w:rStyle w:val="hps"/>
        </w:rPr>
        <w:t xml:space="preserve">          </w:t>
      </w:r>
      <w:r w:rsidRPr="00AF5F88">
        <w:rPr>
          <w:rStyle w:val="hps"/>
        </w:rPr>
        <w:tab/>
      </w:r>
      <w:r w:rsidRPr="00AF5F88">
        <w:rPr>
          <w:rStyle w:val="hps"/>
          <w:b/>
          <w:i/>
        </w:rPr>
        <w:t xml:space="preserve">Fig. </w:t>
      </w:r>
      <w:r w:rsidR="00AF5F88">
        <w:rPr>
          <w:rStyle w:val="hps"/>
          <w:b/>
          <w:i/>
        </w:rPr>
        <w:t>7</w:t>
      </w:r>
      <w:r w:rsidRPr="00AF5F88">
        <w:rPr>
          <w:rStyle w:val="hps"/>
          <w:b/>
          <w:i/>
        </w:rPr>
        <w:t xml:space="preserve">  Rata șomajului pe termen lung comparativ 2008-2012 în statele UE</w:t>
      </w:r>
    </w:p>
    <w:p w:rsidR="00371A74" w:rsidRPr="00AF5F88" w:rsidRDefault="00F62E1B" w:rsidP="00AF5F88">
      <w:pPr>
        <w:pStyle w:val="NormalWeb"/>
        <w:jc w:val="both"/>
        <w:rPr>
          <w:rStyle w:val="hps"/>
        </w:rPr>
      </w:pPr>
      <w:r w:rsidRPr="00AF5F88">
        <w:rPr>
          <w:rStyle w:val="hps"/>
        </w:rPr>
        <w:tab/>
        <w:t>La</w:t>
      </w:r>
      <w:r w:rsidRPr="00AF5F88">
        <w:t xml:space="preserve"> </w:t>
      </w:r>
      <w:r w:rsidRPr="00AF5F88">
        <w:rPr>
          <w:rStyle w:val="hps"/>
        </w:rPr>
        <w:t xml:space="preserve">nivel național </w:t>
      </w:r>
      <w:r w:rsidRPr="00AF5F88">
        <w:t xml:space="preserve">, </w:t>
      </w:r>
      <w:r w:rsidRPr="00AF5F88">
        <w:rPr>
          <w:rStyle w:val="hps"/>
        </w:rPr>
        <w:t>Republica Cehă</w:t>
      </w:r>
      <w:r w:rsidRPr="00AF5F88">
        <w:t xml:space="preserve">, </w:t>
      </w:r>
      <w:r w:rsidRPr="00AF5F88">
        <w:rPr>
          <w:rStyle w:val="hps"/>
        </w:rPr>
        <w:t>Olanda</w:t>
      </w:r>
      <w:r w:rsidRPr="00AF5F88">
        <w:t xml:space="preserve">, </w:t>
      </w:r>
      <w:r w:rsidRPr="00AF5F88">
        <w:rPr>
          <w:rStyle w:val="hps"/>
        </w:rPr>
        <w:t>Danemarca</w:t>
      </w:r>
      <w:r w:rsidRPr="00AF5F88">
        <w:t xml:space="preserve">, </w:t>
      </w:r>
      <w:r w:rsidRPr="00AF5F88">
        <w:rPr>
          <w:rStyle w:val="hps"/>
        </w:rPr>
        <w:t>Luxemburg</w:t>
      </w:r>
      <w:r w:rsidRPr="00AF5F88">
        <w:t xml:space="preserve">, </w:t>
      </w:r>
      <w:r w:rsidRPr="00AF5F88">
        <w:rPr>
          <w:rStyle w:val="hps"/>
        </w:rPr>
        <w:t>România</w:t>
      </w:r>
      <w:r w:rsidRPr="00AF5F88">
        <w:t xml:space="preserve">, </w:t>
      </w:r>
      <w:r w:rsidRPr="00AF5F88">
        <w:rPr>
          <w:rStyle w:val="hps"/>
        </w:rPr>
        <w:t>Slovenia</w:t>
      </w:r>
      <w:r w:rsidRPr="00AF5F88">
        <w:t xml:space="preserve">, </w:t>
      </w:r>
      <w:r w:rsidRPr="00AF5F88">
        <w:rPr>
          <w:rStyle w:val="hps"/>
        </w:rPr>
        <w:t>Slovacia şi</w:t>
      </w:r>
      <w:r w:rsidRPr="00AF5F88">
        <w:t xml:space="preserve"> </w:t>
      </w:r>
      <w:r w:rsidRPr="00AF5F88">
        <w:rPr>
          <w:rStyle w:val="hps"/>
        </w:rPr>
        <w:t>Bulgaria</w:t>
      </w:r>
      <w:r w:rsidRPr="00AF5F88">
        <w:t xml:space="preserve"> </w:t>
      </w:r>
      <w:r w:rsidRPr="00AF5F88">
        <w:rPr>
          <w:rStyle w:val="hps"/>
        </w:rPr>
        <w:t>şi-au redus rata șomajului</w:t>
      </w:r>
      <w:r w:rsidRPr="00AF5F88">
        <w:t xml:space="preserve"> </w:t>
      </w:r>
      <w:r w:rsidRPr="00AF5F88">
        <w:rPr>
          <w:rStyle w:val="hps"/>
        </w:rPr>
        <w:t>pe termen lung</w:t>
      </w:r>
      <w:r w:rsidRPr="00AF5F88">
        <w:t xml:space="preserve">  </w:t>
      </w:r>
      <w:r w:rsidRPr="00AF5F88">
        <w:rPr>
          <w:rStyle w:val="hps"/>
        </w:rPr>
        <w:t>în mod semnificativ</w:t>
      </w:r>
      <w:r w:rsidRPr="00AF5F88">
        <w:t xml:space="preserve"> </w:t>
      </w:r>
      <w:r w:rsidRPr="00AF5F88">
        <w:rPr>
          <w:rStyle w:val="hps"/>
        </w:rPr>
        <w:t>în 2008</w:t>
      </w:r>
      <w:r w:rsidRPr="00AF5F88">
        <w:t xml:space="preserve">. </w:t>
      </w:r>
      <w:r w:rsidRPr="00AF5F88">
        <w:rPr>
          <w:rStyle w:val="hps"/>
        </w:rPr>
        <w:t>După declanșarea crizei economice, rata șomajului pe termen lung a crescut semnificativ, înregistrînd rate de 14,4% în Grecia și 11% în Spania</w:t>
      </w:r>
    </w:p>
    <w:p w:rsidR="00F62E1B" w:rsidRPr="00AF5F88" w:rsidRDefault="00F62E1B" w:rsidP="00AF5F88">
      <w:pPr>
        <w:pStyle w:val="NoSpacing"/>
        <w:ind w:firstLine="708"/>
        <w:jc w:val="both"/>
      </w:pPr>
      <w:r w:rsidRPr="00AF5F88">
        <w:t xml:space="preserve">Obiectivului european de </w:t>
      </w:r>
      <w:r w:rsidRPr="00AF5F88">
        <w:rPr>
          <w:rStyle w:val="hps"/>
        </w:rPr>
        <w:t>coeziune</w:t>
      </w:r>
      <w:r w:rsidRPr="00AF5F88">
        <w:t xml:space="preserve"> </w:t>
      </w:r>
      <w:r w:rsidRPr="00AF5F88">
        <w:rPr>
          <w:rStyle w:val="hps"/>
        </w:rPr>
        <w:t>socială</w:t>
      </w:r>
      <w:r w:rsidRPr="00AF5F88">
        <w:t xml:space="preserve"> </w:t>
      </w:r>
      <w:r w:rsidRPr="00AF5F88">
        <w:rPr>
          <w:rStyle w:val="hps"/>
        </w:rPr>
        <w:t>încearcă</w:t>
      </w:r>
      <w:r w:rsidRPr="00AF5F88">
        <w:t xml:space="preserve"> </w:t>
      </w:r>
      <w:r w:rsidRPr="00AF5F88">
        <w:rPr>
          <w:rStyle w:val="hps"/>
        </w:rPr>
        <w:t>să reducă la minimum</w:t>
      </w:r>
      <w:r w:rsidRPr="00AF5F88">
        <w:t xml:space="preserve"> </w:t>
      </w:r>
      <w:r w:rsidRPr="00AF5F88">
        <w:rPr>
          <w:rStyle w:val="hps"/>
        </w:rPr>
        <w:t>diferenţele</w:t>
      </w:r>
      <w:r w:rsidRPr="00AF5F88">
        <w:t xml:space="preserve"> </w:t>
      </w:r>
      <w:r w:rsidRPr="00AF5F88">
        <w:rPr>
          <w:rStyle w:val="hps"/>
        </w:rPr>
        <w:t>de pe pieţele</w:t>
      </w:r>
      <w:r w:rsidRPr="00AF5F88">
        <w:t xml:space="preserve"> </w:t>
      </w:r>
      <w:r w:rsidRPr="00AF5F88">
        <w:rPr>
          <w:rStyle w:val="hps"/>
        </w:rPr>
        <w:t>forţei de muncă</w:t>
      </w:r>
      <w:r w:rsidRPr="00AF5F88">
        <w:t xml:space="preserve"> </w:t>
      </w:r>
      <w:r w:rsidRPr="00AF5F88">
        <w:rPr>
          <w:rStyle w:val="hps"/>
        </w:rPr>
        <w:t>regionale</w:t>
      </w:r>
      <w:r w:rsidRPr="00AF5F88">
        <w:t xml:space="preserve">. </w:t>
      </w:r>
      <w:r w:rsidRPr="00AF5F88">
        <w:rPr>
          <w:rStyle w:val="hps"/>
        </w:rPr>
        <w:t xml:space="preserve">Este </w:t>
      </w:r>
      <w:r w:rsidRPr="00AF5F88">
        <w:t xml:space="preserve"> </w:t>
      </w:r>
      <w:r w:rsidRPr="00AF5F88">
        <w:rPr>
          <w:rStyle w:val="hps"/>
        </w:rPr>
        <w:t>uşor de verificat dacă obiectivele</w:t>
      </w:r>
      <w:r w:rsidRPr="00AF5F88">
        <w:t xml:space="preserve"> </w:t>
      </w:r>
      <w:r w:rsidRPr="00AF5F88">
        <w:rPr>
          <w:rStyle w:val="hps"/>
        </w:rPr>
        <w:t>ocuparii forţei de muncă</w:t>
      </w:r>
      <w:r w:rsidRPr="00AF5F88">
        <w:t xml:space="preserve">, stabilite  de strategiile </w:t>
      </w:r>
      <w:r w:rsidRPr="00AF5F88">
        <w:rPr>
          <w:rStyle w:val="hps"/>
        </w:rPr>
        <w:t>de</w:t>
      </w:r>
      <w:r w:rsidRPr="00AF5F88">
        <w:t xml:space="preserve"> </w:t>
      </w:r>
      <w:r w:rsidRPr="00AF5F88">
        <w:rPr>
          <w:rStyle w:val="hps"/>
        </w:rPr>
        <w:t xml:space="preserve">la Lisabona si </w:t>
      </w:r>
      <w:r w:rsidRPr="00AF5F88">
        <w:t xml:space="preserve"> </w:t>
      </w:r>
      <w:r w:rsidRPr="00AF5F88">
        <w:rPr>
          <w:rStyle w:val="hps"/>
        </w:rPr>
        <w:t>Europa 2020</w:t>
      </w:r>
      <w:r w:rsidRPr="00AF5F88">
        <w:t xml:space="preserve">  </w:t>
      </w:r>
      <w:r w:rsidRPr="00AF5F88">
        <w:rPr>
          <w:rStyle w:val="hps"/>
        </w:rPr>
        <w:t>vor</w:t>
      </w:r>
      <w:r w:rsidRPr="00AF5F88">
        <w:t xml:space="preserve"> </w:t>
      </w:r>
      <w:r w:rsidRPr="00AF5F88">
        <w:rPr>
          <w:rStyle w:val="hps"/>
        </w:rPr>
        <w:t>fi îndeplinite</w:t>
      </w:r>
      <w:r w:rsidRPr="00AF5F88">
        <w:t xml:space="preserve"> </w:t>
      </w:r>
      <w:r w:rsidRPr="00AF5F88">
        <w:rPr>
          <w:rStyle w:val="hps"/>
        </w:rPr>
        <w:t>sau nu</w:t>
      </w:r>
      <w:r w:rsidRPr="00AF5F88">
        <w:t xml:space="preserve">. </w:t>
      </w:r>
      <w:r w:rsidRPr="00AF5F88">
        <w:rPr>
          <w:rStyle w:val="hps"/>
        </w:rPr>
        <w:t>Dar</w:t>
      </w:r>
      <w:r w:rsidRPr="00AF5F88">
        <w:t xml:space="preserve"> </w:t>
      </w:r>
      <w:r w:rsidRPr="00AF5F88">
        <w:rPr>
          <w:rStyle w:val="hps"/>
        </w:rPr>
        <w:t>numai analiza</w:t>
      </w:r>
      <w:r w:rsidRPr="00AF5F88">
        <w:t xml:space="preserve"> </w:t>
      </w:r>
      <w:r w:rsidRPr="00AF5F88">
        <w:rPr>
          <w:rStyle w:val="hps"/>
        </w:rPr>
        <w:t>acestor indicatori</w:t>
      </w:r>
      <w:r w:rsidRPr="00AF5F88">
        <w:t xml:space="preserve"> </w:t>
      </w:r>
      <w:r w:rsidRPr="00AF5F88">
        <w:rPr>
          <w:rStyle w:val="hps"/>
        </w:rPr>
        <w:t>nu ne</w:t>
      </w:r>
      <w:r w:rsidRPr="00AF5F88">
        <w:t xml:space="preserve"> </w:t>
      </w:r>
      <w:r w:rsidRPr="00AF5F88">
        <w:rPr>
          <w:rStyle w:val="hps"/>
        </w:rPr>
        <w:t>spune</w:t>
      </w:r>
      <w:r w:rsidRPr="00AF5F88">
        <w:t xml:space="preserve"> </w:t>
      </w:r>
      <w:r w:rsidRPr="00AF5F88">
        <w:rPr>
          <w:rStyle w:val="hps"/>
        </w:rPr>
        <w:t>dacă</w:t>
      </w:r>
      <w:r w:rsidRPr="00AF5F88">
        <w:t xml:space="preserve"> </w:t>
      </w:r>
      <w:r w:rsidRPr="00AF5F88">
        <w:rPr>
          <w:rStyle w:val="hps"/>
        </w:rPr>
        <w:t>coeziunea regională</w:t>
      </w:r>
      <w:r w:rsidRPr="00AF5F88">
        <w:t xml:space="preserve"> </w:t>
      </w:r>
      <w:r w:rsidRPr="00AF5F88">
        <w:rPr>
          <w:rStyle w:val="hps"/>
        </w:rPr>
        <w:t>este</w:t>
      </w:r>
      <w:r w:rsidRPr="00AF5F88">
        <w:t xml:space="preserve"> </w:t>
      </w:r>
      <w:r w:rsidRPr="00AF5F88">
        <w:rPr>
          <w:rStyle w:val="hps"/>
        </w:rPr>
        <w:t>urmarită</w:t>
      </w:r>
      <w:r w:rsidRPr="00AF5F88">
        <w:t xml:space="preserve"> </w:t>
      </w:r>
      <w:r w:rsidRPr="00AF5F88">
        <w:rPr>
          <w:rStyle w:val="hps"/>
        </w:rPr>
        <w:t>în atingerea</w:t>
      </w:r>
      <w:r w:rsidRPr="00AF5F88">
        <w:t xml:space="preserve"> </w:t>
      </w:r>
      <w:r w:rsidRPr="00AF5F88">
        <w:rPr>
          <w:rStyle w:val="hps"/>
        </w:rPr>
        <w:t>acelor obiective</w:t>
      </w:r>
      <w:r w:rsidRPr="00AF5F88">
        <w:t>.</w:t>
      </w:r>
    </w:p>
    <w:p w:rsidR="00F81573" w:rsidRPr="00AF5F88" w:rsidRDefault="00F62E1B" w:rsidP="00AF5F88">
      <w:pPr>
        <w:ind w:firstLine="720"/>
        <w:jc w:val="both"/>
      </w:pPr>
      <w:r w:rsidRPr="00AF5F88">
        <w:tab/>
      </w:r>
      <w:r w:rsidR="009B54A2" w:rsidRPr="00AF5F88">
        <w:t>Pe măsură ce dispersia acestor rate scade, coeziunea pieței de muncă crește. Dacă avem în vedere ratele anului 2001, vom vedea efectul pe care criza l-a avut, creşterea acestor rate pe parcursul anului 2008 şi inversarea tendinţei de scădere care a început în 2001. Din 2001 până în 2008, dispersia ratei şomajului în UE-27 a scăzut considerabil cu 20,2 puncte procentuale. Ulterior dispersia a crescut din cauza crizei, iar în 2012 se înregistrează un procent de 63,2% la nivelul UE-27.</w:t>
      </w:r>
    </w:p>
    <w:p w:rsidR="00F81573" w:rsidRPr="00AF5F88" w:rsidRDefault="00F81573" w:rsidP="00AF5F88">
      <w:pPr>
        <w:pStyle w:val="NoSpacing"/>
        <w:jc w:val="center"/>
        <w:rPr>
          <w:rStyle w:val="hps"/>
          <w:b/>
          <w:noProof/>
        </w:rPr>
      </w:pPr>
      <w:r w:rsidRPr="00AF5F88">
        <w:rPr>
          <w:b/>
          <w:noProof/>
        </w:rPr>
        <w:drawing>
          <wp:inline distT="0" distB="0" distL="0" distR="0">
            <wp:extent cx="4919345" cy="2068195"/>
            <wp:effectExtent l="19050" t="0" r="14605" b="8255"/>
            <wp:docPr id="24"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81573" w:rsidRPr="00AF5F88" w:rsidRDefault="00F81573" w:rsidP="00AF5F88">
      <w:pPr>
        <w:jc w:val="center"/>
        <w:rPr>
          <w:b/>
          <w:i/>
        </w:rPr>
      </w:pPr>
      <w:r w:rsidRPr="00AF5F88">
        <w:rPr>
          <w:b/>
          <w:i/>
        </w:rPr>
        <w:t>Fig</w:t>
      </w:r>
      <w:r w:rsidR="00AF5F88">
        <w:rPr>
          <w:b/>
          <w:i/>
        </w:rPr>
        <w:t>.8</w:t>
      </w:r>
      <w:r w:rsidRPr="00AF5F88">
        <w:rPr>
          <w:b/>
          <w:i/>
        </w:rPr>
        <w:t>. Dispersia ratelor șomajului la nivel regional NUTS 3</w:t>
      </w:r>
    </w:p>
    <w:p w:rsidR="00F81573" w:rsidRPr="00AF5F88" w:rsidRDefault="00F81573" w:rsidP="00AF5F88">
      <w:pPr>
        <w:pStyle w:val="ListParagraph"/>
        <w:ind w:left="0"/>
        <w:jc w:val="both"/>
      </w:pPr>
    </w:p>
    <w:p w:rsidR="00371A74" w:rsidRPr="00AF5F88" w:rsidRDefault="00F81573" w:rsidP="00AF5F88">
      <w:pPr>
        <w:pStyle w:val="NoSpacing"/>
        <w:jc w:val="both"/>
      </w:pPr>
      <w:r w:rsidRPr="00AF5F88">
        <w:tab/>
      </w:r>
      <w:r w:rsidR="00F62E1B" w:rsidRPr="00AF5F88">
        <w:rPr>
          <w:rStyle w:val="hps"/>
        </w:rPr>
        <w:t>Deşi</w:t>
      </w:r>
      <w:r w:rsidR="00F62E1B" w:rsidRPr="00AF5F88">
        <w:t xml:space="preserve"> </w:t>
      </w:r>
      <w:r w:rsidR="00F62E1B" w:rsidRPr="00AF5F88">
        <w:rPr>
          <w:rStyle w:val="hps"/>
        </w:rPr>
        <w:t>ambele rate</w:t>
      </w:r>
      <w:r w:rsidR="00F62E1B" w:rsidRPr="00AF5F88">
        <w:t xml:space="preserve"> </w:t>
      </w:r>
      <w:r w:rsidR="00F62E1B" w:rsidRPr="00AF5F88">
        <w:rPr>
          <w:rStyle w:val="hps"/>
        </w:rPr>
        <w:t>au crescut în</w:t>
      </w:r>
      <w:r w:rsidR="00F62E1B" w:rsidRPr="00AF5F88">
        <w:t xml:space="preserve"> </w:t>
      </w:r>
      <w:r w:rsidR="00F62E1B" w:rsidRPr="00AF5F88">
        <w:rPr>
          <w:rStyle w:val="hps"/>
        </w:rPr>
        <w:t>2008 la</w:t>
      </w:r>
      <w:r w:rsidR="00F62E1B" w:rsidRPr="00AF5F88">
        <w:t xml:space="preserve"> </w:t>
      </w:r>
      <w:r w:rsidR="00F62E1B" w:rsidRPr="00AF5F88">
        <w:rPr>
          <w:rStyle w:val="hps"/>
        </w:rPr>
        <w:t>nivelul UE-27</w:t>
      </w:r>
      <w:r w:rsidR="00F62E1B" w:rsidRPr="00AF5F88">
        <w:t xml:space="preserve">,  este dovedit  </w:t>
      </w:r>
      <w:r w:rsidR="00F62E1B" w:rsidRPr="00AF5F88">
        <w:rPr>
          <w:rStyle w:val="hps"/>
        </w:rPr>
        <w:t>faptul</w:t>
      </w:r>
      <w:r w:rsidR="00F62E1B" w:rsidRPr="00AF5F88">
        <w:t xml:space="preserve"> </w:t>
      </w:r>
      <w:r w:rsidR="00F62E1B" w:rsidRPr="00AF5F88">
        <w:rPr>
          <w:rStyle w:val="hps"/>
        </w:rPr>
        <w:t>că</w:t>
      </w:r>
      <w:r w:rsidR="00F62E1B" w:rsidRPr="00AF5F88">
        <w:t xml:space="preserve"> </w:t>
      </w:r>
      <w:r w:rsidR="00F62E1B" w:rsidRPr="00AF5F88">
        <w:rPr>
          <w:rStyle w:val="hps"/>
        </w:rPr>
        <w:t xml:space="preserve"> dispersia în interiorul țărilor</w:t>
      </w:r>
      <w:r w:rsidR="00F62E1B" w:rsidRPr="00AF5F88">
        <w:t xml:space="preserve"> </w:t>
      </w:r>
      <w:r w:rsidR="00F62E1B" w:rsidRPr="00AF5F88">
        <w:rPr>
          <w:rStyle w:val="hps"/>
        </w:rPr>
        <w:t>a urmat</w:t>
      </w:r>
      <w:r w:rsidR="00F62E1B" w:rsidRPr="00AF5F88">
        <w:t xml:space="preserve"> </w:t>
      </w:r>
      <w:r w:rsidR="00F62E1B" w:rsidRPr="00AF5F88">
        <w:rPr>
          <w:rStyle w:val="hps"/>
        </w:rPr>
        <w:t>tendinţa</w:t>
      </w:r>
      <w:r w:rsidR="00F62E1B" w:rsidRPr="00AF5F88">
        <w:t xml:space="preserve"> </w:t>
      </w:r>
      <w:r w:rsidR="00F62E1B" w:rsidRPr="00AF5F88">
        <w:rPr>
          <w:rStyle w:val="hps"/>
        </w:rPr>
        <w:t>opusă</w:t>
      </w:r>
      <w:r w:rsidR="00F62E1B" w:rsidRPr="00AF5F88">
        <w:t xml:space="preserve">, </w:t>
      </w:r>
      <w:r w:rsidR="00F62E1B" w:rsidRPr="00AF5F88">
        <w:rPr>
          <w:rStyle w:val="hps"/>
        </w:rPr>
        <w:t>în scădere</w:t>
      </w:r>
      <w:r w:rsidR="00F62E1B" w:rsidRPr="00AF5F88">
        <w:t xml:space="preserve">  </w:t>
      </w:r>
      <w:r w:rsidR="00F62E1B" w:rsidRPr="00AF5F88">
        <w:rPr>
          <w:rStyle w:val="hps"/>
        </w:rPr>
        <w:t>în majoritatea</w:t>
      </w:r>
      <w:r w:rsidR="00F62E1B" w:rsidRPr="00AF5F88">
        <w:t xml:space="preserve"> </w:t>
      </w:r>
      <w:r w:rsidR="00F62E1B" w:rsidRPr="00AF5F88">
        <w:rPr>
          <w:rStyle w:val="hps"/>
        </w:rPr>
        <w:t>statelor membre</w:t>
      </w:r>
      <w:r w:rsidR="00F62E1B" w:rsidRPr="00AF5F88">
        <w:t xml:space="preserve">. </w:t>
      </w:r>
      <w:r w:rsidR="00F62E1B" w:rsidRPr="00AF5F88">
        <w:rPr>
          <w:rStyle w:val="hps"/>
        </w:rPr>
        <w:t>Acest lucru</w:t>
      </w:r>
      <w:r w:rsidR="00F62E1B" w:rsidRPr="00AF5F88">
        <w:t xml:space="preserve"> </w:t>
      </w:r>
      <w:r w:rsidR="00F62E1B" w:rsidRPr="00AF5F88">
        <w:rPr>
          <w:rStyle w:val="hps"/>
        </w:rPr>
        <w:t>se datorează faptului că</w:t>
      </w:r>
      <w:r w:rsidR="00F62E1B" w:rsidRPr="00AF5F88">
        <w:t xml:space="preserve"> </w:t>
      </w:r>
      <w:r w:rsidR="00F62E1B" w:rsidRPr="00AF5F88">
        <w:rPr>
          <w:rStyle w:val="hps"/>
        </w:rPr>
        <w:t>există diferenţe</w:t>
      </w:r>
      <w:r w:rsidR="00F62E1B" w:rsidRPr="00AF5F88">
        <w:t xml:space="preserve"> </w:t>
      </w:r>
      <w:r w:rsidR="00F62E1B" w:rsidRPr="00AF5F88">
        <w:rPr>
          <w:rStyle w:val="hps"/>
        </w:rPr>
        <w:t>mari</w:t>
      </w:r>
      <w:r w:rsidR="00F62E1B" w:rsidRPr="00AF5F88">
        <w:t xml:space="preserve"> </w:t>
      </w:r>
      <w:r w:rsidR="00F62E1B" w:rsidRPr="00AF5F88">
        <w:rPr>
          <w:rStyle w:val="hps"/>
        </w:rPr>
        <w:t>în modul în care</w:t>
      </w:r>
      <w:r w:rsidR="00F62E1B" w:rsidRPr="00AF5F88">
        <w:t xml:space="preserve"> </w:t>
      </w:r>
      <w:r w:rsidR="00F62E1B" w:rsidRPr="00AF5F88">
        <w:rPr>
          <w:rStyle w:val="hps"/>
        </w:rPr>
        <w:t>ţările</w:t>
      </w:r>
      <w:r w:rsidR="00F62E1B" w:rsidRPr="00AF5F88">
        <w:t xml:space="preserve"> </w:t>
      </w:r>
      <w:r w:rsidR="00F62E1B" w:rsidRPr="00AF5F88">
        <w:rPr>
          <w:rStyle w:val="hps"/>
        </w:rPr>
        <w:t>au răspuns</w:t>
      </w:r>
      <w:r w:rsidR="00F62E1B" w:rsidRPr="00AF5F88">
        <w:t xml:space="preserve"> </w:t>
      </w:r>
      <w:r w:rsidR="00F62E1B" w:rsidRPr="00AF5F88">
        <w:rPr>
          <w:rStyle w:val="hps"/>
        </w:rPr>
        <w:t>la</w:t>
      </w:r>
      <w:r w:rsidR="00F62E1B" w:rsidRPr="00AF5F88">
        <w:t xml:space="preserve"> </w:t>
      </w:r>
      <w:r w:rsidR="00F62E1B" w:rsidRPr="00AF5F88">
        <w:rPr>
          <w:rStyle w:val="hps"/>
        </w:rPr>
        <w:t>criză</w:t>
      </w:r>
      <w:r w:rsidR="00F62E1B" w:rsidRPr="00AF5F88">
        <w:t xml:space="preserve">.  </w:t>
      </w:r>
      <w:r w:rsidR="00F62E1B" w:rsidRPr="00AF5F88">
        <w:rPr>
          <w:rStyle w:val="hps"/>
        </w:rPr>
        <w:t xml:space="preserve">Reacţiile </w:t>
      </w:r>
      <w:r w:rsidR="00F62E1B" w:rsidRPr="00AF5F88">
        <w:t xml:space="preserve"> </w:t>
      </w:r>
      <w:r w:rsidR="00F62E1B" w:rsidRPr="00AF5F88">
        <w:rPr>
          <w:rStyle w:val="hps"/>
        </w:rPr>
        <w:t>între</w:t>
      </w:r>
      <w:r w:rsidR="00F62E1B" w:rsidRPr="00AF5F88">
        <w:t xml:space="preserve"> </w:t>
      </w:r>
      <w:r w:rsidR="00F62E1B" w:rsidRPr="00AF5F88">
        <w:rPr>
          <w:rStyle w:val="hps"/>
        </w:rPr>
        <w:t>regiunile  unei țări</w:t>
      </w:r>
      <w:r w:rsidR="00F62E1B" w:rsidRPr="00AF5F88">
        <w:t xml:space="preserve"> </w:t>
      </w:r>
      <w:r w:rsidR="00F62E1B" w:rsidRPr="00AF5F88">
        <w:rPr>
          <w:rStyle w:val="hps"/>
        </w:rPr>
        <w:t>au fost</w:t>
      </w:r>
      <w:r w:rsidR="00F62E1B" w:rsidRPr="00AF5F88">
        <w:t xml:space="preserve"> </w:t>
      </w:r>
      <w:r w:rsidR="00F62E1B" w:rsidRPr="00AF5F88">
        <w:rPr>
          <w:rStyle w:val="hps"/>
        </w:rPr>
        <w:t>destul de</w:t>
      </w:r>
      <w:r w:rsidR="00F62E1B" w:rsidRPr="00AF5F88">
        <w:t xml:space="preserve"> </w:t>
      </w:r>
      <w:r w:rsidR="00F62E1B" w:rsidRPr="00AF5F88">
        <w:rPr>
          <w:rStyle w:val="hps"/>
        </w:rPr>
        <w:t>uniforme</w:t>
      </w:r>
      <w:r w:rsidR="00F62E1B" w:rsidRPr="00AF5F88">
        <w:t xml:space="preserve">, </w:t>
      </w:r>
      <w:r w:rsidR="00F62E1B" w:rsidRPr="00AF5F88">
        <w:rPr>
          <w:rStyle w:val="hps"/>
        </w:rPr>
        <w:t>în timp ce</w:t>
      </w:r>
      <w:r w:rsidR="00F62E1B" w:rsidRPr="00AF5F88">
        <w:t xml:space="preserve"> </w:t>
      </w:r>
      <w:r w:rsidR="00F62E1B" w:rsidRPr="00AF5F88">
        <w:rPr>
          <w:rStyle w:val="hps"/>
        </w:rPr>
        <w:t>reacţiile</w:t>
      </w:r>
      <w:r w:rsidR="00F62E1B" w:rsidRPr="00AF5F88">
        <w:t xml:space="preserve"> </w:t>
      </w:r>
      <w:r w:rsidR="00F62E1B" w:rsidRPr="00AF5F88">
        <w:rPr>
          <w:rStyle w:val="hps"/>
        </w:rPr>
        <w:t>între</w:t>
      </w:r>
      <w:r w:rsidR="00F62E1B" w:rsidRPr="00AF5F88">
        <w:t xml:space="preserve"> </w:t>
      </w:r>
      <w:r w:rsidR="00F62E1B" w:rsidRPr="00AF5F88">
        <w:rPr>
          <w:rStyle w:val="hps"/>
        </w:rPr>
        <w:t>regiuni din ţări</w:t>
      </w:r>
      <w:r w:rsidR="00F62E1B" w:rsidRPr="00AF5F88">
        <w:t xml:space="preserve"> </w:t>
      </w:r>
      <w:r w:rsidR="00F62E1B" w:rsidRPr="00AF5F88">
        <w:rPr>
          <w:rStyle w:val="hps"/>
        </w:rPr>
        <w:t>diferite au fost</w:t>
      </w:r>
      <w:r w:rsidR="00F62E1B" w:rsidRPr="00AF5F88">
        <w:t xml:space="preserve"> </w:t>
      </w:r>
      <w:r w:rsidR="00F62E1B" w:rsidRPr="00AF5F88">
        <w:rPr>
          <w:rStyle w:val="hps"/>
        </w:rPr>
        <w:t>relativ</w:t>
      </w:r>
      <w:r w:rsidR="00F62E1B" w:rsidRPr="00AF5F88">
        <w:t xml:space="preserve"> </w:t>
      </w:r>
      <w:r w:rsidR="00F62E1B" w:rsidRPr="00AF5F88">
        <w:rPr>
          <w:rStyle w:val="hps"/>
        </w:rPr>
        <w:t>inegale</w:t>
      </w:r>
      <w:r w:rsidR="00F62E1B" w:rsidRPr="00AF5F88">
        <w:t xml:space="preserve">. </w:t>
      </w:r>
      <w:r w:rsidR="00F62E1B" w:rsidRPr="00AF5F88">
        <w:rPr>
          <w:rStyle w:val="hps"/>
        </w:rPr>
        <w:t>În majoritatea statelor</w:t>
      </w:r>
      <w:r w:rsidR="00F62E1B" w:rsidRPr="00AF5F88">
        <w:t xml:space="preserve"> </w:t>
      </w:r>
      <w:r w:rsidR="00F62E1B" w:rsidRPr="00AF5F88">
        <w:rPr>
          <w:rStyle w:val="hps"/>
        </w:rPr>
        <w:t>membre</w:t>
      </w:r>
      <w:r w:rsidR="00F62E1B" w:rsidRPr="00AF5F88">
        <w:t xml:space="preserve">, </w:t>
      </w:r>
      <w:r w:rsidR="00F62E1B" w:rsidRPr="00AF5F88">
        <w:rPr>
          <w:rStyle w:val="hps"/>
        </w:rPr>
        <w:t xml:space="preserve">dispersia </w:t>
      </w:r>
      <w:r w:rsidR="00F62E1B" w:rsidRPr="00AF5F88">
        <w:t xml:space="preserve"> </w:t>
      </w:r>
      <w:r w:rsidR="00F62E1B" w:rsidRPr="00AF5F88">
        <w:rPr>
          <w:rStyle w:val="hps"/>
        </w:rPr>
        <w:t>ratei</w:t>
      </w:r>
      <w:r w:rsidR="00F62E1B" w:rsidRPr="00AF5F88">
        <w:t xml:space="preserve"> </w:t>
      </w:r>
      <w:r w:rsidR="00F62E1B" w:rsidRPr="00AF5F88">
        <w:rPr>
          <w:rStyle w:val="hps"/>
        </w:rPr>
        <w:t>ocupării forţei de muncă</w:t>
      </w:r>
      <w:r w:rsidR="00F62E1B" w:rsidRPr="00AF5F88">
        <w:t xml:space="preserve"> </w:t>
      </w:r>
      <w:r w:rsidR="00F62E1B" w:rsidRPr="00AF5F88">
        <w:rPr>
          <w:rStyle w:val="hps"/>
        </w:rPr>
        <w:t>pare a fi</w:t>
      </w:r>
      <w:r w:rsidR="00F62E1B" w:rsidRPr="00AF5F88">
        <w:t xml:space="preserve"> </w:t>
      </w:r>
      <w:r w:rsidR="00F62E1B" w:rsidRPr="00AF5F88">
        <w:rPr>
          <w:rStyle w:val="hps"/>
        </w:rPr>
        <w:t>destul de</w:t>
      </w:r>
      <w:r w:rsidR="00F62E1B" w:rsidRPr="00AF5F88">
        <w:t xml:space="preserve"> </w:t>
      </w:r>
      <w:r w:rsidR="00F62E1B" w:rsidRPr="00AF5F88">
        <w:rPr>
          <w:rStyle w:val="hps"/>
        </w:rPr>
        <w:t>stabilă</w:t>
      </w:r>
      <w:r w:rsidR="00F62E1B" w:rsidRPr="00AF5F88">
        <w:t xml:space="preserve">, </w:t>
      </w:r>
      <w:r w:rsidR="00F62E1B" w:rsidRPr="00AF5F88">
        <w:rPr>
          <w:rStyle w:val="hps"/>
        </w:rPr>
        <w:t>în timp ce</w:t>
      </w:r>
      <w:r w:rsidR="00F62E1B" w:rsidRPr="00AF5F88">
        <w:t xml:space="preserve"> </w:t>
      </w:r>
      <w:r w:rsidR="00F62E1B" w:rsidRPr="00AF5F88">
        <w:rPr>
          <w:rStyle w:val="hps"/>
        </w:rPr>
        <w:t>rata şomajului</w:t>
      </w:r>
      <w:r w:rsidR="00F62E1B" w:rsidRPr="00AF5F88">
        <w:t xml:space="preserve"> </w:t>
      </w:r>
      <w:r w:rsidR="00F62E1B" w:rsidRPr="00AF5F88">
        <w:rPr>
          <w:rStyle w:val="hps"/>
        </w:rPr>
        <w:t>este mult mai probabil</w:t>
      </w:r>
      <w:r w:rsidR="00F62E1B" w:rsidRPr="00AF5F88">
        <w:t xml:space="preserve"> </w:t>
      </w:r>
      <w:r w:rsidR="00F62E1B" w:rsidRPr="00AF5F88">
        <w:rPr>
          <w:rStyle w:val="hps"/>
        </w:rPr>
        <w:t>să varieze</w:t>
      </w:r>
      <w:r w:rsidR="00F62E1B" w:rsidRPr="00AF5F88">
        <w:t>.</w:t>
      </w:r>
      <w:r w:rsidR="00F62E1B" w:rsidRPr="00AF5F88">
        <w:br/>
        <w:t xml:space="preserve"> </w:t>
      </w:r>
      <w:r w:rsidR="00F62E1B" w:rsidRPr="00AF5F88">
        <w:tab/>
        <w:t xml:space="preserve">Conform figurilor anterioare, țara </w:t>
      </w:r>
      <w:r w:rsidR="00F62E1B" w:rsidRPr="00AF5F88">
        <w:rPr>
          <w:rStyle w:val="hps"/>
        </w:rPr>
        <w:t>cu</w:t>
      </w:r>
      <w:r w:rsidR="00F62E1B" w:rsidRPr="00AF5F88">
        <w:t xml:space="preserve"> </w:t>
      </w:r>
      <w:r w:rsidR="00F62E1B" w:rsidRPr="00AF5F88">
        <w:rPr>
          <w:rStyle w:val="hps"/>
        </w:rPr>
        <w:t>cea mai mare</w:t>
      </w:r>
      <w:r w:rsidR="00F62E1B" w:rsidRPr="00AF5F88">
        <w:t xml:space="preserve"> </w:t>
      </w:r>
      <w:r w:rsidR="00F62E1B" w:rsidRPr="00AF5F88">
        <w:rPr>
          <w:rStyle w:val="hps"/>
        </w:rPr>
        <w:t>dispersie</w:t>
      </w:r>
      <w:r w:rsidR="00F62E1B" w:rsidRPr="00AF5F88">
        <w:t xml:space="preserve"> </w:t>
      </w:r>
      <w:r w:rsidR="00F62E1B" w:rsidRPr="00AF5F88">
        <w:rPr>
          <w:rStyle w:val="hps"/>
        </w:rPr>
        <w:t>pentru ambele</w:t>
      </w:r>
      <w:r w:rsidR="00F62E1B" w:rsidRPr="00AF5F88">
        <w:t xml:space="preserve"> </w:t>
      </w:r>
      <w:r w:rsidR="00F62E1B" w:rsidRPr="00AF5F88">
        <w:rPr>
          <w:rStyle w:val="hps"/>
        </w:rPr>
        <w:t>rate</w:t>
      </w:r>
      <w:r w:rsidR="00F62E1B" w:rsidRPr="00AF5F88">
        <w:t xml:space="preserve"> </w:t>
      </w:r>
      <w:r w:rsidR="00F62E1B" w:rsidRPr="00AF5F88">
        <w:rPr>
          <w:rStyle w:val="hps"/>
        </w:rPr>
        <w:t xml:space="preserve"> în anul 2012 este Italia</w:t>
      </w:r>
      <w:r w:rsidR="00F62E1B" w:rsidRPr="00AF5F88">
        <w:t xml:space="preserve">, </w:t>
      </w:r>
      <w:r w:rsidR="00F62E1B" w:rsidRPr="00AF5F88">
        <w:rPr>
          <w:rStyle w:val="hps"/>
        </w:rPr>
        <w:t>cu 20,5</w:t>
      </w:r>
      <w:r w:rsidR="00F62E1B" w:rsidRPr="00AF5F88">
        <w:t xml:space="preserve">% pentru </w:t>
      </w:r>
      <w:r w:rsidR="00F62E1B" w:rsidRPr="00AF5F88">
        <w:rPr>
          <w:rStyle w:val="hps"/>
        </w:rPr>
        <w:t>ocuparea forţei de muncă</w:t>
      </w:r>
      <w:r w:rsidR="00F62E1B" w:rsidRPr="00AF5F88">
        <w:t xml:space="preserve"> </w:t>
      </w:r>
      <w:r w:rsidR="00F62E1B" w:rsidRPr="00AF5F88">
        <w:rPr>
          <w:rStyle w:val="hps"/>
        </w:rPr>
        <w:t>şi 42,3</w:t>
      </w:r>
      <w:r w:rsidR="00F62E1B" w:rsidRPr="00AF5F88">
        <w:t xml:space="preserve">% </w:t>
      </w:r>
      <w:r w:rsidR="00F62E1B" w:rsidRPr="00AF5F88">
        <w:rPr>
          <w:rStyle w:val="hps"/>
        </w:rPr>
        <w:t>pentru şomaj</w:t>
      </w:r>
      <w:r w:rsidR="00F62E1B" w:rsidRPr="00AF5F88">
        <w:t xml:space="preserve">. </w:t>
      </w:r>
      <w:r w:rsidR="00F62E1B" w:rsidRPr="00AF5F88">
        <w:rPr>
          <w:rStyle w:val="hps"/>
        </w:rPr>
        <w:t>Există diferenţe</w:t>
      </w:r>
      <w:r w:rsidR="00F62E1B" w:rsidRPr="00AF5F88">
        <w:t xml:space="preserve"> import</w:t>
      </w:r>
      <w:r w:rsidR="00F62E1B" w:rsidRPr="00AF5F88">
        <w:rPr>
          <w:rStyle w:val="hps"/>
        </w:rPr>
        <w:t>ante</w:t>
      </w:r>
      <w:r w:rsidR="00F62E1B" w:rsidRPr="00AF5F88">
        <w:t xml:space="preserve"> </w:t>
      </w:r>
      <w:r w:rsidR="00F62E1B" w:rsidRPr="00AF5F88">
        <w:rPr>
          <w:rStyle w:val="hps"/>
        </w:rPr>
        <w:t>ale performanţei</w:t>
      </w:r>
      <w:r w:rsidR="00F62E1B" w:rsidRPr="00AF5F88">
        <w:t xml:space="preserve"> </w:t>
      </w:r>
      <w:r w:rsidR="00F62E1B" w:rsidRPr="00AF5F88">
        <w:rPr>
          <w:rStyle w:val="hps"/>
        </w:rPr>
        <w:t>regionale de</w:t>
      </w:r>
      <w:r w:rsidR="00F62E1B" w:rsidRPr="00AF5F88">
        <w:t xml:space="preserve"> </w:t>
      </w:r>
      <w:r w:rsidR="00F62E1B" w:rsidRPr="00AF5F88">
        <w:rPr>
          <w:rStyle w:val="hps"/>
        </w:rPr>
        <w:t>pe piaţa</w:t>
      </w:r>
      <w:r w:rsidR="00F62E1B" w:rsidRPr="00AF5F88">
        <w:t xml:space="preserve"> </w:t>
      </w:r>
      <w:r w:rsidR="00F62E1B" w:rsidRPr="00AF5F88">
        <w:rPr>
          <w:rStyle w:val="hps"/>
        </w:rPr>
        <w:t>forţei de muncă</w:t>
      </w:r>
      <w:r w:rsidR="00F62E1B" w:rsidRPr="00AF5F88">
        <w:t xml:space="preserve"> </w:t>
      </w:r>
      <w:r w:rsidR="00F62E1B" w:rsidRPr="00AF5F88">
        <w:rPr>
          <w:rStyle w:val="hps"/>
        </w:rPr>
        <w:t>între</w:t>
      </w:r>
      <w:r w:rsidR="00F62E1B" w:rsidRPr="00AF5F88">
        <w:t xml:space="preserve"> </w:t>
      </w:r>
      <w:r w:rsidR="00F62E1B" w:rsidRPr="00AF5F88">
        <w:rPr>
          <w:rStyle w:val="hps"/>
        </w:rPr>
        <w:t>nordul şi</w:t>
      </w:r>
      <w:r w:rsidR="00F62E1B" w:rsidRPr="00AF5F88">
        <w:t xml:space="preserve"> </w:t>
      </w:r>
      <w:r w:rsidR="00F62E1B" w:rsidRPr="00AF5F88">
        <w:rPr>
          <w:rStyle w:val="hps"/>
        </w:rPr>
        <w:t xml:space="preserve"> sudul</w:t>
      </w:r>
      <w:r w:rsidR="00F62E1B" w:rsidRPr="00AF5F88">
        <w:t xml:space="preserve">  </w:t>
      </w:r>
      <w:r w:rsidR="00F62E1B" w:rsidRPr="00AF5F88">
        <w:rPr>
          <w:rStyle w:val="hps"/>
        </w:rPr>
        <w:t>Italiei</w:t>
      </w:r>
      <w:r w:rsidR="00F62E1B" w:rsidRPr="00AF5F88">
        <w:t xml:space="preserve">. </w:t>
      </w:r>
      <w:r w:rsidR="00F62E1B" w:rsidRPr="00AF5F88">
        <w:rPr>
          <w:rStyle w:val="hps"/>
        </w:rPr>
        <w:t>Belgia</w:t>
      </w:r>
      <w:r w:rsidR="00F62E1B" w:rsidRPr="00AF5F88">
        <w:t xml:space="preserve"> </w:t>
      </w:r>
      <w:r w:rsidR="00F62E1B" w:rsidRPr="00AF5F88">
        <w:rPr>
          <w:rStyle w:val="hps"/>
        </w:rPr>
        <w:t>a înregistrat de asemenea</w:t>
      </w:r>
      <w:r w:rsidR="00F62E1B" w:rsidRPr="00AF5F88">
        <w:t xml:space="preserve"> </w:t>
      </w:r>
      <w:r w:rsidR="00F62E1B" w:rsidRPr="00AF5F88">
        <w:rPr>
          <w:rStyle w:val="hps"/>
        </w:rPr>
        <w:t>o dispersie mai</w:t>
      </w:r>
      <w:r w:rsidR="00F62E1B" w:rsidRPr="00AF5F88">
        <w:t xml:space="preserve"> </w:t>
      </w:r>
      <w:r w:rsidR="00F62E1B" w:rsidRPr="00AF5F88">
        <w:rPr>
          <w:rStyle w:val="hps"/>
        </w:rPr>
        <w:t>mare pentru</w:t>
      </w:r>
      <w:r w:rsidR="00F62E1B" w:rsidRPr="00AF5F88">
        <w:t xml:space="preserve"> </w:t>
      </w:r>
      <w:r w:rsidR="00F62E1B" w:rsidRPr="00AF5F88">
        <w:rPr>
          <w:rStyle w:val="hps"/>
        </w:rPr>
        <w:t>rata şomajului</w:t>
      </w:r>
      <w:r w:rsidR="00F62E1B" w:rsidRPr="00AF5F88">
        <w:t xml:space="preserve">, </w:t>
      </w:r>
      <w:r w:rsidR="00F62E1B" w:rsidRPr="00AF5F88">
        <w:rPr>
          <w:rStyle w:val="hps"/>
        </w:rPr>
        <w:t>cu 57,5</w:t>
      </w:r>
      <w:r w:rsidR="00F62E1B" w:rsidRPr="00AF5F88">
        <w:t xml:space="preserve">%. </w:t>
      </w:r>
      <w:r w:rsidR="00F62E1B" w:rsidRPr="00AF5F88">
        <w:rPr>
          <w:rStyle w:val="hps"/>
        </w:rPr>
        <w:t>Danemarca</w:t>
      </w:r>
      <w:r w:rsidR="00F62E1B" w:rsidRPr="00AF5F88">
        <w:t xml:space="preserve"> </w:t>
      </w:r>
      <w:r w:rsidR="00F62E1B" w:rsidRPr="00AF5F88">
        <w:rPr>
          <w:rStyle w:val="hps"/>
        </w:rPr>
        <w:t>a înregistrat în 2012, cele mai mici</w:t>
      </w:r>
      <w:r w:rsidR="00F62E1B" w:rsidRPr="00AF5F88">
        <w:t xml:space="preserve"> </w:t>
      </w:r>
      <w:r w:rsidR="00F62E1B" w:rsidRPr="00AF5F88">
        <w:rPr>
          <w:rStyle w:val="hps"/>
        </w:rPr>
        <w:t>rate</w:t>
      </w:r>
      <w:r w:rsidR="00F62E1B" w:rsidRPr="00AF5F88">
        <w:t xml:space="preserve"> </w:t>
      </w:r>
      <w:r w:rsidR="00F62E1B" w:rsidRPr="00AF5F88">
        <w:rPr>
          <w:rStyle w:val="hps"/>
        </w:rPr>
        <w:t xml:space="preserve">de dispersie (9,2% pentru șomaj și </w:t>
      </w:r>
      <w:r w:rsidR="00F62E1B" w:rsidRPr="00AF5F88">
        <w:t>1,3% pentru ocuparea forței de muncă)</w:t>
      </w:r>
      <w:r w:rsidR="00F62E1B" w:rsidRPr="00AF5F88">
        <w:rPr>
          <w:rStyle w:val="hps"/>
        </w:rPr>
        <w:t>.</w:t>
      </w:r>
    </w:p>
    <w:p w:rsidR="00F81573" w:rsidRPr="00AF5F88" w:rsidRDefault="00AF5F88" w:rsidP="00AF5F88">
      <w:pPr>
        <w:pStyle w:val="ListParagraph"/>
        <w:ind w:left="0"/>
        <w:jc w:val="both"/>
      </w:pPr>
      <w:r>
        <w:tab/>
      </w:r>
      <w:r w:rsidR="009B54A2" w:rsidRPr="00AF5F88">
        <w:t xml:space="preserve">O înțelegere mai bună a politicii regionale a UE şi impactul acesteia asupra diferitelor aspecte ale economiilor regionale necesită o analiză a procesului de alocare a fondurilor. Prin urmare, este important să se evalueze dacă fondurile sunt alocate în conformitate cu criteriile stabilite de către Comisia Europeană. </w:t>
      </w:r>
    </w:p>
    <w:p w:rsidR="00F81573" w:rsidRPr="00AF5F88" w:rsidRDefault="00F81573" w:rsidP="00AF5F88">
      <w:pPr>
        <w:ind w:left="720"/>
        <w:jc w:val="right"/>
        <w:rPr>
          <w:b/>
          <w:i/>
        </w:rPr>
      </w:pPr>
      <w:r w:rsidRPr="00AF5F88">
        <w:rPr>
          <w:b/>
          <w:i/>
        </w:rPr>
        <w:t>Tabelul nr.</w:t>
      </w:r>
      <w:r w:rsidR="00AF5F88">
        <w:rPr>
          <w:b/>
          <w:i/>
        </w:rPr>
        <w:t>1</w:t>
      </w:r>
      <w:r w:rsidRPr="00AF5F88">
        <w:rPr>
          <w:b/>
          <w:i/>
        </w:rPr>
        <w:t xml:space="preserve">. Alocarea financiară pe perioade de programare din 1990-2013 </w:t>
      </w:r>
    </w:p>
    <w:tbl>
      <w:tblPr>
        <w:tblW w:w="7965" w:type="dxa"/>
        <w:jc w:val="center"/>
        <w:tblBorders>
          <w:top w:val="single" w:sz="8" w:space="0" w:color="4F81BD"/>
          <w:bottom w:val="single" w:sz="8" w:space="0" w:color="4F81BD"/>
        </w:tblBorders>
        <w:tblLook w:val="04A0" w:firstRow="1" w:lastRow="0" w:firstColumn="1" w:lastColumn="0" w:noHBand="0" w:noVBand="1"/>
      </w:tblPr>
      <w:tblGrid>
        <w:gridCol w:w="1860"/>
        <w:gridCol w:w="1416"/>
        <w:gridCol w:w="1725"/>
        <w:gridCol w:w="1416"/>
        <w:gridCol w:w="1548"/>
      </w:tblGrid>
      <w:tr w:rsidR="00F81573" w:rsidRPr="00AF5F88" w:rsidTr="00992507">
        <w:trPr>
          <w:trHeight w:val="518"/>
          <w:jc w:val="center"/>
        </w:trPr>
        <w:tc>
          <w:tcPr>
            <w:tcW w:w="1863" w:type="dxa"/>
            <w:tcBorders>
              <w:top w:val="single" w:sz="8" w:space="0" w:color="4F81BD"/>
              <w:left w:val="nil"/>
              <w:bottom w:val="single" w:sz="8" w:space="0" w:color="4F81BD"/>
              <w:right w:val="nil"/>
            </w:tcBorders>
            <w:hideMark/>
          </w:tcPr>
          <w:p w:rsidR="00F81573" w:rsidRPr="00AF5F88" w:rsidRDefault="00F81573" w:rsidP="00AF5F88">
            <w:pPr>
              <w:rPr>
                <w:b/>
                <w:bCs/>
              </w:rPr>
            </w:pPr>
            <w:r w:rsidRPr="00AF5F88">
              <w:rPr>
                <w:b/>
                <w:bCs/>
              </w:rPr>
              <w:t>Alocări financiare</w:t>
            </w:r>
          </w:p>
        </w:tc>
        <w:tc>
          <w:tcPr>
            <w:tcW w:w="1407" w:type="dxa"/>
            <w:tcBorders>
              <w:top w:val="single" w:sz="8" w:space="0" w:color="4F81BD"/>
              <w:left w:val="nil"/>
              <w:bottom w:val="single" w:sz="8" w:space="0" w:color="4F81BD"/>
              <w:right w:val="nil"/>
            </w:tcBorders>
            <w:hideMark/>
          </w:tcPr>
          <w:p w:rsidR="00F81573" w:rsidRPr="00AF5F88" w:rsidRDefault="00F81573" w:rsidP="00AF5F88">
            <w:pPr>
              <w:rPr>
                <w:b/>
                <w:bCs/>
              </w:rPr>
            </w:pPr>
            <w:r w:rsidRPr="00AF5F88">
              <w:rPr>
                <w:b/>
                <w:bCs/>
              </w:rPr>
              <w:t>FEDR</w:t>
            </w:r>
          </w:p>
        </w:tc>
        <w:tc>
          <w:tcPr>
            <w:tcW w:w="1725" w:type="dxa"/>
            <w:tcBorders>
              <w:top w:val="single" w:sz="8" w:space="0" w:color="4F81BD"/>
              <w:left w:val="nil"/>
              <w:bottom w:val="single" w:sz="8" w:space="0" w:color="4F81BD"/>
              <w:right w:val="nil"/>
            </w:tcBorders>
            <w:hideMark/>
          </w:tcPr>
          <w:p w:rsidR="00F81573" w:rsidRPr="00AF5F88" w:rsidRDefault="00F81573" w:rsidP="00AF5F88">
            <w:pPr>
              <w:rPr>
                <w:b/>
                <w:bCs/>
              </w:rPr>
            </w:pPr>
            <w:r w:rsidRPr="00AF5F88">
              <w:rPr>
                <w:b/>
                <w:bCs/>
              </w:rPr>
              <w:t>FSE</w:t>
            </w:r>
          </w:p>
        </w:tc>
        <w:tc>
          <w:tcPr>
            <w:tcW w:w="0" w:type="auto"/>
            <w:tcBorders>
              <w:top w:val="single" w:sz="8" w:space="0" w:color="4F81BD"/>
              <w:left w:val="nil"/>
              <w:bottom w:val="single" w:sz="8" w:space="0" w:color="4F81BD"/>
              <w:right w:val="nil"/>
            </w:tcBorders>
            <w:hideMark/>
          </w:tcPr>
          <w:p w:rsidR="00F81573" w:rsidRPr="00AF5F88" w:rsidRDefault="00F81573" w:rsidP="00AF5F88">
            <w:pPr>
              <w:rPr>
                <w:b/>
                <w:bCs/>
              </w:rPr>
            </w:pPr>
            <w:r w:rsidRPr="00AF5F88">
              <w:rPr>
                <w:b/>
                <w:bCs/>
              </w:rPr>
              <w:t>FEOGA</w:t>
            </w:r>
          </w:p>
        </w:tc>
        <w:tc>
          <w:tcPr>
            <w:tcW w:w="1550" w:type="dxa"/>
            <w:tcBorders>
              <w:top w:val="single" w:sz="8" w:space="0" w:color="4F81BD"/>
              <w:left w:val="nil"/>
              <w:bottom w:val="single" w:sz="8" w:space="0" w:color="4F81BD"/>
              <w:right w:val="nil"/>
            </w:tcBorders>
            <w:hideMark/>
          </w:tcPr>
          <w:p w:rsidR="00F81573" w:rsidRPr="00AF5F88" w:rsidRDefault="00F81573" w:rsidP="00AF5F88">
            <w:pPr>
              <w:rPr>
                <w:b/>
                <w:bCs/>
              </w:rPr>
            </w:pPr>
            <w:r w:rsidRPr="00AF5F88">
              <w:rPr>
                <w:b/>
                <w:bCs/>
              </w:rPr>
              <w:t>IFOP</w:t>
            </w:r>
          </w:p>
        </w:tc>
      </w:tr>
      <w:tr w:rsidR="00F81573" w:rsidRPr="00AF5F88" w:rsidTr="00992507">
        <w:trPr>
          <w:trHeight w:val="260"/>
          <w:jc w:val="center"/>
        </w:trPr>
        <w:tc>
          <w:tcPr>
            <w:tcW w:w="1863" w:type="dxa"/>
            <w:tcBorders>
              <w:left w:val="nil"/>
              <w:right w:val="nil"/>
            </w:tcBorders>
            <w:shd w:val="clear" w:color="auto" w:fill="D3DFEE"/>
            <w:hideMark/>
          </w:tcPr>
          <w:p w:rsidR="00F81573" w:rsidRPr="00AF5F88" w:rsidRDefault="00F81573" w:rsidP="00AF5F88">
            <w:pPr>
              <w:rPr>
                <w:b/>
                <w:bCs/>
              </w:rPr>
            </w:pPr>
            <w:r w:rsidRPr="00AF5F88">
              <w:rPr>
                <w:b/>
                <w:bCs/>
              </w:rPr>
              <w:t>2007-2013</w:t>
            </w:r>
          </w:p>
        </w:tc>
        <w:tc>
          <w:tcPr>
            <w:tcW w:w="1407" w:type="dxa"/>
            <w:tcBorders>
              <w:left w:val="nil"/>
              <w:right w:val="nil"/>
            </w:tcBorders>
            <w:shd w:val="clear" w:color="auto" w:fill="D3DFEE"/>
            <w:hideMark/>
          </w:tcPr>
          <w:p w:rsidR="00F81573" w:rsidRPr="00AF5F88" w:rsidRDefault="00F81573" w:rsidP="00AF5F88">
            <w:r w:rsidRPr="00AF5F88">
              <w:t>270.087.000</w:t>
            </w:r>
          </w:p>
        </w:tc>
        <w:tc>
          <w:tcPr>
            <w:tcW w:w="1725" w:type="dxa"/>
            <w:tcBorders>
              <w:left w:val="nil"/>
              <w:right w:val="nil"/>
            </w:tcBorders>
            <w:shd w:val="clear" w:color="auto" w:fill="D3DFEE"/>
            <w:hideMark/>
          </w:tcPr>
          <w:p w:rsidR="00F81573" w:rsidRPr="00AF5F88" w:rsidRDefault="00F81573" w:rsidP="00AF5F88">
            <w:r w:rsidRPr="00AF5F88">
              <w:rPr>
                <w:bCs/>
              </w:rPr>
              <w:t>75.604.353.000</w:t>
            </w:r>
          </w:p>
        </w:tc>
        <w:tc>
          <w:tcPr>
            <w:tcW w:w="0" w:type="auto"/>
            <w:tcBorders>
              <w:left w:val="nil"/>
              <w:right w:val="nil"/>
            </w:tcBorders>
            <w:shd w:val="clear" w:color="auto" w:fill="D3DFEE"/>
            <w:hideMark/>
          </w:tcPr>
          <w:p w:rsidR="00F81573" w:rsidRPr="00AF5F88" w:rsidRDefault="00F81573" w:rsidP="00AF5F88">
            <w:r w:rsidRPr="00AF5F88">
              <w:t>-</w:t>
            </w:r>
          </w:p>
        </w:tc>
        <w:tc>
          <w:tcPr>
            <w:tcW w:w="1550" w:type="dxa"/>
            <w:tcBorders>
              <w:left w:val="nil"/>
              <w:right w:val="nil"/>
            </w:tcBorders>
            <w:shd w:val="clear" w:color="auto" w:fill="D3DFEE"/>
            <w:hideMark/>
          </w:tcPr>
          <w:p w:rsidR="00F81573" w:rsidRPr="00AF5F88" w:rsidRDefault="00F81573" w:rsidP="00AF5F88">
            <w:r w:rsidRPr="00AF5F88">
              <w:t>-</w:t>
            </w:r>
          </w:p>
        </w:tc>
      </w:tr>
      <w:tr w:rsidR="00F81573" w:rsidRPr="00AF5F88" w:rsidTr="00992507">
        <w:trPr>
          <w:trHeight w:val="260"/>
          <w:jc w:val="center"/>
        </w:trPr>
        <w:tc>
          <w:tcPr>
            <w:tcW w:w="1863" w:type="dxa"/>
            <w:hideMark/>
          </w:tcPr>
          <w:p w:rsidR="00F81573" w:rsidRPr="00AF5F88" w:rsidRDefault="00F81573" w:rsidP="00AF5F88">
            <w:pPr>
              <w:rPr>
                <w:b/>
                <w:bCs/>
              </w:rPr>
            </w:pPr>
            <w:r w:rsidRPr="00AF5F88">
              <w:rPr>
                <w:b/>
                <w:bCs/>
              </w:rPr>
              <w:lastRenderedPageBreak/>
              <w:t>2000-2006</w:t>
            </w:r>
          </w:p>
        </w:tc>
        <w:tc>
          <w:tcPr>
            <w:tcW w:w="1407" w:type="dxa"/>
            <w:hideMark/>
          </w:tcPr>
          <w:p w:rsidR="00F81573" w:rsidRPr="00AF5F88" w:rsidRDefault="00F81573" w:rsidP="00AF5F88">
            <w:r w:rsidRPr="00AF5F88">
              <w:t xml:space="preserve">225.975.652 </w:t>
            </w:r>
          </w:p>
        </w:tc>
        <w:tc>
          <w:tcPr>
            <w:tcW w:w="1725" w:type="dxa"/>
            <w:hideMark/>
          </w:tcPr>
          <w:p w:rsidR="00F81573" w:rsidRPr="00AF5F88" w:rsidRDefault="00F81573" w:rsidP="00AF5F88">
            <w:r w:rsidRPr="00AF5F88">
              <w:t xml:space="preserve">76.120.100 </w:t>
            </w:r>
          </w:p>
        </w:tc>
        <w:tc>
          <w:tcPr>
            <w:tcW w:w="0" w:type="auto"/>
            <w:hideMark/>
          </w:tcPr>
          <w:p w:rsidR="00F81573" w:rsidRPr="00AF5F88" w:rsidRDefault="00F81573" w:rsidP="00AF5F88">
            <w:r w:rsidRPr="00AF5F88">
              <w:t xml:space="preserve">56.798.282 </w:t>
            </w:r>
          </w:p>
        </w:tc>
        <w:tc>
          <w:tcPr>
            <w:tcW w:w="1550" w:type="dxa"/>
            <w:hideMark/>
          </w:tcPr>
          <w:p w:rsidR="00F81573" w:rsidRPr="00AF5F88" w:rsidRDefault="00F81573" w:rsidP="00AF5F88">
            <w:r w:rsidRPr="00AF5F88">
              <w:t xml:space="preserve">12.469.418 </w:t>
            </w:r>
          </w:p>
        </w:tc>
      </w:tr>
      <w:tr w:rsidR="00F81573" w:rsidRPr="00AF5F88" w:rsidTr="00992507">
        <w:trPr>
          <w:trHeight w:val="260"/>
          <w:jc w:val="center"/>
        </w:trPr>
        <w:tc>
          <w:tcPr>
            <w:tcW w:w="1863" w:type="dxa"/>
            <w:tcBorders>
              <w:left w:val="nil"/>
              <w:right w:val="nil"/>
            </w:tcBorders>
            <w:shd w:val="clear" w:color="auto" w:fill="D3DFEE"/>
            <w:hideMark/>
          </w:tcPr>
          <w:p w:rsidR="00F81573" w:rsidRPr="00AF5F88" w:rsidRDefault="00F81573" w:rsidP="00AF5F88">
            <w:pPr>
              <w:rPr>
                <w:b/>
                <w:bCs/>
              </w:rPr>
            </w:pPr>
            <w:r w:rsidRPr="00AF5F88">
              <w:rPr>
                <w:b/>
                <w:bCs/>
              </w:rPr>
              <w:t>1994-1999(ECU)</w:t>
            </w:r>
          </w:p>
        </w:tc>
        <w:tc>
          <w:tcPr>
            <w:tcW w:w="1407" w:type="dxa"/>
            <w:tcBorders>
              <w:left w:val="nil"/>
              <w:right w:val="nil"/>
            </w:tcBorders>
            <w:shd w:val="clear" w:color="auto" w:fill="D3DFEE"/>
            <w:hideMark/>
          </w:tcPr>
          <w:p w:rsidR="00F81573" w:rsidRPr="00AF5F88" w:rsidRDefault="00F81573" w:rsidP="00AF5F88">
            <w:r w:rsidRPr="00AF5F88">
              <w:t>75 018,357</w:t>
            </w:r>
          </w:p>
        </w:tc>
        <w:tc>
          <w:tcPr>
            <w:tcW w:w="1725" w:type="dxa"/>
            <w:tcBorders>
              <w:left w:val="nil"/>
              <w:right w:val="nil"/>
            </w:tcBorders>
            <w:shd w:val="clear" w:color="auto" w:fill="D3DFEE"/>
            <w:hideMark/>
          </w:tcPr>
          <w:p w:rsidR="00F81573" w:rsidRPr="00AF5F88" w:rsidRDefault="00F81573" w:rsidP="00AF5F88">
            <w:r w:rsidRPr="00AF5F88">
              <w:t>43 410,790</w:t>
            </w:r>
          </w:p>
        </w:tc>
        <w:tc>
          <w:tcPr>
            <w:tcW w:w="0" w:type="auto"/>
            <w:tcBorders>
              <w:left w:val="nil"/>
              <w:right w:val="nil"/>
            </w:tcBorders>
            <w:shd w:val="clear" w:color="auto" w:fill="D3DFEE"/>
            <w:hideMark/>
          </w:tcPr>
          <w:p w:rsidR="00F81573" w:rsidRPr="00AF5F88" w:rsidRDefault="00F81573" w:rsidP="00AF5F88">
            <w:r w:rsidRPr="00AF5F88">
              <w:t>23 508,270</w:t>
            </w:r>
          </w:p>
        </w:tc>
        <w:tc>
          <w:tcPr>
            <w:tcW w:w="1550" w:type="dxa"/>
            <w:tcBorders>
              <w:left w:val="nil"/>
              <w:right w:val="nil"/>
            </w:tcBorders>
            <w:shd w:val="clear" w:color="auto" w:fill="D3DFEE"/>
            <w:hideMark/>
          </w:tcPr>
          <w:p w:rsidR="00F81573" w:rsidRPr="00AF5F88" w:rsidRDefault="00F81573" w:rsidP="00AF5F88">
            <w:r w:rsidRPr="00AF5F88">
              <w:t>2 660,710</w:t>
            </w:r>
          </w:p>
        </w:tc>
      </w:tr>
      <w:tr w:rsidR="00F81573" w:rsidRPr="00AF5F88" w:rsidTr="00992507">
        <w:trPr>
          <w:trHeight w:val="518"/>
          <w:jc w:val="center"/>
        </w:trPr>
        <w:tc>
          <w:tcPr>
            <w:tcW w:w="1863" w:type="dxa"/>
            <w:hideMark/>
          </w:tcPr>
          <w:p w:rsidR="00F81573" w:rsidRPr="00AF5F88" w:rsidRDefault="00F81573" w:rsidP="00AF5F88">
            <w:pPr>
              <w:rPr>
                <w:b/>
                <w:bCs/>
              </w:rPr>
            </w:pPr>
            <w:r w:rsidRPr="00AF5F88">
              <w:rPr>
                <w:b/>
                <w:bCs/>
              </w:rPr>
              <w:t>1990-1994 (ECU)</w:t>
            </w:r>
          </w:p>
        </w:tc>
        <w:tc>
          <w:tcPr>
            <w:tcW w:w="1407" w:type="dxa"/>
            <w:hideMark/>
          </w:tcPr>
          <w:p w:rsidR="00F81573" w:rsidRPr="00AF5F88" w:rsidRDefault="00F81573" w:rsidP="00AF5F88">
            <w:r w:rsidRPr="00AF5F88">
              <w:t>86.175.900</w:t>
            </w:r>
          </w:p>
        </w:tc>
        <w:tc>
          <w:tcPr>
            <w:tcW w:w="1725" w:type="dxa"/>
            <w:hideMark/>
          </w:tcPr>
          <w:p w:rsidR="00F81573" w:rsidRPr="00AF5F88" w:rsidRDefault="00F81573" w:rsidP="00AF5F88">
            <w:r w:rsidRPr="00AF5F88">
              <w:t>-</w:t>
            </w:r>
          </w:p>
        </w:tc>
        <w:tc>
          <w:tcPr>
            <w:tcW w:w="0" w:type="auto"/>
            <w:hideMark/>
          </w:tcPr>
          <w:p w:rsidR="00F81573" w:rsidRPr="00AF5F88" w:rsidRDefault="00F81573" w:rsidP="00AF5F88">
            <w:r w:rsidRPr="00AF5F88">
              <w:t>167.265.000</w:t>
            </w:r>
          </w:p>
        </w:tc>
        <w:tc>
          <w:tcPr>
            <w:tcW w:w="1550" w:type="dxa"/>
            <w:hideMark/>
          </w:tcPr>
          <w:p w:rsidR="00F81573" w:rsidRPr="00AF5F88" w:rsidRDefault="00F81573" w:rsidP="00AF5F88">
            <w:r w:rsidRPr="00AF5F88">
              <w:t>-</w:t>
            </w:r>
          </w:p>
        </w:tc>
      </w:tr>
      <w:tr w:rsidR="00F81573" w:rsidRPr="00AF5F88" w:rsidTr="00992507">
        <w:trPr>
          <w:jc w:val="center"/>
        </w:trPr>
        <w:tc>
          <w:tcPr>
            <w:tcW w:w="1863" w:type="dxa"/>
            <w:tcBorders>
              <w:left w:val="nil"/>
              <w:right w:val="nil"/>
            </w:tcBorders>
            <w:shd w:val="clear" w:color="auto" w:fill="D3DFEE"/>
            <w:hideMark/>
          </w:tcPr>
          <w:p w:rsidR="00F81573" w:rsidRPr="00AF5F88" w:rsidRDefault="00F81573" w:rsidP="00AF5F88">
            <w:pPr>
              <w:jc w:val="center"/>
              <w:rPr>
                <w:b/>
                <w:bCs/>
              </w:rPr>
            </w:pPr>
          </w:p>
        </w:tc>
        <w:tc>
          <w:tcPr>
            <w:tcW w:w="1407" w:type="dxa"/>
            <w:tcBorders>
              <w:left w:val="nil"/>
              <w:right w:val="nil"/>
            </w:tcBorders>
            <w:shd w:val="clear" w:color="auto" w:fill="D3DFEE"/>
            <w:hideMark/>
          </w:tcPr>
          <w:p w:rsidR="00F81573" w:rsidRPr="00AF5F88" w:rsidRDefault="00F81573" w:rsidP="00AF5F88">
            <w:pPr>
              <w:jc w:val="center"/>
            </w:pPr>
          </w:p>
        </w:tc>
        <w:tc>
          <w:tcPr>
            <w:tcW w:w="1725" w:type="dxa"/>
            <w:tcBorders>
              <w:left w:val="nil"/>
              <w:right w:val="nil"/>
            </w:tcBorders>
            <w:shd w:val="clear" w:color="auto" w:fill="D3DFEE"/>
            <w:hideMark/>
          </w:tcPr>
          <w:p w:rsidR="00F81573" w:rsidRPr="00AF5F88" w:rsidRDefault="00F81573" w:rsidP="00AF5F88">
            <w:pPr>
              <w:jc w:val="center"/>
            </w:pPr>
          </w:p>
        </w:tc>
        <w:tc>
          <w:tcPr>
            <w:tcW w:w="0" w:type="auto"/>
            <w:tcBorders>
              <w:left w:val="nil"/>
              <w:right w:val="nil"/>
            </w:tcBorders>
            <w:shd w:val="clear" w:color="auto" w:fill="D3DFEE"/>
            <w:hideMark/>
          </w:tcPr>
          <w:p w:rsidR="00F81573" w:rsidRPr="00AF5F88" w:rsidRDefault="00F81573" w:rsidP="00AF5F88">
            <w:pPr>
              <w:jc w:val="center"/>
            </w:pPr>
          </w:p>
        </w:tc>
        <w:tc>
          <w:tcPr>
            <w:tcW w:w="1550" w:type="dxa"/>
            <w:tcBorders>
              <w:left w:val="nil"/>
              <w:right w:val="nil"/>
            </w:tcBorders>
            <w:shd w:val="clear" w:color="auto" w:fill="D3DFEE"/>
            <w:hideMark/>
          </w:tcPr>
          <w:p w:rsidR="00F81573" w:rsidRPr="00AF5F88" w:rsidRDefault="00F81573" w:rsidP="00AF5F88">
            <w:pPr>
              <w:jc w:val="center"/>
            </w:pPr>
          </w:p>
        </w:tc>
      </w:tr>
      <w:tr w:rsidR="00F81573" w:rsidRPr="00AF5F88" w:rsidTr="00992507">
        <w:trPr>
          <w:trHeight w:val="13"/>
          <w:jc w:val="center"/>
        </w:trPr>
        <w:tc>
          <w:tcPr>
            <w:tcW w:w="1863" w:type="dxa"/>
            <w:hideMark/>
          </w:tcPr>
          <w:p w:rsidR="00F81573" w:rsidRPr="00AF5F88" w:rsidRDefault="00F81573" w:rsidP="00AF5F88">
            <w:pPr>
              <w:jc w:val="center"/>
              <w:rPr>
                <w:b/>
                <w:bCs/>
              </w:rPr>
            </w:pPr>
          </w:p>
        </w:tc>
        <w:tc>
          <w:tcPr>
            <w:tcW w:w="1407" w:type="dxa"/>
            <w:hideMark/>
          </w:tcPr>
          <w:p w:rsidR="00F81573" w:rsidRPr="00AF5F88" w:rsidRDefault="00F81573" w:rsidP="00AF5F88">
            <w:pPr>
              <w:jc w:val="center"/>
            </w:pPr>
          </w:p>
        </w:tc>
        <w:tc>
          <w:tcPr>
            <w:tcW w:w="1725" w:type="dxa"/>
            <w:hideMark/>
          </w:tcPr>
          <w:p w:rsidR="00F81573" w:rsidRPr="00AF5F88" w:rsidRDefault="00F81573" w:rsidP="00AF5F88">
            <w:pPr>
              <w:jc w:val="center"/>
            </w:pPr>
          </w:p>
        </w:tc>
        <w:tc>
          <w:tcPr>
            <w:tcW w:w="0" w:type="auto"/>
            <w:hideMark/>
          </w:tcPr>
          <w:p w:rsidR="00F81573" w:rsidRPr="00AF5F88" w:rsidRDefault="00F81573" w:rsidP="00AF5F88">
            <w:pPr>
              <w:jc w:val="center"/>
            </w:pPr>
          </w:p>
        </w:tc>
        <w:tc>
          <w:tcPr>
            <w:tcW w:w="1550" w:type="dxa"/>
            <w:hideMark/>
          </w:tcPr>
          <w:p w:rsidR="00F81573" w:rsidRPr="00AF5F88" w:rsidRDefault="00F81573" w:rsidP="00AF5F88">
            <w:pPr>
              <w:jc w:val="center"/>
            </w:pPr>
          </w:p>
        </w:tc>
      </w:tr>
    </w:tbl>
    <w:p w:rsidR="00F81573" w:rsidRPr="00AF5F88" w:rsidRDefault="00F81573" w:rsidP="00AF5F88">
      <w:pPr>
        <w:ind w:left="720"/>
        <w:jc w:val="both"/>
        <w:rPr>
          <w:i/>
        </w:rPr>
      </w:pPr>
      <w:r w:rsidRPr="00AF5F88">
        <w:rPr>
          <w:i/>
        </w:rPr>
        <w:t>Sursa: prelucrat de autor după Eurostat</w:t>
      </w:r>
    </w:p>
    <w:p w:rsidR="00F81573" w:rsidRPr="00AF5F88" w:rsidRDefault="00F81573" w:rsidP="00AF5F88">
      <w:pPr>
        <w:pStyle w:val="ListParagraph"/>
        <w:ind w:left="0"/>
        <w:jc w:val="both"/>
      </w:pPr>
      <w:r w:rsidRPr="00AF5F88">
        <w:tab/>
      </w:r>
      <w:r w:rsidRPr="00AF5F88">
        <w:rPr>
          <w:i/>
        </w:rPr>
        <w:t>Fondul Social European(FSE)</w:t>
      </w:r>
      <w:r w:rsidRPr="00AF5F88">
        <w:t xml:space="preserve">  este considerat unui dintre cele mai vechi  fonduri ale  Uniunii Europene, avându-și originile în Tratatul de la Roma din 1957. Deşi creşterea gradului de ocupare a forţei de muncă a reprezentat în timp  obiectivul sau primar, FSE a continuat să-şi modifice orientările de-a lungul anilor, astfel încât să poată face faţă cerinţelor prezentului. Pentru a consolida coeziunea economică şi socială în Uniunea Europeană prin atenuarea disparităților regionale, </w:t>
      </w:r>
      <w:r w:rsidRPr="00AF5F88">
        <w:rPr>
          <w:i/>
        </w:rPr>
        <w:t>Fondul European de Dezvoltare Regională (FEDR)</w:t>
      </w:r>
      <w:r w:rsidRPr="00AF5F88">
        <w:t xml:space="preserve">  propune  diferite tipuri de finanţare pentru îndeplinirea obiectivelor. Politica Agricolă Comună (PAC) este cea mai complexă şi costisitoare dintre politicile UE.</w:t>
      </w:r>
      <w:r w:rsidRPr="00AF5F88">
        <w:rPr>
          <w:b/>
        </w:rPr>
        <w:t xml:space="preserve"> </w:t>
      </w:r>
      <w:r w:rsidRPr="00AF5F88">
        <w:t xml:space="preserve">În vederea susținerii financiare unitare a PAC, a fost creat în 1962, </w:t>
      </w:r>
      <w:r w:rsidRPr="00AF5F88">
        <w:rPr>
          <w:i/>
        </w:rPr>
        <w:t>Fondul European de Orientare şi Garanţii Agricole (FEOGA)</w:t>
      </w:r>
      <w:r w:rsidRPr="00AF5F88">
        <w:t xml:space="preserve">. FEOGA cuprinde toate creditele destinate Politicii Agricole Comune, reprezentând mult timp un element special ca mărime în bugetul UE, depășind până nu demult  50% din buget. Prin contopirea tuturor instrumentelor comunitare privind pescuitul, în anul 1994 s-a fondat </w:t>
      </w:r>
      <w:r w:rsidRPr="00AF5F88">
        <w:rPr>
          <w:i/>
        </w:rPr>
        <w:t>Instrumentul financiar în domeniul pescuitului</w:t>
      </w:r>
      <w:r w:rsidRPr="00AF5F88">
        <w:t xml:space="preserve">(IFOP).   </w:t>
      </w:r>
    </w:p>
    <w:p w:rsidR="00F81573" w:rsidRPr="00AF5F88" w:rsidRDefault="00F81573" w:rsidP="00AF5F88">
      <w:pPr>
        <w:pStyle w:val="ListParagraph"/>
        <w:ind w:left="0"/>
        <w:jc w:val="both"/>
      </w:pPr>
      <w:r w:rsidRPr="00AF5F88">
        <w:tab/>
      </w:r>
      <w:r w:rsidRPr="00AF5F88">
        <w:rPr>
          <w:i/>
        </w:rPr>
        <w:t>Fondul de Coeziune</w:t>
      </w:r>
      <w:r w:rsidRPr="00AF5F88">
        <w:t xml:space="preserve"> ajută statele membre cu un produs naţional brut (PNB) pe cap de locuitor ce se află sub pragul de 90% din media comunitară să-şi amelioreze discrepanțele dintre nivelurile de dezvoltare economică şi socială şi să-şi stabilizeze economiile. La 1 mai 2004, o dată cu extinderea UE, toate noile state membre au fost calificate pentru Fondul de Coeziune.</w:t>
      </w:r>
    </w:p>
    <w:p w:rsidR="00F81573" w:rsidRPr="00AF5F88" w:rsidRDefault="00AF5F88" w:rsidP="00AF5F88">
      <w:pPr>
        <w:pStyle w:val="NormalWeb"/>
        <w:ind w:left="1440" w:firstLine="720"/>
        <w:jc w:val="center"/>
        <w:rPr>
          <w:rStyle w:val="Strong"/>
          <w:i/>
        </w:rPr>
      </w:pPr>
      <w:r>
        <w:rPr>
          <w:rStyle w:val="Strong"/>
          <w:i/>
        </w:rPr>
        <w:t>Tabelul nr. 2</w:t>
      </w:r>
      <w:r w:rsidR="00F81573" w:rsidRPr="00AF5F88">
        <w:rPr>
          <w:rStyle w:val="Strong"/>
          <w:i/>
        </w:rPr>
        <w:t>. Noile state eligibile pentru FC 2004-2006</w:t>
      </w:r>
    </w:p>
    <w:p w:rsidR="00F81573" w:rsidRPr="00AF5F88" w:rsidRDefault="00F81573" w:rsidP="00AF5F88">
      <w:pPr>
        <w:pStyle w:val="NormalWeb"/>
        <w:jc w:val="right"/>
        <w:rPr>
          <w:b/>
        </w:rPr>
      </w:pPr>
      <w:r w:rsidRPr="00AF5F88">
        <w:rPr>
          <w:rStyle w:val="Strong"/>
        </w:rPr>
        <w:t xml:space="preserve">                                                                                                  </w:t>
      </w:r>
      <w:r w:rsidRPr="00AF5F88">
        <w:rPr>
          <w:rStyle w:val="Strong"/>
          <w:b w:val="0"/>
        </w:rPr>
        <w:t>-mil euro-</w:t>
      </w:r>
    </w:p>
    <w:tbl>
      <w:tblPr>
        <w:tblW w:w="4985" w:type="pct"/>
        <w:tblBorders>
          <w:top w:val="single" w:sz="8" w:space="0" w:color="4F81BD"/>
          <w:bottom w:val="single" w:sz="8" w:space="0" w:color="4F81BD"/>
        </w:tblBorders>
        <w:tblLayout w:type="fixed"/>
        <w:tblLook w:val="0000" w:firstRow="0" w:lastRow="0" w:firstColumn="0" w:lastColumn="0" w:noHBand="0" w:noVBand="0"/>
      </w:tblPr>
      <w:tblGrid>
        <w:gridCol w:w="1117"/>
        <w:gridCol w:w="938"/>
        <w:gridCol w:w="938"/>
        <w:gridCol w:w="938"/>
        <w:gridCol w:w="938"/>
        <w:gridCol w:w="937"/>
        <w:gridCol w:w="938"/>
        <w:gridCol w:w="938"/>
        <w:gridCol w:w="938"/>
        <w:gridCol w:w="973"/>
      </w:tblGrid>
      <w:tr w:rsidR="00F81573" w:rsidRPr="00AF5F88" w:rsidTr="00992507">
        <w:trPr>
          <w:trHeight w:val="284"/>
        </w:trPr>
        <w:tc>
          <w:tcPr>
            <w:tcW w:w="1067" w:type="dxa"/>
            <w:tcBorders>
              <w:left w:val="nil"/>
              <w:bottom w:val="nil"/>
              <w:right w:val="nil"/>
            </w:tcBorders>
            <w:shd w:val="clear" w:color="auto" w:fill="D3DFEE"/>
          </w:tcPr>
          <w:p w:rsidR="00F81573" w:rsidRPr="00AF5F88" w:rsidRDefault="00F81573" w:rsidP="00AF5F88">
            <w:pPr>
              <w:jc w:val="both"/>
            </w:pPr>
            <w:r w:rsidRPr="00AF5F88">
              <w:t>Cehia</w:t>
            </w:r>
          </w:p>
        </w:tc>
        <w:tc>
          <w:tcPr>
            <w:tcW w:w="895" w:type="dxa"/>
            <w:tcBorders>
              <w:left w:val="nil"/>
              <w:right w:val="nil"/>
            </w:tcBorders>
            <w:shd w:val="clear" w:color="auto" w:fill="D3DFEE"/>
          </w:tcPr>
          <w:p w:rsidR="00F81573" w:rsidRPr="00AF5F88" w:rsidRDefault="00F81573" w:rsidP="00AF5F88">
            <w:pPr>
              <w:jc w:val="both"/>
            </w:pPr>
            <w:r w:rsidRPr="00AF5F88">
              <w:t>Estonia</w:t>
            </w:r>
          </w:p>
        </w:tc>
        <w:tc>
          <w:tcPr>
            <w:tcW w:w="895" w:type="dxa"/>
            <w:tcBorders>
              <w:left w:val="nil"/>
              <w:bottom w:val="nil"/>
              <w:right w:val="nil"/>
            </w:tcBorders>
            <w:shd w:val="clear" w:color="auto" w:fill="D3DFEE"/>
          </w:tcPr>
          <w:p w:rsidR="00F81573" w:rsidRPr="00AF5F88" w:rsidRDefault="00F81573" w:rsidP="00AF5F88">
            <w:pPr>
              <w:jc w:val="both"/>
            </w:pPr>
            <w:r w:rsidRPr="00AF5F88">
              <w:t>Cipru</w:t>
            </w:r>
          </w:p>
        </w:tc>
        <w:tc>
          <w:tcPr>
            <w:tcW w:w="895" w:type="dxa"/>
            <w:tcBorders>
              <w:left w:val="nil"/>
              <w:right w:val="nil"/>
            </w:tcBorders>
            <w:shd w:val="clear" w:color="auto" w:fill="D3DFEE"/>
          </w:tcPr>
          <w:p w:rsidR="00F81573" w:rsidRPr="00AF5F88" w:rsidRDefault="00F81573" w:rsidP="00AF5F88">
            <w:pPr>
              <w:jc w:val="both"/>
            </w:pPr>
            <w:r w:rsidRPr="00AF5F88">
              <w:t>Letonia</w:t>
            </w:r>
          </w:p>
        </w:tc>
        <w:tc>
          <w:tcPr>
            <w:tcW w:w="895" w:type="dxa"/>
            <w:tcBorders>
              <w:left w:val="nil"/>
              <w:bottom w:val="nil"/>
              <w:right w:val="nil"/>
            </w:tcBorders>
            <w:shd w:val="clear" w:color="auto" w:fill="D3DFEE"/>
          </w:tcPr>
          <w:p w:rsidR="00F81573" w:rsidRPr="00AF5F88" w:rsidRDefault="00F81573" w:rsidP="00AF5F88">
            <w:pPr>
              <w:jc w:val="both"/>
            </w:pPr>
            <w:r w:rsidRPr="00AF5F88">
              <w:t>Lituania</w:t>
            </w:r>
          </w:p>
        </w:tc>
        <w:tc>
          <w:tcPr>
            <w:tcW w:w="894" w:type="dxa"/>
            <w:tcBorders>
              <w:left w:val="nil"/>
              <w:right w:val="nil"/>
            </w:tcBorders>
            <w:shd w:val="clear" w:color="auto" w:fill="D3DFEE"/>
          </w:tcPr>
          <w:p w:rsidR="00F81573" w:rsidRPr="00AF5F88" w:rsidRDefault="00F81573" w:rsidP="00AF5F88">
            <w:pPr>
              <w:jc w:val="both"/>
            </w:pPr>
            <w:r w:rsidRPr="00AF5F88">
              <w:t>Ungaria</w:t>
            </w:r>
          </w:p>
        </w:tc>
        <w:tc>
          <w:tcPr>
            <w:tcW w:w="895" w:type="dxa"/>
            <w:tcBorders>
              <w:left w:val="nil"/>
              <w:bottom w:val="nil"/>
              <w:right w:val="nil"/>
            </w:tcBorders>
            <w:shd w:val="clear" w:color="auto" w:fill="D3DFEE"/>
          </w:tcPr>
          <w:p w:rsidR="00F81573" w:rsidRPr="00AF5F88" w:rsidRDefault="00F81573" w:rsidP="00AF5F88">
            <w:pPr>
              <w:jc w:val="both"/>
            </w:pPr>
            <w:r w:rsidRPr="00AF5F88">
              <w:t>Malta</w:t>
            </w:r>
          </w:p>
        </w:tc>
        <w:tc>
          <w:tcPr>
            <w:tcW w:w="895" w:type="dxa"/>
            <w:tcBorders>
              <w:left w:val="nil"/>
              <w:right w:val="nil"/>
            </w:tcBorders>
            <w:shd w:val="clear" w:color="auto" w:fill="D3DFEE"/>
          </w:tcPr>
          <w:p w:rsidR="00F81573" w:rsidRPr="00AF5F88" w:rsidRDefault="00F81573" w:rsidP="00AF5F88">
            <w:pPr>
              <w:jc w:val="both"/>
            </w:pPr>
            <w:r w:rsidRPr="00AF5F88">
              <w:t>Polonia</w:t>
            </w:r>
          </w:p>
        </w:tc>
        <w:tc>
          <w:tcPr>
            <w:tcW w:w="895" w:type="dxa"/>
            <w:tcBorders>
              <w:left w:val="nil"/>
              <w:bottom w:val="nil"/>
              <w:right w:val="nil"/>
            </w:tcBorders>
            <w:shd w:val="clear" w:color="auto" w:fill="D3DFEE"/>
          </w:tcPr>
          <w:p w:rsidR="00F81573" w:rsidRPr="00AF5F88" w:rsidRDefault="00F81573" w:rsidP="00AF5F88">
            <w:pPr>
              <w:jc w:val="both"/>
            </w:pPr>
            <w:r w:rsidRPr="00AF5F88">
              <w:t>Slovenia</w:t>
            </w:r>
          </w:p>
        </w:tc>
        <w:tc>
          <w:tcPr>
            <w:tcW w:w="929" w:type="dxa"/>
            <w:tcBorders>
              <w:left w:val="nil"/>
              <w:right w:val="nil"/>
            </w:tcBorders>
            <w:shd w:val="clear" w:color="auto" w:fill="D3DFEE"/>
          </w:tcPr>
          <w:p w:rsidR="00F81573" w:rsidRPr="00AF5F88" w:rsidRDefault="00F81573" w:rsidP="00AF5F88">
            <w:pPr>
              <w:jc w:val="both"/>
            </w:pPr>
            <w:r w:rsidRPr="00AF5F88">
              <w:t>Slovacia</w:t>
            </w:r>
          </w:p>
        </w:tc>
      </w:tr>
      <w:tr w:rsidR="00F81573" w:rsidRPr="00AF5F88" w:rsidTr="00992507">
        <w:trPr>
          <w:trHeight w:val="284"/>
        </w:trPr>
        <w:tc>
          <w:tcPr>
            <w:tcW w:w="1067" w:type="dxa"/>
            <w:tcBorders>
              <w:left w:val="nil"/>
              <w:right w:val="nil"/>
            </w:tcBorders>
            <w:shd w:val="clear" w:color="auto" w:fill="D3DFEE"/>
          </w:tcPr>
          <w:p w:rsidR="00F81573" w:rsidRPr="00AF5F88" w:rsidRDefault="00F81573" w:rsidP="00AF5F88">
            <w:pPr>
              <w:jc w:val="both"/>
            </w:pPr>
            <w:r w:rsidRPr="00AF5F88">
              <w:t xml:space="preserve">936,05 </w:t>
            </w:r>
          </w:p>
        </w:tc>
        <w:tc>
          <w:tcPr>
            <w:tcW w:w="895" w:type="dxa"/>
          </w:tcPr>
          <w:p w:rsidR="00F81573" w:rsidRPr="00AF5F88" w:rsidRDefault="00F81573" w:rsidP="00AF5F88">
            <w:pPr>
              <w:jc w:val="both"/>
            </w:pPr>
            <w:r w:rsidRPr="00AF5F88">
              <w:t xml:space="preserve">309,03 </w:t>
            </w:r>
          </w:p>
        </w:tc>
        <w:tc>
          <w:tcPr>
            <w:tcW w:w="895" w:type="dxa"/>
            <w:tcBorders>
              <w:left w:val="nil"/>
              <w:right w:val="nil"/>
            </w:tcBorders>
            <w:shd w:val="clear" w:color="auto" w:fill="D3DFEE"/>
          </w:tcPr>
          <w:p w:rsidR="00F81573" w:rsidRPr="00AF5F88" w:rsidRDefault="00F81573" w:rsidP="00AF5F88">
            <w:pPr>
              <w:jc w:val="both"/>
            </w:pPr>
            <w:r w:rsidRPr="00AF5F88">
              <w:t xml:space="preserve">53,94 </w:t>
            </w:r>
          </w:p>
        </w:tc>
        <w:tc>
          <w:tcPr>
            <w:tcW w:w="895" w:type="dxa"/>
          </w:tcPr>
          <w:p w:rsidR="00F81573" w:rsidRPr="00AF5F88" w:rsidRDefault="00F81573" w:rsidP="00AF5F88">
            <w:pPr>
              <w:jc w:val="both"/>
            </w:pPr>
            <w:r w:rsidRPr="00AF5F88">
              <w:t xml:space="preserve">515,43 </w:t>
            </w:r>
          </w:p>
        </w:tc>
        <w:tc>
          <w:tcPr>
            <w:tcW w:w="895" w:type="dxa"/>
            <w:tcBorders>
              <w:left w:val="nil"/>
              <w:right w:val="nil"/>
            </w:tcBorders>
            <w:shd w:val="clear" w:color="auto" w:fill="D3DFEE"/>
          </w:tcPr>
          <w:p w:rsidR="00F81573" w:rsidRPr="00AF5F88" w:rsidRDefault="00F81573" w:rsidP="00AF5F88">
            <w:pPr>
              <w:jc w:val="both"/>
            </w:pPr>
            <w:r w:rsidRPr="00AF5F88">
              <w:t xml:space="preserve">608,17 </w:t>
            </w:r>
          </w:p>
        </w:tc>
        <w:tc>
          <w:tcPr>
            <w:tcW w:w="894" w:type="dxa"/>
          </w:tcPr>
          <w:p w:rsidR="00F81573" w:rsidRPr="00AF5F88" w:rsidRDefault="00F81573" w:rsidP="00AF5F88">
            <w:pPr>
              <w:jc w:val="both"/>
            </w:pPr>
            <w:r w:rsidRPr="00AF5F88">
              <w:t xml:space="preserve">1 112,67 </w:t>
            </w:r>
          </w:p>
        </w:tc>
        <w:tc>
          <w:tcPr>
            <w:tcW w:w="895" w:type="dxa"/>
            <w:tcBorders>
              <w:left w:val="nil"/>
              <w:right w:val="nil"/>
            </w:tcBorders>
            <w:shd w:val="clear" w:color="auto" w:fill="D3DFEE"/>
          </w:tcPr>
          <w:p w:rsidR="00F81573" w:rsidRPr="00AF5F88" w:rsidRDefault="00F81573" w:rsidP="00AF5F88">
            <w:pPr>
              <w:jc w:val="both"/>
            </w:pPr>
            <w:r w:rsidRPr="00AF5F88">
              <w:t xml:space="preserve">21,94 </w:t>
            </w:r>
          </w:p>
        </w:tc>
        <w:tc>
          <w:tcPr>
            <w:tcW w:w="895" w:type="dxa"/>
          </w:tcPr>
          <w:p w:rsidR="00F81573" w:rsidRPr="00AF5F88" w:rsidRDefault="00F81573" w:rsidP="00AF5F88">
            <w:pPr>
              <w:jc w:val="both"/>
            </w:pPr>
            <w:r w:rsidRPr="00AF5F88">
              <w:t xml:space="preserve">4 178,60 </w:t>
            </w:r>
          </w:p>
        </w:tc>
        <w:tc>
          <w:tcPr>
            <w:tcW w:w="895" w:type="dxa"/>
            <w:tcBorders>
              <w:left w:val="nil"/>
              <w:right w:val="nil"/>
            </w:tcBorders>
            <w:shd w:val="clear" w:color="auto" w:fill="D3DFEE"/>
          </w:tcPr>
          <w:p w:rsidR="00F81573" w:rsidRPr="00AF5F88" w:rsidRDefault="00F81573" w:rsidP="00AF5F88">
            <w:pPr>
              <w:jc w:val="both"/>
            </w:pPr>
            <w:r w:rsidRPr="00AF5F88">
              <w:t xml:space="preserve">188,71 </w:t>
            </w:r>
          </w:p>
        </w:tc>
        <w:tc>
          <w:tcPr>
            <w:tcW w:w="929" w:type="dxa"/>
          </w:tcPr>
          <w:p w:rsidR="00F81573" w:rsidRPr="00AF5F88" w:rsidRDefault="00F81573" w:rsidP="00AF5F88">
            <w:pPr>
              <w:jc w:val="both"/>
            </w:pPr>
            <w:r w:rsidRPr="00AF5F88">
              <w:t xml:space="preserve">570,50 </w:t>
            </w:r>
          </w:p>
        </w:tc>
      </w:tr>
    </w:tbl>
    <w:p w:rsidR="00F81573" w:rsidRPr="00AF5F88" w:rsidRDefault="00F81573" w:rsidP="00AF5F88">
      <w:pPr>
        <w:pStyle w:val="NormalWeb"/>
        <w:jc w:val="both"/>
        <w:rPr>
          <w:i/>
        </w:rPr>
      </w:pPr>
      <w:r w:rsidRPr="00AF5F88">
        <w:rPr>
          <w:i/>
        </w:rPr>
        <w:t>Sursa: Structural  Actions 2000-2006</w:t>
      </w:r>
    </w:p>
    <w:p w:rsidR="00F81573" w:rsidRPr="00AF5F88" w:rsidRDefault="00F81573" w:rsidP="00AF5F88">
      <w:pPr>
        <w:pStyle w:val="ListParagraph"/>
        <w:ind w:left="0"/>
        <w:jc w:val="both"/>
        <w:rPr>
          <w:bCs/>
        </w:rPr>
      </w:pPr>
      <w:r w:rsidRPr="00AF5F88">
        <w:rPr>
          <w:bCs/>
        </w:rPr>
        <w:tab/>
      </w:r>
      <w:r w:rsidRPr="00AF5F88">
        <w:rPr>
          <w:bCs/>
          <w:i/>
        </w:rPr>
        <w:t>Fondul de Solidaritate</w:t>
      </w:r>
      <w:r w:rsidRPr="00AF5F88">
        <w:rPr>
          <w:bCs/>
        </w:rPr>
        <w:t xml:space="preserve"> al Uniunii Europene (FSUE) este principalul instrument de care dispune UE pentru a face faţă dezastrelor naturale şi pentru a-şi manifesta solidaritatea cu regiunile afectate de un dezastru. Fondul a fost creat ca reacţie la inundaţiile devastatoare care au lovit Europa Centrală în vara anului 2002.</w:t>
      </w:r>
    </w:p>
    <w:p w:rsidR="00F81573" w:rsidRPr="00AF5F88" w:rsidRDefault="00F81573" w:rsidP="00AF5F88">
      <w:pPr>
        <w:pStyle w:val="ListParagraph"/>
        <w:ind w:left="0"/>
        <w:jc w:val="both"/>
      </w:pPr>
      <w:r w:rsidRPr="00AF5F88">
        <w:tab/>
        <w:t xml:space="preserve">Pentru a reduce decalajele economice, UE a acordat ajutor financiar ţărilor candidate prin </w:t>
      </w:r>
      <w:r w:rsidRPr="00AF5F88">
        <w:rPr>
          <w:i/>
        </w:rPr>
        <w:t>instrumente structurale de preaderare</w:t>
      </w:r>
      <w:r w:rsidRPr="00AF5F88">
        <w:t>, care au avut un rol important în acest demers.  Aceste ajutoare de preaderare au fost prezentate de către Comisia Europeană în cadrul documentului Agenda 2000.</w:t>
      </w:r>
      <w:r w:rsidRPr="00AF5F88">
        <w:rPr>
          <w:b/>
        </w:rPr>
        <w:tab/>
      </w:r>
    </w:p>
    <w:p w:rsidR="00F81573" w:rsidRPr="00AF5F88" w:rsidRDefault="00F81573" w:rsidP="00AF5F88">
      <w:pPr>
        <w:pStyle w:val="NormalWeb"/>
        <w:jc w:val="both"/>
      </w:pPr>
      <w:r w:rsidRPr="00AF5F88">
        <w:tab/>
        <w:t xml:space="preserve">Începând din ianuarie 2007, </w:t>
      </w:r>
      <w:r w:rsidRPr="00AF5F88">
        <w:rPr>
          <w:i/>
        </w:rPr>
        <w:t>Instrumentul pentru Asistenţă de Preaderare (IAP)</w:t>
      </w:r>
      <w:r w:rsidRPr="00AF5F88">
        <w:t xml:space="preserve"> înlocuieşte o serie de programe şi instrumente financiare comunitare destinate ţărilor candidate sau ţărilor potenţial candidate la aderare. </w:t>
      </w:r>
    </w:p>
    <w:p w:rsidR="00F81573" w:rsidRPr="00AF5F88" w:rsidRDefault="00F81573" w:rsidP="00AF5F88">
      <w:pPr>
        <w:autoSpaceDE w:val="0"/>
        <w:autoSpaceDN w:val="0"/>
        <w:adjustRightInd w:val="0"/>
        <w:jc w:val="both"/>
      </w:pPr>
      <w:r w:rsidRPr="00AF5F88">
        <w:rPr>
          <w:b/>
        </w:rPr>
        <w:tab/>
      </w:r>
      <w:r w:rsidRPr="00AF5F88">
        <w:t>De asemenea, au fost create patru  programe speciale prin care sunt reprezentate  Iniţiativele comunitare finanţate din bugetul fondurilor structurale. Fiecare program este susținut de un singur fond, absorbind aproximativ 5,35% din bugetul total alocat Fondurilor Structurale.</w:t>
      </w:r>
    </w:p>
    <w:p w:rsidR="00F81573" w:rsidRPr="00AF5F88" w:rsidRDefault="00F81573" w:rsidP="00AF5F88">
      <w:pPr>
        <w:jc w:val="both"/>
      </w:pPr>
      <w:r w:rsidRPr="00AF5F88">
        <w:tab/>
      </w:r>
      <w:r w:rsidR="009B54A2" w:rsidRPr="00AF5F88">
        <w:t xml:space="preserve">Un alt instrument îl reprezintă </w:t>
      </w:r>
      <w:r w:rsidR="009B54A2" w:rsidRPr="00AF5F88">
        <w:rPr>
          <w:i/>
          <w:iCs/>
        </w:rPr>
        <w:t xml:space="preserve">Banca Europeană de Investiții </w:t>
      </w:r>
      <w:r w:rsidR="009B54A2" w:rsidRPr="00AF5F88">
        <w:t>care are rolul de a împrumuta fonduri pentru proiectele de interes european, precum căile de comunicaţie rutieră şi feroviară, aeroporturile sau programele de mediu. Capitolul mai abordează și problematica crizei economice recente și impactul acesteia asupra dezvoltării regionale. În 2009, economia UE a cunoscut cea mai gravă recesiune după cel de-al doilea război mondial. PIB-ul s-a micşorat cu peste 4 %, iar şomajul a crescut la 10 % la sfârşitul anului. Politica regională a suportat o serie de schimbări asociate crizei economice:</w:t>
      </w:r>
    </w:p>
    <w:p w:rsidR="00F81573" w:rsidRPr="00AF5F88" w:rsidRDefault="00F81573" w:rsidP="00AF5F88">
      <w:pPr>
        <w:jc w:val="both"/>
      </w:pPr>
      <w:r w:rsidRPr="00AF5F88">
        <w:tab/>
      </w:r>
    </w:p>
    <w:p w:rsidR="00F81573" w:rsidRPr="00AF5F88" w:rsidRDefault="00F81573" w:rsidP="00AF5F88">
      <w:pPr>
        <w:pStyle w:val="NoSpacing"/>
        <w:numPr>
          <w:ilvl w:val="0"/>
          <w:numId w:val="2"/>
        </w:numPr>
        <w:jc w:val="both"/>
      </w:pPr>
      <w:r w:rsidRPr="00AF5F88">
        <w:t>Primul set de schimbări  se referă la efectele asupra politicii  de dezvoltare economică și guvernamentală. Aceste schimbări sunt mai pregnante în Irlanda, Italia, Germania și Franța.</w:t>
      </w:r>
    </w:p>
    <w:p w:rsidR="00F81573" w:rsidRPr="00AF5F88" w:rsidRDefault="00F81573" w:rsidP="00AF5F88">
      <w:pPr>
        <w:pStyle w:val="NoSpacing"/>
        <w:numPr>
          <w:ilvl w:val="0"/>
          <w:numId w:val="2"/>
        </w:numPr>
        <w:jc w:val="both"/>
      </w:pPr>
      <w:r w:rsidRPr="00AF5F88">
        <w:t>Un al doilea set de schimbări recente ale politicii se referă la programele guvernamentale  noi, modificările  legislative sau  alte reevaluări majore interne legate de proiectarea sau de  exploatarea  politicii regionale. Acest lucru se aplică în Danemarca, Norvegia, Suedia şi Finlanda.</w:t>
      </w:r>
    </w:p>
    <w:p w:rsidR="00F81573" w:rsidRPr="00AF5F88" w:rsidRDefault="00F81573" w:rsidP="00AF5F88">
      <w:pPr>
        <w:pStyle w:val="NoSpacing"/>
        <w:numPr>
          <w:ilvl w:val="0"/>
          <w:numId w:val="2"/>
        </w:numPr>
        <w:jc w:val="both"/>
        <w:rPr>
          <w:rStyle w:val="hps"/>
        </w:rPr>
      </w:pPr>
      <w:r w:rsidRPr="00AF5F88">
        <w:rPr>
          <w:rStyle w:val="hps"/>
        </w:rPr>
        <w:t>Al treilea set de</w:t>
      </w:r>
      <w:r w:rsidRPr="00AF5F88">
        <w:t xml:space="preserve"> </w:t>
      </w:r>
      <w:r w:rsidRPr="00AF5F88">
        <w:rPr>
          <w:rStyle w:val="hps"/>
        </w:rPr>
        <w:t>modificări</w:t>
      </w:r>
      <w:r w:rsidRPr="00AF5F88">
        <w:t xml:space="preserve">  au </w:t>
      </w:r>
      <w:r w:rsidRPr="00AF5F88">
        <w:rPr>
          <w:rStyle w:val="hps"/>
        </w:rPr>
        <w:t>scopul de a îmbunătăți</w:t>
      </w:r>
      <w:r w:rsidRPr="00AF5F88">
        <w:t xml:space="preserve"> </w:t>
      </w:r>
      <w:r w:rsidRPr="00AF5F88">
        <w:rPr>
          <w:rStyle w:val="hps"/>
        </w:rPr>
        <w:t>eficiența</w:t>
      </w:r>
      <w:r w:rsidRPr="00AF5F88">
        <w:t xml:space="preserve"> </w:t>
      </w:r>
      <w:r w:rsidRPr="00AF5F88">
        <w:rPr>
          <w:rStyle w:val="hps"/>
        </w:rPr>
        <w:t>și eficacitatea</w:t>
      </w:r>
      <w:r w:rsidRPr="00AF5F88">
        <w:t xml:space="preserve"> </w:t>
      </w:r>
      <w:r w:rsidRPr="00AF5F88">
        <w:rPr>
          <w:rStyle w:val="hps"/>
        </w:rPr>
        <w:t>politicii</w:t>
      </w:r>
      <w:r w:rsidRPr="00AF5F88">
        <w:t xml:space="preserve">. </w:t>
      </w:r>
      <w:r w:rsidRPr="00AF5F88">
        <w:rPr>
          <w:rStyle w:val="hps"/>
        </w:rPr>
        <w:t>Acest lucru se aplică</w:t>
      </w:r>
      <w:r w:rsidRPr="00AF5F88">
        <w:t xml:space="preserve"> </w:t>
      </w:r>
      <w:r w:rsidRPr="00AF5F88">
        <w:rPr>
          <w:rStyle w:val="hps"/>
        </w:rPr>
        <w:t>în Polonia</w:t>
      </w:r>
      <w:r w:rsidRPr="00AF5F88">
        <w:t xml:space="preserve">, </w:t>
      </w:r>
      <w:r w:rsidRPr="00AF5F88">
        <w:rPr>
          <w:rStyle w:val="hps"/>
        </w:rPr>
        <w:t>Regatul Unit</w:t>
      </w:r>
      <w:r w:rsidRPr="00AF5F88">
        <w:t xml:space="preserve">, </w:t>
      </w:r>
      <w:r w:rsidRPr="00AF5F88">
        <w:rPr>
          <w:rStyle w:val="hps"/>
        </w:rPr>
        <w:t>Ţările de Jos</w:t>
      </w:r>
      <w:r w:rsidRPr="00AF5F88">
        <w:t xml:space="preserve">, </w:t>
      </w:r>
      <w:r w:rsidRPr="00AF5F88">
        <w:rPr>
          <w:rStyle w:val="hps"/>
        </w:rPr>
        <w:t>Austria</w:t>
      </w:r>
      <w:r w:rsidRPr="00AF5F88">
        <w:t xml:space="preserve">, </w:t>
      </w:r>
      <w:r w:rsidRPr="00AF5F88">
        <w:rPr>
          <w:rStyle w:val="hps"/>
        </w:rPr>
        <w:t>Belgia</w:t>
      </w:r>
      <w:r w:rsidRPr="00AF5F88">
        <w:t xml:space="preserve">, </w:t>
      </w:r>
      <w:r w:rsidRPr="00AF5F88">
        <w:rPr>
          <w:rStyle w:val="hps"/>
        </w:rPr>
        <w:t>Luxemburg şi</w:t>
      </w:r>
      <w:r w:rsidRPr="00AF5F88">
        <w:t xml:space="preserve"> </w:t>
      </w:r>
      <w:r w:rsidRPr="00AF5F88">
        <w:rPr>
          <w:rStyle w:val="hps"/>
        </w:rPr>
        <w:t>câtorva</w:t>
      </w:r>
      <w:r w:rsidRPr="00AF5F88">
        <w:t xml:space="preserve"> </w:t>
      </w:r>
      <w:r w:rsidRPr="00AF5F88">
        <w:rPr>
          <w:rStyle w:val="hps"/>
        </w:rPr>
        <w:t>dintre</w:t>
      </w:r>
      <w:r w:rsidRPr="00AF5F88">
        <w:t xml:space="preserve"> </w:t>
      </w:r>
      <w:r w:rsidRPr="00AF5F88">
        <w:rPr>
          <w:rStyle w:val="hps"/>
        </w:rPr>
        <w:t>noile state membre.</w:t>
      </w:r>
    </w:p>
    <w:p w:rsidR="00F81573" w:rsidRPr="00AF5F88" w:rsidRDefault="00F81573" w:rsidP="00AF5F88">
      <w:pPr>
        <w:pStyle w:val="NoSpacing"/>
        <w:numPr>
          <w:ilvl w:val="0"/>
          <w:numId w:val="2"/>
        </w:numPr>
        <w:ind w:hanging="294"/>
        <w:jc w:val="both"/>
      </w:pPr>
      <w:r w:rsidRPr="00AF5F88">
        <w:rPr>
          <w:rStyle w:val="hps"/>
        </w:rPr>
        <w:lastRenderedPageBreak/>
        <w:t xml:space="preserve">Al patrulea set </w:t>
      </w:r>
      <w:r w:rsidRPr="00AF5F88">
        <w:t xml:space="preserve"> </w:t>
      </w:r>
      <w:r w:rsidRPr="00AF5F88">
        <w:rPr>
          <w:rStyle w:val="hps"/>
        </w:rPr>
        <w:t>de</w:t>
      </w:r>
      <w:r w:rsidRPr="00AF5F88">
        <w:t xml:space="preserve"> </w:t>
      </w:r>
      <w:r w:rsidRPr="00AF5F88">
        <w:rPr>
          <w:rStyle w:val="hps"/>
        </w:rPr>
        <w:t>schimbări ale</w:t>
      </w:r>
      <w:r w:rsidRPr="00AF5F88">
        <w:t xml:space="preserve"> </w:t>
      </w:r>
      <w:r w:rsidRPr="00AF5F88">
        <w:rPr>
          <w:rStyle w:val="hps"/>
        </w:rPr>
        <w:t>politicii</w:t>
      </w:r>
      <w:r w:rsidRPr="00AF5F88">
        <w:t xml:space="preserve"> </w:t>
      </w:r>
      <w:r w:rsidRPr="00AF5F88">
        <w:rPr>
          <w:rStyle w:val="hps"/>
        </w:rPr>
        <w:t>regionale a</w:t>
      </w:r>
      <w:r w:rsidRPr="00AF5F88">
        <w:t xml:space="preserve"> </w:t>
      </w:r>
      <w:r w:rsidRPr="00AF5F88">
        <w:rPr>
          <w:rStyle w:val="hps"/>
        </w:rPr>
        <w:t>avut loc</w:t>
      </w:r>
      <w:r w:rsidRPr="00AF5F88">
        <w:t xml:space="preserve"> </w:t>
      </w:r>
      <w:r w:rsidRPr="00AF5F88">
        <w:rPr>
          <w:rStyle w:val="hps"/>
        </w:rPr>
        <w:t>în ţări în care</w:t>
      </w:r>
      <w:r w:rsidRPr="00AF5F88">
        <w:t xml:space="preserve"> </w:t>
      </w:r>
      <w:r w:rsidRPr="00AF5F88">
        <w:rPr>
          <w:rStyle w:val="hps"/>
        </w:rPr>
        <w:t>există</w:t>
      </w:r>
      <w:r w:rsidRPr="00AF5F88">
        <w:t xml:space="preserve"> </w:t>
      </w:r>
      <w:r w:rsidRPr="00AF5F88">
        <w:rPr>
          <w:rStyle w:val="hps"/>
        </w:rPr>
        <w:t>o relaţie</w:t>
      </w:r>
      <w:r w:rsidRPr="00AF5F88">
        <w:t xml:space="preserve"> </w:t>
      </w:r>
      <w:r w:rsidRPr="00AF5F88">
        <w:rPr>
          <w:rStyle w:val="hps"/>
        </w:rPr>
        <w:t>apropiată</w:t>
      </w:r>
      <w:r w:rsidRPr="00AF5F88">
        <w:t xml:space="preserve"> </w:t>
      </w:r>
      <w:r w:rsidRPr="00AF5F88">
        <w:rPr>
          <w:rStyle w:val="hps"/>
        </w:rPr>
        <w:t>(</w:t>
      </w:r>
      <w:r w:rsidRPr="00AF5F88">
        <w:t xml:space="preserve"> dacă </w:t>
      </w:r>
      <w:r w:rsidRPr="00AF5F88">
        <w:rPr>
          <w:rStyle w:val="hps"/>
        </w:rPr>
        <w:t xml:space="preserve">nu chiar </w:t>
      </w:r>
      <w:r w:rsidRPr="00AF5F88">
        <w:t xml:space="preserve"> </w:t>
      </w:r>
      <w:r w:rsidRPr="00AF5F88">
        <w:rPr>
          <w:rStyle w:val="hps"/>
        </w:rPr>
        <w:t>armonizare</w:t>
      </w:r>
      <w:r w:rsidRPr="00AF5F88">
        <w:t xml:space="preserve">) </w:t>
      </w:r>
      <w:r w:rsidRPr="00AF5F88">
        <w:rPr>
          <w:rStyle w:val="hps"/>
        </w:rPr>
        <w:t>între politicile</w:t>
      </w:r>
      <w:r w:rsidRPr="00AF5F88">
        <w:t xml:space="preserve"> </w:t>
      </w:r>
      <w:r w:rsidRPr="00AF5F88">
        <w:rPr>
          <w:rStyle w:val="hps"/>
        </w:rPr>
        <w:t>naţionale</w:t>
      </w:r>
      <w:r w:rsidRPr="00AF5F88">
        <w:t xml:space="preserve"> </w:t>
      </w:r>
      <w:r w:rsidRPr="00AF5F88">
        <w:rPr>
          <w:rStyle w:val="hps"/>
        </w:rPr>
        <w:t>şi</w:t>
      </w:r>
      <w:r w:rsidRPr="00AF5F88">
        <w:t xml:space="preserve"> </w:t>
      </w:r>
      <w:r w:rsidRPr="00AF5F88">
        <w:rPr>
          <w:rStyle w:val="hps"/>
        </w:rPr>
        <w:t>regionale ale UE</w:t>
      </w:r>
      <w:r w:rsidRPr="00AF5F88">
        <w:t xml:space="preserve">. </w:t>
      </w:r>
      <w:r w:rsidRPr="00AF5F88">
        <w:rPr>
          <w:rStyle w:val="hps"/>
        </w:rPr>
        <w:t>În aceste cazuri</w:t>
      </w:r>
      <w:r w:rsidRPr="00AF5F88">
        <w:t xml:space="preserve">, </w:t>
      </w:r>
      <w:r w:rsidRPr="00AF5F88">
        <w:rPr>
          <w:rStyle w:val="hps"/>
        </w:rPr>
        <w:t>schimbările care au</w:t>
      </w:r>
      <w:r w:rsidRPr="00AF5F88">
        <w:t xml:space="preserve"> </w:t>
      </w:r>
      <w:r w:rsidRPr="00AF5F88">
        <w:rPr>
          <w:rStyle w:val="hps"/>
        </w:rPr>
        <w:t>loc</w:t>
      </w:r>
      <w:r w:rsidRPr="00AF5F88">
        <w:t xml:space="preserve"> </w:t>
      </w:r>
      <w:r w:rsidRPr="00AF5F88">
        <w:rPr>
          <w:rStyle w:val="hps"/>
        </w:rPr>
        <w:t>sunt</w:t>
      </w:r>
      <w:r w:rsidRPr="00AF5F88">
        <w:t xml:space="preserve"> </w:t>
      </w:r>
      <w:r w:rsidRPr="00AF5F88">
        <w:rPr>
          <w:rStyle w:val="hps"/>
        </w:rPr>
        <w:t>puternic</w:t>
      </w:r>
      <w:r w:rsidRPr="00AF5F88">
        <w:t xml:space="preserve"> </w:t>
      </w:r>
      <w:r w:rsidRPr="00AF5F88">
        <w:rPr>
          <w:rStyle w:val="hps"/>
        </w:rPr>
        <w:t>influenţate de</w:t>
      </w:r>
      <w:r w:rsidRPr="00AF5F88">
        <w:t xml:space="preserve"> </w:t>
      </w:r>
      <w:r w:rsidRPr="00AF5F88">
        <w:rPr>
          <w:rStyle w:val="hps"/>
        </w:rPr>
        <w:t>agenda</w:t>
      </w:r>
      <w:r w:rsidRPr="00AF5F88">
        <w:t xml:space="preserve"> </w:t>
      </w:r>
      <w:r w:rsidRPr="00AF5F88">
        <w:rPr>
          <w:rStyle w:val="hps"/>
        </w:rPr>
        <w:t>politicii de coeziune</w:t>
      </w:r>
      <w:r w:rsidRPr="00AF5F88">
        <w:t xml:space="preserve">, </w:t>
      </w:r>
      <w:r w:rsidRPr="00AF5F88">
        <w:rPr>
          <w:rStyle w:val="hps"/>
        </w:rPr>
        <w:t>precum  în</w:t>
      </w:r>
      <w:r w:rsidRPr="00AF5F88">
        <w:t xml:space="preserve"> </w:t>
      </w:r>
      <w:r w:rsidRPr="00AF5F88">
        <w:rPr>
          <w:rStyle w:val="hps"/>
        </w:rPr>
        <w:t>Grecia</w:t>
      </w:r>
      <w:r w:rsidRPr="00AF5F88">
        <w:t xml:space="preserve">, </w:t>
      </w:r>
      <w:r w:rsidRPr="00AF5F88">
        <w:rPr>
          <w:rStyle w:val="hps"/>
        </w:rPr>
        <w:t>Portugalia</w:t>
      </w:r>
      <w:r w:rsidRPr="00AF5F88">
        <w:t xml:space="preserve">, </w:t>
      </w:r>
      <w:r w:rsidRPr="00AF5F88">
        <w:rPr>
          <w:rStyle w:val="hps"/>
        </w:rPr>
        <w:t>Spania</w:t>
      </w:r>
      <w:r w:rsidRPr="00AF5F88">
        <w:t xml:space="preserve"> </w:t>
      </w:r>
      <w:r w:rsidRPr="00AF5F88">
        <w:rPr>
          <w:rStyle w:val="hps"/>
        </w:rPr>
        <w:t>şi</w:t>
      </w:r>
      <w:r w:rsidRPr="00AF5F88">
        <w:t xml:space="preserve"> </w:t>
      </w:r>
      <w:r w:rsidRPr="00AF5F88">
        <w:rPr>
          <w:rStyle w:val="hps"/>
        </w:rPr>
        <w:t>multe</w:t>
      </w:r>
      <w:r w:rsidRPr="00AF5F88">
        <w:t xml:space="preserve"> </w:t>
      </w:r>
      <w:r w:rsidRPr="00AF5F88">
        <w:rPr>
          <w:rStyle w:val="hps"/>
        </w:rPr>
        <w:t>dintre</w:t>
      </w:r>
      <w:r w:rsidRPr="00AF5F88">
        <w:t xml:space="preserve"> </w:t>
      </w:r>
      <w:r w:rsidRPr="00AF5F88">
        <w:rPr>
          <w:rStyle w:val="hps"/>
        </w:rPr>
        <w:t>noile state membre</w:t>
      </w:r>
      <w:r w:rsidRPr="00AF5F88">
        <w:t>.</w:t>
      </w:r>
    </w:p>
    <w:p w:rsidR="00F81573" w:rsidRPr="00AF5F88" w:rsidRDefault="00F81573" w:rsidP="00AF5F88">
      <w:pPr>
        <w:ind w:firstLine="720"/>
        <w:jc w:val="both"/>
      </w:pPr>
      <w:r w:rsidRPr="00AF5F88">
        <w:tab/>
      </w:r>
      <w:r w:rsidR="009B54A2" w:rsidRPr="00AF5F88">
        <w:t>Efectele negative ale crizei începute în 2007 au fost atenuate în Uniunea Europeană de Planul European de Redresare Economică (PERE) aprobat de Consiliul European, în decembrie 2008. Prezentul plan european de redresare economică propune un răspuns macroeconomic anticiclic la criză, sub forma unui ansamblu ambițios de acțiuni de sprijin al economiei reale. Obiectivul este acela de a evita o recesiune accentuată.</w:t>
      </w:r>
    </w:p>
    <w:p w:rsidR="00AF5F88" w:rsidRPr="00AF5F88" w:rsidRDefault="00AF5F88" w:rsidP="00AF5F88">
      <w:pPr>
        <w:ind w:firstLine="720"/>
        <w:jc w:val="both"/>
        <w:rPr>
          <w:b/>
        </w:rPr>
      </w:pPr>
    </w:p>
    <w:p w:rsidR="00AF5F88" w:rsidRPr="00AF5F88" w:rsidRDefault="00AF5F88" w:rsidP="00AF5F88">
      <w:pPr>
        <w:ind w:firstLine="720"/>
        <w:jc w:val="both"/>
      </w:pPr>
      <w:r w:rsidRPr="00AF5F88">
        <w:rPr>
          <w:b/>
        </w:rPr>
        <w:t>Concluzii</w:t>
      </w:r>
    </w:p>
    <w:p w:rsidR="00AF5F88" w:rsidRPr="00AF5F88" w:rsidRDefault="00AF5F88" w:rsidP="00AF5F88">
      <w:pPr>
        <w:ind w:firstLine="720"/>
        <w:jc w:val="both"/>
      </w:pPr>
    </w:p>
    <w:p w:rsidR="00AF5F88" w:rsidRPr="00AF5F88" w:rsidRDefault="00AF5F88" w:rsidP="00AF5F88">
      <w:pPr>
        <w:pStyle w:val="Default"/>
        <w:jc w:val="both"/>
      </w:pPr>
      <w:r w:rsidRPr="00AF5F88">
        <w:tab/>
        <w:t xml:space="preserve">În analiza stadiului de realizare și de evoluție a procesului de dezvoltare regională la nivelul statelor membre ale UE am procedat la evaluarea productivității muncii și ratei de ocupare a forței de muncă în perioada 2001-2012. Dispersia ocupării forţei de muncă şi rata şomajului ne oferă o idee despre cât de mult ratele regionale diferă unele de altele. Pe măsură ce dispersia acestor rate scade, coeziunea pieței de muncă crește. </w:t>
      </w:r>
    </w:p>
    <w:p w:rsidR="00AF5F88" w:rsidRPr="00AF5F88" w:rsidRDefault="00AF5F88" w:rsidP="00AF5F88">
      <w:pPr>
        <w:pStyle w:val="Default"/>
        <w:jc w:val="both"/>
      </w:pPr>
      <w:r w:rsidRPr="00AF5F88">
        <w:tab/>
        <w:t xml:space="preserve">Din analiza efectuată la nivelul regiunilor de nivel NUTS 2 ale UE, luând în considerare indicatorii PIB și PIB/locuitor în perioada 2000-2010 remarcăm trendul ascendant al PIB total la nivelul tuturor regiunilor, în contextul accentuării diferenței dintre regiunea cu cel mai ridicat și cel mai scăzut nivel al PIB. </w:t>
      </w:r>
    </w:p>
    <w:p w:rsidR="00AF5F88" w:rsidRPr="00AF5F88" w:rsidRDefault="00AF5F88" w:rsidP="00AF5F88">
      <w:pPr>
        <w:pStyle w:val="Default"/>
        <w:jc w:val="both"/>
      </w:pPr>
      <w:r w:rsidRPr="00AF5F88">
        <w:t xml:space="preserve">În concluzie, se confirmă un proces de convergență reală la nivelul UE, din perspective PIB/locuitor, antrenată de procesul reducerii decalajelor, deoarece unele regiuni ale UE mai puțin dezvoltate se dezvoltă într-un ritm mai rapid decât regiunile cele mai dezvoltate. Deși disparitățile regionale în termini de PIB/locuitor au crescut în câteva din statele membre în perioada 2000-2010, aproape toate regiunile din statele membre mai puțin dezvoltate s-au apropiat de media UE. </w:t>
      </w:r>
    </w:p>
    <w:p w:rsidR="00AF5F88" w:rsidRPr="00AF5F88" w:rsidRDefault="00AF5F88" w:rsidP="00AF5F88">
      <w:pPr>
        <w:ind w:firstLine="720"/>
        <w:jc w:val="both"/>
      </w:pPr>
      <w:r w:rsidRPr="00AF5F88">
        <w:t>Criza economică a avut un impact puternic asupra economiilor statelor membre UE, fiecare din acestea luând măsuri în consecință.</w:t>
      </w:r>
    </w:p>
    <w:sectPr w:rsidR="00AF5F88" w:rsidRPr="00AF5F88" w:rsidSect="00083C53">
      <w:pgSz w:w="12240" w:h="20160" w:code="5"/>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A5574"/>
    <w:multiLevelType w:val="multilevel"/>
    <w:tmpl w:val="D14A9490"/>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907460"/>
    <w:multiLevelType w:val="hybridMultilevel"/>
    <w:tmpl w:val="B172D16A"/>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nsid w:val="70DE566D"/>
    <w:multiLevelType w:val="hybridMultilevel"/>
    <w:tmpl w:val="1CE24DA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083C53"/>
    <w:rsid w:val="000004BB"/>
    <w:rsid w:val="000004F9"/>
    <w:rsid w:val="00003927"/>
    <w:rsid w:val="00003F0C"/>
    <w:rsid w:val="00004899"/>
    <w:rsid w:val="00004A74"/>
    <w:rsid w:val="00005565"/>
    <w:rsid w:val="00006ABD"/>
    <w:rsid w:val="000117E3"/>
    <w:rsid w:val="000148C0"/>
    <w:rsid w:val="0001584B"/>
    <w:rsid w:val="00021214"/>
    <w:rsid w:val="00022E82"/>
    <w:rsid w:val="00023E77"/>
    <w:rsid w:val="00023F6D"/>
    <w:rsid w:val="000245A3"/>
    <w:rsid w:val="00024F04"/>
    <w:rsid w:val="00025DC0"/>
    <w:rsid w:val="00026624"/>
    <w:rsid w:val="00027696"/>
    <w:rsid w:val="00027FB9"/>
    <w:rsid w:val="00031023"/>
    <w:rsid w:val="00032A80"/>
    <w:rsid w:val="00032DD9"/>
    <w:rsid w:val="00033777"/>
    <w:rsid w:val="00033C62"/>
    <w:rsid w:val="000379E0"/>
    <w:rsid w:val="000439D4"/>
    <w:rsid w:val="0004682D"/>
    <w:rsid w:val="00050290"/>
    <w:rsid w:val="00051B32"/>
    <w:rsid w:val="00054E63"/>
    <w:rsid w:val="00055A84"/>
    <w:rsid w:val="0005758D"/>
    <w:rsid w:val="000610EB"/>
    <w:rsid w:val="00061E8B"/>
    <w:rsid w:val="00061EB9"/>
    <w:rsid w:val="000657E3"/>
    <w:rsid w:val="00065D35"/>
    <w:rsid w:val="000701BF"/>
    <w:rsid w:val="00072249"/>
    <w:rsid w:val="00073035"/>
    <w:rsid w:val="000733CD"/>
    <w:rsid w:val="00073F52"/>
    <w:rsid w:val="000817B3"/>
    <w:rsid w:val="000823A7"/>
    <w:rsid w:val="00083C53"/>
    <w:rsid w:val="00084C48"/>
    <w:rsid w:val="000860A6"/>
    <w:rsid w:val="00090FB5"/>
    <w:rsid w:val="000960E4"/>
    <w:rsid w:val="00096615"/>
    <w:rsid w:val="00097058"/>
    <w:rsid w:val="00097EA8"/>
    <w:rsid w:val="000A023B"/>
    <w:rsid w:val="000A13A5"/>
    <w:rsid w:val="000A35CE"/>
    <w:rsid w:val="000A68D0"/>
    <w:rsid w:val="000B0BC1"/>
    <w:rsid w:val="000B2855"/>
    <w:rsid w:val="000B2A98"/>
    <w:rsid w:val="000B7230"/>
    <w:rsid w:val="000C0FED"/>
    <w:rsid w:val="000C10B7"/>
    <w:rsid w:val="000C10C1"/>
    <w:rsid w:val="000C2ACE"/>
    <w:rsid w:val="000C66B4"/>
    <w:rsid w:val="000C6EBE"/>
    <w:rsid w:val="000D07D6"/>
    <w:rsid w:val="000D0A8B"/>
    <w:rsid w:val="000D3CBA"/>
    <w:rsid w:val="000E074B"/>
    <w:rsid w:val="000E1568"/>
    <w:rsid w:val="000F71C4"/>
    <w:rsid w:val="000F7A62"/>
    <w:rsid w:val="001003EA"/>
    <w:rsid w:val="00102905"/>
    <w:rsid w:val="0010336F"/>
    <w:rsid w:val="00104531"/>
    <w:rsid w:val="00106547"/>
    <w:rsid w:val="00106E02"/>
    <w:rsid w:val="001075D3"/>
    <w:rsid w:val="00107AC6"/>
    <w:rsid w:val="00111B88"/>
    <w:rsid w:val="0011291A"/>
    <w:rsid w:val="001135ED"/>
    <w:rsid w:val="00113F4C"/>
    <w:rsid w:val="00115746"/>
    <w:rsid w:val="0012119A"/>
    <w:rsid w:val="00125F4A"/>
    <w:rsid w:val="00130CA5"/>
    <w:rsid w:val="001316AC"/>
    <w:rsid w:val="00132F51"/>
    <w:rsid w:val="00134570"/>
    <w:rsid w:val="0014381A"/>
    <w:rsid w:val="00144BFD"/>
    <w:rsid w:val="0014682E"/>
    <w:rsid w:val="00146FD5"/>
    <w:rsid w:val="001472A6"/>
    <w:rsid w:val="00150346"/>
    <w:rsid w:val="001505A3"/>
    <w:rsid w:val="001518F9"/>
    <w:rsid w:val="00152721"/>
    <w:rsid w:val="0015350E"/>
    <w:rsid w:val="001552D3"/>
    <w:rsid w:val="00155BEB"/>
    <w:rsid w:val="00161984"/>
    <w:rsid w:val="00172FDF"/>
    <w:rsid w:val="00174AD6"/>
    <w:rsid w:val="00174D03"/>
    <w:rsid w:val="00176F3A"/>
    <w:rsid w:val="001825F7"/>
    <w:rsid w:val="001920D0"/>
    <w:rsid w:val="00195717"/>
    <w:rsid w:val="001972F0"/>
    <w:rsid w:val="001A0C7A"/>
    <w:rsid w:val="001A10CA"/>
    <w:rsid w:val="001A2402"/>
    <w:rsid w:val="001A280F"/>
    <w:rsid w:val="001A38C8"/>
    <w:rsid w:val="001A3C40"/>
    <w:rsid w:val="001A411F"/>
    <w:rsid w:val="001A45B4"/>
    <w:rsid w:val="001A6EED"/>
    <w:rsid w:val="001A70F7"/>
    <w:rsid w:val="001A780A"/>
    <w:rsid w:val="001B10DF"/>
    <w:rsid w:val="001B2069"/>
    <w:rsid w:val="001B5B07"/>
    <w:rsid w:val="001B6E60"/>
    <w:rsid w:val="001C3809"/>
    <w:rsid w:val="001C47B2"/>
    <w:rsid w:val="001C4FE1"/>
    <w:rsid w:val="001C546E"/>
    <w:rsid w:val="001D3424"/>
    <w:rsid w:val="001D7EB5"/>
    <w:rsid w:val="001E0983"/>
    <w:rsid w:val="001E23AD"/>
    <w:rsid w:val="001E6A02"/>
    <w:rsid w:val="001E714A"/>
    <w:rsid w:val="001E75C3"/>
    <w:rsid w:val="001F0A57"/>
    <w:rsid w:val="001F14EB"/>
    <w:rsid w:val="001F158B"/>
    <w:rsid w:val="001F4360"/>
    <w:rsid w:val="001F5D43"/>
    <w:rsid w:val="0020072F"/>
    <w:rsid w:val="00202730"/>
    <w:rsid w:val="0020494E"/>
    <w:rsid w:val="00204A58"/>
    <w:rsid w:val="00205FB3"/>
    <w:rsid w:val="00206234"/>
    <w:rsid w:val="00207325"/>
    <w:rsid w:val="002076D5"/>
    <w:rsid w:val="00211C32"/>
    <w:rsid w:val="00215580"/>
    <w:rsid w:val="00216B14"/>
    <w:rsid w:val="00216CC5"/>
    <w:rsid w:val="00217844"/>
    <w:rsid w:val="00217A82"/>
    <w:rsid w:val="00222404"/>
    <w:rsid w:val="00223AA2"/>
    <w:rsid w:val="002241EF"/>
    <w:rsid w:val="00224588"/>
    <w:rsid w:val="00225B2F"/>
    <w:rsid w:val="00227693"/>
    <w:rsid w:val="00231BA5"/>
    <w:rsid w:val="00235250"/>
    <w:rsid w:val="00235885"/>
    <w:rsid w:val="0023637E"/>
    <w:rsid w:val="00237090"/>
    <w:rsid w:val="00242FA2"/>
    <w:rsid w:val="002442BA"/>
    <w:rsid w:val="00250198"/>
    <w:rsid w:val="00253FEF"/>
    <w:rsid w:val="00254732"/>
    <w:rsid w:val="00256509"/>
    <w:rsid w:val="00257DB2"/>
    <w:rsid w:val="00260EEC"/>
    <w:rsid w:val="002618BB"/>
    <w:rsid w:val="00261C34"/>
    <w:rsid w:val="00261D11"/>
    <w:rsid w:val="00262EA1"/>
    <w:rsid w:val="00263975"/>
    <w:rsid w:val="002641AF"/>
    <w:rsid w:val="00264317"/>
    <w:rsid w:val="002644D9"/>
    <w:rsid w:val="00264BB2"/>
    <w:rsid w:val="0026591E"/>
    <w:rsid w:val="002659AC"/>
    <w:rsid w:val="00271C34"/>
    <w:rsid w:val="00274F27"/>
    <w:rsid w:val="0027762C"/>
    <w:rsid w:val="00280739"/>
    <w:rsid w:val="00285A03"/>
    <w:rsid w:val="00285AAF"/>
    <w:rsid w:val="00291650"/>
    <w:rsid w:val="00292C7B"/>
    <w:rsid w:val="002A0207"/>
    <w:rsid w:val="002A1FEE"/>
    <w:rsid w:val="002A249F"/>
    <w:rsid w:val="002A2695"/>
    <w:rsid w:val="002A3B8F"/>
    <w:rsid w:val="002A7EAA"/>
    <w:rsid w:val="002B0437"/>
    <w:rsid w:val="002B0CEE"/>
    <w:rsid w:val="002C6E2A"/>
    <w:rsid w:val="002D0ACD"/>
    <w:rsid w:val="002D0C10"/>
    <w:rsid w:val="002D499B"/>
    <w:rsid w:val="002D508F"/>
    <w:rsid w:val="002D6279"/>
    <w:rsid w:val="002E55BE"/>
    <w:rsid w:val="002E577A"/>
    <w:rsid w:val="002F0E1A"/>
    <w:rsid w:val="002F1229"/>
    <w:rsid w:val="002F3EA0"/>
    <w:rsid w:val="002F7F28"/>
    <w:rsid w:val="00301846"/>
    <w:rsid w:val="00301981"/>
    <w:rsid w:val="003038DC"/>
    <w:rsid w:val="00304D44"/>
    <w:rsid w:val="00305E3F"/>
    <w:rsid w:val="00310722"/>
    <w:rsid w:val="0031225D"/>
    <w:rsid w:val="00314618"/>
    <w:rsid w:val="00317225"/>
    <w:rsid w:val="003205FA"/>
    <w:rsid w:val="003219FC"/>
    <w:rsid w:val="003221FB"/>
    <w:rsid w:val="003241DC"/>
    <w:rsid w:val="0032462E"/>
    <w:rsid w:val="00325467"/>
    <w:rsid w:val="00327848"/>
    <w:rsid w:val="00330CE4"/>
    <w:rsid w:val="0033577F"/>
    <w:rsid w:val="00336371"/>
    <w:rsid w:val="00337625"/>
    <w:rsid w:val="00337FD6"/>
    <w:rsid w:val="003415B3"/>
    <w:rsid w:val="00342493"/>
    <w:rsid w:val="00342931"/>
    <w:rsid w:val="00346C71"/>
    <w:rsid w:val="00351EB8"/>
    <w:rsid w:val="00352FF4"/>
    <w:rsid w:val="003538C8"/>
    <w:rsid w:val="00354B17"/>
    <w:rsid w:val="00355FC4"/>
    <w:rsid w:val="00360A1C"/>
    <w:rsid w:val="00362436"/>
    <w:rsid w:val="00363C51"/>
    <w:rsid w:val="00371A74"/>
    <w:rsid w:val="00372465"/>
    <w:rsid w:val="0037303A"/>
    <w:rsid w:val="003740AB"/>
    <w:rsid w:val="00374A5C"/>
    <w:rsid w:val="00377681"/>
    <w:rsid w:val="00380380"/>
    <w:rsid w:val="00381963"/>
    <w:rsid w:val="00381A12"/>
    <w:rsid w:val="00381A5D"/>
    <w:rsid w:val="003852FB"/>
    <w:rsid w:val="003869BB"/>
    <w:rsid w:val="00386ADF"/>
    <w:rsid w:val="003901E6"/>
    <w:rsid w:val="00391D53"/>
    <w:rsid w:val="00394290"/>
    <w:rsid w:val="00395BE6"/>
    <w:rsid w:val="00396C03"/>
    <w:rsid w:val="003A155B"/>
    <w:rsid w:val="003A1AA9"/>
    <w:rsid w:val="003A2CB8"/>
    <w:rsid w:val="003A32EF"/>
    <w:rsid w:val="003A7E33"/>
    <w:rsid w:val="003B0313"/>
    <w:rsid w:val="003B1203"/>
    <w:rsid w:val="003B1BA3"/>
    <w:rsid w:val="003B47D4"/>
    <w:rsid w:val="003B51D8"/>
    <w:rsid w:val="003B669D"/>
    <w:rsid w:val="003C1BE1"/>
    <w:rsid w:val="003C5EA3"/>
    <w:rsid w:val="003C7F6E"/>
    <w:rsid w:val="003D0154"/>
    <w:rsid w:val="003D3C61"/>
    <w:rsid w:val="003D570D"/>
    <w:rsid w:val="003D6C9C"/>
    <w:rsid w:val="003D73F8"/>
    <w:rsid w:val="003D7F38"/>
    <w:rsid w:val="003E0885"/>
    <w:rsid w:val="003E19D6"/>
    <w:rsid w:val="003E3011"/>
    <w:rsid w:val="003E37F9"/>
    <w:rsid w:val="003E3AEB"/>
    <w:rsid w:val="003E423C"/>
    <w:rsid w:val="003E65E1"/>
    <w:rsid w:val="003E7514"/>
    <w:rsid w:val="003F15F7"/>
    <w:rsid w:val="003F1D26"/>
    <w:rsid w:val="003F250F"/>
    <w:rsid w:val="003F4766"/>
    <w:rsid w:val="003F4963"/>
    <w:rsid w:val="004026DF"/>
    <w:rsid w:val="00403B38"/>
    <w:rsid w:val="00406CD3"/>
    <w:rsid w:val="00406F12"/>
    <w:rsid w:val="00407A11"/>
    <w:rsid w:val="00410BC1"/>
    <w:rsid w:val="00417CC8"/>
    <w:rsid w:val="00417E5B"/>
    <w:rsid w:val="004200D3"/>
    <w:rsid w:val="004218BE"/>
    <w:rsid w:val="00422FBE"/>
    <w:rsid w:val="00423E01"/>
    <w:rsid w:val="00425302"/>
    <w:rsid w:val="0042591C"/>
    <w:rsid w:val="00426313"/>
    <w:rsid w:val="00427601"/>
    <w:rsid w:val="004327FE"/>
    <w:rsid w:val="0043504C"/>
    <w:rsid w:val="004359A0"/>
    <w:rsid w:val="00436FCB"/>
    <w:rsid w:val="004379F1"/>
    <w:rsid w:val="00441502"/>
    <w:rsid w:val="0044248A"/>
    <w:rsid w:val="00442A47"/>
    <w:rsid w:val="00443341"/>
    <w:rsid w:val="00444345"/>
    <w:rsid w:val="004446F3"/>
    <w:rsid w:val="00444A12"/>
    <w:rsid w:val="00445124"/>
    <w:rsid w:val="0044726D"/>
    <w:rsid w:val="004478C4"/>
    <w:rsid w:val="00447D99"/>
    <w:rsid w:val="00450254"/>
    <w:rsid w:val="00450C8B"/>
    <w:rsid w:val="004513D2"/>
    <w:rsid w:val="00454D3E"/>
    <w:rsid w:val="004551FA"/>
    <w:rsid w:val="00462BC5"/>
    <w:rsid w:val="0046362D"/>
    <w:rsid w:val="00464A3B"/>
    <w:rsid w:val="0046510F"/>
    <w:rsid w:val="0046621F"/>
    <w:rsid w:val="00466AF6"/>
    <w:rsid w:val="00470A63"/>
    <w:rsid w:val="004720F5"/>
    <w:rsid w:val="004728DA"/>
    <w:rsid w:val="00476630"/>
    <w:rsid w:val="00480403"/>
    <w:rsid w:val="0048137D"/>
    <w:rsid w:val="0048238F"/>
    <w:rsid w:val="004823F0"/>
    <w:rsid w:val="00483BA6"/>
    <w:rsid w:val="00483D91"/>
    <w:rsid w:val="00484336"/>
    <w:rsid w:val="00484F96"/>
    <w:rsid w:val="00485F56"/>
    <w:rsid w:val="004912D0"/>
    <w:rsid w:val="00491420"/>
    <w:rsid w:val="00491F63"/>
    <w:rsid w:val="00491F7A"/>
    <w:rsid w:val="00492FAD"/>
    <w:rsid w:val="00493806"/>
    <w:rsid w:val="00493E28"/>
    <w:rsid w:val="00494519"/>
    <w:rsid w:val="00497D8B"/>
    <w:rsid w:val="004A07A6"/>
    <w:rsid w:val="004A0B32"/>
    <w:rsid w:val="004A136D"/>
    <w:rsid w:val="004A1702"/>
    <w:rsid w:val="004A20CF"/>
    <w:rsid w:val="004A3AE8"/>
    <w:rsid w:val="004A52E2"/>
    <w:rsid w:val="004A6D0F"/>
    <w:rsid w:val="004A6EF7"/>
    <w:rsid w:val="004B07E4"/>
    <w:rsid w:val="004B0982"/>
    <w:rsid w:val="004B2E32"/>
    <w:rsid w:val="004B3778"/>
    <w:rsid w:val="004B5D46"/>
    <w:rsid w:val="004C0F23"/>
    <w:rsid w:val="004C1202"/>
    <w:rsid w:val="004C1A86"/>
    <w:rsid w:val="004C26AE"/>
    <w:rsid w:val="004C3813"/>
    <w:rsid w:val="004C46A4"/>
    <w:rsid w:val="004C5AD7"/>
    <w:rsid w:val="004C71DB"/>
    <w:rsid w:val="004C7B37"/>
    <w:rsid w:val="004D0025"/>
    <w:rsid w:val="004D135D"/>
    <w:rsid w:val="004D289F"/>
    <w:rsid w:val="004D4DD5"/>
    <w:rsid w:val="004E15E1"/>
    <w:rsid w:val="004E5A9B"/>
    <w:rsid w:val="004E71B9"/>
    <w:rsid w:val="004F14AA"/>
    <w:rsid w:val="004F51A7"/>
    <w:rsid w:val="004F5D79"/>
    <w:rsid w:val="005015F6"/>
    <w:rsid w:val="00503E53"/>
    <w:rsid w:val="00506660"/>
    <w:rsid w:val="005067C9"/>
    <w:rsid w:val="00506E20"/>
    <w:rsid w:val="00507F70"/>
    <w:rsid w:val="005124E6"/>
    <w:rsid w:val="00512F5F"/>
    <w:rsid w:val="00516D95"/>
    <w:rsid w:val="005214EC"/>
    <w:rsid w:val="00523915"/>
    <w:rsid w:val="00523F16"/>
    <w:rsid w:val="005255C7"/>
    <w:rsid w:val="00531D17"/>
    <w:rsid w:val="00536736"/>
    <w:rsid w:val="00536945"/>
    <w:rsid w:val="005405EA"/>
    <w:rsid w:val="00550BB7"/>
    <w:rsid w:val="00553010"/>
    <w:rsid w:val="00553A5F"/>
    <w:rsid w:val="00555487"/>
    <w:rsid w:val="00560792"/>
    <w:rsid w:val="00561555"/>
    <w:rsid w:val="005654DC"/>
    <w:rsid w:val="00565711"/>
    <w:rsid w:val="00566178"/>
    <w:rsid w:val="005711DE"/>
    <w:rsid w:val="00574BB2"/>
    <w:rsid w:val="00575D4E"/>
    <w:rsid w:val="0058068B"/>
    <w:rsid w:val="005827E2"/>
    <w:rsid w:val="005828A5"/>
    <w:rsid w:val="0058343F"/>
    <w:rsid w:val="0058510E"/>
    <w:rsid w:val="00585280"/>
    <w:rsid w:val="0058623D"/>
    <w:rsid w:val="005916E4"/>
    <w:rsid w:val="00593C81"/>
    <w:rsid w:val="005A34D1"/>
    <w:rsid w:val="005B0235"/>
    <w:rsid w:val="005B35EF"/>
    <w:rsid w:val="005B3F45"/>
    <w:rsid w:val="005C0484"/>
    <w:rsid w:val="005C2F17"/>
    <w:rsid w:val="005C3499"/>
    <w:rsid w:val="005C4B15"/>
    <w:rsid w:val="005C512E"/>
    <w:rsid w:val="005C56F6"/>
    <w:rsid w:val="005C58A9"/>
    <w:rsid w:val="005C5CBA"/>
    <w:rsid w:val="005D08D5"/>
    <w:rsid w:val="005D095A"/>
    <w:rsid w:val="005D1A12"/>
    <w:rsid w:val="005D1BA4"/>
    <w:rsid w:val="005D260C"/>
    <w:rsid w:val="005D274B"/>
    <w:rsid w:val="005D5567"/>
    <w:rsid w:val="005E11D8"/>
    <w:rsid w:val="005E194C"/>
    <w:rsid w:val="005E2C9C"/>
    <w:rsid w:val="005E6611"/>
    <w:rsid w:val="005E6A13"/>
    <w:rsid w:val="005F0F7B"/>
    <w:rsid w:val="005F1A9F"/>
    <w:rsid w:val="005F2C9E"/>
    <w:rsid w:val="005F5818"/>
    <w:rsid w:val="005F5A2E"/>
    <w:rsid w:val="005F748D"/>
    <w:rsid w:val="00600A40"/>
    <w:rsid w:val="006016FF"/>
    <w:rsid w:val="00602EFF"/>
    <w:rsid w:val="00603054"/>
    <w:rsid w:val="006031E8"/>
    <w:rsid w:val="0060512A"/>
    <w:rsid w:val="006052E0"/>
    <w:rsid w:val="00605431"/>
    <w:rsid w:val="0061052F"/>
    <w:rsid w:val="00611AFE"/>
    <w:rsid w:val="00614F8D"/>
    <w:rsid w:val="00615976"/>
    <w:rsid w:val="0061721B"/>
    <w:rsid w:val="0062106E"/>
    <w:rsid w:val="006213B5"/>
    <w:rsid w:val="0062194B"/>
    <w:rsid w:val="00621B38"/>
    <w:rsid w:val="00621F1C"/>
    <w:rsid w:val="0062276A"/>
    <w:rsid w:val="00623406"/>
    <w:rsid w:val="00627081"/>
    <w:rsid w:val="00627A0E"/>
    <w:rsid w:val="00627B75"/>
    <w:rsid w:val="006307AB"/>
    <w:rsid w:val="0063478B"/>
    <w:rsid w:val="006353D8"/>
    <w:rsid w:val="00642B61"/>
    <w:rsid w:val="00642FE0"/>
    <w:rsid w:val="00643AD3"/>
    <w:rsid w:val="00651175"/>
    <w:rsid w:val="00651A6E"/>
    <w:rsid w:val="0065469B"/>
    <w:rsid w:val="00656A6A"/>
    <w:rsid w:val="00656D92"/>
    <w:rsid w:val="00664743"/>
    <w:rsid w:val="0066554C"/>
    <w:rsid w:val="006658F3"/>
    <w:rsid w:val="006674A1"/>
    <w:rsid w:val="006675DD"/>
    <w:rsid w:val="00670086"/>
    <w:rsid w:val="00672DAE"/>
    <w:rsid w:val="00680025"/>
    <w:rsid w:val="0068322E"/>
    <w:rsid w:val="006834DA"/>
    <w:rsid w:val="00683758"/>
    <w:rsid w:val="00685A05"/>
    <w:rsid w:val="00686B65"/>
    <w:rsid w:val="00691478"/>
    <w:rsid w:val="0069292A"/>
    <w:rsid w:val="00692E62"/>
    <w:rsid w:val="00693226"/>
    <w:rsid w:val="00696800"/>
    <w:rsid w:val="00697792"/>
    <w:rsid w:val="0069781B"/>
    <w:rsid w:val="006A01DD"/>
    <w:rsid w:val="006A0FAC"/>
    <w:rsid w:val="006A1F79"/>
    <w:rsid w:val="006A20CD"/>
    <w:rsid w:val="006A4914"/>
    <w:rsid w:val="006A5142"/>
    <w:rsid w:val="006A799A"/>
    <w:rsid w:val="006B4EEF"/>
    <w:rsid w:val="006B725B"/>
    <w:rsid w:val="006C10C6"/>
    <w:rsid w:val="006C38E3"/>
    <w:rsid w:val="006C4557"/>
    <w:rsid w:val="006C5814"/>
    <w:rsid w:val="006D1552"/>
    <w:rsid w:val="006D3D60"/>
    <w:rsid w:val="006D4BD1"/>
    <w:rsid w:val="006D7A51"/>
    <w:rsid w:val="006E1838"/>
    <w:rsid w:val="006E3339"/>
    <w:rsid w:val="006E4A4B"/>
    <w:rsid w:val="006E53DB"/>
    <w:rsid w:val="006E77F0"/>
    <w:rsid w:val="006F06D4"/>
    <w:rsid w:val="006F07F8"/>
    <w:rsid w:val="006F13FA"/>
    <w:rsid w:val="006F2AD2"/>
    <w:rsid w:val="006F3075"/>
    <w:rsid w:val="006F35DB"/>
    <w:rsid w:val="006F5176"/>
    <w:rsid w:val="00701EA7"/>
    <w:rsid w:val="007049B1"/>
    <w:rsid w:val="007066E3"/>
    <w:rsid w:val="00706F17"/>
    <w:rsid w:val="00710332"/>
    <w:rsid w:val="0071109C"/>
    <w:rsid w:val="007110DC"/>
    <w:rsid w:val="00711CEF"/>
    <w:rsid w:val="007131F7"/>
    <w:rsid w:val="007140A3"/>
    <w:rsid w:val="00714D16"/>
    <w:rsid w:val="007160DF"/>
    <w:rsid w:val="0071655A"/>
    <w:rsid w:val="0072009C"/>
    <w:rsid w:val="00720C63"/>
    <w:rsid w:val="00727EB6"/>
    <w:rsid w:val="00732A55"/>
    <w:rsid w:val="00741883"/>
    <w:rsid w:val="0074245F"/>
    <w:rsid w:val="00742F25"/>
    <w:rsid w:val="00743FFB"/>
    <w:rsid w:val="0074711F"/>
    <w:rsid w:val="00755677"/>
    <w:rsid w:val="007557F8"/>
    <w:rsid w:val="00755BD4"/>
    <w:rsid w:val="00755FE1"/>
    <w:rsid w:val="00760586"/>
    <w:rsid w:val="00761EB1"/>
    <w:rsid w:val="00764C67"/>
    <w:rsid w:val="00765B54"/>
    <w:rsid w:val="00766428"/>
    <w:rsid w:val="00767385"/>
    <w:rsid w:val="00770EF6"/>
    <w:rsid w:val="00772AAB"/>
    <w:rsid w:val="0077575F"/>
    <w:rsid w:val="007760B9"/>
    <w:rsid w:val="00776127"/>
    <w:rsid w:val="0078098C"/>
    <w:rsid w:val="00782717"/>
    <w:rsid w:val="00784809"/>
    <w:rsid w:val="007865C4"/>
    <w:rsid w:val="00791026"/>
    <w:rsid w:val="007A1047"/>
    <w:rsid w:val="007A279E"/>
    <w:rsid w:val="007A4D04"/>
    <w:rsid w:val="007A560A"/>
    <w:rsid w:val="007A5A77"/>
    <w:rsid w:val="007A6FC1"/>
    <w:rsid w:val="007B2069"/>
    <w:rsid w:val="007B2C7F"/>
    <w:rsid w:val="007B58F3"/>
    <w:rsid w:val="007B60AE"/>
    <w:rsid w:val="007C00FB"/>
    <w:rsid w:val="007C1BA6"/>
    <w:rsid w:val="007C479A"/>
    <w:rsid w:val="007C5E79"/>
    <w:rsid w:val="007C5F55"/>
    <w:rsid w:val="007D0278"/>
    <w:rsid w:val="007D1384"/>
    <w:rsid w:val="007D3177"/>
    <w:rsid w:val="007D6A6D"/>
    <w:rsid w:val="007D71F7"/>
    <w:rsid w:val="007D7882"/>
    <w:rsid w:val="007E2EAC"/>
    <w:rsid w:val="007F6A8D"/>
    <w:rsid w:val="00801DD0"/>
    <w:rsid w:val="00803AD5"/>
    <w:rsid w:val="00804045"/>
    <w:rsid w:val="00805366"/>
    <w:rsid w:val="00807124"/>
    <w:rsid w:val="00807861"/>
    <w:rsid w:val="00807D66"/>
    <w:rsid w:val="008108F1"/>
    <w:rsid w:val="00810A48"/>
    <w:rsid w:val="008112C0"/>
    <w:rsid w:val="00815AD6"/>
    <w:rsid w:val="0081768D"/>
    <w:rsid w:val="00821F02"/>
    <w:rsid w:val="00824116"/>
    <w:rsid w:val="00832629"/>
    <w:rsid w:val="00832F8B"/>
    <w:rsid w:val="0083412D"/>
    <w:rsid w:val="0084102A"/>
    <w:rsid w:val="00841C10"/>
    <w:rsid w:val="00842A43"/>
    <w:rsid w:val="00843DFE"/>
    <w:rsid w:val="0084467B"/>
    <w:rsid w:val="008450EA"/>
    <w:rsid w:val="008459D7"/>
    <w:rsid w:val="00845AA3"/>
    <w:rsid w:val="00850EA5"/>
    <w:rsid w:val="008515BB"/>
    <w:rsid w:val="00854061"/>
    <w:rsid w:val="008543B2"/>
    <w:rsid w:val="00854A93"/>
    <w:rsid w:val="0085530B"/>
    <w:rsid w:val="00856C53"/>
    <w:rsid w:val="008603A7"/>
    <w:rsid w:val="008605CF"/>
    <w:rsid w:val="00861492"/>
    <w:rsid w:val="00861D03"/>
    <w:rsid w:val="0086274E"/>
    <w:rsid w:val="00870177"/>
    <w:rsid w:val="008801CD"/>
    <w:rsid w:val="00881D8A"/>
    <w:rsid w:val="0089065A"/>
    <w:rsid w:val="00890863"/>
    <w:rsid w:val="00893E80"/>
    <w:rsid w:val="008954A1"/>
    <w:rsid w:val="00895B0D"/>
    <w:rsid w:val="00896C13"/>
    <w:rsid w:val="00897800"/>
    <w:rsid w:val="008A22E4"/>
    <w:rsid w:val="008A41BD"/>
    <w:rsid w:val="008A52B8"/>
    <w:rsid w:val="008A5CB5"/>
    <w:rsid w:val="008B07CE"/>
    <w:rsid w:val="008B0E0D"/>
    <w:rsid w:val="008B26B2"/>
    <w:rsid w:val="008B3987"/>
    <w:rsid w:val="008B4C3A"/>
    <w:rsid w:val="008B5119"/>
    <w:rsid w:val="008C2699"/>
    <w:rsid w:val="008C2C64"/>
    <w:rsid w:val="008D2FAC"/>
    <w:rsid w:val="008D34AA"/>
    <w:rsid w:val="008D41A1"/>
    <w:rsid w:val="008E13CE"/>
    <w:rsid w:val="008E1E59"/>
    <w:rsid w:val="008E3046"/>
    <w:rsid w:val="008E5B9E"/>
    <w:rsid w:val="008E6EFA"/>
    <w:rsid w:val="008F0226"/>
    <w:rsid w:val="008F04C8"/>
    <w:rsid w:val="008F1B75"/>
    <w:rsid w:val="008F28C7"/>
    <w:rsid w:val="008F3188"/>
    <w:rsid w:val="008F6027"/>
    <w:rsid w:val="00900CF8"/>
    <w:rsid w:val="00900F2C"/>
    <w:rsid w:val="00901B79"/>
    <w:rsid w:val="009023EA"/>
    <w:rsid w:val="00903432"/>
    <w:rsid w:val="00903C21"/>
    <w:rsid w:val="00905EDA"/>
    <w:rsid w:val="00907865"/>
    <w:rsid w:val="00907D63"/>
    <w:rsid w:val="00910063"/>
    <w:rsid w:val="00910074"/>
    <w:rsid w:val="00915902"/>
    <w:rsid w:val="00915F08"/>
    <w:rsid w:val="00917265"/>
    <w:rsid w:val="009236EE"/>
    <w:rsid w:val="0092371B"/>
    <w:rsid w:val="009246E0"/>
    <w:rsid w:val="0092528D"/>
    <w:rsid w:val="0093139C"/>
    <w:rsid w:val="00931E38"/>
    <w:rsid w:val="009338E8"/>
    <w:rsid w:val="00935B2B"/>
    <w:rsid w:val="00937179"/>
    <w:rsid w:val="00940186"/>
    <w:rsid w:val="00941F21"/>
    <w:rsid w:val="0094406A"/>
    <w:rsid w:val="0094513C"/>
    <w:rsid w:val="009463E1"/>
    <w:rsid w:val="00947497"/>
    <w:rsid w:val="0095691B"/>
    <w:rsid w:val="00961540"/>
    <w:rsid w:val="00962589"/>
    <w:rsid w:val="0096271F"/>
    <w:rsid w:val="00964F37"/>
    <w:rsid w:val="00967824"/>
    <w:rsid w:val="0097105C"/>
    <w:rsid w:val="009736AB"/>
    <w:rsid w:val="009745AA"/>
    <w:rsid w:val="009772EE"/>
    <w:rsid w:val="00977E78"/>
    <w:rsid w:val="009817D2"/>
    <w:rsid w:val="009827AC"/>
    <w:rsid w:val="00984271"/>
    <w:rsid w:val="009845F5"/>
    <w:rsid w:val="009867DE"/>
    <w:rsid w:val="00991929"/>
    <w:rsid w:val="009919CA"/>
    <w:rsid w:val="0099210D"/>
    <w:rsid w:val="0099445A"/>
    <w:rsid w:val="009959E2"/>
    <w:rsid w:val="009A7446"/>
    <w:rsid w:val="009A7BDE"/>
    <w:rsid w:val="009A7F39"/>
    <w:rsid w:val="009B2029"/>
    <w:rsid w:val="009B510C"/>
    <w:rsid w:val="009B54A2"/>
    <w:rsid w:val="009B7DC4"/>
    <w:rsid w:val="009C16E6"/>
    <w:rsid w:val="009C1A6D"/>
    <w:rsid w:val="009C1C22"/>
    <w:rsid w:val="009C3F89"/>
    <w:rsid w:val="009C5013"/>
    <w:rsid w:val="009C524A"/>
    <w:rsid w:val="009C5EF5"/>
    <w:rsid w:val="009C62AD"/>
    <w:rsid w:val="009C722A"/>
    <w:rsid w:val="009C7271"/>
    <w:rsid w:val="009D213A"/>
    <w:rsid w:val="009D7C00"/>
    <w:rsid w:val="009D7F3F"/>
    <w:rsid w:val="009E095B"/>
    <w:rsid w:val="009E1827"/>
    <w:rsid w:val="009E3604"/>
    <w:rsid w:val="009E3B1B"/>
    <w:rsid w:val="009E6CBA"/>
    <w:rsid w:val="009F04F8"/>
    <w:rsid w:val="009F0936"/>
    <w:rsid w:val="009F1D6D"/>
    <w:rsid w:val="009F1F04"/>
    <w:rsid w:val="009F23DC"/>
    <w:rsid w:val="009F289A"/>
    <w:rsid w:val="009F3587"/>
    <w:rsid w:val="009F7C9A"/>
    <w:rsid w:val="00A01E95"/>
    <w:rsid w:val="00A03E20"/>
    <w:rsid w:val="00A04821"/>
    <w:rsid w:val="00A05A2C"/>
    <w:rsid w:val="00A05AEC"/>
    <w:rsid w:val="00A06B50"/>
    <w:rsid w:val="00A071E6"/>
    <w:rsid w:val="00A1034A"/>
    <w:rsid w:val="00A15C6F"/>
    <w:rsid w:val="00A2468F"/>
    <w:rsid w:val="00A25C81"/>
    <w:rsid w:val="00A274B6"/>
    <w:rsid w:val="00A33CC4"/>
    <w:rsid w:val="00A35257"/>
    <w:rsid w:val="00A36632"/>
    <w:rsid w:val="00A42B3F"/>
    <w:rsid w:val="00A4578E"/>
    <w:rsid w:val="00A46201"/>
    <w:rsid w:val="00A50803"/>
    <w:rsid w:val="00A5147D"/>
    <w:rsid w:val="00A51745"/>
    <w:rsid w:val="00A54A95"/>
    <w:rsid w:val="00A557A4"/>
    <w:rsid w:val="00A567F0"/>
    <w:rsid w:val="00A61EC7"/>
    <w:rsid w:val="00A662B4"/>
    <w:rsid w:val="00A70D8D"/>
    <w:rsid w:val="00A727BF"/>
    <w:rsid w:val="00A74D93"/>
    <w:rsid w:val="00A75094"/>
    <w:rsid w:val="00A76F42"/>
    <w:rsid w:val="00A77076"/>
    <w:rsid w:val="00A77228"/>
    <w:rsid w:val="00A823F9"/>
    <w:rsid w:val="00A86E17"/>
    <w:rsid w:val="00A909EB"/>
    <w:rsid w:val="00A92A37"/>
    <w:rsid w:val="00A935F7"/>
    <w:rsid w:val="00A93A5B"/>
    <w:rsid w:val="00A96388"/>
    <w:rsid w:val="00A9795D"/>
    <w:rsid w:val="00AA17D3"/>
    <w:rsid w:val="00AA3BEE"/>
    <w:rsid w:val="00AA4294"/>
    <w:rsid w:val="00AA430C"/>
    <w:rsid w:val="00AB0540"/>
    <w:rsid w:val="00AB09F7"/>
    <w:rsid w:val="00AB1BE3"/>
    <w:rsid w:val="00AB2396"/>
    <w:rsid w:val="00AB3F54"/>
    <w:rsid w:val="00AB5BA0"/>
    <w:rsid w:val="00AB5D1B"/>
    <w:rsid w:val="00AB693B"/>
    <w:rsid w:val="00AB75F3"/>
    <w:rsid w:val="00AC1490"/>
    <w:rsid w:val="00AC1605"/>
    <w:rsid w:val="00AC3F51"/>
    <w:rsid w:val="00AC5225"/>
    <w:rsid w:val="00AD3DD4"/>
    <w:rsid w:val="00AD42B2"/>
    <w:rsid w:val="00AD7254"/>
    <w:rsid w:val="00AD7FB5"/>
    <w:rsid w:val="00AE0F40"/>
    <w:rsid w:val="00AE1673"/>
    <w:rsid w:val="00AE2A68"/>
    <w:rsid w:val="00AE4EEE"/>
    <w:rsid w:val="00AE5E4A"/>
    <w:rsid w:val="00AE767A"/>
    <w:rsid w:val="00AF13C8"/>
    <w:rsid w:val="00AF335B"/>
    <w:rsid w:val="00AF5F88"/>
    <w:rsid w:val="00AF7521"/>
    <w:rsid w:val="00B00250"/>
    <w:rsid w:val="00B02F46"/>
    <w:rsid w:val="00B03FD3"/>
    <w:rsid w:val="00B047CB"/>
    <w:rsid w:val="00B05E04"/>
    <w:rsid w:val="00B06B80"/>
    <w:rsid w:val="00B1488A"/>
    <w:rsid w:val="00B16ED6"/>
    <w:rsid w:val="00B22135"/>
    <w:rsid w:val="00B25AC1"/>
    <w:rsid w:val="00B25B06"/>
    <w:rsid w:val="00B25CBC"/>
    <w:rsid w:val="00B277F3"/>
    <w:rsid w:val="00B3159C"/>
    <w:rsid w:val="00B35B11"/>
    <w:rsid w:val="00B36575"/>
    <w:rsid w:val="00B4003E"/>
    <w:rsid w:val="00B41EDF"/>
    <w:rsid w:val="00B42102"/>
    <w:rsid w:val="00B43305"/>
    <w:rsid w:val="00B443D1"/>
    <w:rsid w:val="00B501C5"/>
    <w:rsid w:val="00B526A1"/>
    <w:rsid w:val="00B53FA2"/>
    <w:rsid w:val="00B5486E"/>
    <w:rsid w:val="00B55819"/>
    <w:rsid w:val="00B56312"/>
    <w:rsid w:val="00B57798"/>
    <w:rsid w:val="00B621A6"/>
    <w:rsid w:val="00B65B53"/>
    <w:rsid w:val="00B66F5B"/>
    <w:rsid w:val="00B67FF1"/>
    <w:rsid w:val="00B70D69"/>
    <w:rsid w:val="00B72260"/>
    <w:rsid w:val="00B757C9"/>
    <w:rsid w:val="00B75E89"/>
    <w:rsid w:val="00B76DBE"/>
    <w:rsid w:val="00B77F99"/>
    <w:rsid w:val="00B80BB2"/>
    <w:rsid w:val="00B81D31"/>
    <w:rsid w:val="00B84626"/>
    <w:rsid w:val="00B85763"/>
    <w:rsid w:val="00B87BBD"/>
    <w:rsid w:val="00B9173B"/>
    <w:rsid w:val="00B91D7E"/>
    <w:rsid w:val="00B93213"/>
    <w:rsid w:val="00B936F6"/>
    <w:rsid w:val="00B93A79"/>
    <w:rsid w:val="00B95B40"/>
    <w:rsid w:val="00B9794F"/>
    <w:rsid w:val="00BA01D7"/>
    <w:rsid w:val="00BA0411"/>
    <w:rsid w:val="00BA13C8"/>
    <w:rsid w:val="00BA2412"/>
    <w:rsid w:val="00BA4CED"/>
    <w:rsid w:val="00BA5698"/>
    <w:rsid w:val="00BA6DDC"/>
    <w:rsid w:val="00BA6F17"/>
    <w:rsid w:val="00BB0107"/>
    <w:rsid w:val="00BB38FA"/>
    <w:rsid w:val="00BB3C95"/>
    <w:rsid w:val="00BB5525"/>
    <w:rsid w:val="00BB6777"/>
    <w:rsid w:val="00BC0170"/>
    <w:rsid w:val="00BC0A5D"/>
    <w:rsid w:val="00BC25C5"/>
    <w:rsid w:val="00BC3F99"/>
    <w:rsid w:val="00BC56A5"/>
    <w:rsid w:val="00BC656B"/>
    <w:rsid w:val="00BC7148"/>
    <w:rsid w:val="00BC7D66"/>
    <w:rsid w:val="00BD28A7"/>
    <w:rsid w:val="00BD41A4"/>
    <w:rsid w:val="00BD6D20"/>
    <w:rsid w:val="00BE3F4C"/>
    <w:rsid w:val="00BF0699"/>
    <w:rsid w:val="00BF0FBB"/>
    <w:rsid w:val="00BF148E"/>
    <w:rsid w:val="00BF4FD0"/>
    <w:rsid w:val="00BF5530"/>
    <w:rsid w:val="00C00055"/>
    <w:rsid w:val="00C03AFD"/>
    <w:rsid w:val="00C04280"/>
    <w:rsid w:val="00C062EB"/>
    <w:rsid w:val="00C0644D"/>
    <w:rsid w:val="00C06B1C"/>
    <w:rsid w:val="00C07ABE"/>
    <w:rsid w:val="00C12414"/>
    <w:rsid w:val="00C13796"/>
    <w:rsid w:val="00C1611A"/>
    <w:rsid w:val="00C17693"/>
    <w:rsid w:val="00C20CD7"/>
    <w:rsid w:val="00C24FED"/>
    <w:rsid w:val="00C25F94"/>
    <w:rsid w:val="00C31A47"/>
    <w:rsid w:val="00C34222"/>
    <w:rsid w:val="00C34B0A"/>
    <w:rsid w:val="00C402E7"/>
    <w:rsid w:val="00C419AC"/>
    <w:rsid w:val="00C44909"/>
    <w:rsid w:val="00C45B71"/>
    <w:rsid w:val="00C460AD"/>
    <w:rsid w:val="00C5193E"/>
    <w:rsid w:val="00C53037"/>
    <w:rsid w:val="00C536F3"/>
    <w:rsid w:val="00C54368"/>
    <w:rsid w:val="00C5448D"/>
    <w:rsid w:val="00C54880"/>
    <w:rsid w:val="00C56715"/>
    <w:rsid w:val="00C570E3"/>
    <w:rsid w:val="00C57A70"/>
    <w:rsid w:val="00C60325"/>
    <w:rsid w:val="00C673D2"/>
    <w:rsid w:val="00C70531"/>
    <w:rsid w:val="00C722F9"/>
    <w:rsid w:val="00C75522"/>
    <w:rsid w:val="00C8110B"/>
    <w:rsid w:val="00C82488"/>
    <w:rsid w:val="00C85A52"/>
    <w:rsid w:val="00C91A54"/>
    <w:rsid w:val="00C926A1"/>
    <w:rsid w:val="00C935A1"/>
    <w:rsid w:val="00C938DA"/>
    <w:rsid w:val="00C9400F"/>
    <w:rsid w:val="00C957B2"/>
    <w:rsid w:val="00C9737D"/>
    <w:rsid w:val="00CA389F"/>
    <w:rsid w:val="00CA4250"/>
    <w:rsid w:val="00CA42F0"/>
    <w:rsid w:val="00CA465A"/>
    <w:rsid w:val="00CA5DB2"/>
    <w:rsid w:val="00CA7241"/>
    <w:rsid w:val="00CB07EE"/>
    <w:rsid w:val="00CB0CD3"/>
    <w:rsid w:val="00CB1568"/>
    <w:rsid w:val="00CB1B3E"/>
    <w:rsid w:val="00CB25FB"/>
    <w:rsid w:val="00CB32EA"/>
    <w:rsid w:val="00CB72BF"/>
    <w:rsid w:val="00CC1553"/>
    <w:rsid w:val="00CC2F61"/>
    <w:rsid w:val="00CC6C30"/>
    <w:rsid w:val="00CC6DCD"/>
    <w:rsid w:val="00CC79D5"/>
    <w:rsid w:val="00CD0D82"/>
    <w:rsid w:val="00CD14E7"/>
    <w:rsid w:val="00CD1AF9"/>
    <w:rsid w:val="00CD27E7"/>
    <w:rsid w:val="00CD4653"/>
    <w:rsid w:val="00CD7F20"/>
    <w:rsid w:val="00CE1892"/>
    <w:rsid w:val="00CE310E"/>
    <w:rsid w:val="00CE3B75"/>
    <w:rsid w:val="00CE4A8A"/>
    <w:rsid w:val="00CF1100"/>
    <w:rsid w:val="00CF72F4"/>
    <w:rsid w:val="00D004F8"/>
    <w:rsid w:val="00D01163"/>
    <w:rsid w:val="00D01D9E"/>
    <w:rsid w:val="00D01F80"/>
    <w:rsid w:val="00D029D3"/>
    <w:rsid w:val="00D035F7"/>
    <w:rsid w:val="00D040E4"/>
    <w:rsid w:val="00D04810"/>
    <w:rsid w:val="00D04A25"/>
    <w:rsid w:val="00D176EA"/>
    <w:rsid w:val="00D30941"/>
    <w:rsid w:val="00D34496"/>
    <w:rsid w:val="00D34A23"/>
    <w:rsid w:val="00D34DC2"/>
    <w:rsid w:val="00D35972"/>
    <w:rsid w:val="00D37D6A"/>
    <w:rsid w:val="00D37D79"/>
    <w:rsid w:val="00D37F0F"/>
    <w:rsid w:val="00D4005A"/>
    <w:rsid w:val="00D41092"/>
    <w:rsid w:val="00D4244B"/>
    <w:rsid w:val="00D43B6D"/>
    <w:rsid w:val="00D46E1C"/>
    <w:rsid w:val="00D47D60"/>
    <w:rsid w:val="00D50453"/>
    <w:rsid w:val="00D53931"/>
    <w:rsid w:val="00D54DCD"/>
    <w:rsid w:val="00D575C7"/>
    <w:rsid w:val="00D57E47"/>
    <w:rsid w:val="00D57EEC"/>
    <w:rsid w:val="00D6169E"/>
    <w:rsid w:val="00D627D0"/>
    <w:rsid w:val="00D6292F"/>
    <w:rsid w:val="00D636CA"/>
    <w:rsid w:val="00D64EE7"/>
    <w:rsid w:val="00D6692D"/>
    <w:rsid w:val="00D67B52"/>
    <w:rsid w:val="00D7172B"/>
    <w:rsid w:val="00D7175D"/>
    <w:rsid w:val="00D722C0"/>
    <w:rsid w:val="00D73CE5"/>
    <w:rsid w:val="00D75AD5"/>
    <w:rsid w:val="00D75DE4"/>
    <w:rsid w:val="00D76360"/>
    <w:rsid w:val="00D77EDE"/>
    <w:rsid w:val="00D80648"/>
    <w:rsid w:val="00D84594"/>
    <w:rsid w:val="00D84FC0"/>
    <w:rsid w:val="00D85467"/>
    <w:rsid w:val="00D926B8"/>
    <w:rsid w:val="00D92738"/>
    <w:rsid w:val="00D933D7"/>
    <w:rsid w:val="00D9465B"/>
    <w:rsid w:val="00D962E0"/>
    <w:rsid w:val="00DA10BD"/>
    <w:rsid w:val="00DA19EC"/>
    <w:rsid w:val="00DA4AF9"/>
    <w:rsid w:val="00DA50A4"/>
    <w:rsid w:val="00DA6B2D"/>
    <w:rsid w:val="00DB1FF9"/>
    <w:rsid w:val="00DB3D3E"/>
    <w:rsid w:val="00DB648E"/>
    <w:rsid w:val="00DC1EF1"/>
    <w:rsid w:val="00DC3493"/>
    <w:rsid w:val="00DC38B0"/>
    <w:rsid w:val="00DC61D2"/>
    <w:rsid w:val="00DD3B1B"/>
    <w:rsid w:val="00DD50A4"/>
    <w:rsid w:val="00DD684B"/>
    <w:rsid w:val="00DD6D54"/>
    <w:rsid w:val="00DE09B8"/>
    <w:rsid w:val="00DE3510"/>
    <w:rsid w:val="00DE6A64"/>
    <w:rsid w:val="00DE6CDB"/>
    <w:rsid w:val="00DF1031"/>
    <w:rsid w:val="00DF1968"/>
    <w:rsid w:val="00DF3428"/>
    <w:rsid w:val="00DF3B07"/>
    <w:rsid w:val="00DF43A2"/>
    <w:rsid w:val="00DF639E"/>
    <w:rsid w:val="00DF6C3D"/>
    <w:rsid w:val="00DF7A63"/>
    <w:rsid w:val="00E00984"/>
    <w:rsid w:val="00E035F7"/>
    <w:rsid w:val="00E03CBB"/>
    <w:rsid w:val="00E04122"/>
    <w:rsid w:val="00E062C1"/>
    <w:rsid w:val="00E10791"/>
    <w:rsid w:val="00E11113"/>
    <w:rsid w:val="00E11BF7"/>
    <w:rsid w:val="00E12A95"/>
    <w:rsid w:val="00E13737"/>
    <w:rsid w:val="00E13A97"/>
    <w:rsid w:val="00E1519E"/>
    <w:rsid w:val="00E15A40"/>
    <w:rsid w:val="00E16967"/>
    <w:rsid w:val="00E203E8"/>
    <w:rsid w:val="00E20E8B"/>
    <w:rsid w:val="00E214DD"/>
    <w:rsid w:val="00E214E6"/>
    <w:rsid w:val="00E30BBA"/>
    <w:rsid w:val="00E31169"/>
    <w:rsid w:val="00E3372C"/>
    <w:rsid w:val="00E34ECB"/>
    <w:rsid w:val="00E3545B"/>
    <w:rsid w:val="00E35FC6"/>
    <w:rsid w:val="00E41835"/>
    <w:rsid w:val="00E44E33"/>
    <w:rsid w:val="00E50762"/>
    <w:rsid w:val="00E520C9"/>
    <w:rsid w:val="00E55417"/>
    <w:rsid w:val="00E561AD"/>
    <w:rsid w:val="00E61C54"/>
    <w:rsid w:val="00E627FA"/>
    <w:rsid w:val="00E64174"/>
    <w:rsid w:val="00E73185"/>
    <w:rsid w:val="00E7497F"/>
    <w:rsid w:val="00E75F85"/>
    <w:rsid w:val="00E76CF5"/>
    <w:rsid w:val="00E77670"/>
    <w:rsid w:val="00E84916"/>
    <w:rsid w:val="00E84A02"/>
    <w:rsid w:val="00E925ED"/>
    <w:rsid w:val="00E9775C"/>
    <w:rsid w:val="00EA040F"/>
    <w:rsid w:val="00EA118E"/>
    <w:rsid w:val="00EA1C06"/>
    <w:rsid w:val="00EA2850"/>
    <w:rsid w:val="00EA71C9"/>
    <w:rsid w:val="00EA72C2"/>
    <w:rsid w:val="00EB43F0"/>
    <w:rsid w:val="00EB4F86"/>
    <w:rsid w:val="00EB5069"/>
    <w:rsid w:val="00EB5B6D"/>
    <w:rsid w:val="00EB717B"/>
    <w:rsid w:val="00EC150E"/>
    <w:rsid w:val="00EC24E0"/>
    <w:rsid w:val="00EC35FB"/>
    <w:rsid w:val="00EC3BFE"/>
    <w:rsid w:val="00EC453E"/>
    <w:rsid w:val="00EC7C55"/>
    <w:rsid w:val="00ED18A7"/>
    <w:rsid w:val="00ED4635"/>
    <w:rsid w:val="00ED6759"/>
    <w:rsid w:val="00ED73E7"/>
    <w:rsid w:val="00EE15E5"/>
    <w:rsid w:val="00EE3F4B"/>
    <w:rsid w:val="00EE68FB"/>
    <w:rsid w:val="00EE6FA6"/>
    <w:rsid w:val="00EF0A16"/>
    <w:rsid w:val="00EF397C"/>
    <w:rsid w:val="00EF4ABB"/>
    <w:rsid w:val="00F03671"/>
    <w:rsid w:val="00F06B73"/>
    <w:rsid w:val="00F06D3E"/>
    <w:rsid w:val="00F103CF"/>
    <w:rsid w:val="00F11FA2"/>
    <w:rsid w:val="00F12ECB"/>
    <w:rsid w:val="00F1430E"/>
    <w:rsid w:val="00F24782"/>
    <w:rsid w:val="00F2618A"/>
    <w:rsid w:val="00F26B7E"/>
    <w:rsid w:val="00F270E6"/>
    <w:rsid w:val="00F30926"/>
    <w:rsid w:val="00F313D5"/>
    <w:rsid w:val="00F335A0"/>
    <w:rsid w:val="00F366DC"/>
    <w:rsid w:val="00F37022"/>
    <w:rsid w:val="00F41E0B"/>
    <w:rsid w:val="00F4236F"/>
    <w:rsid w:val="00F4363E"/>
    <w:rsid w:val="00F43738"/>
    <w:rsid w:val="00F45057"/>
    <w:rsid w:val="00F47EA0"/>
    <w:rsid w:val="00F51A5A"/>
    <w:rsid w:val="00F533FA"/>
    <w:rsid w:val="00F53961"/>
    <w:rsid w:val="00F55818"/>
    <w:rsid w:val="00F60C3F"/>
    <w:rsid w:val="00F61E63"/>
    <w:rsid w:val="00F62875"/>
    <w:rsid w:val="00F62E1B"/>
    <w:rsid w:val="00F62F36"/>
    <w:rsid w:val="00F6325B"/>
    <w:rsid w:val="00F6658F"/>
    <w:rsid w:val="00F66CB1"/>
    <w:rsid w:val="00F67A0A"/>
    <w:rsid w:val="00F72F5A"/>
    <w:rsid w:val="00F73CCF"/>
    <w:rsid w:val="00F7588D"/>
    <w:rsid w:val="00F75A98"/>
    <w:rsid w:val="00F775AF"/>
    <w:rsid w:val="00F778D9"/>
    <w:rsid w:val="00F81171"/>
    <w:rsid w:val="00F81573"/>
    <w:rsid w:val="00F81C37"/>
    <w:rsid w:val="00F83EBC"/>
    <w:rsid w:val="00F83F5F"/>
    <w:rsid w:val="00F84B28"/>
    <w:rsid w:val="00F85174"/>
    <w:rsid w:val="00F91CBA"/>
    <w:rsid w:val="00F932ED"/>
    <w:rsid w:val="00F93ED7"/>
    <w:rsid w:val="00F94A7F"/>
    <w:rsid w:val="00F9577F"/>
    <w:rsid w:val="00F95939"/>
    <w:rsid w:val="00F95B7F"/>
    <w:rsid w:val="00F97FB3"/>
    <w:rsid w:val="00FA1644"/>
    <w:rsid w:val="00FA19DF"/>
    <w:rsid w:val="00FB1F93"/>
    <w:rsid w:val="00FB3525"/>
    <w:rsid w:val="00FB3FD8"/>
    <w:rsid w:val="00FB5C3E"/>
    <w:rsid w:val="00FB6AE3"/>
    <w:rsid w:val="00FC0288"/>
    <w:rsid w:val="00FC1207"/>
    <w:rsid w:val="00FC18B6"/>
    <w:rsid w:val="00FC586A"/>
    <w:rsid w:val="00FC6468"/>
    <w:rsid w:val="00FC7BFE"/>
    <w:rsid w:val="00FC7E43"/>
    <w:rsid w:val="00FD0A25"/>
    <w:rsid w:val="00FD3B10"/>
    <w:rsid w:val="00FD459B"/>
    <w:rsid w:val="00FE0305"/>
    <w:rsid w:val="00FE2179"/>
    <w:rsid w:val="00FE300C"/>
    <w:rsid w:val="00FE37FF"/>
    <w:rsid w:val="00FE5684"/>
    <w:rsid w:val="00FE78AF"/>
    <w:rsid w:val="00FF0ADB"/>
    <w:rsid w:val="00FF0E49"/>
    <w:rsid w:val="00FF16F2"/>
    <w:rsid w:val="00FF1C52"/>
    <w:rsid w:val="00FF21BF"/>
    <w:rsid w:val="00FF44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2"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9AC"/>
    <w:rPr>
      <w:sz w:val="24"/>
      <w:szCs w:val="24"/>
    </w:rPr>
  </w:style>
  <w:style w:type="paragraph" w:styleId="Heading1">
    <w:name w:val="heading 1"/>
    <w:basedOn w:val="Normal"/>
    <w:next w:val="Normal"/>
    <w:link w:val="Heading1Char"/>
    <w:qFormat/>
    <w:rsid w:val="002659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659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659A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659AC"/>
    <w:pPr>
      <w:keepNext/>
      <w:spacing w:before="240" w:after="60"/>
      <w:outlineLvl w:val="3"/>
    </w:pPr>
    <w:rPr>
      <w:b/>
      <w:bCs/>
      <w:sz w:val="28"/>
      <w:szCs w:val="28"/>
    </w:rPr>
  </w:style>
  <w:style w:type="paragraph" w:styleId="Heading5">
    <w:name w:val="heading 5"/>
    <w:basedOn w:val="Normal"/>
    <w:next w:val="Normal"/>
    <w:link w:val="Heading5Char"/>
    <w:qFormat/>
    <w:rsid w:val="002659AC"/>
    <w:pPr>
      <w:spacing w:before="240" w:after="60"/>
      <w:outlineLvl w:val="4"/>
    </w:pPr>
    <w:rPr>
      <w:b/>
      <w:bCs/>
      <w:i/>
      <w:iCs/>
      <w:sz w:val="26"/>
      <w:szCs w:val="26"/>
    </w:rPr>
  </w:style>
  <w:style w:type="paragraph" w:styleId="Heading6">
    <w:name w:val="heading 6"/>
    <w:basedOn w:val="Normal"/>
    <w:next w:val="Normal"/>
    <w:link w:val="Heading6Char"/>
    <w:qFormat/>
    <w:rsid w:val="002659A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CBA"/>
    <w:rPr>
      <w:rFonts w:ascii="Arial" w:hAnsi="Arial" w:cs="Arial"/>
      <w:b/>
      <w:bCs/>
      <w:kern w:val="32"/>
      <w:sz w:val="32"/>
      <w:szCs w:val="32"/>
    </w:rPr>
  </w:style>
  <w:style w:type="character" w:customStyle="1" w:styleId="Heading2Char">
    <w:name w:val="Heading 2 Char"/>
    <w:basedOn w:val="DefaultParagraphFont"/>
    <w:link w:val="Heading2"/>
    <w:rsid w:val="000D3CBA"/>
    <w:rPr>
      <w:rFonts w:ascii="Arial" w:hAnsi="Arial" w:cs="Arial"/>
      <w:b/>
      <w:bCs/>
      <w:i/>
      <w:iCs/>
      <w:sz w:val="28"/>
      <w:szCs w:val="28"/>
    </w:rPr>
  </w:style>
  <w:style w:type="character" w:customStyle="1" w:styleId="Heading3Char">
    <w:name w:val="Heading 3 Char"/>
    <w:basedOn w:val="DefaultParagraphFont"/>
    <w:link w:val="Heading3"/>
    <w:rsid w:val="000D3CBA"/>
    <w:rPr>
      <w:rFonts w:ascii="Arial" w:hAnsi="Arial" w:cs="Arial"/>
      <w:b/>
      <w:bCs/>
      <w:sz w:val="26"/>
      <w:szCs w:val="26"/>
    </w:rPr>
  </w:style>
  <w:style w:type="character" w:customStyle="1" w:styleId="Heading4Char">
    <w:name w:val="Heading 4 Char"/>
    <w:basedOn w:val="DefaultParagraphFont"/>
    <w:link w:val="Heading4"/>
    <w:rsid w:val="000D3CBA"/>
    <w:rPr>
      <w:b/>
      <w:bCs/>
      <w:sz w:val="28"/>
      <w:szCs w:val="28"/>
    </w:rPr>
  </w:style>
  <w:style w:type="paragraph" w:styleId="TOC1">
    <w:name w:val="toc 1"/>
    <w:basedOn w:val="Normal"/>
    <w:next w:val="Normal"/>
    <w:autoRedefine/>
    <w:uiPriority w:val="39"/>
    <w:rsid w:val="000D3CBA"/>
    <w:pPr>
      <w:tabs>
        <w:tab w:val="right" w:leader="dot" w:pos="9394"/>
      </w:tabs>
    </w:pPr>
  </w:style>
  <w:style w:type="paragraph" w:styleId="TOC2">
    <w:name w:val="toc 2"/>
    <w:basedOn w:val="Normal"/>
    <w:next w:val="Normal"/>
    <w:autoRedefine/>
    <w:uiPriority w:val="39"/>
    <w:unhideWhenUsed/>
    <w:rsid w:val="000D3CBA"/>
    <w:pPr>
      <w:spacing w:after="100"/>
      <w:ind w:left="240"/>
    </w:pPr>
    <w:rPr>
      <w:b/>
    </w:rPr>
  </w:style>
  <w:style w:type="paragraph" w:styleId="TOC3">
    <w:name w:val="toc 3"/>
    <w:basedOn w:val="Normal"/>
    <w:next w:val="Normal"/>
    <w:autoRedefine/>
    <w:uiPriority w:val="39"/>
    <w:unhideWhenUsed/>
    <w:rsid w:val="000D3CBA"/>
    <w:pPr>
      <w:spacing w:after="100"/>
      <w:ind w:left="480"/>
    </w:pPr>
    <w:rPr>
      <w:b/>
      <w:i/>
    </w:rPr>
  </w:style>
  <w:style w:type="paragraph" w:styleId="Caption">
    <w:name w:val="caption"/>
    <w:basedOn w:val="Normal"/>
    <w:next w:val="Normal"/>
    <w:unhideWhenUsed/>
    <w:qFormat/>
    <w:rsid w:val="002659AC"/>
    <w:rPr>
      <w:b/>
      <w:bCs/>
      <w:sz w:val="20"/>
      <w:szCs w:val="20"/>
    </w:rPr>
  </w:style>
  <w:style w:type="paragraph" w:styleId="Title">
    <w:name w:val="Title"/>
    <w:basedOn w:val="Normal"/>
    <w:link w:val="TitleChar"/>
    <w:qFormat/>
    <w:rsid w:val="002659AC"/>
    <w:pPr>
      <w:autoSpaceDE w:val="0"/>
      <w:autoSpaceDN w:val="0"/>
      <w:adjustRightInd w:val="0"/>
      <w:spacing w:line="360" w:lineRule="auto"/>
      <w:jc w:val="center"/>
    </w:pPr>
    <w:rPr>
      <w:rFonts w:ascii="TimesNewRoman,Bold" w:hAnsi="TimesNewRoman,Bold"/>
      <w:b/>
      <w:bCs/>
      <w:szCs w:val="19"/>
    </w:rPr>
  </w:style>
  <w:style w:type="character" w:customStyle="1" w:styleId="TitleChar">
    <w:name w:val="Title Char"/>
    <w:basedOn w:val="DefaultParagraphFont"/>
    <w:link w:val="Title"/>
    <w:rsid w:val="000D3CBA"/>
    <w:rPr>
      <w:rFonts w:ascii="TimesNewRoman,Bold" w:hAnsi="TimesNewRoman,Bold"/>
      <w:b/>
      <w:bCs/>
      <w:sz w:val="24"/>
      <w:szCs w:val="19"/>
    </w:rPr>
  </w:style>
  <w:style w:type="character" w:styleId="Strong">
    <w:name w:val="Strong"/>
    <w:basedOn w:val="DefaultParagraphFont"/>
    <w:uiPriority w:val="22"/>
    <w:qFormat/>
    <w:rsid w:val="000D3CBA"/>
    <w:rPr>
      <w:b/>
      <w:bCs/>
    </w:rPr>
  </w:style>
  <w:style w:type="character" w:styleId="Emphasis">
    <w:name w:val="Emphasis"/>
    <w:basedOn w:val="DefaultParagraphFont"/>
    <w:qFormat/>
    <w:rsid w:val="000D3CBA"/>
    <w:rPr>
      <w:i/>
      <w:iCs/>
    </w:rPr>
  </w:style>
  <w:style w:type="paragraph" w:styleId="NoSpacing">
    <w:name w:val="No Spacing"/>
    <w:link w:val="NoSpacingChar"/>
    <w:uiPriority w:val="1"/>
    <w:qFormat/>
    <w:rsid w:val="000D3CBA"/>
    <w:rPr>
      <w:sz w:val="24"/>
      <w:szCs w:val="24"/>
    </w:rPr>
  </w:style>
  <w:style w:type="character" w:customStyle="1" w:styleId="NoSpacingChar">
    <w:name w:val="No Spacing Char"/>
    <w:basedOn w:val="DefaultParagraphFont"/>
    <w:link w:val="NoSpacing"/>
    <w:uiPriority w:val="1"/>
    <w:locked/>
    <w:rsid w:val="000D3CBA"/>
    <w:rPr>
      <w:sz w:val="24"/>
      <w:szCs w:val="24"/>
    </w:rPr>
  </w:style>
  <w:style w:type="paragraph" w:styleId="ListParagraph">
    <w:name w:val="List Paragraph"/>
    <w:basedOn w:val="Normal"/>
    <w:uiPriority w:val="34"/>
    <w:qFormat/>
    <w:rsid w:val="000D3CBA"/>
    <w:pPr>
      <w:ind w:left="708"/>
    </w:pPr>
  </w:style>
  <w:style w:type="paragraph" w:styleId="TOCHeading">
    <w:name w:val="TOC Heading"/>
    <w:basedOn w:val="Heading1"/>
    <w:next w:val="Normal"/>
    <w:uiPriority w:val="39"/>
    <w:semiHidden/>
    <w:unhideWhenUsed/>
    <w:qFormat/>
    <w:rsid w:val="000D3CBA"/>
    <w:pPr>
      <w:outlineLvl w:val="9"/>
    </w:pPr>
    <w:rPr>
      <w:rFonts w:asciiTheme="majorHAnsi" w:eastAsiaTheme="majorEastAsia" w:hAnsiTheme="majorHAnsi" w:cstheme="majorBidi"/>
    </w:rPr>
  </w:style>
  <w:style w:type="character" w:customStyle="1" w:styleId="Heading5Char">
    <w:name w:val="Heading 5 Char"/>
    <w:basedOn w:val="DefaultParagraphFont"/>
    <w:link w:val="Heading5"/>
    <w:rsid w:val="002659AC"/>
    <w:rPr>
      <w:b/>
      <w:bCs/>
      <w:i/>
      <w:iCs/>
      <w:sz w:val="26"/>
      <w:szCs w:val="26"/>
    </w:rPr>
  </w:style>
  <w:style w:type="character" w:customStyle="1" w:styleId="Heading6Char">
    <w:name w:val="Heading 6 Char"/>
    <w:basedOn w:val="DefaultParagraphFont"/>
    <w:link w:val="Heading6"/>
    <w:rsid w:val="002659AC"/>
    <w:rPr>
      <w:b/>
      <w:bCs/>
      <w:sz w:val="22"/>
      <w:szCs w:val="22"/>
    </w:rPr>
  </w:style>
  <w:style w:type="character" w:styleId="Hyperlink">
    <w:name w:val="Hyperlink"/>
    <w:basedOn w:val="DefaultParagraphFont"/>
    <w:uiPriority w:val="99"/>
    <w:rsid w:val="00083C53"/>
    <w:rPr>
      <w:rFonts w:cs="Times New Roman"/>
      <w:color w:val="0000FF"/>
      <w:u w:val="single"/>
    </w:rPr>
  </w:style>
  <w:style w:type="character" w:customStyle="1" w:styleId="hps">
    <w:name w:val="hps"/>
    <w:basedOn w:val="DefaultParagraphFont"/>
    <w:rsid w:val="00F81573"/>
    <w:rPr>
      <w:rFonts w:cs="Times New Roman"/>
    </w:rPr>
  </w:style>
  <w:style w:type="paragraph" w:customStyle="1" w:styleId="Default">
    <w:name w:val="Default"/>
    <w:rsid w:val="00F81573"/>
    <w:pPr>
      <w:autoSpaceDE w:val="0"/>
      <w:autoSpaceDN w:val="0"/>
      <w:adjustRightInd w:val="0"/>
    </w:pPr>
    <w:rPr>
      <w:color w:val="000000"/>
      <w:sz w:val="24"/>
      <w:szCs w:val="24"/>
      <w:lang w:val="en-US" w:eastAsia="en-US"/>
    </w:rPr>
  </w:style>
  <w:style w:type="character" w:styleId="FootnoteReference">
    <w:name w:val="footnote reference"/>
    <w:basedOn w:val="DefaultParagraphFont"/>
    <w:uiPriority w:val="99"/>
    <w:rsid w:val="00F81573"/>
    <w:rPr>
      <w:rFonts w:cs="Times New Roman"/>
      <w:vertAlign w:val="superscript"/>
    </w:rPr>
  </w:style>
  <w:style w:type="paragraph" w:styleId="NormalWeb">
    <w:name w:val="Normal (Web)"/>
    <w:basedOn w:val="Normal"/>
    <w:uiPriority w:val="99"/>
    <w:unhideWhenUsed/>
    <w:rsid w:val="00F81573"/>
    <w:rPr>
      <w:color w:val="000000"/>
      <w:lang w:val="en-US" w:eastAsia="en-US"/>
    </w:rPr>
  </w:style>
  <w:style w:type="paragraph" w:styleId="BalloonText">
    <w:name w:val="Balloon Text"/>
    <w:basedOn w:val="Normal"/>
    <w:link w:val="BalloonTextChar"/>
    <w:uiPriority w:val="99"/>
    <w:semiHidden/>
    <w:unhideWhenUsed/>
    <w:rsid w:val="00F81573"/>
    <w:rPr>
      <w:rFonts w:ascii="Tahoma" w:hAnsi="Tahoma" w:cs="Tahoma"/>
      <w:sz w:val="16"/>
      <w:szCs w:val="16"/>
    </w:rPr>
  </w:style>
  <w:style w:type="character" w:customStyle="1" w:styleId="BalloonTextChar">
    <w:name w:val="Balloon Text Char"/>
    <w:basedOn w:val="DefaultParagraphFont"/>
    <w:link w:val="BalloonText"/>
    <w:uiPriority w:val="99"/>
    <w:semiHidden/>
    <w:rsid w:val="00F81573"/>
    <w:rPr>
      <w:rFonts w:ascii="Tahoma" w:hAnsi="Tahoma" w:cs="Tahoma"/>
      <w:sz w:val="16"/>
      <w:szCs w:val="16"/>
    </w:rPr>
  </w:style>
  <w:style w:type="paragraph" w:styleId="List2">
    <w:name w:val="List 2"/>
    <w:basedOn w:val="Normal"/>
    <w:rsid w:val="00F62E1B"/>
    <w:pPr>
      <w:ind w:left="720" w:hanging="360"/>
    </w:pPr>
    <w:rPr>
      <w:lang w:eastAsia="en-US"/>
    </w:rPr>
  </w:style>
  <w:style w:type="paragraph" w:styleId="HTMLPreformatted">
    <w:name w:val="HTML Preformatted"/>
    <w:basedOn w:val="Normal"/>
    <w:link w:val="HTMLPreformattedChar"/>
    <w:uiPriority w:val="99"/>
    <w:unhideWhenUsed/>
    <w:rsid w:val="00AF5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F5F8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5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http://ro-en.gsp.ro/index.php?d=e&amp;q=approached" TargetMode="Externa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o-en.gsp.ro/index.php?d=e&amp;q=to+achieve"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Copy%20of%20National_accounts_-_GDP_YB201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dispersia%20gdp.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Copy%20of%20Employment_statistics_YB201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dispersia%20ratelor%20somajulu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3'!$E$10</c:f>
              <c:strCache>
                <c:ptCount val="1"/>
                <c:pt idx="0">
                  <c:v>Media      2000-2012</c:v>
                </c:pt>
              </c:strCache>
            </c:strRef>
          </c:tx>
          <c:invertIfNegative val="0"/>
          <c:dLbls>
            <c:showLegendKey val="0"/>
            <c:showVal val="1"/>
            <c:showCatName val="0"/>
            <c:showSerName val="0"/>
            <c:showPercent val="0"/>
            <c:showBubbleSize val="0"/>
            <c:showLeaderLines val="0"/>
          </c:dLbls>
          <c:cat>
            <c:strRef>
              <c:f>'Figure 3'!$D$11:$D$39</c:f>
              <c:strCache>
                <c:ptCount val="29"/>
                <c:pt idx="0">
                  <c:v>EU-27</c:v>
                </c:pt>
                <c:pt idx="1">
                  <c:v>Zona euro </c:v>
                </c:pt>
                <c:pt idx="2">
                  <c:v>Belgia</c:v>
                </c:pt>
                <c:pt idx="3">
                  <c:v>Bulgaria</c:v>
                </c:pt>
                <c:pt idx="4">
                  <c:v>Republica Cehă</c:v>
                </c:pt>
                <c:pt idx="5">
                  <c:v>Danemarca</c:v>
                </c:pt>
                <c:pt idx="6">
                  <c:v>Germania</c:v>
                </c:pt>
                <c:pt idx="7">
                  <c:v>Estonia</c:v>
                </c:pt>
                <c:pt idx="8">
                  <c:v>Irlanda</c:v>
                </c:pt>
                <c:pt idx="9">
                  <c:v>Grecia</c:v>
                </c:pt>
                <c:pt idx="10">
                  <c:v>Spania</c:v>
                </c:pt>
                <c:pt idx="11">
                  <c:v>Franța</c:v>
                </c:pt>
                <c:pt idx="12">
                  <c:v>Italia</c:v>
                </c:pt>
                <c:pt idx="13">
                  <c:v>Cipru</c:v>
                </c:pt>
                <c:pt idx="14">
                  <c:v>Letonia</c:v>
                </c:pt>
                <c:pt idx="15">
                  <c:v>Lituania</c:v>
                </c:pt>
                <c:pt idx="16">
                  <c:v>Luxemburg</c:v>
                </c:pt>
                <c:pt idx="17">
                  <c:v>Ungaria</c:v>
                </c:pt>
                <c:pt idx="18">
                  <c:v>Malta</c:v>
                </c:pt>
                <c:pt idx="19">
                  <c:v>Olanda</c:v>
                </c:pt>
                <c:pt idx="20">
                  <c:v>Austria </c:v>
                </c:pt>
                <c:pt idx="21">
                  <c:v>Polonia</c:v>
                </c:pt>
                <c:pt idx="22">
                  <c:v>Portugalia</c:v>
                </c:pt>
                <c:pt idx="23">
                  <c:v>Romania </c:v>
                </c:pt>
                <c:pt idx="24">
                  <c:v>Slovenia</c:v>
                </c:pt>
                <c:pt idx="25">
                  <c:v>Slovacia</c:v>
                </c:pt>
                <c:pt idx="26">
                  <c:v>Finlanda</c:v>
                </c:pt>
                <c:pt idx="27">
                  <c:v>Suedia</c:v>
                </c:pt>
                <c:pt idx="28">
                  <c:v>Marea Britanie</c:v>
                </c:pt>
              </c:strCache>
            </c:strRef>
          </c:cat>
          <c:val>
            <c:numRef>
              <c:f>'Figure 3'!$E$11:$E$39</c:f>
              <c:numCache>
                <c:formatCode>#,##0.0</c:formatCode>
                <c:ptCount val="29"/>
                <c:pt idx="0">
                  <c:v>1.4615384615384615</c:v>
                </c:pt>
                <c:pt idx="1">
                  <c:v>1.2592307692307689</c:v>
                </c:pt>
                <c:pt idx="2">
                  <c:v>1.4884615384615383</c:v>
                </c:pt>
                <c:pt idx="3">
                  <c:v>3.8230769230769233</c:v>
                </c:pt>
                <c:pt idx="4">
                  <c:v>3.0046153846153838</c:v>
                </c:pt>
                <c:pt idx="5">
                  <c:v>0.75615384615384829</c:v>
                </c:pt>
                <c:pt idx="6">
                  <c:v>1.2984615384615383</c:v>
                </c:pt>
                <c:pt idx="7">
                  <c:v>4.4830769230769238</c:v>
                </c:pt>
                <c:pt idx="8">
                  <c:v>2.8907692307692243</c:v>
                </c:pt>
                <c:pt idx="9">
                  <c:v>1.0023076923076892</c:v>
                </c:pt>
                <c:pt idx="10">
                  <c:v>1.9299999999999966</c:v>
                </c:pt>
                <c:pt idx="11">
                  <c:v>1.2761538461538491</c:v>
                </c:pt>
                <c:pt idx="12">
                  <c:v>0.44000000000000006</c:v>
                </c:pt>
                <c:pt idx="13">
                  <c:v>2.4061538461538428</c:v>
                </c:pt>
                <c:pt idx="14">
                  <c:v>4.4053846153846248</c:v>
                </c:pt>
                <c:pt idx="15">
                  <c:v>4.5592307692307683</c:v>
                </c:pt>
                <c:pt idx="16">
                  <c:v>2.9207692307692308</c:v>
                </c:pt>
                <c:pt idx="17">
                  <c:v>1.871538461538462</c:v>
                </c:pt>
                <c:pt idx="18">
                  <c:v>1.7300000000000006</c:v>
                </c:pt>
                <c:pt idx="19">
                  <c:v>1.3361538461538494</c:v>
                </c:pt>
                <c:pt idx="20">
                  <c:v>1.7569230769230773</c:v>
                </c:pt>
                <c:pt idx="21">
                  <c:v>3.8184615384615386</c:v>
                </c:pt>
                <c:pt idx="22">
                  <c:v>0.42615384615384638</c:v>
                </c:pt>
                <c:pt idx="23">
                  <c:v>3.6553846153846172</c:v>
                </c:pt>
                <c:pt idx="24">
                  <c:v>2.2599999999999998</c:v>
                </c:pt>
                <c:pt idx="25">
                  <c:v>4.2438461538461594</c:v>
                </c:pt>
                <c:pt idx="26">
                  <c:v>1.9415384615384621</c:v>
                </c:pt>
                <c:pt idx="27">
                  <c:v>2.365384615384615</c:v>
                </c:pt>
                <c:pt idx="28">
                  <c:v>1.7361538461538499</c:v>
                </c:pt>
              </c:numCache>
            </c:numRef>
          </c:val>
        </c:ser>
        <c:dLbls>
          <c:showLegendKey val="0"/>
          <c:showVal val="0"/>
          <c:showCatName val="0"/>
          <c:showSerName val="0"/>
          <c:showPercent val="0"/>
          <c:showBubbleSize val="0"/>
        </c:dLbls>
        <c:gapWidth val="150"/>
        <c:axId val="70837760"/>
        <c:axId val="70839296"/>
      </c:barChart>
      <c:catAx>
        <c:axId val="70837760"/>
        <c:scaling>
          <c:orientation val="minMax"/>
        </c:scaling>
        <c:delete val="0"/>
        <c:axPos val="b"/>
        <c:majorTickMark val="out"/>
        <c:minorTickMark val="none"/>
        <c:tickLblPos val="nextTo"/>
        <c:crossAx val="70839296"/>
        <c:crosses val="autoZero"/>
        <c:auto val="1"/>
        <c:lblAlgn val="ctr"/>
        <c:lblOffset val="100"/>
        <c:noMultiLvlLbl val="0"/>
      </c:catAx>
      <c:valAx>
        <c:axId val="70839296"/>
        <c:scaling>
          <c:orientation val="minMax"/>
        </c:scaling>
        <c:delete val="0"/>
        <c:axPos val="l"/>
        <c:majorGridlines/>
        <c:numFmt formatCode="#,##0.0" sourceLinked="1"/>
        <c:majorTickMark val="out"/>
        <c:minorTickMark val="none"/>
        <c:tickLblPos val="nextTo"/>
        <c:crossAx val="70837760"/>
        <c:crosses val="autoZero"/>
        <c:crossBetween val="between"/>
      </c:valAx>
    </c:plotArea>
    <c:legend>
      <c:legendPos val="r"/>
      <c:layout>
        <c:manualLayout>
          <c:xMode val="edge"/>
          <c:yMode val="edge"/>
          <c:x val="0.82116759861539068"/>
          <c:y val="0"/>
          <c:w val="0.17883240138460954"/>
          <c:h val="1"/>
        </c:manualLayout>
      </c:layout>
      <c:overlay val="0"/>
    </c:legend>
    <c:plotVisOnly val="1"/>
    <c:dispBlanksAs val="gap"/>
    <c:showDLblsOverMax val="0"/>
  </c:chart>
  <c:txPr>
    <a:bodyPr/>
    <a:lstStyle/>
    <a:p>
      <a:pPr>
        <a:defRPr sz="800">
          <a:latin typeface="Times New Roman" pitchFamily="18" charset="0"/>
          <a:cs typeface="Times New Roman" pitchFamily="18" charset="0"/>
        </a:defRPr>
      </a:pPr>
      <a:endParaRPr lang="ro-R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Sheet1!$B$6:$B$7</c:f>
              <c:strCache>
                <c:ptCount val="1"/>
                <c:pt idx="0">
                  <c:v>Dispersia PIB/loc. NUTS II
 2000</c:v>
                </c:pt>
              </c:strCache>
            </c:strRef>
          </c:tx>
          <c:marker>
            <c:symbol val="none"/>
          </c:marker>
          <c:cat>
            <c:strRef>
              <c:f>Sheet1!$A$8:$A$35</c:f>
              <c:strCache>
                <c:ptCount val="28"/>
                <c:pt idx="0">
                  <c:v>EU-27</c:v>
                </c:pt>
                <c:pt idx="1">
                  <c:v>Belgia</c:v>
                </c:pt>
                <c:pt idx="2">
                  <c:v>Bulgaria</c:v>
                </c:pt>
                <c:pt idx="3">
                  <c:v>Republica Cehă</c:v>
                </c:pt>
                <c:pt idx="4">
                  <c:v>Danemarca</c:v>
                </c:pt>
                <c:pt idx="5">
                  <c:v>Germania</c:v>
                </c:pt>
                <c:pt idx="6">
                  <c:v>Estonia</c:v>
                </c:pt>
                <c:pt idx="7">
                  <c:v>Irlanda</c:v>
                </c:pt>
                <c:pt idx="8">
                  <c:v>Grecia</c:v>
                </c:pt>
                <c:pt idx="9">
                  <c:v>Spania</c:v>
                </c:pt>
                <c:pt idx="10">
                  <c:v>Franța</c:v>
                </c:pt>
                <c:pt idx="11">
                  <c:v>Italia</c:v>
                </c:pt>
                <c:pt idx="12">
                  <c:v>Cipru</c:v>
                </c:pt>
                <c:pt idx="13">
                  <c:v>Letonia</c:v>
                </c:pt>
                <c:pt idx="14">
                  <c:v>Lituania</c:v>
                </c:pt>
                <c:pt idx="15">
                  <c:v>Luxemburg</c:v>
                </c:pt>
                <c:pt idx="16">
                  <c:v>Ungaria</c:v>
                </c:pt>
                <c:pt idx="17">
                  <c:v>Malta</c:v>
                </c:pt>
                <c:pt idx="18">
                  <c:v>Olanda</c:v>
                </c:pt>
                <c:pt idx="19">
                  <c:v>Austria </c:v>
                </c:pt>
                <c:pt idx="20">
                  <c:v>Polonia</c:v>
                </c:pt>
                <c:pt idx="21">
                  <c:v>Portugalia</c:v>
                </c:pt>
                <c:pt idx="22">
                  <c:v>Romania </c:v>
                </c:pt>
                <c:pt idx="23">
                  <c:v>Slovenia</c:v>
                </c:pt>
                <c:pt idx="24">
                  <c:v>Slovacia</c:v>
                </c:pt>
                <c:pt idx="25">
                  <c:v>Finlanda</c:v>
                </c:pt>
                <c:pt idx="26">
                  <c:v>Suedia</c:v>
                </c:pt>
                <c:pt idx="27">
                  <c:v>Marea Britanie</c:v>
                </c:pt>
              </c:strCache>
            </c:strRef>
          </c:cat>
          <c:val>
            <c:numRef>
              <c:f>Sheet1!$B$8:$B$35</c:f>
              <c:numCache>
                <c:formatCode>0.0</c:formatCode>
                <c:ptCount val="28"/>
                <c:pt idx="0">
                  <c:v>32.300000000000004</c:v>
                </c:pt>
                <c:pt idx="1">
                  <c:v>25.540021452360989</c:v>
                </c:pt>
                <c:pt idx="2">
                  <c:v>18.064939492392988</c:v>
                </c:pt>
                <c:pt idx="3">
                  <c:v>22.047968747057059</c:v>
                </c:pt>
                <c:pt idx="4">
                  <c:v>15.495169741839</c:v>
                </c:pt>
                <c:pt idx="5">
                  <c:v>17.559054135764001</c:v>
                </c:pt>
                <c:pt idx="6">
                  <c:v>0</c:v>
                </c:pt>
                <c:pt idx="7">
                  <c:v>15.467497875244042</c:v>
                </c:pt>
                <c:pt idx="8">
                  <c:v>12.79850496723</c:v>
                </c:pt>
                <c:pt idx="9">
                  <c:v>20.611723425308998</c:v>
                </c:pt>
                <c:pt idx="10">
                  <c:v>20.944018349019988</c:v>
                </c:pt>
                <c:pt idx="11">
                  <c:v>24.8</c:v>
                </c:pt>
                <c:pt idx="12">
                  <c:v>0</c:v>
                </c:pt>
                <c:pt idx="13">
                  <c:v>0</c:v>
                </c:pt>
                <c:pt idx="14">
                  <c:v>0</c:v>
                </c:pt>
                <c:pt idx="15">
                  <c:v>0</c:v>
                </c:pt>
                <c:pt idx="16">
                  <c:v>32.5</c:v>
                </c:pt>
                <c:pt idx="17">
                  <c:v>0</c:v>
                </c:pt>
                <c:pt idx="18">
                  <c:v>10.597373590910998</c:v>
                </c:pt>
                <c:pt idx="19">
                  <c:v>18.2</c:v>
                </c:pt>
                <c:pt idx="20">
                  <c:v>17.436300967185002</c:v>
                </c:pt>
                <c:pt idx="21">
                  <c:v>22.532547451863948</c:v>
                </c:pt>
                <c:pt idx="22">
                  <c:v>25.06054576447</c:v>
                </c:pt>
                <c:pt idx="23">
                  <c:v>16.691715576462986</c:v>
                </c:pt>
                <c:pt idx="24">
                  <c:v>26.751130600448001</c:v>
                </c:pt>
                <c:pt idx="25">
                  <c:v>17.432183056634987</c:v>
                </c:pt>
                <c:pt idx="26">
                  <c:v>15.896406742870004</c:v>
                </c:pt>
                <c:pt idx="27">
                  <c:v>21.674705916256059</c:v>
                </c:pt>
              </c:numCache>
            </c:numRef>
          </c:val>
          <c:smooth val="0"/>
        </c:ser>
        <c:ser>
          <c:idx val="1"/>
          <c:order val="1"/>
          <c:tx>
            <c:strRef>
              <c:f>Sheet1!$C$6:$C$7</c:f>
              <c:strCache>
                <c:ptCount val="1"/>
                <c:pt idx="0">
                  <c:v>Dispersia PIB/loc. NUTS II
 2010</c:v>
                </c:pt>
              </c:strCache>
            </c:strRef>
          </c:tx>
          <c:marker>
            <c:symbol val="none"/>
          </c:marker>
          <c:cat>
            <c:strRef>
              <c:f>Sheet1!$A$8:$A$35</c:f>
              <c:strCache>
                <c:ptCount val="28"/>
                <c:pt idx="0">
                  <c:v>EU-27</c:v>
                </c:pt>
                <c:pt idx="1">
                  <c:v>Belgia</c:v>
                </c:pt>
                <c:pt idx="2">
                  <c:v>Bulgaria</c:v>
                </c:pt>
                <c:pt idx="3">
                  <c:v>Republica Cehă</c:v>
                </c:pt>
                <c:pt idx="4">
                  <c:v>Danemarca</c:v>
                </c:pt>
                <c:pt idx="5">
                  <c:v>Germania</c:v>
                </c:pt>
                <c:pt idx="6">
                  <c:v>Estonia</c:v>
                </c:pt>
                <c:pt idx="7">
                  <c:v>Irlanda</c:v>
                </c:pt>
                <c:pt idx="8">
                  <c:v>Grecia</c:v>
                </c:pt>
                <c:pt idx="9">
                  <c:v>Spania</c:v>
                </c:pt>
                <c:pt idx="10">
                  <c:v>Franța</c:v>
                </c:pt>
                <c:pt idx="11">
                  <c:v>Italia</c:v>
                </c:pt>
                <c:pt idx="12">
                  <c:v>Cipru</c:v>
                </c:pt>
                <c:pt idx="13">
                  <c:v>Letonia</c:v>
                </c:pt>
                <c:pt idx="14">
                  <c:v>Lituania</c:v>
                </c:pt>
                <c:pt idx="15">
                  <c:v>Luxemburg</c:v>
                </c:pt>
                <c:pt idx="16">
                  <c:v>Ungaria</c:v>
                </c:pt>
                <c:pt idx="17">
                  <c:v>Malta</c:v>
                </c:pt>
                <c:pt idx="18">
                  <c:v>Olanda</c:v>
                </c:pt>
                <c:pt idx="19">
                  <c:v>Austria </c:v>
                </c:pt>
                <c:pt idx="20">
                  <c:v>Polonia</c:v>
                </c:pt>
                <c:pt idx="21">
                  <c:v>Portugalia</c:v>
                </c:pt>
                <c:pt idx="22">
                  <c:v>Romania </c:v>
                </c:pt>
                <c:pt idx="23">
                  <c:v>Slovenia</c:v>
                </c:pt>
                <c:pt idx="24">
                  <c:v>Slovacia</c:v>
                </c:pt>
                <c:pt idx="25">
                  <c:v>Finlanda</c:v>
                </c:pt>
                <c:pt idx="26">
                  <c:v>Suedia</c:v>
                </c:pt>
                <c:pt idx="27">
                  <c:v>Marea Britanie</c:v>
                </c:pt>
              </c:strCache>
            </c:strRef>
          </c:cat>
          <c:val>
            <c:numRef>
              <c:f>Sheet1!$C$8:$C$35</c:f>
              <c:numCache>
                <c:formatCode>0.0</c:formatCode>
                <c:ptCount val="28"/>
                <c:pt idx="0">
                  <c:v>27.164793204684987</c:v>
                </c:pt>
                <c:pt idx="1">
                  <c:v>24.218105818849999</c:v>
                </c:pt>
                <c:pt idx="2">
                  <c:v>39.594685873151001</c:v>
                </c:pt>
                <c:pt idx="3">
                  <c:v>26.89325691961805</c:v>
                </c:pt>
                <c:pt idx="4">
                  <c:v>15.236509926683</c:v>
                </c:pt>
                <c:pt idx="5">
                  <c:v>16.077741449545002</c:v>
                </c:pt>
                <c:pt idx="6">
                  <c:v>0</c:v>
                </c:pt>
                <c:pt idx="7">
                  <c:v>16.498249266672918</c:v>
                </c:pt>
                <c:pt idx="8">
                  <c:v>23.927160380400988</c:v>
                </c:pt>
                <c:pt idx="9">
                  <c:v>18.473918753907999</c:v>
                </c:pt>
                <c:pt idx="10">
                  <c:v>23.139771556800035</c:v>
                </c:pt>
                <c:pt idx="11">
                  <c:v>22.324683628799999</c:v>
                </c:pt>
                <c:pt idx="12">
                  <c:v>0</c:v>
                </c:pt>
                <c:pt idx="13">
                  <c:v>0</c:v>
                </c:pt>
                <c:pt idx="14">
                  <c:v>0</c:v>
                </c:pt>
                <c:pt idx="15">
                  <c:v>0</c:v>
                </c:pt>
                <c:pt idx="16">
                  <c:v>39.780695324983085</c:v>
                </c:pt>
                <c:pt idx="17">
                  <c:v>0</c:v>
                </c:pt>
                <c:pt idx="18">
                  <c:v>10.567850605325004</c:v>
                </c:pt>
                <c:pt idx="19">
                  <c:v>15.143920853279999</c:v>
                </c:pt>
                <c:pt idx="20">
                  <c:v>20.685717836961864</c:v>
                </c:pt>
                <c:pt idx="21">
                  <c:v>23.561087991853</c:v>
                </c:pt>
                <c:pt idx="22">
                  <c:v>30.376085109719035</c:v>
                </c:pt>
                <c:pt idx="23">
                  <c:v>18.734339584396952</c:v>
                </c:pt>
                <c:pt idx="24">
                  <c:v>33.161979377253999</c:v>
                </c:pt>
                <c:pt idx="25">
                  <c:v>15.570234851421029</c:v>
                </c:pt>
                <c:pt idx="26">
                  <c:v>19.020606368353953</c:v>
                </c:pt>
                <c:pt idx="27">
                  <c:v>24.936390000618999</c:v>
                </c:pt>
              </c:numCache>
            </c:numRef>
          </c:val>
          <c:smooth val="0"/>
        </c:ser>
        <c:dLbls>
          <c:showLegendKey val="0"/>
          <c:showVal val="0"/>
          <c:showCatName val="0"/>
          <c:showSerName val="0"/>
          <c:showPercent val="0"/>
          <c:showBubbleSize val="0"/>
        </c:dLbls>
        <c:marker val="1"/>
        <c:smooth val="0"/>
        <c:axId val="71008256"/>
        <c:axId val="71009792"/>
      </c:lineChart>
      <c:catAx>
        <c:axId val="71008256"/>
        <c:scaling>
          <c:orientation val="minMax"/>
        </c:scaling>
        <c:delete val="0"/>
        <c:axPos val="b"/>
        <c:majorTickMark val="out"/>
        <c:minorTickMark val="none"/>
        <c:tickLblPos val="nextTo"/>
        <c:crossAx val="71009792"/>
        <c:crosses val="autoZero"/>
        <c:auto val="1"/>
        <c:lblAlgn val="ctr"/>
        <c:lblOffset val="100"/>
        <c:noMultiLvlLbl val="0"/>
      </c:catAx>
      <c:valAx>
        <c:axId val="71009792"/>
        <c:scaling>
          <c:orientation val="minMax"/>
        </c:scaling>
        <c:delete val="0"/>
        <c:axPos val="l"/>
        <c:majorGridlines/>
        <c:numFmt formatCode="0.0" sourceLinked="1"/>
        <c:majorTickMark val="out"/>
        <c:minorTickMark val="none"/>
        <c:tickLblPos val="nextTo"/>
        <c:crossAx val="71008256"/>
        <c:crosses val="autoZero"/>
        <c:crossBetween val="between"/>
      </c:valAx>
    </c:plotArea>
    <c:legend>
      <c:legendPos val="r"/>
      <c:overlay val="0"/>
    </c:legend>
    <c:plotVisOnly val="1"/>
    <c:dispBlanksAs val="gap"/>
    <c:showDLblsOverMax val="0"/>
  </c:chart>
  <c:txPr>
    <a:bodyPr/>
    <a:lstStyle/>
    <a:p>
      <a:pPr>
        <a:defRPr sz="800">
          <a:latin typeface="Times New Roman" pitchFamily="18" charset="0"/>
          <a:cs typeface="Times New Roman" pitchFamily="18" charset="0"/>
        </a:defRPr>
      </a:pPr>
      <a:endParaRPr lang="ro-R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843532868746512E-2"/>
          <c:y val="7.107500073679629E-2"/>
          <c:w val="0.60281156805785152"/>
          <c:h val="0.60278479098690951"/>
        </c:manualLayout>
      </c:layout>
      <c:barChart>
        <c:barDir val="col"/>
        <c:grouping val="clustered"/>
        <c:varyColors val="0"/>
        <c:ser>
          <c:idx val="0"/>
          <c:order val="0"/>
          <c:tx>
            <c:strRef>
              <c:f>'Figure 1'!$E$10:$E$11</c:f>
              <c:strCache>
                <c:ptCount val="1"/>
                <c:pt idx="0">
                  <c:v>Rata de ocupare a forței de muncă(%) 2001</c:v>
                </c:pt>
              </c:strCache>
            </c:strRef>
          </c:tx>
          <c:invertIfNegative val="0"/>
          <c:cat>
            <c:strRef>
              <c:f>'Figure 1'!$D$12:$D$40</c:f>
              <c:strCache>
                <c:ptCount val="29"/>
                <c:pt idx="0">
                  <c:v>EU-27</c:v>
                </c:pt>
                <c:pt idx="1">
                  <c:v>Zona euro </c:v>
                </c:pt>
                <c:pt idx="2">
                  <c:v>Belgia</c:v>
                </c:pt>
                <c:pt idx="3">
                  <c:v>Bulgaria</c:v>
                </c:pt>
                <c:pt idx="4">
                  <c:v>Republica Cehă</c:v>
                </c:pt>
                <c:pt idx="5">
                  <c:v>Danemarca</c:v>
                </c:pt>
                <c:pt idx="6">
                  <c:v>Germania</c:v>
                </c:pt>
                <c:pt idx="7">
                  <c:v>Estonia</c:v>
                </c:pt>
                <c:pt idx="8">
                  <c:v>Irlanda</c:v>
                </c:pt>
                <c:pt idx="9">
                  <c:v>Grecia</c:v>
                </c:pt>
                <c:pt idx="10">
                  <c:v>Spania</c:v>
                </c:pt>
                <c:pt idx="11">
                  <c:v>Franța</c:v>
                </c:pt>
                <c:pt idx="12">
                  <c:v>Italia</c:v>
                </c:pt>
                <c:pt idx="13">
                  <c:v>Cipru</c:v>
                </c:pt>
                <c:pt idx="14">
                  <c:v>Letonia</c:v>
                </c:pt>
                <c:pt idx="15">
                  <c:v>Lituania</c:v>
                </c:pt>
                <c:pt idx="16">
                  <c:v>Luxemburg</c:v>
                </c:pt>
                <c:pt idx="17">
                  <c:v>Ungaria</c:v>
                </c:pt>
                <c:pt idx="18">
                  <c:v>Malta</c:v>
                </c:pt>
                <c:pt idx="19">
                  <c:v>Olanda</c:v>
                </c:pt>
                <c:pt idx="20">
                  <c:v>Austria </c:v>
                </c:pt>
                <c:pt idx="21">
                  <c:v>Polonia</c:v>
                </c:pt>
                <c:pt idx="22">
                  <c:v>Portugalia</c:v>
                </c:pt>
                <c:pt idx="23">
                  <c:v>Romania </c:v>
                </c:pt>
                <c:pt idx="24">
                  <c:v>Slovenia</c:v>
                </c:pt>
                <c:pt idx="25">
                  <c:v>Slovacia</c:v>
                </c:pt>
                <c:pt idx="26">
                  <c:v>Finlanda</c:v>
                </c:pt>
                <c:pt idx="27">
                  <c:v>Suedia</c:v>
                </c:pt>
                <c:pt idx="28">
                  <c:v>Marea Britanie</c:v>
                </c:pt>
              </c:strCache>
            </c:strRef>
          </c:cat>
          <c:val>
            <c:numRef>
              <c:f>'Figure 1'!$E$12:$E$40</c:f>
              <c:numCache>
                <c:formatCode>General</c:formatCode>
                <c:ptCount val="29"/>
                <c:pt idx="0">
                  <c:v>62.6</c:v>
                </c:pt>
                <c:pt idx="1">
                  <c:v>62.1</c:v>
                </c:pt>
                <c:pt idx="2">
                  <c:v>59.9</c:v>
                </c:pt>
                <c:pt idx="3">
                  <c:v>49.7</c:v>
                </c:pt>
                <c:pt idx="4">
                  <c:v>65</c:v>
                </c:pt>
                <c:pt idx="5">
                  <c:v>76.2</c:v>
                </c:pt>
                <c:pt idx="6">
                  <c:v>65.8</c:v>
                </c:pt>
                <c:pt idx="7">
                  <c:v>61</c:v>
                </c:pt>
                <c:pt idx="8">
                  <c:v>65.8</c:v>
                </c:pt>
                <c:pt idx="9">
                  <c:v>56.3</c:v>
                </c:pt>
                <c:pt idx="10">
                  <c:v>57.8</c:v>
                </c:pt>
                <c:pt idx="11">
                  <c:v>62.8</c:v>
                </c:pt>
                <c:pt idx="12">
                  <c:v>54.8</c:v>
                </c:pt>
                <c:pt idx="13">
                  <c:v>67.8</c:v>
                </c:pt>
                <c:pt idx="14">
                  <c:v>58.6</c:v>
                </c:pt>
                <c:pt idx="15">
                  <c:v>57.5</c:v>
                </c:pt>
                <c:pt idx="16">
                  <c:v>63.1</c:v>
                </c:pt>
                <c:pt idx="17">
                  <c:v>56.2</c:v>
                </c:pt>
                <c:pt idx="18">
                  <c:v>54.3</c:v>
                </c:pt>
                <c:pt idx="19">
                  <c:v>74.099999999999994</c:v>
                </c:pt>
                <c:pt idx="20">
                  <c:v>68.5</c:v>
                </c:pt>
                <c:pt idx="21">
                  <c:v>53.4</c:v>
                </c:pt>
                <c:pt idx="22">
                  <c:v>69</c:v>
                </c:pt>
                <c:pt idx="23">
                  <c:v>62.4</c:v>
                </c:pt>
                <c:pt idx="24">
                  <c:v>63.8</c:v>
                </c:pt>
                <c:pt idx="25">
                  <c:v>56.8</c:v>
                </c:pt>
                <c:pt idx="26">
                  <c:v>68.099999999999994</c:v>
                </c:pt>
                <c:pt idx="27">
                  <c:v>74</c:v>
                </c:pt>
                <c:pt idx="28">
                  <c:v>71.400000000000006</c:v>
                </c:pt>
              </c:numCache>
            </c:numRef>
          </c:val>
        </c:ser>
        <c:ser>
          <c:idx val="1"/>
          <c:order val="1"/>
          <c:tx>
            <c:strRef>
              <c:f>'Figure 1'!$F$10:$F$11</c:f>
              <c:strCache>
                <c:ptCount val="1"/>
                <c:pt idx="0">
                  <c:v>Rata de ocupare a forței de muncă(%) 2012</c:v>
                </c:pt>
              </c:strCache>
            </c:strRef>
          </c:tx>
          <c:invertIfNegative val="0"/>
          <c:cat>
            <c:strRef>
              <c:f>'Figure 1'!$D$12:$D$40</c:f>
              <c:strCache>
                <c:ptCount val="29"/>
                <c:pt idx="0">
                  <c:v>EU-27</c:v>
                </c:pt>
                <c:pt idx="1">
                  <c:v>Zona euro </c:v>
                </c:pt>
                <c:pt idx="2">
                  <c:v>Belgia</c:v>
                </c:pt>
                <c:pt idx="3">
                  <c:v>Bulgaria</c:v>
                </c:pt>
                <c:pt idx="4">
                  <c:v>Republica Cehă</c:v>
                </c:pt>
                <c:pt idx="5">
                  <c:v>Danemarca</c:v>
                </c:pt>
                <c:pt idx="6">
                  <c:v>Germania</c:v>
                </c:pt>
                <c:pt idx="7">
                  <c:v>Estonia</c:v>
                </c:pt>
                <c:pt idx="8">
                  <c:v>Irlanda</c:v>
                </c:pt>
                <c:pt idx="9">
                  <c:v>Grecia</c:v>
                </c:pt>
                <c:pt idx="10">
                  <c:v>Spania</c:v>
                </c:pt>
                <c:pt idx="11">
                  <c:v>Franța</c:v>
                </c:pt>
                <c:pt idx="12">
                  <c:v>Italia</c:v>
                </c:pt>
                <c:pt idx="13">
                  <c:v>Cipru</c:v>
                </c:pt>
                <c:pt idx="14">
                  <c:v>Letonia</c:v>
                </c:pt>
                <c:pt idx="15">
                  <c:v>Lituania</c:v>
                </c:pt>
                <c:pt idx="16">
                  <c:v>Luxemburg</c:v>
                </c:pt>
                <c:pt idx="17">
                  <c:v>Ungaria</c:v>
                </c:pt>
                <c:pt idx="18">
                  <c:v>Malta</c:v>
                </c:pt>
                <c:pt idx="19">
                  <c:v>Olanda</c:v>
                </c:pt>
                <c:pt idx="20">
                  <c:v>Austria </c:v>
                </c:pt>
                <c:pt idx="21">
                  <c:v>Polonia</c:v>
                </c:pt>
                <c:pt idx="22">
                  <c:v>Portugalia</c:v>
                </c:pt>
                <c:pt idx="23">
                  <c:v>Romania </c:v>
                </c:pt>
                <c:pt idx="24">
                  <c:v>Slovenia</c:v>
                </c:pt>
                <c:pt idx="25">
                  <c:v>Slovacia</c:v>
                </c:pt>
                <c:pt idx="26">
                  <c:v>Finlanda</c:v>
                </c:pt>
                <c:pt idx="27">
                  <c:v>Suedia</c:v>
                </c:pt>
                <c:pt idx="28">
                  <c:v>Marea Britanie</c:v>
                </c:pt>
              </c:strCache>
            </c:strRef>
          </c:cat>
          <c:val>
            <c:numRef>
              <c:f>'Figure 1'!$F$12:$F$40</c:f>
              <c:numCache>
                <c:formatCode>General</c:formatCode>
                <c:ptCount val="29"/>
                <c:pt idx="0">
                  <c:v>64.2</c:v>
                </c:pt>
                <c:pt idx="1">
                  <c:v>63.8</c:v>
                </c:pt>
                <c:pt idx="2">
                  <c:v>61.8</c:v>
                </c:pt>
                <c:pt idx="3">
                  <c:v>58.8</c:v>
                </c:pt>
                <c:pt idx="4">
                  <c:v>66.5</c:v>
                </c:pt>
                <c:pt idx="5">
                  <c:v>72.599999999999994</c:v>
                </c:pt>
                <c:pt idx="6">
                  <c:v>72.8</c:v>
                </c:pt>
                <c:pt idx="7">
                  <c:v>67.099999999999994</c:v>
                </c:pt>
                <c:pt idx="8">
                  <c:v>58.8</c:v>
                </c:pt>
                <c:pt idx="9">
                  <c:v>51.3</c:v>
                </c:pt>
                <c:pt idx="10">
                  <c:v>55.4</c:v>
                </c:pt>
                <c:pt idx="11">
                  <c:v>63.9</c:v>
                </c:pt>
                <c:pt idx="12">
                  <c:v>56.8</c:v>
                </c:pt>
                <c:pt idx="13">
                  <c:v>64.599999999999994</c:v>
                </c:pt>
                <c:pt idx="14">
                  <c:v>63.1</c:v>
                </c:pt>
                <c:pt idx="15">
                  <c:v>62.2</c:v>
                </c:pt>
                <c:pt idx="16">
                  <c:v>65.8</c:v>
                </c:pt>
                <c:pt idx="17">
                  <c:v>57.2</c:v>
                </c:pt>
                <c:pt idx="18">
                  <c:v>59</c:v>
                </c:pt>
                <c:pt idx="19">
                  <c:v>75.099999999999994</c:v>
                </c:pt>
                <c:pt idx="20">
                  <c:v>72.5</c:v>
                </c:pt>
                <c:pt idx="21">
                  <c:v>59.7</c:v>
                </c:pt>
                <c:pt idx="22">
                  <c:v>61.8</c:v>
                </c:pt>
                <c:pt idx="23">
                  <c:v>59.5</c:v>
                </c:pt>
                <c:pt idx="24">
                  <c:v>64.099999999999994</c:v>
                </c:pt>
                <c:pt idx="25">
                  <c:v>59.7</c:v>
                </c:pt>
                <c:pt idx="26">
                  <c:v>69.400000000000006</c:v>
                </c:pt>
                <c:pt idx="27">
                  <c:v>73.8</c:v>
                </c:pt>
                <c:pt idx="28">
                  <c:v>70.099999999999994</c:v>
                </c:pt>
              </c:numCache>
            </c:numRef>
          </c:val>
        </c:ser>
        <c:ser>
          <c:idx val="2"/>
          <c:order val="2"/>
          <c:tx>
            <c:strRef>
              <c:f>'Figure 1'!$G$10:$G$11</c:f>
              <c:strCache>
                <c:ptCount val="1"/>
                <c:pt idx="0">
                  <c:v>Rata de ocupare a forței de muncă(%) 2012</c:v>
                </c:pt>
              </c:strCache>
            </c:strRef>
          </c:tx>
          <c:invertIfNegative val="0"/>
          <c:cat>
            <c:strRef>
              <c:f>'Figure 1'!$D$12:$D$40</c:f>
              <c:strCache>
                <c:ptCount val="29"/>
                <c:pt idx="0">
                  <c:v>EU-27</c:v>
                </c:pt>
                <c:pt idx="1">
                  <c:v>Zona euro </c:v>
                </c:pt>
                <c:pt idx="2">
                  <c:v>Belgia</c:v>
                </c:pt>
                <c:pt idx="3">
                  <c:v>Bulgaria</c:v>
                </c:pt>
                <c:pt idx="4">
                  <c:v>Republica Cehă</c:v>
                </c:pt>
                <c:pt idx="5">
                  <c:v>Danemarca</c:v>
                </c:pt>
                <c:pt idx="6">
                  <c:v>Germania</c:v>
                </c:pt>
                <c:pt idx="7">
                  <c:v>Estonia</c:v>
                </c:pt>
                <c:pt idx="8">
                  <c:v>Irlanda</c:v>
                </c:pt>
                <c:pt idx="9">
                  <c:v>Grecia</c:v>
                </c:pt>
                <c:pt idx="10">
                  <c:v>Spania</c:v>
                </c:pt>
                <c:pt idx="11">
                  <c:v>Franța</c:v>
                </c:pt>
                <c:pt idx="12">
                  <c:v>Italia</c:v>
                </c:pt>
                <c:pt idx="13">
                  <c:v>Cipru</c:v>
                </c:pt>
                <c:pt idx="14">
                  <c:v>Letonia</c:v>
                </c:pt>
                <c:pt idx="15">
                  <c:v>Lituania</c:v>
                </c:pt>
                <c:pt idx="16">
                  <c:v>Luxemburg</c:v>
                </c:pt>
                <c:pt idx="17">
                  <c:v>Ungaria</c:v>
                </c:pt>
                <c:pt idx="18">
                  <c:v>Malta</c:v>
                </c:pt>
                <c:pt idx="19">
                  <c:v>Olanda</c:v>
                </c:pt>
                <c:pt idx="20">
                  <c:v>Austria </c:v>
                </c:pt>
                <c:pt idx="21">
                  <c:v>Polonia</c:v>
                </c:pt>
                <c:pt idx="22">
                  <c:v>Portugalia</c:v>
                </c:pt>
                <c:pt idx="23">
                  <c:v>Romania </c:v>
                </c:pt>
                <c:pt idx="24">
                  <c:v>Slovenia</c:v>
                </c:pt>
                <c:pt idx="25">
                  <c:v>Slovacia</c:v>
                </c:pt>
                <c:pt idx="26">
                  <c:v>Finlanda</c:v>
                </c:pt>
                <c:pt idx="27">
                  <c:v>Suedia</c:v>
                </c:pt>
                <c:pt idx="28">
                  <c:v>Marea Britanie</c:v>
                </c:pt>
              </c:strCache>
            </c:strRef>
          </c:cat>
          <c:val>
            <c:numRef>
              <c:f>'Figure 1'!$G$12:$G$40</c:f>
              <c:numCache>
                <c:formatCode>General</c:formatCode>
                <c:ptCount val="29"/>
              </c:numCache>
            </c:numRef>
          </c:val>
        </c:ser>
        <c:ser>
          <c:idx val="3"/>
          <c:order val="3"/>
          <c:tx>
            <c:strRef>
              <c:f>'Figure 1'!$H$10:$H$11</c:f>
              <c:strCache>
                <c:ptCount val="1"/>
                <c:pt idx="0">
                  <c:v>Rata de ocupare a forței de muncă(%) 2012</c:v>
                </c:pt>
              </c:strCache>
            </c:strRef>
          </c:tx>
          <c:invertIfNegative val="0"/>
          <c:cat>
            <c:strRef>
              <c:f>'Figure 1'!$D$12:$D$40</c:f>
              <c:strCache>
                <c:ptCount val="29"/>
                <c:pt idx="0">
                  <c:v>EU-27</c:v>
                </c:pt>
                <c:pt idx="1">
                  <c:v>Zona euro </c:v>
                </c:pt>
                <c:pt idx="2">
                  <c:v>Belgia</c:v>
                </c:pt>
                <c:pt idx="3">
                  <c:v>Bulgaria</c:v>
                </c:pt>
                <c:pt idx="4">
                  <c:v>Republica Cehă</c:v>
                </c:pt>
                <c:pt idx="5">
                  <c:v>Danemarca</c:v>
                </c:pt>
                <c:pt idx="6">
                  <c:v>Germania</c:v>
                </c:pt>
                <c:pt idx="7">
                  <c:v>Estonia</c:v>
                </c:pt>
                <c:pt idx="8">
                  <c:v>Irlanda</c:v>
                </c:pt>
                <c:pt idx="9">
                  <c:v>Grecia</c:v>
                </c:pt>
                <c:pt idx="10">
                  <c:v>Spania</c:v>
                </c:pt>
                <c:pt idx="11">
                  <c:v>Franța</c:v>
                </c:pt>
                <c:pt idx="12">
                  <c:v>Italia</c:v>
                </c:pt>
                <c:pt idx="13">
                  <c:v>Cipru</c:v>
                </c:pt>
                <c:pt idx="14">
                  <c:v>Letonia</c:v>
                </c:pt>
                <c:pt idx="15">
                  <c:v>Lituania</c:v>
                </c:pt>
                <c:pt idx="16">
                  <c:v>Luxemburg</c:v>
                </c:pt>
                <c:pt idx="17">
                  <c:v>Ungaria</c:v>
                </c:pt>
                <c:pt idx="18">
                  <c:v>Malta</c:v>
                </c:pt>
                <c:pt idx="19">
                  <c:v>Olanda</c:v>
                </c:pt>
                <c:pt idx="20">
                  <c:v>Austria </c:v>
                </c:pt>
                <c:pt idx="21">
                  <c:v>Polonia</c:v>
                </c:pt>
                <c:pt idx="22">
                  <c:v>Portugalia</c:v>
                </c:pt>
                <c:pt idx="23">
                  <c:v>Romania </c:v>
                </c:pt>
                <c:pt idx="24">
                  <c:v>Slovenia</c:v>
                </c:pt>
                <c:pt idx="25">
                  <c:v>Slovacia</c:v>
                </c:pt>
                <c:pt idx="26">
                  <c:v>Finlanda</c:v>
                </c:pt>
                <c:pt idx="27">
                  <c:v>Suedia</c:v>
                </c:pt>
                <c:pt idx="28">
                  <c:v>Marea Britanie</c:v>
                </c:pt>
              </c:strCache>
            </c:strRef>
          </c:cat>
          <c:val>
            <c:numRef>
              <c:f>'Figure 1'!$H$12:$H$40</c:f>
              <c:numCache>
                <c:formatCode>General</c:formatCode>
                <c:ptCount val="29"/>
              </c:numCache>
            </c:numRef>
          </c:val>
        </c:ser>
        <c:ser>
          <c:idx val="4"/>
          <c:order val="4"/>
          <c:tx>
            <c:strRef>
              <c:f>'Figure 1'!$I$10:$I$11</c:f>
              <c:strCache>
                <c:ptCount val="1"/>
                <c:pt idx="0">
                  <c:v>Rata de ocupare a forței de muncă(%) 2012</c:v>
                </c:pt>
              </c:strCache>
            </c:strRef>
          </c:tx>
          <c:invertIfNegative val="0"/>
          <c:cat>
            <c:strRef>
              <c:f>'Figure 1'!$D$12:$D$40</c:f>
              <c:strCache>
                <c:ptCount val="29"/>
                <c:pt idx="0">
                  <c:v>EU-27</c:v>
                </c:pt>
                <c:pt idx="1">
                  <c:v>Zona euro </c:v>
                </c:pt>
                <c:pt idx="2">
                  <c:v>Belgia</c:v>
                </c:pt>
                <c:pt idx="3">
                  <c:v>Bulgaria</c:v>
                </c:pt>
                <c:pt idx="4">
                  <c:v>Republica Cehă</c:v>
                </c:pt>
                <c:pt idx="5">
                  <c:v>Danemarca</c:v>
                </c:pt>
                <c:pt idx="6">
                  <c:v>Germania</c:v>
                </c:pt>
                <c:pt idx="7">
                  <c:v>Estonia</c:v>
                </c:pt>
                <c:pt idx="8">
                  <c:v>Irlanda</c:v>
                </c:pt>
                <c:pt idx="9">
                  <c:v>Grecia</c:v>
                </c:pt>
                <c:pt idx="10">
                  <c:v>Spania</c:v>
                </c:pt>
                <c:pt idx="11">
                  <c:v>Franța</c:v>
                </c:pt>
                <c:pt idx="12">
                  <c:v>Italia</c:v>
                </c:pt>
                <c:pt idx="13">
                  <c:v>Cipru</c:v>
                </c:pt>
                <c:pt idx="14">
                  <c:v>Letonia</c:v>
                </c:pt>
                <c:pt idx="15">
                  <c:v>Lituania</c:v>
                </c:pt>
                <c:pt idx="16">
                  <c:v>Luxemburg</c:v>
                </c:pt>
                <c:pt idx="17">
                  <c:v>Ungaria</c:v>
                </c:pt>
                <c:pt idx="18">
                  <c:v>Malta</c:v>
                </c:pt>
                <c:pt idx="19">
                  <c:v>Olanda</c:v>
                </c:pt>
                <c:pt idx="20">
                  <c:v>Austria </c:v>
                </c:pt>
                <c:pt idx="21">
                  <c:v>Polonia</c:v>
                </c:pt>
                <c:pt idx="22">
                  <c:v>Portugalia</c:v>
                </c:pt>
                <c:pt idx="23">
                  <c:v>Romania </c:v>
                </c:pt>
                <c:pt idx="24">
                  <c:v>Slovenia</c:v>
                </c:pt>
                <c:pt idx="25">
                  <c:v>Slovacia</c:v>
                </c:pt>
                <c:pt idx="26">
                  <c:v>Finlanda</c:v>
                </c:pt>
                <c:pt idx="27">
                  <c:v>Suedia</c:v>
                </c:pt>
                <c:pt idx="28">
                  <c:v>Marea Britanie</c:v>
                </c:pt>
              </c:strCache>
            </c:strRef>
          </c:cat>
          <c:val>
            <c:numRef>
              <c:f>'Figure 1'!$I$12:$I$40</c:f>
              <c:numCache>
                <c:formatCode>General</c:formatCode>
                <c:ptCount val="29"/>
              </c:numCache>
            </c:numRef>
          </c:val>
        </c:ser>
        <c:dLbls>
          <c:showLegendKey val="0"/>
          <c:showVal val="0"/>
          <c:showCatName val="0"/>
          <c:showSerName val="0"/>
          <c:showPercent val="0"/>
          <c:showBubbleSize val="0"/>
        </c:dLbls>
        <c:gapWidth val="150"/>
        <c:axId val="71038464"/>
        <c:axId val="71040000"/>
      </c:barChart>
      <c:catAx>
        <c:axId val="71038464"/>
        <c:scaling>
          <c:orientation val="minMax"/>
        </c:scaling>
        <c:delete val="0"/>
        <c:axPos val="b"/>
        <c:majorTickMark val="out"/>
        <c:minorTickMark val="none"/>
        <c:tickLblPos val="nextTo"/>
        <c:txPr>
          <a:bodyPr/>
          <a:lstStyle/>
          <a:p>
            <a:pPr>
              <a:defRPr sz="800">
                <a:latin typeface="Times New Roman" pitchFamily="18" charset="0"/>
                <a:cs typeface="Times New Roman" pitchFamily="18" charset="0"/>
              </a:defRPr>
            </a:pPr>
            <a:endParaRPr lang="ro-RO"/>
          </a:p>
        </c:txPr>
        <c:crossAx val="71040000"/>
        <c:crosses val="autoZero"/>
        <c:auto val="1"/>
        <c:lblAlgn val="ctr"/>
        <c:lblOffset val="100"/>
        <c:noMultiLvlLbl val="0"/>
      </c:catAx>
      <c:valAx>
        <c:axId val="71040000"/>
        <c:scaling>
          <c:orientation val="minMax"/>
        </c:scaling>
        <c:delete val="0"/>
        <c:axPos val="l"/>
        <c:majorGridlines/>
        <c:numFmt formatCode="General" sourceLinked="1"/>
        <c:majorTickMark val="out"/>
        <c:minorTickMark val="none"/>
        <c:tickLblPos val="nextTo"/>
        <c:crossAx val="71038464"/>
        <c:crosses val="autoZero"/>
        <c:crossBetween val="between"/>
      </c:valAx>
    </c:plotArea>
    <c:legend>
      <c:legendPos val="r"/>
      <c:legendEntry>
        <c:idx val="2"/>
        <c:delete val="1"/>
      </c:legendEntry>
      <c:legendEntry>
        <c:idx val="3"/>
        <c:delete val="1"/>
      </c:legendEntry>
      <c:legendEntry>
        <c:idx val="4"/>
        <c:delete val="1"/>
      </c:legendEntry>
      <c:overlay val="0"/>
      <c:txPr>
        <a:bodyPr/>
        <a:lstStyle/>
        <a:p>
          <a:pPr>
            <a:defRPr sz="900">
              <a:latin typeface="Times New Roman" pitchFamily="18" charset="0"/>
              <a:cs typeface="Times New Roman" pitchFamily="18" charset="0"/>
            </a:defRPr>
          </a:pPr>
          <a:endParaRPr lang="ro-RO"/>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Data!$B$9:$B$10</c:f>
              <c:strCache>
                <c:ptCount val="1"/>
                <c:pt idx="0">
                  <c:v>Dispersia ratelor șomajului la nivel regional NUTS 3  2001</c:v>
                </c:pt>
              </c:strCache>
            </c:strRef>
          </c:tx>
          <c:invertIfNegative val="0"/>
          <c:cat>
            <c:strRef>
              <c:f>Data!$A$11:$A$39</c:f>
              <c:strCache>
                <c:ptCount val="29"/>
                <c:pt idx="0">
                  <c:v>EU-27</c:v>
                </c:pt>
                <c:pt idx="1">
                  <c:v>Zona euro </c:v>
                </c:pt>
                <c:pt idx="2">
                  <c:v>Belgia</c:v>
                </c:pt>
                <c:pt idx="3">
                  <c:v>Bulgaria</c:v>
                </c:pt>
                <c:pt idx="4">
                  <c:v>Republica Cehă</c:v>
                </c:pt>
                <c:pt idx="5">
                  <c:v>Danemarca</c:v>
                </c:pt>
                <c:pt idx="6">
                  <c:v>Germania</c:v>
                </c:pt>
                <c:pt idx="7">
                  <c:v>Estonia</c:v>
                </c:pt>
                <c:pt idx="8">
                  <c:v>Irlanda</c:v>
                </c:pt>
                <c:pt idx="9">
                  <c:v>Grecia</c:v>
                </c:pt>
                <c:pt idx="10">
                  <c:v>Spania</c:v>
                </c:pt>
                <c:pt idx="11">
                  <c:v>Franța</c:v>
                </c:pt>
                <c:pt idx="12">
                  <c:v>Italia</c:v>
                </c:pt>
                <c:pt idx="13">
                  <c:v>Cipru</c:v>
                </c:pt>
                <c:pt idx="14">
                  <c:v>Letonia</c:v>
                </c:pt>
                <c:pt idx="15">
                  <c:v>Lituania</c:v>
                </c:pt>
                <c:pt idx="16">
                  <c:v>Luxemburg</c:v>
                </c:pt>
                <c:pt idx="17">
                  <c:v>Ungaria</c:v>
                </c:pt>
                <c:pt idx="18">
                  <c:v>Malta</c:v>
                </c:pt>
                <c:pt idx="19">
                  <c:v>Olanda</c:v>
                </c:pt>
                <c:pt idx="20">
                  <c:v>Austria </c:v>
                </c:pt>
                <c:pt idx="21">
                  <c:v>Polonia</c:v>
                </c:pt>
                <c:pt idx="22">
                  <c:v>Portugalia</c:v>
                </c:pt>
                <c:pt idx="23">
                  <c:v>Romania </c:v>
                </c:pt>
                <c:pt idx="24">
                  <c:v>Slovenia</c:v>
                </c:pt>
                <c:pt idx="25">
                  <c:v>Slovacia</c:v>
                </c:pt>
                <c:pt idx="26">
                  <c:v>Finlanda</c:v>
                </c:pt>
                <c:pt idx="27">
                  <c:v>Suedia</c:v>
                </c:pt>
                <c:pt idx="28">
                  <c:v>Marea Britanie</c:v>
                </c:pt>
              </c:strCache>
            </c:strRef>
          </c:cat>
          <c:val>
            <c:numRef>
              <c:f>Data!$B$11:$B$39</c:f>
              <c:numCache>
                <c:formatCode>#,##0.0</c:formatCode>
                <c:ptCount val="29"/>
                <c:pt idx="0">
                  <c:v>67.2</c:v>
                </c:pt>
                <c:pt idx="1">
                  <c:v>65.2</c:v>
                </c:pt>
                <c:pt idx="2">
                  <c:v>59.6</c:v>
                </c:pt>
                <c:pt idx="3">
                  <c:v>20.100000000000001</c:v>
                </c:pt>
                <c:pt idx="4">
                  <c:v>43.4</c:v>
                </c:pt>
                <c:pt idx="5" formatCode="General">
                  <c:v>0</c:v>
                </c:pt>
                <c:pt idx="6">
                  <c:v>64.099999999999994</c:v>
                </c:pt>
                <c:pt idx="7" formatCode="General">
                  <c:v>0</c:v>
                </c:pt>
                <c:pt idx="8" formatCode="General">
                  <c:v>0</c:v>
                </c:pt>
                <c:pt idx="9">
                  <c:v>16.5</c:v>
                </c:pt>
                <c:pt idx="10">
                  <c:v>36.9</c:v>
                </c:pt>
                <c:pt idx="11">
                  <c:v>41.8</c:v>
                </c:pt>
                <c:pt idx="12">
                  <c:v>66.900000000000006</c:v>
                </c:pt>
                <c:pt idx="13" formatCode="General">
                  <c:v>0</c:v>
                </c:pt>
                <c:pt idx="14" formatCode="General">
                  <c:v>0</c:v>
                </c:pt>
                <c:pt idx="15" formatCode="General">
                  <c:v>0</c:v>
                </c:pt>
                <c:pt idx="16" formatCode="General">
                  <c:v>0</c:v>
                </c:pt>
                <c:pt idx="17">
                  <c:v>31</c:v>
                </c:pt>
                <c:pt idx="18" formatCode="General">
                  <c:v>0</c:v>
                </c:pt>
                <c:pt idx="19">
                  <c:v>24.5</c:v>
                </c:pt>
                <c:pt idx="20">
                  <c:v>31.3</c:v>
                </c:pt>
                <c:pt idx="21">
                  <c:v>18.399999999999999</c:v>
                </c:pt>
                <c:pt idx="22">
                  <c:v>23.9</c:v>
                </c:pt>
                <c:pt idx="23">
                  <c:v>21.6</c:v>
                </c:pt>
                <c:pt idx="24" formatCode="General">
                  <c:v>0</c:v>
                </c:pt>
                <c:pt idx="25">
                  <c:v>26</c:v>
                </c:pt>
                <c:pt idx="26">
                  <c:v>9.8000000000000007</c:v>
                </c:pt>
                <c:pt idx="27">
                  <c:v>25.4</c:v>
                </c:pt>
                <c:pt idx="28">
                  <c:v>34.700000000000003</c:v>
                </c:pt>
              </c:numCache>
            </c:numRef>
          </c:val>
        </c:ser>
        <c:ser>
          <c:idx val="1"/>
          <c:order val="1"/>
          <c:tx>
            <c:strRef>
              <c:f>Data!$C$9:$C$10</c:f>
              <c:strCache>
                <c:ptCount val="1"/>
                <c:pt idx="0">
                  <c:v>Dispersia ratelor șomajului la nivel regional NUTS 3  2008</c:v>
                </c:pt>
              </c:strCache>
            </c:strRef>
          </c:tx>
          <c:invertIfNegative val="0"/>
          <c:cat>
            <c:strRef>
              <c:f>Data!$A$11:$A$39</c:f>
              <c:strCache>
                <c:ptCount val="29"/>
                <c:pt idx="0">
                  <c:v>EU-27</c:v>
                </c:pt>
                <c:pt idx="1">
                  <c:v>Zona euro </c:v>
                </c:pt>
                <c:pt idx="2">
                  <c:v>Belgia</c:v>
                </c:pt>
                <c:pt idx="3">
                  <c:v>Bulgaria</c:v>
                </c:pt>
                <c:pt idx="4">
                  <c:v>Republica Cehă</c:v>
                </c:pt>
                <c:pt idx="5">
                  <c:v>Danemarca</c:v>
                </c:pt>
                <c:pt idx="6">
                  <c:v>Germania</c:v>
                </c:pt>
                <c:pt idx="7">
                  <c:v>Estonia</c:v>
                </c:pt>
                <c:pt idx="8">
                  <c:v>Irlanda</c:v>
                </c:pt>
                <c:pt idx="9">
                  <c:v>Grecia</c:v>
                </c:pt>
                <c:pt idx="10">
                  <c:v>Spania</c:v>
                </c:pt>
                <c:pt idx="11">
                  <c:v>Franța</c:v>
                </c:pt>
                <c:pt idx="12">
                  <c:v>Italia</c:v>
                </c:pt>
                <c:pt idx="13">
                  <c:v>Cipru</c:v>
                </c:pt>
                <c:pt idx="14">
                  <c:v>Letonia</c:v>
                </c:pt>
                <c:pt idx="15">
                  <c:v>Lituania</c:v>
                </c:pt>
                <c:pt idx="16">
                  <c:v>Luxemburg</c:v>
                </c:pt>
                <c:pt idx="17">
                  <c:v>Ungaria</c:v>
                </c:pt>
                <c:pt idx="18">
                  <c:v>Malta</c:v>
                </c:pt>
                <c:pt idx="19">
                  <c:v>Olanda</c:v>
                </c:pt>
                <c:pt idx="20">
                  <c:v>Austria </c:v>
                </c:pt>
                <c:pt idx="21">
                  <c:v>Polonia</c:v>
                </c:pt>
                <c:pt idx="22">
                  <c:v>Portugalia</c:v>
                </c:pt>
                <c:pt idx="23">
                  <c:v>Romania </c:v>
                </c:pt>
                <c:pt idx="24">
                  <c:v>Slovenia</c:v>
                </c:pt>
                <c:pt idx="25">
                  <c:v>Slovacia</c:v>
                </c:pt>
                <c:pt idx="26">
                  <c:v>Finlanda</c:v>
                </c:pt>
                <c:pt idx="27">
                  <c:v>Suedia</c:v>
                </c:pt>
                <c:pt idx="28">
                  <c:v>Marea Britanie</c:v>
                </c:pt>
              </c:strCache>
            </c:strRef>
          </c:cat>
          <c:val>
            <c:numRef>
              <c:f>Data!$C$11:$C$39</c:f>
              <c:numCache>
                <c:formatCode>#,##0.0</c:formatCode>
                <c:ptCount val="29"/>
                <c:pt idx="0">
                  <c:v>47</c:v>
                </c:pt>
                <c:pt idx="1">
                  <c:v>48.8</c:v>
                </c:pt>
                <c:pt idx="2">
                  <c:v>59.9</c:v>
                </c:pt>
                <c:pt idx="3">
                  <c:v>38.6</c:v>
                </c:pt>
                <c:pt idx="4">
                  <c:v>44.2</c:v>
                </c:pt>
                <c:pt idx="5">
                  <c:v>5.4</c:v>
                </c:pt>
                <c:pt idx="6">
                  <c:v>44.8</c:v>
                </c:pt>
                <c:pt idx="7" formatCode="General">
                  <c:v>0</c:v>
                </c:pt>
                <c:pt idx="8" formatCode="General">
                  <c:v>0</c:v>
                </c:pt>
                <c:pt idx="9">
                  <c:v>18.5</c:v>
                </c:pt>
                <c:pt idx="10">
                  <c:v>33.300000000000004</c:v>
                </c:pt>
                <c:pt idx="11">
                  <c:v>36</c:v>
                </c:pt>
                <c:pt idx="12">
                  <c:v>50.6</c:v>
                </c:pt>
                <c:pt idx="13" formatCode="General">
                  <c:v>0</c:v>
                </c:pt>
                <c:pt idx="14" formatCode="General">
                  <c:v>0</c:v>
                </c:pt>
                <c:pt idx="15" formatCode="General">
                  <c:v>0</c:v>
                </c:pt>
                <c:pt idx="16" formatCode="General">
                  <c:v>0</c:v>
                </c:pt>
                <c:pt idx="17">
                  <c:v>42.5</c:v>
                </c:pt>
                <c:pt idx="18" formatCode="General">
                  <c:v>0</c:v>
                </c:pt>
                <c:pt idx="19">
                  <c:v>16.100000000000001</c:v>
                </c:pt>
                <c:pt idx="20">
                  <c:v>39.6</c:v>
                </c:pt>
                <c:pt idx="21">
                  <c:v>17.899999999999999</c:v>
                </c:pt>
                <c:pt idx="22">
                  <c:v>18.2</c:v>
                </c:pt>
                <c:pt idx="23">
                  <c:v>28.3</c:v>
                </c:pt>
                <c:pt idx="24" formatCode="General">
                  <c:v>0</c:v>
                </c:pt>
                <c:pt idx="25">
                  <c:v>40.700000000000003</c:v>
                </c:pt>
                <c:pt idx="26">
                  <c:v>10</c:v>
                </c:pt>
                <c:pt idx="27">
                  <c:v>13.4</c:v>
                </c:pt>
                <c:pt idx="28">
                  <c:v>28.3</c:v>
                </c:pt>
              </c:numCache>
            </c:numRef>
          </c:val>
        </c:ser>
        <c:ser>
          <c:idx val="2"/>
          <c:order val="2"/>
          <c:tx>
            <c:strRef>
              <c:f>Data!$D$9:$D$10</c:f>
              <c:strCache>
                <c:ptCount val="1"/>
                <c:pt idx="0">
                  <c:v>Dispersia ratelor șomajului la nivel regional NUTS 3  2012</c:v>
                </c:pt>
              </c:strCache>
            </c:strRef>
          </c:tx>
          <c:invertIfNegative val="0"/>
          <c:cat>
            <c:strRef>
              <c:f>Data!$A$11:$A$39</c:f>
              <c:strCache>
                <c:ptCount val="29"/>
                <c:pt idx="0">
                  <c:v>EU-27</c:v>
                </c:pt>
                <c:pt idx="1">
                  <c:v>Zona euro </c:v>
                </c:pt>
                <c:pt idx="2">
                  <c:v>Belgia</c:v>
                </c:pt>
                <c:pt idx="3">
                  <c:v>Bulgaria</c:v>
                </c:pt>
                <c:pt idx="4">
                  <c:v>Republica Cehă</c:v>
                </c:pt>
                <c:pt idx="5">
                  <c:v>Danemarca</c:v>
                </c:pt>
                <c:pt idx="6">
                  <c:v>Germania</c:v>
                </c:pt>
                <c:pt idx="7">
                  <c:v>Estonia</c:v>
                </c:pt>
                <c:pt idx="8">
                  <c:v>Irlanda</c:v>
                </c:pt>
                <c:pt idx="9">
                  <c:v>Grecia</c:v>
                </c:pt>
                <c:pt idx="10">
                  <c:v>Spania</c:v>
                </c:pt>
                <c:pt idx="11">
                  <c:v>Franța</c:v>
                </c:pt>
                <c:pt idx="12">
                  <c:v>Italia</c:v>
                </c:pt>
                <c:pt idx="13">
                  <c:v>Cipru</c:v>
                </c:pt>
                <c:pt idx="14">
                  <c:v>Letonia</c:v>
                </c:pt>
                <c:pt idx="15">
                  <c:v>Lituania</c:v>
                </c:pt>
                <c:pt idx="16">
                  <c:v>Luxemburg</c:v>
                </c:pt>
                <c:pt idx="17">
                  <c:v>Ungaria</c:v>
                </c:pt>
                <c:pt idx="18">
                  <c:v>Malta</c:v>
                </c:pt>
                <c:pt idx="19">
                  <c:v>Olanda</c:v>
                </c:pt>
                <c:pt idx="20">
                  <c:v>Austria </c:v>
                </c:pt>
                <c:pt idx="21">
                  <c:v>Polonia</c:v>
                </c:pt>
                <c:pt idx="22">
                  <c:v>Portugalia</c:v>
                </c:pt>
                <c:pt idx="23">
                  <c:v>Romania </c:v>
                </c:pt>
                <c:pt idx="24">
                  <c:v>Slovenia</c:v>
                </c:pt>
                <c:pt idx="25">
                  <c:v>Slovacia</c:v>
                </c:pt>
                <c:pt idx="26">
                  <c:v>Finlanda</c:v>
                </c:pt>
                <c:pt idx="27">
                  <c:v>Suedia</c:v>
                </c:pt>
                <c:pt idx="28">
                  <c:v>Marea Britanie</c:v>
                </c:pt>
              </c:strCache>
            </c:strRef>
          </c:cat>
          <c:val>
            <c:numRef>
              <c:f>Data!$D$11:$D$39</c:f>
              <c:numCache>
                <c:formatCode>#,##0.0</c:formatCode>
                <c:ptCount val="29"/>
                <c:pt idx="0">
                  <c:v>63.2</c:v>
                </c:pt>
                <c:pt idx="1">
                  <c:v>68.5</c:v>
                </c:pt>
                <c:pt idx="2">
                  <c:v>57.5</c:v>
                </c:pt>
                <c:pt idx="3">
                  <c:v>27</c:v>
                </c:pt>
                <c:pt idx="4">
                  <c:v>33</c:v>
                </c:pt>
                <c:pt idx="5">
                  <c:v>9.2000000000000011</c:v>
                </c:pt>
                <c:pt idx="6">
                  <c:v>40.300000000000004</c:v>
                </c:pt>
                <c:pt idx="7" formatCode="General">
                  <c:v>0</c:v>
                </c:pt>
                <c:pt idx="8" formatCode="General">
                  <c:v>0</c:v>
                </c:pt>
                <c:pt idx="9">
                  <c:v>12</c:v>
                </c:pt>
                <c:pt idx="10">
                  <c:v>24.9</c:v>
                </c:pt>
                <c:pt idx="11">
                  <c:v>30.1</c:v>
                </c:pt>
                <c:pt idx="12">
                  <c:v>42.3</c:v>
                </c:pt>
                <c:pt idx="13" formatCode="General">
                  <c:v>0</c:v>
                </c:pt>
                <c:pt idx="14" formatCode="General">
                  <c:v>0</c:v>
                </c:pt>
                <c:pt idx="15" formatCode="General">
                  <c:v>0</c:v>
                </c:pt>
                <c:pt idx="16" formatCode="General">
                  <c:v>0</c:v>
                </c:pt>
                <c:pt idx="17">
                  <c:v>24.5</c:v>
                </c:pt>
                <c:pt idx="18" formatCode="General">
                  <c:v>0</c:v>
                </c:pt>
                <c:pt idx="19">
                  <c:v>14</c:v>
                </c:pt>
                <c:pt idx="20">
                  <c:v>44.2</c:v>
                </c:pt>
                <c:pt idx="21">
                  <c:v>15</c:v>
                </c:pt>
                <c:pt idx="22">
                  <c:v>13.4</c:v>
                </c:pt>
                <c:pt idx="23">
                  <c:v>34.300000000000004</c:v>
                </c:pt>
                <c:pt idx="24" formatCode="General">
                  <c:v>0</c:v>
                </c:pt>
                <c:pt idx="25">
                  <c:v>31.3</c:v>
                </c:pt>
                <c:pt idx="26">
                  <c:v>16.7</c:v>
                </c:pt>
                <c:pt idx="27">
                  <c:v>10.8</c:v>
                </c:pt>
                <c:pt idx="28">
                  <c:v>23.2</c:v>
                </c:pt>
              </c:numCache>
            </c:numRef>
          </c:val>
        </c:ser>
        <c:dLbls>
          <c:showLegendKey val="0"/>
          <c:showVal val="0"/>
          <c:showCatName val="0"/>
          <c:showSerName val="0"/>
          <c:showPercent val="0"/>
          <c:showBubbleSize val="0"/>
        </c:dLbls>
        <c:gapWidth val="150"/>
        <c:axId val="71201152"/>
        <c:axId val="71202688"/>
      </c:barChart>
      <c:catAx>
        <c:axId val="71201152"/>
        <c:scaling>
          <c:orientation val="minMax"/>
        </c:scaling>
        <c:delete val="0"/>
        <c:axPos val="b"/>
        <c:majorTickMark val="out"/>
        <c:minorTickMark val="none"/>
        <c:tickLblPos val="nextTo"/>
        <c:crossAx val="71202688"/>
        <c:crosses val="autoZero"/>
        <c:auto val="1"/>
        <c:lblAlgn val="ctr"/>
        <c:lblOffset val="100"/>
        <c:noMultiLvlLbl val="0"/>
      </c:catAx>
      <c:valAx>
        <c:axId val="71202688"/>
        <c:scaling>
          <c:orientation val="minMax"/>
        </c:scaling>
        <c:delete val="0"/>
        <c:axPos val="l"/>
        <c:majorGridlines/>
        <c:numFmt formatCode="#,##0.0" sourceLinked="1"/>
        <c:majorTickMark val="out"/>
        <c:minorTickMark val="none"/>
        <c:tickLblPos val="nextTo"/>
        <c:crossAx val="71201152"/>
        <c:crosses val="autoZero"/>
        <c:crossBetween val="between"/>
      </c:valAx>
    </c:plotArea>
    <c:legend>
      <c:legendPos val="r"/>
      <c:layout>
        <c:manualLayout>
          <c:xMode val="edge"/>
          <c:yMode val="edge"/>
          <c:x val="0.63341158059467961"/>
          <c:y val="0.33651027996500676"/>
          <c:w val="0.35485133020344384"/>
          <c:h val="0.32697944006999236"/>
        </c:manualLayout>
      </c:layout>
      <c:overlay val="0"/>
    </c:legend>
    <c:plotVisOnly val="1"/>
    <c:dispBlanksAs val="gap"/>
    <c:showDLblsOverMax val="0"/>
  </c:chart>
  <c:txPr>
    <a:bodyPr/>
    <a:lstStyle/>
    <a:p>
      <a:pPr>
        <a:defRPr sz="800">
          <a:latin typeface="Times New Roman" pitchFamily="18" charset="0"/>
          <a:cs typeface="Times New Roman" pitchFamily="18" charset="0"/>
        </a:defRPr>
      </a:pPr>
      <a:endParaRPr lang="ro-R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2773</Words>
  <Characters>16087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ALS</cp:lastModifiedBy>
  <cp:revision>4</cp:revision>
  <dcterms:created xsi:type="dcterms:W3CDTF">2015-06-24T09:41:00Z</dcterms:created>
  <dcterms:modified xsi:type="dcterms:W3CDTF">2015-06-24T11:34:00Z</dcterms:modified>
</cp:coreProperties>
</file>