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4B" w:rsidRPr="00AB2B25" w:rsidRDefault="00414AFB" w:rsidP="00160747">
      <w:pPr>
        <w:autoSpaceDE w:val="0"/>
        <w:autoSpaceDN w:val="0"/>
        <w:adjustRightInd w:val="0"/>
        <w:ind w:firstLine="708"/>
        <w:jc w:val="center"/>
        <w:rPr>
          <w:b/>
        </w:rPr>
      </w:pPr>
      <w:r>
        <w:rPr>
          <w:b/>
          <w:sz w:val="28"/>
          <w:szCs w:val="28"/>
        </w:rPr>
        <w:t xml:space="preserve">EVOLUŢII ALE COMERŢULUI EXTERIOR ÎN REGIUNILE ROMÂNIEI - O ANALIZĂ SHIFT-SHARE </w:t>
      </w:r>
      <w:r w:rsidR="005D29B2">
        <w:rPr>
          <w:b/>
          <w:sz w:val="28"/>
          <w:szCs w:val="28"/>
        </w:rPr>
        <w:t>[1]</w:t>
      </w:r>
    </w:p>
    <w:p w:rsidR="0036774B" w:rsidRPr="00AB2B25" w:rsidRDefault="0036774B" w:rsidP="00160747">
      <w:pPr>
        <w:autoSpaceDE w:val="0"/>
        <w:autoSpaceDN w:val="0"/>
        <w:adjustRightInd w:val="0"/>
        <w:ind w:firstLine="708"/>
        <w:jc w:val="both"/>
      </w:pPr>
    </w:p>
    <w:p w:rsidR="007A3E80" w:rsidRPr="00AB2B25" w:rsidRDefault="007A3E80" w:rsidP="00160747">
      <w:pPr>
        <w:autoSpaceDE w:val="0"/>
        <w:autoSpaceDN w:val="0"/>
        <w:adjustRightInd w:val="0"/>
        <w:ind w:firstLine="706"/>
        <w:jc w:val="center"/>
      </w:pPr>
      <w:r w:rsidRPr="00AB2B25">
        <w:t xml:space="preserve"> </w:t>
      </w:r>
    </w:p>
    <w:p w:rsidR="0036774B" w:rsidRPr="00AB2B25" w:rsidRDefault="0036774B" w:rsidP="001B4C91">
      <w:pPr>
        <w:autoSpaceDE w:val="0"/>
        <w:autoSpaceDN w:val="0"/>
        <w:adjustRightInd w:val="0"/>
        <w:ind w:firstLine="708"/>
        <w:jc w:val="center"/>
        <w:rPr>
          <w:b/>
        </w:rPr>
      </w:pPr>
    </w:p>
    <w:p w:rsidR="0036774B" w:rsidRPr="00AB2B25" w:rsidRDefault="00414AFB" w:rsidP="00B74ACF">
      <w:pPr>
        <w:autoSpaceDE w:val="0"/>
        <w:autoSpaceDN w:val="0"/>
        <w:adjustRightInd w:val="0"/>
        <w:rPr>
          <w:b/>
        </w:rPr>
      </w:pPr>
      <w:r>
        <w:rPr>
          <w:b/>
        </w:rPr>
        <w:t>Rezumat</w:t>
      </w:r>
      <w:r w:rsidR="005D29B2">
        <w:rPr>
          <w:b/>
        </w:rPr>
        <w:t>:</w:t>
      </w:r>
    </w:p>
    <w:p w:rsidR="0036774B" w:rsidRPr="005D29B2" w:rsidRDefault="00414AFB" w:rsidP="00AB2B25">
      <w:pPr>
        <w:autoSpaceDE w:val="0"/>
        <w:autoSpaceDN w:val="0"/>
        <w:adjustRightInd w:val="0"/>
        <w:jc w:val="both"/>
        <w:rPr>
          <w:bCs/>
          <w:i/>
          <w:iCs/>
          <w:sz w:val="20"/>
          <w:szCs w:val="20"/>
        </w:rPr>
      </w:pPr>
      <w:r>
        <w:rPr>
          <w:i/>
          <w:sz w:val="20"/>
          <w:szCs w:val="20"/>
        </w:rPr>
        <w:t xml:space="preserve">Lucrarea are drept scop evaluarea evoluţiei exporturilor (totale şi pe sectoare) în regiunile României. Considerând faptul că baza de export a unei regiuni acţionează mai degrabă ca </w:t>
      </w:r>
      <w:proofErr w:type="gramStart"/>
      <w:r>
        <w:rPr>
          <w:i/>
          <w:sz w:val="20"/>
          <w:szCs w:val="20"/>
        </w:rPr>
        <w:t>un</w:t>
      </w:r>
      <w:proofErr w:type="gramEnd"/>
      <w:r>
        <w:rPr>
          <w:i/>
          <w:sz w:val="20"/>
          <w:szCs w:val="20"/>
        </w:rPr>
        <w:t xml:space="preserve"> avantaj absolut pentru dezvoltarea regională, utilizăm instrumente ale analizei shift-share pentru a investiga dimensiunea tendinţelor şi disparităţilor inter-regionale în ceea ce priveşte exporturile. Rezultatele pun în evidenţă </w:t>
      </w:r>
      <w:proofErr w:type="gramStart"/>
      <w:r>
        <w:rPr>
          <w:i/>
          <w:sz w:val="20"/>
          <w:szCs w:val="20"/>
        </w:rPr>
        <w:t>un</w:t>
      </w:r>
      <w:proofErr w:type="gramEnd"/>
      <w:r>
        <w:rPr>
          <w:i/>
          <w:sz w:val="20"/>
          <w:szCs w:val="20"/>
        </w:rPr>
        <w:t xml:space="preserve"> mix sectorial divers şi o tendinţă de creştere a diversificării, de mai bună utilizare a resurselor regionale şi modernizare tehnologică, oferind şi informaţii utile pentru politicile generale şi focalizate referitoare la dezvoltarea regional şi mediul de afaceri</w:t>
      </w:r>
      <w:r w:rsidR="0036774B" w:rsidRPr="005D29B2">
        <w:rPr>
          <w:bCs/>
          <w:i/>
          <w:iCs/>
          <w:sz w:val="20"/>
          <w:szCs w:val="20"/>
        </w:rPr>
        <w:t>.</w:t>
      </w:r>
    </w:p>
    <w:p w:rsidR="0036774B" w:rsidRPr="00AB2B25" w:rsidRDefault="0036774B" w:rsidP="001B4C91">
      <w:pPr>
        <w:ind w:firstLine="708"/>
        <w:jc w:val="both"/>
        <w:rPr>
          <w:bCs/>
          <w:iCs/>
        </w:rPr>
      </w:pPr>
    </w:p>
    <w:p w:rsidR="0036774B" w:rsidRPr="00AB2B25" w:rsidRDefault="00414AFB" w:rsidP="001B4C91">
      <w:pPr>
        <w:jc w:val="both"/>
        <w:rPr>
          <w:bCs/>
          <w:iCs/>
        </w:rPr>
      </w:pPr>
      <w:r>
        <w:rPr>
          <w:b/>
          <w:bCs/>
          <w:iCs/>
        </w:rPr>
        <w:t>Cuvinte cheie</w:t>
      </w:r>
      <w:r w:rsidR="0036774B" w:rsidRPr="00AB2B25">
        <w:rPr>
          <w:bCs/>
          <w:iCs/>
        </w:rPr>
        <w:t xml:space="preserve">: </w:t>
      </w:r>
      <w:r>
        <w:rPr>
          <w:bCs/>
          <w:iCs/>
        </w:rPr>
        <w:t>regiunile României</w:t>
      </w:r>
      <w:r w:rsidR="0036774B" w:rsidRPr="00AB2B25">
        <w:rPr>
          <w:bCs/>
          <w:iCs/>
        </w:rPr>
        <w:t xml:space="preserve">, </w:t>
      </w:r>
      <w:r>
        <w:rPr>
          <w:bCs/>
          <w:iCs/>
        </w:rPr>
        <w:t xml:space="preserve">analiză </w:t>
      </w:r>
      <w:r w:rsidR="0036774B" w:rsidRPr="00AB2B25">
        <w:rPr>
          <w:bCs/>
          <w:iCs/>
        </w:rPr>
        <w:t xml:space="preserve">shift-share, </w:t>
      </w:r>
      <w:r>
        <w:rPr>
          <w:bCs/>
          <w:iCs/>
        </w:rPr>
        <w:t>analiza comerţului exterior regional</w:t>
      </w:r>
      <w:r w:rsidR="00866F21" w:rsidRPr="00AB2B25">
        <w:rPr>
          <w:bCs/>
          <w:iCs/>
        </w:rPr>
        <w:t xml:space="preserve">, </w:t>
      </w:r>
      <w:r>
        <w:rPr>
          <w:bCs/>
          <w:iCs/>
        </w:rPr>
        <w:t xml:space="preserve">competitivitate </w:t>
      </w:r>
      <w:r w:rsidR="00866F21" w:rsidRPr="00AB2B25">
        <w:rPr>
          <w:bCs/>
          <w:iCs/>
        </w:rPr>
        <w:t>regional</w:t>
      </w:r>
      <w:r>
        <w:rPr>
          <w:bCs/>
          <w:iCs/>
        </w:rPr>
        <w:t>ă</w:t>
      </w:r>
      <w:r w:rsidR="0036774B" w:rsidRPr="00AB2B25">
        <w:rPr>
          <w:bCs/>
          <w:iCs/>
        </w:rPr>
        <w:t xml:space="preserve"> </w:t>
      </w:r>
    </w:p>
    <w:p w:rsidR="0036774B" w:rsidRPr="00AB2B25" w:rsidRDefault="00414AFB" w:rsidP="001B4C91">
      <w:pPr>
        <w:rPr>
          <w:bCs/>
          <w:iCs/>
        </w:rPr>
      </w:pPr>
      <w:r>
        <w:rPr>
          <w:b/>
          <w:bCs/>
          <w:iCs/>
        </w:rPr>
        <w:t xml:space="preserve">Clasificare </w:t>
      </w:r>
      <w:r w:rsidR="0036774B" w:rsidRPr="00AB2B25">
        <w:rPr>
          <w:b/>
          <w:bCs/>
          <w:iCs/>
        </w:rPr>
        <w:t>JEL</w:t>
      </w:r>
      <w:r w:rsidR="0036774B" w:rsidRPr="00AB2B25">
        <w:rPr>
          <w:bCs/>
          <w:iCs/>
        </w:rPr>
        <w:t>: R11, R12, R15</w:t>
      </w:r>
    </w:p>
    <w:p w:rsidR="00E33263" w:rsidRPr="00AB2B25" w:rsidRDefault="00E33263" w:rsidP="001B4C91">
      <w:pPr>
        <w:rPr>
          <w:bCs/>
          <w:iCs/>
        </w:rPr>
      </w:pPr>
    </w:p>
    <w:p w:rsidR="00E33263" w:rsidRPr="00AB2B25" w:rsidRDefault="005D29B2" w:rsidP="001B4C91">
      <w:pPr>
        <w:numPr>
          <w:ilvl w:val="0"/>
          <w:numId w:val="3"/>
        </w:numPr>
        <w:jc w:val="both"/>
        <w:rPr>
          <w:b/>
        </w:rPr>
      </w:pPr>
      <w:r w:rsidRPr="00AB2B25">
        <w:rPr>
          <w:b/>
        </w:rPr>
        <w:t>INTRODUC</w:t>
      </w:r>
      <w:r w:rsidR="00414AFB">
        <w:rPr>
          <w:b/>
        </w:rPr>
        <w:t>ERE</w:t>
      </w:r>
    </w:p>
    <w:p w:rsidR="00E33263" w:rsidRPr="00AB2B25" w:rsidRDefault="00E33263" w:rsidP="001B4C91">
      <w:pPr>
        <w:jc w:val="both"/>
      </w:pPr>
    </w:p>
    <w:p w:rsidR="00E33263" w:rsidRPr="00AB2B25" w:rsidRDefault="00832117" w:rsidP="00832117">
      <w:pPr>
        <w:jc w:val="both"/>
      </w:pPr>
      <w:r>
        <w:t>Aşa cum rezultă din literature de specialitate, c</w:t>
      </w:r>
      <w:r w:rsidRPr="007824D5">
        <w:t xml:space="preserve">ompetitivitatea regională implică şi o </w:t>
      </w:r>
      <w:r w:rsidRPr="007824D5">
        <w:rPr>
          <w:i/>
        </w:rPr>
        <w:t>dimensiune externă</w:t>
      </w:r>
      <w:r w:rsidRPr="007824D5">
        <w:t xml:space="preserve"> </w:t>
      </w:r>
      <w:r w:rsidR="00F43408" w:rsidRPr="00AB2B25">
        <w:t xml:space="preserve">(Iordan </w:t>
      </w:r>
      <w:r w:rsidR="00F43408" w:rsidRPr="00AB2B25">
        <w:rPr>
          <w:i/>
        </w:rPr>
        <w:t>et al</w:t>
      </w:r>
      <w:r w:rsidR="00F43408" w:rsidRPr="00AB2B25">
        <w:t>., 2013)</w:t>
      </w:r>
      <w:r w:rsidR="00E33263" w:rsidRPr="00AB2B25">
        <w:t xml:space="preserve">, </w:t>
      </w:r>
      <w:r w:rsidRPr="007824D5">
        <w:t>care poate fi analizată pornind de la teoria avantajului comparativ</w:t>
      </w:r>
      <w:r w:rsidR="00F43408" w:rsidRPr="00AB2B25">
        <w:t xml:space="preserve"> </w:t>
      </w:r>
      <w:r w:rsidR="00E33263" w:rsidRPr="00AB2B25">
        <w:t xml:space="preserve">(Chilian, 2011). </w:t>
      </w:r>
      <w:r w:rsidRPr="007824D5">
        <w:t xml:space="preserve">Practic, se poate analiza care </w:t>
      </w:r>
      <w:proofErr w:type="gramStart"/>
      <w:r w:rsidRPr="007824D5">
        <w:t>este</w:t>
      </w:r>
      <w:proofErr w:type="gramEnd"/>
      <w:r w:rsidRPr="007824D5">
        <w:t xml:space="preserve"> „distribuţia teritorială” a avantajelor şi dezavantajelor comparative şi competitive la nivelul grupelor şi subgrupelor de produse (şi, implicit, al sectoarelor economice). Aceasta înseamnă, printre altele </w:t>
      </w:r>
      <w:proofErr w:type="gramStart"/>
      <w:r w:rsidRPr="007824D5">
        <w:t>să</w:t>
      </w:r>
      <w:proofErr w:type="gramEnd"/>
      <w:r w:rsidRPr="007824D5">
        <w:t xml:space="preserve"> găsim răspunsuri la o serie de întrebări </w:t>
      </w:r>
      <w:r>
        <w:t xml:space="preserve">precum </w:t>
      </w:r>
      <w:r w:rsidR="00E33263" w:rsidRPr="00AB2B25">
        <w:t xml:space="preserve">(Chilian, 2013): </w:t>
      </w:r>
    </w:p>
    <w:p w:rsidR="00832117" w:rsidRPr="007824D5" w:rsidRDefault="00832117" w:rsidP="00832117">
      <w:pPr>
        <w:jc w:val="both"/>
      </w:pPr>
      <w:r w:rsidRPr="007824D5">
        <w:t xml:space="preserve">Care sunt regiunile/judeţele cu cea mai mare contribuţie la efortul total de export al ţării? </w:t>
      </w:r>
    </w:p>
    <w:p w:rsidR="00832117" w:rsidRPr="007824D5" w:rsidRDefault="00832117" w:rsidP="00832117">
      <w:pPr>
        <w:jc w:val="both"/>
      </w:pPr>
      <w:r w:rsidRPr="007824D5">
        <w:t>Care sunt produsele/grupele de produse/sectoarele în care aceste regiuni/judeţe sunt specializate la export (dacă sunt)?</w:t>
      </w:r>
    </w:p>
    <w:p w:rsidR="00832117" w:rsidRPr="007824D5" w:rsidRDefault="00832117" w:rsidP="00832117">
      <w:pPr>
        <w:jc w:val="both"/>
      </w:pPr>
      <w:r w:rsidRPr="007824D5">
        <w:t xml:space="preserve">Care a fost impactul perioadei de criza de dupa anul 2008 la nivelul regiunilor/judetelor in ceea </w:t>
      </w:r>
      <w:proofErr w:type="gramStart"/>
      <w:r w:rsidRPr="007824D5">
        <w:t>ce</w:t>
      </w:r>
      <w:proofErr w:type="gramEnd"/>
      <w:r w:rsidRPr="007824D5">
        <w:t xml:space="preserve"> priveste pozitia competitiva a acestora in domeniul comertului exterior? </w:t>
      </w:r>
    </w:p>
    <w:p w:rsidR="00832117" w:rsidRPr="007824D5" w:rsidRDefault="00832117" w:rsidP="00832117">
      <w:pPr>
        <w:jc w:val="both"/>
      </w:pPr>
      <w:r w:rsidRPr="007824D5">
        <w:t>Care ar putea fi ajustarile structurale sectoriale induse de criza din 2008 la nivelul regiunilor/judetelor si posibilele implicatii ale acestora in cazul in care ar reveni criza/recesiunea economic</w:t>
      </w:r>
      <w:r>
        <w:t>ă</w:t>
      </w:r>
      <w:r w:rsidRPr="007824D5">
        <w:t xml:space="preserve">? </w:t>
      </w:r>
    </w:p>
    <w:p w:rsidR="00E33263" w:rsidRPr="00AB2B25" w:rsidRDefault="00832117" w:rsidP="001B4C91">
      <w:pPr>
        <w:jc w:val="both"/>
      </w:pPr>
      <w:r w:rsidRPr="007824D5">
        <w:t>„</w:t>
      </w:r>
      <w:r w:rsidRPr="007824D5">
        <w:rPr>
          <w:i/>
        </w:rPr>
        <w:t>Baza de export</w:t>
      </w:r>
      <w:r w:rsidRPr="007824D5">
        <w:t xml:space="preserve">” a unei regiuni </w:t>
      </w:r>
      <w:proofErr w:type="gramStart"/>
      <w:r w:rsidRPr="007824D5">
        <w:t>este</w:t>
      </w:r>
      <w:proofErr w:type="gramEnd"/>
      <w:r w:rsidRPr="007824D5">
        <w:t xml:space="preserve"> un element cheie al prosperităţii acesteia, iar o reducere a acesteia sau o deteriorare a balanţei comerciale ar însemna un declin al competitivităţii regiunii în cauză. Concurenţa între regiuni (atât în interiorul unei ţări, cât şi între ţări) poate exclude o regiune dintr-un sector în care ar fi putut să-şi stabilească un avantaj comparativ, sau o regiune dintr-un sector în care avantajul comparativ ar fi putut fi menţinut </w:t>
      </w:r>
      <w:r w:rsidR="00F37198" w:rsidRPr="00AB2B25">
        <w:t>(</w:t>
      </w:r>
      <w:r w:rsidR="00E33263" w:rsidRPr="00AB2B25">
        <w:t xml:space="preserve">Gardiner </w:t>
      </w:r>
      <w:r w:rsidR="00E33263" w:rsidRPr="00AB2B25">
        <w:rPr>
          <w:i/>
        </w:rPr>
        <w:t>et al</w:t>
      </w:r>
      <w:r w:rsidR="00E33263" w:rsidRPr="00AB2B25">
        <w:t>., 2004).</w:t>
      </w:r>
    </w:p>
    <w:p w:rsidR="00E33263" w:rsidRPr="00AB2B25" w:rsidRDefault="00832117" w:rsidP="00832117">
      <w:pPr>
        <w:jc w:val="both"/>
      </w:pPr>
      <w:r w:rsidRPr="007824D5">
        <w:t xml:space="preserve">Considerând teoria avantajului comparative aplicată la nivelul regiunilor, trebuie să menţionăm argumentele extrem de importante ale lui Camagni (2002), potrivit cărora oraşele, regiunile şi alte locaţii concurează mai degrabă pe baza </w:t>
      </w:r>
      <w:r w:rsidRPr="007824D5">
        <w:rPr>
          <w:i/>
        </w:rPr>
        <w:t>avantajului absolut</w:t>
      </w:r>
      <w:r w:rsidRPr="007824D5">
        <w:t xml:space="preserve"> decât pe cea a avantajului comparativ, iar mecanismele eficiente de ajustare automată de forma flexibilităţii preţurilor, salariilor şi cursului de schimb disponibile la nivel macroeconomic nu sunt aplicabile şi la nivel teritorial. Nivelul dotării cu factori, atractivitatea pentru investitori şi forţa de muncă, politicile aplicate la nivelul unităţilor teritoriale, împreună cu eficientul mecanism de penalizare reprezentat de migraţia inter-regională a capitalului şi forţei de muncă (care o dată pierdute de o regiune sunt foarte greu de înlocuit) pot face ca o regiune să fie una de succes şi capabile să asigure un nivel de trai mai mult decât decent locuitorilor săi sau una aflată în stare de „faliment relativ”, atunci când eficienţa tuturor sectoarelor sale este mai redusă decât cea a altor regiuni, fapt care se exprimă în termenii declinului şi excluziunii pe termen lung (Camagni, 2002). </w:t>
      </w:r>
      <w:r w:rsidR="00E33263" w:rsidRPr="00AB2B25">
        <w:t xml:space="preserve"> </w:t>
      </w:r>
    </w:p>
    <w:p w:rsidR="00832117" w:rsidRPr="007824D5" w:rsidRDefault="00832117" w:rsidP="00832117">
      <w:pPr>
        <w:jc w:val="both"/>
      </w:pPr>
      <w:r w:rsidRPr="007824D5">
        <w:t xml:space="preserve">Pe de </w:t>
      </w:r>
      <w:proofErr w:type="gramStart"/>
      <w:r w:rsidRPr="007824D5">
        <w:t>altă</w:t>
      </w:r>
      <w:proofErr w:type="gramEnd"/>
      <w:r w:rsidRPr="007824D5">
        <w:t xml:space="preserve"> parte, structura economică joacă un rol foarte important în evoluţia inegalităţilor la nivel subnaţional, deoarece influenţează nivelul veniturilor şi distribuţia acestora la nivel regional. </w:t>
      </w:r>
      <w:r w:rsidRPr="007824D5">
        <w:lastRenderedPageBreak/>
        <w:t>Studiile empirice au pus în evidenţă faptul ca zonele cu industrie prelucrătoare durabilă şi un nivel înalt al ocuparii în domeniul serviciilor se bucură de o mai mare bunăstare economică, veniturile gospodăriilor fiind mai mari, iar ratele sărăciei mai mici, în timp ce zonele miniere şi agricole, unde salariile sunt mai mici, iar nivelul ocupării este instabil, înregistrează rate mai mari ale sărăciei.</w:t>
      </w:r>
    </w:p>
    <w:p w:rsidR="00E33263" w:rsidRPr="00AB2B25" w:rsidRDefault="00832117" w:rsidP="001B4C91">
      <w:pPr>
        <w:jc w:val="both"/>
      </w:pPr>
      <w:r w:rsidRPr="007824D5">
        <w:t xml:space="preserve">Considerând ambele aspecte prezentate, </w:t>
      </w:r>
      <w:r>
        <w:t>lucrarea încearcă</w:t>
      </w:r>
      <w:r w:rsidR="00535D23" w:rsidRPr="00AB2B25">
        <w:t xml:space="preserve"> </w:t>
      </w:r>
      <w:r>
        <w:t>prin intermediul</w:t>
      </w:r>
      <w:r w:rsidRPr="007824D5">
        <w:t xml:space="preserve"> </w:t>
      </w:r>
      <w:r w:rsidRPr="007824D5">
        <w:rPr>
          <w:i/>
        </w:rPr>
        <w:t>analizei shift-share sectoriale a exporturilor</w:t>
      </w:r>
      <w:r w:rsidR="00535D23" w:rsidRPr="00AB2B25">
        <w:t xml:space="preserve"> </w:t>
      </w:r>
      <w:r w:rsidRPr="007824D5">
        <w:t>să identific</w:t>
      </w:r>
      <w:r>
        <w:t>e</w:t>
      </w:r>
      <w:r w:rsidRPr="007824D5">
        <w:t xml:space="preserve"> care sunt regiunile României care înregistrează evoluţii ale structurilor economice capabile să conducă la niveluri înalte ale competitivităţii externe (şi, astfel, un grad mai mare de integrare în piaţa unică) şi specializări sustenabile şi adecvate cerinţelor construirii unei economii moderne, cu grad mare de flexibilitate şi nivel tehnologic ridicat.</w:t>
      </w:r>
      <w:r w:rsidR="00AB2B25" w:rsidRPr="00AB2B25">
        <w:t xml:space="preserve"> </w:t>
      </w:r>
    </w:p>
    <w:p w:rsidR="00E33263" w:rsidRPr="00AB2B25" w:rsidRDefault="00E33263" w:rsidP="001B4C91">
      <w:pPr>
        <w:jc w:val="both"/>
      </w:pPr>
    </w:p>
    <w:p w:rsidR="00E33263" w:rsidRDefault="00832117" w:rsidP="001B4C91">
      <w:pPr>
        <w:numPr>
          <w:ilvl w:val="0"/>
          <w:numId w:val="3"/>
        </w:numPr>
        <w:jc w:val="both"/>
        <w:rPr>
          <w:b/>
        </w:rPr>
      </w:pPr>
      <w:r>
        <w:rPr>
          <w:b/>
        </w:rPr>
        <w:t>ASPECTE METODOLOGICE</w:t>
      </w:r>
    </w:p>
    <w:p w:rsidR="00B74ACF" w:rsidRPr="00AB2B25" w:rsidRDefault="00B74ACF" w:rsidP="00B74ACF">
      <w:pPr>
        <w:ind w:left="1080"/>
        <w:jc w:val="both"/>
        <w:rPr>
          <w:b/>
        </w:rPr>
      </w:pPr>
    </w:p>
    <w:p w:rsidR="00E33263" w:rsidRPr="00AB2B25" w:rsidRDefault="00832117" w:rsidP="001B4C91">
      <w:pPr>
        <w:jc w:val="both"/>
      </w:pPr>
      <w:r w:rsidRPr="007824D5">
        <w:rPr>
          <w:lang w:val="ro-RO"/>
        </w:rPr>
        <w:t>Analiza shift-share este o metodologie frecvent utilizata pentru a obţine perspective asupra factorilor determinanţi ai proceselor de creştere economică regională, care poate aborda mai multe aspecte, cum ar fi creşterea producţiei, creşterea ocupării forţei de muncă şi creşterea productivităţii muncii</w:t>
      </w:r>
      <w:r w:rsidRPr="007824D5">
        <w:t>, a exporturilor şi importurilor, etc</w:t>
      </w:r>
      <w:r>
        <w:t>.</w:t>
      </w:r>
      <w:r w:rsidRPr="007824D5">
        <w:t xml:space="preserve"> </w:t>
      </w:r>
      <w:r w:rsidR="00E33263" w:rsidRPr="00AB2B25">
        <w:t>(</w:t>
      </w:r>
      <w:r w:rsidR="00E33263" w:rsidRPr="00AB2B25">
        <w:rPr>
          <w:bCs/>
        </w:rPr>
        <w:t xml:space="preserve">Fernández Vázquez </w:t>
      </w:r>
      <w:r w:rsidR="00E33263" w:rsidRPr="00AB2B25">
        <w:rPr>
          <w:bCs/>
          <w:i/>
        </w:rPr>
        <w:t>et al</w:t>
      </w:r>
      <w:r w:rsidR="00E33263" w:rsidRPr="00AB2B25">
        <w:rPr>
          <w:bCs/>
        </w:rPr>
        <w:t>., 2005)</w:t>
      </w:r>
      <w:r w:rsidR="00E33263" w:rsidRPr="00AB2B25">
        <w:t xml:space="preserve">. </w:t>
      </w:r>
      <w:r w:rsidRPr="007824D5">
        <w:rPr>
          <w:lang w:val="ro-RO"/>
        </w:rPr>
        <w:t>Nivelul acestor indicatori şi modificările acestora pot reprezenta elemente cheie ale analizei performanţelor economice şi sociale la nivel regional şi subregional</w:t>
      </w:r>
      <w:r w:rsidR="00AB2B25">
        <w:t xml:space="preserve"> </w:t>
      </w:r>
      <w:r w:rsidR="00E33263" w:rsidRPr="00AB2B25">
        <w:t>(</w:t>
      </w:r>
      <w:r w:rsidR="00E33263" w:rsidRPr="00AB2B25">
        <w:rPr>
          <w:bCs/>
        </w:rPr>
        <w:t>D’Elia, 2005, Chilian, 2012)</w:t>
      </w:r>
      <w:r w:rsidR="00E33263" w:rsidRPr="00AB2B25">
        <w:t xml:space="preserve">. </w:t>
      </w:r>
      <w:r w:rsidRPr="007824D5">
        <w:rPr>
          <w:lang w:val="ro-RO"/>
        </w:rPr>
        <w:t>În forma sa "clasică", o astfel de analiză îşi propune să "divizeze" evolutia unui anumit determinant al creşterii într-o anumită regiune în funcţie de trei componente</w:t>
      </w:r>
      <w:r w:rsidR="00E33263" w:rsidRPr="00AB2B25">
        <w:t xml:space="preserve">: </w:t>
      </w:r>
    </w:p>
    <w:p w:rsidR="00E33263" w:rsidRPr="00AB2B25" w:rsidRDefault="00832117" w:rsidP="001B4C91">
      <w:pPr>
        <w:numPr>
          <w:ilvl w:val="0"/>
          <w:numId w:val="4"/>
        </w:numPr>
        <w:ind w:left="0" w:firstLine="0"/>
        <w:jc w:val="both"/>
      </w:pPr>
      <w:r>
        <w:rPr>
          <w:lang w:val="ro-RO"/>
        </w:rPr>
        <w:t>O</w:t>
      </w:r>
      <w:r w:rsidRPr="007824D5">
        <w:rPr>
          <w:lang w:val="ro-RO"/>
        </w:rPr>
        <w:t xml:space="preserve"> componentă </w:t>
      </w:r>
      <w:r w:rsidRPr="007824D5">
        <w:rPr>
          <w:i/>
          <w:lang w:val="ro-RO"/>
        </w:rPr>
        <w:t>naţională</w:t>
      </w:r>
      <w:r w:rsidRPr="007824D5">
        <w:rPr>
          <w:lang w:val="ro-RO"/>
        </w:rPr>
        <w:t>, care exprimă cât de mult o variabilă din fiecare sector şi regiune s-ar fi schimbat dacă ar fi experimentat aceeaşi rată medie globală de creştere la nivel naţional (sau UE, în cazul unei analize mai largi)</w:t>
      </w:r>
      <w:r w:rsidR="00E33263" w:rsidRPr="00AB2B25">
        <w:t xml:space="preserve">, </w:t>
      </w:r>
    </w:p>
    <w:p w:rsidR="00E33263" w:rsidRPr="00AB2B25" w:rsidRDefault="00832117" w:rsidP="001B4C91">
      <w:pPr>
        <w:numPr>
          <w:ilvl w:val="0"/>
          <w:numId w:val="4"/>
        </w:numPr>
        <w:ind w:left="0" w:firstLine="0"/>
        <w:jc w:val="both"/>
      </w:pPr>
      <w:r>
        <w:rPr>
          <w:lang w:val="ro-RO"/>
        </w:rPr>
        <w:t>O</w:t>
      </w:r>
      <w:r w:rsidRPr="007824D5">
        <w:rPr>
          <w:lang w:val="ro-RO"/>
        </w:rPr>
        <w:t xml:space="preserve"> componentă </w:t>
      </w:r>
      <w:r w:rsidRPr="007824D5">
        <w:rPr>
          <w:i/>
          <w:lang w:val="ro-RO"/>
        </w:rPr>
        <w:t>sectoriala</w:t>
      </w:r>
      <w:r w:rsidRPr="007824D5">
        <w:rPr>
          <w:lang w:val="ro-RO"/>
        </w:rPr>
        <w:t xml:space="preserve"> (de asemenea, numita şi mix sectorial), care exprimă situaţia variabilelor daca fiecare dintre sectoarele analizate ar fi cunoscut acelaşi ritm de creştere ca şi la nivel naţional, minus componenta globală precedenta şi</w:t>
      </w:r>
      <w:r w:rsidR="00BC3A4A">
        <w:t xml:space="preserve"> </w:t>
      </w:r>
    </w:p>
    <w:p w:rsidR="00E33263" w:rsidRPr="00AB2B25" w:rsidRDefault="00832117" w:rsidP="001B4C91">
      <w:pPr>
        <w:numPr>
          <w:ilvl w:val="0"/>
          <w:numId w:val="4"/>
        </w:numPr>
        <w:ind w:left="0" w:firstLine="0"/>
        <w:jc w:val="both"/>
      </w:pPr>
      <w:r>
        <w:rPr>
          <w:lang w:val="ro-RO"/>
        </w:rPr>
        <w:t>O</w:t>
      </w:r>
      <w:r w:rsidRPr="007824D5">
        <w:rPr>
          <w:lang w:val="ro-RO"/>
        </w:rPr>
        <w:t xml:space="preserve"> componentă de </w:t>
      </w:r>
      <w:r w:rsidRPr="007824D5">
        <w:rPr>
          <w:i/>
          <w:lang w:val="ro-RO"/>
        </w:rPr>
        <w:t>schimbare</w:t>
      </w:r>
      <w:r w:rsidRPr="007824D5">
        <w:rPr>
          <w:lang w:val="ro-RO"/>
        </w:rPr>
        <w:t xml:space="preserve"> (de asemenea, numit</w:t>
      </w:r>
      <w:r>
        <w:rPr>
          <w:lang w:val="ro-RO"/>
        </w:rPr>
        <w:t>ă</w:t>
      </w:r>
      <w:r w:rsidRPr="007824D5">
        <w:rPr>
          <w:lang w:val="ro-RO"/>
        </w:rPr>
        <w:t xml:space="preserve"> schimbare regional</w:t>
      </w:r>
      <w:r>
        <w:rPr>
          <w:lang w:val="ro-RO"/>
        </w:rPr>
        <w:t>ă</w:t>
      </w:r>
      <w:r w:rsidRPr="007824D5">
        <w:rPr>
          <w:lang w:val="ro-RO"/>
        </w:rPr>
        <w:t xml:space="preserve"> sau efect competitiv), care rezultă din diferenţa dintre evoluţiile observate efectiv şi evoluţiile calculate astfel în proporţie fata de evoluţiile naţionale, si care surprinde acele elemente dinamice, care sunt unice pentru fiecare regiune. Această componentă poate fi interpretată ca rezultatul global al unui echilibru între "atractivitatea" şi "respingerea" unei regiuni pentru diferite sectoare de activitate</w:t>
      </w:r>
      <w:r w:rsidR="00373AC8">
        <w:t xml:space="preserve"> </w:t>
      </w:r>
      <w:r w:rsidR="00E33263" w:rsidRPr="00AB2B25">
        <w:t xml:space="preserve">(Leo </w:t>
      </w:r>
      <w:r>
        <w:t>şi</w:t>
      </w:r>
      <w:r w:rsidR="00E33263" w:rsidRPr="00AB2B25">
        <w:t xml:space="preserve"> Philippe, 2005). </w:t>
      </w:r>
    </w:p>
    <w:p w:rsidR="00E33263" w:rsidRPr="00AB2B25" w:rsidRDefault="00832117" w:rsidP="001B4C91">
      <w:pPr>
        <w:jc w:val="both"/>
      </w:pPr>
      <w:r w:rsidRPr="007824D5">
        <w:rPr>
          <w:lang w:val="ro-RO"/>
        </w:rPr>
        <w:t xml:space="preserve">Cu ajutorul instrumentelor clasice ale analizei shift-share, am încercat să evaluam disparităţile de dezvoltare dezvoltare sectorială şi competitivitate externă din regiunile şi judeţele României, dar nu prin prisma valorii adăugate sau a ocupării forţei de muncă pentru principalele sectoare ale economiei, ci a </w:t>
      </w:r>
      <w:r w:rsidRPr="007824D5">
        <w:rPr>
          <w:i/>
          <w:iCs/>
          <w:lang w:val="ro-RO"/>
        </w:rPr>
        <w:t xml:space="preserve">comerţului exterior </w:t>
      </w:r>
      <w:r w:rsidRPr="007824D5">
        <w:rPr>
          <w:lang w:val="ro-RO"/>
        </w:rPr>
        <w:t xml:space="preserve">la nivelul regiunilor, respectiv  a </w:t>
      </w:r>
      <w:r w:rsidRPr="007824D5">
        <w:rPr>
          <w:b/>
          <w:bCs/>
          <w:i/>
          <w:iCs/>
          <w:lang w:val="ro-RO"/>
        </w:rPr>
        <w:t>exporturilor</w:t>
      </w:r>
      <w:r w:rsidRPr="007824D5">
        <w:rPr>
          <w:lang w:val="ro-RO"/>
        </w:rPr>
        <w:t>. Analiza a încercat să răspundă la o serie de întrebări, cum ar fi</w:t>
      </w:r>
      <w:r w:rsidR="00373AC8">
        <w:t xml:space="preserve"> </w:t>
      </w:r>
      <w:r w:rsidR="00E33263" w:rsidRPr="00AB2B25">
        <w:t>(</w:t>
      </w:r>
      <w:r>
        <w:t xml:space="preserve">vezi </w:t>
      </w:r>
      <w:r w:rsidR="00E33263" w:rsidRPr="00AB2B25">
        <w:rPr>
          <w:bCs/>
        </w:rPr>
        <w:t>D’Elia, 2005)</w:t>
      </w:r>
      <w:r w:rsidR="00E33263" w:rsidRPr="00AB2B25">
        <w:rPr>
          <w:bCs/>
          <w:iCs/>
        </w:rPr>
        <w:t>:</w:t>
      </w:r>
    </w:p>
    <w:p w:rsidR="00E33263" w:rsidRPr="00AB2B25" w:rsidRDefault="00832117" w:rsidP="001B4C91">
      <w:pPr>
        <w:numPr>
          <w:ilvl w:val="0"/>
          <w:numId w:val="5"/>
        </w:numPr>
        <w:autoSpaceDE w:val="0"/>
        <w:autoSpaceDN w:val="0"/>
        <w:adjustRightInd w:val="0"/>
        <w:jc w:val="both"/>
      </w:pPr>
      <w:r w:rsidRPr="007824D5">
        <w:rPr>
          <w:i/>
          <w:iCs/>
          <w:lang w:val="ro-RO"/>
        </w:rPr>
        <w:t>În ce măsură modificarea structurii exporturilor pe principalele grupe de mărfuri dintr-o regiune într-o anumită perioadă de timp s-a datorat schimbărilor în economia românească, în ansamblu, in aceeaşi perioadă, reflectate prin evoluţia exporturilor totale</w:t>
      </w:r>
      <w:r w:rsidRPr="007824D5">
        <w:rPr>
          <w:lang w:val="ro-RO"/>
        </w:rPr>
        <w:t>?</w:t>
      </w:r>
      <w:r w:rsidR="00E33263" w:rsidRPr="00AB2B25">
        <w:rPr>
          <w:i/>
          <w:iCs/>
        </w:rPr>
        <w:t xml:space="preserve"> </w:t>
      </w:r>
    </w:p>
    <w:p w:rsidR="00E33263" w:rsidRPr="00AB2B25" w:rsidRDefault="00832117" w:rsidP="001B4C91">
      <w:pPr>
        <w:numPr>
          <w:ilvl w:val="0"/>
          <w:numId w:val="5"/>
        </w:numPr>
        <w:autoSpaceDE w:val="0"/>
        <w:autoSpaceDN w:val="0"/>
        <w:adjustRightInd w:val="0"/>
        <w:jc w:val="both"/>
      </w:pPr>
      <w:r w:rsidRPr="007824D5">
        <w:rPr>
          <w:i/>
          <w:iCs/>
          <w:lang w:val="ro-RO"/>
        </w:rPr>
        <w:t>Cât de mult modificarea structurii exporturilor pe principalele grupe de mărfuri dintr-o regiune într-o anumită perioadă de timp s-a datorat schimbărilor din structura exporturilor totale pe principalele grupe de mărfuri, in aceeaşi perioadă?</w:t>
      </w:r>
      <w:r w:rsidR="00E33263" w:rsidRPr="00AB2B25">
        <w:rPr>
          <w:i/>
          <w:iCs/>
        </w:rPr>
        <w:t xml:space="preserve"> </w:t>
      </w:r>
    </w:p>
    <w:p w:rsidR="00E33263" w:rsidRPr="00AB2B25" w:rsidRDefault="006D7F55" w:rsidP="001B4C91">
      <w:pPr>
        <w:numPr>
          <w:ilvl w:val="0"/>
          <w:numId w:val="5"/>
        </w:numPr>
        <w:autoSpaceDE w:val="0"/>
        <w:autoSpaceDN w:val="0"/>
        <w:adjustRightInd w:val="0"/>
        <w:jc w:val="both"/>
      </w:pPr>
      <w:r w:rsidRPr="007824D5">
        <w:rPr>
          <w:i/>
          <w:iCs/>
          <w:lang w:val="ro-RO"/>
        </w:rPr>
        <w:t>Cât de mult modificarea structurii exporturilor pe principalele grupe de mărfuri dintr-o regiune într-o anumită perioadă de timp s-a datorat în primul rând schimbărilor din economia unei regiuni, în ansamblu, in aceeaşi perioadă?</w:t>
      </w:r>
      <w:r w:rsidR="00E33263" w:rsidRPr="00AB2B25">
        <w:rPr>
          <w:i/>
          <w:iCs/>
        </w:rPr>
        <w:t xml:space="preserve"> </w:t>
      </w:r>
    </w:p>
    <w:p w:rsidR="00E33263" w:rsidRPr="00AB2B25" w:rsidRDefault="006D7F55" w:rsidP="001B4C91">
      <w:pPr>
        <w:autoSpaceDE w:val="0"/>
        <w:autoSpaceDN w:val="0"/>
        <w:adjustRightInd w:val="0"/>
        <w:jc w:val="both"/>
      </w:pPr>
      <w:r w:rsidRPr="007824D5">
        <w:rPr>
          <w:lang w:val="ro-RO"/>
        </w:rPr>
        <w:t xml:space="preserve">Datorită disponibilităţii datelor, analiza shift-share a evoluţiei exporturilor se referă la intervalul 2005 – 2013, iar </w:t>
      </w:r>
      <w:r>
        <w:rPr>
          <w:lang w:val="ro-RO"/>
        </w:rPr>
        <w:t>s</w:t>
      </w:r>
      <w:r w:rsidRPr="007824D5">
        <w:rPr>
          <w:lang w:val="ro-RO"/>
        </w:rPr>
        <w:t>tructura sectorială a exporturilor este cea referitoare la principalele grupe de mărfuri ale Nomenclatorului Combinat (NC)</w:t>
      </w:r>
      <w:r w:rsidR="00E33263" w:rsidRPr="00AB2B25">
        <w:t xml:space="preserve">. </w:t>
      </w:r>
    </w:p>
    <w:p w:rsidR="00E33263" w:rsidRPr="00AB2B25" w:rsidRDefault="006D7F55" w:rsidP="001B4C91">
      <w:pPr>
        <w:autoSpaceDE w:val="0"/>
        <w:autoSpaceDN w:val="0"/>
        <w:adjustRightInd w:val="0"/>
        <w:jc w:val="both"/>
      </w:pPr>
      <w:r w:rsidRPr="007824D5">
        <w:rPr>
          <w:rStyle w:val="hps"/>
          <w:lang w:val="ro-RO"/>
        </w:rPr>
        <w:t>Un punct</w:t>
      </w:r>
      <w:r w:rsidRPr="007824D5">
        <w:rPr>
          <w:lang w:val="ro-RO"/>
        </w:rPr>
        <w:t xml:space="preserve"> </w:t>
      </w:r>
      <w:r w:rsidRPr="007824D5">
        <w:rPr>
          <w:rStyle w:val="hps"/>
          <w:lang w:val="ro-RO"/>
        </w:rPr>
        <w:t>de plecare</w:t>
      </w:r>
      <w:r w:rsidRPr="007824D5">
        <w:rPr>
          <w:lang w:val="ro-RO"/>
        </w:rPr>
        <w:t xml:space="preserve"> </w:t>
      </w:r>
      <w:r w:rsidRPr="007824D5">
        <w:rPr>
          <w:rStyle w:val="hps"/>
          <w:lang w:val="ro-RO"/>
        </w:rPr>
        <w:t>pentru analiza</w:t>
      </w:r>
      <w:r w:rsidRPr="007824D5">
        <w:rPr>
          <w:lang w:val="ro-RO"/>
        </w:rPr>
        <w:t xml:space="preserve"> </w:t>
      </w:r>
      <w:r w:rsidRPr="007824D5">
        <w:rPr>
          <w:rStyle w:val="hps"/>
          <w:lang w:val="ro-RO"/>
        </w:rPr>
        <w:t>shift-share</w:t>
      </w:r>
      <w:r w:rsidRPr="007824D5">
        <w:rPr>
          <w:lang w:val="ro-RO"/>
        </w:rPr>
        <w:t xml:space="preserve"> </w:t>
      </w:r>
      <w:r w:rsidRPr="007824D5">
        <w:rPr>
          <w:rStyle w:val="hps"/>
          <w:lang w:val="ro-RO"/>
        </w:rPr>
        <w:t>este</w:t>
      </w:r>
      <w:r w:rsidRPr="007824D5">
        <w:rPr>
          <w:lang w:val="ro-RO"/>
        </w:rPr>
        <w:t xml:space="preserve"> </w:t>
      </w:r>
      <w:r w:rsidRPr="007824D5">
        <w:rPr>
          <w:rStyle w:val="hps"/>
          <w:lang w:val="ro-RO"/>
        </w:rPr>
        <w:t>următoarea ecuaţie</w:t>
      </w:r>
      <w:r w:rsidR="00E33263" w:rsidRPr="00AB2B25">
        <w:t>:</w:t>
      </w:r>
    </w:p>
    <w:p w:rsidR="00E33263" w:rsidRPr="00AB2B25" w:rsidRDefault="00E33263" w:rsidP="001B4C91">
      <w:pPr>
        <w:tabs>
          <w:tab w:val="left" w:pos="8100"/>
        </w:tabs>
        <w:autoSpaceDE w:val="0"/>
        <w:autoSpaceDN w:val="0"/>
        <w:adjustRightInd w:val="0"/>
        <w:jc w:val="both"/>
      </w:pPr>
      <w:r w:rsidRPr="00AB2B25">
        <w:tab/>
      </w:r>
    </w:p>
    <w:p w:rsidR="00E33263" w:rsidRPr="00AB2B25" w:rsidRDefault="006D7F55" w:rsidP="001B4C91">
      <w:pPr>
        <w:jc w:val="both"/>
      </w:pPr>
      <w:r w:rsidRPr="007824D5">
        <w:lastRenderedPageBreak/>
        <w:t xml:space="preserve">Modificarea totală </w:t>
      </w:r>
      <w:r w:rsidR="00E33263" w:rsidRPr="00AB2B25">
        <w:t>= NS + IM + RS</w:t>
      </w:r>
      <w:r w:rsidR="00E33263" w:rsidRPr="00AB2B25">
        <w:rPr>
          <w:vertAlign w:val="subscript"/>
        </w:rPr>
        <w:t xml:space="preserve"> </w:t>
      </w:r>
      <w:r w:rsidR="00E33263" w:rsidRPr="00AB2B25">
        <w:tab/>
      </w:r>
      <w:r w:rsidR="00E33263" w:rsidRPr="00AB2B25">
        <w:tab/>
      </w:r>
      <w:r w:rsidR="00E33263" w:rsidRPr="00AB2B25">
        <w:tab/>
      </w:r>
      <w:r w:rsidR="00E33263" w:rsidRPr="00AB2B25">
        <w:tab/>
      </w:r>
      <w:r w:rsidR="00E33263" w:rsidRPr="00AB2B25">
        <w:tab/>
      </w:r>
      <w:r w:rsidR="00E33263" w:rsidRPr="00AB2B25">
        <w:tab/>
      </w:r>
      <w:r w:rsidR="00E33263" w:rsidRPr="00AB2B25">
        <w:tab/>
        <w:t>(1)</w:t>
      </w:r>
    </w:p>
    <w:p w:rsidR="00E33263" w:rsidRPr="00AB2B25" w:rsidRDefault="00E33263" w:rsidP="001B4C91">
      <w:pPr>
        <w:autoSpaceDE w:val="0"/>
        <w:autoSpaceDN w:val="0"/>
        <w:adjustRightInd w:val="0"/>
        <w:jc w:val="both"/>
        <w:rPr>
          <w:rStyle w:val="hps"/>
        </w:rPr>
      </w:pPr>
    </w:p>
    <w:p w:rsidR="00E33263" w:rsidRPr="00AB2B25" w:rsidRDefault="006D7F55" w:rsidP="001B4C91">
      <w:pPr>
        <w:autoSpaceDE w:val="0"/>
        <w:autoSpaceDN w:val="0"/>
        <w:adjustRightInd w:val="0"/>
        <w:jc w:val="both"/>
      </w:pPr>
      <w:r w:rsidRPr="007824D5">
        <w:rPr>
          <w:rStyle w:val="hps"/>
          <w:lang w:val="ro-RO"/>
        </w:rPr>
        <w:t>unde</w:t>
      </w:r>
      <w:r w:rsidRPr="007824D5">
        <w:rPr>
          <w:lang w:val="ro-RO"/>
        </w:rPr>
        <w:t xml:space="preserve">: </w:t>
      </w:r>
      <w:r w:rsidRPr="007824D5">
        <w:rPr>
          <w:rStyle w:val="hps"/>
          <w:lang w:val="ro-RO"/>
        </w:rPr>
        <w:t>NS este</w:t>
      </w:r>
      <w:r w:rsidRPr="007824D5">
        <w:rPr>
          <w:lang w:val="ro-RO"/>
        </w:rPr>
        <w:t xml:space="preserve"> </w:t>
      </w:r>
      <w:r w:rsidRPr="007824D5">
        <w:rPr>
          <w:rStyle w:val="hps"/>
          <w:i/>
          <w:lang w:val="ro-RO"/>
        </w:rPr>
        <w:t>efectul</w:t>
      </w:r>
      <w:r w:rsidRPr="007824D5">
        <w:rPr>
          <w:i/>
          <w:lang w:val="ro-RO"/>
        </w:rPr>
        <w:t xml:space="preserve"> </w:t>
      </w:r>
      <w:r w:rsidRPr="007824D5">
        <w:rPr>
          <w:rStyle w:val="hps"/>
          <w:i/>
          <w:lang w:val="ro-RO"/>
        </w:rPr>
        <w:t>naţional</w:t>
      </w:r>
      <w:r w:rsidRPr="007824D5">
        <w:rPr>
          <w:lang w:val="ro-RO"/>
        </w:rPr>
        <w:t xml:space="preserve"> </w:t>
      </w:r>
      <w:r w:rsidRPr="007824D5">
        <w:rPr>
          <w:rStyle w:val="hps"/>
          <w:lang w:val="ro-RO"/>
        </w:rPr>
        <w:t>(</w:t>
      </w:r>
      <w:r w:rsidRPr="007824D5">
        <w:rPr>
          <w:lang w:val="ro-RO"/>
        </w:rPr>
        <w:t xml:space="preserve">ponderile naţionale ale principalelor grupe de mărfuri conform NC), </w:t>
      </w:r>
      <w:r w:rsidRPr="007824D5">
        <w:rPr>
          <w:rStyle w:val="hps"/>
          <w:lang w:val="ro-RO"/>
        </w:rPr>
        <w:t>IM</w:t>
      </w:r>
      <w:r w:rsidRPr="007824D5">
        <w:rPr>
          <w:lang w:val="ro-RO"/>
        </w:rPr>
        <w:t xml:space="preserve"> </w:t>
      </w:r>
      <w:r w:rsidRPr="007824D5">
        <w:rPr>
          <w:rStyle w:val="hps"/>
          <w:lang w:val="ro-RO"/>
        </w:rPr>
        <w:t>este</w:t>
      </w:r>
      <w:r w:rsidRPr="007824D5">
        <w:rPr>
          <w:lang w:val="ro-RO"/>
        </w:rPr>
        <w:t xml:space="preserve"> </w:t>
      </w:r>
      <w:r w:rsidRPr="007824D5">
        <w:rPr>
          <w:rStyle w:val="hps"/>
          <w:i/>
          <w:lang w:val="ro-RO"/>
        </w:rPr>
        <w:t>efectul sectorial</w:t>
      </w:r>
      <w:r w:rsidRPr="007824D5">
        <w:rPr>
          <w:lang w:val="ro-RO"/>
        </w:rPr>
        <w:t xml:space="preserve"> </w:t>
      </w:r>
      <w:r w:rsidRPr="007824D5">
        <w:rPr>
          <w:rStyle w:val="hps"/>
          <w:lang w:val="ro-RO"/>
        </w:rPr>
        <w:t>(</w:t>
      </w:r>
      <w:r w:rsidRPr="007824D5">
        <w:rPr>
          <w:lang w:val="ro-RO"/>
        </w:rPr>
        <w:t xml:space="preserve">efectul de mix sectorial) </w:t>
      </w:r>
      <w:r w:rsidRPr="007824D5">
        <w:rPr>
          <w:rStyle w:val="hps"/>
          <w:lang w:val="ro-RO"/>
        </w:rPr>
        <w:t>şi RS</w:t>
      </w:r>
      <w:r w:rsidRPr="007824D5">
        <w:rPr>
          <w:lang w:val="ro-RO"/>
        </w:rPr>
        <w:t xml:space="preserve"> </w:t>
      </w:r>
      <w:r w:rsidRPr="007824D5">
        <w:rPr>
          <w:rStyle w:val="hps"/>
          <w:lang w:val="ro-RO"/>
        </w:rPr>
        <w:t>este</w:t>
      </w:r>
      <w:r w:rsidRPr="007824D5">
        <w:rPr>
          <w:lang w:val="ro-RO"/>
        </w:rPr>
        <w:t xml:space="preserve"> </w:t>
      </w:r>
      <w:r w:rsidRPr="007824D5">
        <w:rPr>
          <w:rStyle w:val="hps"/>
          <w:i/>
          <w:lang w:val="ro-RO"/>
        </w:rPr>
        <w:t>efectul</w:t>
      </w:r>
      <w:r w:rsidRPr="007824D5">
        <w:rPr>
          <w:i/>
          <w:lang w:val="ro-RO"/>
        </w:rPr>
        <w:t xml:space="preserve"> </w:t>
      </w:r>
      <w:r w:rsidRPr="007824D5">
        <w:rPr>
          <w:rStyle w:val="hps"/>
          <w:i/>
          <w:lang w:val="ro-RO"/>
        </w:rPr>
        <w:t>regional</w:t>
      </w:r>
      <w:r w:rsidRPr="007824D5">
        <w:rPr>
          <w:lang w:val="ro-RO"/>
        </w:rPr>
        <w:t xml:space="preserve">. Calculul </w:t>
      </w:r>
      <w:r w:rsidRPr="007824D5">
        <w:rPr>
          <w:rStyle w:val="hps"/>
          <w:lang w:val="ro-RO"/>
        </w:rPr>
        <w:t>celor trei</w:t>
      </w:r>
      <w:r w:rsidRPr="007824D5">
        <w:rPr>
          <w:lang w:val="ro-RO"/>
        </w:rPr>
        <w:t xml:space="preserve"> </w:t>
      </w:r>
      <w:r w:rsidRPr="007824D5">
        <w:rPr>
          <w:rStyle w:val="hps"/>
          <w:lang w:val="ro-RO"/>
        </w:rPr>
        <w:t>componente</w:t>
      </w:r>
      <w:r w:rsidRPr="007824D5">
        <w:rPr>
          <w:lang w:val="ro-RO"/>
        </w:rPr>
        <w:t xml:space="preserve"> </w:t>
      </w:r>
      <w:r w:rsidRPr="007824D5">
        <w:rPr>
          <w:rStyle w:val="hps"/>
          <w:lang w:val="ro-RO"/>
        </w:rPr>
        <w:t>pentru</w:t>
      </w:r>
      <w:r w:rsidRPr="007824D5">
        <w:rPr>
          <w:lang w:val="ro-RO"/>
        </w:rPr>
        <w:t xml:space="preserve"> </w:t>
      </w:r>
      <w:r w:rsidRPr="007824D5">
        <w:rPr>
          <w:rStyle w:val="hps"/>
          <w:lang w:val="ro-RO"/>
        </w:rPr>
        <w:t>fiecare sector</w:t>
      </w:r>
      <w:r w:rsidRPr="007824D5">
        <w:rPr>
          <w:lang w:val="ro-RO"/>
        </w:rPr>
        <w:t xml:space="preserve"> </w:t>
      </w:r>
      <w:r w:rsidRPr="007824D5">
        <w:rPr>
          <w:rStyle w:val="hps"/>
          <w:lang w:val="ro-RO"/>
        </w:rPr>
        <w:t>este</w:t>
      </w:r>
      <w:r w:rsidRPr="007824D5">
        <w:rPr>
          <w:lang w:val="ro-RO"/>
        </w:rPr>
        <w:t xml:space="preserve"> </w:t>
      </w:r>
      <w:r w:rsidRPr="007824D5">
        <w:rPr>
          <w:rStyle w:val="hps"/>
          <w:lang w:val="ro-RO"/>
        </w:rPr>
        <w:t xml:space="preserve">următorul </w:t>
      </w:r>
      <w:r w:rsidR="00E33263" w:rsidRPr="00AB2B25">
        <w:rPr>
          <w:rStyle w:val="hps"/>
        </w:rPr>
        <w:t>(</w:t>
      </w:r>
      <w:r w:rsidR="00E33263" w:rsidRPr="00AB2B25">
        <w:rPr>
          <w:bCs/>
        </w:rPr>
        <w:t>D’Elia, 2005; Chilian, 2012)</w:t>
      </w:r>
      <w:r w:rsidR="00E33263" w:rsidRPr="00AB2B25">
        <w:t xml:space="preserve">: </w:t>
      </w:r>
    </w:p>
    <w:p w:rsidR="00E33263" w:rsidRDefault="006D7F55" w:rsidP="001B4C91">
      <w:pPr>
        <w:numPr>
          <w:ilvl w:val="0"/>
          <w:numId w:val="2"/>
        </w:numPr>
        <w:jc w:val="both"/>
        <w:rPr>
          <w:i/>
          <w:iCs/>
        </w:rPr>
      </w:pPr>
      <w:r w:rsidRPr="007824D5">
        <w:rPr>
          <w:i/>
          <w:iCs/>
        </w:rPr>
        <w:t>Ponderea na</w:t>
      </w:r>
      <w:r w:rsidRPr="007824D5">
        <w:rPr>
          <w:i/>
          <w:iCs/>
          <w:lang w:val="ro-RO"/>
        </w:rPr>
        <w:t>ţ</w:t>
      </w:r>
      <w:r w:rsidRPr="007824D5">
        <w:rPr>
          <w:i/>
          <w:iCs/>
        </w:rPr>
        <w:t>ional</w:t>
      </w:r>
      <w:r w:rsidRPr="007824D5">
        <w:rPr>
          <w:i/>
          <w:iCs/>
          <w:lang w:val="ro-RO"/>
        </w:rPr>
        <w:t>ă</w:t>
      </w:r>
      <w:r w:rsidRPr="007824D5">
        <w:rPr>
          <w:i/>
          <w:iCs/>
        </w:rPr>
        <w:t xml:space="preserve"> </w:t>
      </w:r>
      <w:r w:rsidRPr="007824D5">
        <w:rPr>
          <w:i/>
          <w:iCs/>
          <w:lang w:val="ro-RO"/>
        </w:rPr>
        <w:t>a exporturilor pe principalele grupe de mărfuri (efectul naţional)</w:t>
      </w:r>
      <w:r w:rsidR="00E33263" w:rsidRPr="00AB2B25">
        <w:rPr>
          <w:i/>
          <w:iCs/>
        </w:rPr>
        <w:t xml:space="preserve">: </w:t>
      </w:r>
    </w:p>
    <w:p w:rsidR="00160747" w:rsidRPr="00AB2B25" w:rsidRDefault="00160747" w:rsidP="00160747">
      <w:pPr>
        <w:ind w:left="720"/>
        <w:jc w:val="both"/>
        <w:rPr>
          <w:i/>
          <w:iCs/>
        </w:rPr>
      </w:pPr>
    </w:p>
    <w:p w:rsidR="00E33263" w:rsidRPr="00AB2B25" w:rsidRDefault="00E33263" w:rsidP="001B4C91">
      <w:pPr>
        <w:pStyle w:val="Default"/>
        <w:ind w:firstLine="360"/>
        <w:jc w:val="both"/>
        <w:rPr>
          <w:color w:val="auto"/>
        </w:rPr>
      </w:pPr>
      <w:r w:rsidRPr="00AB2B25">
        <w:rPr>
          <w:color w:val="auto"/>
        </w:rPr>
        <w:t>NS = NI</w:t>
      </w:r>
      <w:r w:rsidRPr="00AB2B25">
        <w:rPr>
          <w:color w:val="auto"/>
          <w:vertAlign w:val="superscript"/>
        </w:rPr>
        <w:t>s</w:t>
      </w:r>
      <w:r w:rsidRPr="00AB2B25">
        <w:rPr>
          <w:color w:val="auto"/>
          <w:vertAlign w:val="subscript"/>
        </w:rPr>
        <w:t>t-1</w:t>
      </w:r>
      <w:r w:rsidRPr="00AB2B25">
        <w:rPr>
          <w:color w:val="auto"/>
        </w:rPr>
        <w:t>*[(RO</w:t>
      </w:r>
      <w:r w:rsidRPr="00AB2B25">
        <w:rPr>
          <w:color w:val="auto"/>
          <w:vertAlign w:val="subscript"/>
        </w:rPr>
        <w:t>t</w:t>
      </w:r>
      <w:r w:rsidRPr="00AB2B25">
        <w:rPr>
          <w:color w:val="auto"/>
        </w:rPr>
        <w:t>/RO</w:t>
      </w:r>
      <w:r w:rsidRPr="00AB2B25">
        <w:rPr>
          <w:color w:val="auto"/>
          <w:vertAlign w:val="subscript"/>
        </w:rPr>
        <w:t xml:space="preserve">t-1 </w:t>
      </w:r>
      <w:r w:rsidRPr="00AB2B25">
        <w:rPr>
          <w:color w:val="auto"/>
        </w:rPr>
        <w:t>– 1)]</w:t>
      </w:r>
      <w:r w:rsidRPr="00AB2B25">
        <w:rPr>
          <w:color w:val="auto"/>
        </w:rPr>
        <w:tab/>
      </w:r>
      <w:r w:rsidRPr="00AB2B25">
        <w:rPr>
          <w:color w:val="auto"/>
        </w:rPr>
        <w:tab/>
      </w:r>
      <w:r w:rsidRPr="00AB2B25">
        <w:rPr>
          <w:color w:val="auto"/>
        </w:rPr>
        <w:tab/>
      </w:r>
      <w:r w:rsidRPr="00AB2B25">
        <w:rPr>
          <w:color w:val="auto"/>
        </w:rPr>
        <w:tab/>
      </w:r>
      <w:r w:rsidRPr="00AB2B25">
        <w:rPr>
          <w:color w:val="auto"/>
        </w:rPr>
        <w:tab/>
      </w:r>
      <w:r w:rsidRPr="00AB2B25">
        <w:rPr>
          <w:color w:val="auto"/>
        </w:rPr>
        <w:tab/>
      </w:r>
      <w:r w:rsidRPr="00AB2B25">
        <w:rPr>
          <w:color w:val="auto"/>
        </w:rPr>
        <w:tab/>
        <w:t>(2)</w:t>
      </w:r>
    </w:p>
    <w:p w:rsidR="00E33263" w:rsidRPr="00AB2B25" w:rsidRDefault="006D7F55" w:rsidP="001B4C91">
      <w:pPr>
        <w:jc w:val="both"/>
        <w:textAlignment w:val="top"/>
      </w:pPr>
      <w:r w:rsidRPr="007824D5">
        <w:rPr>
          <w:lang w:val="ro-RO"/>
        </w:rPr>
        <w:t>unde: s se referă la fiecare grupă de mărfuri</w:t>
      </w:r>
      <w:r>
        <w:t xml:space="preserve"> </w:t>
      </w:r>
      <w:r w:rsidR="005D29B2">
        <w:t>[2]</w:t>
      </w:r>
      <w:r w:rsidR="00E33263" w:rsidRPr="00AB2B25">
        <w:t xml:space="preserve"> </w:t>
      </w:r>
      <w:r w:rsidRPr="007824D5">
        <w:rPr>
          <w:lang w:val="ro-RO"/>
        </w:rPr>
        <w:t>şi t şi t-1 la începutul şi, respectiv, sfârşitul perioadei şi NI se referă la nivelul exporturilor dintr-o anumita regiune faţă de nivelul exporturilor naţionale</w:t>
      </w:r>
      <w:r w:rsidR="00E33263" w:rsidRPr="00AB2B25">
        <w:t xml:space="preserve">.  </w:t>
      </w:r>
    </w:p>
    <w:p w:rsidR="00E33263" w:rsidRPr="00AB2B25" w:rsidRDefault="006D7F55" w:rsidP="006D7F55">
      <w:pPr>
        <w:jc w:val="both"/>
        <w:textAlignment w:val="top"/>
      </w:pPr>
      <w:r w:rsidRPr="007824D5">
        <w:rPr>
          <w:lang w:val="ro-RO"/>
        </w:rPr>
        <w:t>Astfel, ponderea naţională pe grupe de mărfuri reprezintă volumul exporturilor (mil. Lei sau Euro) dintr-o anumită regiune pe grupe de mărfuri la începutul perioadei de analiză, înmulţită cu rata de creştere a exporturilor totale ale României, în aceeaşi perioadă. Acesta reflectă cât de mult volumul exporturilor din fiecare grupă de mărfuri şi regiune s-ar fi schimbat dacă ar fi avut acelaşi comportament ca şi evoluţia exporturilor naţionale</w:t>
      </w:r>
      <w:r w:rsidR="00E33263" w:rsidRPr="00AB2B25">
        <w:t xml:space="preserve">. </w:t>
      </w:r>
    </w:p>
    <w:p w:rsidR="00E33263" w:rsidRPr="00160747" w:rsidRDefault="006D7F55" w:rsidP="001B4C91">
      <w:pPr>
        <w:numPr>
          <w:ilvl w:val="0"/>
          <w:numId w:val="2"/>
        </w:numPr>
        <w:autoSpaceDE w:val="0"/>
        <w:autoSpaceDN w:val="0"/>
        <w:adjustRightInd w:val="0"/>
        <w:jc w:val="both"/>
      </w:pPr>
      <w:r w:rsidRPr="007824D5">
        <w:rPr>
          <w:i/>
          <w:iCs/>
        </w:rPr>
        <w:t>Mix-ul sectorial (efectul sectorial</w:t>
      </w:r>
      <w:r w:rsidR="00E33263" w:rsidRPr="00AB2B25">
        <w:rPr>
          <w:i/>
          <w:iCs/>
        </w:rPr>
        <w:t>)</w:t>
      </w:r>
    </w:p>
    <w:p w:rsidR="00160747" w:rsidRPr="00AB2B25" w:rsidRDefault="00160747" w:rsidP="00160747">
      <w:pPr>
        <w:autoSpaceDE w:val="0"/>
        <w:autoSpaceDN w:val="0"/>
        <w:adjustRightInd w:val="0"/>
        <w:ind w:left="720"/>
        <w:jc w:val="both"/>
      </w:pPr>
    </w:p>
    <w:p w:rsidR="00E33263" w:rsidRPr="00AB2B25" w:rsidRDefault="00E33263" w:rsidP="001B4C91">
      <w:pPr>
        <w:ind w:firstLine="360"/>
        <w:jc w:val="both"/>
      </w:pPr>
      <w:r w:rsidRPr="00AB2B25">
        <w:t>IM = NI</w:t>
      </w:r>
      <w:r w:rsidRPr="00AB2B25">
        <w:rPr>
          <w:vertAlign w:val="superscript"/>
        </w:rPr>
        <w:t>s</w:t>
      </w:r>
      <w:r w:rsidRPr="00AB2B25">
        <w:rPr>
          <w:vertAlign w:val="subscript"/>
        </w:rPr>
        <w:t>t-1</w:t>
      </w:r>
      <w:r w:rsidRPr="00AB2B25">
        <w:t>*[((RO</w:t>
      </w:r>
      <w:r w:rsidRPr="00AB2B25">
        <w:rPr>
          <w:vertAlign w:val="superscript"/>
        </w:rPr>
        <w:t>s</w:t>
      </w:r>
      <w:r w:rsidRPr="00AB2B25">
        <w:rPr>
          <w:vertAlign w:val="subscript"/>
        </w:rPr>
        <w:t>t</w:t>
      </w:r>
      <w:r w:rsidRPr="00AB2B25">
        <w:t>/RO</w:t>
      </w:r>
      <w:r w:rsidRPr="00AB2B25">
        <w:rPr>
          <w:vertAlign w:val="superscript"/>
        </w:rPr>
        <w:t>s</w:t>
      </w:r>
      <w:r w:rsidRPr="00AB2B25">
        <w:rPr>
          <w:vertAlign w:val="subscript"/>
        </w:rPr>
        <w:t>t-1</w:t>
      </w:r>
      <w:r w:rsidRPr="00AB2B25">
        <w:t>) - 1) – ((RO</w:t>
      </w:r>
      <w:r w:rsidRPr="00AB2B25">
        <w:rPr>
          <w:vertAlign w:val="subscript"/>
        </w:rPr>
        <w:t>t</w:t>
      </w:r>
      <w:r w:rsidRPr="00AB2B25">
        <w:t>/RO</w:t>
      </w:r>
      <w:r w:rsidRPr="00AB2B25">
        <w:rPr>
          <w:vertAlign w:val="subscript"/>
        </w:rPr>
        <w:t>t-1</w:t>
      </w:r>
      <w:r w:rsidRPr="00AB2B25">
        <w:t>) – 1)]</w:t>
      </w:r>
      <w:r w:rsidRPr="00AB2B25">
        <w:tab/>
      </w:r>
      <w:r w:rsidRPr="00AB2B25">
        <w:tab/>
      </w:r>
      <w:r w:rsidRPr="00AB2B25">
        <w:tab/>
      </w:r>
      <w:r w:rsidRPr="00AB2B25">
        <w:tab/>
        <w:t>(3)</w:t>
      </w:r>
    </w:p>
    <w:p w:rsidR="00E33263" w:rsidRPr="00AB2B25" w:rsidRDefault="006D7F55" w:rsidP="006D7F55">
      <w:pPr>
        <w:autoSpaceDE w:val="0"/>
        <w:autoSpaceDN w:val="0"/>
        <w:adjustRightInd w:val="0"/>
        <w:jc w:val="both"/>
      </w:pPr>
      <w:r w:rsidRPr="007824D5">
        <w:rPr>
          <w:lang w:val="ro-RO"/>
        </w:rPr>
        <w:t>Componenta de mix sectorial măsoară influenţa unui mix de grupe de mărfuri cu creştere rapidă/lentă într-o anumită regiune, comparativ cu cea a exporturilor României, minus alte efecte globale la nivelul întregului teritoriu. O grupă de mărfuri cu o pondere mai mare în totalul exporturilor unei anumite regiuni decât în ​​exporturile naţionale va avea un mix sectorial pozitiv dacă nivelul naţional al exporturilor grupei de mărfuri analizate a crescut mai mult decât exporturile totale</w:t>
      </w:r>
      <w:r w:rsidRPr="007824D5">
        <w:t xml:space="preserve">. </w:t>
      </w:r>
      <w:r w:rsidRPr="007824D5">
        <w:rPr>
          <w:lang w:val="ro-RO"/>
        </w:rPr>
        <w:t>Dimpotrivă, în cazul în care o grupă de mărfuri este sub-reprezentată în exporturile unei anumite regiuni (faţă de ponderea naţională), aceasta va avea un mix structural sau sectorial negativ</w:t>
      </w:r>
      <w:r w:rsidRPr="007824D5">
        <w:t>.</w:t>
      </w:r>
    </w:p>
    <w:p w:rsidR="00160747" w:rsidRDefault="006D7F55" w:rsidP="001B4C91">
      <w:pPr>
        <w:numPr>
          <w:ilvl w:val="0"/>
          <w:numId w:val="2"/>
        </w:numPr>
        <w:autoSpaceDE w:val="0"/>
        <w:autoSpaceDN w:val="0"/>
        <w:adjustRightInd w:val="0"/>
        <w:jc w:val="both"/>
        <w:rPr>
          <w:i/>
          <w:iCs/>
        </w:rPr>
      </w:pPr>
      <w:r w:rsidRPr="007824D5">
        <w:rPr>
          <w:i/>
          <w:iCs/>
        </w:rPr>
        <w:t>Schimbarea regional</w:t>
      </w:r>
      <w:r w:rsidRPr="007824D5">
        <w:rPr>
          <w:i/>
          <w:iCs/>
          <w:lang w:val="ro-RO"/>
        </w:rPr>
        <w:t>ă (efectul regional sau competitiv</w:t>
      </w:r>
      <w:r w:rsidR="00E33263" w:rsidRPr="00AB2B25">
        <w:rPr>
          <w:i/>
          <w:iCs/>
        </w:rPr>
        <w:t xml:space="preserve">): </w:t>
      </w:r>
    </w:p>
    <w:p w:rsidR="00E33263" w:rsidRPr="00AB2B25" w:rsidRDefault="00E33263" w:rsidP="00160747">
      <w:pPr>
        <w:autoSpaceDE w:val="0"/>
        <w:autoSpaceDN w:val="0"/>
        <w:adjustRightInd w:val="0"/>
        <w:ind w:left="720"/>
        <w:jc w:val="both"/>
        <w:rPr>
          <w:i/>
          <w:iCs/>
        </w:rPr>
      </w:pPr>
      <w:r w:rsidRPr="00AB2B25">
        <w:rPr>
          <w:i/>
          <w:iCs/>
        </w:rPr>
        <w:t xml:space="preserve"> </w:t>
      </w:r>
    </w:p>
    <w:p w:rsidR="00E33263" w:rsidRPr="00AB2B25" w:rsidRDefault="00E33263" w:rsidP="001B4C91">
      <w:pPr>
        <w:ind w:firstLine="360"/>
        <w:jc w:val="both"/>
      </w:pPr>
      <w:r w:rsidRPr="00AB2B25">
        <w:t>RS = NI</w:t>
      </w:r>
      <w:r w:rsidRPr="00AB2B25">
        <w:rPr>
          <w:vertAlign w:val="superscript"/>
        </w:rPr>
        <w:t>s</w:t>
      </w:r>
      <w:r w:rsidRPr="00AB2B25">
        <w:rPr>
          <w:vertAlign w:val="subscript"/>
        </w:rPr>
        <w:t>t-1</w:t>
      </w:r>
      <w:r w:rsidRPr="00AB2B25">
        <w:t>*[((NI</w:t>
      </w:r>
      <w:r w:rsidRPr="00AB2B25">
        <w:rPr>
          <w:vertAlign w:val="superscript"/>
        </w:rPr>
        <w:t>s</w:t>
      </w:r>
      <w:r w:rsidRPr="00AB2B25">
        <w:rPr>
          <w:vertAlign w:val="subscript"/>
        </w:rPr>
        <w:t>t</w:t>
      </w:r>
      <w:r w:rsidRPr="00AB2B25">
        <w:t>/NI</w:t>
      </w:r>
      <w:r w:rsidRPr="00AB2B25">
        <w:rPr>
          <w:vertAlign w:val="superscript"/>
        </w:rPr>
        <w:t>s</w:t>
      </w:r>
      <w:r w:rsidRPr="00AB2B25">
        <w:rPr>
          <w:vertAlign w:val="subscript"/>
        </w:rPr>
        <w:t>t-1</w:t>
      </w:r>
      <w:r w:rsidRPr="00AB2B25">
        <w:t>) – 1) - ((RO</w:t>
      </w:r>
      <w:r w:rsidRPr="00AB2B25">
        <w:rPr>
          <w:vertAlign w:val="superscript"/>
        </w:rPr>
        <w:t>s</w:t>
      </w:r>
      <w:r w:rsidRPr="00AB2B25">
        <w:rPr>
          <w:vertAlign w:val="subscript"/>
        </w:rPr>
        <w:t>t</w:t>
      </w:r>
      <w:r w:rsidRPr="00AB2B25">
        <w:t>/RO</w:t>
      </w:r>
      <w:r w:rsidRPr="00AB2B25">
        <w:rPr>
          <w:vertAlign w:val="superscript"/>
        </w:rPr>
        <w:t>s</w:t>
      </w:r>
      <w:r w:rsidRPr="00AB2B25">
        <w:rPr>
          <w:vertAlign w:val="subscript"/>
        </w:rPr>
        <w:t>t-1</w:t>
      </w:r>
      <w:r w:rsidRPr="00AB2B25">
        <w:t>) - 1)]</w:t>
      </w:r>
      <w:r w:rsidRPr="00AB2B25">
        <w:tab/>
      </w:r>
      <w:r w:rsidRPr="00AB2B25">
        <w:tab/>
      </w:r>
      <w:r w:rsidRPr="00AB2B25">
        <w:tab/>
      </w:r>
      <w:r w:rsidRPr="00AB2B25">
        <w:tab/>
        <w:t>(4)</w:t>
      </w:r>
    </w:p>
    <w:p w:rsidR="00E33263" w:rsidRPr="00AB2B25" w:rsidRDefault="006D7F55" w:rsidP="001B4C91">
      <w:pPr>
        <w:jc w:val="both"/>
      </w:pPr>
      <w:r w:rsidRPr="007824D5">
        <w:rPr>
          <w:lang w:val="ro-RO"/>
        </w:rPr>
        <w:t xml:space="preserve">Schimbarea regională reflectă componenta </w:t>
      </w:r>
      <w:r w:rsidRPr="007824D5">
        <w:rPr>
          <w:i/>
          <w:iCs/>
          <w:lang w:val="ro-RO"/>
        </w:rPr>
        <w:t>competitivă</w:t>
      </w:r>
      <w:r w:rsidRPr="007824D5">
        <w:rPr>
          <w:lang w:val="ro-RO"/>
        </w:rPr>
        <w:t xml:space="preserve"> într-o regiune, şi anume elementele dinamice unice care contribuie la performanţele acesteia în domeniul exporturilor</w:t>
      </w:r>
      <w:r w:rsidR="00E33263" w:rsidRPr="00AB2B25">
        <w:t xml:space="preserve">. </w:t>
      </w:r>
    </w:p>
    <w:p w:rsidR="00E33263" w:rsidRDefault="006D7F55" w:rsidP="001B4C91">
      <w:pPr>
        <w:jc w:val="both"/>
      </w:pPr>
      <w:r w:rsidRPr="007824D5">
        <w:rPr>
          <w:lang w:val="ro-RO"/>
        </w:rPr>
        <w:t xml:space="preserve">Acest indicator arată regiuni şi grupe de mărfuri lider sau rămase în urmă în ceea ce priveşte exporturile, în comparaţie cu nivelul naţional. Factorul de schimbare regională poate fi descompus în continuare într-o componentă de </w:t>
      </w:r>
      <w:r w:rsidRPr="007824D5">
        <w:rPr>
          <w:i/>
          <w:iCs/>
          <w:lang w:val="ro-RO"/>
        </w:rPr>
        <w:t xml:space="preserve">avantaj comparativ regional </w:t>
      </w:r>
      <w:r w:rsidRPr="007824D5">
        <w:rPr>
          <w:lang w:val="ro-RO"/>
        </w:rPr>
        <w:t xml:space="preserve">(ACR) şi o </w:t>
      </w:r>
      <w:r w:rsidRPr="007824D5">
        <w:rPr>
          <w:i/>
          <w:iCs/>
          <w:lang w:val="ro-RO"/>
        </w:rPr>
        <w:t xml:space="preserve">componentă de alocare </w:t>
      </w:r>
      <w:r w:rsidRPr="007824D5">
        <w:rPr>
          <w:lang w:val="ro-RO"/>
        </w:rPr>
        <w:t xml:space="preserve">(CA). </w:t>
      </w:r>
      <w:r w:rsidRPr="007824D5">
        <w:rPr>
          <w:rStyle w:val="hps"/>
          <w:lang w:val="ro-RO"/>
        </w:rPr>
        <w:t>Aceasta descompunere este importanta</w:t>
      </w:r>
      <w:r w:rsidRPr="007824D5">
        <w:rPr>
          <w:lang w:val="ro-RO"/>
        </w:rPr>
        <w:t xml:space="preserve"> </w:t>
      </w:r>
      <w:r w:rsidRPr="007824D5">
        <w:rPr>
          <w:rStyle w:val="hps"/>
          <w:lang w:val="ro-RO"/>
        </w:rPr>
        <w:t>la nivelul judeţelor</w:t>
      </w:r>
      <w:r w:rsidRPr="007824D5">
        <w:rPr>
          <w:lang w:val="ro-RO"/>
        </w:rPr>
        <w:t xml:space="preserve"> </w:t>
      </w:r>
      <w:r w:rsidRPr="007824D5">
        <w:rPr>
          <w:rStyle w:val="hps"/>
          <w:lang w:val="ro-RO"/>
        </w:rPr>
        <w:t>pentru orice efecte</w:t>
      </w:r>
      <w:r w:rsidRPr="007824D5">
        <w:rPr>
          <w:lang w:val="ro-RO"/>
        </w:rPr>
        <w:t xml:space="preserve"> </w:t>
      </w:r>
      <w:r w:rsidRPr="007824D5">
        <w:rPr>
          <w:rStyle w:val="hps"/>
          <w:lang w:val="ro-RO"/>
        </w:rPr>
        <w:t>de scară</w:t>
      </w:r>
      <w:r w:rsidRPr="007824D5">
        <w:rPr>
          <w:lang w:val="ro-RO"/>
        </w:rPr>
        <w:t xml:space="preserve"> </w:t>
      </w:r>
      <w:r w:rsidRPr="007824D5">
        <w:rPr>
          <w:rStyle w:val="hps"/>
          <w:lang w:val="ro-RO"/>
        </w:rPr>
        <w:t>existente</w:t>
      </w:r>
      <w:r w:rsidRPr="007824D5">
        <w:rPr>
          <w:lang w:val="ro-RO"/>
        </w:rPr>
        <w:t xml:space="preserve"> </w:t>
      </w:r>
      <w:r w:rsidRPr="007824D5">
        <w:rPr>
          <w:rStyle w:val="hps"/>
          <w:lang w:val="ro-RO"/>
        </w:rPr>
        <w:t>în cazul în care</w:t>
      </w:r>
      <w:r w:rsidRPr="007824D5">
        <w:rPr>
          <w:lang w:val="ro-RO"/>
        </w:rPr>
        <w:t xml:space="preserve"> </w:t>
      </w:r>
      <w:r w:rsidRPr="007824D5">
        <w:rPr>
          <w:rStyle w:val="hps"/>
          <w:lang w:val="ro-RO"/>
        </w:rPr>
        <w:t>regiunile</w:t>
      </w:r>
      <w:r w:rsidRPr="007824D5">
        <w:rPr>
          <w:lang w:val="ro-RO"/>
        </w:rPr>
        <w:t xml:space="preserve"> </w:t>
      </w:r>
      <w:r w:rsidRPr="007824D5">
        <w:rPr>
          <w:rStyle w:val="hps"/>
          <w:lang w:val="ro-RO"/>
        </w:rPr>
        <w:t>sunt foarte</w:t>
      </w:r>
      <w:r w:rsidRPr="007824D5">
        <w:rPr>
          <w:lang w:val="ro-RO"/>
        </w:rPr>
        <w:t xml:space="preserve"> </w:t>
      </w:r>
      <w:r w:rsidRPr="007824D5">
        <w:rPr>
          <w:rStyle w:val="hps"/>
          <w:lang w:val="ro-RO"/>
        </w:rPr>
        <w:t>diferite ca</w:t>
      </w:r>
      <w:r w:rsidRPr="007824D5">
        <w:rPr>
          <w:lang w:val="ro-RO"/>
        </w:rPr>
        <w:t xml:space="preserve"> </w:t>
      </w:r>
      <w:r w:rsidRPr="007824D5">
        <w:rPr>
          <w:rStyle w:val="hps"/>
          <w:lang w:val="ro-RO"/>
        </w:rPr>
        <w:t xml:space="preserve">mărime </w:t>
      </w:r>
      <w:r w:rsidR="00E33263" w:rsidRPr="00AB2B25">
        <w:rPr>
          <w:rStyle w:val="hps"/>
        </w:rPr>
        <w:t>(</w:t>
      </w:r>
      <w:r w:rsidR="00E33263" w:rsidRPr="00AB2B25">
        <w:rPr>
          <w:bCs/>
        </w:rPr>
        <w:t xml:space="preserve">D’Elia, 2005; Esteban-Marquillas, 2000; Baxendine </w:t>
      </w:r>
      <w:r w:rsidR="00E33263" w:rsidRPr="00AB2B25">
        <w:rPr>
          <w:bCs/>
          <w:i/>
        </w:rPr>
        <w:t>et al</w:t>
      </w:r>
      <w:r w:rsidR="00E33263" w:rsidRPr="00AB2B25">
        <w:rPr>
          <w:bCs/>
        </w:rPr>
        <w:t>, 2005)</w:t>
      </w:r>
      <w:r w:rsidR="00E33263" w:rsidRPr="00AB2B25">
        <w:t>.</w:t>
      </w:r>
    </w:p>
    <w:p w:rsidR="00B74ACF" w:rsidRPr="00AB2B25" w:rsidRDefault="00B74ACF" w:rsidP="001B4C91">
      <w:pPr>
        <w:jc w:val="both"/>
      </w:pPr>
    </w:p>
    <w:p w:rsidR="00E33263" w:rsidRPr="00AB2B25" w:rsidRDefault="00E33263" w:rsidP="001B4C91">
      <w:pPr>
        <w:jc w:val="both"/>
      </w:pPr>
      <w:r w:rsidRPr="00AB2B25">
        <w:t>ACR = NI</w:t>
      </w:r>
      <w:r w:rsidRPr="00AB2B25">
        <w:rPr>
          <w:vertAlign w:val="subscript"/>
        </w:rPr>
        <w:t>t-1</w:t>
      </w:r>
      <w:r w:rsidRPr="00AB2B25">
        <w:t>*(RO</w:t>
      </w:r>
      <w:r w:rsidRPr="00AB2B25">
        <w:rPr>
          <w:vertAlign w:val="superscript"/>
        </w:rPr>
        <w:t>s</w:t>
      </w:r>
      <w:r w:rsidRPr="00AB2B25">
        <w:rPr>
          <w:vertAlign w:val="subscript"/>
        </w:rPr>
        <w:t>t/</w:t>
      </w:r>
      <w:r w:rsidRPr="00AB2B25">
        <w:t>RO</w:t>
      </w:r>
      <w:r w:rsidRPr="00AB2B25">
        <w:rPr>
          <w:vertAlign w:val="subscript"/>
        </w:rPr>
        <w:t>t-1</w:t>
      </w:r>
      <w:r w:rsidRPr="00AB2B25">
        <w:t>)*[(NI</w:t>
      </w:r>
      <w:r w:rsidRPr="00AB2B25">
        <w:rPr>
          <w:vertAlign w:val="superscript"/>
        </w:rPr>
        <w:t>s</w:t>
      </w:r>
      <w:r w:rsidRPr="00AB2B25">
        <w:rPr>
          <w:vertAlign w:val="subscript"/>
        </w:rPr>
        <w:t>t</w:t>
      </w:r>
      <w:r w:rsidRPr="00AB2B25">
        <w:t>/NI</w:t>
      </w:r>
      <w:r w:rsidRPr="00AB2B25">
        <w:rPr>
          <w:vertAlign w:val="superscript"/>
        </w:rPr>
        <w:t>s</w:t>
      </w:r>
      <w:r w:rsidRPr="00AB2B25">
        <w:rPr>
          <w:vertAlign w:val="subscript"/>
        </w:rPr>
        <w:t>t-1</w:t>
      </w:r>
      <w:r w:rsidRPr="00AB2B25">
        <w:t xml:space="preserve"> -1) - (RO</w:t>
      </w:r>
      <w:r w:rsidRPr="00AB2B25">
        <w:rPr>
          <w:vertAlign w:val="superscript"/>
        </w:rPr>
        <w:t>s</w:t>
      </w:r>
      <w:r w:rsidRPr="00AB2B25">
        <w:rPr>
          <w:vertAlign w:val="subscript"/>
        </w:rPr>
        <w:t>t</w:t>
      </w:r>
      <w:r w:rsidRPr="00AB2B25">
        <w:t>/RO</w:t>
      </w:r>
      <w:r w:rsidRPr="00AB2B25">
        <w:rPr>
          <w:vertAlign w:val="superscript"/>
        </w:rPr>
        <w:t>s</w:t>
      </w:r>
      <w:r w:rsidRPr="00AB2B25">
        <w:rPr>
          <w:vertAlign w:val="subscript"/>
        </w:rPr>
        <w:t>t-1</w:t>
      </w:r>
      <w:r w:rsidRPr="00AB2B25">
        <w:t>) - 1]</w:t>
      </w:r>
      <w:r w:rsidR="00160747">
        <w:tab/>
      </w:r>
      <w:r w:rsidR="00160747">
        <w:tab/>
      </w:r>
      <w:r w:rsidR="00160747">
        <w:tab/>
        <w:t>(5)</w:t>
      </w:r>
    </w:p>
    <w:p w:rsidR="00E33263" w:rsidRPr="00AB2B25" w:rsidRDefault="00E33263" w:rsidP="001B4C91">
      <w:pPr>
        <w:jc w:val="both"/>
      </w:pPr>
      <w:r w:rsidRPr="00AB2B25">
        <w:t>CA = [NI</w:t>
      </w:r>
      <w:r w:rsidRPr="00AB2B25">
        <w:rPr>
          <w:vertAlign w:val="superscript"/>
        </w:rPr>
        <w:t>s</w:t>
      </w:r>
      <w:r w:rsidRPr="00AB2B25">
        <w:rPr>
          <w:vertAlign w:val="subscript"/>
        </w:rPr>
        <w:t>t-1</w:t>
      </w:r>
      <w:r w:rsidRPr="00AB2B25">
        <w:t xml:space="preserve"> - NI</w:t>
      </w:r>
      <w:r w:rsidRPr="00AB2B25">
        <w:rPr>
          <w:vertAlign w:val="subscript"/>
        </w:rPr>
        <w:t>t-1</w:t>
      </w:r>
      <w:r w:rsidRPr="00AB2B25">
        <w:t>*(RO</w:t>
      </w:r>
      <w:r w:rsidRPr="00AB2B25">
        <w:rPr>
          <w:vertAlign w:val="superscript"/>
        </w:rPr>
        <w:t>s</w:t>
      </w:r>
      <w:r w:rsidRPr="00AB2B25">
        <w:rPr>
          <w:vertAlign w:val="subscript"/>
        </w:rPr>
        <w:t>t</w:t>
      </w:r>
      <w:r w:rsidRPr="00AB2B25">
        <w:t>/RO</w:t>
      </w:r>
      <w:r w:rsidRPr="00AB2B25">
        <w:rPr>
          <w:vertAlign w:val="superscript"/>
        </w:rPr>
        <w:t>s</w:t>
      </w:r>
      <w:r w:rsidRPr="00AB2B25">
        <w:rPr>
          <w:vertAlign w:val="subscript"/>
        </w:rPr>
        <w:t>t-1</w:t>
      </w:r>
      <w:r w:rsidRPr="00AB2B25">
        <w:t>)]*[</w:t>
      </w:r>
      <w:proofErr w:type="gramStart"/>
      <w:r w:rsidRPr="00AB2B25">
        <w:t>( NI</w:t>
      </w:r>
      <w:r w:rsidRPr="00AB2B25">
        <w:rPr>
          <w:vertAlign w:val="superscript"/>
        </w:rPr>
        <w:t>s</w:t>
      </w:r>
      <w:r w:rsidRPr="00AB2B25">
        <w:rPr>
          <w:vertAlign w:val="subscript"/>
        </w:rPr>
        <w:t>t</w:t>
      </w:r>
      <w:proofErr w:type="gramEnd"/>
      <w:r w:rsidRPr="00AB2B25">
        <w:t>/NI</w:t>
      </w:r>
      <w:r w:rsidRPr="00AB2B25">
        <w:rPr>
          <w:vertAlign w:val="superscript"/>
        </w:rPr>
        <w:t>s</w:t>
      </w:r>
      <w:r w:rsidRPr="00AB2B25">
        <w:rPr>
          <w:vertAlign w:val="subscript"/>
        </w:rPr>
        <w:t>t-1</w:t>
      </w:r>
      <w:r w:rsidRPr="00AB2B25">
        <w:t xml:space="preserve"> -1) – (RO</w:t>
      </w:r>
      <w:r w:rsidRPr="00AB2B25">
        <w:rPr>
          <w:vertAlign w:val="superscript"/>
        </w:rPr>
        <w:t>s</w:t>
      </w:r>
      <w:r w:rsidRPr="00AB2B25">
        <w:rPr>
          <w:vertAlign w:val="subscript"/>
        </w:rPr>
        <w:t>t</w:t>
      </w:r>
      <w:r w:rsidRPr="00AB2B25">
        <w:t>/RO</w:t>
      </w:r>
      <w:r w:rsidRPr="00AB2B25">
        <w:rPr>
          <w:vertAlign w:val="superscript"/>
        </w:rPr>
        <w:t>s</w:t>
      </w:r>
      <w:r w:rsidRPr="00AB2B25">
        <w:rPr>
          <w:vertAlign w:val="subscript"/>
        </w:rPr>
        <w:t>t-1</w:t>
      </w:r>
      <w:r w:rsidRPr="00AB2B25">
        <w:t>) – 1]</w:t>
      </w:r>
      <w:r w:rsidR="00160747">
        <w:tab/>
      </w:r>
      <w:r w:rsidR="00160747">
        <w:tab/>
        <w:t>(6)</w:t>
      </w:r>
    </w:p>
    <w:p w:rsidR="00E33263" w:rsidRPr="00AB2B25" w:rsidRDefault="006D7F55" w:rsidP="001B4C91">
      <w:pPr>
        <w:jc w:val="both"/>
      </w:pPr>
      <w:r w:rsidRPr="007824D5">
        <w:t>Component</w:t>
      </w:r>
      <w:r w:rsidRPr="007824D5">
        <w:rPr>
          <w:lang w:val="ro-RO"/>
        </w:rPr>
        <w:t>a</w:t>
      </w:r>
      <w:r w:rsidRPr="007824D5">
        <w:t xml:space="preserve"> de avantaj comparativ reflectă </w:t>
      </w:r>
      <w:r w:rsidRPr="007824D5">
        <w:rPr>
          <w:lang w:val="ro-RO"/>
        </w:rPr>
        <w:t xml:space="preserve">competitivitatea fiecărei grupe de mărfuri dintr-o regiune faţă de competitivitatea acesteia la nivel naţional, iar componenta de alocare reprezintă </w:t>
      </w:r>
      <w:proofErr w:type="gramStart"/>
      <w:r w:rsidRPr="007824D5">
        <w:rPr>
          <w:lang w:val="ro-RO"/>
        </w:rPr>
        <w:t>un</w:t>
      </w:r>
      <w:proofErr w:type="gramEnd"/>
      <w:r w:rsidRPr="007824D5">
        <w:rPr>
          <w:lang w:val="ro-RO"/>
        </w:rPr>
        <w:t xml:space="preserve"> element rezidual care combină ponderea relativă a unei grupe de mărfuri dintr-o regiune faţă de ponderea acesteia la nivelul exporturilor naţionale cu rata de creştere a grupei de mărfuri în exporturile naţionale şi regionale</w:t>
      </w:r>
      <w:r w:rsidR="00230734">
        <w:t xml:space="preserve">.  </w:t>
      </w:r>
    </w:p>
    <w:p w:rsidR="00E33263" w:rsidRPr="00AB2B25" w:rsidRDefault="00E33263" w:rsidP="001B4C91">
      <w:pPr>
        <w:jc w:val="both"/>
      </w:pPr>
    </w:p>
    <w:p w:rsidR="00E33263" w:rsidRPr="00AB2B25" w:rsidRDefault="006D7F55" w:rsidP="001B4C91">
      <w:pPr>
        <w:numPr>
          <w:ilvl w:val="0"/>
          <w:numId w:val="3"/>
        </w:numPr>
        <w:autoSpaceDE w:val="0"/>
        <w:autoSpaceDN w:val="0"/>
        <w:adjustRightInd w:val="0"/>
        <w:jc w:val="both"/>
        <w:rPr>
          <w:b/>
        </w:rPr>
      </w:pPr>
      <w:r w:rsidRPr="007824D5">
        <w:rPr>
          <w:b/>
        </w:rPr>
        <w:t>MODIFIC</w:t>
      </w:r>
      <w:r>
        <w:rPr>
          <w:b/>
        </w:rPr>
        <w:t>Ă</w:t>
      </w:r>
      <w:r w:rsidRPr="007824D5">
        <w:rPr>
          <w:b/>
        </w:rPr>
        <w:t>RI ÎN STRUCTURA EXPORTURILOR REGIONALE</w:t>
      </w:r>
      <w:r>
        <w:rPr>
          <w:b/>
        </w:rPr>
        <w:t xml:space="preserve"> </w:t>
      </w:r>
    </w:p>
    <w:p w:rsidR="00E33263" w:rsidRPr="00AB2B25" w:rsidRDefault="00E33263" w:rsidP="001B4C91">
      <w:pPr>
        <w:autoSpaceDE w:val="0"/>
        <w:autoSpaceDN w:val="0"/>
        <w:adjustRightInd w:val="0"/>
        <w:jc w:val="both"/>
      </w:pPr>
    </w:p>
    <w:p w:rsidR="00E33263" w:rsidRDefault="006D7F55" w:rsidP="001B4C91">
      <w:pPr>
        <w:autoSpaceDE w:val="0"/>
        <w:autoSpaceDN w:val="0"/>
        <w:adjustRightInd w:val="0"/>
        <w:jc w:val="both"/>
      </w:pPr>
      <w:r w:rsidRPr="007824D5">
        <w:rPr>
          <w:lang w:val="ro-RO"/>
        </w:rPr>
        <w:t xml:space="preserve">Evoluţia </w:t>
      </w:r>
      <w:r w:rsidRPr="007824D5">
        <w:rPr>
          <w:b/>
          <w:i/>
          <w:lang w:val="ro-RO"/>
        </w:rPr>
        <w:t>exporturilor totale</w:t>
      </w:r>
      <w:r w:rsidRPr="007824D5">
        <w:rPr>
          <w:lang w:val="ro-RO"/>
        </w:rPr>
        <w:t xml:space="preserve"> ale regunilor României în perioada 2005-2013 evidenţiază două perioade relativ distincte: 2005-2008 (pre-criză economică) şi 2009-2013 (criză şi post-criză </w:t>
      </w:r>
      <w:r w:rsidRPr="007824D5">
        <w:rPr>
          <w:lang w:val="ro-RO"/>
        </w:rPr>
        <w:lastRenderedPageBreak/>
        <w:t>economică), cu o scădere evidentă în anul 2009 şi, parţială, în anul 2012 (Figura 1)</w:t>
      </w:r>
      <w:r w:rsidR="00E33263" w:rsidRPr="00AB2B25">
        <w:t xml:space="preserve">. </w:t>
      </w:r>
      <w:r w:rsidRPr="007824D5">
        <w:rPr>
          <w:lang w:val="ro-RO"/>
        </w:rPr>
        <w:t>La nivelul majorităţii principalelor grupe de mărfuri se pot, de asemenea, evidenţia anii 2009 şi 2012 ca puncte de inflexiune în evoluţia exporturilor regionale, dar cu anumite particularităţi regionale şi/sau sectoriale</w:t>
      </w:r>
      <w:r w:rsidR="005D29B2">
        <w:t xml:space="preserve"> [3]</w:t>
      </w:r>
      <w:r w:rsidR="00350656">
        <w:t xml:space="preserve">. </w:t>
      </w:r>
      <w:r w:rsidRPr="007824D5">
        <w:rPr>
          <w:lang w:val="ro-RO"/>
        </w:rPr>
        <w:t xml:space="preserve">În acest context, cu ajutorul analizei shift-share s-au analizat modificările din </w:t>
      </w:r>
      <w:r w:rsidRPr="007824D5">
        <w:rPr>
          <w:i/>
          <w:lang w:val="ro-RO"/>
        </w:rPr>
        <w:t>structura exporturilor</w:t>
      </w:r>
      <w:r w:rsidRPr="007824D5">
        <w:rPr>
          <w:lang w:val="ro-RO"/>
        </w:rPr>
        <w:t xml:space="preserve"> la nivelul întregii perioade analizate (anul 2013 faţă de anul 2005), dar şi pentru cele două subperioade distincte evidenţiate în evoluţia exporturilor totale la nivel naţional şi regional, respectiv 2005-2008 şi 2009-2013</w:t>
      </w:r>
      <w:r w:rsidR="00E33263" w:rsidRPr="00AB2B25">
        <w:t>.</w:t>
      </w:r>
    </w:p>
    <w:p w:rsidR="005D29B2" w:rsidRPr="00AB2B25" w:rsidRDefault="005D29B2" w:rsidP="001B4C91">
      <w:pPr>
        <w:autoSpaceDE w:val="0"/>
        <w:autoSpaceDN w:val="0"/>
        <w:adjustRightInd w:val="0"/>
        <w:jc w:val="both"/>
      </w:pPr>
    </w:p>
    <w:p w:rsidR="00E33263" w:rsidRPr="00AE5F46" w:rsidRDefault="00E33263" w:rsidP="001B4C91">
      <w:pPr>
        <w:autoSpaceDE w:val="0"/>
        <w:autoSpaceDN w:val="0"/>
        <w:adjustRightInd w:val="0"/>
        <w:jc w:val="both"/>
        <w:rPr>
          <w:b/>
          <w:sz w:val="20"/>
          <w:szCs w:val="20"/>
        </w:rPr>
      </w:pPr>
      <w:proofErr w:type="gramStart"/>
      <w:r w:rsidRPr="00AE5F46">
        <w:rPr>
          <w:b/>
          <w:sz w:val="20"/>
          <w:szCs w:val="20"/>
        </w:rPr>
        <w:t>Figur</w:t>
      </w:r>
      <w:r w:rsidR="006D7F55">
        <w:rPr>
          <w:b/>
          <w:sz w:val="20"/>
          <w:szCs w:val="20"/>
        </w:rPr>
        <w:t>a</w:t>
      </w:r>
      <w:r w:rsidRPr="00AE5F46">
        <w:rPr>
          <w:b/>
          <w:sz w:val="20"/>
          <w:szCs w:val="20"/>
        </w:rPr>
        <w:t xml:space="preserve"> 1.</w:t>
      </w:r>
      <w:proofErr w:type="gramEnd"/>
      <w:r w:rsidRPr="00AE5F46">
        <w:rPr>
          <w:b/>
          <w:sz w:val="20"/>
          <w:szCs w:val="20"/>
        </w:rPr>
        <w:t xml:space="preserve"> </w:t>
      </w:r>
      <w:r w:rsidR="006D7F55">
        <w:rPr>
          <w:b/>
          <w:sz w:val="20"/>
          <w:szCs w:val="20"/>
        </w:rPr>
        <w:t>Evoluţia exporturilor totale în regiunile României</w:t>
      </w:r>
    </w:p>
    <w:p w:rsidR="00E33263" w:rsidRPr="00AB2B25" w:rsidRDefault="00781F3D" w:rsidP="001B4C91">
      <w:pPr>
        <w:autoSpaceDE w:val="0"/>
        <w:autoSpaceDN w:val="0"/>
        <w:adjustRightInd w:val="0"/>
        <w:jc w:val="both"/>
      </w:pPr>
      <w:r w:rsidRPr="00781F3D">
        <w:rPr>
          <w:noProof/>
        </w:rPr>
        <w:drawing>
          <wp:inline distT="0" distB="0" distL="0" distR="0">
            <wp:extent cx="5732145" cy="2919964"/>
            <wp:effectExtent l="19050" t="0" r="209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29B2" w:rsidRDefault="005D29B2" w:rsidP="001B4C91">
      <w:pPr>
        <w:rPr>
          <w:sz w:val="20"/>
          <w:szCs w:val="20"/>
        </w:rPr>
      </w:pPr>
    </w:p>
    <w:p w:rsidR="006D7F55" w:rsidRPr="00164674" w:rsidRDefault="006D7F55" w:rsidP="006D7F55">
      <w:pPr>
        <w:rPr>
          <w:sz w:val="20"/>
          <w:szCs w:val="20"/>
          <w:lang w:val="ro-RO"/>
        </w:rPr>
      </w:pPr>
      <w:r w:rsidRPr="00164674">
        <w:rPr>
          <w:sz w:val="20"/>
          <w:szCs w:val="20"/>
          <w:lang w:val="ro-RO"/>
        </w:rPr>
        <w:t>Sursa: Calcule ale autorilor pe baza datelor de la Institutul Na</w:t>
      </w:r>
      <w:r>
        <w:rPr>
          <w:sz w:val="20"/>
          <w:szCs w:val="20"/>
          <w:lang w:val="ro-RO"/>
        </w:rPr>
        <w:t>ţ</w:t>
      </w:r>
      <w:r w:rsidRPr="00164674">
        <w:rPr>
          <w:sz w:val="20"/>
          <w:szCs w:val="20"/>
          <w:lang w:val="ro-RO"/>
        </w:rPr>
        <w:t xml:space="preserve">ional de Statistică </w:t>
      </w:r>
      <w:r>
        <w:rPr>
          <w:sz w:val="20"/>
          <w:szCs w:val="20"/>
          <w:lang w:val="ro-RO"/>
        </w:rPr>
        <w:t>ş</w:t>
      </w:r>
      <w:r w:rsidRPr="00164674">
        <w:rPr>
          <w:sz w:val="20"/>
          <w:szCs w:val="20"/>
          <w:lang w:val="ro-RO"/>
        </w:rPr>
        <w:t>i TEMPO-on line.</w:t>
      </w:r>
    </w:p>
    <w:p w:rsidR="00E33263" w:rsidRPr="00AB2B25" w:rsidRDefault="00E33263" w:rsidP="001B4C91">
      <w:pPr>
        <w:autoSpaceDE w:val="0"/>
        <w:autoSpaceDN w:val="0"/>
        <w:adjustRightInd w:val="0"/>
        <w:jc w:val="both"/>
      </w:pPr>
    </w:p>
    <w:p w:rsidR="00E33263" w:rsidRPr="00AB2B25" w:rsidRDefault="006D7F55" w:rsidP="001B4C91">
      <w:pPr>
        <w:autoSpaceDE w:val="0"/>
        <w:autoSpaceDN w:val="0"/>
        <w:adjustRightInd w:val="0"/>
        <w:jc w:val="both"/>
      </w:pPr>
      <w:r w:rsidRPr="007824D5">
        <w:rPr>
          <w:rStyle w:val="hps"/>
          <w:lang w:val="ro-RO"/>
        </w:rPr>
        <w:t>Tabelul</w:t>
      </w:r>
      <w:r w:rsidRPr="007824D5">
        <w:rPr>
          <w:lang w:val="ro-RO"/>
        </w:rPr>
        <w:t xml:space="preserve"> </w:t>
      </w:r>
      <w:r w:rsidRPr="007824D5">
        <w:rPr>
          <w:rStyle w:val="hps"/>
          <w:lang w:val="ro-RO"/>
        </w:rPr>
        <w:t>1 prezintă</w:t>
      </w:r>
      <w:r w:rsidRPr="007824D5">
        <w:rPr>
          <w:lang w:val="ro-RO"/>
        </w:rPr>
        <w:t xml:space="preserve"> </w:t>
      </w:r>
      <w:r w:rsidRPr="007824D5">
        <w:rPr>
          <w:rStyle w:val="hps"/>
          <w:lang w:val="ro-RO"/>
        </w:rPr>
        <w:t>modificarea</w:t>
      </w:r>
      <w:r w:rsidRPr="007824D5">
        <w:rPr>
          <w:lang w:val="ro-RO"/>
        </w:rPr>
        <w:t xml:space="preserve"> </w:t>
      </w:r>
      <w:r w:rsidRPr="007824D5">
        <w:rPr>
          <w:rStyle w:val="hps"/>
          <w:lang w:val="ro-RO"/>
        </w:rPr>
        <w:t>totală a</w:t>
      </w:r>
      <w:r w:rsidRPr="007824D5">
        <w:rPr>
          <w:lang w:val="ro-RO"/>
        </w:rPr>
        <w:t xml:space="preserve"> </w:t>
      </w:r>
      <w:r w:rsidRPr="007824D5">
        <w:rPr>
          <w:rStyle w:val="hps"/>
          <w:lang w:val="ro-RO"/>
        </w:rPr>
        <w:t>exporturilor regiunilor României în cazul perioadelor analizate, exprimate ca % din nivelul exporturilor din anul 2005, respectiv 2009</w:t>
      </w:r>
      <w:r w:rsidRPr="007824D5">
        <w:rPr>
          <w:lang w:val="ro-RO"/>
        </w:rPr>
        <w:t xml:space="preserve">. </w:t>
      </w:r>
      <w:r w:rsidRPr="007824D5">
        <w:rPr>
          <w:rStyle w:val="hps"/>
          <w:lang w:val="ro-RO"/>
        </w:rPr>
        <w:t>După cum</w:t>
      </w:r>
      <w:r w:rsidRPr="007824D5">
        <w:rPr>
          <w:lang w:val="ro-RO"/>
        </w:rPr>
        <w:t xml:space="preserve"> </w:t>
      </w:r>
      <w:r w:rsidRPr="007824D5">
        <w:rPr>
          <w:rStyle w:val="hps"/>
          <w:lang w:val="ro-RO"/>
        </w:rPr>
        <w:t>se poate</w:t>
      </w:r>
      <w:r w:rsidRPr="007824D5">
        <w:rPr>
          <w:lang w:val="ro-RO"/>
        </w:rPr>
        <w:t xml:space="preserve"> </w:t>
      </w:r>
      <w:r w:rsidRPr="007824D5">
        <w:rPr>
          <w:rStyle w:val="hps"/>
          <w:lang w:val="ro-RO"/>
        </w:rPr>
        <w:t>observa</w:t>
      </w:r>
      <w:r w:rsidRPr="007824D5">
        <w:rPr>
          <w:lang w:val="ro-RO"/>
        </w:rPr>
        <w:t xml:space="preserve">, nu </w:t>
      </w:r>
      <w:r w:rsidRPr="007824D5">
        <w:rPr>
          <w:rStyle w:val="hps"/>
          <w:lang w:val="ro-RO"/>
        </w:rPr>
        <w:t>există grupe de mărfuri pentru care</w:t>
      </w:r>
      <w:r w:rsidRPr="007824D5">
        <w:rPr>
          <w:lang w:val="ro-RO"/>
        </w:rPr>
        <w:t xml:space="preserve"> </w:t>
      </w:r>
      <w:r w:rsidRPr="007824D5">
        <w:rPr>
          <w:rStyle w:val="hps"/>
          <w:lang w:val="ro-RO"/>
        </w:rPr>
        <w:t>toate</w:t>
      </w:r>
      <w:r w:rsidRPr="007824D5">
        <w:rPr>
          <w:lang w:val="ro-RO"/>
        </w:rPr>
        <w:t xml:space="preserve"> </w:t>
      </w:r>
      <w:r w:rsidRPr="007824D5">
        <w:rPr>
          <w:rStyle w:val="hps"/>
          <w:lang w:val="ro-RO"/>
        </w:rPr>
        <w:t>regiunile să fi înregistrat</w:t>
      </w:r>
      <w:r w:rsidRPr="007824D5">
        <w:rPr>
          <w:lang w:val="ro-RO"/>
        </w:rPr>
        <w:t xml:space="preserve"> </w:t>
      </w:r>
      <w:r w:rsidRPr="007824D5">
        <w:rPr>
          <w:rStyle w:val="hps"/>
          <w:lang w:val="ro-RO"/>
        </w:rPr>
        <w:t>schimbări negative</w:t>
      </w:r>
      <w:r w:rsidRPr="007824D5">
        <w:rPr>
          <w:lang w:val="ro-RO"/>
        </w:rPr>
        <w:t xml:space="preserve"> </w:t>
      </w:r>
      <w:r w:rsidRPr="007824D5">
        <w:rPr>
          <w:rStyle w:val="hps"/>
          <w:lang w:val="ro-RO"/>
        </w:rPr>
        <w:t>în comparaţie cu</w:t>
      </w:r>
      <w:r w:rsidRPr="007824D5">
        <w:rPr>
          <w:lang w:val="ro-RO"/>
        </w:rPr>
        <w:t xml:space="preserve"> </w:t>
      </w:r>
      <w:r w:rsidRPr="007824D5">
        <w:rPr>
          <w:rStyle w:val="hps"/>
          <w:lang w:val="ro-RO"/>
        </w:rPr>
        <w:t>nivelurile</w:t>
      </w:r>
      <w:r w:rsidRPr="007824D5">
        <w:rPr>
          <w:lang w:val="ro-RO"/>
        </w:rPr>
        <w:t xml:space="preserve"> </w:t>
      </w:r>
      <w:r w:rsidRPr="007824D5">
        <w:rPr>
          <w:rStyle w:val="hps"/>
          <w:lang w:val="ro-RO"/>
        </w:rPr>
        <w:t>exporturilor din anul 2005, dar există unele grupe de mărfuri pentru care mai multe regiuni au înregistrat astfel de schimbări, diferenţiate sau nu pe subperioade:</w:t>
      </w:r>
      <w:r w:rsidRPr="007824D5">
        <w:rPr>
          <w:lang w:val="ro-RO"/>
        </w:rPr>
        <w:t xml:space="preserve"> III (Nord-Est, Sud-Est, Sud-Vest Oltenia), V (Nord-Est, Sud-Vest Oltenia, Nord-Vest, Bucureşti-Ilfov), VIII (Nord-Est, Sud Muntenia, Nord-Vest), X (Nord-Est, Sud-Est, Sud-Vest Oltenia, Bucureşti-Ilfov), XI (Nord-Est, Sud-Est, Sud Muntenia, Vest, Nord-Vest, Bucureşti-Ilfov), XII (Nord-Est, Sud Muntenia, Nord-Vest, Centru, Bucureşti-Ilfov), XIII (Nord-Est, Sud-Vest Oltenia, Bucureşti-Ilfov), XX (Nord-Est, Sud-Vest Oltenia, Bucureşti-Ilfov)</w:t>
      </w:r>
      <w:r w:rsidR="00E33263" w:rsidRPr="00AB2B25">
        <w:t xml:space="preserve">. </w:t>
      </w:r>
    </w:p>
    <w:p w:rsidR="00E33263" w:rsidRPr="00AB2B25" w:rsidRDefault="00E33263" w:rsidP="001B4C91">
      <w:pPr>
        <w:autoSpaceDE w:val="0"/>
        <w:autoSpaceDN w:val="0"/>
        <w:adjustRightInd w:val="0"/>
        <w:jc w:val="both"/>
        <w:rPr>
          <w:b/>
        </w:rPr>
      </w:pPr>
    </w:p>
    <w:p w:rsidR="00E33263" w:rsidRPr="006D7F55" w:rsidRDefault="006D7F55" w:rsidP="001B4C91">
      <w:pPr>
        <w:autoSpaceDE w:val="0"/>
        <w:autoSpaceDN w:val="0"/>
        <w:adjustRightInd w:val="0"/>
        <w:jc w:val="both"/>
        <w:rPr>
          <w:b/>
          <w:sz w:val="20"/>
          <w:szCs w:val="20"/>
        </w:rPr>
      </w:pPr>
      <w:r w:rsidRPr="006D7F55">
        <w:rPr>
          <w:b/>
          <w:sz w:val="20"/>
          <w:szCs w:val="20"/>
          <w:lang w:val="ro-RO"/>
        </w:rPr>
        <w:t>Tabelul 1. Modificarea totală a exporturilor regiunilor României, în % din nivelul exporturilor din anii 2005, respectiv 2009, pe principalele grupe ale NC</w:t>
      </w:r>
      <w:r w:rsidR="00F909D8" w:rsidRPr="006D7F55">
        <w:rPr>
          <w:b/>
          <w:sz w:val="20"/>
          <w:szCs w:val="20"/>
        </w:rPr>
        <w:t xml:space="preserve"> </w:t>
      </w:r>
    </w:p>
    <w:tbl>
      <w:tblPr>
        <w:tblW w:w="9900" w:type="dxa"/>
        <w:tblInd w:w="108" w:type="dxa"/>
        <w:tblLook w:val="04A0"/>
      </w:tblPr>
      <w:tblGrid>
        <w:gridCol w:w="810"/>
        <w:gridCol w:w="720"/>
        <w:gridCol w:w="720"/>
        <w:gridCol w:w="720"/>
        <w:gridCol w:w="720"/>
        <w:gridCol w:w="636"/>
        <w:gridCol w:w="810"/>
        <w:gridCol w:w="891"/>
        <w:gridCol w:w="711"/>
        <w:gridCol w:w="711"/>
        <w:gridCol w:w="801"/>
        <w:gridCol w:w="981"/>
        <w:gridCol w:w="669"/>
      </w:tblGrid>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Nord-Est</w:t>
            </w:r>
          </w:p>
        </w:tc>
        <w:tc>
          <w:tcPr>
            <w:tcW w:w="21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Sud-Est</w:t>
            </w:r>
          </w:p>
        </w:tc>
        <w:tc>
          <w:tcPr>
            <w:tcW w:w="23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Sud Muntenia</w:t>
            </w:r>
          </w:p>
        </w:tc>
        <w:tc>
          <w:tcPr>
            <w:tcW w:w="24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Sud-Vest Oltenia</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tabs>
                <w:tab w:val="left" w:pos="60"/>
              </w:tabs>
              <w:ind w:right="78"/>
              <w:jc w:val="both"/>
              <w:rPr>
                <w:sz w:val="18"/>
                <w:szCs w:val="18"/>
              </w:rPr>
            </w:pPr>
            <w:r w:rsidRPr="00AB2B25">
              <w:rPr>
                <w:sz w:val="18"/>
                <w:szCs w:val="18"/>
              </w:rPr>
              <w:t>2005-2008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1128.8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420.0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336.7</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374.9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101.5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79.8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735.8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208.7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635.0</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55.4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2053.5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295.2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1196.8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62.1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1300.6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489.7</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-56.4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-77.3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808.5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-85.6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952.2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78.5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91.7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28300.0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1303400.0</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-86.3</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154.2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96.6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169.3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531.4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104.3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62.9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1821.4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575.4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132.5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5984.0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3832.6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-0.2</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-99.1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-89.3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220.7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122.9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106.9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31.0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36.5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-92.8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-35.8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-27.6</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35.1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12.2</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-68.0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759.8</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-51.8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100.4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-32.0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71.8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-8.5</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87.8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177.0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190.3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32.2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264.5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36.9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196.5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151.3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139.7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51.5</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lastRenderedPageBreak/>
              <w:t>VIII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-34.8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192.6</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564.8</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-67.2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1592.5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1205.8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61.4</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195.3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71.8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-19.1</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107.9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28.3</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52.1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-33.5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191.9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146.8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221.2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244.0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61.8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89.8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141.6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22.6</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59.7</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32.6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41.1</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14.2</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-0.6</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-63.6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-60.4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63.5</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39.2</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52.0</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-32.4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200.7</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69.8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10.8</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184.5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189.4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35.6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-50.7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79.1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104.5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-37.2</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6.2</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87.3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99.3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25.6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52.4</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307.2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201.9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204.7</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168.4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164.0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116.7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44.2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284.4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163.1</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151.0</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360.5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164.8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741.5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240.7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896.1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430.5</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146.4</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74.2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133.3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222.4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407.1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2011.2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709.0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268.3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107.7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-41.1</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252.8</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-23.1</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-35.2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51.1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546.8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145.4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137.8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-26.1</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43.0</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XXII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663.3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7183.7</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3344.1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-73.8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-79.6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83.8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873.3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-71.0</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473.1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Vest</w:t>
            </w:r>
          </w:p>
        </w:tc>
        <w:tc>
          <w:tcPr>
            <w:tcW w:w="21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Nord-Vest</w:t>
            </w:r>
          </w:p>
        </w:tc>
        <w:tc>
          <w:tcPr>
            <w:tcW w:w="23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Centru</w:t>
            </w:r>
          </w:p>
        </w:tc>
        <w:tc>
          <w:tcPr>
            <w:tcW w:w="24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b/>
                <w:sz w:val="18"/>
                <w:szCs w:val="18"/>
              </w:rPr>
            </w:pPr>
            <w:r w:rsidRPr="00AB2B25">
              <w:rPr>
                <w:b/>
                <w:sz w:val="18"/>
                <w:szCs w:val="18"/>
              </w:rPr>
              <w:t>Bucureşti-Ilfov</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2005-2013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2005-2008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2009-2013</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270.3</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193.4</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309.5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185.0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178.6</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-36.7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197.9</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416.1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213.7</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226.7</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416.8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216.1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1056.4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540.9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155.0</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224.9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390.1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2616.5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783.0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381.5</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129900.0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600.0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2352.8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339.3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181.2</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48.1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647.7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768.4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140.4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424.5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76.8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114.1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504.4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80.7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309.3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1055.5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454.7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68.2</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661.7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479.5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-8.3</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390.3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4874.2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2719.6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35.2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-21.8</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23.5</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639.0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120.8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436.3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4.8</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159.0</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172.6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102.0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73.0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255.4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106.6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135.1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210.6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99.6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1296.4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421.2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130.5</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296.8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101.5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101.3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158.3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62.7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111.1</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VIII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55.9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74.6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88.8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155.2</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IX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58.0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149.1</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100.3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223.9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31.8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139.9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29.8</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361.5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159.5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109.0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99.6</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47.1</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272.4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34.6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115.3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117.9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-13.4</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151.9</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-25.3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27.9</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26.1</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-54.4</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38.8</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31.4</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-18.1</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41.3</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44.3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38.0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84.3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105.3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-48.7</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87.5</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314.0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129.9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189.4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178.4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74.2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134.8</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182.2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149.4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111.8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145.9</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104.6</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53.6</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136.4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103.6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224.4</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143.8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519.7</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221.9</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114.3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231.3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101.3</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47.6</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233.2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122.0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410.0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142.1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95.6</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303.0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85.5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133.7</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268.3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37.4</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1.6</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XVIII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448.6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199.9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53.9</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209.9</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49.4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109.5</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213.8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147.3</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40.7</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295.7</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19.4</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81.4</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152.8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61.8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77.3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137.0</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75.7</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28.4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37.4</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17.6</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-46.1</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11.5</w:t>
            </w:r>
          </w:p>
        </w:tc>
      </w:tr>
      <w:tr w:rsidR="00E33263" w:rsidRPr="00AB2B25" w:rsidTr="00F43408">
        <w:trPr>
          <w:trHeight w:val="30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XXII</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127.7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54.4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43.4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77.5</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-88.2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306.3</w:t>
            </w: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595.8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247.8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310.4</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221.5</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-46.9</w:t>
            </w: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263" w:rsidRPr="00AB2B25" w:rsidRDefault="00E33263" w:rsidP="001B4C91">
            <w:pPr>
              <w:jc w:val="both"/>
              <w:rPr>
                <w:sz w:val="18"/>
                <w:szCs w:val="18"/>
              </w:rPr>
            </w:pPr>
            <w:r w:rsidRPr="00AB2B25">
              <w:rPr>
                <w:sz w:val="18"/>
                <w:szCs w:val="18"/>
              </w:rPr>
              <w:t>412.9</w:t>
            </w:r>
          </w:p>
        </w:tc>
      </w:tr>
    </w:tbl>
    <w:p w:rsidR="006D7F55" w:rsidRPr="00164674" w:rsidRDefault="006D7F55" w:rsidP="006D7F55">
      <w:pPr>
        <w:rPr>
          <w:sz w:val="20"/>
          <w:szCs w:val="20"/>
          <w:lang w:val="ro-RO"/>
        </w:rPr>
      </w:pPr>
      <w:r w:rsidRPr="00164674">
        <w:rPr>
          <w:sz w:val="20"/>
          <w:szCs w:val="20"/>
          <w:lang w:val="ro-RO"/>
        </w:rPr>
        <w:t>Sursa: Calcule ale autorilor pe baza datelor de la Institutul Na</w:t>
      </w:r>
      <w:r>
        <w:rPr>
          <w:sz w:val="20"/>
          <w:szCs w:val="20"/>
          <w:lang w:val="ro-RO"/>
        </w:rPr>
        <w:t>ţ</w:t>
      </w:r>
      <w:r w:rsidRPr="00164674">
        <w:rPr>
          <w:sz w:val="20"/>
          <w:szCs w:val="20"/>
          <w:lang w:val="ro-RO"/>
        </w:rPr>
        <w:t xml:space="preserve">ional de Statistică </w:t>
      </w:r>
      <w:r>
        <w:rPr>
          <w:sz w:val="20"/>
          <w:szCs w:val="20"/>
          <w:lang w:val="ro-RO"/>
        </w:rPr>
        <w:t>ş</w:t>
      </w:r>
      <w:r w:rsidRPr="00164674">
        <w:rPr>
          <w:sz w:val="20"/>
          <w:szCs w:val="20"/>
          <w:lang w:val="ro-RO"/>
        </w:rPr>
        <w:t>i TEMPO-on line.</w:t>
      </w:r>
    </w:p>
    <w:p w:rsidR="00E33263" w:rsidRPr="00AB2B25" w:rsidRDefault="00E33263" w:rsidP="001B4C91">
      <w:pPr>
        <w:autoSpaceDE w:val="0"/>
        <w:autoSpaceDN w:val="0"/>
        <w:adjustRightInd w:val="0"/>
        <w:jc w:val="both"/>
      </w:pPr>
    </w:p>
    <w:p w:rsidR="00E33263" w:rsidRPr="00AB2B25" w:rsidRDefault="006D7F55" w:rsidP="001B4C91">
      <w:pPr>
        <w:autoSpaceDE w:val="0"/>
        <w:autoSpaceDN w:val="0"/>
        <w:adjustRightInd w:val="0"/>
        <w:jc w:val="both"/>
      </w:pPr>
      <w:r w:rsidRPr="007824D5">
        <w:rPr>
          <w:rStyle w:val="hps"/>
          <w:lang w:val="ro-RO"/>
        </w:rPr>
        <w:t>Există însă grupe de mărfuri pentru care toate regiunile au inregistrat</w:t>
      </w:r>
      <w:r w:rsidRPr="007824D5">
        <w:rPr>
          <w:lang w:val="ro-RO"/>
        </w:rPr>
        <w:t xml:space="preserve"> </w:t>
      </w:r>
      <w:r w:rsidRPr="007824D5">
        <w:rPr>
          <w:rStyle w:val="hps"/>
          <w:lang w:val="ro-RO"/>
        </w:rPr>
        <w:t>schimbări</w:t>
      </w:r>
      <w:r w:rsidRPr="007824D5">
        <w:rPr>
          <w:lang w:val="ro-RO"/>
        </w:rPr>
        <w:t xml:space="preserve"> </w:t>
      </w:r>
      <w:r w:rsidRPr="007824D5">
        <w:rPr>
          <w:rStyle w:val="hps"/>
          <w:lang w:val="ro-RO"/>
        </w:rPr>
        <w:t>pozitive</w:t>
      </w:r>
      <w:r w:rsidRPr="007824D5">
        <w:rPr>
          <w:lang w:val="ro-RO"/>
        </w:rPr>
        <w:t xml:space="preserve"> </w:t>
      </w:r>
      <w:r w:rsidRPr="007824D5">
        <w:rPr>
          <w:rStyle w:val="hps"/>
          <w:lang w:val="ro-RO"/>
        </w:rPr>
        <w:t>(II – cu excepţia regiunii Nord-Est în perioada 2009-2013, IV – cu excepţia regiunii Sud-Vest Oltenia în perioada 2009-2013, VII, XVI şi XVII</w:t>
      </w:r>
      <w:r w:rsidRPr="007824D5">
        <w:rPr>
          <w:lang w:val="ro-RO"/>
        </w:rPr>
        <w:t xml:space="preserve">). Ultimele două grupe reprezintă produse cu un nivel tehnologic (teoretic) mediu şi înalt, ceea ce ne face să afirmăm că modificarea structurii sectoriale a exporturilor regionale a fost parţial în direcţia creşterii competitivităţii unor astfel de produse pe pieţele externe şi a mai profundei integrări în lanţurile valorice internaţionale de înaltă şi medie tehnologie. De asemenea, grupele II şi IV reprezintă produse care (teoretic) valorifică materii prime interne provenite din sectorul agricol şi care au fost slab reprezentate în structura exporturilor României înainte de aderarea la UE datorită competitivităţii reduse, astfel că s-ar putea afirma că schimbarea structurii sectoriale a exporturilor s-a realizat parţial şi în direcţia creşterii calităţii şi competitivităţii produselor provenite din sectorul agricol. Deoarece la nivel regional nu există date cu nivel mare de detaliere referitoare la exporturi nu putem adânci analiza în această direcţie, </w:t>
      </w:r>
      <w:r w:rsidRPr="007824D5">
        <w:rPr>
          <w:lang w:val="ro-RO"/>
        </w:rPr>
        <w:lastRenderedPageBreak/>
        <w:t>pentru a vedea cât de mari şi sustenabile (sau nu) sunt schimbările structurale şi avantajele competitive</w:t>
      </w:r>
      <w:r w:rsidR="00E33263" w:rsidRPr="00AB2B25">
        <w:t xml:space="preserve">. </w:t>
      </w:r>
    </w:p>
    <w:p w:rsidR="00E33263" w:rsidRPr="00AB2B25" w:rsidRDefault="00F548D4" w:rsidP="001B4C91">
      <w:pPr>
        <w:autoSpaceDE w:val="0"/>
        <w:autoSpaceDN w:val="0"/>
        <w:adjustRightInd w:val="0"/>
        <w:jc w:val="both"/>
      </w:pPr>
      <w:r w:rsidRPr="007824D5">
        <w:rPr>
          <w:rStyle w:val="hps"/>
          <w:lang w:val="ro-RO"/>
        </w:rPr>
        <w:t>Considerând următoarele elemente ale</w:t>
      </w:r>
      <w:r w:rsidRPr="007824D5">
        <w:rPr>
          <w:lang w:val="ro-RO"/>
        </w:rPr>
        <w:t xml:space="preserve"> </w:t>
      </w:r>
      <w:r w:rsidRPr="007824D5">
        <w:rPr>
          <w:rStyle w:val="hps"/>
          <w:lang w:val="ro-RO"/>
        </w:rPr>
        <w:t>descompunerii</w:t>
      </w:r>
      <w:r w:rsidRPr="007824D5">
        <w:rPr>
          <w:lang w:val="ro-RO"/>
        </w:rPr>
        <w:t xml:space="preserve"> </w:t>
      </w:r>
      <w:r w:rsidRPr="007824D5">
        <w:rPr>
          <w:rStyle w:val="hps"/>
          <w:lang w:val="ro-RO"/>
        </w:rPr>
        <w:t>shift-share</w:t>
      </w:r>
      <w:r w:rsidRPr="007824D5">
        <w:rPr>
          <w:lang w:val="ro-RO"/>
        </w:rPr>
        <w:t xml:space="preserve">, </w:t>
      </w:r>
      <w:r w:rsidRPr="007824D5">
        <w:rPr>
          <w:rStyle w:val="hps"/>
          <w:lang w:val="ro-RO"/>
        </w:rPr>
        <w:t>in</w:t>
      </w:r>
      <w:r w:rsidRPr="007824D5">
        <w:rPr>
          <w:lang w:val="ro-RO"/>
        </w:rPr>
        <w:t xml:space="preserve"> </w:t>
      </w:r>
      <w:r w:rsidRPr="007824D5">
        <w:rPr>
          <w:rStyle w:val="hps"/>
          <w:lang w:val="ro-RO"/>
        </w:rPr>
        <w:t>perioada 2005-2013</w:t>
      </w:r>
      <w:r w:rsidRPr="007824D5">
        <w:rPr>
          <w:lang w:val="ro-RO"/>
        </w:rPr>
        <w:t xml:space="preserve"> </w:t>
      </w:r>
      <w:r w:rsidRPr="007824D5">
        <w:rPr>
          <w:rStyle w:val="hps"/>
          <w:lang w:val="ro-RO"/>
        </w:rPr>
        <w:t>efectul</w:t>
      </w:r>
      <w:r w:rsidRPr="007824D5">
        <w:rPr>
          <w:lang w:val="ro-RO"/>
        </w:rPr>
        <w:t xml:space="preserve"> </w:t>
      </w:r>
      <w:r w:rsidRPr="007824D5">
        <w:rPr>
          <w:rStyle w:val="hps"/>
          <w:i/>
          <w:lang w:val="ro-RO"/>
        </w:rPr>
        <w:t>naţional</w:t>
      </w:r>
      <w:r w:rsidRPr="007824D5">
        <w:rPr>
          <w:lang w:val="ro-RO"/>
        </w:rPr>
        <w:t xml:space="preserve"> </w:t>
      </w:r>
      <w:r w:rsidRPr="007824D5">
        <w:rPr>
          <w:rStyle w:val="hps"/>
          <w:lang w:val="ro-RO"/>
        </w:rPr>
        <w:t>a fost pozitiv în</w:t>
      </w:r>
      <w:r w:rsidRPr="007824D5">
        <w:rPr>
          <w:lang w:val="ro-RO"/>
        </w:rPr>
        <w:t xml:space="preserve"> </w:t>
      </w:r>
      <w:r w:rsidRPr="007824D5">
        <w:rPr>
          <w:rStyle w:val="hps"/>
          <w:lang w:val="ro-RO"/>
        </w:rPr>
        <w:t>toate regiunile</w:t>
      </w:r>
      <w:r w:rsidRPr="007824D5">
        <w:rPr>
          <w:lang w:val="ro-RO"/>
        </w:rPr>
        <w:t xml:space="preserve">, </w:t>
      </w:r>
      <w:r w:rsidRPr="007824D5">
        <w:rPr>
          <w:rStyle w:val="hps"/>
          <w:lang w:val="ro-RO"/>
        </w:rPr>
        <w:t>deşi cu</w:t>
      </w:r>
      <w:r w:rsidRPr="007824D5">
        <w:rPr>
          <w:lang w:val="ro-RO"/>
        </w:rPr>
        <w:t xml:space="preserve"> </w:t>
      </w:r>
      <w:r w:rsidRPr="007824D5">
        <w:rPr>
          <w:rStyle w:val="hps"/>
          <w:lang w:val="ro-RO"/>
        </w:rPr>
        <w:t>magnitudini diferite</w:t>
      </w:r>
      <w:r w:rsidRPr="007824D5">
        <w:rPr>
          <w:lang w:val="ro-RO"/>
        </w:rPr>
        <w:t xml:space="preserve">, </w:t>
      </w:r>
      <w:r w:rsidRPr="007824D5">
        <w:rPr>
          <w:rStyle w:val="hps"/>
          <w:lang w:val="ro-RO"/>
        </w:rPr>
        <w:t>semnalând</w:t>
      </w:r>
      <w:r w:rsidRPr="007824D5">
        <w:rPr>
          <w:lang w:val="ro-RO"/>
        </w:rPr>
        <w:t xml:space="preserve"> </w:t>
      </w:r>
      <w:r w:rsidRPr="007824D5">
        <w:rPr>
          <w:rStyle w:val="hps"/>
          <w:lang w:val="ro-RO"/>
        </w:rPr>
        <w:t>că</w:t>
      </w:r>
      <w:r w:rsidRPr="007824D5">
        <w:rPr>
          <w:lang w:val="ro-RO"/>
        </w:rPr>
        <w:t xml:space="preserve"> </w:t>
      </w:r>
      <w:r w:rsidRPr="007824D5">
        <w:rPr>
          <w:rStyle w:val="hps"/>
          <w:lang w:val="ro-RO"/>
        </w:rPr>
        <w:t>evoluţia exporturilor naţionale a avut o influenţă pozitivă (efect de pull</w:t>
      </w:r>
      <w:r w:rsidR="00E33263" w:rsidRPr="00AB2B25">
        <w:rPr>
          <w:rStyle w:val="hps"/>
        </w:rPr>
        <w:t>)</w:t>
      </w:r>
      <w:r w:rsidR="005D29B2">
        <w:rPr>
          <w:rStyle w:val="hps"/>
        </w:rPr>
        <w:t xml:space="preserve"> [4]</w:t>
      </w:r>
      <w:r w:rsidR="00E33263" w:rsidRPr="00AB2B25">
        <w:t xml:space="preserve">. </w:t>
      </w:r>
      <w:r w:rsidRPr="007824D5">
        <w:t>A</w:t>
      </w:r>
      <w:r w:rsidRPr="007824D5">
        <w:rPr>
          <w:rStyle w:val="hps"/>
          <w:lang w:val="ro-RO"/>
        </w:rPr>
        <w:t>tunci când</w:t>
      </w:r>
      <w:r w:rsidRPr="007824D5">
        <w:rPr>
          <w:lang w:val="ro-RO"/>
        </w:rPr>
        <w:t xml:space="preserve"> se </w:t>
      </w:r>
      <w:r w:rsidRPr="007824D5">
        <w:rPr>
          <w:rStyle w:val="hps"/>
          <w:lang w:val="ro-RO"/>
        </w:rPr>
        <w:t>detaliază</w:t>
      </w:r>
      <w:r w:rsidRPr="007824D5">
        <w:rPr>
          <w:lang w:val="ro-RO"/>
        </w:rPr>
        <w:t xml:space="preserve"> </w:t>
      </w:r>
      <w:r w:rsidRPr="007824D5">
        <w:rPr>
          <w:rStyle w:val="hps"/>
          <w:lang w:val="ro-RO"/>
        </w:rPr>
        <w:t>analiza pe cele două</w:t>
      </w:r>
      <w:r w:rsidRPr="007824D5">
        <w:rPr>
          <w:lang w:val="ro-RO"/>
        </w:rPr>
        <w:t xml:space="preserve"> </w:t>
      </w:r>
      <w:r w:rsidRPr="007824D5">
        <w:rPr>
          <w:rStyle w:val="hps"/>
          <w:lang w:val="ro-RO"/>
        </w:rPr>
        <w:t>sub-</w:t>
      </w:r>
      <w:r w:rsidRPr="007824D5">
        <w:rPr>
          <w:lang w:val="ro-RO"/>
        </w:rPr>
        <w:t xml:space="preserve">perioade </w:t>
      </w:r>
      <w:r w:rsidRPr="007824D5">
        <w:rPr>
          <w:rStyle w:val="hps"/>
          <w:lang w:val="ro-RO"/>
        </w:rPr>
        <w:t>menţionate</w:t>
      </w:r>
      <w:r w:rsidRPr="007824D5">
        <w:rPr>
          <w:lang w:val="ro-RO"/>
        </w:rPr>
        <w:t xml:space="preserve">, </w:t>
      </w:r>
      <w:r w:rsidRPr="007824D5">
        <w:rPr>
          <w:rStyle w:val="hps"/>
          <w:lang w:val="ro-RO"/>
        </w:rPr>
        <w:t>efectul</w:t>
      </w:r>
      <w:r w:rsidRPr="007824D5">
        <w:rPr>
          <w:lang w:val="ro-RO"/>
        </w:rPr>
        <w:t xml:space="preserve"> </w:t>
      </w:r>
      <w:r w:rsidRPr="007824D5">
        <w:rPr>
          <w:rStyle w:val="hps"/>
          <w:lang w:val="ro-RO"/>
        </w:rPr>
        <w:t>naţional</w:t>
      </w:r>
      <w:r w:rsidRPr="007824D5">
        <w:rPr>
          <w:lang w:val="ro-RO"/>
        </w:rPr>
        <w:t xml:space="preserve"> </w:t>
      </w:r>
      <w:r w:rsidRPr="007824D5">
        <w:rPr>
          <w:rStyle w:val="hps"/>
          <w:lang w:val="ro-RO"/>
        </w:rPr>
        <w:t>a relevat</w:t>
      </w:r>
      <w:r w:rsidRPr="007824D5">
        <w:rPr>
          <w:lang w:val="ro-RO"/>
        </w:rPr>
        <w:t xml:space="preserve"> </w:t>
      </w:r>
      <w:r w:rsidRPr="007824D5">
        <w:rPr>
          <w:rStyle w:val="hps"/>
          <w:lang w:val="ro-RO"/>
        </w:rPr>
        <w:t>diferenţe semnificative</w:t>
      </w:r>
      <w:r w:rsidRPr="007824D5">
        <w:rPr>
          <w:lang w:val="ro-RO"/>
        </w:rPr>
        <w:t xml:space="preserve">, </w:t>
      </w:r>
      <w:r w:rsidRPr="007824D5">
        <w:rPr>
          <w:rStyle w:val="hps"/>
          <w:lang w:val="ro-RO"/>
        </w:rPr>
        <w:t>sugerând</w:t>
      </w:r>
      <w:r w:rsidRPr="007824D5">
        <w:rPr>
          <w:lang w:val="ro-RO"/>
        </w:rPr>
        <w:t xml:space="preserve"> evoluţii diferite ale exporturilor regionale pe grupe de mărfuri în corelaţie cu evoluţiile naţionale, induse de schimbările sectoriale </w:t>
      </w:r>
      <w:r w:rsidRPr="007824D5">
        <w:rPr>
          <w:rStyle w:val="hps"/>
          <w:lang w:val="ro-RO"/>
        </w:rPr>
        <w:t>care au avut loc</w:t>
      </w:r>
      <w:r w:rsidRPr="007824D5">
        <w:rPr>
          <w:lang w:val="ro-RO"/>
        </w:rPr>
        <w:t xml:space="preserve"> </w:t>
      </w:r>
      <w:r w:rsidRPr="007824D5">
        <w:rPr>
          <w:rStyle w:val="hps"/>
          <w:lang w:val="ro-RO"/>
        </w:rPr>
        <w:t>în</w:t>
      </w:r>
      <w:r w:rsidRPr="007824D5">
        <w:rPr>
          <w:lang w:val="ro-RO"/>
        </w:rPr>
        <w:t xml:space="preserve"> </w:t>
      </w:r>
      <w:r w:rsidRPr="007824D5">
        <w:rPr>
          <w:rStyle w:val="hps"/>
          <w:lang w:val="ro-RO"/>
        </w:rPr>
        <w:t>economia românească</w:t>
      </w:r>
      <w:r w:rsidRPr="007824D5">
        <w:rPr>
          <w:lang w:val="ro-RO"/>
        </w:rPr>
        <w:t xml:space="preserve">. </w:t>
      </w:r>
      <w:r w:rsidRPr="007824D5">
        <w:rPr>
          <w:rStyle w:val="hps"/>
          <w:lang w:val="ro-RO"/>
        </w:rPr>
        <w:t>Astfel</w:t>
      </w:r>
      <w:r w:rsidRPr="007824D5">
        <w:rPr>
          <w:lang w:val="ro-RO"/>
        </w:rPr>
        <w:t>, efectul naţional pozitiv a fost mai mare în perioada 2009-2013 faţă de perioada 2005-2008 în toate regiunile în cazul grupelor de mărfuri I, II, IV, VII, IX, XVI şi XVII, adică aproximativ aceleaşi grupe de mărfuri pentru care s-a înregistrat o modificare structurală totală pozitivă în toate regiunile</w:t>
      </w:r>
      <w:r w:rsidR="00E33263" w:rsidRPr="00AB2B25">
        <w:t>.</w:t>
      </w:r>
    </w:p>
    <w:p w:rsidR="00E33263" w:rsidRPr="00AB2B25" w:rsidRDefault="00F548D4" w:rsidP="001B4C91">
      <w:pPr>
        <w:autoSpaceDE w:val="0"/>
        <w:autoSpaceDN w:val="0"/>
        <w:adjustRightInd w:val="0"/>
        <w:jc w:val="both"/>
      </w:pPr>
      <w:r w:rsidRPr="007824D5">
        <w:rPr>
          <w:rStyle w:val="hps"/>
          <w:lang w:val="ro-RO"/>
        </w:rPr>
        <w:t>Pentru</w:t>
      </w:r>
      <w:r w:rsidRPr="007824D5">
        <w:rPr>
          <w:lang w:val="ro-RO"/>
        </w:rPr>
        <w:t xml:space="preserve"> </w:t>
      </w:r>
      <w:r w:rsidRPr="007824D5">
        <w:rPr>
          <w:rStyle w:val="hps"/>
          <w:lang w:val="ro-RO"/>
        </w:rPr>
        <w:t>a compara</w:t>
      </w:r>
      <w:r w:rsidRPr="007824D5">
        <w:rPr>
          <w:lang w:val="ro-RO"/>
        </w:rPr>
        <w:t xml:space="preserve"> </w:t>
      </w:r>
      <w:r w:rsidRPr="007824D5">
        <w:rPr>
          <w:rStyle w:val="hps"/>
          <w:lang w:val="ro-RO"/>
        </w:rPr>
        <w:t xml:space="preserve">efectele </w:t>
      </w:r>
      <w:r w:rsidRPr="007824D5">
        <w:rPr>
          <w:rStyle w:val="hps"/>
          <w:i/>
          <w:lang w:val="ro-RO"/>
        </w:rPr>
        <w:t>share</w:t>
      </w:r>
      <w:r w:rsidRPr="007824D5">
        <w:rPr>
          <w:rStyle w:val="hps"/>
          <w:lang w:val="ro-RO"/>
        </w:rPr>
        <w:t xml:space="preserve"> si </w:t>
      </w:r>
      <w:r w:rsidRPr="007824D5">
        <w:rPr>
          <w:rStyle w:val="hps"/>
          <w:i/>
          <w:lang w:val="ro-RO"/>
        </w:rPr>
        <w:t>shift</w:t>
      </w:r>
      <w:r w:rsidRPr="007824D5">
        <w:rPr>
          <w:rStyle w:val="hps"/>
          <w:lang w:val="ro-RO"/>
        </w:rPr>
        <w:t xml:space="preserve"> in cazul</w:t>
      </w:r>
      <w:r w:rsidRPr="007824D5">
        <w:rPr>
          <w:lang w:val="ro-RO"/>
        </w:rPr>
        <w:t xml:space="preserve"> </w:t>
      </w:r>
      <w:r w:rsidRPr="007824D5">
        <w:rPr>
          <w:rStyle w:val="hps"/>
          <w:lang w:val="ro-RO"/>
        </w:rPr>
        <w:t>exporturilor pe grupe de mărfuri</w:t>
      </w:r>
      <w:r w:rsidRPr="007824D5">
        <w:rPr>
          <w:lang w:val="ro-RO"/>
        </w:rPr>
        <w:t xml:space="preserve"> </w:t>
      </w:r>
      <w:r w:rsidRPr="007824D5">
        <w:rPr>
          <w:rStyle w:val="hps"/>
          <w:lang w:val="ro-RO"/>
        </w:rPr>
        <w:t>pentru regiunile</w:t>
      </w:r>
      <w:r w:rsidRPr="007824D5">
        <w:t xml:space="preserve"> </w:t>
      </w:r>
      <w:r w:rsidRPr="007824D5">
        <w:rPr>
          <w:rStyle w:val="hps"/>
          <w:lang w:val="ro-RO"/>
        </w:rPr>
        <w:t>studiate</w:t>
      </w:r>
      <w:r w:rsidRPr="007824D5">
        <w:rPr>
          <w:lang w:val="ro-RO"/>
        </w:rPr>
        <w:t xml:space="preserve"> </w:t>
      </w:r>
      <w:r w:rsidRPr="007824D5">
        <w:rPr>
          <w:rStyle w:val="hps"/>
          <w:lang w:val="ro-RO"/>
        </w:rPr>
        <w:t>în perioada 2005-2013</w:t>
      </w:r>
      <w:r w:rsidRPr="007824D5">
        <w:rPr>
          <w:lang w:val="ro-RO"/>
        </w:rPr>
        <w:t xml:space="preserve"> </w:t>
      </w:r>
      <w:r w:rsidRPr="007824D5">
        <w:rPr>
          <w:rStyle w:val="hps"/>
          <w:lang w:val="ro-RO"/>
        </w:rPr>
        <w:t>am utilizat</w:t>
      </w:r>
      <w:r w:rsidRPr="007824D5">
        <w:rPr>
          <w:lang w:val="ro-RO"/>
        </w:rPr>
        <w:t xml:space="preserve"> o adaptare a </w:t>
      </w:r>
      <w:r w:rsidRPr="007824D5">
        <w:rPr>
          <w:rStyle w:val="hps"/>
          <w:lang w:val="ro-RO"/>
        </w:rPr>
        <w:t>clasificării tabelare propuse de</w:t>
      </w:r>
      <w:r w:rsidRPr="007824D5">
        <w:rPr>
          <w:lang w:val="ro-RO"/>
        </w:rPr>
        <w:t xml:space="preserve"> </w:t>
      </w:r>
      <w:r w:rsidRPr="007824D5">
        <w:rPr>
          <w:rStyle w:val="hps"/>
          <w:lang w:val="ro-RO"/>
        </w:rPr>
        <w:t>D'</w:t>
      </w:r>
      <w:r w:rsidRPr="007824D5">
        <w:rPr>
          <w:lang w:val="ro-RO"/>
        </w:rPr>
        <w:t xml:space="preserve">Elia </w:t>
      </w:r>
      <w:r w:rsidRPr="007824D5">
        <w:rPr>
          <w:rStyle w:val="hps"/>
          <w:lang w:val="ro-RO"/>
        </w:rPr>
        <w:t>(2005), care combină efectul de mix sectorial cu cel regional sub forma unor diagrame. Analiza se poate realiza fie la nivelul fiecărei grupe de produse pentru toate regiunile, fie la nivelul fiecărei regiuni pentru toate grupele de mărfuri şi perioade considerate</w:t>
      </w:r>
      <w:r w:rsidR="004018B2">
        <w:rPr>
          <w:rStyle w:val="hps"/>
        </w:rPr>
        <w:t>.</w:t>
      </w:r>
    </w:p>
    <w:p w:rsidR="00E33263" w:rsidRPr="00AB2B25" w:rsidRDefault="00F548D4" w:rsidP="001B4C91">
      <w:pPr>
        <w:jc w:val="both"/>
        <w:textAlignment w:val="top"/>
        <w:rPr>
          <w:rStyle w:val="hps"/>
        </w:rPr>
      </w:pPr>
      <w:r w:rsidRPr="007824D5">
        <w:rPr>
          <w:rStyle w:val="hps"/>
          <w:lang w:val="ro-RO"/>
        </w:rPr>
        <w:t>Rezultatele arată că la nivelul perioadei analizate</w:t>
      </w:r>
      <w:r w:rsidRPr="007824D5">
        <w:rPr>
          <w:lang w:val="ro-RO"/>
        </w:rPr>
        <w:t xml:space="preserve">, în </w:t>
      </w:r>
      <w:r w:rsidRPr="007824D5">
        <w:rPr>
          <w:rStyle w:val="hps"/>
          <w:lang w:val="ro-RO"/>
        </w:rPr>
        <w:t xml:space="preserve">cazul exporturilor </w:t>
      </w:r>
      <w:r w:rsidRPr="007824D5">
        <w:rPr>
          <w:rStyle w:val="hps"/>
          <w:i/>
          <w:lang w:val="ro-RO"/>
        </w:rPr>
        <w:t xml:space="preserve">grupelor de produse V, VIII, XI, XII, XIII, XV </w:t>
      </w:r>
      <w:r>
        <w:rPr>
          <w:rStyle w:val="hps"/>
          <w:i/>
          <w:lang w:val="ro-RO"/>
        </w:rPr>
        <w:t>ş</w:t>
      </w:r>
      <w:r w:rsidRPr="007824D5">
        <w:rPr>
          <w:rStyle w:val="hps"/>
          <w:i/>
          <w:lang w:val="ro-RO"/>
        </w:rPr>
        <w:t>i XX</w:t>
      </w:r>
      <w:r w:rsidRPr="007824D5">
        <w:rPr>
          <w:lang w:val="ro-RO"/>
        </w:rPr>
        <w:t xml:space="preserve"> </w:t>
      </w:r>
      <w:r w:rsidRPr="007824D5">
        <w:rPr>
          <w:rStyle w:val="hps"/>
          <w:lang w:val="ro-RO"/>
        </w:rPr>
        <w:t>mixul sectorial</w:t>
      </w:r>
      <w:r w:rsidRPr="007824D5">
        <w:rPr>
          <w:lang w:val="ro-RO"/>
        </w:rPr>
        <w:t xml:space="preserve"> </w:t>
      </w:r>
      <w:r w:rsidRPr="007824D5">
        <w:rPr>
          <w:rStyle w:val="hps"/>
          <w:lang w:val="ro-RO"/>
        </w:rPr>
        <w:t>a fost</w:t>
      </w:r>
      <w:r w:rsidRPr="007824D5">
        <w:rPr>
          <w:lang w:val="ro-RO"/>
        </w:rPr>
        <w:t xml:space="preserve"> </w:t>
      </w:r>
      <w:r w:rsidRPr="007824D5">
        <w:rPr>
          <w:rStyle w:val="hps"/>
          <w:lang w:val="ro-RO"/>
        </w:rPr>
        <w:t>negativ în toate regiunile</w:t>
      </w:r>
      <w:r w:rsidRPr="007824D5">
        <w:rPr>
          <w:lang w:val="ro-RO"/>
        </w:rPr>
        <w:t xml:space="preserve">, </w:t>
      </w:r>
      <w:r w:rsidRPr="007824D5">
        <w:rPr>
          <w:rStyle w:val="hps"/>
          <w:lang w:val="ro-RO"/>
        </w:rPr>
        <w:t>dar pentru diverse grupe de mărfuri acesta a fost</w:t>
      </w:r>
      <w:r w:rsidRPr="007824D5">
        <w:rPr>
          <w:lang w:val="ro-RO"/>
        </w:rPr>
        <w:t xml:space="preserve"> </w:t>
      </w:r>
      <w:r w:rsidRPr="007824D5">
        <w:rPr>
          <w:rStyle w:val="hps"/>
          <w:lang w:val="ro-RO"/>
        </w:rPr>
        <w:t>compensat</w:t>
      </w:r>
      <w:r w:rsidRPr="007824D5">
        <w:rPr>
          <w:lang w:val="ro-RO"/>
        </w:rPr>
        <w:t xml:space="preserve"> </w:t>
      </w:r>
      <w:r w:rsidRPr="007824D5">
        <w:rPr>
          <w:rStyle w:val="hps"/>
          <w:lang w:val="ro-RO"/>
        </w:rPr>
        <w:t>în toate</w:t>
      </w:r>
      <w:r w:rsidRPr="007824D5">
        <w:rPr>
          <w:lang w:val="ro-RO"/>
        </w:rPr>
        <w:t xml:space="preserve"> </w:t>
      </w:r>
      <w:r w:rsidRPr="007824D5">
        <w:rPr>
          <w:rStyle w:val="hps"/>
          <w:lang w:val="ro-RO"/>
        </w:rPr>
        <w:t>regiunile</w:t>
      </w:r>
      <w:r w:rsidRPr="007824D5">
        <w:rPr>
          <w:lang w:val="ro-RO"/>
        </w:rPr>
        <w:t xml:space="preserve"> </w:t>
      </w:r>
      <w:r w:rsidRPr="007824D5">
        <w:rPr>
          <w:rStyle w:val="hps"/>
          <w:lang w:val="ro-RO"/>
        </w:rPr>
        <w:t>de către</w:t>
      </w:r>
      <w:r w:rsidRPr="007824D5">
        <w:rPr>
          <w:lang w:val="ro-RO"/>
        </w:rPr>
        <w:t xml:space="preserve"> </w:t>
      </w:r>
      <w:r w:rsidRPr="007824D5">
        <w:rPr>
          <w:rStyle w:val="hps"/>
          <w:lang w:val="ro-RO"/>
        </w:rPr>
        <w:t>combinaţii specifice</w:t>
      </w:r>
      <w:r w:rsidRPr="007824D5">
        <w:rPr>
          <w:lang w:val="ro-RO"/>
        </w:rPr>
        <w:t xml:space="preserve"> </w:t>
      </w:r>
      <w:r w:rsidRPr="007824D5">
        <w:rPr>
          <w:rStyle w:val="hps"/>
          <w:lang w:val="ro-RO"/>
        </w:rPr>
        <w:t>de factori</w:t>
      </w:r>
      <w:r w:rsidRPr="007824D5">
        <w:rPr>
          <w:lang w:val="ro-RO"/>
        </w:rPr>
        <w:t xml:space="preserve"> </w:t>
      </w:r>
      <w:r w:rsidRPr="007824D5">
        <w:rPr>
          <w:rStyle w:val="hps"/>
          <w:lang w:val="ro-RO"/>
        </w:rPr>
        <w:t>care au contribuit la</w:t>
      </w:r>
      <w:r w:rsidRPr="007824D5">
        <w:rPr>
          <w:lang w:val="ro-RO"/>
        </w:rPr>
        <w:t xml:space="preserve"> </w:t>
      </w:r>
      <w:r w:rsidRPr="007824D5">
        <w:rPr>
          <w:rStyle w:val="hps"/>
          <w:lang w:val="ro-RO"/>
        </w:rPr>
        <w:t>o</w:t>
      </w:r>
      <w:r w:rsidRPr="007824D5">
        <w:rPr>
          <w:lang w:val="ro-RO"/>
        </w:rPr>
        <w:t xml:space="preserve"> </w:t>
      </w:r>
      <w:r w:rsidRPr="007824D5">
        <w:rPr>
          <w:rStyle w:val="hps"/>
          <w:lang w:val="ro-RO"/>
        </w:rPr>
        <w:t>mai bună performanţă a exporturilor (RS pozitiv), astfel:</w:t>
      </w:r>
      <w:r w:rsidRPr="007824D5">
        <w:rPr>
          <w:lang w:val="ro-RO"/>
        </w:rPr>
        <w:t xml:space="preserve"> </w:t>
      </w:r>
      <w:r w:rsidRPr="007824D5">
        <w:rPr>
          <w:rStyle w:val="hps"/>
          <w:lang w:val="ro-RO"/>
        </w:rPr>
        <w:t>Nord</w:t>
      </w:r>
      <w:r w:rsidRPr="007824D5">
        <w:rPr>
          <w:rStyle w:val="atn"/>
          <w:lang w:val="ro-RO"/>
        </w:rPr>
        <w:t>-</w:t>
      </w:r>
      <w:r w:rsidRPr="007824D5">
        <w:rPr>
          <w:lang w:val="ro-RO"/>
        </w:rPr>
        <w:t xml:space="preserve">Est </w:t>
      </w:r>
      <w:r w:rsidRPr="007824D5">
        <w:rPr>
          <w:rStyle w:val="hps"/>
          <w:lang w:val="ro-RO"/>
        </w:rPr>
        <w:t>(</w:t>
      </w:r>
      <w:r w:rsidRPr="007824D5">
        <w:rPr>
          <w:lang w:val="ro-RO"/>
        </w:rPr>
        <w:t xml:space="preserve">grupa XI), Sud-Est (grupele V, VIII, XI, XII </w:t>
      </w:r>
      <w:r>
        <w:rPr>
          <w:lang w:val="ro-RO"/>
        </w:rPr>
        <w:t>ş</w:t>
      </w:r>
      <w:r w:rsidRPr="007824D5">
        <w:rPr>
          <w:lang w:val="ro-RO"/>
        </w:rPr>
        <w:t xml:space="preserve">i XIII), </w:t>
      </w:r>
      <w:r w:rsidRPr="007824D5">
        <w:rPr>
          <w:rStyle w:val="hps"/>
          <w:lang w:val="ro-RO"/>
        </w:rPr>
        <w:t>Sud</w:t>
      </w:r>
      <w:r w:rsidRPr="007824D5">
        <w:rPr>
          <w:lang w:val="ro-RO"/>
        </w:rPr>
        <w:t xml:space="preserve"> </w:t>
      </w:r>
      <w:r w:rsidRPr="007824D5">
        <w:rPr>
          <w:rStyle w:val="hps"/>
          <w:lang w:val="ro-RO"/>
        </w:rPr>
        <w:t>Muntenia</w:t>
      </w:r>
      <w:r w:rsidRPr="007824D5">
        <w:rPr>
          <w:lang w:val="ro-RO"/>
        </w:rPr>
        <w:t xml:space="preserve"> </w:t>
      </w:r>
      <w:r w:rsidRPr="007824D5">
        <w:rPr>
          <w:rStyle w:val="hps"/>
          <w:lang w:val="ro-RO"/>
        </w:rPr>
        <w:t>(</w:t>
      </w:r>
      <w:r w:rsidRPr="007824D5">
        <w:rPr>
          <w:lang w:val="ro-RO"/>
        </w:rPr>
        <w:t xml:space="preserve">grupele V, XIII, XV </w:t>
      </w:r>
      <w:r>
        <w:rPr>
          <w:lang w:val="ro-RO"/>
        </w:rPr>
        <w:t>ş</w:t>
      </w:r>
      <w:r w:rsidRPr="007824D5">
        <w:rPr>
          <w:lang w:val="ro-RO"/>
        </w:rPr>
        <w:t xml:space="preserve">i XX), </w:t>
      </w:r>
      <w:r w:rsidRPr="007824D5">
        <w:rPr>
          <w:rStyle w:val="hps"/>
          <w:lang w:val="ro-RO"/>
        </w:rPr>
        <w:t>Bucuresti</w:t>
      </w:r>
      <w:r w:rsidRPr="007824D5">
        <w:rPr>
          <w:rStyle w:val="atn"/>
          <w:lang w:val="ro-RO"/>
        </w:rPr>
        <w:t>-</w:t>
      </w:r>
      <w:r w:rsidRPr="007824D5">
        <w:rPr>
          <w:lang w:val="ro-RO"/>
        </w:rPr>
        <w:t xml:space="preserve">Ilfov </w:t>
      </w:r>
      <w:r w:rsidRPr="007824D5">
        <w:rPr>
          <w:rStyle w:val="hps"/>
          <w:lang w:val="ro-RO"/>
        </w:rPr>
        <w:t>(</w:t>
      </w:r>
      <w:r w:rsidRPr="007824D5">
        <w:rPr>
          <w:lang w:val="ro-RO"/>
        </w:rPr>
        <w:t xml:space="preserve">grupa XV), </w:t>
      </w:r>
      <w:r w:rsidRPr="007824D5">
        <w:rPr>
          <w:rStyle w:val="hps"/>
          <w:lang w:val="ro-RO"/>
        </w:rPr>
        <w:t>Sud</w:t>
      </w:r>
      <w:r w:rsidRPr="007824D5">
        <w:rPr>
          <w:rStyle w:val="atn"/>
          <w:lang w:val="ro-RO"/>
        </w:rPr>
        <w:t>-</w:t>
      </w:r>
      <w:r w:rsidRPr="007824D5">
        <w:rPr>
          <w:lang w:val="ro-RO"/>
        </w:rPr>
        <w:t xml:space="preserve">Vest Oltenia </w:t>
      </w:r>
      <w:r w:rsidRPr="007824D5">
        <w:rPr>
          <w:rStyle w:val="hps"/>
          <w:lang w:val="ro-RO"/>
        </w:rPr>
        <w:t>(</w:t>
      </w:r>
      <w:r w:rsidRPr="007824D5">
        <w:rPr>
          <w:lang w:val="ro-RO"/>
        </w:rPr>
        <w:t xml:space="preserve">grupele VIII, XI </w:t>
      </w:r>
      <w:r>
        <w:rPr>
          <w:lang w:val="ro-RO"/>
        </w:rPr>
        <w:t>ş</w:t>
      </w:r>
      <w:r w:rsidRPr="007824D5">
        <w:rPr>
          <w:lang w:val="ro-RO"/>
        </w:rPr>
        <w:t xml:space="preserve">i XII), </w:t>
      </w:r>
      <w:r w:rsidRPr="007824D5">
        <w:rPr>
          <w:rStyle w:val="hps"/>
          <w:lang w:val="ro-RO"/>
        </w:rPr>
        <w:t>Vest</w:t>
      </w:r>
      <w:r w:rsidRPr="007824D5">
        <w:rPr>
          <w:lang w:val="ro-RO"/>
        </w:rPr>
        <w:t xml:space="preserve"> </w:t>
      </w:r>
      <w:r w:rsidRPr="007824D5">
        <w:rPr>
          <w:rStyle w:val="hps"/>
          <w:lang w:val="ro-RO"/>
        </w:rPr>
        <w:t xml:space="preserve">(grupele </w:t>
      </w:r>
      <w:r w:rsidRPr="007824D5">
        <w:rPr>
          <w:lang w:val="ro-RO"/>
        </w:rPr>
        <w:t xml:space="preserve">V, VIII, XII, XIII, XV </w:t>
      </w:r>
      <w:r>
        <w:rPr>
          <w:lang w:val="ro-RO"/>
        </w:rPr>
        <w:t>ş</w:t>
      </w:r>
      <w:r w:rsidRPr="007824D5">
        <w:rPr>
          <w:lang w:val="ro-RO"/>
        </w:rPr>
        <w:t xml:space="preserve">i XX), Nord </w:t>
      </w:r>
      <w:r w:rsidRPr="007824D5">
        <w:rPr>
          <w:rStyle w:val="hps"/>
          <w:lang w:val="ro-RO"/>
        </w:rPr>
        <w:t>Vest</w:t>
      </w:r>
      <w:r w:rsidRPr="007824D5">
        <w:rPr>
          <w:lang w:val="ro-RO"/>
        </w:rPr>
        <w:t xml:space="preserve"> </w:t>
      </w:r>
      <w:r w:rsidRPr="007824D5">
        <w:rPr>
          <w:rStyle w:val="hps"/>
          <w:lang w:val="ro-RO"/>
        </w:rPr>
        <w:t>(</w:t>
      </w:r>
      <w:r w:rsidRPr="007824D5">
        <w:rPr>
          <w:lang w:val="ro-RO"/>
        </w:rPr>
        <w:t xml:space="preserve">grupele XI, XII, XIII, XV </w:t>
      </w:r>
      <w:r>
        <w:rPr>
          <w:lang w:val="ro-RO"/>
        </w:rPr>
        <w:t>ş</w:t>
      </w:r>
      <w:r w:rsidRPr="007824D5">
        <w:rPr>
          <w:lang w:val="ro-RO"/>
        </w:rPr>
        <w:t xml:space="preserve">i XX) </w:t>
      </w:r>
      <w:r>
        <w:rPr>
          <w:lang w:val="ro-RO"/>
        </w:rPr>
        <w:t>ş</w:t>
      </w:r>
      <w:r w:rsidRPr="007824D5">
        <w:rPr>
          <w:lang w:val="ro-RO"/>
        </w:rPr>
        <w:t xml:space="preserve">i Centru (grupele V, VIII, XI, XII </w:t>
      </w:r>
      <w:r>
        <w:rPr>
          <w:lang w:val="ro-RO"/>
        </w:rPr>
        <w:t>ş</w:t>
      </w:r>
      <w:r w:rsidRPr="007824D5">
        <w:rPr>
          <w:lang w:val="ro-RO"/>
        </w:rPr>
        <w:t xml:space="preserve">i XV). La fel de prezentă în toate regiunile este </w:t>
      </w:r>
      <w:r>
        <w:rPr>
          <w:lang w:val="ro-RO"/>
        </w:rPr>
        <w:t>ş</w:t>
      </w:r>
      <w:r w:rsidRPr="007824D5">
        <w:rPr>
          <w:lang w:val="ro-RO"/>
        </w:rPr>
        <w:t>i situa</w:t>
      </w:r>
      <w:r>
        <w:rPr>
          <w:lang w:val="ro-RO"/>
        </w:rPr>
        <w:t>ţ</w:t>
      </w:r>
      <w:r w:rsidRPr="007824D5">
        <w:rPr>
          <w:lang w:val="ro-RO"/>
        </w:rPr>
        <w:t xml:space="preserve">ia inversă, a unui mix sectorial pozitiv </w:t>
      </w:r>
      <w:r>
        <w:rPr>
          <w:lang w:val="ro-RO"/>
        </w:rPr>
        <w:t>ş</w:t>
      </w:r>
      <w:r w:rsidRPr="007824D5">
        <w:rPr>
          <w:lang w:val="ro-RO"/>
        </w:rPr>
        <w:t xml:space="preserve">i a unui efect de schimbare regională negativ, </w:t>
      </w:r>
      <w:r w:rsidRPr="007824D5">
        <w:rPr>
          <w:rStyle w:val="hps"/>
          <w:lang w:val="ro-RO"/>
        </w:rPr>
        <w:t>care indică</w:t>
      </w:r>
      <w:r w:rsidRPr="007824D5">
        <w:rPr>
          <w:lang w:val="ro-RO"/>
        </w:rPr>
        <w:t xml:space="preserve"> anumite </w:t>
      </w:r>
      <w:r w:rsidRPr="007824D5">
        <w:rPr>
          <w:rStyle w:val="hps"/>
          <w:lang w:val="ro-RO"/>
        </w:rPr>
        <w:t>caracteristici</w:t>
      </w:r>
      <w:r w:rsidRPr="007824D5">
        <w:rPr>
          <w:lang w:val="ro-RO"/>
        </w:rPr>
        <w:t xml:space="preserve"> </w:t>
      </w:r>
      <w:r w:rsidRPr="007824D5">
        <w:rPr>
          <w:rStyle w:val="hps"/>
          <w:lang w:val="ro-RO"/>
        </w:rPr>
        <w:t>competitive</w:t>
      </w:r>
      <w:r w:rsidRPr="007824D5">
        <w:rPr>
          <w:lang w:val="ro-RO"/>
        </w:rPr>
        <w:t xml:space="preserve"> </w:t>
      </w:r>
      <w:r w:rsidRPr="007824D5">
        <w:rPr>
          <w:rStyle w:val="hps"/>
          <w:lang w:val="ro-RO"/>
        </w:rPr>
        <w:t>regionale</w:t>
      </w:r>
      <w:r w:rsidRPr="007824D5">
        <w:rPr>
          <w:lang w:val="ro-RO"/>
        </w:rPr>
        <w:t xml:space="preserve"> </w:t>
      </w:r>
      <w:r w:rsidRPr="007824D5">
        <w:rPr>
          <w:rStyle w:val="hps"/>
          <w:lang w:val="ro-RO"/>
        </w:rPr>
        <w:t>şi sectoriale</w:t>
      </w:r>
      <w:r w:rsidRPr="007824D5">
        <w:rPr>
          <w:lang w:val="ro-RO"/>
        </w:rPr>
        <w:t xml:space="preserve"> care </w:t>
      </w:r>
      <w:r w:rsidRPr="007824D5">
        <w:rPr>
          <w:rStyle w:val="hps"/>
          <w:lang w:val="ro-RO"/>
        </w:rPr>
        <w:t>nu au fost/nu sunt pe deplin</w:t>
      </w:r>
      <w:r w:rsidRPr="007824D5">
        <w:rPr>
          <w:lang w:val="ro-RO"/>
        </w:rPr>
        <w:t xml:space="preserve"> </w:t>
      </w:r>
      <w:r w:rsidRPr="007824D5">
        <w:rPr>
          <w:rStyle w:val="hps"/>
          <w:lang w:val="ro-RO"/>
        </w:rPr>
        <w:t xml:space="preserve">exploatate: Nord-Est (grupele II, III, IV, VI, X, XVII </w:t>
      </w:r>
      <w:r>
        <w:rPr>
          <w:rStyle w:val="hps"/>
          <w:lang w:val="ro-RO"/>
        </w:rPr>
        <w:t>ş</w:t>
      </w:r>
      <w:r w:rsidRPr="007824D5">
        <w:rPr>
          <w:rStyle w:val="hps"/>
          <w:lang w:val="ro-RO"/>
        </w:rPr>
        <w:t xml:space="preserve">i XVIII), Sud-Est (grupele IV, VI, VII, IX, XVI, XVII </w:t>
      </w:r>
      <w:r>
        <w:rPr>
          <w:rStyle w:val="hps"/>
          <w:lang w:val="ro-RO"/>
        </w:rPr>
        <w:t>ş</w:t>
      </w:r>
      <w:r w:rsidRPr="007824D5">
        <w:rPr>
          <w:rStyle w:val="hps"/>
          <w:lang w:val="ro-RO"/>
        </w:rPr>
        <w:t xml:space="preserve">i XVIII), Sud Muntenia (grupele III, VI, IX, XVI </w:t>
      </w:r>
      <w:r>
        <w:rPr>
          <w:rStyle w:val="hps"/>
          <w:lang w:val="ro-RO"/>
        </w:rPr>
        <w:t>ş</w:t>
      </w:r>
      <w:r w:rsidRPr="007824D5">
        <w:rPr>
          <w:rStyle w:val="hps"/>
          <w:lang w:val="ro-RO"/>
        </w:rPr>
        <w:t>i XXII), Bucure</w:t>
      </w:r>
      <w:r>
        <w:rPr>
          <w:rStyle w:val="hps"/>
          <w:lang w:val="ro-RO"/>
        </w:rPr>
        <w:t>ş</w:t>
      </w:r>
      <w:r w:rsidRPr="007824D5">
        <w:rPr>
          <w:rStyle w:val="hps"/>
          <w:lang w:val="ro-RO"/>
        </w:rPr>
        <w:t xml:space="preserve">ti-Ilfov (grupele I, VII, IX, X, XVII </w:t>
      </w:r>
      <w:r>
        <w:rPr>
          <w:rStyle w:val="hps"/>
          <w:lang w:val="ro-RO"/>
        </w:rPr>
        <w:t>ş</w:t>
      </w:r>
      <w:r w:rsidRPr="007824D5">
        <w:rPr>
          <w:rStyle w:val="hps"/>
          <w:lang w:val="ro-RO"/>
        </w:rPr>
        <w:t xml:space="preserve">i XVIII), Sud-Vest Oltenia (grupele VI, VII, IX, X </w:t>
      </w:r>
      <w:r>
        <w:rPr>
          <w:rStyle w:val="hps"/>
          <w:lang w:val="ro-RO"/>
        </w:rPr>
        <w:t>ş</w:t>
      </w:r>
      <w:r w:rsidRPr="007824D5">
        <w:rPr>
          <w:rStyle w:val="hps"/>
          <w:lang w:val="ro-RO"/>
        </w:rPr>
        <w:t xml:space="preserve">i XVIII), Vest (grupele I, II, IV, VII, IX, XVII, XVII </w:t>
      </w:r>
      <w:r>
        <w:rPr>
          <w:rStyle w:val="hps"/>
          <w:lang w:val="ro-RO"/>
        </w:rPr>
        <w:t>ş</w:t>
      </w:r>
      <w:r w:rsidRPr="007824D5">
        <w:rPr>
          <w:rStyle w:val="hps"/>
          <w:lang w:val="ro-RO"/>
        </w:rPr>
        <w:t xml:space="preserve">i XXII), Nord-Vest (grupele I, II, IV, VI, X, XVIII </w:t>
      </w:r>
      <w:r>
        <w:rPr>
          <w:rStyle w:val="hps"/>
          <w:lang w:val="ro-RO"/>
        </w:rPr>
        <w:t>ş</w:t>
      </w:r>
      <w:r w:rsidRPr="007824D5">
        <w:rPr>
          <w:rStyle w:val="hps"/>
          <w:lang w:val="ro-RO"/>
        </w:rPr>
        <w:t xml:space="preserve">i XXII) </w:t>
      </w:r>
      <w:r>
        <w:rPr>
          <w:rStyle w:val="hps"/>
          <w:lang w:val="ro-RO"/>
        </w:rPr>
        <w:t>ş</w:t>
      </w:r>
      <w:r w:rsidRPr="007824D5">
        <w:rPr>
          <w:rStyle w:val="hps"/>
          <w:lang w:val="ro-RO"/>
        </w:rPr>
        <w:t xml:space="preserve">i Centru (grupele II, IV, XVII </w:t>
      </w:r>
      <w:r>
        <w:rPr>
          <w:rStyle w:val="hps"/>
          <w:lang w:val="ro-RO"/>
        </w:rPr>
        <w:t>ş</w:t>
      </w:r>
      <w:r w:rsidRPr="007824D5">
        <w:rPr>
          <w:rStyle w:val="hps"/>
          <w:lang w:val="ro-RO"/>
        </w:rPr>
        <w:t>i XVIII)</w:t>
      </w:r>
      <w:r w:rsidR="00E33263" w:rsidRPr="00AB2B25">
        <w:rPr>
          <w:rStyle w:val="hps"/>
        </w:rPr>
        <w:t xml:space="preserve">. </w:t>
      </w:r>
    </w:p>
    <w:p w:rsidR="00E33263" w:rsidRPr="00AB2B25" w:rsidRDefault="00F548D4" w:rsidP="001B4C91">
      <w:pPr>
        <w:jc w:val="both"/>
        <w:textAlignment w:val="top"/>
        <w:rPr>
          <w:rStyle w:val="hps"/>
        </w:rPr>
      </w:pPr>
      <w:r w:rsidRPr="007824D5">
        <w:rPr>
          <w:rStyle w:val="hps"/>
          <w:lang w:val="ro-RO"/>
        </w:rPr>
        <w:t xml:space="preserve">Dintre cele două subperioade analizate, ne interesează mai ales perioada de criză </w:t>
      </w:r>
      <w:r>
        <w:rPr>
          <w:rStyle w:val="hps"/>
          <w:lang w:val="ro-RO"/>
        </w:rPr>
        <w:t>ş</w:t>
      </w:r>
      <w:r w:rsidRPr="007824D5">
        <w:rPr>
          <w:rStyle w:val="hps"/>
          <w:lang w:val="ro-RO"/>
        </w:rPr>
        <w:t>i post-criză 2009-2013, pentru a identifica posibililele modificări structurale induse de aceasta. În acest caz, grupelor de produse anterior men</w:t>
      </w:r>
      <w:r>
        <w:rPr>
          <w:rStyle w:val="hps"/>
          <w:lang w:val="ro-RO"/>
        </w:rPr>
        <w:t>ţ</w:t>
      </w:r>
      <w:r w:rsidRPr="007824D5">
        <w:rPr>
          <w:rStyle w:val="hps"/>
          <w:lang w:val="ro-RO"/>
        </w:rPr>
        <w:t xml:space="preserve">ionate ca înregistrând un mix sectorial negativ li s-a adăugat </w:t>
      </w:r>
      <w:r>
        <w:rPr>
          <w:rStyle w:val="hps"/>
          <w:lang w:val="ro-RO"/>
        </w:rPr>
        <w:t>ş</w:t>
      </w:r>
      <w:r w:rsidRPr="007824D5">
        <w:rPr>
          <w:rStyle w:val="hps"/>
          <w:lang w:val="ro-RO"/>
        </w:rPr>
        <w:t>i grupa XVI, una dintre grupele cu ponderi însemnate în exporturile na</w:t>
      </w:r>
      <w:r>
        <w:rPr>
          <w:rStyle w:val="hps"/>
          <w:lang w:val="ro-RO"/>
        </w:rPr>
        <w:t>ţ</w:t>
      </w:r>
      <w:r w:rsidRPr="007824D5">
        <w:rPr>
          <w:rStyle w:val="hps"/>
          <w:lang w:val="ro-RO"/>
        </w:rPr>
        <w:t xml:space="preserve">ionale </w:t>
      </w:r>
      <w:r>
        <w:rPr>
          <w:rStyle w:val="hps"/>
          <w:lang w:val="ro-RO"/>
        </w:rPr>
        <w:t>ş</w:t>
      </w:r>
      <w:r w:rsidRPr="007824D5">
        <w:rPr>
          <w:rStyle w:val="hps"/>
          <w:lang w:val="ro-RO"/>
        </w:rPr>
        <w:t xml:space="preserve">i regionale. </w:t>
      </w:r>
      <w:r>
        <w:rPr>
          <w:rStyle w:val="hps"/>
          <w:lang w:val="ro-RO"/>
        </w:rPr>
        <w:t>Ş</w:t>
      </w:r>
      <w:r w:rsidRPr="007824D5">
        <w:rPr>
          <w:rStyle w:val="hps"/>
          <w:lang w:val="ro-RO"/>
        </w:rPr>
        <w:t xml:space="preserve">i în această perioadă impactul mix-ului sectorial negativ a fost compensat în cazul anumitor grupe de produse în toate regiunile de efecte de schimbare regională pozitive: Nord-Est (grupele V, VIII, XI, XV </w:t>
      </w:r>
      <w:r>
        <w:rPr>
          <w:rStyle w:val="hps"/>
          <w:lang w:val="ro-RO"/>
        </w:rPr>
        <w:t>ş</w:t>
      </w:r>
      <w:r w:rsidRPr="007824D5">
        <w:rPr>
          <w:rStyle w:val="hps"/>
          <w:lang w:val="ro-RO"/>
        </w:rPr>
        <w:t xml:space="preserve">i XVI), Sud-Est (grupele V, VIII </w:t>
      </w:r>
      <w:r>
        <w:rPr>
          <w:rStyle w:val="hps"/>
          <w:lang w:val="ro-RO"/>
        </w:rPr>
        <w:t>ş</w:t>
      </w:r>
      <w:r w:rsidRPr="007824D5">
        <w:rPr>
          <w:rStyle w:val="hps"/>
          <w:lang w:val="ro-RO"/>
        </w:rPr>
        <w:t xml:space="preserve">i XI), Sud Muntenia (grupele XI, XII, XV </w:t>
      </w:r>
      <w:r>
        <w:rPr>
          <w:rStyle w:val="hps"/>
          <w:lang w:val="ro-RO"/>
        </w:rPr>
        <w:t>ş</w:t>
      </w:r>
      <w:r w:rsidRPr="007824D5">
        <w:rPr>
          <w:rStyle w:val="hps"/>
          <w:lang w:val="ro-RO"/>
        </w:rPr>
        <w:t>i XXII), Bucure</w:t>
      </w:r>
      <w:r>
        <w:rPr>
          <w:rStyle w:val="hps"/>
          <w:lang w:val="ro-RO"/>
        </w:rPr>
        <w:t>ş</w:t>
      </w:r>
      <w:r w:rsidRPr="007824D5">
        <w:rPr>
          <w:rStyle w:val="hps"/>
          <w:lang w:val="ro-RO"/>
        </w:rPr>
        <w:t xml:space="preserve">ti-Ilfov (grupele VIII, XI, XII </w:t>
      </w:r>
      <w:r>
        <w:rPr>
          <w:rStyle w:val="hps"/>
          <w:lang w:val="ro-RO"/>
        </w:rPr>
        <w:t>ş</w:t>
      </w:r>
      <w:r w:rsidRPr="007824D5">
        <w:rPr>
          <w:rStyle w:val="hps"/>
          <w:lang w:val="ro-RO"/>
        </w:rPr>
        <w:t xml:space="preserve">i XIII), Sud-Vest Oltenia (grupele XII, XIII </w:t>
      </w:r>
      <w:r>
        <w:rPr>
          <w:rStyle w:val="hps"/>
          <w:lang w:val="ro-RO"/>
        </w:rPr>
        <w:t>ş</w:t>
      </w:r>
      <w:r w:rsidRPr="007824D5">
        <w:rPr>
          <w:rStyle w:val="hps"/>
          <w:lang w:val="ro-RO"/>
        </w:rPr>
        <w:t xml:space="preserve">i XVI), Vest (grupele V, XV, XVI </w:t>
      </w:r>
      <w:r>
        <w:rPr>
          <w:rStyle w:val="hps"/>
          <w:lang w:val="ro-RO"/>
        </w:rPr>
        <w:t>ş</w:t>
      </w:r>
      <w:r w:rsidRPr="007824D5">
        <w:rPr>
          <w:rStyle w:val="hps"/>
          <w:lang w:val="ro-RO"/>
        </w:rPr>
        <w:t xml:space="preserve">i XXI), Nord-Vest (grupele V, XIII, XV </w:t>
      </w:r>
      <w:r>
        <w:rPr>
          <w:rStyle w:val="hps"/>
          <w:lang w:val="ro-RO"/>
        </w:rPr>
        <w:t>ş</w:t>
      </w:r>
      <w:r w:rsidRPr="007824D5">
        <w:rPr>
          <w:rStyle w:val="hps"/>
          <w:lang w:val="ro-RO"/>
        </w:rPr>
        <w:t xml:space="preserve">i XXII) </w:t>
      </w:r>
      <w:r>
        <w:rPr>
          <w:rStyle w:val="hps"/>
          <w:lang w:val="ro-RO"/>
        </w:rPr>
        <w:t>ş</w:t>
      </w:r>
      <w:r w:rsidRPr="007824D5">
        <w:rPr>
          <w:rStyle w:val="hps"/>
          <w:lang w:val="ro-RO"/>
        </w:rPr>
        <w:t xml:space="preserve">i Centru (grupele VIII, XII, XIII, XV </w:t>
      </w:r>
      <w:r>
        <w:rPr>
          <w:rStyle w:val="hps"/>
          <w:lang w:val="ro-RO"/>
        </w:rPr>
        <w:t>ş</w:t>
      </w:r>
      <w:r w:rsidRPr="007824D5">
        <w:rPr>
          <w:rStyle w:val="hps"/>
          <w:lang w:val="ro-RO"/>
        </w:rPr>
        <w:t>i XVI). În condi</w:t>
      </w:r>
      <w:r>
        <w:rPr>
          <w:rStyle w:val="hps"/>
          <w:lang w:val="ro-RO"/>
        </w:rPr>
        <w:t>ţ</w:t>
      </w:r>
      <w:r w:rsidRPr="007824D5">
        <w:rPr>
          <w:rStyle w:val="hps"/>
          <w:lang w:val="ro-RO"/>
        </w:rPr>
        <w:t xml:space="preserve">iile unui mix sectorial pozitiv, subperioada este caracterizată </w:t>
      </w:r>
      <w:r>
        <w:rPr>
          <w:rStyle w:val="hps"/>
          <w:lang w:val="ro-RO"/>
        </w:rPr>
        <w:t>ş</w:t>
      </w:r>
      <w:r w:rsidRPr="007824D5">
        <w:rPr>
          <w:rStyle w:val="hps"/>
          <w:lang w:val="ro-RO"/>
        </w:rPr>
        <w:t>i de evolu</w:t>
      </w:r>
      <w:r>
        <w:rPr>
          <w:rStyle w:val="hps"/>
          <w:lang w:val="ro-RO"/>
        </w:rPr>
        <w:t>ţ</w:t>
      </w:r>
      <w:r w:rsidRPr="007824D5">
        <w:rPr>
          <w:rStyle w:val="hps"/>
          <w:lang w:val="ro-RO"/>
        </w:rPr>
        <w:t xml:space="preserve">ii pozitive </w:t>
      </w:r>
      <w:r>
        <w:rPr>
          <w:rStyle w:val="hps"/>
          <w:lang w:val="ro-RO"/>
        </w:rPr>
        <w:t>ş</w:t>
      </w:r>
      <w:r w:rsidRPr="007824D5">
        <w:rPr>
          <w:rStyle w:val="hps"/>
          <w:lang w:val="ro-RO"/>
        </w:rPr>
        <w:t xml:space="preserve">i/sau negative ale componentei de schimbare regională pentru exportul diverselor grupe de produse în toate regiunile (Tabelul 2). Cea mai evidentă mobilitate sectorială a exporturilor în sens pozitiv (atât mix-ul sectorial cât </w:t>
      </w:r>
      <w:r>
        <w:rPr>
          <w:rStyle w:val="hps"/>
          <w:lang w:val="ro-RO"/>
        </w:rPr>
        <w:t>ş</w:t>
      </w:r>
      <w:r w:rsidRPr="007824D5">
        <w:rPr>
          <w:rStyle w:val="hps"/>
          <w:lang w:val="ro-RO"/>
        </w:rPr>
        <w:t>i componenta de schimbare regională pozitive sau RS devenit pozitiv în subperioada 2009-2013) se observă în regiunile Nord-Vest, Centru, Nord-Est, Bucure</w:t>
      </w:r>
      <w:r>
        <w:rPr>
          <w:rStyle w:val="hps"/>
          <w:lang w:val="ro-RO"/>
        </w:rPr>
        <w:t>ş</w:t>
      </w:r>
      <w:r w:rsidRPr="007824D5">
        <w:rPr>
          <w:rStyle w:val="hps"/>
          <w:lang w:val="ro-RO"/>
        </w:rPr>
        <w:t xml:space="preserve">ti-Ilfov </w:t>
      </w:r>
      <w:r>
        <w:rPr>
          <w:rStyle w:val="hps"/>
          <w:lang w:val="ro-RO"/>
        </w:rPr>
        <w:t>ş</w:t>
      </w:r>
      <w:r w:rsidRPr="007824D5">
        <w:rPr>
          <w:rStyle w:val="hps"/>
          <w:lang w:val="ro-RO"/>
        </w:rPr>
        <w:t>i Vest</w:t>
      </w:r>
      <w:r w:rsidR="00E33263" w:rsidRPr="00AB2B25">
        <w:rPr>
          <w:rStyle w:val="hps"/>
        </w:rPr>
        <w:t>.</w:t>
      </w:r>
    </w:p>
    <w:p w:rsidR="00E33263" w:rsidRDefault="00E33263" w:rsidP="001B4C91">
      <w:pPr>
        <w:jc w:val="both"/>
        <w:textAlignment w:val="top"/>
        <w:rPr>
          <w:rStyle w:val="hps"/>
          <w:b/>
        </w:rPr>
      </w:pPr>
    </w:p>
    <w:p w:rsidR="00F548D4" w:rsidRPr="00F548D4" w:rsidRDefault="00F548D4" w:rsidP="00F548D4">
      <w:pPr>
        <w:spacing w:line="276" w:lineRule="auto"/>
        <w:jc w:val="both"/>
        <w:textAlignment w:val="top"/>
        <w:rPr>
          <w:rStyle w:val="hps"/>
          <w:b/>
          <w:sz w:val="20"/>
          <w:szCs w:val="20"/>
          <w:lang w:val="ro-RO"/>
        </w:rPr>
      </w:pPr>
      <w:r w:rsidRPr="00F548D4">
        <w:rPr>
          <w:rStyle w:val="hps"/>
          <w:b/>
          <w:sz w:val="20"/>
          <w:szCs w:val="20"/>
          <w:lang w:val="ro-RO"/>
        </w:rPr>
        <w:t>Tabelul 2. Evoluţia componentei de schimbare regională (RS) pentru exportul grupelor de produse conform clasificării NC, în condiţiile unui mix sectorial pozitiv, în perioada 2009-2013 faţă de întreaga perioadă analizată, 2005-2013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2021"/>
        <w:gridCol w:w="1964"/>
        <w:gridCol w:w="2021"/>
        <w:gridCol w:w="1768"/>
      </w:tblGrid>
      <w:tr w:rsidR="00F548D4" w:rsidRPr="00AB2B25" w:rsidTr="00F909D8">
        <w:tc>
          <w:tcPr>
            <w:tcW w:w="1469" w:type="dxa"/>
          </w:tcPr>
          <w:p w:rsidR="00F548D4" w:rsidRPr="00AB2B25" w:rsidRDefault="00F548D4" w:rsidP="001B4C91">
            <w:pPr>
              <w:jc w:val="both"/>
              <w:textAlignment w:val="top"/>
              <w:rPr>
                <w:sz w:val="20"/>
                <w:szCs w:val="20"/>
              </w:rPr>
            </w:pPr>
          </w:p>
        </w:tc>
        <w:tc>
          <w:tcPr>
            <w:tcW w:w="2021" w:type="dxa"/>
          </w:tcPr>
          <w:p w:rsidR="00F548D4" w:rsidRPr="008C2C0E" w:rsidRDefault="00F548D4" w:rsidP="00203B4F">
            <w:pPr>
              <w:spacing w:line="276" w:lineRule="auto"/>
              <w:jc w:val="both"/>
              <w:textAlignment w:val="top"/>
              <w:rPr>
                <w:sz w:val="20"/>
                <w:szCs w:val="20"/>
                <w:lang w:val="ro-RO"/>
              </w:rPr>
            </w:pPr>
            <w:r w:rsidRPr="008C2C0E">
              <w:rPr>
                <w:sz w:val="20"/>
                <w:szCs w:val="20"/>
                <w:lang w:val="ro-RO"/>
              </w:rPr>
              <w:t xml:space="preserve">Grupe de produse cu RS negativ în </w:t>
            </w:r>
            <w:r w:rsidRPr="008C2C0E">
              <w:rPr>
                <w:sz w:val="20"/>
                <w:szCs w:val="20"/>
                <w:lang w:val="ro-RO"/>
              </w:rPr>
              <w:lastRenderedPageBreak/>
              <w:t xml:space="preserve">perioada 2005-2013 </w:t>
            </w:r>
            <w:r>
              <w:rPr>
                <w:sz w:val="20"/>
                <w:szCs w:val="20"/>
                <w:lang w:val="ro-RO"/>
              </w:rPr>
              <w:t>ş</w:t>
            </w:r>
            <w:r w:rsidRPr="008C2C0E">
              <w:rPr>
                <w:sz w:val="20"/>
                <w:szCs w:val="20"/>
                <w:lang w:val="ro-RO"/>
              </w:rPr>
              <w:t>i negativ în perioada 2009-2013</w:t>
            </w:r>
          </w:p>
        </w:tc>
        <w:tc>
          <w:tcPr>
            <w:tcW w:w="1964" w:type="dxa"/>
          </w:tcPr>
          <w:p w:rsidR="00F548D4" w:rsidRPr="008C2C0E" w:rsidRDefault="00F548D4" w:rsidP="00203B4F">
            <w:pPr>
              <w:spacing w:line="276" w:lineRule="auto"/>
              <w:jc w:val="both"/>
              <w:textAlignment w:val="top"/>
              <w:rPr>
                <w:sz w:val="20"/>
                <w:szCs w:val="20"/>
                <w:lang w:val="ro-RO"/>
              </w:rPr>
            </w:pPr>
            <w:r w:rsidRPr="008C2C0E">
              <w:rPr>
                <w:sz w:val="20"/>
                <w:szCs w:val="20"/>
                <w:lang w:val="ro-RO"/>
              </w:rPr>
              <w:lastRenderedPageBreak/>
              <w:t xml:space="preserve">Grupe de produse cu RS negativ în </w:t>
            </w:r>
            <w:r w:rsidRPr="008C2C0E">
              <w:rPr>
                <w:sz w:val="20"/>
                <w:szCs w:val="20"/>
                <w:lang w:val="ro-RO"/>
              </w:rPr>
              <w:lastRenderedPageBreak/>
              <w:t xml:space="preserve">perioada 2005-2013 </w:t>
            </w:r>
            <w:r>
              <w:rPr>
                <w:sz w:val="20"/>
                <w:szCs w:val="20"/>
                <w:lang w:val="ro-RO"/>
              </w:rPr>
              <w:t>ş</w:t>
            </w:r>
            <w:r w:rsidRPr="008C2C0E">
              <w:rPr>
                <w:sz w:val="20"/>
                <w:szCs w:val="20"/>
                <w:lang w:val="ro-RO"/>
              </w:rPr>
              <w:t>i pozitiv în perioada 2009-2013</w:t>
            </w:r>
          </w:p>
        </w:tc>
        <w:tc>
          <w:tcPr>
            <w:tcW w:w="2021" w:type="dxa"/>
          </w:tcPr>
          <w:p w:rsidR="00F548D4" w:rsidRPr="008C2C0E" w:rsidRDefault="00F548D4" w:rsidP="00203B4F">
            <w:pPr>
              <w:spacing w:line="276" w:lineRule="auto"/>
              <w:jc w:val="both"/>
              <w:textAlignment w:val="top"/>
              <w:rPr>
                <w:sz w:val="20"/>
                <w:szCs w:val="20"/>
                <w:lang w:val="ro-RO"/>
              </w:rPr>
            </w:pPr>
            <w:r w:rsidRPr="008C2C0E">
              <w:rPr>
                <w:sz w:val="20"/>
                <w:szCs w:val="20"/>
                <w:lang w:val="ro-RO"/>
              </w:rPr>
              <w:lastRenderedPageBreak/>
              <w:t xml:space="preserve">Grupe de produse cu RS pozitiv în perioada </w:t>
            </w:r>
            <w:r w:rsidRPr="008C2C0E">
              <w:rPr>
                <w:sz w:val="20"/>
                <w:szCs w:val="20"/>
                <w:lang w:val="ro-RO"/>
              </w:rPr>
              <w:lastRenderedPageBreak/>
              <w:t xml:space="preserve">2005-2013 </w:t>
            </w:r>
            <w:r>
              <w:rPr>
                <w:sz w:val="20"/>
                <w:szCs w:val="20"/>
                <w:lang w:val="ro-RO"/>
              </w:rPr>
              <w:t>ş</w:t>
            </w:r>
            <w:r w:rsidRPr="008C2C0E">
              <w:rPr>
                <w:sz w:val="20"/>
                <w:szCs w:val="20"/>
                <w:lang w:val="ro-RO"/>
              </w:rPr>
              <w:t>i negativ în perioada 2009-2013</w:t>
            </w:r>
          </w:p>
        </w:tc>
        <w:tc>
          <w:tcPr>
            <w:tcW w:w="1768" w:type="dxa"/>
          </w:tcPr>
          <w:p w:rsidR="00F548D4" w:rsidRPr="008C2C0E" w:rsidRDefault="00F548D4" w:rsidP="00203B4F">
            <w:pPr>
              <w:spacing w:line="276" w:lineRule="auto"/>
              <w:jc w:val="both"/>
              <w:textAlignment w:val="top"/>
              <w:rPr>
                <w:sz w:val="20"/>
                <w:szCs w:val="20"/>
                <w:lang w:val="ro-RO"/>
              </w:rPr>
            </w:pPr>
            <w:r w:rsidRPr="008C2C0E">
              <w:rPr>
                <w:sz w:val="20"/>
                <w:szCs w:val="20"/>
                <w:lang w:val="ro-RO"/>
              </w:rPr>
              <w:lastRenderedPageBreak/>
              <w:t xml:space="preserve">Grupe de produse cu RS pozitiv în </w:t>
            </w:r>
            <w:r w:rsidRPr="008C2C0E">
              <w:rPr>
                <w:sz w:val="20"/>
                <w:szCs w:val="20"/>
                <w:lang w:val="ro-RO"/>
              </w:rPr>
              <w:lastRenderedPageBreak/>
              <w:t xml:space="preserve">perioada 2005-2013 </w:t>
            </w:r>
            <w:r>
              <w:rPr>
                <w:sz w:val="20"/>
                <w:szCs w:val="20"/>
                <w:lang w:val="ro-RO"/>
              </w:rPr>
              <w:t>ş</w:t>
            </w:r>
            <w:r w:rsidRPr="008C2C0E">
              <w:rPr>
                <w:sz w:val="20"/>
                <w:szCs w:val="20"/>
                <w:lang w:val="ro-RO"/>
              </w:rPr>
              <w:t>i pozitiv în perioada 2009-2013</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lastRenderedPageBreak/>
              <w:t>Nord-Est</w:t>
            </w:r>
          </w:p>
        </w:tc>
        <w:tc>
          <w:tcPr>
            <w:tcW w:w="2021" w:type="dxa"/>
          </w:tcPr>
          <w:p w:rsidR="00E33263" w:rsidRPr="00AB2B25" w:rsidRDefault="00E33263" w:rsidP="001B4C91">
            <w:pPr>
              <w:jc w:val="both"/>
              <w:textAlignment w:val="top"/>
              <w:rPr>
                <w:sz w:val="20"/>
                <w:szCs w:val="20"/>
              </w:rPr>
            </w:pPr>
            <w:r w:rsidRPr="00AB2B25">
              <w:rPr>
                <w:sz w:val="20"/>
                <w:szCs w:val="20"/>
              </w:rPr>
              <w:t>II, III, VI,</w:t>
            </w:r>
          </w:p>
        </w:tc>
        <w:tc>
          <w:tcPr>
            <w:tcW w:w="1964" w:type="dxa"/>
          </w:tcPr>
          <w:p w:rsidR="00E33263" w:rsidRPr="00AB2B25" w:rsidRDefault="00E33263" w:rsidP="001B4C91">
            <w:pPr>
              <w:jc w:val="both"/>
              <w:textAlignment w:val="top"/>
              <w:rPr>
                <w:sz w:val="20"/>
                <w:szCs w:val="20"/>
              </w:rPr>
            </w:pPr>
            <w:r w:rsidRPr="00AB2B25">
              <w:rPr>
                <w:sz w:val="20"/>
                <w:szCs w:val="20"/>
              </w:rPr>
              <w:t xml:space="preserve">IV, X, XVII, XVIII, </w:t>
            </w:r>
          </w:p>
        </w:tc>
        <w:tc>
          <w:tcPr>
            <w:tcW w:w="2021" w:type="dxa"/>
          </w:tcPr>
          <w:p w:rsidR="00E33263" w:rsidRPr="00AB2B25" w:rsidRDefault="00E33263" w:rsidP="001B4C91">
            <w:pPr>
              <w:jc w:val="both"/>
              <w:textAlignment w:val="top"/>
              <w:rPr>
                <w:sz w:val="20"/>
                <w:szCs w:val="20"/>
              </w:rPr>
            </w:pPr>
            <w:r w:rsidRPr="00AB2B25">
              <w:rPr>
                <w:sz w:val="20"/>
                <w:szCs w:val="20"/>
              </w:rPr>
              <w:t>XXII</w:t>
            </w:r>
          </w:p>
        </w:tc>
        <w:tc>
          <w:tcPr>
            <w:tcW w:w="1768" w:type="dxa"/>
          </w:tcPr>
          <w:p w:rsidR="00E33263" w:rsidRPr="00AB2B25" w:rsidRDefault="00E33263" w:rsidP="001B4C91">
            <w:pPr>
              <w:jc w:val="both"/>
              <w:textAlignment w:val="top"/>
              <w:rPr>
                <w:sz w:val="20"/>
                <w:szCs w:val="20"/>
              </w:rPr>
            </w:pPr>
            <w:r w:rsidRPr="00AB2B25">
              <w:rPr>
                <w:sz w:val="20"/>
                <w:szCs w:val="20"/>
              </w:rPr>
              <w:t xml:space="preserve">I, VII, IX, X </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Sud-Est</w:t>
            </w:r>
          </w:p>
        </w:tc>
        <w:tc>
          <w:tcPr>
            <w:tcW w:w="2021" w:type="dxa"/>
          </w:tcPr>
          <w:p w:rsidR="00E33263" w:rsidRPr="00AB2B25" w:rsidRDefault="00E33263" w:rsidP="001B4C91">
            <w:pPr>
              <w:jc w:val="both"/>
              <w:textAlignment w:val="top"/>
              <w:rPr>
                <w:sz w:val="20"/>
                <w:szCs w:val="20"/>
              </w:rPr>
            </w:pPr>
            <w:r w:rsidRPr="00AB2B25">
              <w:rPr>
                <w:sz w:val="20"/>
                <w:szCs w:val="20"/>
              </w:rPr>
              <w:t>IV, VII, IX, XVII, XVIII</w:t>
            </w:r>
          </w:p>
        </w:tc>
        <w:tc>
          <w:tcPr>
            <w:tcW w:w="1964" w:type="dxa"/>
          </w:tcPr>
          <w:p w:rsidR="00E33263" w:rsidRPr="00AB2B25" w:rsidRDefault="00E33263" w:rsidP="001B4C91">
            <w:pPr>
              <w:jc w:val="both"/>
              <w:textAlignment w:val="top"/>
              <w:rPr>
                <w:sz w:val="20"/>
                <w:szCs w:val="20"/>
              </w:rPr>
            </w:pPr>
            <w:r w:rsidRPr="00AB2B25">
              <w:rPr>
                <w:sz w:val="20"/>
                <w:szCs w:val="20"/>
              </w:rPr>
              <w:t xml:space="preserve">VI </w:t>
            </w:r>
          </w:p>
        </w:tc>
        <w:tc>
          <w:tcPr>
            <w:tcW w:w="2021" w:type="dxa"/>
          </w:tcPr>
          <w:p w:rsidR="00E33263" w:rsidRPr="00AB2B25" w:rsidRDefault="00E33263" w:rsidP="001B4C91">
            <w:pPr>
              <w:jc w:val="both"/>
              <w:textAlignment w:val="top"/>
              <w:rPr>
                <w:sz w:val="20"/>
                <w:szCs w:val="20"/>
              </w:rPr>
            </w:pPr>
          </w:p>
        </w:tc>
        <w:tc>
          <w:tcPr>
            <w:tcW w:w="1768" w:type="dxa"/>
          </w:tcPr>
          <w:p w:rsidR="00E33263" w:rsidRPr="00AB2B25" w:rsidRDefault="00E33263" w:rsidP="001B4C91">
            <w:pPr>
              <w:jc w:val="both"/>
              <w:textAlignment w:val="top"/>
              <w:rPr>
                <w:sz w:val="20"/>
                <w:szCs w:val="20"/>
              </w:rPr>
            </w:pPr>
            <w:r w:rsidRPr="00AB2B25">
              <w:rPr>
                <w:sz w:val="20"/>
                <w:szCs w:val="20"/>
              </w:rPr>
              <w:t>I, II, III, X, XXII</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Sud Muntenia</w:t>
            </w:r>
          </w:p>
        </w:tc>
        <w:tc>
          <w:tcPr>
            <w:tcW w:w="2021" w:type="dxa"/>
          </w:tcPr>
          <w:p w:rsidR="00E33263" w:rsidRPr="00AB2B25" w:rsidRDefault="00E33263" w:rsidP="001B4C91">
            <w:pPr>
              <w:jc w:val="both"/>
              <w:textAlignment w:val="top"/>
              <w:rPr>
                <w:sz w:val="20"/>
                <w:szCs w:val="20"/>
              </w:rPr>
            </w:pPr>
            <w:r w:rsidRPr="00AB2B25">
              <w:rPr>
                <w:sz w:val="20"/>
                <w:szCs w:val="20"/>
              </w:rPr>
              <w:t>III, VI, IX, XXII</w:t>
            </w:r>
          </w:p>
        </w:tc>
        <w:tc>
          <w:tcPr>
            <w:tcW w:w="1964" w:type="dxa"/>
          </w:tcPr>
          <w:p w:rsidR="00E33263" w:rsidRPr="00AB2B25" w:rsidRDefault="00E33263" w:rsidP="001B4C91">
            <w:pPr>
              <w:jc w:val="both"/>
              <w:textAlignment w:val="top"/>
              <w:rPr>
                <w:sz w:val="20"/>
                <w:szCs w:val="20"/>
              </w:rPr>
            </w:pPr>
          </w:p>
        </w:tc>
        <w:tc>
          <w:tcPr>
            <w:tcW w:w="2021" w:type="dxa"/>
          </w:tcPr>
          <w:p w:rsidR="00E33263" w:rsidRPr="00AB2B25" w:rsidRDefault="00E33263" w:rsidP="001B4C91">
            <w:pPr>
              <w:jc w:val="both"/>
              <w:textAlignment w:val="top"/>
              <w:rPr>
                <w:sz w:val="20"/>
                <w:szCs w:val="20"/>
              </w:rPr>
            </w:pPr>
            <w:r w:rsidRPr="00AB2B25">
              <w:rPr>
                <w:sz w:val="20"/>
                <w:szCs w:val="20"/>
              </w:rPr>
              <w:t>I, II, X</w:t>
            </w:r>
          </w:p>
        </w:tc>
        <w:tc>
          <w:tcPr>
            <w:tcW w:w="1768" w:type="dxa"/>
          </w:tcPr>
          <w:p w:rsidR="00E33263" w:rsidRPr="00AB2B25" w:rsidRDefault="00E33263" w:rsidP="001B4C91">
            <w:pPr>
              <w:jc w:val="both"/>
              <w:textAlignment w:val="top"/>
              <w:rPr>
                <w:sz w:val="20"/>
                <w:szCs w:val="20"/>
              </w:rPr>
            </w:pPr>
            <w:r w:rsidRPr="00AB2B25">
              <w:rPr>
                <w:sz w:val="20"/>
                <w:szCs w:val="20"/>
              </w:rPr>
              <w:t>IV, VII, XVII, XVIII</w:t>
            </w:r>
          </w:p>
        </w:tc>
      </w:tr>
      <w:tr w:rsidR="00E33263" w:rsidRPr="00AB2B25" w:rsidTr="00F909D8">
        <w:tc>
          <w:tcPr>
            <w:tcW w:w="1469" w:type="dxa"/>
          </w:tcPr>
          <w:p w:rsidR="00E33263" w:rsidRPr="00AB2B25" w:rsidRDefault="00E33263" w:rsidP="005D29B2">
            <w:pPr>
              <w:jc w:val="both"/>
              <w:textAlignment w:val="top"/>
              <w:rPr>
                <w:sz w:val="20"/>
                <w:szCs w:val="20"/>
              </w:rPr>
            </w:pPr>
            <w:r w:rsidRPr="00AB2B25">
              <w:rPr>
                <w:sz w:val="20"/>
                <w:szCs w:val="20"/>
              </w:rPr>
              <w:t>Bucure</w:t>
            </w:r>
            <w:r w:rsidR="005D29B2">
              <w:rPr>
                <w:sz w:val="20"/>
                <w:szCs w:val="20"/>
              </w:rPr>
              <w:t>s</w:t>
            </w:r>
            <w:r w:rsidRPr="00AB2B25">
              <w:rPr>
                <w:sz w:val="20"/>
                <w:szCs w:val="20"/>
              </w:rPr>
              <w:t>ti-Ilfov</w:t>
            </w:r>
          </w:p>
        </w:tc>
        <w:tc>
          <w:tcPr>
            <w:tcW w:w="2021" w:type="dxa"/>
          </w:tcPr>
          <w:p w:rsidR="00E33263" w:rsidRPr="00AB2B25" w:rsidRDefault="00E33263" w:rsidP="001B4C91">
            <w:pPr>
              <w:jc w:val="both"/>
              <w:textAlignment w:val="top"/>
              <w:rPr>
                <w:sz w:val="20"/>
                <w:szCs w:val="20"/>
              </w:rPr>
            </w:pPr>
            <w:r w:rsidRPr="00AB2B25">
              <w:rPr>
                <w:sz w:val="20"/>
                <w:szCs w:val="20"/>
              </w:rPr>
              <w:t>IX, XVII</w:t>
            </w:r>
          </w:p>
        </w:tc>
        <w:tc>
          <w:tcPr>
            <w:tcW w:w="1964" w:type="dxa"/>
          </w:tcPr>
          <w:p w:rsidR="00E33263" w:rsidRPr="00AB2B25" w:rsidRDefault="00E33263" w:rsidP="001B4C91">
            <w:pPr>
              <w:jc w:val="both"/>
              <w:textAlignment w:val="top"/>
              <w:rPr>
                <w:sz w:val="20"/>
                <w:szCs w:val="20"/>
              </w:rPr>
            </w:pPr>
            <w:r w:rsidRPr="00AB2B25">
              <w:rPr>
                <w:sz w:val="20"/>
                <w:szCs w:val="20"/>
              </w:rPr>
              <w:t>I, VII, X, XVIII</w:t>
            </w:r>
          </w:p>
        </w:tc>
        <w:tc>
          <w:tcPr>
            <w:tcW w:w="2021" w:type="dxa"/>
          </w:tcPr>
          <w:p w:rsidR="00E33263" w:rsidRPr="00AB2B25" w:rsidRDefault="00E33263" w:rsidP="001B4C91">
            <w:pPr>
              <w:jc w:val="both"/>
              <w:textAlignment w:val="top"/>
              <w:rPr>
                <w:sz w:val="20"/>
                <w:szCs w:val="20"/>
              </w:rPr>
            </w:pPr>
            <w:r w:rsidRPr="00AB2B25">
              <w:rPr>
                <w:sz w:val="20"/>
                <w:szCs w:val="20"/>
              </w:rPr>
              <w:t>II, III, IV</w:t>
            </w:r>
          </w:p>
        </w:tc>
        <w:tc>
          <w:tcPr>
            <w:tcW w:w="1768" w:type="dxa"/>
          </w:tcPr>
          <w:p w:rsidR="00E33263" w:rsidRPr="00AB2B25" w:rsidRDefault="00E33263" w:rsidP="001B4C91">
            <w:pPr>
              <w:jc w:val="both"/>
              <w:textAlignment w:val="top"/>
              <w:rPr>
                <w:sz w:val="20"/>
                <w:szCs w:val="20"/>
              </w:rPr>
            </w:pPr>
            <w:r w:rsidRPr="00AB2B25">
              <w:rPr>
                <w:sz w:val="20"/>
                <w:szCs w:val="20"/>
              </w:rPr>
              <w:t>VI, XXII</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Sud-Vest Oltenia</w:t>
            </w:r>
          </w:p>
        </w:tc>
        <w:tc>
          <w:tcPr>
            <w:tcW w:w="2021" w:type="dxa"/>
          </w:tcPr>
          <w:p w:rsidR="00E33263" w:rsidRPr="00AB2B25" w:rsidRDefault="00E33263" w:rsidP="001B4C91">
            <w:pPr>
              <w:jc w:val="both"/>
              <w:textAlignment w:val="top"/>
              <w:rPr>
                <w:sz w:val="20"/>
                <w:szCs w:val="20"/>
              </w:rPr>
            </w:pPr>
            <w:r w:rsidRPr="00AB2B25">
              <w:rPr>
                <w:sz w:val="20"/>
                <w:szCs w:val="20"/>
              </w:rPr>
              <w:t>VI, VII, IX, X</w:t>
            </w:r>
          </w:p>
        </w:tc>
        <w:tc>
          <w:tcPr>
            <w:tcW w:w="1964" w:type="dxa"/>
          </w:tcPr>
          <w:p w:rsidR="00E33263" w:rsidRPr="00AB2B25" w:rsidRDefault="00E33263" w:rsidP="001B4C91">
            <w:pPr>
              <w:jc w:val="both"/>
              <w:textAlignment w:val="top"/>
              <w:rPr>
                <w:sz w:val="20"/>
                <w:szCs w:val="20"/>
              </w:rPr>
            </w:pPr>
            <w:r w:rsidRPr="00AB2B25">
              <w:rPr>
                <w:sz w:val="20"/>
                <w:szCs w:val="20"/>
              </w:rPr>
              <w:t>XVIII</w:t>
            </w:r>
          </w:p>
        </w:tc>
        <w:tc>
          <w:tcPr>
            <w:tcW w:w="2021" w:type="dxa"/>
          </w:tcPr>
          <w:p w:rsidR="00E33263" w:rsidRPr="00AB2B25" w:rsidRDefault="00E33263" w:rsidP="001B4C91">
            <w:pPr>
              <w:jc w:val="both"/>
              <w:textAlignment w:val="top"/>
              <w:rPr>
                <w:sz w:val="20"/>
                <w:szCs w:val="20"/>
              </w:rPr>
            </w:pPr>
            <w:r w:rsidRPr="00AB2B25">
              <w:rPr>
                <w:sz w:val="20"/>
                <w:szCs w:val="20"/>
              </w:rPr>
              <w:t>III, IV</w:t>
            </w:r>
          </w:p>
        </w:tc>
        <w:tc>
          <w:tcPr>
            <w:tcW w:w="1768" w:type="dxa"/>
          </w:tcPr>
          <w:p w:rsidR="00E33263" w:rsidRPr="00AB2B25" w:rsidRDefault="00E33263" w:rsidP="001B4C91">
            <w:pPr>
              <w:jc w:val="both"/>
              <w:textAlignment w:val="top"/>
              <w:rPr>
                <w:sz w:val="20"/>
                <w:szCs w:val="20"/>
              </w:rPr>
            </w:pPr>
            <w:r w:rsidRPr="00AB2B25">
              <w:rPr>
                <w:sz w:val="20"/>
                <w:szCs w:val="20"/>
              </w:rPr>
              <w:t>I, II, XVII, XXII</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Vest</w:t>
            </w:r>
          </w:p>
        </w:tc>
        <w:tc>
          <w:tcPr>
            <w:tcW w:w="2021" w:type="dxa"/>
          </w:tcPr>
          <w:p w:rsidR="00E33263" w:rsidRPr="00AB2B25" w:rsidRDefault="00E33263" w:rsidP="001B4C91">
            <w:pPr>
              <w:jc w:val="both"/>
              <w:textAlignment w:val="top"/>
              <w:rPr>
                <w:sz w:val="20"/>
                <w:szCs w:val="20"/>
              </w:rPr>
            </w:pPr>
            <w:r w:rsidRPr="00AB2B25">
              <w:rPr>
                <w:sz w:val="20"/>
                <w:szCs w:val="20"/>
              </w:rPr>
              <w:t>I, II, IX, XXII</w:t>
            </w:r>
          </w:p>
        </w:tc>
        <w:tc>
          <w:tcPr>
            <w:tcW w:w="1964" w:type="dxa"/>
          </w:tcPr>
          <w:p w:rsidR="00E33263" w:rsidRPr="00AB2B25" w:rsidRDefault="00E33263" w:rsidP="001B4C91">
            <w:pPr>
              <w:jc w:val="both"/>
              <w:textAlignment w:val="top"/>
              <w:rPr>
                <w:sz w:val="20"/>
                <w:szCs w:val="20"/>
              </w:rPr>
            </w:pPr>
            <w:r w:rsidRPr="00AB2B25">
              <w:rPr>
                <w:sz w:val="20"/>
                <w:szCs w:val="20"/>
              </w:rPr>
              <w:t>IV, VII, XVII</w:t>
            </w:r>
          </w:p>
        </w:tc>
        <w:tc>
          <w:tcPr>
            <w:tcW w:w="2021" w:type="dxa"/>
          </w:tcPr>
          <w:p w:rsidR="00E33263" w:rsidRPr="00AB2B25" w:rsidRDefault="00E33263" w:rsidP="001B4C91">
            <w:pPr>
              <w:jc w:val="both"/>
              <w:textAlignment w:val="top"/>
              <w:rPr>
                <w:sz w:val="20"/>
                <w:szCs w:val="20"/>
              </w:rPr>
            </w:pPr>
            <w:r w:rsidRPr="00AB2B25">
              <w:rPr>
                <w:sz w:val="20"/>
                <w:szCs w:val="20"/>
              </w:rPr>
              <w:t>XVIII</w:t>
            </w:r>
          </w:p>
        </w:tc>
        <w:tc>
          <w:tcPr>
            <w:tcW w:w="1768" w:type="dxa"/>
          </w:tcPr>
          <w:p w:rsidR="00E33263" w:rsidRPr="00AB2B25" w:rsidRDefault="00E33263" w:rsidP="001B4C91">
            <w:pPr>
              <w:jc w:val="both"/>
              <w:textAlignment w:val="top"/>
              <w:rPr>
                <w:sz w:val="20"/>
                <w:szCs w:val="20"/>
              </w:rPr>
            </w:pPr>
            <w:r w:rsidRPr="00AB2B25">
              <w:rPr>
                <w:sz w:val="20"/>
                <w:szCs w:val="20"/>
              </w:rPr>
              <w:t>III, VI, X</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Nord-Vest</w:t>
            </w:r>
          </w:p>
        </w:tc>
        <w:tc>
          <w:tcPr>
            <w:tcW w:w="2021" w:type="dxa"/>
          </w:tcPr>
          <w:p w:rsidR="00E33263" w:rsidRPr="00AB2B25" w:rsidRDefault="00E33263" w:rsidP="001B4C91">
            <w:pPr>
              <w:jc w:val="both"/>
              <w:textAlignment w:val="top"/>
              <w:rPr>
                <w:sz w:val="20"/>
                <w:szCs w:val="20"/>
              </w:rPr>
            </w:pPr>
            <w:r w:rsidRPr="00AB2B25">
              <w:rPr>
                <w:sz w:val="20"/>
                <w:szCs w:val="20"/>
              </w:rPr>
              <w:t>X, XXII</w:t>
            </w:r>
          </w:p>
        </w:tc>
        <w:tc>
          <w:tcPr>
            <w:tcW w:w="1964" w:type="dxa"/>
          </w:tcPr>
          <w:p w:rsidR="00E33263" w:rsidRPr="00AB2B25" w:rsidRDefault="00E33263" w:rsidP="001B4C91">
            <w:pPr>
              <w:jc w:val="both"/>
              <w:textAlignment w:val="top"/>
              <w:rPr>
                <w:sz w:val="20"/>
                <w:szCs w:val="20"/>
              </w:rPr>
            </w:pPr>
            <w:r w:rsidRPr="00AB2B25">
              <w:rPr>
                <w:sz w:val="20"/>
                <w:szCs w:val="20"/>
              </w:rPr>
              <w:t>I, II, IV, VI, XVIII</w:t>
            </w:r>
          </w:p>
        </w:tc>
        <w:tc>
          <w:tcPr>
            <w:tcW w:w="2021" w:type="dxa"/>
          </w:tcPr>
          <w:p w:rsidR="00E33263" w:rsidRPr="00AB2B25" w:rsidRDefault="00E33263" w:rsidP="001B4C91">
            <w:pPr>
              <w:jc w:val="both"/>
              <w:textAlignment w:val="top"/>
              <w:rPr>
                <w:sz w:val="20"/>
                <w:szCs w:val="20"/>
              </w:rPr>
            </w:pPr>
            <w:r w:rsidRPr="00AB2B25">
              <w:rPr>
                <w:sz w:val="20"/>
                <w:szCs w:val="20"/>
              </w:rPr>
              <w:t>IX</w:t>
            </w:r>
          </w:p>
        </w:tc>
        <w:tc>
          <w:tcPr>
            <w:tcW w:w="1768" w:type="dxa"/>
          </w:tcPr>
          <w:p w:rsidR="00E33263" w:rsidRPr="00AB2B25" w:rsidRDefault="00E33263" w:rsidP="001B4C91">
            <w:pPr>
              <w:jc w:val="both"/>
              <w:textAlignment w:val="top"/>
              <w:rPr>
                <w:sz w:val="20"/>
                <w:szCs w:val="20"/>
              </w:rPr>
            </w:pPr>
            <w:r w:rsidRPr="00AB2B25">
              <w:rPr>
                <w:sz w:val="20"/>
                <w:szCs w:val="20"/>
              </w:rPr>
              <w:t>III, VII, XVII</w:t>
            </w:r>
          </w:p>
        </w:tc>
      </w:tr>
      <w:tr w:rsidR="00E33263" w:rsidRPr="00AB2B25" w:rsidTr="00F909D8">
        <w:tc>
          <w:tcPr>
            <w:tcW w:w="1469" w:type="dxa"/>
          </w:tcPr>
          <w:p w:rsidR="00E33263" w:rsidRPr="00AB2B25" w:rsidRDefault="00E33263" w:rsidP="001B4C91">
            <w:pPr>
              <w:jc w:val="both"/>
              <w:textAlignment w:val="top"/>
              <w:rPr>
                <w:sz w:val="20"/>
                <w:szCs w:val="20"/>
              </w:rPr>
            </w:pPr>
            <w:r w:rsidRPr="00AB2B25">
              <w:rPr>
                <w:sz w:val="20"/>
                <w:szCs w:val="20"/>
              </w:rPr>
              <w:t>Centru</w:t>
            </w:r>
          </w:p>
        </w:tc>
        <w:tc>
          <w:tcPr>
            <w:tcW w:w="2021" w:type="dxa"/>
          </w:tcPr>
          <w:p w:rsidR="00E33263" w:rsidRPr="00AB2B25" w:rsidRDefault="00E33263" w:rsidP="001B4C91">
            <w:pPr>
              <w:jc w:val="both"/>
              <w:textAlignment w:val="top"/>
              <w:rPr>
                <w:sz w:val="20"/>
                <w:szCs w:val="20"/>
              </w:rPr>
            </w:pPr>
            <w:r w:rsidRPr="00AB2B25">
              <w:rPr>
                <w:sz w:val="20"/>
                <w:szCs w:val="20"/>
              </w:rPr>
              <w:t>XVIII</w:t>
            </w:r>
          </w:p>
        </w:tc>
        <w:tc>
          <w:tcPr>
            <w:tcW w:w="1964" w:type="dxa"/>
          </w:tcPr>
          <w:p w:rsidR="00E33263" w:rsidRPr="00AB2B25" w:rsidRDefault="00E33263" w:rsidP="001B4C91">
            <w:pPr>
              <w:jc w:val="both"/>
              <w:textAlignment w:val="top"/>
              <w:rPr>
                <w:sz w:val="20"/>
                <w:szCs w:val="20"/>
              </w:rPr>
            </w:pPr>
            <w:r w:rsidRPr="00AB2B25">
              <w:rPr>
                <w:sz w:val="20"/>
                <w:szCs w:val="20"/>
              </w:rPr>
              <w:t>II, IV, XVII</w:t>
            </w:r>
          </w:p>
        </w:tc>
        <w:tc>
          <w:tcPr>
            <w:tcW w:w="2021" w:type="dxa"/>
          </w:tcPr>
          <w:p w:rsidR="00E33263" w:rsidRPr="00AB2B25" w:rsidRDefault="00E33263" w:rsidP="001B4C91">
            <w:pPr>
              <w:jc w:val="both"/>
              <w:textAlignment w:val="top"/>
              <w:rPr>
                <w:sz w:val="20"/>
                <w:szCs w:val="20"/>
              </w:rPr>
            </w:pPr>
            <w:r w:rsidRPr="00AB2B25">
              <w:rPr>
                <w:sz w:val="20"/>
                <w:szCs w:val="20"/>
              </w:rPr>
              <w:t>I, VI, XXII</w:t>
            </w:r>
          </w:p>
        </w:tc>
        <w:tc>
          <w:tcPr>
            <w:tcW w:w="1768" w:type="dxa"/>
          </w:tcPr>
          <w:p w:rsidR="00E33263" w:rsidRPr="00AB2B25" w:rsidRDefault="00E33263" w:rsidP="001B4C91">
            <w:pPr>
              <w:jc w:val="both"/>
              <w:textAlignment w:val="top"/>
              <w:rPr>
                <w:sz w:val="20"/>
                <w:szCs w:val="20"/>
              </w:rPr>
            </w:pPr>
            <w:r w:rsidRPr="00AB2B25">
              <w:rPr>
                <w:sz w:val="20"/>
                <w:szCs w:val="20"/>
              </w:rPr>
              <w:t xml:space="preserve">III, VII, IX, X </w:t>
            </w:r>
          </w:p>
        </w:tc>
      </w:tr>
    </w:tbl>
    <w:p w:rsidR="00F548D4" w:rsidRPr="00164674" w:rsidRDefault="00F548D4" w:rsidP="00F548D4">
      <w:pPr>
        <w:rPr>
          <w:sz w:val="20"/>
          <w:szCs w:val="20"/>
          <w:lang w:val="ro-RO"/>
        </w:rPr>
      </w:pPr>
      <w:r w:rsidRPr="00164674">
        <w:rPr>
          <w:sz w:val="20"/>
          <w:szCs w:val="20"/>
          <w:lang w:val="ro-RO"/>
        </w:rPr>
        <w:t>Sursa: Calcule ale autorilor pe baza datelor de la Institutul Na</w:t>
      </w:r>
      <w:r>
        <w:rPr>
          <w:sz w:val="20"/>
          <w:szCs w:val="20"/>
          <w:lang w:val="ro-RO"/>
        </w:rPr>
        <w:t>ţ</w:t>
      </w:r>
      <w:r w:rsidRPr="00164674">
        <w:rPr>
          <w:sz w:val="20"/>
          <w:szCs w:val="20"/>
          <w:lang w:val="ro-RO"/>
        </w:rPr>
        <w:t xml:space="preserve">ional de Statistică </w:t>
      </w:r>
      <w:r>
        <w:rPr>
          <w:sz w:val="20"/>
          <w:szCs w:val="20"/>
          <w:lang w:val="ro-RO"/>
        </w:rPr>
        <w:t>ş</w:t>
      </w:r>
      <w:r w:rsidRPr="00164674">
        <w:rPr>
          <w:sz w:val="20"/>
          <w:szCs w:val="20"/>
          <w:lang w:val="ro-RO"/>
        </w:rPr>
        <w:t>i TEMPO-on line.</w:t>
      </w:r>
    </w:p>
    <w:p w:rsidR="00E33263" w:rsidRPr="00AB2B25" w:rsidRDefault="00E33263" w:rsidP="001B4C91">
      <w:pPr>
        <w:jc w:val="both"/>
        <w:textAlignment w:val="top"/>
      </w:pPr>
    </w:p>
    <w:p w:rsidR="00E33263" w:rsidRPr="00AB2B25" w:rsidRDefault="00F548D4" w:rsidP="001B4C91">
      <w:pPr>
        <w:jc w:val="both"/>
        <w:textAlignment w:val="top"/>
      </w:pPr>
      <w:r w:rsidRPr="007824D5">
        <w:rPr>
          <w:lang w:val="ro-RO"/>
        </w:rPr>
        <w:t>În sfâr</w:t>
      </w:r>
      <w:r>
        <w:rPr>
          <w:lang w:val="ro-RO"/>
        </w:rPr>
        <w:t>ş</w:t>
      </w:r>
      <w:r w:rsidRPr="007824D5">
        <w:rPr>
          <w:lang w:val="ro-RO"/>
        </w:rPr>
        <w:t>it, descompunerea efectului regional competitiv eviden</w:t>
      </w:r>
      <w:r>
        <w:rPr>
          <w:lang w:val="ro-RO"/>
        </w:rPr>
        <w:t>ţ</w:t>
      </w:r>
      <w:r w:rsidRPr="007824D5">
        <w:rPr>
          <w:lang w:val="ro-RO"/>
        </w:rPr>
        <w:t xml:space="preserve">iază ponderea mai redusă a avantajului comparativ regional în raport cu efectul de alocare în toate regiunile </w:t>
      </w:r>
      <w:r>
        <w:rPr>
          <w:lang w:val="ro-RO"/>
        </w:rPr>
        <w:t>ş</w:t>
      </w:r>
      <w:r w:rsidRPr="007824D5">
        <w:rPr>
          <w:lang w:val="ro-RO"/>
        </w:rPr>
        <w:t>i pentru toate grupele de produse analizate (cu excep</w:t>
      </w:r>
      <w:r>
        <w:rPr>
          <w:lang w:val="ro-RO"/>
        </w:rPr>
        <w:t>ţ</w:t>
      </w:r>
      <w:r w:rsidRPr="007824D5">
        <w:rPr>
          <w:lang w:val="ro-RO"/>
        </w:rPr>
        <w:t>ia grupei V – Tabelul 3). Cea mai mare influen</w:t>
      </w:r>
      <w:r>
        <w:rPr>
          <w:lang w:val="ro-RO"/>
        </w:rPr>
        <w:t>ţ</w:t>
      </w:r>
      <w:r w:rsidRPr="007824D5">
        <w:rPr>
          <w:lang w:val="ro-RO"/>
        </w:rPr>
        <w:t>ă a avantajului comparativ se remarcă în regiunile Bucure</w:t>
      </w:r>
      <w:r>
        <w:rPr>
          <w:lang w:val="ro-RO"/>
        </w:rPr>
        <w:t>ş</w:t>
      </w:r>
      <w:r w:rsidRPr="007824D5">
        <w:rPr>
          <w:lang w:val="ro-RO"/>
        </w:rPr>
        <w:t xml:space="preserve">ti-Ilfov </w:t>
      </w:r>
      <w:r>
        <w:rPr>
          <w:lang w:val="ro-RO"/>
        </w:rPr>
        <w:t>ş</w:t>
      </w:r>
      <w:r w:rsidRPr="007824D5">
        <w:rPr>
          <w:lang w:val="ro-RO"/>
        </w:rPr>
        <w:t xml:space="preserve">i Vest, iar cea mai redusă în regiunile Sud-Vest Oltenia </w:t>
      </w:r>
      <w:r>
        <w:rPr>
          <w:lang w:val="ro-RO"/>
        </w:rPr>
        <w:t>ş</w:t>
      </w:r>
      <w:r w:rsidRPr="007824D5">
        <w:rPr>
          <w:lang w:val="ro-RO"/>
        </w:rPr>
        <w:t>i Nord-Est, în concordan</w:t>
      </w:r>
      <w:r>
        <w:rPr>
          <w:lang w:val="ro-RO"/>
        </w:rPr>
        <w:t>ţ</w:t>
      </w:r>
      <w:r w:rsidRPr="007824D5">
        <w:rPr>
          <w:lang w:val="ro-RO"/>
        </w:rPr>
        <w:t xml:space="preserve">ă </w:t>
      </w:r>
      <w:r>
        <w:rPr>
          <w:lang w:val="ro-RO"/>
        </w:rPr>
        <w:t>ş</w:t>
      </w:r>
      <w:r w:rsidRPr="007824D5">
        <w:rPr>
          <w:lang w:val="ro-RO"/>
        </w:rPr>
        <w:t>i cu ponderea acestor regiuni în structura exporturilor na</w:t>
      </w:r>
      <w:r>
        <w:rPr>
          <w:lang w:val="ro-RO"/>
        </w:rPr>
        <w:t>ţ</w:t>
      </w:r>
      <w:r w:rsidRPr="007824D5">
        <w:rPr>
          <w:lang w:val="ro-RO"/>
        </w:rPr>
        <w:t>ionale</w:t>
      </w:r>
      <w:r w:rsidR="00EB6E71">
        <w:t xml:space="preserve">. </w:t>
      </w:r>
    </w:p>
    <w:p w:rsidR="00E33263" w:rsidRPr="00AB2B25" w:rsidRDefault="00E33263" w:rsidP="001B4C91">
      <w:pPr>
        <w:jc w:val="both"/>
        <w:textAlignment w:val="top"/>
      </w:pPr>
    </w:p>
    <w:p w:rsidR="00E33263" w:rsidRPr="00F548D4" w:rsidRDefault="00F548D4" w:rsidP="00160747">
      <w:pPr>
        <w:jc w:val="both"/>
        <w:textAlignment w:val="top"/>
        <w:rPr>
          <w:b/>
          <w:sz w:val="20"/>
          <w:szCs w:val="20"/>
        </w:rPr>
      </w:pPr>
      <w:r w:rsidRPr="00F548D4">
        <w:rPr>
          <w:b/>
          <w:sz w:val="20"/>
          <w:szCs w:val="20"/>
          <w:lang w:val="ro-RO"/>
        </w:rPr>
        <w:t>Tabelul 3. Descompunerea componentei de schimbare regională a exporturilor principalelor grupe de marfuri, 2013 fata de 2005</w:t>
      </w:r>
      <w:r w:rsidR="00EB6E71" w:rsidRPr="00F548D4">
        <w:rPr>
          <w:b/>
          <w:sz w:val="20"/>
          <w:szCs w:val="20"/>
        </w:rPr>
        <w:t xml:space="preserve"> </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810"/>
        <w:gridCol w:w="810"/>
        <w:gridCol w:w="720"/>
        <w:gridCol w:w="720"/>
        <w:gridCol w:w="967"/>
        <w:gridCol w:w="766"/>
        <w:gridCol w:w="1016"/>
        <w:gridCol w:w="941"/>
      </w:tblGrid>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p>
        </w:tc>
        <w:tc>
          <w:tcPr>
            <w:tcW w:w="810" w:type="dxa"/>
            <w:shd w:val="clear" w:color="auto" w:fill="auto"/>
            <w:noWrap/>
            <w:vAlign w:val="bottom"/>
            <w:hideMark/>
          </w:tcPr>
          <w:p w:rsidR="00E33263" w:rsidRPr="00160747" w:rsidRDefault="00E33263" w:rsidP="001B4C91">
            <w:pPr>
              <w:rPr>
                <w:b/>
                <w:sz w:val="18"/>
                <w:szCs w:val="18"/>
              </w:rPr>
            </w:pPr>
            <w:r w:rsidRPr="00160747">
              <w:rPr>
                <w:b/>
                <w:sz w:val="18"/>
                <w:szCs w:val="18"/>
              </w:rPr>
              <w:t>N</w:t>
            </w:r>
            <w:r w:rsidR="00160747">
              <w:rPr>
                <w:b/>
                <w:sz w:val="18"/>
                <w:szCs w:val="18"/>
              </w:rPr>
              <w:t>ord-</w:t>
            </w:r>
            <w:r w:rsidRPr="00160747">
              <w:rPr>
                <w:b/>
                <w:sz w:val="18"/>
                <w:szCs w:val="18"/>
              </w:rPr>
              <w:t>E</w:t>
            </w:r>
            <w:r w:rsidR="00160747">
              <w:rPr>
                <w:b/>
                <w:sz w:val="18"/>
                <w:szCs w:val="18"/>
              </w:rPr>
              <w:t>st</w:t>
            </w:r>
          </w:p>
        </w:tc>
        <w:tc>
          <w:tcPr>
            <w:tcW w:w="810" w:type="dxa"/>
            <w:shd w:val="clear" w:color="auto" w:fill="auto"/>
            <w:noWrap/>
            <w:vAlign w:val="bottom"/>
            <w:hideMark/>
          </w:tcPr>
          <w:p w:rsidR="00E33263" w:rsidRPr="00160747" w:rsidRDefault="00E33263" w:rsidP="001B4C91">
            <w:pPr>
              <w:rPr>
                <w:b/>
                <w:sz w:val="18"/>
                <w:szCs w:val="18"/>
              </w:rPr>
            </w:pPr>
          </w:p>
        </w:tc>
        <w:tc>
          <w:tcPr>
            <w:tcW w:w="720" w:type="dxa"/>
            <w:shd w:val="clear" w:color="auto" w:fill="auto"/>
            <w:noWrap/>
            <w:vAlign w:val="bottom"/>
            <w:hideMark/>
          </w:tcPr>
          <w:p w:rsidR="00E33263" w:rsidRPr="00160747" w:rsidRDefault="00E33263" w:rsidP="001B4C91">
            <w:pPr>
              <w:rPr>
                <w:b/>
                <w:sz w:val="18"/>
                <w:szCs w:val="18"/>
              </w:rPr>
            </w:pPr>
            <w:r w:rsidRPr="00160747">
              <w:rPr>
                <w:b/>
                <w:sz w:val="18"/>
                <w:szCs w:val="18"/>
              </w:rPr>
              <w:t>S</w:t>
            </w:r>
            <w:r w:rsidR="00160747">
              <w:rPr>
                <w:b/>
                <w:sz w:val="18"/>
                <w:szCs w:val="18"/>
              </w:rPr>
              <w:t>ud-</w:t>
            </w:r>
            <w:r w:rsidRPr="00160747">
              <w:rPr>
                <w:b/>
                <w:sz w:val="18"/>
                <w:szCs w:val="18"/>
              </w:rPr>
              <w:t>E</w:t>
            </w:r>
            <w:r w:rsidR="00160747">
              <w:rPr>
                <w:b/>
                <w:sz w:val="18"/>
                <w:szCs w:val="18"/>
              </w:rPr>
              <w:t>st</w:t>
            </w:r>
          </w:p>
        </w:tc>
        <w:tc>
          <w:tcPr>
            <w:tcW w:w="720" w:type="dxa"/>
            <w:shd w:val="clear" w:color="auto" w:fill="auto"/>
            <w:noWrap/>
            <w:vAlign w:val="bottom"/>
            <w:hideMark/>
          </w:tcPr>
          <w:p w:rsidR="00E33263" w:rsidRPr="00160747" w:rsidRDefault="00E33263" w:rsidP="001B4C91">
            <w:pPr>
              <w:rPr>
                <w:b/>
                <w:sz w:val="18"/>
                <w:szCs w:val="18"/>
              </w:rPr>
            </w:pPr>
          </w:p>
        </w:tc>
        <w:tc>
          <w:tcPr>
            <w:tcW w:w="967" w:type="dxa"/>
            <w:shd w:val="clear" w:color="auto" w:fill="auto"/>
            <w:noWrap/>
            <w:vAlign w:val="bottom"/>
            <w:hideMark/>
          </w:tcPr>
          <w:p w:rsidR="00E33263" w:rsidRPr="00160747" w:rsidRDefault="00E33263" w:rsidP="00160747">
            <w:pPr>
              <w:rPr>
                <w:b/>
                <w:sz w:val="18"/>
                <w:szCs w:val="18"/>
              </w:rPr>
            </w:pPr>
            <w:r w:rsidRPr="00160747">
              <w:rPr>
                <w:b/>
                <w:sz w:val="18"/>
                <w:szCs w:val="18"/>
              </w:rPr>
              <w:t>S</w:t>
            </w:r>
            <w:r w:rsidR="00160747">
              <w:rPr>
                <w:b/>
                <w:sz w:val="18"/>
                <w:szCs w:val="18"/>
              </w:rPr>
              <w:t>ud Muntenia</w:t>
            </w:r>
          </w:p>
        </w:tc>
        <w:tc>
          <w:tcPr>
            <w:tcW w:w="766" w:type="dxa"/>
            <w:shd w:val="clear" w:color="auto" w:fill="auto"/>
            <w:noWrap/>
            <w:vAlign w:val="bottom"/>
            <w:hideMark/>
          </w:tcPr>
          <w:p w:rsidR="00E33263" w:rsidRPr="00160747" w:rsidRDefault="00E33263" w:rsidP="001B4C91">
            <w:pPr>
              <w:rPr>
                <w:b/>
                <w:sz w:val="18"/>
                <w:szCs w:val="18"/>
              </w:rPr>
            </w:pPr>
          </w:p>
        </w:tc>
        <w:tc>
          <w:tcPr>
            <w:tcW w:w="1016" w:type="dxa"/>
            <w:shd w:val="clear" w:color="auto" w:fill="auto"/>
            <w:noWrap/>
            <w:vAlign w:val="bottom"/>
            <w:hideMark/>
          </w:tcPr>
          <w:p w:rsidR="00E33263" w:rsidRPr="00160747" w:rsidRDefault="00E33263" w:rsidP="001B4C91">
            <w:pPr>
              <w:rPr>
                <w:b/>
                <w:sz w:val="18"/>
                <w:szCs w:val="18"/>
              </w:rPr>
            </w:pPr>
            <w:r w:rsidRPr="00160747">
              <w:rPr>
                <w:b/>
                <w:sz w:val="18"/>
                <w:szCs w:val="18"/>
              </w:rPr>
              <w:t>S</w:t>
            </w:r>
            <w:r w:rsidR="00160747">
              <w:rPr>
                <w:b/>
                <w:sz w:val="18"/>
                <w:szCs w:val="18"/>
              </w:rPr>
              <w:t>ud-</w:t>
            </w:r>
            <w:r w:rsidRPr="00160747">
              <w:rPr>
                <w:b/>
                <w:sz w:val="18"/>
                <w:szCs w:val="18"/>
              </w:rPr>
              <w:t>V</w:t>
            </w:r>
            <w:r w:rsidR="00160747">
              <w:rPr>
                <w:b/>
                <w:sz w:val="18"/>
                <w:szCs w:val="18"/>
              </w:rPr>
              <w:t>est Oltenia</w:t>
            </w:r>
          </w:p>
        </w:tc>
        <w:tc>
          <w:tcPr>
            <w:tcW w:w="941" w:type="dxa"/>
            <w:shd w:val="clear" w:color="auto" w:fill="auto"/>
            <w:noWrap/>
            <w:vAlign w:val="bottom"/>
            <w:hideMark/>
          </w:tcPr>
          <w:p w:rsidR="00E33263" w:rsidRPr="00160747" w:rsidRDefault="00E33263" w:rsidP="001B4C91">
            <w:pPr>
              <w:rPr>
                <w:b/>
                <w:sz w:val="18"/>
                <w:szCs w:val="18"/>
              </w:rPr>
            </w:pP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p>
        </w:tc>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720"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720"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967"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766"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1016"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941" w:type="dxa"/>
            <w:shd w:val="clear" w:color="auto" w:fill="auto"/>
            <w:noWrap/>
            <w:vAlign w:val="bottom"/>
            <w:hideMark/>
          </w:tcPr>
          <w:p w:rsidR="00E33263" w:rsidRPr="00160747" w:rsidRDefault="00E33263" w:rsidP="001B4C91">
            <w:pPr>
              <w:rPr>
                <w:sz w:val="18"/>
                <w:szCs w:val="18"/>
              </w:rPr>
            </w:pPr>
            <w:r w:rsidRPr="00160747">
              <w:rPr>
                <w:sz w:val="18"/>
                <w:szCs w:val="18"/>
              </w:rPr>
              <w:t>CA</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2.1</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23.8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6.8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40.9</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13.9</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0.5</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7.6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-7.2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-80.1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44.5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268.2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3.5</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25.3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1.2</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17.6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-4.7</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-52.1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7.5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45.2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-6.6</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-47.0</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0.3</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-9.5</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-105.4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-35.0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13.3</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95.6</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0.6</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8.7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-216.2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-155.2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58.2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556.0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15.8</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71.2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-21.9</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13.0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-2.5</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-28.2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-34.2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-44.5</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-319.3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-10.1</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-153.2</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0.8</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-21.2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2.6</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18.9</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-8.2</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-124.0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-0.6</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-6.9</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1.4</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-0.7</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-5.0</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0.9</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13.8</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7.3</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81.3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-22.9</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-3.7</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-26.4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-2.2</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-32.9</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-1.8</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-20.5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0.1</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1.1</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7.6</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-0.3</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-4.0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8.7</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96.2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8.8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52.9</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-3.0</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-21.8</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4.6</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69.7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-3.4</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-38.1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6.9</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-0.9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-6.3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0.3</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4.6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-0.7</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-7.4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4.3</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31.1</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-0.1</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-90.4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-153.3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-924.6</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16.7</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119.8</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-11.6</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-177.0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10.1</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112.3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-4.6</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-44.4</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-318.5</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5.1</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77.8</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-0.5</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-5.5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-125.1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-754.5</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177.5</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1272.2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25.8</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391.4</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-2.3</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-25.6</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5.5</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39.2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-0.7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-8.7</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-96.0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-26.6</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27.1</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194.4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-1.1</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-16.6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XXII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0.4</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16.2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-12.3</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-88.4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2.8</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42.3</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p>
        </w:tc>
        <w:tc>
          <w:tcPr>
            <w:tcW w:w="810" w:type="dxa"/>
            <w:shd w:val="clear" w:color="auto" w:fill="auto"/>
            <w:noWrap/>
            <w:vAlign w:val="bottom"/>
            <w:hideMark/>
          </w:tcPr>
          <w:p w:rsidR="00E33263" w:rsidRPr="00160747" w:rsidRDefault="00E33263" w:rsidP="00160747">
            <w:pPr>
              <w:rPr>
                <w:b/>
                <w:sz w:val="18"/>
                <w:szCs w:val="18"/>
              </w:rPr>
            </w:pPr>
            <w:r w:rsidRPr="00160747">
              <w:rPr>
                <w:b/>
                <w:sz w:val="18"/>
                <w:szCs w:val="18"/>
              </w:rPr>
              <w:t>V</w:t>
            </w:r>
            <w:r w:rsidR="00160747">
              <w:rPr>
                <w:b/>
                <w:sz w:val="18"/>
                <w:szCs w:val="18"/>
              </w:rPr>
              <w:t>est</w:t>
            </w:r>
          </w:p>
        </w:tc>
        <w:tc>
          <w:tcPr>
            <w:tcW w:w="810" w:type="dxa"/>
            <w:shd w:val="clear" w:color="auto" w:fill="auto"/>
            <w:noWrap/>
            <w:vAlign w:val="bottom"/>
            <w:hideMark/>
          </w:tcPr>
          <w:p w:rsidR="00E33263" w:rsidRPr="00160747" w:rsidRDefault="00E33263" w:rsidP="001B4C91">
            <w:pPr>
              <w:rPr>
                <w:b/>
                <w:sz w:val="18"/>
                <w:szCs w:val="18"/>
              </w:rPr>
            </w:pPr>
          </w:p>
        </w:tc>
        <w:tc>
          <w:tcPr>
            <w:tcW w:w="720" w:type="dxa"/>
            <w:shd w:val="clear" w:color="auto" w:fill="auto"/>
            <w:noWrap/>
            <w:vAlign w:val="bottom"/>
            <w:hideMark/>
          </w:tcPr>
          <w:p w:rsidR="00E33263" w:rsidRPr="00160747" w:rsidRDefault="00E33263" w:rsidP="001B4C91">
            <w:pPr>
              <w:rPr>
                <w:b/>
                <w:sz w:val="18"/>
                <w:szCs w:val="18"/>
              </w:rPr>
            </w:pPr>
            <w:r w:rsidRPr="00160747">
              <w:rPr>
                <w:b/>
                <w:sz w:val="18"/>
                <w:szCs w:val="18"/>
              </w:rPr>
              <w:t>N</w:t>
            </w:r>
            <w:r w:rsidR="00160747">
              <w:rPr>
                <w:b/>
                <w:sz w:val="18"/>
                <w:szCs w:val="18"/>
              </w:rPr>
              <w:t>ord-</w:t>
            </w:r>
            <w:r w:rsidRPr="00160747">
              <w:rPr>
                <w:b/>
                <w:sz w:val="18"/>
                <w:szCs w:val="18"/>
              </w:rPr>
              <w:t>V</w:t>
            </w:r>
            <w:r w:rsidR="00160747">
              <w:rPr>
                <w:b/>
                <w:sz w:val="18"/>
                <w:szCs w:val="18"/>
              </w:rPr>
              <w:t>est</w:t>
            </w:r>
          </w:p>
        </w:tc>
        <w:tc>
          <w:tcPr>
            <w:tcW w:w="720" w:type="dxa"/>
            <w:shd w:val="clear" w:color="auto" w:fill="auto"/>
            <w:noWrap/>
            <w:vAlign w:val="bottom"/>
            <w:hideMark/>
          </w:tcPr>
          <w:p w:rsidR="00E33263" w:rsidRPr="00160747" w:rsidRDefault="00E33263" w:rsidP="001B4C91">
            <w:pPr>
              <w:rPr>
                <w:b/>
                <w:sz w:val="18"/>
                <w:szCs w:val="18"/>
              </w:rPr>
            </w:pPr>
          </w:p>
        </w:tc>
        <w:tc>
          <w:tcPr>
            <w:tcW w:w="967" w:type="dxa"/>
            <w:shd w:val="clear" w:color="auto" w:fill="auto"/>
            <w:noWrap/>
            <w:vAlign w:val="bottom"/>
            <w:hideMark/>
          </w:tcPr>
          <w:p w:rsidR="00E33263" w:rsidRPr="00160747" w:rsidRDefault="00E33263" w:rsidP="00160747">
            <w:pPr>
              <w:rPr>
                <w:b/>
                <w:sz w:val="18"/>
                <w:szCs w:val="18"/>
              </w:rPr>
            </w:pPr>
            <w:r w:rsidRPr="00160747">
              <w:rPr>
                <w:b/>
                <w:sz w:val="18"/>
                <w:szCs w:val="18"/>
              </w:rPr>
              <w:t>C</w:t>
            </w:r>
            <w:r w:rsidR="00160747">
              <w:rPr>
                <w:b/>
                <w:sz w:val="18"/>
                <w:szCs w:val="18"/>
              </w:rPr>
              <w:t>entru</w:t>
            </w:r>
          </w:p>
        </w:tc>
        <w:tc>
          <w:tcPr>
            <w:tcW w:w="766" w:type="dxa"/>
            <w:shd w:val="clear" w:color="auto" w:fill="auto"/>
            <w:noWrap/>
            <w:vAlign w:val="bottom"/>
            <w:hideMark/>
          </w:tcPr>
          <w:p w:rsidR="00E33263" w:rsidRPr="00160747" w:rsidRDefault="00E33263" w:rsidP="001B4C91">
            <w:pPr>
              <w:rPr>
                <w:b/>
                <w:sz w:val="18"/>
                <w:szCs w:val="18"/>
              </w:rPr>
            </w:pPr>
          </w:p>
        </w:tc>
        <w:tc>
          <w:tcPr>
            <w:tcW w:w="1016" w:type="dxa"/>
            <w:shd w:val="clear" w:color="auto" w:fill="auto"/>
            <w:noWrap/>
            <w:vAlign w:val="bottom"/>
            <w:hideMark/>
          </w:tcPr>
          <w:p w:rsidR="00E33263" w:rsidRPr="00160747" w:rsidRDefault="00E33263" w:rsidP="00160747">
            <w:pPr>
              <w:rPr>
                <w:b/>
                <w:sz w:val="18"/>
                <w:szCs w:val="18"/>
              </w:rPr>
            </w:pPr>
            <w:r w:rsidRPr="00160747">
              <w:rPr>
                <w:b/>
                <w:sz w:val="18"/>
                <w:szCs w:val="18"/>
              </w:rPr>
              <w:t>B</w:t>
            </w:r>
            <w:r w:rsidR="00160747">
              <w:rPr>
                <w:b/>
                <w:sz w:val="18"/>
                <w:szCs w:val="18"/>
              </w:rPr>
              <w:t>ucuresti-Ilfov</w:t>
            </w:r>
          </w:p>
        </w:tc>
        <w:tc>
          <w:tcPr>
            <w:tcW w:w="941" w:type="dxa"/>
            <w:shd w:val="clear" w:color="auto" w:fill="auto"/>
            <w:noWrap/>
            <w:vAlign w:val="bottom"/>
            <w:hideMark/>
          </w:tcPr>
          <w:p w:rsidR="00E33263" w:rsidRPr="00160747" w:rsidRDefault="00E33263" w:rsidP="001B4C91">
            <w:pPr>
              <w:rPr>
                <w:b/>
                <w:sz w:val="18"/>
                <w:szCs w:val="18"/>
              </w:rPr>
            </w:pP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p>
        </w:tc>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720"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720"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967"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766" w:type="dxa"/>
            <w:shd w:val="clear" w:color="auto" w:fill="auto"/>
            <w:noWrap/>
            <w:vAlign w:val="bottom"/>
            <w:hideMark/>
          </w:tcPr>
          <w:p w:rsidR="00E33263" w:rsidRPr="00160747" w:rsidRDefault="00E33263" w:rsidP="001B4C91">
            <w:pPr>
              <w:rPr>
                <w:sz w:val="18"/>
                <w:szCs w:val="18"/>
              </w:rPr>
            </w:pPr>
            <w:r w:rsidRPr="00160747">
              <w:rPr>
                <w:sz w:val="18"/>
                <w:szCs w:val="18"/>
              </w:rPr>
              <w:t>CA</w:t>
            </w:r>
          </w:p>
        </w:tc>
        <w:tc>
          <w:tcPr>
            <w:tcW w:w="1016" w:type="dxa"/>
            <w:shd w:val="clear" w:color="auto" w:fill="auto"/>
            <w:noWrap/>
            <w:vAlign w:val="bottom"/>
            <w:hideMark/>
          </w:tcPr>
          <w:p w:rsidR="00E33263" w:rsidRPr="00160747" w:rsidRDefault="00E33263" w:rsidP="001B4C91">
            <w:pPr>
              <w:rPr>
                <w:sz w:val="18"/>
                <w:szCs w:val="18"/>
              </w:rPr>
            </w:pPr>
            <w:r w:rsidRPr="00160747">
              <w:rPr>
                <w:sz w:val="18"/>
                <w:szCs w:val="18"/>
              </w:rPr>
              <w:t>ACR</w:t>
            </w:r>
          </w:p>
        </w:tc>
        <w:tc>
          <w:tcPr>
            <w:tcW w:w="941" w:type="dxa"/>
            <w:shd w:val="clear" w:color="auto" w:fill="auto"/>
            <w:noWrap/>
            <w:vAlign w:val="bottom"/>
            <w:hideMark/>
          </w:tcPr>
          <w:p w:rsidR="00E33263" w:rsidRPr="00160747" w:rsidRDefault="00E33263" w:rsidP="001B4C91">
            <w:pPr>
              <w:rPr>
                <w:sz w:val="18"/>
                <w:szCs w:val="18"/>
              </w:rPr>
            </w:pPr>
            <w:r w:rsidRPr="00160747">
              <w:rPr>
                <w:sz w:val="18"/>
                <w:szCs w:val="18"/>
              </w:rPr>
              <w:t>CA</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-12.7</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-68.1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-1.5</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1.3</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10.2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-5.7</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-21.0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lastRenderedPageBreak/>
              <w:t>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-25.3</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-135.9</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-24.6</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-194.5</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-2.2</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-18.2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27.2</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100.6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45.8</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0.1</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1.2</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0.6</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2.4</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-0.9</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-5.1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-8.4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-66.0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-3.0</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-24.4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30.9</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114.4</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-2.7</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98.4</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-81.1</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-342.6</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35.3</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189.9</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-8.8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-69.2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7.8</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64.0</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80.5</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298.0</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-4.6</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-24.8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29.7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234.7</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4.7</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38.1</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-32.3</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-119.5</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VIII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0.0</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-1.9</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-15.3</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15.9</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-0.9</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-3.1</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IX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-14.2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-76.4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14.3</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29.2</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238.7</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-40.4</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-149.7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2.2</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12.0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-1.6</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-12.8</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23.3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-1.7</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-6.4</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-10.1</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-54.3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35.0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16.2</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132.5</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-72.3</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-267.5</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7.9</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42.4</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4.2</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33.0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0.2</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1.9</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-11.5</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-42.5</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0.4</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1.1</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-0.9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-7.3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-5.5</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-20.5</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49.0</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263.5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33.5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264.5</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25.3</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207.4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82.0</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303.4</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-153.1</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-823.1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5.7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45.2</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106.4</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870.9</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23.6</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87.3</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-97.0</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-521.8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0.8</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6.5</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-24.7</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-202.0</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-30.4</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-112.7</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XVIII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8.6</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46.0</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-3.3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-26.0</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-3.1</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-25.4</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-2.7</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-9.9</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XX</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21.5</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115.5</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18.1</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142.9</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-12.4</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-101.3</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-53.7</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-198.9</w:t>
            </w:r>
          </w:p>
        </w:tc>
      </w:tr>
      <w:tr w:rsidR="00E33263" w:rsidRPr="00AB2B25" w:rsidTr="00160747">
        <w:trPr>
          <w:trHeight w:val="300"/>
        </w:trPr>
        <w:tc>
          <w:tcPr>
            <w:tcW w:w="810" w:type="dxa"/>
            <w:shd w:val="clear" w:color="auto" w:fill="auto"/>
            <w:noWrap/>
            <w:vAlign w:val="bottom"/>
            <w:hideMark/>
          </w:tcPr>
          <w:p w:rsidR="00E33263" w:rsidRPr="00160747" w:rsidRDefault="00E33263" w:rsidP="001B4C91">
            <w:pPr>
              <w:rPr>
                <w:sz w:val="18"/>
                <w:szCs w:val="18"/>
              </w:rPr>
            </w:pPr>
            <w:r w:rsidRPr="00160747">
              <w:rPr>
                <w:sz w:val="18"/>
                <w:szCs w:val="18"/>
              </w:rPr>
              <w:t>XXII</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-0.8</w:t>
            </w:r>
          </w:p>
        </w:tc>
        <w:tc>
          <w:tcPr>
            <w:tcW w:w="810" w:type="dxa"/>
            <w:shd w:val="clear" w:color="auto" w:fill="auto"/>
            <w:noWrap/>
            <w:vAlign w:val="bottom"/>
            <w:hideMark/>
          </w:tcPr>
          <w:p w:rsidR="00E33263" w:rsidRPr="00160747" w:rsidRDefault="00E33263" w:rsidP="001B4C91">
            <w:pPr>
              <w:jc w:val="right"/>
              <w:rPr>
                <w:sz w:val="18"/>
                <w:szCs w:val="18"/>
              </w:rPr>
            </w:pPr>
            <w:r w:rsidRPr="00160747">
              <w:rPr>
                <w:sz w:val="18"/>
                <w:szCs w:val="18"/>
              </w:rPr>
              <w:t>-4.3</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-1.7</w:t>
            </w:r>
          </w:p>
        </w:tc>
        <w:tc>
          <w:tcPr>
            <w:tcW w:w="720" w:type="dxa"/>
            <w:shd w:val="clear" w:color="auto" w:fill="auto"/>
            <w:noWrap/>
            <w:vAlign w:val="bottom"/>
            <w:hideMark/>
          </w:tcPr>
          <w:p w:rsidR="00E33263" w:rsidRPr="00160747" w:rsidRDefault="00E33263" w:rsidP="001B4C91">
            <w:pPr>
              <w:jc w:val="right"/>
              <w:rPr>
                <w:sz w:val="18"/>
                <w:szCs w:val="18"/>
              </w:rPr>
            </w:pPr>
            <w:r w:rsidRPr="00160747">
              <w:rPr>
                <w:sz w:val="18"/>
                <w:szCs w:val="18"/>
              </w:rPr>
              <w:t>-13.1</w:t>
            </w:r>
          </w:p>
        </w:tc>
        <w:tc>
          <w:tcPr>
            <w:tcW w:w="967" w:type="dxa"/>
            <w:shd w:val="clear" w:color="auto" w:fill="auto"/>
            <w:noWrap/>
            <w:vAlign w:val="bottom"/>
            <w:hideMark/>
          </w:tcPr>
          <w:p w:rsidR="00E33263" w:rsidRPr="00160747" w:rsidRDefault="00E33263" w:rsidP="001B4C91">
            <w:pPr>
              <w:jc w:val="right"/>
              <w:rPr>
                <w:sz w:val="18"/>
                <w:szCs w:val="18"/>
              </w:rPr>
            </w:pPr>
            <w:r w:rsidRPr="00160747">
              <w:rPr>
                <w:sz w:val="18"/>
                <w:szCs w:val="18"/>
              </w:rPr>
              <w:t>2.9</w:t>
            </w:r>
          </w:p>
        </w:tc>
        <w:tc>
          <w:tcPr>
            <w:tcW w:w="766" w:type="dxa"/>
            <w:shd w:val="clear" w:color="auto" w:fill="auto"/>
            <w:noWrap/>
            <w:vAlign w:val="bottom"/>
            <w:hideMark/>
          </w:tcPr>
          <w:p w:rsidR="00E33263" w:rsidRPr="00160747" w:rsidRDefault="00E33263" w:rsidP="001B4C91">
            <w:pPr>
              <w:jc w:val="right"/>
              <w:rPr>
                <w:sz w:val="18"/>
                <w:szCs w:val="18"/>
              </w:rPr>
            </w:pPr>
            <w:r w:rsidRPr="00160747">
              <w:rPr>
                <w:sz w:val="18"/>
                <w:szCs w:val="18"/>
              </w:rPr>
              <w:t>23.6</w:t>
            </w:r>
          </w:p>
        </w:tc>
        <w:tc>
          <w:tcPr>
            <w:tcW w:w="1016" w:type="dxa"/>
            <w:shd w:val="clear" w:color="auto" w:fill="auto"/>
            <w:noWrap/>
            <w:vAlign w:val="bottom"/>
            <w:hideMark/>
          </w:tcPr>
          <w:p w:rsidR="00E33263" w:rsidRPr="00160747" w:rsidRDefault="00E33263" w:rsidP="001B4C91">
            <w:pPr>
              <w:jc w:val="right"/>
              <w:rPr>
                <w:sz w:val="18"/>
                <w:szCs w:val="18"/>
              </w:rPr>
            </w:pPr>
            <w:r w:rsidRPr="00160747">
              <w:rPr>
                <w:sz w:val="18"/>
                <w:szCs w:val="18"/>
              </w:rPr>
              <w:t>5.3</w:t>
            </w:r>
          </w:p>
        </w:tc>
        <w:tc>
          <w:tcPr>
            <w:tcW w:w="941" w:type="dxa"/>
            <w:shd w:val="clear" w:color="auto" w:fill="auto"/>
            <w:noWrap/>
            <w:vAlign w:val="bottom"/>
            <w:hideMark/>
          </w:tcPr>
          <w:p w:rsidR="00E33263" w:rsidRPr="00160747" w:rsidRDefault="00E33263" w:rsidP="001B4C91">
            <w:pPr>
              <w:jc w:val="right"/>
              <w:rPr>
                <w:sz w:val="18"/>
                <w:szCs w:val="18"/>
              </w:rPr>
            </w:pPr>
            <w:r w:rsidRPr="00160747">
              <w:rPr>
                <w:sz w:val="18"/>
                <w:szCs w:val="18"/>
              </w:rPr>
              <w:t>19.5</w:t>
            </w:r>
          </w:p>
        </w:tc>
      </w:tr>
    </w:tbl>
    <w:p w:rsidR="00EB6E71" w:rsidRPr="00AB2B25" w:rsidRDefault="00F548D4" w:rsidP="00EB6E71">
      <w:pPr>
        <w:rPr>
          <w:sz w:val="20"/>
          <w:szCs w:val="20"/>
        </w:rPr>
      </w:pPr>
      <w:r w:rsidRPr="00164674">
        <w:rPr>
          <w:sz w:val="20"/>
          <w:szCs w:val="20"/>
          <w:lang w:val="ro-RO"/>
        </w:rPr>
        <w:t>Sursa: Calcule ale autorilor pe baza datelor de la Institutul Na</w:t>
      </w:r>
      <w:r>
        <w:rPr>
          <w:sz w:val="20"/>
          <w:szCs w:val="20"/>
          <w:lang w:val="ro-RO"/>
        </w:rPr>
        <w:t>ţ</w:t>
      </w:r>
      <w:r w:rsidRPr="00164674">
        <w:rPr>
          <w:sz w:val="20"/>
          <w:szCs w:val="20"/>
          <w:lang w:val="ro-RO"/>
        </w:rPr>
        <w:t xml:space="preserve">ional de Statistică </w:t>
      </w:r>
      <w:r>
        <w:rPr>
          <w:sz w:val="20"/>
          <w:szCs w:val="20"/>
          <w:lang w:val="ro-RO"/>
        </w:rPr>
        <w:t>ş</w:t>
      </w:r>
      <w:r w:rsidRPr="00164674">
        <w:rPr>
          <w:sz w:val="20"/>
          <w:szCs w:val="20"/>
          <w:lang w:val="ro-RO"/>
        </w:rPr>
        <w:t>i TEMPO-on line</w:t>
      </w:r>
      <w:r w:rsidR="00EB6E71" w:rsidRPr="00AB2B25">
        <w:rPr>
          <w:sz w:val="20"/>
          <w:szCs w:val="20"/>
        </w:rPr>
        <w:t>.</w:t>
      </w:r>
    </w:p>
    <w:p w:rsidR="00E33263" w:rsidRPr="00AB2B25" w:rsidRDefault="00E33263" w:rsidP="001B4C91">
      <w:pPr>
        <w:pStyle w:val="Textoindependiente"/>
        <w:jc w:val="both"/>
        <w:rPr>
          <w:rFonts w:ascii="Times New Roman" w:hAnsi="Times New Roman"/>
        </w:rPr>
      </w:pPr>
    </w:p>
    <w:p w:rsidR="00E33263" w:rsidRPr="00AB2B25" w:rsidRDefault="00B74ACF" w:rsidP="001B4C91">
      <w:pPr>
        <w:numPr>
          <w:ilvl w:val="0"/>
          <w:numId w:val="3"/>
        </w:numPr>
        <w:autoSpaceDE w:val="0"/>
        <w:autoSpaceDN w:val="0"/>
        <w:adjustRightInd w:val="0"/>
        <w:jc w:val="both"/>
        <w:rPr>
          <w:b/>
        </w:rPr>
      </w:pPr>
      <w:r w:rsidRPr="00AB2B25">
        <w:rPr>
          <w:b/>
        </w:rPr>
        <w:t>CONCLU</w:t>
      </w:r>
      <w:r w:rsidR="00F548D4">
        <w:rPr>
          <w:b/>
        </w:rPr>
        <w:t>ZII</w:t>
      </w:r>
    </w:p>
    <w:p w:rsidR="00E33263" w:rsidRPr="00AB2B25" w:rsidRDefault="00E33263" w:rsidP="001B4C91">
      <w:pPr>
        <w:jc w:val="both"/>
      </w:pPr>
    </w:p>
    <w:p w:rsidR="00E33263" w:rsidRPr="00AB2B25" w:rsidRDefault="00F548D4" w:rsidP="00C148D1">
      <w:pPr>
        <w:jc w:val="both"/>
      </w:pPr>
      <w:r w:rsidRPr="007824D5">
        <w:rPr>
          <w:lang w:val="ro-RO"/>
        </w:rPr>
        <w:t xml:space="preserve">Utilizand analiza shift-share clasică, </w:t>
      </w:r>
      <w:r>
        <w:rPr>
          <w:lang w:val="ro-RO"/>
        </w:rPr>
        <w:t>lucrarea a</w:t>
      </w:r>
      <w:r w:rsidRPr="007824D5">
        <w:rPr>
          <w:lang w:val="ro-RO"/>
        </w:rPr>
        <w:t xml:space="preserve"> încercat evaluarea disparităţilor de dezvoltare sectorială şi competitivitate externă din regiunile şi judeţele României din perspectiva </w:t>
      </w:r>
      <w:r w:rsidRPr="007824D5">
        <w:rPr>
          <w:i/>
          <w:iCs/>
          <w:lang w:val="ro-RO"/>
        </w:rPr>
        <w:t xml:space="preserve">comerţului exterior </w:t>
      </w:r>
      <w:r w:rsidRPr="007824D5">
        <w:rPr>
          <w:lang w:val="ro-RO"/>
        </w:rPr>
        <w:t xml:space="preserve">la nivelul regiunilor, respectiv  a </w:t>
      </w:r>
      <w:r w:rsidRPr="008C2C0E">
        <w:rPr>
          <w:bCs/>
          <w:i/>
          <w:iCs/>
          <w:lang w:val="ro-RO"/>
        </w:rPr>
        <w:t>exporturilor</w:t>
      </w:r>
      <w:r w:rsidR="00E33263" w:rsidRPr="00AB2B25">
        <w:t xml:space="preserve">. </w:t>
      </w:r>
    </w:p>
    <w:p w:rsidR="00E33263" w:rsidRPr="00AB2B25" w:rsidRDefault="00F548D4" w:rsidP="001B4C91">
      <w:pPr>
        <w:jc w:val="both"/>
        <w:textAlignment w:val="top"/>
      </w:pPr>
      <w:r w:rsidRPr="007824D5">
        <w:rPr>
          <w:lang w:val="ro-RO"/>
        </w:rPr>
        <w:t>Evoluţia exporturilor reg</w:t>
      </w:r>
      <w:r>
        <w:rPr>
          <w:lang w:val="ro-RO"/>
        </w:rPr>
        <w:t>i</w:t>
      </w:r>
      <w:r w:rsidRPr="007824D5">
        <w:rPr>
          <w:lang w:val="ro-RO"/>
        </w:rPr>
        <w:t xml:space="preserve">unilor României în perioada 2005-2013 evidenţiază două perioade relativ distincte: 2005-2008 (pre-criză economică) şi 2009-2013 (criză şi post-criză economică), cu o scădere evidentă în anul 2009 şi, parţială, în anul 2012, per total </w:t>
      </w:r>
      <w:r>
        <w:rPr>
          <w:lang w:val="ro-RO"/>
        </w:rPr>
        <w:t>ş</w:t>
      </w:r>
      <w:r w:rsidRPr="007824D5">
        <w:rPr>
          <w:lang w:val="ro-RO"/>
        </w:rPr>
        <w:t xml:space="preserve">i pentru principalele grupe de mărfuri (conform clasificării NC), cu anumite particularităţi regionale şi/sau sectoriale. Modificarea structurii sectoriale a exporturilor regionale s-a produs parţial în direcţia creşterii competitivităţii unor grupe de produse cu nivel tehnologic mediu </w:t>
      </w:r>
      <w:r>
        <w:rPr>
          <w:lang w:val="ro-RO"/>
        </w:rPr>
        <w:t>ş</w:t>
      </w:r>
      <w:r w:rsidRPr="007824D5">
        <w:rPr>
          <w:lang w:val="ro-RO"/>
        </w:rPr>
        <w:t xml:space="preserve">i ridicat pe pieţele externe şi a mai profundei integrări în lanţurile valorice internaţionale de înaltă şi medie tehnologie, dar </w:t>
      </w:r>
      <w:r>
        <w:rPr>
          <w:lang w:val="ro-RO"/>
        </w:rPr>
        <w:t>ş</w:t>
      </w:r>
      <w:r w:rsidRPr="007824D5">
        <w:rPr>
          <w:lang w:val="ro-RO"/>
        </w:rPr>
        <w:t>i parţial în direcţia creşterii calităţii şi competitivităţii produselor provenite din sectorul agricol, slab reprezentate în structura exporturilor României înainte de aderarea la UE datorită competitivităţii reduse</w:t>
      </w:r>
      <w:r w:rsidR="004C3DEE">
        <w:t xml:space="preserve">. </w:t>
      </w:r>
    </w:p>
    <w:p w:rsidR="00E33263" w:rsidRPr="00AB2B25" w:rsidRDefault="00F548D4" w:rsidP="001B4C91">
      <w:pPr>
        <w:autoSpaceDE w:val="0"/>
        <w:autoSpaceDN w:val="0"/>
        <w:adjustRightInd w:val="0"/>
        <w:jc w:val="both"/>
      </w:pPr>
      <w:r w:rsidRPr="007824D5">
        <w:rPr>
          <w:lang w:val="ro-RO"/>
        </w:rPr>
        <w:t xml:space="preserve">Considerând descompunerea shift-share, </w:t>
      </w:r>
      <w:r w:rsidRPr="007824D5">
        <w:rPr>
          <w:rStyle w:val="hps"/>
          <w:lang w:val="ro-RO"/>
        </w:rPr>
        <w:t>in</w:t>
      </w:r>
      <w:r w:rsidRPr="007824D5">
        <w:rPr>
          <w:lang w:val="ro-RO"/>
        </w:rPr>
        <w:t xml:space="preserve"> </w:t>
      </w:r>
      <w:r w:rsidRPr="007824D5">
        <w:rPr>
          <w:rStyle w:val="hps"/>
          <w:lang w:val="ro-RO"/>
        </w:rPr>
        <w:t>perioada 2005-2013</w:t>
      </w:r>
      <w:r w:rsidRPr="007824D5">
        <w:rPr>
          <w:lang w:val="ro-RO"/>
        </w:rPr>
        <w:t xml:space="preserve"> </w:t>
      </w:r>
      <w:r w:rsidRPr="007824D5">
        <w:rPr>
          <w:rStyle w:val="hps"/>
          <w:lang w:val="ro-RO"/>
        </w:rPr>
        <w:t>efectul</w:t>
      </w:r>
      <w:r w:rsidRPr="007824D5">
        <w:rPr>
          <w:lang w:val="ro-RO"/>
        </w:rPr>
        <w:t xml:space="preserve"> </w:t>
      </w:r>
      <w:r w:rsidRPr="007824D5">
        <w:rPr>
          <w:rStyle w:val="hps"/>
          <w:i/>
          <w:lang w:val="ro-RO"/>
        </w:rPr>
        <w:t>naţional</w:t>
      </w:r>
      <w:r w:rsidRPr="007824D5">
        <w:rPr>
          <w:lang w:val="ro-RO"/>
        </w:rPr>
        <w:t xml:space="preserve"> </w:t>
      </w:r>
      <w:r w:rsidRPr="007824D5">
        <w:rPr>
          <w:rStyle w:val="hps"/>
          <w:lang w:val="ro-RO"/>
        </w:rPr>
        <w:t>a fost pozitiv în</w:t>
      </w:r>
      <w:r w:rsidRPr="007824D5">
        <w:rPr>
          <w:lang w:val="ro-RO"/>
        </w:rPr>
        <w:t xml:space="preserve"> </w:t>
      </w:r>
      <w:r w:rsidRPr="007824D5">
        <w:rPr>
          <w:rStyle w:val="hps"/>
          <w:lang w:val="ro-RO"/>
        </w:rPr>
        <w:t>toate regiunile</w:t>
      </w:r>
      <w:r w:rsidR="004C3DEE">
        <w:t xml:space="preserve">, </w:t>
      </w:r>
      <w:r>
        <w:t>semnalând un impact pozitiv al exporturilor naţionale ca factor de creştere la nivel regional</w:t>
      </w:r>
      <w:r w:rsidR="004C3DEE">
        <w:t xml:space="preserve">. </w:t>
      </w:r>
      <w:r>
        <w:t>Pe sub-perioade, efectul naţional a fost diferit, sugerând evoluţii diferite ale exporturilor regionale correlate cu dinamicile sectoriale naţionale induse de criză</w:t>
      </w:r>
      <w:r w:rsidR="004C3DEE">
        <w:t xml:space="preserve">. </w:t>
      </w:r>
      <w:r w:rsidRPr="007824D5">
        <w:rPr>
          <w:lang w:val="ro-RO"/>
        </w:rPr>
        <w:t xml:space="preserve">Efectul naţional pozitiv a fost mai mare </w:t>
      </w:r>
      <w:r>
        <w:rPr>
          <w:lang w:val="ro-RO"/>
        </w:rPr>
        <w:t xml:space="preserve">în perioada post-criză </w:t>
      </w:r>
      <w:r w:rsidR="00AC7A3B" w:rsidRPr="007824D5">
        <w:rPr>
          <w:lang w:val="ro-RO"/>
        </w:rPr>
        <w:t>în cazul aproximativ al aceloraşi grupe de mărfuri pentru care s-a înregistrat o modificare structurală totală pozitivă în toate regiunile</w:t>
      </w:r>
      <w:r w:rsidR="00E33263" w:rsidRPr="00AB2B25">
        <w:t>.</w:t>
      </w:r>
    </w:p>
    <w:p w:rsidR="00E33263" w:rsidRPr="00AB2B25" w:rsidRDefault="00AC7A3B" w:rsidP="001B4C91">
      <w:pPr>
        <w:jc w:val="both"/>
        <w:textAlignment w:val="top"/>
      </w:pPr>
      <w:r w:rsidRPr="007824D5">
        <w:rPr>
          <w:lang w:val="ro-RO"/>
        </w:rPr>
        <w:t xml:space="preserve">În ceea ce priveşte efectele de </w:t>
      </w:r>
      <w:r w:rsidRPr="007824D5">
        <w:rPr>
          <w:i/>
          <w:lang w:val="ro-RO"/>
        </w:rPr>
        <w:t>mix sectorial</w:t>
      </w:r>
      <w:r w:rsidRPr="007824D5">
        <w:rPr>
          <w:lang w:val="ro-RO"/>
        </w:rPr>
        <w:t xml:space="preserve"> </w:t>
      </w:r>
      <w:r>
        <w:rPr>
          <w:lang w:val="ro-RO"/>
        </w:rPr>
        <w:t>ş</w:t>
      </w:r>
      <w:r w:rsidRPr="007824D5">
        <w:rPr>
          <w:lang w:val="ro-RO"/>
        </w:rPr>
        <w:t xml:space="preserve">i </w:t>
      </w:r>
      <w:r w:rsidRPr="007824D5">
        <w:rPr>
          <w:i/>
          <w:lang w:val="ro-RO"/>
        </w:rPr>
        <w:t>schimbare competitivă</w:t>
      </w:r>
      <w:r w:rsidRPr="007824D5">
        <w:rPr>
          <w:lang w:val="ro-RO"/>
        </w:rPr>
        <w:t xml:space="preserve">, </w:t>
      </w:r>
      <w:r w:rsidRPr="007824D5">
        <w:rPr>
          <w:rStyle w:val="hps"/>
          <w:lang w:val="ro-RO"/>
        </w:rPr>
        <w:t>la nivelul întregii perioade analizate s-au identificat grupe de produse pentru care</w:t>
      </w:r>
      <w:r w:rsidRPr="007824D5">
        <w:rPr>
          <w:lang w:val="ro-RO"/>
        </w:rPr>
        <w:t xml:space="preserve"> </w:t>
      </w:r>
      <w:r w:rsidRPr="007824D5">
        <w:rPr>
          <w:rStyle w:val="hps"/>
          <w:lang w:val="ro-RO"/>
        </w:rPr>
        <w:t>mixul sectorial</w:t>
      </w:r>
      <w:r w:rsidRPr="007824D5">
        <w:rPr>
          <w:lang w:val="ro-RO"/>
        </w:rPr>
        <w:t xml:space="preserve"> </w:t>
      </w:r>
      <w:r w:rsidRPr="007824D5">
        <w:rPr>
          <w:rStyle w:val="hps"/>
          <w:lang w:val="ro-RO"/>
        </w:rPr>
        <w:t>a fost</w:t>
      </w:r>
      <w:r w:rsidRPr="007824D5">
        <w:rPr>
          <w:lang w:val="ro-RO"/>
        </w:rPr>
        <w:t xml:space="preserve"> </w:t>
      </w:r>
      <w:r w:rsidRPr="007824D5">
        <w:rPr>
          <w:rStyle w:val="hps"/>
          <w:lang w:val="ro-RO"/>
        </w:rPr>
        <w:t>negativ în toate regiunile</w:t>
      </w:r>
      <w:r w:rsidRPr="007824D5">
        <w:rPr>
          <w:lang w:val="ro-RO"/>
        </w:rPr>
        <w:t xml:space="preserve">, </w:t>
      </w:r>
      <w:r w:rsidRPr="007824D5">
        <w:rPr>
          <w:rStyle w:val="hps"/>
          <w:lang w:val="ro-RO"/>
        </w:rPr>
        <w:t>dar pentru diverse grupe de mărfuri acesta a fost</w:t>
      </w:r>
      <w:r w:rsidRPr="007824D5">
        <w:rPr>
          <w:lang w:val="ro-RO"/>
        </w:rPr>
        <w:t xml:space="preserve"> </w:t>
      </w:r>
      <w:r w:rsidRPr="007824D5">
        <w:rPr>
          <w:rStyle w:val="hps"/>
          <w:lang w:val="ro-RO"/>
        </w:rPr>
        <w:t>compensat</w:t>
      </w:r>
      <w:r w:rsidRPr="007824D5">
        <w:rPr>
          <w:lang w:val="ro-RO"/>
        </w:rPr>
        <w:t xml:space="preserve"> </w:t>
      </w:r>
      <w:r w:rsidRPr="007824D5">
        <w:rPr>
          <w:rStyle w:val="hps"/>
          <w:lang w:val="ro-RO"/>
        </w:rPr>
        <w:t>în toate</w:t>
      </w:r>
      <w:r w:rsidRPr="007824D5">
        <w:rPr>
          <w:lang w:val="ro-RO"/>
        </w:rPr>
        <w:t xml:space="preserve"> </w:t>
      </w:r>
      <w:r w:rsidRPr="007824D5">
        <w:rPr>
          <w:rStyle w:val="hps"/>
          <w:lang w:val="ro-RO"/>
        </w:rPr>
        <w:t>regiunile</w:t>
      </w:r>
      <w:r w:rsidRPr="007824D5">
        <w:rPr>
          <w:lang w:val="ro-RO"/>
        </w:rPr>
        <w:t xml:space="preserve"> </w:t>
      </w:r>
      <w:r w:rsidRPr="007824D5">
        <w:rPr>
          <w:rStyle w:val="hps"/>
          <w:lang w:val="ro-RO"/>
        </w:rPr>
        <w:t>de către</w:t>
      </w:r>
      <w:r w:rsidRPr="007824D5">
        <w:rPr>
          <w:lang w:val="ro-RO"/>
        </w:rPr>
        <w:t xml:space="preserve"> </w:t>
      </w:r>
      <w:r w:rsidRPr="007824D5">
        <w:rPr>
          <w:rStyle w:val="hps"/>
          <w:lang w:val="ro-RO"/>
        </w:rPr>
        <w:t>combinaţii specifice</w:t>
      </w:r>
      <w:r w:rsidRPr="007824D5">
        <w:rPr>
          <w:lang w:val="ro-RO"/>
        </w:rPr>
        <w:t xml:space="preserve"> </w:t>
      </w:r>
      <w:r w:rsidRPr="007824D5">
        <w:rPr>
          <w:rStyle w:val="hps"/>
          <w:lang w:val="ro-RO"/>
        </w:rPr>
        <w:t>de factori</w:t>
      </w:r>
      <w:r w:rsidRPr="007824D5">
        <w:rPr>
          <w:lang w:val="ro-RO"/>
        </w:rPr>
        <w:t xml:space="preserve"> </w:t>
      </w:r>
      <w:r w:rsidRPr="007824D5">
        <w:rPr>
          <w:rStyle w:val="hps"/>
          <w:lang w:val="ro-RO"/>
        </w:rPr>
        <w:t>care au contribuit la</w:t>
      </w:r>
      <w:r w:rsidRPr="007824D5">
        <w:rPr>
          <w:lang w:val="ro-RO"/>
        </w:rPr>
        <w:t xml:space="preserve"> </w:t>
      </w:r>
      <w:r w:rsidRPr="007824D5">
        <w:rPr>
          <w:rStyle w:val="hps"/>
          <w:lang w:val="ro-RO"/>
        </w:rPr>
        <w:t>o</w:t>
      </w:r>
      <w:r w:rsidRPr="007824D5">
        <w:rPr>
          <w:lang w:val="ro-RO"/>
        </w:rPr>
        <w:t xml:space="preserve"> </w:t>
      </w:r>
      <w:r w:rsidRPr="007824D5">
        <w:rPr>
          <w:rStyle w:val="hps"/>
          <w:lang w:val="ro-RO"/>
        </w:rPr>
        <w:t>mai bună performanţă a exporturilor</w:t>
      </w:r>
      <w:r w:rsidR="00BF75F2">
        <w:t xml:space="preserve">. </w:t>
      </w:r>
      <w:r w:rsidRPr="007824D5">
        <w:rPr>
          <w:lang w:val="ro-RO"/>
        </w:rPr>
        <w:t xml:space="preserve">La fel de întâlnită în toate regiunile este </w:t>
      </w:r>
      <w:r>
        <w:rPr>
          <w:lang w:val="ro-RO"/>
        </w:rPr>
        <w:t>ş</w:t>
      </w:r>
      <w:r w:rsidRPr="007824D5">
        <w:rPr>
          <w:lang w:val="ro-RO"/>
        </w:rPr>
        <w:t>i situa</w:t>
      </w:r>
      <w:r>
        <w:rPr>
          <w:lang w:val="ro-RO"/>
        </w:rPr>
        <w:t>ţ</w:t>
      </w:r>
      <w:r w:rsidRPr="007824D5">
        <w:rPr>
          <w:lang w:val="ro-RO"/>
        </w:rPr>
        <w:t xml:space="preserve">ia inversă, a unui mix sectorial pozitiv </w:t>
      </w:r>
      <w:r>
        <w:rPr>
          <w:lang w:val="ro-RO"/>
        </w:rPr>
        <w:t>ş</w:t>
      </w:r>
      <w:r w:rsidRPr="007824D5">
        <w:rPr>
          <w:lang w:val="ro-RO"/>
        </w:rPr>
        <w:t>i a unui efect de schimbare regională negativ</w:t>
      </w:r>
      <w:r w:rsidR="00BF75F2">
        <w:t xml:space="preserve">, </w:t>
      </w:r>
      <w:r>
        <w:t>semnalând potenţiale regionale/sectoriale de creştere a exporturilor care nu au fost valorificate</w:t>
      </w:r>
      <w:r w:rsidR="00BF75F2">
        <w:t xml:space="preserve">. </w:t>
      </w:r>
      <w:r w:rsidRPr="007824D5">
        <w:rPr>
          <w:rStyle w:val="hps"/>
          <w:lang w:val="ro-RO"/>
        </w:rPr>
        <w:t xml:space="preserve">În perioada de criză </w:t>
      </w:r>
      <w:r>
        <w:rPr>
          <w:rStyle w:val="hps"/>
          <w:lang w:val="ro-RO"/>
        </w:rPr>
        <w:t>ş</w:t>
      </w:r>
      <w:r w:rsidRPr="007824D5">
        <w:rPr>
          <w:rStyle w:val="hps"/>
          <w:lang w:val="ro-RO"/>
        </w:rPr>
        <w:t xml:space="preserve">i post-criză, grupelor de produse care au înregistrat un mix sectorial negativ li s-a adăugat </w:t>
      </w:r>
      <w:r>
        <w:rPr>
          <w:rStyle w:val="hps"/>
          <w:lang w:val="ro-RO"/>
        </w:rPr>
        <w:t>ş</w:t>
      </w:r>
      <w:r w:rsidRPr="007824D5">
        <w:rPr>
          <w:rStyle w:val="hps"/>
          <w:lang w:val="ro-RO"/>
        </w:rPr>
        <w:t>i grupa XVI</w:t>
      </w:r>
      <w:r w:rsidR="00BF75F2">
        <w:t xml:space="preserve">, </w:t>
      </w:r>
      <w:r w:rsidRPr="007824D5">
        <w:rPr>
          <w:rStyle w:val="hps"/>
          <w:lang w:val="ro-RO"/>
        </w:rPr>
        <w:t>una dintre grupele cu ponderi însemnate în exporturile na</w:t>
      </w:r>
      <w:r>
        <w:rPr>
          <w:rStyle w:val="hps"/>
          <w:lang w:val="ro-RO"/>
        </w:rPr>
        <w:t>ţ</w:t>
      </w:r>
      <w:r w:rsidRPr="007824D5">
        <w:rPr>
          <w:rStyle w:val="hps"/>
          <w:lang w:val="ro-RO"/>
        </w:rPr>
        <w:t xml:space="preserve">ionale </w:t>
      </w:r>
      <w:r>
        <w:rPr>
          <w:rStyle w:val="hps"/>
          <w:lang w:val="ro-RO"/>
        </w:rPr>
        <w:t>ş</w:t>
      </w:r>
      <w:r w:rsidRPr="007824D5">
        <w:rPr>
          <w:rStyle w:val="hps"/>
          <w:lang w:val="ro-RO"/>
        </w:rPr>
        <w:t>i regionale</w:t>
      </w:r>
      <w:r w:rsidR="00BF75F2">
        <w:t xml:space="preserve"> </w:t>
      </w:r>
      <w:r>
        <w:t>şi de mare importanţă</w:t>
      </w:r>
      <w:r w:rsidR="00BF75F2">
        <w:t xml:space="preserve"> </w:t>
      </w:r>
      <w:r>
        <w:t xml:space="preserve">pentru economiile regionale </w:t>
      </w:r>
      <w:r w:rsidR="00BF75F2">
        <w:lastRenderedPageBreak/>
        <w:t>(</w:t>
      </w:r>
      <w:r>
        <w:t>şi</w:t>
      </w:r>
      <w:r w:rsidR="00BF75F2">
        <w:t xml:space="preserve"> sub-regional</w:t>
      </w:r>
      <w:r>
        <w:t>e</w:t>
      </w:r>
      <w:r w:rsidR="00BF75F2">
        <w:t xml:space="preserve">). </w:t>
      </w:r>
      <w:r w:rsidRPr="007824D5">
        <w:rPr>
          <w:rStyle w:val="hps"/>
          <w:lang w:val="ro-RO"/>
        </w:rPr>
        <w:t>În condi</w:t>
      </w:r>
      <w:r>
        <w:rPr>
          <w:rStyle w:val="hps"/>
          <w:lang w:val="ro-RO"/>
        </w:rPr>
        <w:t>ţ</w:t>
      </w:r>
      <w:r w:rsidRPr="007824D5">
        <w:rPr>
          <w:rStyle w:val="hps"/>
          <w:lang w:val="ro-RO"/>
        </w:rPr>
        <w:t>iile unui mix sectorial pozitiv</w:t>
      </w:r>
      <w:r w:rsidR="00BF75F2">
        <w:t xml:space="preserve">, </w:t>
      </w:r>
      <w:r>
        <w:t xml:space="preserve">sub-perioada este caracterizată şi de </w:t>
      </w:r>
      <w:r w:rsidRPr="007824D5">
        <w:rPr>
          <w:rStyle w:val="hps"/>
          <w:i/>
          <w:lang w:val="ro-RO"/>
        </w:rPr>
        <w:t>mobilitate sectorială a exporturilor</w:t>
      </w:r>
      <w:r w:rsidRPr="007824D5">
        <w:rPr>
          <w:rStyle w:val="hps"/>
          <w:lang w:val="ro-RO"/>
        </w:rPr>
        <w:t xml:space="preserve"> </w:t>
      </w:r>
      <w:r w:rsidRPr="00AC7A3B">
        <w:rPr>
          <w:rStyle w:val="hps"/>
          <w:i/>
          <w:lang w:val="ro-RO"/>
        </w:rPr>
        <w:t>în sens pozitiv</w:t>
      </w:r>
      <w:r w:rsidRPr="007824D5">
        <w:rPr>
          <w:rStyle w:val="hps"/>
          <w:lang w:val="ro-RO"/>
        </w:rPr>
        <w:t xml:space="preserve"> </w:t>
      </w:r>
      <w:r w:rsidR="00BF75F2">
        <w:t>(</w:t>
      </w:r>
      <w:r w:rsidRPr="007824D5">
        <w:rPr>
          <w:rStyle w:val="hps"/>
          <w:lang w:val="ro-RO"/>
        </w:rPr>
        <w:t xml:space="preserve">atât mix-ul sectorial cât </w:t>
      </w:r>
      <w:r>
        <w:rPr>
          <w:rStyle w:val="hps"/>
          <w:lang w:val="ro-RO"/>
        </w:rPr>
        <w:t>ş</w:t>
      </w:r>
      <w:r w:rsidRPr="007824D5">
        <w:rPr>
          <w:rStyle w:val="hps"/>
          <w:lang w:val="ro-RO"/>
        </w:rPr>
        <w:t>i componenta de schimbare regională pozitive sau RS devenit pozitiv în subperioada 2009-2013</w:t>
      </w:r>
      <w:r w:rsidR="00BF75F2">
        <w:t xml:space="preserve">) </w:t>
      </w:r>
      <w:r>
        <w:t>în cazul diferitelor grupe de produse</w:t>
      </w:r>
      <w:r w:rsidR="00BF75F2">
        <w:t xml:space="preserve">, </w:t>
      </w:r>
      <w:r>
        <w:t xml:space="preserve">mai semnificativă în </w:t>
      </w:r>
      <w:r w:rsidRPr="007824D5">
        <w:rPr>
          <w:rStyle w:val="hps"/>
          <w:lang w:val="ro-RO"/>
        </w:rPr>
        <w:t>regiunile Nord-Vest, Centru, Nord-Est, Bucure</w:t>
      </w:r>
      <w:r>
        <w:rPr>
          <w:rStyle w:val="hps"/>
          <w:lang w:val="ro-RO"/>
        </w:rPr>
        <w:t>ş</w:t>
      </w:r>
      <w:r w:rsidRPr="007824D5">
        <w:rPr>
          <w:rStyle w:val="hps"/>
          <w:lang w:val="ro-RO"/>
        </w:rPr>
        <w:t xml:space="preserve">ti-Ilfov </w:t>
      </w:r>
      <w:r>
        <w:rPr>
          <w:rStyle w:val="hps"/>
          <w:lang w:val="ro-RO"/>
        </w:rPr>
        <w:t>ş</w:t>
      </w:r>
      <w:r w:rsidRPr="007824D5">
        <w:rPr>
          <w:rStyle w:val="hps"/>
          <w:lang w:val="ro-RO"/>
        </w:rPr>
        <w:t>i Vest</w:t>
      </w:r>
      <w:r w:rsidR="00E33263" w:rsidRPr="00AB2B25">
        <w:rPr>
          <w:rStyle w:val="hps"/>
        </w:rPr>
        <w:t xml:space="preserve">. </w:t>
      </w:r>
      <w:r w:rsidRPr="007824D5">
        <w:rPr>
          <w:lang w:val="ro-RO"/>
        </w:rPr>
        <w:t>În sfâr</w:t>
      </w:r>
      <w:r>
        <w:rPr>
          <w:lang w:val="ro-RO"/>
        </w:rPr>
        <w:t>ş</w:t>
      </w:r>
      <w:r w:rsidRPr="007824D5">
        <w:rPr>
          <w:lang w:val="ro-RO"/>
        </w:rPr>
        <w:t>it, descompunerea efectului regional competitiv eviden</w:t>
      </w:r>
      <w:r>
        <w:rPr>
          <w:lang w:val="ro-RO"/>
        </w:rPr>
        <w:t>ţ</w:t>
      </w:r>
      <w:r w:rsidRPr="007824D5">
        <w:rPr>
          <w:lang w:val="ro-RO"/>
        </w:rPr>
        <w:t xml:space="preserve">iază ponderea mai redusă a avantajului comparativ regional în raport cu efectul de alocare în toate regiunile </w:t>
      </w:r>
      <w:r>
        <w:rPr>
          <w:lang w:val="ro-RO"/>
        </w:rPr>
        <w:t>ş</w:t>
      </w:r>
      <w:r w:rsidRPr="007824D5">
        <w:rPr>
          <w:lang w:val="ro-RO"/>
        </w:rPr>
        <w:t>i pentru toate grupele de produse analizate, cea mai mare influen</w:t>
      </w:r>
      <w:r>
        <w:rPr>
          <w:lang w:val="ro-RO"/>
        </w:rPr>
        <w:t>ţ</w:t>
      </w:r>
      <w:r w:rsidRPr="007824D5">
        <w:rPr>
          <w:lang w:val="ro-RO"/>
        </w:rPr>
        <w:t>ă a avantajului comparativ remarcându-se în regiunile Bucure</w:t>
      </w:r>
      <w:r>
        <w:rPr>
          <w:lang w:val="ro-RO"/>
        </w:rPr>
        <w:t>ş</w:t>
      </w:r>
      <w:r w:rsidRPr="007824D5">
        <w:rPr>
          <w:lang w:val="ro-RO"/>
        </w:rPr>
        <w:t xml:space="preserve">ti-Ilfov </w:t>
      </w:r>
      <w:r>
        <w:rPr>
          <w:lang w:val="ro-RO"/>
        </w:rPr>
        <w:t>ş</w:t>
      </w:r>
      <w:r w:rsidRPr="007824D5">
        <w:rPr>
          <w:lang w:val="ro-RO"/>
        </w:rPr>
        <w:t xml:space="preserve">i Vest, iar cea mai redusă în regiunile Sud-Vest Oltenia </w:t>
      </w:r>
      <w:r>
        <w:rPr>
          <w:lang w:val="ro-RO"/>
        </w:rPr>
        <w:t>ş</w:t>
      </w:r>
      <w:r w:rsidRPr="007824D5">
        <w:rPr>
          <w:lang w:val="ro-RO"/>
        </w:rPr>
        <w:t>i Nord-Est, în concordan</w:t>
      </w:r>
      <w:r>
        <w:rPr>
          <w:lang w:val="ro-RO"/>
        </w:rPr>
        <w:t>ţ</w:t>
      </w:r>
      <w:r w:rsidRPr="007824D5">
        <w:rPr>
          <w:lang w:val="ro-RO"/>
        </w:rPr>
        <w:t xml:space="preserve">ă </w:t>
      </w:r>
      <w:r>
        <w:rPr>
          <w:lang w:val="ro-RO"/>
        </w:rPr>
        <w:t>ş</w:t>
      </w:r>
      <w:r w:rsidRPr="007824D5">
        <w:rPr>
          <w:lang w:val="ro-RO"/>
        </w:rPr>
        <w:t>i cu ponderea acestor regiuni în structura exporturilor na</w:t>
      </w:r>
      <w:r>
        <w:rPr>
          <w:lang w:val="ro-RO"/>
        </w:rPr>
        <w:t>ţ</w:t>
      </w:r>
      <w:r w:rsidRPr="007824D5">
        <w:rPr>
          <w:lang w:val="ro-RO"/>
        </w:rPr>
        <w:t>ionale</w:t>
      </w:r>
      <w:r w:rsidR="00E33263" w:rsidRPr="00AB2B25">
        <w:t>.</w:t>
      </w:r>
    </w:p>
    <w:p w:rsidR="00E33263" w:rsidRDefault="00AC7A3B" w:rsidP="001B4C91">
      <w:pPr>
        <w:jc w:val="both"/>
        <w:textAlignment w:val="top"/>
      </w:pPr>
      <w:r w:rsidRPr="007824D5">
        <w:rPr>
          <w:lang w:val="ro-RO"/>
        </w:rPr>
        <w:t>O astfel de analiză poate aduce noi perspective privind procesele de creştere economică la nivelul economiilor regionale/subregionale din România şi poate furniza idei utile atât pentru politicile generale şi specifice, cum ar fi politica de de coeziune teritorială, politica de competitivitate (cu accent pe dezvoltarea şi durabilitatea clusterilor, de exemplu), politica privind educaţia şi cercetarea, etc</w:t>
      </w:r>
      <w:r w:rsidR="00070F08">
        <w:t xml:space="preserve">. </w:t>
      </w:r>
    </w:p>
    <w:p w:rsidR="0013306F" w:rsidRDefault="0013306F" w:rsidP="001B4C91">
      <w:pPr>
        <w:jc w:val="both"/>
        <w:textAlignment w:val="top"/>
      </w:pPr>
    </w:p>
    <w:p w:rsidR="0013306F" w:rsidRPr="0013306F" w:rsidRDefault="0013306F" w:rsidP="0013306F">
      <w:pPr>
        <w:pStyle w:val="FootnoteText"/>
        <w:jc w:val="both"/>
        <w:rPr>
          <w:i/>
        </w:rPr>
      </w:pPr>
      <w:r w:rsidRPr="0013306F">
        <w:rPr>
          <w:i/>
        </w:rPr>
        <w:t xml:space="preserve">[1] </w:t>
      </w:r>
      <w:r w:rsidR="00AC7A3B">
        <w:rPr>
          <w:i/>
        </w:rPr>
        <w:t xml:space="preserve">Lucrarea prezintă o serie de rezultate parţiale obţinute în cadrul temei de cercetare </w:t>
      </w:r>
      <w:r w:rsidRPr="0013306F">
        <w:rPr>
          <w:i/>
        </w:rPr>
        <w:t xml:space="preserve">Coeziunea economico-socială a României în perspectiva Strategiei Europa 2020, </w:t>
      </w:r>
      <w:r w:rsidRPr="0013306F">
        <w:rPr>
          <w:i/>
          <w:color w:val="000000"/>
        </w:rPr>
        <w:t xml:space="preserve">Partea a-II-a, </w:t>
      </w:r>
      <w:r w:rsidRPr="0013306F">
        <w:rPr>
          <w:i/>
        </w:rPr>
        <w:t>coord</w:t>
      </w:r>
      <w:r w:rsidR="00AC7A3B">
        <w:rPr>
          <w:i/>
        </w:rPr>
        <w:t>o</w:t>
      </w:r>
      <w:r w:rsidRPr="0013306F">
        <w:rPr>
          <w:i/>
        </w:rPr>
        <w:t>nator Iordan Marioara</w:t>
      </w:r>
      <w:r w:rsidR="00AC7A3B">
        <w:rPr>
          <w:i/>
        </w:rPr>
        <w:t>Institutul de Prognoză Economică</w:t>
      </w:r>
      <w:r w:rsidRPr="0013306F">
        <w:rPr>
          <w:i/>
        </w:rPr>
        <w:t>, Buc</w:t>
      </w:r>
      <w:r w:rsidR="00AC7A3B">
        <w:rPr>
          <w:i/>
        </w:rPr>
        <w:t>ureşti</w:t>
      </w:r>
      <w:r w:rsidRPr="0013306F">
        <w:rPr>
          <w:i/>
        </w:rPr>
        <w:t>, Rom</w:t>
      </w:r>
      <w:r w:rsidR="00AC7A3B">
        <w:rPr>
          <w:i/>
        </w:rPr>
        <w:t>â</w:t>
      </w:r>
      <w:r w:rsidRPr="0013306F">
        <w:rPr>
          <w:i/>
        </w:rPr>
        <w:t>nia, 2014, mimeo.</w:t>
      </w:r>
    </w:p>
    <w:p w:rsidR="0013306F" w:rsidRPr="0013306F" w:rsidRDefault="0013306F" w:rsidP="001B4C91">
      <w:pPr>
        <w:jc w:val="both"/>
        <w:textAlignment w:val="top"/>
        <w:rPr>
          <w:i/>
          <w:sz w:val="20"/>
          <w:szCs w:val="20"/>
        </w:rPr>
      </w:pPr>
      <w:r w:rsidRPr="0013306F">
        <w:rPr>
          <w:i/>
          <w:sz w:val="20"/>
          <w:szCs w:val="20"/>
        </w:rPr>
        <w:t xml:space="preserve">[2] </w:t>
      </w:r>
      <w:r w:rsidR="009A2664" w:rsidRPr="009A2664">
        <w:rPr>
          <w:i/>
          <w:sz w:val="20"/>
          <w:szCs w:val="20"/>
          <w:lang w:val="ro-RO"/>
        </w:rPr>
        <w:t>Principalele grupe de mărfuri analizate, clasificate conform Nomenclatorului Combinat (NC) sunt următoarele: I – Animale vii şi produse animale, II – Produse vegetale, III – Grăsimi şi uleiuri vegetale sau animale, IV – Produse alimentare, băututi, tutun, V – Produse minerale, VI – Produse ale industriei chimice şi ale industriilor conexe, VII – Materiale plastice, cauciuc şi articole din acestea,  VIII – Piei crude, piei tăbăcite, blănuri şi produse din acestea, IX – Produse din lemn, plută şi împletituri din nuiele, X – Pastă de celuloză, deşeuri de hârtie sau de carton, hârtie şi carton şi articole din acestea, XI – Materii textile şi articole din acestea, XII – Încălţăminte, pălării, umbrele şi articole din acestea, XIII – Articole din ciment, piatră, ceramică, sticlă şi din alte materiale similare, XV – Metale comune şi articole din acestea, XVI – Maşini, aparate şi echipamente electrice; aparate de înregistrat şi de reprodus sunetul şi imaginile, XVII – Mijloace de transport, XVIII – Instrumente şi aparate optice, fotografice, cinematografice, de măsură, de control sau precizie, instrumente chirurgicale, XX – Mărfuri şi produse diverse, XXII – Alte produse nenominalizate în alte secţiuni</w:t>
      </w:r>
      <w:r w:rsidRPr="0013306F">
        <w:rPr>
          <w:i/>
          <w:sz w:val="20"/>
          <w:szCs w:val="20"/>
        </w:rPr>
        <w:t>.</w:t>
      </w:r>
    </w:p>
    <w:p w:rsidR="0013306F" w:rsidRPr="0013306F" w:rsidRDefault="0013306F" w:rsidP="009A2664">
      <w:pPr>
        <w:pStyle w:val="FootnoteText"/>
        <w:jc w:val="both"/>
        <w:rPr>
          <w:i/>
        </w:rPr>
      </w:pPr>
      <w:r w:rsidRPr="0013306F">
        <w:rPr>
          <w:i/>
        </w:rPr>
        <w:t xml:space="preserve">[3] </w:t>
      </w:r>
      <w:r w:rsidR="009A2664">
        <w:rPr>
          <w:i/>
        </w:rPr>
        <w:t>Datorită restricţiilor privind numărul de pagini, rezultatele nu sunt ptrezentate în lucrare, fiind disponibile la cerere</w:t>
      </w:r>
      <w:r w:rsidRPr="0013306F">
        <w:rPr>
          <w:i/>
        </w:rPr>
        <w:t>.</w:t>
      </w:r>
    </w:p>
    <w:p w:rsidR="0013306F" w:rsidRPr="0013306F" w:rsidRDefault="0013306F" w:rsidP="0013306F">
      <w:pPr>
        <w:pStyle w:val="FootnoteText"/>
        <w:rPr>
          <w:i/>
        </w:rPr>
      </w:pPr>
      <w:r w:rsidRPr="0013306F">
        <w:rPr>
          <w:i/>
        </w:rPr>
        <w:t xml:space="preserve">[4] </w:t>
      </w:r>
      <w:r w:rsidR="009A2664">
        <w:rPr>
          <w:i/>
        </w:rPr>
        <w:t xml:space="preserve">Rezultatele referitoare la efectul naţional şi efectele de shift şi share sunt disponibile la cerere. </w:t>
      </w:r>
    </w:p>
    <w:p w:rsidR="00E33263" w:rsidRPr="00AB2B25" w:rsidRDefault="00E33263" w:rsidP="001B4C91">
      <w:pPr>
        <w:jc w:val="both"/>
      </w:pPr>
    </w:p>
    <w:p w:rsidR="00E33263" w:rsidRPr="00AB2B25" w:rsidRDefault="00AE5F46" w:rsidP="001B4C91">
      <w:pPr>
        <w:jc w:val="both"/>
        <w:rPr>
          <w:b/>
        </w:rPr>
      </w:pPr>
      <w:r w:rsidRPr="00AB2B25">
        <w:t xml:space="preserve"> </w:t>
      </w:r>
      <w:r>
        <w:rPr>
          <w:b/>
        </w:rPr>
        <w:t>BIBLIOGRA</w:t>
      </w:r>
      <w:r w:rsidR="009A2664">
        <w:rPr>
          <w:b/>
        </w:rPr>
        <w:t>FIE</w:t>
      </w:r>
    </w:p>
    <w:p w:rsidR="00230734" w:rsidRDefault="00230734" w:rsidP="00230734">
      <w:pPr>
        <w:autoSpaceDE w:val="0"/>
        <w:autoSpaceDN w:val="0"/>
        <w:adjustRightInd w:val="0"/>
        <w:spacing w:line="276" w:lineRule="auto"/>
        <w:jc w:val="both"/>
        <w:rPr>
          <w:bCs/>
        </w:rPr>
      </w:pPr>
    </w:p>
    <w:p w:rsidR="00230734" w:rsidRPr="007824D5" w:rsidRDefault="00230734" w:rsidP="00230734">
      <w:pPr>
        <w:autoSpaceDE w:val="0"/>
        <w:autoSpaceDN w:val="0"/>
        <w:adjustRightInd w:val="0"/>
        <w:jc w:val="both"/>
      </w:pPr>
      <w:r w:rsidRPr="007824D5">
        <w:rPr>
          <w:bCs/>
        </w:rPr>
        <w:t xml:space="preserve">Sandra Baxendine, Bill Cochrane, Jacques Poot (2005), </w:t>
      </w:r>
      <w:r w:rsidRPr="007824D5">
        <w:rPr>
          <w:bCs/>
          <w:i/>
        </w:rPr>
        <w:t>Description and Spatial Analysis of Employment Change in New Zealand Regions 1986-2001</w:t>
      </w:r>
      <w:r w:rsidRPr="007824D5">
        <w:rPr>
          <w:bCs/>
        </w:rPr>
        <w:t xml:space="preserve">, Population Studies Centre Discussion Papers No. 57, November, University of Waikato, Hamilton, New Zealand. </w:t>
      </w:r>
    </w:p>
    <w:p w:rsidR="00E33263" w:rsidRPr="00AB2B25" w:rsidRDefault="00E33263" w:rsidP="00230734">
      <w:pPr>
        <w:autoSpaceDE w:val="0"/>
        <w:autoSpaceDN w:val="0"/>
        <w:adjustRightInd w:val="0"/>
        <w:jc w:val="both"/>
      </w:pPr>
      <w:r w:rsidRPr="00AB2B25">
        <w:rPr>
          <w:iCs/>
        </w:rPr>
        <w:t>R. Camagni (20</w:t>
      </w:r>
      <w:r w:rsidR="00C148D1" w:rsidRPr="00AB2B25">
        <w:rPr>
          <w:iCs/>
        </w:rPr>
        <w:t>0</w:t>
      </w:r>
      <w:r w:rsidRPr="00AB2B25">
        <w:rPr>
          <w:iCs/>
        </w:rPr>
        <w:t xml:space="preserve">2), </w:t>
      </w:r>
      <w:r w:rsidRPr="00AB2B25">
        <w:rPr>
          <w:bCs/>
          <w:i/>
        </w:rPr>
        <w:t>On the concept of territorial competitiveness: sound or misleading</w:t>
      </w:r>
      <w:proofErr w:type="gramStart"/>
      <w:r w:rsidRPr="00AB2B25">
        <w:rPr>
          <w:bCs/>
          <w:i/>
        </w:rPr>
        <w:t>?</w:t>
      </w:r>
      <w:r w:rsidRPr="00AB2B25">
        <w:rPr>
          <w:bCs/>
        </w:rPr>
        <w:t>,</w:t>
      </w:r>
      <w:proofErr w:type="gramEnd"/>
      <w:r w:rsidRPr="00AB2B25">
        <w:rPr>
          <w:bCs/>
        </w:rPr>
        <w:t xml:space="preserve"> </w:t>
      </w:r>
      <w:r w:rsidRPr="00AB2B25">
        <w:t>Paper presented at the ERSA Conference, Dortmund, August.</w:t>
      </w:r>
    </w:p>
    <w:p w:rsidR="00E33263" w:rsidRPr="00AB2B25" w:rsidRDefault="00E33263" w:rsidP="001B4C91">
      <w:pPr>
        <w:pStyle w:val="FootnoteText"/>
        <w:jc w:val="both"/>
        <w:rPr>
          <w:sz w:val="24"/>
          <w:szCs w:val="24"/>
        </w:rPr>
      </w:pPr>
      <w:r w:rsidRPr="00AB2B25">
        <w:rPr>
          <w:sz w:val="24"/>
          <w:szCs w:val="24"/>
        </w:rPr>
        <w:t xml:space="preserve">Mihaela-Nona Chilian (2013), </w:t>
      </w:r>
      <w:r w:rsidRPr="00AB2B25">
        <w:rPr>
          <w:i/>
          <w:sz w:val="24"/>
          <w:szCs w:val="24"/>
        </w:rPr>
        <w:t>Coeziunea economico-socială la nivel regional – Elemente de fundamentare a unei strategii naţionale</w:t>
      </w:r>
      <w:r w:rsidRPr="00AB2B25">
        <w:rPr>
          <w:sz w:val="24"/>
          <w:szCs w:val="24"/>
        </w:rPr>
        <w:t>, Editura Expert, Bucureşti, România.</w:t>
      </w:r>
    </w:p>
    <w:p w:rsidR="00E33263" w:rsidRPr="00AB2B25" w:rsidRDefault="00E33263" w:rsidP="001B4C91">
      <w:pPr>
        <w:pStyle w:val="FootnoteText"/>
        <w:jc w:val="both"/>
        <w:rPr>
          <w:sz w:val="24"/>
          <w:szCs w:val="24"/>
        </w:rPr>
      </w:pPr>
      <w:r w:rsidRPr="00AB2B25">
        <w:rPr>
          <w:sz w:val="24"/>
          <w:szCs w:val="24"/>
        </w:rPr>
        <w:t xml:space="preserve">M.N. Chilian (2012), Evolution of Regional and Sub-Regional Disparities in Romania – A Sectoral Shift-Share Analysis, </w:t>
      </w:r>
      <w:r w:rsidRPr="00AB2B25">
        <w:rPr>
          <w:i/>
          <w:sz w:val="24"/>
          <w:szCs w:val="24"/>
        </w:rPr>
        <w:t>Romanian Journal of Economic Forecasting</w:t>
      </w:r>
      <w:r w:rsidRPr="00AB2B25">
        <w:rPr>
          <w:sz w:val="24"/>
          <w:szCs w:val="24"/>
        </w:rPr>
        <w:t>, Vol. XV, No. 1, pp. 187-204.</w:t>
      </w:r>
    </w:p>
    <w:p w:rsidR="00E33263" w:rsidRPr="00AB2B25" w:rsidRDefault="00E33263" w:rsidP="00C148D1">
      <w:pPr>
        <w:jc w:val="both"/>
      </w:pPr>
      <w:r w:rsidRPr="00AB2B25">
        <w:t>M.N. Chilian (2011), Competitivitatea economiei româneşti şi integrarea în Uniunea Europeană, Editura Universitară, Bucureşti, 2011.</w:t>
      </w:r>
    </w:p>
    <w:p w:rsidR="00E33263" w:rsidRPr="00AB2B25" w:rsidRDefault="00E33263" w:rsidP="001B4C91">
      <w:pPr>
        <w:jc w:val="both"/>
      </w:pPr>
      <w:r w:rsidRPr="00AB2B25">
        <w:t>Marioara Iordan (coordonator) (2013),</w:t>
      </w:r>
      <w:r w:rsidRPr="00AB2B25">
        <w:rPr>
          <w:i/>
        </w:rPr>
        <w:t xml:space="preserve"> Coeziunea economico-socială în România din perspectiva Strategiei Europa 2020</w:t>
      </w:r>
      <w:r w:rsidRPr="00AB2B25">
        <w:t xml:space="preserve"> – Institutul de Prognoză Economică, Bucure</w:t>
      </w:r>
      <w:r w:rsidR="009A2664">
        <w:t>ş</w:t>
      </w:r>
      <w:r w:rsidRPr="00AB2B25">
        <w:t xml:space="preserve">ti, manuscris. </w:t>
      </w:r>
    </w:p>
    <w:p w:rsidR="00E33263" w:rsidRPr="00AB2B25" w:rsidRDefault="00E33263" w:rsidP="001B4C91">
      <w:pPr>
        <w:jc w:val="both"/>
        <w:rPr>
          <w:iCs/>
        </w:rPr>
      </w:pPr>
      <w:proofErr w:type="gramStart"/>
      <w:r w:rsidRPr="00AB2B25">
        <w:t xml:space="preserve">Sandy Dall’erba, </w:t>
      </w:r>
      <w:r w:rsidRPr="00AB2B25">
        <w:rPr>
          <w:iCs/>
        </w:rPr>
        <w:t xml:space="preserve">Yiannis Kamarianakis, Julie Le Gallo, Maria Plotnikova (2003), </w:t>
      </w:r>
      <w:r w:rsidRPr="00AB2B25">
        <w:rPr>
          <w:i/>
          <w:iCs/>
        </w:rPr>
        <w:t>Regional Productivity Differentials in Poland, Hungary and the Czech Republic</w:t>
      </w:r>
      <w:r w:rsidRPr="00AB2B25">
        <w:rPr>
          <w:iCs/>
        </w:rPr>
        <w:t>, REAL 03-T-26, August.</w:t>
      </w:r>
      <w:proofErr w:type="gramEnd"/>
    </w:p>
    <w:p w:rsidR="00E33263" w:rsidRPr="00AB2B25" w:rsidRDefault="00E33263" w:rsidP="001B4C91">
      <w:pPr>
        <w:jc w:val="both"/>
      </w:pPr>
      <w:r w:rsidRPr="00AB2B25">
        <w:t xml:space="preserve">A. Gardiner, R. Martin, P. Tyler (2004), </w:t>
      </w:r>
      <w:r w:rsidRPr="00AB2B25">
        <w:rPr>
          <w:bCs/>
          <w:i/>
        </w:rPr>
        <w:t>Competitiveness,</w:t>
      </w:r>
      <w:r w:rsidRPr="00AB2B25">
        <w:rPr>
          <w:bCs/>
        </w:rPr>
        <w:t xml:space="preserve"> </w:t>
      </w:r>
      <w:r w:rsidRPr="00AB2B25">
        <w:rPr>
          <w:bCs/>
          <w:i/>
        </w:rPr>
        <w:t>Productivity and Economic Growth across the European Regions</w:t>
      </w:r>
      <w:r w:rsidRPr="00AB2B25">
        <w:rPr>
          <w:bCs/>
        </w:rPr>
        <w:t>, University of Cambridge, UK, May.</w:t>
      </w:r>
    </w:p>
    <w:p w:rsidR="00E33263" w:rsidRPr="00AB2B25" w:rsidRDefault="00E33263" w:rsidP="001B4C91">
      <w:pPr>
        <w:autoSpaceDE w:val="0"/>
        <w:autoSpaceDN w:val="0"/>
        <w:adjustRightInd w:val="0"/>
        <w:jc w:val="both"/>
        <w:rPr>
          <w:bCs/>
        </w:rPr>
      </w:pPr>
      <w:r w:rsidRPr="00AB2B25">
        <w:rPr>
          <w:bCs/>
        </w:rPr>
        <w:lastRenderedPageBreak/>
        <w:t xml:space="preserve">José Luis Iparraguirre D’Elia (2005), Labour Productivity, </w:t>
      </w:r>
      <w:r w:rsidRPr="00AB2B25">
        <w:rPr>
          <w:bCs/>
          <w:i/>
        </w:rPr>
        <w:t>Gross Value Added and Employment by Industry in Northern Ireland. A Structural and Shift-Share Analysis</w:t>
      </w:r>
      <w:r w:rsidRPr="00AB2B25">
        <w:rPr>
          <w:bCs/>
        </w:rPr>
        <w:t>, Economic Research Institute of Northern Ireland ERINI Monograph 6, December.</w:t>
      </w:r>
    </w:p>
    <w:p w:rsidR="00E33263" w:rsidRPr="00AB2B25" w:rsidRDefault="00E33263" w:rsidP="001B4C91">
      <w:pPr>
        <w:jc w:val="both"/>
      </w:pPr>
      <w:r w:rsidRPr="00AB2B25">
        <w:rPr>
          <w:iCs/>
        </w:rPr>
        <w:t>Yiannis Kamarianakis, Julie Le Gallo (2003),</w:t>
      </w:r>
      <w:r w:rsidRPr="00AB2B25">
        <w:rPr>
          <w:bCs/>
          <w:iCs/>
        </w:rPr>
        <w:t xml:space="preserve"> </w:t>
      </w:r>
      <w:r w:rsidRPr="00AB2B25">
        <w:rPr>
          <w:bCs/>
          <w:i/>
          <w:iCs/>
        </w:rPr>
        <w:t>The evolution of regional productivity disparities in the European Union, 1975-2000</w:t>
      </w:r>
      <w:r w:rsidRPr="00AB2B25">
        <w:rPr>
          <w:iCs/>
        </w:rPr>
        <w:t xml:space="preserve">, </w:t>
      </w:r>
      <w:r w:rsidRPr="00AB2B25">
        <w:rPr>
          <w:bCs/>
          <w:iCs/>
        </w:rPr>
        <w:t>Groupement de Recherches Economiques et Sociales (</w:t>
      </w:r>
      <w:r w:rsidRPr="00AB2B25">
        <w:rPr>
          <w:iCs/>
        </w:rPr>
        <w:t xml:space="preserve">GRES), </w:t>
      </w:r>
      <w:r w:rsidRPr="00AB2B25">
        <w:rPr>
          <w:bCs/>
          <w:iCs/>
        </w:rPr>
        <w:t>Cahiers du GRES</w:t>
      </w:r>
      <w:r w:rsidRPr="00AB2B25">
        <w:rPr>
          <w:bCs/>
        </w:rPr>
        <w:t xml:space="preserve"> 2003-15, </w:t>
      </w:r>
      <w:r w:rsidRPr="00AB2B25">
        <w:t>Décembre.</w:t>
      </w:r>
    </w:p>
    <w:p w:rsidR="00C148D1" w:rsidRPr="00AB2B25" w:rsidRDefault="00C148D1" w:rsidP="00C148D1">
      <w:pPr>
        <w:autoSpaceDE w:val="0"/>
        <w:autoSpaceDN w:val="0"/>
        <w:adjustRightInd w:val="0"/>
        <w:jc w:val="both"/>
      </w:pPr>
      <w:r w:rsidRPr="00AB2B25">
        <w:t xml:space="preserve">Pierre-Yves Leo and Jean Philippe (2005), Business Services, the New Engine of French Regional Growth, </w:t>
      </w:r>
      <w:r w:rsidRPr="00AB2B25">
        <w:rPr>
          <w:i/>
        </w:rPr>
        <w:t>The Service Industries Journal</w:t>
      </w:r>
      <w:r w:rsidRPr="00AB2B25">
        <w:t xml:space="preserve">, Vol. 25, No.2, March, pp.141–161. </w:t>
      </w:r>
    </w:p>
    <w:p w:rsidR="00E33263" w:rsidRPr="00AB2B25" w:rsidRDefault="00E33263" w:rsidP="001B4C91">
      <w:pPr>
        <w:autoSpaceDE w:val="0"/>
        <w:autoSpaceDN w:val="0"/>
        <w:adjustRightInd w:val="0"/>
        <w:jc w:val="both"/>
      </w:pPr>
      <w:r w:rsidRPr="00AB2B25">
        <w:rPr>
          <w:rFonts w:eastAsia="Calibri"/>
        </w:rPr>
        <w:t>Esteban-Marquillas, J.M. (2000) “</w:t>
      </w:r>
      <w:r w:rsidRPr="00AB2B25">
        <w:rPr>
          <w:rFonts w:eastAsia="AdvPSANB"/>
        </w:rPr>
        <w:t>Regional convergence in Europe and the industry mix: a shift-share</w:t>
      </w:r>
      <w:r w:rsidRPr="00AB2B25">
        <w:rPr>
          <w:rFonts w:eastAsia="Calibri"/>
        </w:rPr>
        <w:t xml:space="preserve">”, </w:t>
      </w:r>
      <w:r w:rsidRPr="00AB2B25">
        <w:rPr>
          <w:rFonts w:eastAsia="Calibri"/>
          <w:i/>
          <w:iCs/>
        </w:rPr>
        <w:t>Regional and Urban Economics</w:t>
      </w:r>
      <w:r w:rsidRPr="00AB2B25">
        <w:rPr>
          <w:rFonts w:eastAsia="Calibri"/>
        </w:rPr>
        <w:t>, 30: 253-364.</w:t>
      </w:r>
    </w:p>
    <w:p w:rsidR="00E33263" w:rsidRPr="00AB2B25" w:rsidRDefault="00E33263" w:rsidP="001B4C91">
      <w:pPr>
        <w:autoSpaceDE w:val="0"/>
        <w:autoSpaceDN w:val="0"/>
        <w:adjustRightInd w:val="0"/>
        <w:jc w:val="both"/>
        <w:rPr>
          <w:rFonts w:eastAsia="Calibri"/>
          <w:bCs/>
        </w:rPr>
      </w:pPr>
      <w:r w:rsidRPr="00AB2B25">
        <w:rPr>
          <w:rFonts w:eastAsia="Calibri"/>
        </w:rPr>
        <w:t xml:space="preserve">Matías Mayor Fernández, Ana Jesús López Menéndez (2005), </w:t>
      </w:r>
      <w:proofErr w:type="gramStart"/>
      <w:r w:rsidRPr="00AB2B25">
        <w:rPr>
          <w:rFonts w:eastAsia="Calibri"/>
          <w:bCs/>
          <w:i/>
        </w:rPr>
        <w:t>Spatial</w:t>
      </w:r>
      <w:proofErr w:type="gramEnd"/>
      <w:r w:rsidRPr="00AB2B25">
        <w:rPr>
          <w:rFonts w:eastAsia="Calibri"/>
          <w:bCs/>
          <w:i/>
        </w:rPr>
        <w:t xml:space="preserve"> shift-share analysis: new developments and some findings for the Spanish case</w:t>
      </w:r>
      <w:r w:rsidRPr="00AB2B25">
        <w:rPr>
          <w:rFonts w:eastAsia="Calibri"/>
          <w:bCs/>
        </w:rPr>
        <w:t>, 45th Congress of the European Regional Science Association.</w:t>
      </w:r>
    </w:p>
    <w:p w:rsidR="00E33263" w:rsidRPr="00AB2B25" w:rsidRDefault="00E33263" w:rsidP="001B4C91">
      <w:pPr>
        <w:autoSpaceDE w:val="0"/>
        <w:autoSpaceDN w:val="0"/>
        <w:adjustRightInd w:val="0"/>
        <w:jc w:val="both"/>
        <w:rPr>
          <w:rFonts w:eastAsia="Calibri"/>
          <w:bCs/>
        </w:rPr>
      </w:pPr>
      <w:r w:rsidRPr="00AB2B25">
        <w:rPr>
          <w:rFonts w:eastAsia="Calibri"/>
        </w:rPr>
        <w:t>Matías Mayor Fernández, Ana Jesús López Menéndez (2002),</w:t>
      </w:r>
      <w:r w:rsidRPr="00AB2B25">
        <w:rPr>
          <w:rFonts w:eastAsia="Calibri"/>
          <w:b/>
          <w:bCs/>
        </w:rPr>
        <w:t xml:space="preserve"> </w:t>
      </w:r>
      <w:proofErr w:type="gramStart"/>
      <w:r w:rsidRPr="00AB2B25">
        <w:rPr>
          <w:rFonts w:eastAsia="Calibri"/>
          <w:bCs/>
          <w:i/>
        </w:rPr>
        <w:t>The</w:t>
      </w:r>
      <w:proofErr w:type="gramEnd"/>
      <w:r w:rsidRPr="00AB2B25">
        <w:rPr>
          <w:rFonts w:eastAsia="Calibri"/>
          <w:bCs/>
          <w:i/>
        </w:rPr>
        <w:t xml:space="preserve"> Evolution of the Employment in the European Union. A Stochastic Shift and Share Approach</w:t>
      </w:r>
      <w:r w:rsidRPr="00AB2B25">
        <w:rPr>
          <w:rFonts w:eastAsia="Calibri"/>
          <w:bCs/>
        </w:rPr>
        <w:t>, ERSA Congress, Dortmund.</w:t>
      </w:r>
    </w:p>
    <w:p w:rsidR="00E33263" w:rsidRPr="00AB2B25" w:rsidRDefault="00E33263" w:rsidP="001B4C91">
      <w:pPr>
        <w:autoSpaceDE w:val="0"/>
        <w:autoSpaceDN w:val="0"/>
        <w:adjustRightInd w:val="0"/>
        <w:jc w:val="both"/>
      </w:pPr>
      <w:r w:rsidRPr="00AB2B25">
        <w:t xml:space="preserve">Ann C. Selting, Scott Loveridge (1992), </w:t>
      </w:r>
      <w:r w:rsidRPr="00AB2B25">
        <w:rPr>
          <w:i/>
        </w:rPr>
        <w:t>A Summary of the Literature on Shift-Share Analysis</w:t>
      </w:r>
      <w:r w:rsidRPr="00AB2B25">
        <w:t>, Staff Paper P92-13, Department of Agricultural and Applied Economics, University of Minnesota, St. Paul, Minnesota, USA, June.</w:t>
      </w:r>
    </w:p>
    <w:p w:rsidR="00E33263" w:rsidRPr="00AB2B25" w:rsidRDefault="00E33263" w:rsidP="001B4C91">
      <w:pPr>
        <w:jc w:val="both"/>
      </w:pPr>
      <w:r w:rsidRPr="00AB2B25">
        <w:t xml:space="preserve">David Wadley, Phillip Smith (2003), </w:t>
      </w:r>
      <w:proofErr w:type="gramStart"/>
      <w:r w:rsidRPr="00AB2B25">
        <w:t>Straightening</w:t>
      </w:r>
      <w:proofErr w:type="gramEnd"/>
      <w:r w:rsidRPr="00AB2B25">
        <w:t xml:space="preserve"> up shift-share analysis, </w:t>
      </w:r>
      <w:r w:rsidRPr="00AB2B25">
        <w:rPr>
          <w:i/>
        </w:rPr>
        <w:t>The Annals of Regional Science</w:t>
      </w:r>
      <w:r w:rsidRPr="00AB2B25">
        <w:t xml:space="preserve"> 37:259–261.</w:t>
      </w:r>
    </w:p>
    <w:p w:rsidR="00E33263" w:rsidRPr="00AB2B25" w:rsidRDefault="00E33263" w:rsidP="001B4C91">
      <w:pPr>
        <w:rPr>
          <w:bCs/>
          <w:iCs/>
          <w:color w:val="FF0000"/>
        </w:rPr>
      </w:pPr>
    </w:p>
    <w:p w:rsidR="007A7095" w:rsidRPr="00AB2B25" w:rsidRDefault="007A7095" w:rsidP="001B4C91"/>
    <w:sectPr w:rsidR="007A7095" w:rsidRPr="00AB2B25" w:rsidSect="0013306F">
      <w:headerReference w:type="default" r:id="rId9"/>
      <w:footerReference w:type="default" r:id="rId10"/>
      <w:pgSz w:w="11907" w:h="16839" w:code="9"/>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721" w:rsidRDefault="00047721" w:rsidP="00E33263">
      <w:r>
        <w:separator/>
      </w:r>
    </w:p>
  </w:endnote>
  <w:endnote w:type="continuationSeparator" w:id="0">
    <w:p w:rsidR="00047721" w:rsidRDefault="00047721" w:rsidP="00E33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LDBOA+Garamon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dvPSANB">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7" w:rsidRDefault="00832117">
    <w:pPr>
      <w:pStyle w:val="Footer"/>
      <w:jc w:val="right"/>
    </w:pPr>
  </w:p>
  <w:p w:rsidR="00832117" w:rsidRDefault="008321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721" w:rsidRDefault="00047721" w:rsidP="00E33263">
      <w:r>
        <w:separator/>
      </w:r>
    </w:p>
  </w:footnote>
  <w:footnote w:type="continuationSeparator" w:id="0">
    <w:p w:rsidR="00047721" w:rsidRDefault="00047721" w:rsidP="00E332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117" w:rsidRDefault="00832117">
    <w:pPr>
      <w:pStyle w:val="Header"/>
      <w:jc w:val="right"/>
    </w:pPr>
  </w:p>
  <w:p w:rsidR="00832117" w:rsidRDefault="008321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4CB1"/>
    <w:multiLevelType w:val="hybridMultilevel"/>
    <w:tmpl w:val="521ECFD6"/>
    <w:lvl w:ilvl="0" w:tplc="F2E4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893B36"/>
    <w:multiLevelType w:val="hybridMultilevel"/>
    <w:tmpl w:val="A43AE3FE"/>
    <w:lvl w:ilvl="0" w:tplc="370AD300">
      <w:start w:val="1"/>
      <w:numFmt w:val="bullet"/>
      <w:lvlText w:val=""/>
      <w:lvlJc w:val="left"/>
      <w:pPr>
        <w:tabs>
          <w:tab w:val="num" w:pos="720"/>
        </w:tabs>
        <w:ind w:left="720" w:hanging="360"/>
      </w:pPr>
      <w:rPr>
        <w:rFonts w:ascii="Wingdings" w:hAnsi="Wingdings" w:hint="default"/>
      </w:rPr>
    </w:lvl>
    <w:lvl w:ilvl="1" w:tplc="66903C88" w:tentative="1">
      <w:start w:val="1"/>
      <w:numFmt w:val="bullet"/>
      <w:lvlText w:val=""/>
      <w:lvlJc w:val="left"/>
      <w:pPr>
        <w:tabs>
          <w:tab w:val="num" w:pos="1440"/>
        </w:tabs>
        <w:ind w:left="1440" w:hanging="360"/>
      </w:pPr>
      <w:rPr>
        <w:rFonts w:ascii="Wingdings" w:hAnsi="Wingdings" w:hint="default"/>
      </w:rPr>
    </w:lvl>
    <w:lvl w:ilvl="2" w:tplc="B7BE6A68" w:tentative="1">
      <w:start w:val="1"/>
      <w:numFmt w:val="bullet"/>
      <w:lvlText w:val=""/>
      <w:lvlJc w:val="left"/>
      <w:pPr>
        <w:tabs>
          <w:tab w:val="num" w:pos="2160"/>
        </w:tabs>
        <w:ind w:left="2160" w:hanging="360"/>
      </w:pPr>
      <w:rPr>
        <w:rFonts w:ascii="Wingdings" w:hAnsi="Wingdings" w:hint="default"/>
      </w:rPr>
    </w:lvl>
    <w:lvl w:ilvl="3" w:tplc="8FE011D8" w:tentative="1">
      <w:start w:val="1"/>
      <w:numFmt w:val="bullet"/>
      <w:lvlText w:val=""/>
      <w:lvlJc w:val="left"/>
      <w:pPr>
        <w:tabs>
          <w:tab w:val="num" w:pos="2880"/>
        </w:tabs>
        <w:ind w:left="2880" w:hanging="360"/>
      </w:pPr>
      <w:rPr>
        <w:rFonts w:ascii="Wingdings" w:hAnsi="Wingdings" w:hint="default"/>
      </w:rPr>
    </w:lvl>
    <w:lvl w:ilvl="4" w:tplc="D7D0F416" w:tentative="1">
      <w:start w:val="1"/>
      <w:numFmt w:val="bullet"/>
      <w:lvlText w:val=""/>
      <w:lvlJc w:val="left"/>
      <w:pPr>
        <w:tabs>
          <w:tab w:val="num" w:pos="3600"/>
        </w:tabs>
        <w:ind w:left="3600" w:hanging="360"/>
      </w:pPr>
      <w:rPr>
        <w:rFonts w:ascii="Wingdings" w:hAnsi="Wingdings" w:hint="default"/>
      </w:rPr>
    </w:lvl>
    <w:lvl w:ilvl="5" w:tplc="B74A0404" w:tentative="1">
      <w:start w:val="1"/>
      <w:numFmt w:val="bullet"/>
      <w:lvlText w:val=""/>
      <w:lvlJc w:val="left"/>
      <w:pPr>
        <w:tabs>
          <w:tab w:val="num" w:pos="4320"/>
        </w:tabs>
        <w:ind w:left="4320" w:hanging="360"/>
      </w:pPr>
      <w:rPr>
        <w:rFonts w:ascii="Wingdings" w:hAnsi="Wingdings" w:hint="default"/>
      </w:rPr>
    </w:lvl>
    <w:lvl w:ilvl="6" w:tplc="4E4648B8" w:tentative="1">
      <w:start w:val="1"/>
      <w:numFmt w:val="bullet"/>
      <w:lvlText w:val=""/>
      <w:lvlJc w:val="left"/>
      <w:pPr>
        <w:tabs>
          <w:tab w:val="num" w:pos="5040"/>
        </w:tabs>
        <w:ind w:left="5040" w:hanging="360"/>
      </w:pPr>
      <w:rPr>
        <w:rFonts w:ascii="Wingdings" w:hAnsi="Wingdings" w:hint="default"/>
      </w:rPr>
    </w:lvl>
    <w:lvl w:ilvl="7" w:tplc="2A8C8A7E" w:tentative="1">
      <w:start w:val="1"/>
      <w:numFmt w:val="bullet"/>
      <w:lvlText w:val=""/>
      <w:lvlJc w:val="left"/>
      <w:pPr>
        <w:tabs>
          <w:tab w:val="num" w:pos="5760"/>
        </w:tabs>
        <w:ind w:left="5760" w:hanging="360"/>
      </w:pPr>
      <w:rPr>
        <w:rFonts w:ascii="Wingdings" w:hAnsi="Wingdings" w:hint="default"/>
      </w:rPr>
    </w:lvl>
    <w:lvl w:ilvl="8" w:tplc="9F227246" w:tentative="1">
      <w:start w:val="1"/>
      <w:numFmt w:val="bullet"/>
      <w:lvlText w:val=""/>
      <w:lvlJc w:val="left"/>
      <w:pPr>
        <w:tabs>
          <w:tab w:val="num" w:pos="6480"/>
        </w:tabs>
        <w:ind w:left="6480" w:hanging="360"/>
      </w:pPr>
      <w:rPr>
        <w:rFonts w:ascii="Wingdings" w:hAnsi="Wingdings" w:hint="default"/>
      </w:rPr>
    </w:lvl>
  </w:abstractNum>
  <w:abstractNum w:abstractNumId="2">
    <w:nsid w:val="16E638E7"/>
    <w:multiLevelType w:val="hybridMultilevel"/>
    <w:tmpl w:val="85849290"/>
    <w:lvl w:ilvl="0" w:tplc="4BEC30BA">
      <w:start w:val="1"/>
      <w:numFmt w:val="bullet"/>
      <w:lvlText w:val="•"/>
      <w:lvlJc w:val="left"/>
      <w:pPr>
        <w:tabs>
          <w:tab w:val="num" w:pos="720"/>
        </w:tabs>
        <w:ind w:left="720" w:hanging="360"/>
      </w:pPr>
      <w:rPr>
        <w:rFonts w:ascii="Arial" w:hAnsi="Arial" w:hint="default"/>
      </w:rPr>
    </w:lvl>
    <w:lvl w:ilvl="1" w:tplc="BB66A908" w:tentative="1">
      <w:start w:val="1"/>
      <w:numFmt w:val="bullet"/>
      <w:lvlText w:val="•"/>
      <w:lvlJc w:val="left"/>
      <w:pPr>
        <w:tabs>
          <w:tab w:val="num" w:pos="1440"/>
        </w:tabs>
        <w:ind w:left="1440" w:hanging="360"/>
      </w:pPr>
      <w:rPr>
        <w:rFonts w:ascii="Arial" w:hAnsi="Arial" w:hint="default"/>
      </w:rPr>
    </w:lvl>
    <w:lvl w:ilvl="2" w:tplc="23D29B9A" w:tentative="1">
      <w:start w:val="1"/>
      <w:numFmt w:val="bullet"/>
      <w:lvlText w:val="•"/>
      <w:lvlJc w:val="left"/>
      <w:pPr>
        <w:tabs>
          <w:tab w:val="num" w:pos="2160"/>
        </w:tabs>
        <w:ind w:left="2160" w:hanging="360"/>
      </w:pPr>
      <w:rPr>
        <w:rFonts w:ascii="Arial" w:hAnsi="Arial" w:hint="default"/>
      </w:rPr>
    </w:lvl>
    <w:lvl w:ilvl="3" w:tplc="FD985CCE" w:tentative="1">
      <w:start w:val="1"/>
      <w:numFmt w:val="bullet"/>
      <w:lvlText w:val="•"/>
      <w:lvlJc w:val="left"/>
      <w:pPr>
        <w:tabs>
          <w:tab w:val="num" w:pos="2880"/>
        </w:tabs>
        <w:ind w:left="2880" w:hanging="360"/>
      </w:pPr>
      <w:rPr>
        <w:rFonts w:ascii="Arial" w:hAnsi="Arial" w:hint="default"/>
      </w:rPr>
    </w:lvl>
    <w:lvl w:ilvl="4" w:tplc="9EAE0592" w:tentative="1">
      <w:start w:val="1"/>
      <w:numFmt w:val="bullet"/>
      <w:lvlText w:val="•"/>
      <w:lvlJc w:val="left"/>
      <w:pPr>
        <w:tabs>
          <w:tab w:val="num" w:pos="3600"/>
        </w:tabs>
        <w:ind w:left="3600" w:hanging="360"/>
      </w:pPr>
      <w:rPr>
        <w:rFonts w:ascii="Arial" w:hAnsi="Arial" w:hint="default"/>
      </w:rPr>
    </w:lvl>
    <w:lvl w:ilvl="5" w:tplc="FFC84432" w:tentative="1">
      <w:start w:val="1"/>
      <w:numFmt w:val="bullet"/>
      <w:lvlText w:val="•"/>
      <w:lvlJc w:val="left"/>
      <w:pPr>
        <w:tabs>
          <w:tab w:val="num" w:pos="4320"/>
        </w:tabs>
        <w:ind w:left="4320" w:hanging="360"/>
      </w:pPr>
      <w:rPr>
        <w:rFonts w:ascii="Arial" w:hAnsi="Arial" w:hint="default"/>
      </w:rPr>
    </w:lvl>
    <w:lvl w:ilvl="6" w:tplc="88FE1E90" w:tentative="1">
      <w:start w:val="1"/>
      <w:numFmt w:val="bullet"/>
      <w:lvlText w:val="•"/>
      <w:lvlJc w:val="left"/>
      <w:pPr>
        <w:tabs>
          <w:tab w:val="num" w:pos="5040"/>
        </w:tabs>
        <w:ind w:left="5040" w:hanging="360"/>
      </w:pPr>
      <w:rPr>
        <w:rFonts w:ascii="Arial" w:hAnsi="Arial" w:hint="default"/>
      </w:rPr>
    </w:lvl>
    <w:lvl w:ilvl="7" w:tplc="CEB0F35C" w:tentative="1">
      <w:start w:val="1"/>
      <w:numFmt w:val="bullet"/>
      <w:lvlText w:val="•"/>
      <w:lvlJc w:val="left"/>
      <w:pPr>
        <w:tabs>
          <w:tab w:val="num" w:pos="5760"/>
        </w:tabs>
        <w:ind w:left="5760" w:hanging="360"/>
      </w:pPr>
      <w:rPr>
        <w:rFonts w:ascii="Arial" w:hAnsi="Arial" w:hint="default"/>
      </w:rPr>
    </w:lvl>
    <w:lvl w:ilvl="8" w:tplc="C0421642" w:tentative="1">
      <w:start w:val="1"/>
      <w:numFmt w:val="bullet"/>
      <w:lvlText w:val="•"/>
      <w:lvlJc w:val="left"/>
      <w:pPr>
        <w:tabs>
          <w:tab w:val="num" w:pos="6480"/>
        </w:tabs>
        <w:ind w:left="6480" w:hanging="360"/>
      </w:pPr>
      <w:rPr>
        <w:rFonts w:ascii="Arial" w:hAnsi="Arial" w:hint="default"/>
      </w:rPr>
    </w:lvl>
  </w:abstractNum>
  <w:abstractNum w:abstractNumId="3">
    <w:nsid w:val="20744AB7"/>
    <w:multiLevelType w:val="hybridMultilevel"/>
    <w:tmpl w:val="EE1C4870"/>
    <w:lvl w:ilvl="0" w:tplc="F4E48B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358B7"/>
    <w:multiLevelType w:val="hybridMultilevel"/>
    <w:tmpl w:val="6D9C6F0C"/>
    <w:lvl w:ilvl="0" w:tplc="83EEA614">
      <w:start w:val="1"/>
      <w:numFmt w:val="bullet"/>
      <w:lvlText w:val=""/>
      <w:lvlJc w:val="left"/>
      <w:pPr>
        <w:tabs>
          <w:tab w:val="num" w:pos="720"/>
        </w:tabs>
        <w:ind w:left="720" w:hanging="360"/>
      </w:pPr>
      <w:rPr>
        <w:rFonts w:ascii="Wingdings" w:hAnsi="Wingdings" w:hint="default"/>
      </w:rPr>
    </w:lvl>
    <w:lvl w:ilvl="1" w:tplc="EAA4325C" w:tentative="1">
      <w:start w:val="1"/>
      <w:numFmt w:val="bullet"/>
      <w:lvlText w:val=""/>
      <w:lvlJc w:val="left"/>
      <w:pPr>
        <w:tabs>
          <w:tab w:val="num" w:pos="1440"/>
        </w:tabs>
        <w:ind w:left="1440" w:hanging="360"/>
      </w:pPr>
      <w:rPr>
        <w:rFonts w:ascii="Wingdings" w:hAnsi="Wingdings" w:hint="default"/>
      </w:rPr>
    </w:lvl>
    <w:lvl w:ilvl="2" w:tplc="7F8237D6" w:tentative="1">
      <w:start w:val="1"/>
      <w:numFmt w:val="bullet"/>
      <w:lvlText w:val=""/>
      <w:lvlJc w:val="left"/>
      <w:pPr>
        <w:tabs>
          <w:tab w:val="num" w:pos="2160"/>
        </w:tabs>
        <w:ind w:left="2160" w:hanging="360"/>
      </w:pPr>
      <w:rPr>
        <w:rFonts w:ascii="Wingdings" w:hAnsi="Wingdings" w:hint="default"/>
      </w:rPr>
    </w:lvl>
    <w:lvl w:ilvl="3" w:tplc="6E90FA18" w:tentative="1">
      <w:start w:val="1"/>
      <w:numFmt w:val="bullet"/>
      <w:lvlText w:val=""/>
      <w:lvlJc w:val="left"/>
      <w:pPr>
        <w:tabs>
          <w:tab w:val="num" w:pos="2880"/>
        </w:tabs>
        <w:ind w:left="2880" w:hanging="360"/>
      </w:pPr>
      <w:rPr>
        <w:rFonts w:ascii="Wingdings" w:hAnsi="Wingdings" w:hint="default"/>
      </w:rPr>
    </w:lvl>
    <w:lvl w:ilvl="4" w:tplc="323A6CB8" w:tentative="1">
      <w:start w:val="1"/>
      <w:numFmt w:val="bullet"/>
      <w:lvlText w:val=""/>
      <w:lvlJc w:val="left"/>
      <w:pPr>
        <w:tabs>
          <w:tab w:val="num" w:pos="3600"/>
        </w:tabs>
        <w:ind w:left="3600" w:hanging="360"/>
      </w:pPr>
      <w:rPr>
        <w:rFonts w:ascii="Wingdings" w:hAnsi="Wingdings" w:hint="default"/>
      </w:rPr>
    </w:lvl>
    <w:lvl w:ilvl="5" w:tplc="6AE41174" w:tentative="1">
      <w:start w:val="1"/>
      <w:numFmt w:val="bullet"/>
      <w:lvlText w:val=""/>
      <w:lvlJc w:val="left"/>
      <w:pPr>
        <w:tabs>
          <w:tab w:val="num" w:pos="4320"/>
        </w:tabs>
        <w:ind w:left="4320" w:hanging="360"/>
      </w:pPr>
      <w:rPr>
        <w:rFonts w:ascii="Wingdings" w:hAnsi="Wingdings" w:hint="default"/>
      </w:rPr>
    </w:lvl>
    <w:lvl w:ilvl="6" w:tplc="D2EC3DF4" w:tentative="1">
      <w:start w:val="1"/>
      <w:numFmt w:val="bullet"/>
      <w:lvlText w:val=""/>
      <w:lvlJc w:val="left"/>
      <w:pPr>
        <w:tabs>
          <w:tab w:val="num" w:pos="5040"/>
        </w:tabs>
        <w:ind w:left="5040" w:hanging="360"/>
      </w:pPr>
      <w:rPr>
        <w:rFonts w:ascii="Wingdings" w:hAnsi="Wingdings" w:hint="default"/>
      </w:rPr>
    </w:lvl>
    <w:lvl w:ilvl="7" w:tplc="44BA0590" w:tentative="1">
      <w:start w:val="1"/>
      <w:numFmt w:val="bullet"/>
      <w:lvlText w:val=""/>
      <w:lvlJc w:val="left"/>
      <w:pPr>
        <w:tabs>
          <w:tab w:val="num" w:pos="5760"/>
        </w:tabs>
        <w:ind w:left="5760" w:hanging="360"/>
      </w:pPr>
      <w:rPr>
        <w:rFonts w:ascii="Wingdings" w:hAnsi="Wingdings" w:hint="default"/>
      </w:rPr>
    </w:lvl>
    <w:lvl w:ilvl="8" w:tplc="C2CEDB62" w:tentative="1">
      <w:start w:val="1"/>
      <w:numFmt w:val="bullet"/>
      <w:lvlText w:val=""/>
      <w:lvlJc w:val="left"/>
      <w:pPr>
        <w:tabs>
          <w:tab w:val="num" w:pos="6480"/>
        </w:tabs>
        <w:ind w:left="6480" w:hanging="360"/>
      </w:pPr>
      <w:rPr>
        <w:rFonts w:ascii="Wingdings" w:hAnsi="Wingdings" w:hint="default"/>
      </w:rPr>
    </w:lvl>
  </w:abstractNum>
  <w:abstractNum w:abstractNumId="5">
    <w:nsid w:val="276201D6"/>
    <w:multiLevelType w:val="hybridMultilevel"/>
    <w:tmpl w:val="FBBA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638A7"/>
    <w:multiLevelType w:val="hybridMultilevel"/>
    <w:tmpl w:val="5F66237C"/>
    <w:lvl w:ilvl="0" w:tplc="D54AFC58">
      <w:start w:val="1"/>
      <w:numFmt w:val="bullet"/>
      <w:lvlText w:val="•"/>
      <w:lvlJc w:val="left"/>
      <w:pPr>
        <w:tabs>
          <w:tab w:val="num" w:pos="720"/>
        </w:tabs>
        <w:ind w:left="720" w:hanging="360"/>
      </w:pPr>
      <w:rPr>
        <w:rFonts w:ascii="Arial" w:hAnsi="Arial" w:hint="default"/>
      </w:rPr>
    </w:lvl>
    <w:lvl w:ilvl="1" w:tplc="5668433E" w:tentative="1">
      <w:start w:val="1"/>
      <w:numFmt w:val="bullet"/>
      <w:lvlText w:val="•"/>
      <w:lvlJc w:val="left"/>
      <w:pPr>
        <w:tabs>
          <w:tab w:val="num" w:pos="1440"/>
        </w:tabs>
        <w:ind w:left="1440" w:hanging="360"/>
      </w:pPr>
      <w:rPr>
        <w:rFonts w:ascii="Arial" w:hAnsi="Arial" w:hint="default"/>
      </w:rPr>
    </w:lvl>
    <w:lvl w:ilvl="2" w:tplc="06CE464E" w:tentative="1">
      <w:start w:val="1"/>
      <w:numFmt w:val="bullet"/>
      <w:lvlText w:val="•"/>
      <w:lvlJc w:val="left"/>
      <w:pPr>
        <w:tabs>
          <w:tab w:val="num" w:pos="2160"/>
        </w:tabs>
        <w:ind w:left="2160" w:hanging="360"/>
      </w:pPr>
      <w:rPr>
        <w:rFonts w:ascii="Arial" w:hAnsi="Arial" w:hint="default"/>
      </w:rPr>
    </w:lvl>
    <w:lvl w:ilvl="3" w:tplc="847C15AE" w:tentative="1">
      <w:start w:val="1"/>
      <w:numFmt w:val="bullet"/>
      <w:lvlText w:val="•"/>
      <w:lvlJc w:val="left"/>
      <w:pPr>
        <w:tabs>
          <w:tab w:val="num" w:pos="2880"/>
        </w:tabs>
        <w:ind w:left="2880" w:hanging="360"/>
      </w:pPr>
      <w:rPr>
        <w:rFonts w:ascii="Arial" w:hAnsi="Arial" w:hint="default"/>
      </w:rPr>
    </w:lvl>
    <w:lvl w:ilvl="4" w:tplc="30E4293A" w:tentative="1">
      <w:start w:val="1"/>
      <w:numFmt w:val="bullet"/>
      <w:lvlText w:val="•"/>
      <w:lvlJc w:val="left"/>
      <w:pPr>
        <w:tabs>
          <w:tab w:val="num" w:pos="3600"/>
        </w:tabs>
        <w:ind w:left="3600" w:hanging="360"/>
      </w:pPr>
      <w:rPr>
        <w:rFonts w:ascii="Arial" w:hAnsi="Arial" w:hint="default"/>
      </w:rPr>
    </w:lvl>
    <w:lvl w:ilvl="5" w:tplc="0E22ABCA" w:tentative="1">
      <w:start w:val="1"/>
      <w:numFmt w:val="bullet"/>
      <w:lvlText w:val="•"/>
      <w:lvlJc w:val="left"/>
      <w:pPr>
        <w:tabs>
          <w:tab w:val="num" w:pos="4320"/>
        </w:tabs>
        <w:ind w:left="4320" w:hanging="360"/>
      </w:pPr>
      <w:rPr>
        <w:rFonts w:ascii="Arial" w:hAnsi="Arial" w:hint="default"/>
      </w:rPr>
    </w:lvl>
    <w:lvl w:ilvl="6" w:tplc="EB62B638" w:tentative="1">
      <w:start w:val="1"/>
      <w:numFmt w:val="bullet"/>
      <w:lvlText w:val="•"/>
      <w:lvlJc w:val="left"/>
      <w:pPr>
        <w:tabs>
          <w:tab w:val="num" w:pos="5040"/>
        </w:tabs>
        <w:ind w:left="5040" w:hanging="360"/>
      </w:pPr>
      <w:rPr>
        <w:rFonts w:ascii="Arial" w:hAnsi="Arial" w:hint="default"/>
      </w:rPr>
    </w:lvl>
    <w:lvl w:ilvl="7" w:tplc="F230A618" w:tentative="1">
      <w:start w:val="1"/>
      <w:numFmt w:val="bullet"/>
      <w:lvlText w:val="•"/>
      <w:lvlJc w:val="left"/>
      <w:pPr>
        <w:tabs>
          <w:tab w:val="num" w:pos="5760"/>
        </w:tabs>
        <w:ind w:left="5760" w:hanging="360"/>
      </w:pPr>
      <w:rPr>
        <w:rFonts w:ascii="Arial" w:hAnsi="Arial" w:hint="default"/>
      </w:rPr>
    </w:lvl>
    <w:lvl w:ilvl="8" w:tplc="6046F53C" w:tentative="1">
      <w:start w:val="1"/>
      <w:numFmt w:val="bullet"/>
      <w:lvlText w:val="•"/>
      <w:lvlJc w:val="left"/>
      <w:pPr>
        <w:tabs>
          <w:tab w:val="num" w:pos="6480"/>
        </w:tabs>
        <w:ind w:left="6480" w:hanging="360"/>
      </w:pPr>
      <w:rPr>
        <w:rFonts w:ascii="Arial" w:hAnsi="Arial" w:hint="default"/>
      </w:rPr>
    </w:lvl>
  </w:abstractNum>
  <w:abstractNum w:abstractNumId="7">
    <w:nsid w:val="43DE4F6F"/>
    <w:multiLevelType w:val="hybridMultilevel"/>
    <w:tmpl w:val="30BE53C0"/>
    <w:lvl w:ilvl="0" w:tplc="6CB86680">
      <w:start w:val="1"/>
      <w:numFmt w:val="bullet"/>
      <w:lvlText w:val="•"/>
      <w:lvlJc w:val="left"/>
      <w:pPr>
        <w:tabs>
          <w:tab w:val="num" w:pos="720"/>
        </w:tabs>
        <w:ind w:left="720" w:hanging="360"/>
      </w:pPr>
      <w:rPr>
        <w:rFonts w:ascii="Arial" w:hAnsi="Arial" w:hint="default"/>
      </w:rPr>
    </w:lvl>
    <w:lvl w:ilvl="1" w:tplc="B64E4E2E" w:tentative="1">
      <w:start w:val="1"/>
      <w:numFmt w:val="bullet"/>
      <w:lvlText w:val="•"/>
      <w:lvlJc w:val="left"/>
      <w:pPr>
        <w:tabs>
          <w:tab w:val="num" w:pos="1440"/>
        </w:tabs>
        <w:ind w:left="1440" w:hanging="360"/>
      </w:pPr>
      <w:rPr>
        <w:rFonts w:ascii="Arial" w:hAnsi="Arial" w:hint="default"/>
      </w:rPr>
    </w:lvl>
    <w:lvl w:ilvl="2" w:tplc="BBE0204C" w:tentative="1">
      <w:start w:val="1"/>
      <w:numFmt w:val="bullet"/>
      <w:lvlText w:val="•"/>
      <w:lvlJc w:val="left"/>
      <w:pPr>
        <w:tabs>
          <w:tab w:val="num" w:pos="2160"/>
        </w:tabs>
        <w:ind w:left="2160" w:hanging="360"/>
      </w:pPr>
      <w:rPr>
        <w:rFonts w:ascii="Arial" w:hAnsi="Arial" w:hint="default"/>
      </w:rPr>
    </w:lvl>
    <w:lvl w:ilvl="3" w:tplc="8F949FB6" w:tentative="1">
      <w:start w:val="1"/>
      <w:numFmt w:val="bullet"/>
      <w:lvlText w:val="•"/>
      <w:lvlJc w:val="left"/>
      <w:pPr>
        <w:tabs>
          <w:tab w:val="num" w:pos="2880"/>
        </w:tabs>
        <w:ind w:left="2880" w:hanging="360"/>
      </w:pPr>
      <w:rPr>
        <w:rFonts w:ascii="Arial" w:hAnsi="Arial" w:hint="default"/>
      </w:rPr>
    </w:lvl>
    <w:lvl w:ilvl="4" w:tplc="B6DCB4D2" w:tentative="1">
      <w:start w:val="1"/>
      <w:numFmt w:val="bullet"/>
      <w:lvlText w:val="•"/>
      <w:lvlJc w:val="left"/>
      <w:pPr>
        <w:tabs>
          <w:tab w:val="num" w:pos="3600"/>
        </w:tabs>
        <w:ind w:left="3600" w:hanging="360"/>
      </w:pPr>
      <w:rPr>
        <w:rFonts w:ascii="Arial" w:hAnsi="Arial" w:hint="default"/>
      </w:rPr>
    </w:lvl>
    <w:lvl w:ilvl="5" w:tplc="67C8C528" w:tentative="1">
      <w:start w:val="1"/>
      <w:numFmt w:val="bullet"/>
      <w:lvlText w:val="•"/>
      <w:lvlJc w:val="left"/>
      <w:pPr>
        <w:tabs>
          <w:tab w:val="num" w:pos="4320"/>
        </w:tabs>
        <w:ind w:left="4320" w:hanging="360"/>
      </w:pPr>
      <w:rPr>
        <w:rFonts w:ascii="Arial" w:hAnsi="Arial" w:hint="default"/>
      </w:rPr>
    </w:lvl>
    <w:lvl w:ilvl="6" w:tplc="12F20B48" w:tentative="1">
      <w:start w:val="1"/>
      <w:numFmt w:val="bullet"/>
      <w:lvlText w:val="•"/>
      <w:lvlJc w:val="left"/>
      <w:pPr>
        <w:tabs>
          <w:tab w:val="num" w:pos="5040"/>
        </w:tabs>
        <w:ind w:left="5040" w:hanging="360"/>
      </w:pPr>
      <w:rPr>
        <w:rFonts w:ascii="Arial" w:hAnsi="Arial" w:hint="default"/>
      </w:rPr>
    </w:lvl>
    <w:lvl w:ilvl="7" w:tplc="126AE636" w:tentative="1">
      <w:start w:val="1"/>
      <w:numFmt w:val="bullet"/>
      <w:lvlText w:val="•"/>
      <w:lvlJc w:val="left"/>
      <w:pPr>
        <w:tabs>
          <w:tab w:val="num" w:pos="5760"/>
        </w:tabs>
        <w:ind w:left="5760" w:hanging="360"/>
      </w:pPr>
      <w:rPr>
        <w:rFonts w:ascii="Arial" w:hAnsi="Arial" w:hint="default"/>
      </w:rPr>
    </w:lvl>
    <w:lvl w:ilvl="8" w:tplc="24B807C4" w:tentative="1">
      <w:start w:val="1"/>
      <w:numFmt w:val="bullet"/>
      <w:lvlText w:val="•"/>
      <w:lvlJc w:val="left"/>
      <w:pPr>
        <w:tabs>
          <w:tab w:val="num" w:pos="6480"/>
        </w:tabs>
        <w:ind w:left="6480" w:hanging="360"/>
      </w:pPr>
      <w:rPr>
        <w:rFonts w:ascii="Arial" w:hAnsi="Arial" w:hint="default"/>
      </w:rPr>
    </w:lvl>
  </w:abstractNum>
  <w:abstractNum w:abstractNumId="8">
    <w:nsid w:val="52747559"/>
    <w:multiLevelType w:val="hybridMultilevel"/>
    <w:tmpl w:val="1396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DD345F"/>
    <w:multiLevelType w:val="hybridMultilevel"/>
    <w:tmpl w:val="B5225650"/>
    <w:lvl w:ilvl="0" w:tplc="C1403010">
      <w:start w:val="1"/>
      <w:numFmt w:val="bullet"/>
      <w:lvlText w:val="•"/>
      <w:lvlJc w:val="left"/>
      <w:pPr>
        <w:tabs>
          <w:tab w:val="num" w:pos="720"/>
        </w:tabs>
        <w:ind w:left="720" w:hanging="360"/>
      </w:pPr>
      <w:rPr>
        <w:rFonts w:ascii="Arial" w:hAnsi="Arial" w:hint="default"/>
      </w:rPr>
    </w:lvl>
    <w:lvl w:ilvl="1" w:tplc="4E6609C8" w:tentative="1">
      <w:start w:val="1"/>
      <w:numFmt w:val="bullet"/>
      <w:lvlText w:val="•"/>
      <w:lvlJc w:val="left"/>
      <w:pPr>
        <w:tabs>
          <w:tab w:val="num" w:pos="1440"/>
        </w:tabs>
        <w:ind w:left="1440" w:hanging="360"/>
      </w:pPr>
      <w:rPr>
        <w:rFonts w:ascii="Arial" w:hAnsi="Arial" w:hint="default"/>
      </w:rPr>
    </w:lvl>
    <w:lvl w:ilvl="2" w:tplc="BD502B14" w:tentative="1">
      <w:start w:val="1"/>
      <w:numFmt w:val="bullet"/>
      <w:lvlText w:val="•"/>
      <w:lvlJc w:val="left"/>
      <w:pPr>
        <w:tabs>
          <w:tab w:val="num" w:pos="2160"/>
        </w:tabs>
        <w:ind w:left="2160" w:hanging="360"/>
      </w:pPr>
      <w:rPr>
        <w:rFonts w:ascii="Arial" w:hAnsi="Arial" w:hint="default"/>
      </w:rPr>
    </w:lvl>
    <w:lvl w:ilvl="3" w:tplc="281E691E" w:tentative="1">
      <w:start w:val="1"/>
      <w:numFmt w:val="bullet"/>
      <w:lvlText w:val="•"/>
      <w:lvlJc w:val="left"/>
      <w:pPr>
        <w:tabs>
          <w:tab w:val="num" w:pos="2880"/>
        </w:tabs>
        <w:ind w:left="2880" w:hanging="360"/>
      </w:pPr>
      <w:rPr>
        <w:rFonts w:ascii="Arial" w:hAnsi="Arial" w:hint="default"/>
      </w:rPr>
    </w:lvl>
    <w:lvl w:ilvl="4" w:tplc="361AF0CE" w:tentative="1">
      <w:start w:val="1"/>
      <w:numFmt w:val="bullet"/>
      <w:lvlText w:val="•"/>
      <w:lvlJc w:val="left"/>
      <w:pPr>
        <w:tabs>
          <w:tab w:val="num" w:pos="3600"/>
        </w:tabs>
        <w:ind w:left="3600" w:hanging="360"/>
      </w:pPr>
      <w:rPr>
        <w:rFonts w:ascii="Arial" w:hAnsi="Arial" w:hint="default"/>
      </w:rPr>
    </w:lvl>
    <w:lvl w:ilvl="5" w:tplc="C0843096" w:tentative="1">
      <w:start w:val="1"/>
      <w:numFmt w:val="bullet"/>
      <w:lvlText w:val="•"/>
      <w:lvlJc w:val="left"/>
      <w:pPr>
        <w:tabs>
          <w:tab w:val="num" w:pos="4320"/>
        </w:tabs>
        <w:ind w:left="4320" w:hanging="360"/>
      </w:pPr>
      <w:rPr>
        <w:rFonts w:ascii="Arial" w:hAnsi="Arial" w:hint="default"/>
      </w:rPr>
    </w:lvl>
    <w:lvl w:ilvl="6" w:tplc="6CC0890A" w:tentative="1">
      <w:start w:val="1"/>
      <w:numFmt w:val="bullet"/>
      <w:lvlText w:val="•"/>
      <w:lvlJc w:val="left"/>
      <w:pPr>
        <w:tabs>
          <w:tab w:val="num" w:pos="5040"/>
        </w:tabs>
        <w:ind w:left="5040" w:hanging="360"/>
      </w:pPr>
      <w:rPr>
        <w:rFonts w:ascii="Arial" w:hAnsi="Arial" w:hint="default"/>
      </w:rPr>
    </w:lvl>
    <w:lvl w:ilvl="7" w:tplc="AD4CBA36" w:tentative="1">
      <w:start w:val="1"/>
      <w:numFmt w:val="bullet"/>
      <w:lvlText w:val="•"/>
      <w:lvlJc w:val="left"/>
      <w:pPr>
        <w:tabs>
          <w:tab w:val="num" w:pos="5760"/>
        </w:tabs>
        <w:ind w:left="5760" w:hanging="360"/>
      </w:pPr>
      <w:rPr>
        <w:rFonts w:ascii="Arial" w:hAnsi="Arial" w:hint="default"/>
      </w:rPr>
    </w:lvl>
    <w:lvl w:ilvl="8" w:tplc="2B7ED1A8" w:tentative="1">
      <w:start w:val="1"/>
      <w:numFmt w:val="bullet"/>
      <w:lvlText w:val="•"/>
      <w:lvlJc w:val="left"/>
      <w:pPr>
        <w:tabs>
          <w:tab w:val="num" w:pos="6480"/>
        </w:tabs>
        <w:ind w:left="6480" w:hanging="360"/>
      </w:pPr>
      <w:rPr>
        <w:rFonts w:ascii="Arial" w:hAnsi="Arial" w:hint="default"/>
      </w:rPr>
    </w:lvl>
  </w:abstractNum>
  <w:abstractNum w:abstractNumId="10">
    <w:nsid w:val="56681F00"/>
    <w:multiLevelType w:val="hybridMultilevel"/>
    <w:tmpl w:val="5C825C14"/>
    <w:lvl w:ilvl="0" w:tplc="473E794C">
      <w:start w:val="1"/>
      <w:numFmt w:val="bullet"/>
      <w:lvlText w:val="•"/>
      <w:lvlJc w:val="left"/>
      <w:pPr>
        <w:tabs>
          <w:tab w:val="num" w:pos="720"/>
        </w:tabs>
        <w:ind w:left="720" w:hanging="360"/>
      </w:pPr>
      <w:rPr>
        <w:rFonts w:ascii="Arial" w:hAnsi="Arial" w:hint="default"/>
      </w:rPr>
    </w:lvl>
    <w:lvl w:ilvl="1" w:tplc="B98CE120" w:tentative="1">
      <w:start w:val="1"/>
      <w:numFmt w:val="bullet"/>
      <w:lvlText w:val="•"/>
      <w:lvlJc w:val="left"/>
      <w:pPr>
        <w:tabs>
          <w:tab w:val="num" w:pos="1440"/>
        </w:tabs>
        <w:ind w:left="1440" w:hanging="360"/>
      </w:pPr>
      <w:rPr>
        <w:rFonts w:ascii="Arial" w:hAnsi="Arial" w:hint="default"/>
      </w:rPr>
    </w:lvl>
    <w:lvl w:ilvl="2" w:tplc="2EB8B0FC" w:tentative="1">
      <w:start w:val="1"/>
      <w:numFmt w:val="bullet"/>
      <w:lvlText w:val="•"/>
      <w:lvlJc w:val="left"/>
      <w:pPr>
        <w:tabs>
          <w:tab w:val="num" w:pos="2160"/>
        </w:tabs>
        <w:ind w:left="2160" w:hanging="360"/>
      </w:pPr>
      <w:rPr>
        <w:rFonts w:ascii="Arial" w:hAnsi="Arial" w:hint="default"/>
      </w:rPr>
    </w:lvl>
    <w:lvl w:ilvl="3" w:tplc="50CC1500" w:tentative="1">
      <w:start w:val="1"/>
      <w:numFmt w:val="bullet"/>
      <w:lvlText w:val="•"/>
      <w:lvlJc w:val="left"/>
      <w:pPr>
        <w:tabs>
          <w:tab w:val="num" w:pos="2880"/>
        </w:tabs>
        <w:ind w:left="2880" w:hanging="360"/>
      </w:pPr>
      <w:rPr>
        <w:rFonts w:ascii="Arial" w:hAnsi="Arial" w:hint="default"/>
      </w:rPr>
    </w:lvl>
    <w:lvl w:ilvl="4" w:tplc="27F8DD96" w:tentative="1">
      <w:start w:val="1"/>
      <w:numFmt w:val="bullet"/>
      <w:lvlText w:val="•"/>
      <w:lvlJc w:val="left"/>
      <w:pPr>
        <w:tabs>
          <w:tab w:val="num" w:pos="3600"/>
        </w:tabs>
        <w:ind w:left="3600" w:hanging="360"/>
      </w:pPr>
      <w:rPr>
        <w:rFonts w:ascii="Arial" w:hAnsi="Arial" w:hint="default"/>
      </w:rPr>
    </w:lvl>
    <w:lvl w:ilvl="5" w:tplc="880A6F30" w:tentative="1">
      <w:start w:val="1"/>
      <w:numFmt w:val="bullet"/>
      <w:lvlText w:val="•"/>
      <w:lvlJc w:val="left"/>
      <w:pPr>
        <w:tabs>
          <w:tab w:val="num" w:pos="4320"/>
        </w:tabs>
        <w:ind w:left="4320" w:hanging="360"/>
      </w:pPr>
      <w:rPr>
        <w:rFonts w:ascii="Arial" w:hAnsi="Arial" w:hint="default"/>
      </w:rPr>
    </w:lvl>
    <w:lvl w:ilvl="6" w:tplc="20D614AE" w:tentative="1">
      <w:start w:val="1"/>
      <w:numFmt w:val="bullet"/>
      <w:lvlText w:val="•"/>
      <w:lvlJc w:val="left"/>
      <w:pPr>
        <w:tabs>
          <w:tab w:val="num" w:pos="5040"/>
        </w:tabs>
        <w:ind w:left="5040" w:hanging="360"/>
      </w:pPr>
      <w:rPr>
        <w:rFonts w:ascii="Arial" w:hAnsi="Arial" w:hint="default"/>
      </w:rPr>
    </w:lvl>
    <w:lvl w:ilvl="7" w:tplc="B73C1CCE" w:tentative="1">
      <w:start w:val="1"/>
      <w:numFmt w:val="bullet"/>
      <w:lvlText w:val="•"/>
      <w:lvlJc w:val="left"/>
      <w:pPr>
        <w:tabs>
          <w:tab w:val="num" w:pos="5760"/>
        </w:tabs>
        <w:ind w:left="5760" w:hanging="360"/>
      </w:pPr>
      <w:rPr>
        <w:rFonts w:ascii="Arial" w:hAnsi="Arial" w:hint="default"/>
      </w:rPr>
    </w:lvl>
    <w:lvl w:ilvl="8" w:tplc="59D6D66C" w:tentative="1">
      <w:start w:val="1"/>
      <w:numFmt w:val="bullet"/>
      <w:lvlText w:val="•"/>
      <w:lvlJc w:val="left"/>
      <w:pPr>
        <w:tabs>
          <w:tab w:val="num" w:pos="6480"/>
        </w:tabs>
        <w:ind w:left="6480" w:hanging="360"/>
      </w:pPr>
      <w:rPr>
        <w:rFonts w:ascii="Arial" w:hAnsi="Arial" w:hint="default"/>
      </w:rPr>
    </w:lvl>
  </w:abstractNum>
  <w:abstractNum w:abstractNumId="11">
    <w:nsid w:val="5D1D6830"/>
    <w:multiLevelType w:val="hybridMultilevel"/>
    <w:tmpl w:val="DE748B92"/>
    <w:lvl w:ilvl="0" w:tplc="FCD2CC4A">
      <w:start w:val="1"/>
      <w:numFmt w:val="lowerRoman"/>
      <w:lvlText w:val="%1)"/>
      <w:lvlJc w:val="left"/>
      <w:pPr>
        <w:ind w:left="1740" w:hanging="9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67B712CD"/>
    <w:multiLevelType w:val="hybridMultilevel"/>
    <w:tmpl w:val="043016A0"/>
    <w:lvl w:ilvl="0" w:tplc="4C2E15AA">
      <w:start w:val="1"/>
      <w:numFmt w:val="bullet"/>
      <w:lvlText w:val="•"/>
      <w:lvlJc w:val="left"/>
      <w:pPr>
        <w:tabs>
          <w:tab w:val="num" w:pos="720"/>
        </w:tabs>
        <w:ind w:left="720" w:hanging="360"/>
      </w:pPr>
      <w:rPr>
        <w:rFonts w:ascii="Arial" w:hAnsi="Arial" w:hint="default"/>
      </w:rPr>
    </w:lvl>
    <w:lvl w:ilvl="1" w:tplc="88B29C54" w:tentative="1">
      <w:start w:val="1"/>
      <w:numFmt w:val="bullet"/>
      <w:lvlText w:val="•"/>
      <w:lvlJc w:val="left"/>
      <w:pPr>
        <w:tabs>
          <w:tab w:val="num" w:pos="1440"/>
        </w:tabs>
        <w:ind w:left="1440" w:hanging="360"/>
      </w:pPr>
      <w:rPr>
        <w:rFonts w:ascii="Arial" w:hAnsi="Arial" w:hint="default"/>
      </w:rPr>
    </w:lvl>
    <w:lvl w:ilvl="2" w:tplc="EDC0A68E" w:tentative="1">
      <w:start w:val="1"/>
      <w:numFmt w:val="bullet"/>
      <w:lvlText w:val="•"/>
      <w:lvlJc w:val="left"/>
      <w:pPr>
        <w:tabs>
          <w:tab w:val="num" w:pos="2160"/>
        </w:tabs>
        <w:ind w:left="2160" w:hanging="360"/>
      </w:pPr>
      <w:rPr>
        <w:rFonts w:ascii="Arial" w:hAnsi="Arial" w:hint="default"/>
      </w:rPr>
    </w:lvl>
    <w:lvl w:ilvl="3" w:tplc="4760C540" w:tentative="1">
      <w:start w:val="1"/>
      <w:numFmt w:val="bullet"/>
      <w:lvlText w:val="•"/>
      <w:lvlJc w:val="left"/>
      <w:pPr>
        <w:tabs>
          <w:tab w:val="num" w:pos="2880"/>
        </w:tabs>
        <w:ind w:left="2880" w:hanging="360"/>
      </w:pPr>
      <w:rPr>
        <w:rFonts w:ascii="Arial" w:hAnsi="Arial" w:hint="default"/>
      </w:rPr>
    </w:lvl>
    <w:lvl w:ilvl="4" w:tplc="BBB0F9AE" w:tentative="1">
      <w:start w:val="1"/>
      <w:numFmt w:val="bullet"/>
      <w:lvlText w:val="•"/>
      <w:lvlJc w:val="left"/>
      <w:pPr>
        <w:tabs>
          <w:tab w:val="num" w:pos="3600"/>
        </w:tabs>
        <w:ind w:left="3600" w:hanging="360"/>
      </w:pPr>
      <w:rPr>
        <w:rFonts w:ascii="Arial" w:hAnsi="Arial" w:hint="default"/>
      </w:rPr>
    </w:lvl>
    <w:lvl w:ilvl="5" w:tplc="0CC8CCEC" w:tentative="1">
      <w:start w:val="1"/>
      <w:numFmt w:val="bullet"/>
      <w:lvlText w:val="•"/>
      <w:lvlJc w:val="left"/>
      <w:pPr>
        <w:tabs>
          <w:tab w:val="num" w:pos="4320"/>
        </w:tabs>
        <w:ind w:left="4320" w:hanging="360"/>
      </w:pPr>
      <w:rPr>
        <w:rFonts w:ascii="Arial" w:hAnsi="Arial" w:hint="default"/>
      </w:rPr>
    </w:lvl>
    <w:lvl w:ilvl="6" w:tplc="2134197A" w:tentative="1">
      <w:start w:val="1"/>
      <w:numFmt w:val="bullet"/>
      <w:lvlText w:val="•"/>
      <w:lvlJc w:val="left"/>
      <w:pPr>
        <w:tabs>
          <w:tab w:val="num" w:pos="5040"/>
        </w:tabs>
        <w:ind w:left="5040" w:hanging="360"/>
      </w:pPr>
      <w:rPr>
        <w:rFonts w:ascii="Arial" w:hAnsi="Arial" w:hint="default"/>
      </w:rPr>
    </w:lvl>
    <w:lvl w:ilvl="7" w:tplc="B60ECF8C" w:tentative="1">
      <w:start w:val="1"/>
      <w:numFmt w:val="bullet"/>
      <w:lvlText w:val="•"/>
      <w:lvlJc w:val="left"/>
      <w:pPr>
        <w:tabs>
          <w:tab w:val="num" w:pos="5760"/>
        </w:tabs>
        <w:ind w:left="5760" w:hanging="360"/>
      </w:pPr>
      <w:rPr>
        <w:rFonts w:ascii="Arial" w:hAnsi="Arial" w:hint="default"/>
      </w:rPr>
    </w:lvl>
    <w:lvl w:ilvl="8" w:tplc="BF165A9C" w:tentative="1">
      <w:start w:val="1"/>
      <w:numFmt w:val="bullet"/>
      <w:lvlText w:val="•"/>
      <w:lvlJc w:val="left"/>
      <w:pPr>
        <w:tabs>
          <w:tab w:val="num" w:pos="6480"/>
        </w:tabs>
        <w:ind w:left="6480" w:hanging="360"/>
      </w:pPr>
      <w:rPr>
        <w:rFonts w:ascii="Arial" w:hAnsi="Arial" w:hint="default"/>
      </w:rPr>
    </w:lvl>
  </w:abstractNum>
  <w:abstractNum w:abstractNumId="13">
    <w:nsid w:val="79395D8A"/>
    <w:multiLevelType w:val="hybridMultilevel"/>
    <w:tmpl w:val="935EFFF8"/>
    <w:lvl w:ilvl="0" w:tplc="9872B208">
      <w:start w:val="1"/>
      <w:numFmt w:val="bullet"/>
      <w:lvlText w:val="•"/>
      <w:lvlJc w:val="left"/>
      <w:pPr>
        <w:tabs>
          <w:tab w:val="num" w:pos="720"/>
        </w:tabs>
        <w:ind w:left="720" w:hanging="360"/>
      </w:pPr>
      <w:rPr>
        <w:rFonts w:ascii="Arial" w:hAnsi="Arial" w:hint="default"/>
      </w:rPr>
    </w:lvl>
    <w:lvl w:ilvl="1" w:tplc="5838CA6C" w:tentative="1">
      <w:start w:val="1"/>
      <w:numFmt w:val="bullet"/>
      <w:lvlText w:val="•"/>
      <w:lvlJc w:val="left"/>
      <w:pPr>
        <w:tabs>
          <w:tab w:val="num" w:pos="1440"/>
        </w:tabs>
        <w:ind w:left="1440" w:hanging="360"/>
      </w:pPr>
      <w:rPr>
        <w:rFonts w:ascii="Arial" w:hAnsi="Arial" w:hint="default"/>
      </w:rPr>
    </w:lvl>
    <w:lvl w:ilvl="2" w:tplc="44D897D0" w:tentative="1">
      <w:start w:val="1"/>
      <w:numFmt w:val="bullet"/>
      <w:lvlText w:val="•"/>
      <w:lvlJc w:val="left"/>
      <w:pPr>
        <w:tabs>
          <w:tab w:val="num" w:pos="2160"/>
        </w:tabs>
        <w:ind w:left="2160" w:hanging="360"/>
      </w:pPr>
      <w:rPr>
        <w:rFonts w:ascii="Arial" w:hAnsi="Arial" w:hint="default"/>
      </w:rPr>
    </w:lvl>
    <w:lvl w:ilvl="3" w:tplc="A37EB100" w:tentative="1">
      <w:start w:val="1"/>
      <w:numFmt w:val="bullet"/>
      <w:lvlText w:val="•"/>
      <w:lvlJc w:val="left"/>
      <w:pPr>
        <w:tabs>
          <w:tab w:val="num" w:pos="2880"/>
        </w:tabs>
        <w:ind w:left="2880" w:hanging="360"/>
      </w:pPr>
      <w:rPr>
        <w:rFonts w:ascii="Arial" w:hAnsi="Arial" w:hint="default"/>
      </w:rPr>
    </w:lvl>
    <w:lvl w:ilvl="4" w:tplc="E1761432" w:tentative="1">
      <w:start w:val="1"/>
      <w:numFmt w:val="bullet"/>
      <w:lvlText w:val="•"/>
      <w:lvlJc w:val="left"/>
      <w:pPr>
        <w:tabs>
          <w:tab w:val="num" w:pos="3600"/>
        </w:tabs>
        <w:ind w:left="3600" w:hanging="360"/>
      </w:pPr>
      <w:rPr>
        <w:rFonts w:ascii="Arial" w:hAnsi="Arial" w:hint="default"/>
      </w:rPr>
    </w:lvl>
    <w:lvl w:ilvl="5" w:tplc="260C2174" w:tentative="1">
      <w:start w:val="1"/>
      <w:numFmt w:val="bullet"/>
      <w:lvlText w:val="•"/>
      <w:lvlJc w:val="left"/>
      <w:pPr>
        <w:tabs>
          <w:tab w:val="num" w:pos="4320"/>
        </w:tabs>
        <w:ind w:left="4320" w:hanging="360"/>
      </w:pPr>
      <w:rPr>
        <w:rFonts w:ascii="Arial" w:hAnsi="Arial" w:hint="default"/>
      </w:rPr>
    </w:lvl>
    <w:lvl w:ilvl="6" w:tplc="A538EA2E" w:tentative="1">
      <w:start w:val="1"/>
      <w:numFmt w:val="bullet"/>
      <w:lvlText w:val="•"/>
      <w:lvlJc w:val="left"/>
      <w:pPr>
        <w:tabs>
          <w:tab w:val="num" w:pos="5040"/>
        </w:tabs>
        <w:ind w:left="5040" w:hanging="360"/>
      </w:pPr>
      <w:rPr>
        <w:rFonts w:ascii="Arial" w:hAnsi="Arial" w:hint="default"/>
      </w:rPr>
    </w:lvl>
    <w:lvl w:ilvl="7" w:tplc="822C57C0" w:tentative="1">
      <w:start w:val="1"/>
      <w:numFmt w:val="bullet"/>
      <w:lvlText w:val="•"/>
      <w:lvlJc w:val="left"/>
      <w:pPr>
        <w:tabs>
          <w:tab w:val="num" w:pos="5760"/>
        </w:tabs>
        <w:ind w:left="5760" w:hanging="360"/>
      </w:pPr>
      <w:rPr>
        <w:rFonts w:ascii="Arial" w:hAnsi="Arial" w:hint="default"/>
      </w:rPr>
    </w:lvl>
    <w:lvl w:ilvl="8" w:tplc="E428872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5"/>
  </w:num>
  <w:num w:numId="3">
    <w:abstractNumId w:val="0"/>
  </w:num>
  <w:num w:numId="4">
    <w:abstractNumId w:val="3"/>
  </w:num>
  <w:num w:numId="5">
    <w:abstractNumId w:val="2"/>
  </w:num>
  <w:num w:numId="6">
    <w:abstractNumId w:val="13"/>
  </w:num>
  <w:num w:numId="7">
    <w:abstractNumId w:val="7"/>
  </w:num>
  <w:num w:numId="8">
    <w:abstractNumId w:val="12"/>
  </w:num>
  <w:num w:numId="9">
    <w:abstractNumId w:val="1"/>
  </w:num>
  <w:num w:numId="10">
    <w:abstractNumId w:val="10"/>
  </w:num>
  <w:num w:numId="11">
    <w:abstractNumId w:val="9"/>
  </w:num>
  <w:num w:numId="12">
    <w:abstractNumId w:val="6"/>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6774B"/>
    <w:rsid w:val="000057C3"/>
    <w:rsid w:val="00047721"/>
    <w:rsid w:val="000560AD"/>
    <w:rsid w:val="00070F08"/>
    <w:rsid w:val="0010034B"/>
    <w:rsid w:val="0013306F"/>
    <w:rsid w:val="00160747"/>
    <w:rsid w:val="00175A8C"/>
    <w:rsid w:val="00186B7C"/>
    <w:rsid w:val="00194AC3"/>
    <w:rsid w:val="001B4C91"/>
    <w:rsid w:val="001E52F7"/>
    <w:rsid w:val="00230734"/>
    <w:rsid w:val="00254070"/>
    <w:rsid w:val="00350656"/>
    <w:rsid w:val="0036774B"/>
    <w:rsid w:val="00373AC8"/>
    <w:rsid w:val="003B4ED3"/>
    <w:rsid w:val="004018B2"/>
    <w:rsid w:val="00414AFB"/>
    <w:rsid w:val="004C3DEE"/>
    <w:rsid w:val="00532FDC"/>
    <w:rsid w:val="00535D23"/>
    <w:rsid w:val="005C5A1A"/>
    <w:rsid w:val="005D29B2"/>
    <w:rsid w:val="005E067C"/>
    <w:rsid w:val="005E1BA0"/>
    <w:rsid w:val="00601DE9"/>
    <w:rsid w:val="006A6720"/>
    <w:rsid w:val="006D7F55"/>
    <w:rsid w:val="00781F3D"/>
    <w:rsid w:val="007A3E80"/>
    <w:rsid w:val="007A7095"/>
    <w:rsid w:val="00832117"/>
    <w:rsid w:val="00840987"/>
    <w:rsid w:val="00866F21"/>
    <w:rsid w:val="008A1788"/>
    <w:rsid w:val="008A7366"/>
    <w:rsid w:val="008B7833"/>
    <w:rsid w:val="00917BB4"/>
    <w:rsid w:val="0095684E"/>
    <w:rsid w:val="00985326"/>
    <w:rsid w:val="009A2664"/>
    <w:rsid w:val="009C6C95"/>
    <w:rsid w:val="00A451D9"/>
    <w:rsid w:val="00A92381"/>
    <w:rsid w:val="00A942DA"/>
    <w:rsid w:val="00AB2B25"/>
    <w:rsid w:val="00AC7A3B"/>
    <w:rsid w:val="00AE5F46"/>
    <w:rsid w:val="00B74ACF"/>
    <w:rsid w:val="00BB5218"/>
    <w:rsid w:val="00BC3A4A"/>
    <w:rsid w:val="00BF75F2"/>
    <w:rsid w:val="00C148D1"/>
    <w:rsid w:val="00C54209"/>
    <w:rsid w:val="00C61494"/>
    <w:rsid w:val="00CD4C9C"/>
    <w:rsid w:val="00D83EBD"/>
    <w:rsid w:val="00DA02C2"/>
    <w:rsid w:val="00E33263"/>
    <w:rsid w:val="00EB6E71"/>
    <w:rsid w:val="00ED57BB"/>
    <w:rsid w:val="00F37198"/>
    <w:rsid w:val="00F43408"/>
    <w:rsid w:val="00F4654B"/>
    <w:rsid w:val="00F548D4"/>
    <w:rsid w:val="00F66914"/>
    <w:rsid w:val="00F90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74B"/>
    <w:rPr>
      <w:color w:val="0000FF"/>
      <w:u w:val="single"/>
    </w:rPr>
  </w:style>
  <w:style w:type="paragraph" w:styleId="FootnoteText">
    <w:name w:val="footnote text"/>
    <w:aliases w:val="single space,footnote text,FOOTNOTES,fn,Footnote Text Char Char,Fußnote, Char1 Char,Footnote Char1,stile 1,Footnote1,Footnote2,Footnote3,Footnote4,Footnote5,Footnote6,Footnote7,Footnote8,Footnote9,Footnote10"/>
    <w:basedOn w:val="Normal"/>
    <w:link w:val="FootnoteTextChar"/>
    <w:unhideWhenUsed/>
    <w:rsid w:val="00E33263"/>
    <w:rPr>
      <w:sz w:val="20"/>
      <w:szCs w:val="20"/>
    </w:rPr>
  </w:style>
  <w:style w:type="character" w:customStyle="1" w:styleId="FootnoteTextChar">
    <w:name w:val="Footnote Text Char"/>
    <w:aliases w:val="single space Char,footnote text Char,FOOTNOTES Char,fn Char,Footnote Text Char Char Char,Fußnote Char, Char1 Char Char,Footnote Char1 Char,stile 1 Char,Footnote1 Char,Footnote2 Char,Footnote3 Char,Footnote4 Char,Footnote5 Char"/>
    <w:basedOn w:val="DefaultParagraphFont"/>
    <w:link w:val="FootnoteText"/>
    <w:rsid w:val="00E33263"/>
    <w:rPr>
      <w:rFonts w:ascii="Times New Roman" w:eastAsia="Times New Roman" w:hAnsi="Times New Roman"/>
    </w:rPr>
  </w:style>
  <w:style w:type="character" w:styleId="FootnoteReference">
    <w:name w:val="footnote reference"/>
    <w:basedOn w:val="DefaultParagraphFont"/>
    <w:uiPriority w:val="99"/>
    <w:semiHidden/>
    <w:unhideWhenUsed/>
    <w:rsid w:val="00E33263"/>
    <w:rPr>
      <w:vertAlign w:val="superscript"/>
    </w:rPr>
  </w:style>
  <w:style w:type="paragraph" w:customStyle="1" w:styleId="Ttulo">
    <w:name w:val="Título"/>
    <w:basedOn w:val="Normal"/>
    <w:next w:val="Normal"/>
    <w:uiPriority w:val="99"/>
    <w:rsid w:val="00E33263"/>
    <w:pPr>
      <w:autoSpaceDE w:val="0"/>
      <w:autoSpaceDN w:val="0"/>
      <w:adjustRightInd w:val="0"/>
    </w:pPr>
    <w:rPr>
      <w:rFonts w:ascii="DLDBOA+Garamond" w:eastAsia="Calibri" w:hAnsi="DLDBOA+Garamond"/>
    </w:rPr>
  </w:style>
  <w:style w:type="paragraph" w:customStyle="1" w:styleId="Textoindependiente">
    <w:name w:val="Texto independiente"/>
    <w:basedOn w:val="Normal"/>
    <w:next w:val="Normal"/>
    <w:uiPriority w:val="99"/>
    <w:rsid w:val="00E33263"/>
    <w:pPr>
      <w:autoSpaceDE w:val="0"/>
      <w:autoSpaceDN w:val="0"/>
      <w:adjustRightInd w:val="0"/>
    </w:pPr>
    <w:rPr>
      <w:rFonts w:ascii="DLDBOA+Garamond" w:eastAsia="Calibri" w:hAnsi="DLDBOA+Garamond"/>
    </w:rPr>
  </w:style>
  <w:style w:type="paragraph" w:customStyle="1" w:styleId="Default">
    <w:name w:val="Default"/>
    <w:rsid w:val="00E3326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E33263"/>
    <w:pPr>
      <w:tabs>
        <w:tab w:val="center" w:pos="4703"/>
        <w:tab w:val="right" w:pos="9406"/>
      </w:tabs>
    </w:pPr>
  </w:style>
  <w:style w:type="character" w:customStyle="1" w:styleId="HeaderChar">
    <w:name w:val="Header Char"/>
    <w:basedOn w:val="DefaultParagraphFont"/>
    <w:link w:val="Header"/>
    <w:uiPriority w:val="99"/>
    <w:rsid w:val="00E33263"/>
    <w:rPr>
      <w:rFonts w:ascii="Times New Roman" w:eastAsia="Times New Roman" w:hAnsi="Times New Roman"/>
      <w:sz w:val="24"/>
      <w:szCs w:val="24"/>
    </w:rPr>
  </w:style>
  <w:style w:type="paragraph" w:styleId="Footer">
    <w:name w:val="footer"/>
    <w:basedOn w:val="Normal"/>
    <w:link w:val="FooterChar"/>
    <w:uiPriority w:val="99"/>
    <w:unhideWhenUsed/>
    <w:rsid w:val="00E33263"/>
    <w:pPr>
      <w:tabs>
        <w:tab w:val="center" w:pos="4703"/>
        <w:tab w:val="right" w:pos="9406"/>
      </w:tabs>
    </w:pPr>
  </w:style>
  <w:style w:type="character" w:customStyle="1" w:styleId="FooterChar">
    <w:name w:val="Footer Char"/>
    <w:basedOn w:val="DefaultParagraphFont"/>
    <w:link w:val="Footer"/>
    <w:uiPriority w:val="99"/>
    <w:rsid w:val="00E33263"/>
    <w:rPr>
      <w:rFonts w:ascii="Times New Roman" w:eastAsia="Times New Roman" w:hAnsi="Times New Roman"/>
      <w:sz w:val="24"/>
      <w:szCs w:val="24"/>
    </w:rPr>
  </w:style>
  <w:style w:type="character" w:customStyle="1" w:styleId="hps">
    <w:name w:val="hps"/>
    <w:basedOn w:val="DefaultParagraphFont"/>
    <w:rsid w:val="00E33263"/>
  </w:style>
  <w:style w:type="character" w:customStyle="1" w:styleId="atn">
    <w:name w:val="atn"/>
    <w:basedOn w:val="DefaultParagraphFont"/>
    <w:rsid w:val="00E33263"/>
  </w:style>
  <w:style w:type="paragraph" w:styleId="BalloonText">
    <w:name w:val="Balloon Text"/>
    <w:basedOn w:val="Normal"/>
    <w:link w:val="BalloonTextChar"/>
    <w:uiPriority w:val="99"/>
    <w:semiHidden/>
    <w:unhideWhenUsed/>
    <w:rsid w:val="001B4C91"/>
    <w:rPr>
      <w:rFonts w:ascii="Tahoma" w:hAnsi="Tahoma" w:cs="Tahoma"/>
      <w:sz w:val="16"/>
      <w:szCs w:val="16"/>
    </w:rPr>
  </w:style>
  <w:style w:type="character" w:customStyle="1" w:styleId="BalloonTextChar">
    <w:name w:val="Balloon Text Char"/>
    <w:basedOn w:val="DefaultParagraphFont"/>
    <w:link w:val="BalloonText"/>
    <w:uiPriority w:val="99"/>
    <w:semiHidden/>
    <w:rsid w:val="001B4C9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Sesiuni%202015\Prefinale_2.12.2014\Comext_Regio_05-13_TEMA_PLAN_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lineChart>
        <c:grouping val="standard"/>
        <c:ser>
          <c:idx val="0"/>
          <c:order val="0"/>
          <c:tx>
            <c:strRef>
              <c:f>'SSH-RO'!$M$148</c:f>
              <c:strCache>
                <c:ptCount val="1"/>
                <c:pt idx="0">
                  <c:v>NE</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'SSH-RO'!$N$148:$V$148</c:f>
              <c:numCache>
                <c:formatCode>0.0</c:formatCode>
                <c:ptCount val="9"/>
                <c:pt idx="0">
                  <c:v>1840.6569999999999</c:v>
                </c:pt>
                <c:pt idx="1">
                  <c:v>1717.1899999999998</c:v>
                </c:pt>
                <c:pt idx="2">
                  <c:v>1737.8509999999999</c:v>
                </c:pt>
                <c:pt idx="3">
                  <c:v>1553.0150000000001</c:v>
                </c:pt>
                <c:pt idx="4">
                  <c:v>1241.4000000000001</c:v>
                </c:pt>
                <c:pt idx="5">
                  <c:v>1623.1209999999999</c:v>
                </c:pt>
                <c:pt idx="6">
                  <c:v>1977.723</c:v>
                </c:pt>
                <c:pt idx="7">
                  <c:v>2234.2939999999999</c:v>
                </c:pt>
                <c:pt idx="8">
                  <c:v>2328.2619999999997</c:v>
                </c:pt>
              </c:numCache>
            </c:numRef>
          </c:val>
        </c:ser>
        <c:ser>
          <c:idx val="1"/>
          <c:order val="1"/>
          <c:tx>
            <c:strRef>
              <c:f>'SSH-RO'!$M$149</c:f>
              <c:strCache>
                <c:ptCount val="1"/>
                <c:pt idx="0">
                  <c:v>SE</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'SSH-RO'!$N$149:$V$149</c:f>
              <c:numCache>
                <c:formatCode>0.0</c:formatCode>
                <c:ptCount val="9"/>
                <c:pt idx="0">
                  <c:v>3163.0749999999998</c:v>
                </c:pt>
                <c:pt idx="1">
                  <c:v>3513.9029999999998</c:v>
                </c:pt>
                <c:pt idx="2">
                  <c:v>3969.6089999999936</c:v>
                </c:pt>
                <c:pt idx="3">
                  <c:v>4513.9220000000014</c:v>
                </c:pt>
                <c:pt idx="4">
                  <c:v>3374.3170000000059</c:v>
                </c:pt>
                <c:pt idx="5">
                  <c:v>4001.299</c:v>
                </c:pt>
                <c:pt idx="6">
                  <c:v>4838.7280000000001</c:v>
                </c:pt>
                <c:pt idx="7">
                  <c:v>4672.1090000000004</c:v>
                </c:pt>
                <c:pt idx="8">
                  <c:v>5083.4570000000003</c:v>
                </c:pt>
              </c:numCache>
            </c:numRef>
          </c:val>
        </c:ser>
        <c:ser>
          <c:idx val="2"/>
          <c:order val="2"/>
          <c:tx>
            <c:strRef>
              <c:f>'SSH-RO'!$M$150</c:f>
              <c:strCache>
                <c:ptCount val="1"/>
                <c:pt idx="0">
                  <c:v>SU</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'SSH-RO'!$N$150:$V$150</c:f>
              <c:numCache>
                <c:formatCode>0.0</c:formatCode>
                <c:ptCount val="9"/>
                <c:pt idx="0">
                  <c:v>2722.2379999999998</c:v>
                </c:pt>
                <c:pt idx="1">
                  <c:v>3640.9270000000001</c:v>
                </c:pt>
                <c:pt idx="2">
                  <c:v>4372.9810000000007</c:v>
                </c:pt>
                <c:pt idx="3">
                  <c:v>4867.8620000000119</c:v>
                </c:pt>
                <c:pt idx="4">
                  <c:v>4798.348</c:v>
                </c:pt>
                <c:pt idx="5">
                  <c:v>6072.6460000000034</c:v>
                </c:pt>
                <c:pt idx="6">
                  <c:v>7626.5389999999998</c:v>
                </c:pt>
                <c:pt idx="7">
                  <c:v>7619.576</c:v>
                </c:pt>
                <c:pt idx="8">
                  <c:v>8065.5869999999995</c:v>
                </c:pt>
              </c:numCache>
            </c:numRef>
          </c:val>
        </c:ser>
        <c:ser>
          <c:idx val="3"/>
          <c:order val="3"/>
          <c:tx>
            <c:strRef>
              <c:f>'SSH-RO'!$M$151</c:f>
              <c:strCache>
                <c:ptCount val="1"/>
                <c:pt idx="0">
                  <c:v>SV</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'SSH-RO'!$N$151:$V$151</c:f>
              <c:numCache>
                <c:formatCode>0.0</c:formatCode>
                <c:ptCount val="9"/>
                <c:pt idx="0">
                  <c:v>1372.8209999999999</c:v>
                </c:pt>
                <c:pt idx="1">
                  <c:v>1781.346</c:v>
                </c:pt>
                <c:pt idx="2">
                  <c:v>2413.29</c:v>
                </c:pt>
                <c:pt idx="3">
                  <c:v>2537.13</c:v>
                </c:pt>
                <c:pt idx="4">
                  <c:v>1637.105</c:v>
                </c:pt>
                <c:pt idx="5">
                  <c:v>1875.4190000000001</c:v>
                </c:pt>
                <c:pt idx="6">
                  <c:v>2254.7069999999931</c:v>
                </c:pt>
                <c:pt idx="7">
                  <c:v>2423.8809999999999</c:v>
                </c:pt>
                <c:pt idx="8">
                  <c:v>2976.739</c:v>
                </c:pt>
              </c:numCache>
            </c:numRef>
          </c:val>
        </c:ser>
        <c:ser>
          <c:idx val="4"/>
          <c:order val="4"/>
          <c:tx>
            <c:strRef>
              <c:f>'SSH-RO'!$M$152</c:f>
              <c:strCache>
                <c:ptCount val="1"/>
                <c:pt idx="0">
                  <c:v>VE</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'SSH-RO'!$N$152:$V$152</c:f>
              <c:numCache>
                <c:formatCode>0.0</c:formatCode>
                <c:ptCount val="9"/>
                <c:pt idx="0">
                  <c:v>3486.2330000000002</c:v>
                </c:pt>
                <c:pt idx="1">
                  <c:v>3969.6639999999998</c:v>
                </c:pt>
                <c:pt idx="2">
                  <c:v>4653.2369999999992</c:v>
                </c:pt>
                <c:pt idx="3">
                  <c:v>4939.7750000000005</c:v>
                </c:pt>
                <c:pt idx="4">
                  <c:v>4114.0730000000003</c:v>
                </c:pt>
                <c:pt idx="5">
                  <c:v>5257.0510000000004</c:v>
                </c:pt>
                <c:pt idx="6">
                  <c:v>6636.6870000000008</c:v>
                </c:pt>
                <c:pt idx="7">
                  <c:v>7015.1520000000119</c:v>
                </c:pt>
                <c:pt idx="8">
                  <c:v>8008.9969999999994</c:v>
                </c:pt>
              </c:numCache>
            </c:numRef>
          </c:val>
        </c:ser>
        <c:ser>
          <c:idx val="5"/>
          <c:order val="5"/>
          <c:tx>
            <c:strRef>
              <c:f>'SSH-RO'!$M$153</c:f>
              <c:strCache>
                <c:ptCount val="1"/>
                <c:pt idx="0">
                  <c:v>NV</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'SSH-RO'!$N$153:$V$153</c:f>
              <c:numCache>
                <c:formatCode>0.0</c:formatCode>
                <c:ptCount val="9"/>
                <c:pt idx="0">
                  <c:v>2499.828</c:v>
                </c:pt>
                <c:pt idx="1">
                  <c:v>3025.3609999999999</c:v>
                </c:pt>
                <c:pt idx="2">
                  <c:v>3186.605</c:v>
                </c:pt>
                <c:pt idx="3">
                  <c:v>3826.0340000000001</c:v>
                </c:pt>
                <c:pt idx="4">
                  <c:v>3900.3930000000064</c:v>
                </c:pt>
                <c:pt idx="5">
                  <c:v>5881.1140000000014</c:v>
                </c:pt>
                <c:pt idx="6">
                  <c:v>7036.1330000000007</c:v>
                </c:pt>
                <c:pt idx="7">
                  <c:v>5523.8630000000003</c:v>
                </c:pt>
                <c:pt idx="8">
                  <c:v>5657.893</c:v>
                </c:pt>
              </c:numCache>
            </c:numRef>
          </c:val>
        </c:ser>
        <c:ser>
          <c:idx val="6"/>
          <c:order val="6"/>
          <c:tx>
            <c:strRef>
              <c:f>'SSH-RO'!$M$154</c:f>
              <c:strCache>
                <c:ptCount val="1"/>
                <c:pt idx="0">
                  <c:v>CE</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'SSH-RO'!$N$154:$V$154</c:f>
              <c:numCache>
                <c:formatCode>0.0</c:formatCode>
                <c:ptCount val="9"/>
                <c:pt idx="0">
                  <c:v>2420.1770000000001</c:v>
                </c:pt>
                <c:pt idx="1">
                  <c:v>3092.6419999999998</c:v>
                </c:pt>
                <c:pt idx="2">
                  <c:v>3864.134</c:v>
                </c:pt>
                <c:pt idx="3">
                  <c:v>4220.5140000000001</c:v>
                </c:pt>
                <c:pt idx="4">
                  <c:v>3599.7279999999987</c:v>
                </c:pt>
                <c:pt idx="5">
                  <c:v>4886.473</c:v>
                </c:pt>
                <c:pt idx="6">
                  <c:v>5799.7330000000002</c:v>
                </c:pt>
                <c:pt idx="7">
                  <c:v>6037.3610000000044</c:v>
                </c:pt>
                <c:pt idx="8">
                  <c:v>6793.0830000000005</c:v>
                </c:pt>
              </c:numCache>
            </c:numRef>
          </c:val>
        </c:ser>
        <c:ser>
          <c:idx val="7"/>
          <c:order val="7"/>
          <c:tx>
            <c:strRef>
              <c:f>'SSH-RO'!$M$155</c:f>
              <c:strCache>
                <c:ptCount val="1"/>
                <c:pt idx="0">
                  <c:v>BIF</c:v>
                </c:pt>
              </c:strCache>
            </c:strRef>
          </c:tx>
          <c:marker>
            <c:symbol val="none"/>
          </c:marker>
          <c:cat>
            <c:numRef>
              <c:f>'SSH-RO'!$N$146:$V$146</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'SSH-RO'!$N$155:$V$155</c:f>
              <c:numCache>
                <c:formatCode>0.0</c:formatCode>
                <c:ptCount val="9"/>
                <c:pt idx="0">
                  <c:v>4729.7070000000003</c:v>
                </c:pt>
                <c:pt idx="1">
                  <c:v>5109.1580000000004</c:v>
                </c:pt>
                <c:pt idx="2">
                  <c:v>5297.4389999999985</c:v>
                </c:pt>
                <c:pt idx="3">
                  <c:v>7048.0520000000024</c:v>
                </c:pt>
                <c:pt idx="4">
                  <c:v>6117.43</c:v>
                </c:pt>
                <c:pt idx="5">
                  <c:v>6976.8670000000002</c:v>
                </c:pt>
                <c:pt idx="6">
                  <c:v>8922.5859999999557</c:v>
                </c:pt>
                <c:pt idx="7">
                  <c:v>9241.8079999999554</c:v>
                </c:pt>
                <c:pt idx="8">
                  <c:v>10211.937</c:v>
                </c:pt>
              </c:numCache>
            </c:numRef>
          </c:val>
        </c:ser>
        <c:marker val="1"/>
        <c:axId val="62634624"/>
        <c:axId val="62644608"/>
      </c:lineChart>
      <c:catAx>
        <c:axId val="62634624"/>
        <c:scaling>
          <c:orientation val="minMax"/>
        </c:scaling>
        <c:axPos val="b"/>
        <c:numFmt formatCode="General" sourceLinked="1"/>
        <c:majorTickMark val="none"/>
        <c:tickLblPos val="nextTo"/>
        <c:crossAx val="62644608"/>
        <c:crosses val="autoZero"/>
        <c:auto val="1"/>
        <c:lblAlgn val="ctr"/>
        <c:lblOffset val="100"/>
      </c:catAx>
      <c:valAx>
        <c:axId val="62644608"/>
        <c:scaling>
          <c:orientation val="minMax"/>
        </c:scaling>
        <c:axPos val="l"/>
        <c:majorGridlines/>
        <c:title>
          <c:tx>
            <c:rich>
              <a:bodyPr/>
              <a:lstStyle/>
              <a:p>
                <a:pPr>
                  <a:defRPr/>
                </a:pPr>
                <a:r>
                  <a:rPr lang="en-US"/>
                  <a:t>Mil. Euro</a:t>
                </a:r>
              </a:p>
            </c:rich>
          </c:tx>
        </c:title>
        <c:numFmt formatCode="0.0" sourceLinked="1"/>
        <c:majorTickMark val="none"/>
        <c:tickLblPos val="nextTo"/>
        <c:crossAx val="6263462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63221-D117-46B4-B20A-74CFD5D6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IPE</Company>
  <LinksUpToDate>false</LinksUpToDate>
  <CharactersWithSpaces>34401</CharactersWithSpaces>
  <SharedDoc>false</SharedDoc>
  <HLinks>
    <vt:vector size="12" baseType="variant">
      <vt:variant>
        <vt:i4>7340107</vt:i4>
      </vt:variant>
      <vt:variant>
        <vt:i4>3</vt:i4>
      </vt:variant>
      <vt:variant>
        <vt:i4>0</vt:i4>
      </vt:variant>
      <vt:variant>
        <vt:i4>5</vt:i4>
      </vt:variant>
      <vt:variant>
        <vt:lpwstr>mailto:nonachilian@hotmail.com</vt:lpwstr>
      </vt:variant>
      <vt:variant>
        <vt:lpwstr/>
      </vt:variant>
      <vt:variant>
        <vt:i4>7405652</vt:i4>
      </vt:variant>
      <vt:variant>
        <vt:i4>0</vt:i4>
      </vt:variant>
      <vt:variant>
        <vt:i4>0</vt:i4>
      </vt:variant>
      <vt:variant>
        <vt:i4>5</vt:i4>
      </vt:variant>
      <vt:variant>
        <vt:lpwstr>mailto:cnona@ipe.ro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5</cp:revision>
  <dcterms:created xsi:type="dcterms:W3CDTF">2015-06-23T11:10:00Z</dcterms:created>
  <dcterms:modified xsi:type="dcterms:W3CDTF">2015-06-23T13:16:00Z</dcterms:modified>
</cp:coreProperties>
</file>