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842" w:rsidRPr="00A57F05" w:rsidRDefault="00AA0AD6" w:rsidP="00AA0AD6">
      <w:pPr>
        <w:spacing w:after="0" w:line="240" w:lineRule="auto"/>
        <w:jc w:val="center"/>
        <w:rPr>
          <w:rFonts w:ascii="Times New Roman" w:hAnsi="Times New Roman" w:cs="Times New Roman"/>
          <w:b/>
          <w:sz w:val="28"/>
          <w:szCs w:val="28"/>
        </w:rPr>
      </w:pPr>
      <w:r w:rsidRPr="00A57F05">
        <w:rPr>
          <w:rFonts w:ascii="Times New Roman" w:hAnsi="Times New Roman" w:cs="Times New Roman"/>
          <w:b/>
          <w:sz w:val="28"/>
          <w:szCs w:val="28"/>
        </w:rPr>
        <w:t>IMPACTUL CRIZEI ECONO</w:t>
      </w:r>
      <w:bookmarkStart w:id="0" w:name="_GoBack"/>
      <w:bookmarkEnd w:id="0"/>
      <w:r w:rsidRPr="00A57F05">
        <w:rPr>
          <w:rFonts w:ascii="Times New Roman" w:hAnsi="Times New Roman" w:cs="Times New Roman"/>
          <w:b/>
          <w:sz w:val="28"/>
          <w:szCs w:val="28"/>
        </w:rPr>
        <w:t>MICE ASUPRA DISPARITĂȚILOR REGIONALE ALE CÂȘTIGURILOR SALARIALE DIN ROMÂNIA</w:t>
      </w:r>
    </w:p>
    <w:p w:rsidR="00AC0FF9" w:rsidRPr="00AC0FF9" w:rsidRDefault="00AC0FF9" w:rsidP="0043716D">
      <w:pPr>
        <w:spacing w:after="0" w:line="240" w:lineRule="auto"/>
        <w:rPr>
          <w:rFonts w:ascii="Times New Roman" w:hAnsi="Times New Roman" w:cs="Times New Roman"/>
          <w:sz w:val="20"/>
          <w:szCs w:val="20"/>
        </w:rPr>
      </w:pPr>
    </w:p>
    <w:p w:rsidR="00790D7F" w:rsidRPr="00A57F05" w:rsidRDefault="00790D7F" w:rsidP="00790D7F">
      <w:pPr>
        <w:spacing w:after="0" w:line="240" w:lineRule="auto"/>
        <w:ind w:firstLine="709"/>
        <w:jc w:val="both"/>
        <w:rPr>
          <w:rFonts w:ascii="Times New Roman" w:hAnsi="Times New Roman" w:cs="Times New Roman"/>
          <w:b/>
          <w:sz w:val="24"/>
          <w:szCs w:val="24"/>
        </w:rPr>
      </w:pPr>
    </w:p>
    <w:p w:rsidR="00790D7F" w:rsidRPr="00A57F05" w:rsidRDefault="00835842" w:rsidP="00790D7F">
      <w:pPr>
        <w:spacing w:after="0" w:line="240" w:lineRule="auto"/>
        <w:ind w:firstLine="709"/>
        <w:jc w:val="both"/>
        <w:rPr>
          <w:rFonts w:ascii="Times New Roman" w:hAnsi="Times New Roman" w:cs="Times New Roman"/>
          <w:b/>
          <w:sz w:val="24"/>
          <w:szCs w:val="24"/>
        </w:rPr>
      </w:pPr>
      <w:r w:rsidRPr="00A57F05">
        <w:rPr>
          <w:rFonts w:ascii="Times New Roman" w:hAnsi="Times New Roman" w:cs="Times New Roman"/>
          <w:b/>
          <w:sz w:val="24"/>
          <w:szCs w:val="24"/>
        </w:rPr>
        <w:t xml:space="preserve">Abstract: </w:t>
      </w:r>
    </w:p>
    <w:p w:rsidR="0093200D" w:rsidRPr="00A57F05" w:rsidRDefault="00835842" w:rsidP="00790D7F">
      <w:pPr>
        <w:spacing w:after="0" w:line="240" w:lineRule="auto"/>
        <w:ind w:firstLine="708"/>
        <w:jc w:val="both"/>
        <w:rPr>
          <w:rFonts w:ascii="Times New Roman" w:hAnsi="Times New Roman" w:cs="Times New Roman"/>
          <w:i/>
          <w:sz w:val="20"/>
          <w:szCs w:val="20"/>
        </w:rPr>
      </w:pPr>
      <w:r w:rsidRPr="00A57F05">
        <w:rPr>
          <w:rFonts w:ascii="Times New Roman" w:hAnsi="Times New Roman" w:cs="Times New Roman"/>
          <w:i/>
          <w:sz w:val="20"/>
          <w:szCs w:val="20"/>
        </w:rPr>
        <w:t xml:space="preserve">După opt ani de la dobândirea statutului de stat membru al U.E., România continuă să înregistreze mari disparități în privința dezvoltării regionale, chiar dacă în ultimii ani finanțările din Fondul European de Dezvoltare Regională au început să devină semnificative. Disparitățile inter și intra-regionale se manifestă atât la nivelul rezultatelor economice agregate, dar și în privința infrastructurii, repartizării teritoriale a sistemului de întreprinderi, a raportului urban/rural, a condițiilor de trai și mai ales al nivelului veniturilor populației. Din păcate proiectele ambițioase de diminuare a disparităților regionale inspirate de politica în domeniu a U.E. au fost curând curmate de declanșarea crizei economice mondiale. În acest context autorii își propun să analizeze disparitățile salariale la nivel regional </w:t>
      </w:r>
      <w:r w:rsidR="00B16CC6" w:rsidRPr="00A57F05">
        <w:rPr>
          <w:rFonts w:ascii="Times New Roman" w:hAnsi="Times New Roman" w:cs="Times New Roman"/>
          <w:i/>
          <w:sz w:val="20"/>
          <w:szCs w:val="20"/>
        </w:rPr>
        <w:t>în</w:t>
      </w:r>
      <w:r w:rsidRPr="00A57F05">
        <w:rPr>
          <w:rFonts w:ascii="Times New Roman" w:hAnsi="Times New Roman" w:cs="Times New Roman"/>
          <w:i/>
          <w:sz w:val="20"/>
          <w:szCs w:val="20"/>
        </w:rPr>
        <w:t xml:space="preserve"> România, respectiv impactul crizei economice asupra dinamicii acestor disparități. </w:t>
      </w:r>
      <w:r w:rsidR="0093200D" w:rsidRPr="00A57F05">
        <w:rPr>
          <w:rFonts w:ascii="Times New Roman" w:hAnsi="Times New Roman" w:cs="Times New Roman"/>
          <w:i/>
          <w:sz w:val="20"/>
          <w:szCs w:val="20"/>
        </w:rPr>
        <w:t xml:space="preserve">Astfel, am încercat să identificăm factorii de influență ai câștigurilor salariale și ai inegalițăților salariale. Pentru pentru analiza econometrică am decis estimarea unui panel de date la nivelul regiunilor de dezvoltare. </w:t>
      </w:r>
      <w:r w:rsidR="00E44139" w:rsidRPr="00A57F05">
        <w:rPr>
          <w:rFonts w:ascii="Times New Roman" w:hAnsi="Times New Roman" w:cs="Times New Roman"/>
          <w:i/>
          <w:sz w:val="20"/>
          <w:szCs w:val="20"/>
        </w:rPr>
        <w:t xml:space="preserve">Variabilele </w:t>
      </w:r>
      <w:r w:rsidR="0085176A" w:rsidRPr="00A57F05">
        <w:rPr>
          <w:rFonts w:ascii="Times New Roman" w:hAnsi="Times New Roman" w:cs="Times New Roman"/>
          <w:i/>
          <w:sz w:val="20"/>
          <w:szCs w:val="20"/>
        </w:rPr>
        <w:t>in</w:t>
      </w:r>
      <w:r w:rsidR="00E44139" w:rsidRPr="00A57F05">
        <w:rPr>
          <w:rFonts w:ascii="Times New Roman" w:hAnsi="Times New Roman" w:cs="Times New Roman"/>
          <w:i/>
          <w:sz w:val="20"/>
          <w:szCs w:val="20"/>
        </w:rPr>
        <w:t>dependente care au intrat în model au fost valoarea adăugată brută, investițiile străine directe, ponderea absolvenților de studii  postliceale şi superioare în totalul populaţiei regiunii și rata inflației. Toți acești indicatori macroeconomici reprezintă elemente de susținere ai politicii de coeziune ce promovează reducerea disparităților</w:t>
      </w:r>
      <w:r w:rsidR="00790D7F" w:rsidRPr="00A57F05">
        <w:rPr>
          <w:rFonts w:ascii="Times New Roman" w:hAnsi="Times New Roman" w:cs="Times New Roman"/>
          <w:i/>
          <w:sz w:val="20"/>
          <w:szCs w:val="20"/>
        </w:rPr>
        <w:t xml:space="preserve"> economice, sociale la nivel regional</w:t>
      </w:r>
      <w:r w:rsidR="00E44139" w:rsidRPr="00A57F05">
        <w:rPr>
          <w:rFonts w:ascii="Times New Roman" w:hAnsi="Times New Roman" w:cs="Times New Roman"/>
          <w:i/>
          <w:sz w:val="20"/>
          <w:szCs w:val="20"/>
        </w:rPr>
        <w:t>.</w:t>
      </w:r>
    </w:p>
    <w:p w:rsidR="00790D7F" w:rsidRPr="00A57F05" w:rsidRDefault="00790D7F" w:rsidP="00790D7F">
      <w:pPr>
        <w:spacing w:after="0" w:line="240" w:lineRule="auto"/>
        <w:ind w:firstLine="708"/>
        <w:jc w:val="both"/>
        <w:rPr>
          <w:rFonts w:ascii="Times New Roman" w:hAnsi="Times New Roman" w:cs="Times New Roman"/>
          <w:i/>
          <w:sz w:val="20"/>
          <w:szCs w:val="20"/>
        </w:rPr>
      </w:pPr>
    </w:p>
    <w:p w:rsidR="00835842" w:rsidRPr="00A57F05" w:rsidRDefault="00AC0FF9" w:rsidP="00790D7F">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Cuvinte cheie</w:t>
      </w:r>
      <w:r w:rsidR="00835842" w:rsidRPr="00A57F05">
        <w:rPr>
          <w:rFonts w:ascii="Times New Roman" w:hAnsi="Times New Roman" w:cs="Times New Roman"/>
          <w:b/>
          <w:sz w:val="20"/>
          <w:szCs w:val="20"/>
        </w:rPr>
        <w:t>:</w:t>
      </w:r>
      <w:r w:rsidR="00835842" w:rsidRPr="00A57F05">
        <w:rPr>
          <w:rFonts w:ascii="Times New Roman" w:hAnsi="Times New Roman" w:cs="Times New Roman"/>
          <w:sz w:val="20"/>
          <w:szCs w:val="20"/>
        </w:rPr>
        <w:t xml:space="preserve"> disparități salariale, indice Gini, nivel de educație, ISD, dezvoltare regională</w:t>
      </w:r>
    </w:p>
    <w:p w:rsidR="00790D7F" w:rsidRPr="00A57F05" w:rsidRDefault="00790D7F" w:rsidP="00790D7F">
      <w:pPr>
        <w:spacing w:after="0" w:line="240" w:lineRule="auto"/>
        <w:rPr>
          <w:rFonts w:ascii="Times New Roman" w:hAnsi="Times New Roman"/>
          <w:b/>
          <w:sz w:val="20"/>
          <w:szCs w:val="20"/>
        </w:rPr>
      </w:pPr>
    </w:p>
    <w:p w:rsidR="00835842" w:rsidRPr="00A57F05" w:rsidRDefault="00AC0FF9" w:rsidP="00790D7F">
      <w:pPr>
        <w:spacing w:after="0" w:line="240" w:lineRule="auto"/>
        <w:rPr>
          <w:rFonts w:ascii="Times New Roman" w:hAnsi="Times New Roman" w:cs="Times New Roman"/>
          <w:color w:val="FF0000"/>
          <w:sz w:val="20"/>
          <w:szCs w:val="20"/>
        </w:rPr>
      </w:pPr>
      <w:r>
        <w:rPr>
          <w:rFonts w:ascii="Times New Roman" w:hAnsi="Times New Roman"/>
          <w:b/>
          <w:sz w:val="20"/>
          <w:szCs w:val="20"/>
        </w:rPr>
        <w:t xml:space="preserve">Clasificare </w:t>
      </w:r>
      <w:r w:rsidR="00835842" w:rsidRPr="00A57F05">
        <w:rPr>
          <w:rFonts w:ascii="Times New Roman" w:hAnsi="Times New Roman"/>
          <w:b/>
          <w:sz w:val="20"/>
          <w:szCs w:val="20"/>
        </w:rPr>
        <w:t xml:space="preserve">JEL: </w:t>
      </w:r>
      <w:r w:rsidR="00835842" w:rsidRPr="00A57F05">
        <w:rPr>
          <w:rFonts w:ascii="Times New Roman" w:hAnsi="Times New Roman"/>
          <w:sz w:val="20"/>
          <w:szCs w:val="20"/>
        </w:rPr>
        <w:t>J31, R23, C23</w:t>
      </w:r>
    </w:p>
    <w:p w:rsidR="00835842" w:rsidRPr="00A57F05" w:rsidRDefault="00835842" w:rsidP="0043716D">
      <w:pPr>
        <w:spacing w:after="0"/>
        <w:rPr>
          <w:rFonts w:ascii="Times New Roman" w:hAnsi="Times New Roman" w:cs="Times New Roman"/>
          <w:color w:val="FF0000"/>
          <w:sz w:val="24"/>
          <w:szCs w:val="24"/>
        </w:rPr>
      </w:pPr>
    </w:p>
    <w:p w:rsidR="00285326" w:rsidRPr="00A57F05" w:rsidRDefault="00285326" w:rsidP="00CE3B21">
      <w:pPr>
        <w:pStyle w:val="ListParagraph"/>
        <w:numPr>
          <w:ilvl w:val="0"/>
          <w:numId w:val="2"/>
        </w:numPr>
        <w:spacing w:after="0" w:line="240" w:lineRule="auto"/>
        <w:rPr>
          <w:rFonts w:ascii="Times New Roman" w:hAnsi="Times New Roman" w:cs="Times New Roman"/>
          <w:b/>
          <w:sz w:val="24"/>
          <w:szCs w:val="24"/>
        </w:rPr>
      </w:pPr>
      <w:r w:rsidRPr="00A57F05">
        <w:rPr>
          <w:rFonts w:ascii="Times New Roman" w:hAnsi="Times New Roman" w:cs="Times New Roman"/>
          <w:b/>
          <w:sz w:val="24"/>
          <w:szCs w:val="24"/>
        </w:rPr>
        <w:t>INTRODUCERE</w:t>
      </w:r>
    </w:p>
    <w:p w:rsidR="00285326" w:rsidRDefault="00285326" w:rsidP="00285326">
      <w:pPr>
        <w:pStyle w:val="ListParagraph"/>
        <w:spacing w:after="0" w:line="240" w:lineRule="auto"/>
        <w:ind w:left="714"/>
        <w:rPr>
          <w:rFonts w:ascii="Times New Roman" w:hAnsi="Times New Roman" w:cs="Times New Roman"/>
          <w:b/>
          <w:sz w:val="24"/>
          <w:szCs w:val="24"/>
        </w:rPr>
      </w:pPr>
    </w:p>
    <w:p w:rsidR="00DF4DEF" w:rsidRPr="0043716D" w:rsidRDefault="00DF4DEF" w:rsidP="004A57E1">
      <w:pPr>
        <w:pStyle w:val="ListParagraph"/>
        <w:spacing w:after="0" w:line="240" w:lineRule="auto"/>
        <w:ind w:left="0" w:firstLine="708"/>
        <w:jc w:val="both"/>
        <w:rPr>
          <w:rFonts w:ascii="Times New Roman" w:hAnsi="Times New Roman" w:cs="Times New Roman"/>
          <w:sz w:val="24"/>
          <w:szCs w:val="24"/>
        </w:rPr>
      </w:pPr>
      <w:r w:rsidRPr="0043716D">
        <w:rPr>
          <w:rFonts w:ascii="Times New Roman" w:hAnsi="Times New Roman" w:cs="Times New Roman"/>
          <w:sz w:val="24"/>
          <w:szCs w:val="24"/>
        </w:rPr>
        <w:t xml:space="preserve">Disparitățile inter-regionale, dar și cele intra-regionale sunt </w:t>
      </w:r>
      <w:r w:rsidR="004A57E1" w:rsidRPr="0043716D">
        <w:rPr>
          <w:rFonts w:ascii="Times New Roman" w:hAnsi="Times New Roman" w:cs="Times New Roman"/>
          <w:sz w:val="24"/>
          <w:szCs w:val="24"/>
        </w:rPr>
        <w:t>determinate de cele mai multe ori de apariția unor concentrări (aglomerări) favorizate atât de elemente exter</w:t>
      </w:r>
      <w:r w:rsidR="009B5D8F" w:rsidRPr="0043716D">
        <w:rPr>
          <w:rFonts w:ascii="Times New Roman" w:hAnsi="Times New Roman" w:cs="Times New Roman"/>
          <w:sz w:val="24"/>
          <w:szCs w:val="24"/>
        </w:rPr>
        <w:t>ne (globalizare, integrare</w:t>
      </w:r>
      <w:r w:rsidR="004A57E1" w:rsidRPr="0043716D">
        <w:rPr>
          <w:rFonts w:ascii="Times New Roman" w:hAnsi="Times New Roman" w:cs="Times New Roman"/>
          <w:sz w:val="24"/>
          <w:szCs w:val="24"/>
        </w:rPr>
        <w:t xml:space="preserve">), cât și interne (poli de creștere/dezvoltare, investiții, clusterizări, etc.). Cel mai frecvent aceste disparități se reflectă la nivelul veniturilor și implicit la al nivelului de trai. </w:t>
      </w:r>
    </w:p>
    <w:p w:rsidR="00A57F05" w:rsidRPr="0043716D" w:rsidRDefault="00A57F05" w:rsidP="00F97682">
      <w:pPr>
        <w:shd w:val="clear" w:color="auto" w:fill="FFFFFF"/>
        <w:spacing w:after="0" w:line="240" w:lineRule="auto"/>
        <w:ind w:firstLine="709"/>
        <w:jc w:val="both"/>
        <w:rPr>
          <w:rFonts w:ascii="Times New Roman" w:eastAsia="Times New Roman" w:hAnsi="Times New Roman" w:cs="Times New Roman"/>
          <w:sz w:val="24"/>
          <w:szCs w:val="24"/>
        </w:rPr>
      </w:pPr>
      <w:r w:rsidRPr="0043716D">
        <w:rPr>
          <w:rFonts w:ascii="Times New Roman" w:eastAsia="Times New Roman" w:hAnsi="Times New Roman" w:cs="Times New Roman"/>
          <w:sz w:val="24"/>
          <w:szCs w:val="24"/>
        </w:rPr>
        <w:t>Problema inegalităților câștigurilor salariale la nivel regional reprezintă un obiectiv prioritar al politicilor regionale promovate la nivelul Uniunii Europene (UE), acest lucru reieșind și din faptul că mai bine de o treime din bugetul UE este alocat politicii de coeziune care are drept scop reducerea disparităților economice, sociale și regionale.</w:t>
      </w:r>
      <w:r w:rsidR="00F97682" w:rsidRPr="0043716D">
        <w:rPr>
          <w:rFonts w:ascii="Times New Roman" w:eastAsia="Times New Roman" w:hAnsi="Times New Roman" w:cs="Times New Roman"/>
          <w:sz w:val="24"/>
          <w:szCs w:val="24"/>
        </w:rPr>
        <w:t xml:space="preserve"> Astfel, d</w:t>
      </w:r>
      <w:r w:rsidRPr="0043716D">
        <w:rPr>
          <w:rFonts w:ascii="Times New Roman" w:eastAsia="Times New Roman" w:hAnsi="Times New Roman" w:cs="Times New Roman"/>
          <w:sz w:val="24"/>
          <w:szCs w:val="24"/>
        </w:rPr>
        <w:t xml:space="preserve">iminuarea inegalitățile salariale este importantă </w:t>
      </w:r>
      <w:r w:rsidR="00F97682" w:rsidRPr="0043716D">
        <w:rPr>
          <w:rFonts w:ascii="Times New Roman" w:eastAsia="Times New Roman" w:hAnsi="Times New Roman" w:cs="Times New Roman"/>
          <w:sz w:val="24"/>
          <w:szCs w:val="24"/>
        </w:rPr>
        <w:t>mai ales</w:t>
      </w:r>
      <w:r w:rsidRPr="0043716D">
        <w:rPr>
          <w:rFonts w:ascii="Times New Roman" w:eastAsia="Times New Roman" w:hAnsi="Times New Roman" w:cs="Times New Roman"/>
          <w:sz w:val="24"/>
          <w:szCs w:val="24"/>
        </w:rPr>
        <w:t xml:space="preserve"> din prisma faptului că ele iau de cele mai multe ori forma unor privațiuni sociale și economice precum, condiții precare de locuit, acces deficitar sau chiar lipsa accesului la educație și sănătate, șomaj, etc. </w:t>
      </w:r>
    </w:p>
    <w:p w:rsidR="00F97682" w:rsidRPr="0043716D" w:rsidRDefault="00DF4DEF" w:rsidP="00AC0FF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43716D">
        <w:rPr>
          <w:rFonts w:ascii="Times New Roman" w:eastAsiaTheme="minorHAnsi" w:hAnsi="Times New Roman" w:cs="Times New Roman"/>
          <w:sz w:val="24"/>
          <w:szCs w:val="24"/>
          <w:lang w:eastAsia="en-US"/>
        </w:rPr>
        <w:t xml:space="preserve">Politicilor de dezvoltare regională vizează atât diminuarea disparităţilor între regiuni, cât şi a disparităţilor din interiorul regiunilor prin crearea unor pieţe regionale funcționale și integrate şi prin utilizarea tuturor resurselor regionale în vederea creșterii gradului </w:t>
      </w:r>
      <w:r w:rsidR="00F97682" w:rsidRPr="0043716D">
        <w:rPr>
          <w:rFonts w:ascii="Times New Roman" w:eastAsiaTheme="minorHAnsi" w:hAnsi="Times New Roman" w:cs="Times New Roman"/>
          <w:sz w:val="24"/>
          <w:szCs w:val="24"/>
          <w:lang w:eastAsia="en-US"/>
        </w:rPr>
        <w:t>de atractivitate, în special investițională.</w:t>
      </w:r>
    </w:p>
    <w:p w:rsidR="00F97682" w:rsidRPr="0043716D" w:rsidRDefault="00F97682" w:rsidP="00373978">
      <w:pPr>
        <w:spacing w:after="0" w:line="240" w:lineRule="auto"/>
        <w:ind w:firstLine="709"/>
        <w:jc w:val="both"/>
        <w:rPr>
          <w:rFonts w:ascii="Times New Roman" w:eastAsia="Calibri" w:hAnsi="Times New Roman" w:cs="Times New Roman"/>
          <w:sz w:val="24"/>
          <w:szCs w:val="24"/>
        </w:rPr>
      </w:pPr>
      <w:r w:rsidRPr="0043716D">
        <w:rPr>
          <w:rFonts w:ascii="Times New Roman" w:eastAsia="Calibri" w:hAnsi="Times New Roman" w:cs="Times New Roman"/>
          <w:sz w:val="24"/>
          <w:szCs w:val="24"/>
        </w:rPr>
        <w:t xml:space="preserve">În literatura de specialitate există numeroase studii </w:t>
      </w:r>
      <w:r w:rsidR="00373978" w:rsidRPr="0043716D">
        <w:rPr>
          <w:rFonts w:ascii="Times New Roman" w:eastAsia="Calibri" w:hAnsi="Times New Roman" w:cs="Times New Roman"/>
          <w:sz w:val="24"/>
          <w:szCs w:val="24"/>
        </w:rPr>
        <w:t xml:space="preserve">empirice </w:t>
      </w:r>
      <w:r w:rsidRPr="0043716D">
        <w:rPr>
          <w:rFonts w:ascii="Times New Roman" w:eastAsia="Calibri" w:hAnsi="Times New Roman" w:cs="Times New Roman"/>
          <w:sz w:val="24"/>
          <w:szCs w:val="24"/>
        </w:rPr>
        <w:t>ce au analizat problema disparităților salariale la nivel regional și au încercat identif</w:t>
      </w:r>
      <w:r w:rsidR="00373978" w:rsidRPr="0043716D">
        <w:rPr>
          <w:rFonts w:ascii="Times New Roman" w:eastAsia="Calibri" w:hAnsi="Times New Roman" w:cs="Times New Roman"/>
          <w:sz w:val="24"/>
          <w:szCs w:val="24"/>
        </w:rPr>
        <w:t>icarea factorilor determinanți. Astfel, printre cei mai importanți factori regăsim globalizarea, inovarea/dezvoltarea, comerțul, dezvoltarea sectorului serviciilor, educația, creşterea participării femeilor pe piaţa forţei de muncă, etc. Există studii care au în vedere și o serie de factori instituționali ce vizează în special piața muncii, precum scăderea sindicalizării, salariul minim și indemnizațiile de șomaj</w:t>
      </w:r>
      <w:r w:rsidRPr="0043716D">
        <w:rPr>
          <w:rFonts w:ascii="Times New Roman" w:eastAsia="Calibri" w:hAnsi="Times New Roman" w:cs="Times New Roman"/>
          <w:sz w:val="24"/>
          <w:szCs w:val="24"/>
        </w:rPr>
        <w:t xml:space="preserve"> (Monastiriotis, 2002).</w:t>
      </w:r>
    </w:p>
    <w:p w:rsidR="006B1416" w:rsidRPr="0043716D" w:rsidRDefault="00373978" w:rsidP="006B1416">
      <w:pPr>
        <w:spacing w:after="0" w:line="240" w:lineRule="auto"/>
        <w:ind w:firstLine="709"/>
        <w:jc w:val="both"/>
        <w:rPr>
          <w:rFonts w:ascii="Times New Roman" w:eastAsia="Calibri" w:hAnsi="Times New Roman" w:cs="Times New Roman"/>
          <w:sz w:val="24"/>
          <w:szCs w:val="24"/>
        </w:rPr>
      </w:pPr>
      <w:r w:rsidRPr="0043716D">
        <w:rPr>
          <w:rFonts w:ascii="Times New Roman" w:eastAsia="Calibri" w:hAnsi="Times New Roman" w:cs="Times New Roman"/>
          <w:sz w:val="24"/>
          <w:szCs w:val="24"/>
        </w:rPr>
        <w:t xml:space="preserve">Analize </w:t>
      </w:r>
      <w:r w:rsidR="006B1416" w:rsidRPr="0043716D">
        <w:rPr>
          <w:rFonts w:ascii="Times New Roman" w:eastAsia="Calibri" w:hAnsi="Times New Roman" w:cs="Times New Roman"/>
          <w:sz w:val="24"/>
          <w:szCs w:val="24"/>
        </w:rPr>
        <w:t xml:space="preserve">realizate </w:t>
      </w:r>
      <w:r w:rsidRPr="0043716D">
        <w:rPr>
          <w:rFonts w:ascii="Times New Roman" w:eastAsia="Calibri" w:hAnsi="Times New Roman" w:cs="Times New Roman"/>
          <w:sz w:val="24"/>
          <w:szCs w:val="24"/>
        </w:rPr>
        <w:t>pentru economia Chinei</w:t>
      </w:r>
      <w:r w:rsidR="006B1416" w:rsidRPr="0043716D">
        <w:rPr>
          <w:rFonts w:ascii="Times New Roman" w:eastAsia="Calibri" w:hAnsi="Times New Roman" w:cs="Times New Roman"/>
          <w:sz w:val="24"/>
          <w:szCs w:val="24"/>
        </w:rPr>
        <w:t xml:space="preserve"> au </w:t>
      </w:r>
      <w:r w:rsidRPr="0043716D">
        <w:rPr>
          <w:rFonts w:ascii="Times New Roman" w:eastAsia="Calibri" w:hAnsi="Times New Roman" w:cs="Times New Roman"/>
          <w:sz w:val="24"/>
          <w:szCs w:val="24"/>
        </w:rPr>
        <w:t>identificat ca principali</w:t>
      </w:r>
      <w:r w:rsidR="006B1416" w:rsidRPr="0043716D">
        <w:rPr>
          <w:rFonts w:ascii="Times New Roman" w:eastAsia="Calibri" w:hAnsi="Times New Roman" w:cs="Times New Roman"/>
          <w:sz w:val="24"/>
          <w:szCs w:val="24"/>
        </w:rPr>
        <w:t xml:space="preserve"> factori determinanţi ai ineg</w:t>
      </w:r>
      <w:r w:rsidR="00FD4133" w:rsidRPr="0043716D">
        <w:rPr>
          <w:rFonts w:ascii="Times New Roman" w:eastAsia="Calibri" w:hAnsi="Times New Roman" w:cs="Times New Roman"/>
          <w:sz w:val="24"/>
          <w:szCs w:val="24"/>
        </w:rPr>
        <w:t>alităţilor inter-regionale:</w:t>
      </w:r>
      <w:r w:rsidR="006B1416" w:rsidRPr="0043716D">
        <w:rPr>
          <w:rFonts w:ascii="Times New Roman" w:eastAsia="Calibri" w:hAnsi="Times New Roman" w:cs="Times New Roman"/>
          <w:sz w:val="24"/>
          <w:szCs w:val="24"/>
        </w:rPr>
        <w:t xml:space="preserve"> nivelul PIB pe locuitor, ponderea industriei în </w:t>
      </w:r>
      <w:r w:rsidR="00FD4133" w:rsidRPr="0043716D">
        <w:rPr>
          <w:rFonts w:ascii="Times New Roman" w:eastAsia="Calibri" w:hAnsi="Times New Roman" w:cs="Times New Roman"/>
          <w:sz w:val="24"/>
          <w:szCs w:val="24"/>
        </w:rPr>
        <w:t>economia</w:t>
      </w:r>
      <w:r w:rsidR="006B1416" w:rsidRPr="0043716D">
        <w:rPr>
          <w:rFonts w:ascii="Times New Roman" w:eastAsia="Calibri" w:hAnsi="Times New Roman" w:cs="Times New Roman"/>
          <w:sz w:val="24"/>
          <w:szCs w:val="24"/>
        </w:rPr>
        <w:t xml:space="preserve"> regiunii, acumularea inegală </w:t>
      </w:r>
      <w:r w:rsidR="00FD4133" w:rsidRPr="0043716D">
        <w:rPr>
          <w:rFonts w:ascii="Times New Roman" w:eastAsia="Calibri" w:hAnsi="Times New Roman" w:cs="Times New Roman"/>
          <w:sz w:val="24"/>
          <w:szCs w:val="24"/>
        </w:rPr>
        <w:t>a investițiilor</w:t>
      </w:r>
      <w:r w:rsidR="006B1416" w:rsidRPr="0043716D">
        <w:rPr>
          <w:rFonts w:ascii="Times New Roman" w:eastAsia="Calibri" w:hAnsi="Times New Roman" w:cs="Times New Roman"/>
          <w:sz w:val="24"/>
          <w:szCs w:val="24"/>
        </w:rPr>
        <w:t xml:space="preserve"> şi gradul de urbanizare (Candelaria et al., 2013).</w:t>
      </w:r>
    </w:p>
    <w:p w:rsidR="00FD4133" w:rsidRPr="0043716D" w:rsidRDefault="00FD4133" w:rsidP="006D7151">
      <w:pPr>
        <w:spacing w:after="0" w:line="240" w:lineRule="auto"/>
        <w:ind w:firstLine="709"/>
        <w:jc w:val="both"/>
        <w:rPr>
          <w:rFonts w:ascii="Times New Roman" w:eastAsia="Calibri" w:hAnsi="Times New Roman" w:cs="Times New Roman"/>
          <w:sz w:val="24"/>
          <w:szCs w:val="24"/>
        </w:rPr>
      </w:pPr>
      <w:r w:rsidRPr="0043716D">
        <w:rPr>
          <w:rFonts w:ascii="Times New Roman" w:eastAsia="Calibri" w:hAnsi="Times New Roman" w:cs="Times New Roman"/>
          <w:sz w:val="24"/>
          <w:szCs w:val="24"/>
        </w:rPr>
        <w:t xml:space="preserve">În ceea ce privește influența creșterii economice asupra inegalităților cȃştigurilor salariale există studii care arată un impact pozitiv, în sensul </w:t>
      </w:r>
      <w:r w:rsidR="004134A1" w:rsidRPr="0043716D">
        <w:rPr>
          <w:rFonts w:ascii="Times New Roman" w:eastAsia="Calibri" w:hAnsi="Times New Roman" w:cs="Times New Roman"/>
          <w:sz w:val="24"/>
          <w:szCs w:val="24"/>
        </w:rPr>
        <w:t>corelării rezultatelor macroeconomice/ productivității muncii cu nivelul câștigurilor</w:t>
      </w:r>
      <w:r w:rsidRPr="0043716D">
        <w:rPr>
          <w:rFonts w:ascii="Times New Roman" w:eastAsia="Calibri" w:hAnsi="Times New Roman" w:cs="Times New Roman"/>
          <w:sz w:val="24"/>
          <w:szCs w:val="24"/>
        </w:rPr>
        <w:t xml:space="preserve"> (Bartik, 1994), </w:t>
      </w:r>
      <w:r w:rsidR="004134A1" w:rsidRPr="0043716D">
        <w:rPr>
          <w:rFonts w:ascii="Times New Roman" w:eastAsia="Calibri" w:hAnsi="Times New Roman" w:cs="Times New Roman"/>
          <w:sz w:val="24"/>
          <w:szCs w:val="24"/>
        </w:rPr>
        <w:t xml:space="preserve">dar și studii care susțin existența unui impact negativ, din prisma faptului că o creștere economică este asociată cu crearea de noi locuri de </w:t>
      </w:r>
      <w:r w:rsidR="004134A1" w:rsidRPr="0043716D">
        <w:rPr>
          <w:rFonts w:ascii="Times New Roman" w:eastAsia="Calibri" w:hAnsi="Times New Roman" w:cs="Times New Roman"/>
          <w:sz w:val="24"/>
          <w:szCs w:val="24"/>
        </w:rPr>
        <w:lastRenderedPageBreak/>
        <w:t>muncă și câștiguri salariale mai reduse, mai ales pentru persoanele slab calificate. (Majumdar şi Partridge, 2009).</w:t>
      </w:r>
    </w:p>
    <w:p w:rsidR="004134A1" w:rsidRPr="0043716D" w:rsidRDefault="004134A1" w:rsidP="004D18E6">
      <w:pPr>
        <w:spacing w:after="0" w:line="240" w:lineRule="auto"/>
        <w:ind w:firstLine="709"/>
        <w:jc w:val="both"/>
        <w:rPr>
          <w:rFonts w:ascii="Times New Roman" w:eastAsia="Calibri" w:hAnsi="Times New Roman" w:cs="Times New Roman"/>
          <w:sz w:val="24"/>
          <w:szCs w:val="24"/>
        </w:rPr>
      </w:pPr>
      <w:r w:rsidRPr="0043716D">
        <w:rPr>
          <w:rFonts w:ascii="Times New Roman" w:eastAsia="Calibri" w:hAnsi="Times New Roman" w:cs="Times New Roman"/>
          <w:sz w:val="24"/>
          <w:szCs w:val="24"/>
        </w:rPr>
        <w:t xml:space="preserve">Există studii care au identificat investiţiile străine directe ca fiind una din cauzele inegalității cȃştigurilor salariale. Astfel, </w:t>
      </w:r>
      <w:r w:rsidR="004D18E6" w:rsidRPr="0043716D">
        <w:rPr>
          <w:rFonts w:ascii="Times New Roman" w:eastAsia="Calibri" w:hAnsi="Times New Roman" w:cs="Times New Roman"/>
          <w:sz w:val="24"/>
          <w:szCs w:val="24"/>
        </w:rPr>
        <w:t xml:space="preserve">chiar dacă de cele mi multe ori </w:t>
      </w:r>
      <w:r w:rsidRPr="0043716D">
        <w:rPr>
          <w:rFonts w:ascii="Times New Roman" w:eastAsia="Calibri" w:hAnsi="Times New Roman" w:cs="Times New Roman"/>
          <w:sz w:val="24"/>
          <w:szCs w:val="24"/>
        </w:rPr>
        <w:t xml:space="preserve">investiţiile străine directe </w:t>
      </w:r>
      <w:r w:rsidR="004D18E6" w:rsidRPr="0043716D">
        <w:rPr>
          <w:rFonts w:ascii="Times New Roman" w:eastAsia="Calibri" w:hAnsi="Times New Roman" w:cs="Times New Roman"/>
          <w:sz w:val="24"/>
          <w:szCs w:val="24"/>
        </w:rPr>
        <w:t>reprezintă motorul dezvoltării economice și implicit al creșterilor de venit, se pare că există și lucrători defavorizați de acestea, mai ales prin prisma faptului că, investiţiile străine directe pot impune competențe specifice și calificări superioare și se pot concentra doar în anumite sectoare economice.</w:t>
      </w:r>
      <w:r w:rsidRPr="0043716D">
        <w:rPr>
          <w:rFonts w:ascii="Times New Roman" w:eastAsia="Calibri" w:hAnsi="Times New Roman" w:cs="Times New Roman"/>
          <w:sz w:val="24"/>
          <w:szCs w:val="24"/>
        </w:rPr>
        <w:t xml:space="preserve"> (Te Velde, 2003). </w:t>
      </w:r>
    </w:p>
    <w:p w:rsidR="00734418" w:rsidRPr="0043716D" w:rsidRDefault="004D18E6" w:rsidP="00B105F6">
      <w:pPr>
        <w:spacing w:after="0" w:line="240" w:lineRule="auto"/>
        <w:ind w:firstLine="708"/>
        <w:jc w:val="both"/>
        <w:rPr>
          <w:rFonts w:ascii="Times New Roman" w:eastAsia="Calibri" w:hAnsi="Times New Roman" w:cs="Times New Roman"/>
          <w:sz w:val="24"/>
          <w:szCs w:val="24"/>
        </w:rPr>
      </w:pPr>
      <w:r w:rsidRPr="0043716D">
        <w:rPr>
          <w:rFonts w:ascii="Times New Roman" w:eastAsia="Calibri" w:hAnsi="Times New Roman" w:cs="Times New Roman"/>
          <w:sz w:val="24"/>
          <w:szCs w:val="24"/>
        </w:rPr>
        <w:t>Educația influențiază disparitățile salariale în special sub aspectul competențelor profesionale și al calificărilor, cu atât mai mult cu cât cei cu un nivel superior de educaţie vor fi atraşi de regiunile mai dezvoltate</w:t>
      </w:r>
      <w:r w:rsidR="00734418" w:rsidRPr="0043716D">
        <w:rPr>
          <w:rFonts w:ascii="Times New Roman" w:eastAsia="Calibri" w:hAnsi="Times New Roman" w:cs="Times New Roman"/>
          <w:sz w:val="24"/>
          <w:szCs w:val="24"/>
        </w:rPr>
        <w:t>, care au și centre universitare mai numeroase și</w:t>
      </w:r>
      <w:r w:rsidRPr="0043716D">
        <w:rPr>
          <w:rFonts w:ascii="Times New Roman" w:eastAsia="Calibri" w:hAnsi="Times New Roman" w:cs="Times New Roman"/>
          <w:sz w:val="24"/>
          <w:szCs w:val="24"/>
        </w:rPr>
        <w:t xml:space="preserve"> care ofer</w:t>
      </w:r>
      <w:r w:rsidR="00734418" w:rsidRPr="0043716D">
        <w:rPr>
          <w:rFonts w:ascii="Times New Roman" w:eastAsia="Calibri" w:hAnsi="Times New Roman" w:cs="Times New Roman"/>
          <w:sz w:val="24"/>
          <w:szCs w:val="24"/>
        </w:rPr>
        <w:t xml:space="preserve">ă mai multe oportunităţi de angajare şi </w:t>
      </w:r>
      <w:r w:rsidRPr="0043716D">
        <w:rPr>
          <w:rFonts w:ascii="Times New Roman" w:eastAsia="Calibri" w:hAnsi="Times New Roman" w:cs="Times New Roman"/>
          <w:sz w:val="24"/>
          <w:szCs w:val="24"/>
        </w:rPr>
        <w:t xml:space="preserve">posturi </w:t>
      </w:r>
      <w:r w:rsidR="00734418" w:rsidRPr="0043716D">
        <w:rPr>
          <w:rFonts w:ascii="Times New Roman" w:eastAsia="Calibri" w:hAnsi="Times New Roman" w:cs="Times New Roman"/>
          <w:sz w:val="24"/>
          <w:szCs w:val="24"/>
        </w:rPr>
        <w:t>mai bine plătite</w:t>
      </w:r>
      <w:r w:rsidR="00B105F6" w:rsidRPr="0043716D">
        <w:rPr>
          <w:rFonts w:ascii="Times New Roman" w:eastAsia="Calibri" w:hAnsi="Times New Roman" w:cs="Times New Roman"/>
          <w:sz w:val="24"/>
          <w:szCs w:val="24"/>
        </w:rPr>
        <w:t xml:space="preserve"> (Bugudui, 2015)</w:t>
      </w:r>
      <w:r w:rsidR="00734418" w:rsidRPr="0043716D">
        <w:rPr>
          <w:rFonts w:ascii="Times New Roman" w:eastAsia="Calibri" w:hAnsi="Times New Roman" w:cs="Times New Roman"/>
          <w:sz w:val="24"/>
          <w:szCs w:val="24"/>
        </w:rPr>
        <w:t xml:space="preserve">. </w:t>
      </w:r>
    </w:p>
    <w:p w:rsidR="006D7151" w:rsidRPr="0043716D" w:rsidRDefault="00B105F6" w:rsidP="006D7151">
      <w:pPr>
        <w:autoSpaceDE w:val="0"/>
        <w:autoSpaceDN w:val="0"/>
        <w:adjustRightInd w:val="0"/>
        <w:spacing w:after="0" w:line="240" w:lineRule="auto"/>
        <w:ind w:firstLine="708"/>
        <w:jc w:val="both"/>
        <w:rPr>
          <w:rFonts w:ascii="Times New Roman" w:hAnsi="Times New Roman" w:cs="Times New Roman"/>
          <w:sz w:val="24"/>
          <w:szCs w:val="24"/>
        </w:rPr>
      </w:pPr>
      <w:r w:rsidRPr="0043716D">
        <w:rPr>
          <w:rFonts w:ascii="Times New Roman" w:hAnsi="Times New Roman" w:cs="Times New Roman"/>
          <w:sz w:val="24"/>
          <w:szCs w:val="24"/>
        </w:rPr>
        <w:t xml:space="preserve">La nivelul Uniunii Europene disparitățile economice și sociale indică decalaje evidente de dezvoltare între regiuni. Problemele cele mai </w:t>
      </w:r>
      <w:r w:rsidR="00BC6402" w:rsidRPr="0043716D">
        <w:rPr>
          <w:rFonts w:ascii="Times New Roman" w:hAnsi="Times New Roman" w:cs="Times New Roman"/>
          <w:sz w:val="24"/>
          <w:szCs w:val="24"/>
        </w:rPr>
        <w:t>mari</w:t>
      </w:r>
      <w:r w:rsidRPr="0043716D">
        <w:rPr>
          <w:rFonts w:ascii="Times New Roman" w:hAnsi="Times New Roman" w:cs="Times New Roman"/>
          <w:sz w:val="24"/>
          <w:szCs w:val="24"/>
        </w:rPr>
        <w:t xml:space="preserve"> </w:t>
      </w:r>
      <w:r w:rsidR="00BC6402" w:rsidRPr="0043716D">
        <w:rPr>
          <w:rFonts w:ascii="Times New Roman" w:hAnsi="Times New Roman" w:cs="Times New Roman"/>
          <w:sz w:val="24"/>
          <w:szCs w:val="24"/>
        </w:rPr>
        <w:t>sunt</w:t>
      </w:r>
      <w:r w:rsidRPr="0043716D">
        <w:rPr>
          <w:rFonts w:ascii="Times New Roman" w:hAnsi="Times New Roman" w:cs="Times New Roman"/>
          <w:sz w:val="24"/>
          <w:szCs w:val="24"/>
        </w:rPr>
        <w:t xml:space="preserve"> în țările al căror PIB/locuitor este </w:t>
      </w:r>
      <w:r w:rsidR="00BC6402" w:rsidRPr="0043716D">
        <w:rPr>
          <w:rFonts w:ascii="Times New Roman" w:hAnsi="Times New Roman" w:cs="Times New Roman"/>
          <w:sz w:val="24"/>
          <w:szCs w:val="24"/>
        </w:rPr>
        <w:t xml:space="preserve">sub media UE </w:t>
      </w:r>
      <w:r w:rsidRPr="0043716D">
        <w:rPr>
          <w:rFonts w:ascii="Times New Roman" w:hAnsi="Times New Roman" w:cs="Times New Roman"/>
          <w:sz w:val="24"/>
          <w:szCs w:val="24"/>
        </w:rPr>
        <w:t xml:space="preserve">și unde chiar și regiunile considerate mai dezvoltate </w:t>
      </w:r>
      <w:r w:rsidR="00BC6402" w:rsidRPr="0043716D">
        <w:rPr>
          <w:rFonts w:ascii="Times New Roman" w:hAnsi="Times New Roman" w:cs="Times New Roman"/>
          <w:sz w:val="24"/>
          <w:szCs w:val="24"/>
        </w:rPr>
        <w:t>nu depășesc media UE la nivelul principalilor indicatori macroeconomici (PIB, investiții, ocupare, etc.)</w:t>
      </w:r>
      <w:r w:rsidR="006D7151" w:rsidRPr="0043716D">
        <w:rPr>
          <w:rFonts w:ascii="Times New Roman" w:hAnsi="Times New Roman" w:cs="Times New Roman"/>
          <w:sz w:val="24"/>
          <w:szCs w:val="24"/>
        </w:rPr>
        <w:t>. În</w:t>
      </w:r>
      <w:r w:rsidR="00BC6402" w:rsidRPr="0043716D">
        <w:rPr>
          <w:rFonts w:ascii="Times New Roman" w:hAnsi="Times New Roman" w:cs="Times New Roman"/>
          <w:sz w:val="24"/>
          <w:szCs w:val="24"/>
        </w:rPr>
        <w:t xml:space="preserve">tr-o situație asemănătoare se regăsește și </w:t>
      </w:r>
      <w:r w:rsidR="006D7151" w:rsidRPr="0043716D">
        <w:rPr>
          <w:rFonts w:ascii="Times New Roman" w:hAnsi="Times New Roman" w:cs="Times New Roman"/>
          <w:sz w:val="24"/>
          <w:szCs w:val="24"/>
        </w:rPr>
        <w:t xml:space="preserve">România, astfel că o analiză a </w:t>
      </w:r>
      <w:r w:rsidR="00BC6402" w:rsidRPr="0043716D">
        <w:rPr>
          <w:rFonts w:ascii="Times New Roman" w:hAnsi="Times New Roman" w:cs="Times New Roman"/>
          <w:sz w:val="24"/>
          <w:szCs w:val="24"/>
        </w:rPr>
        <w:t xml:space="preserve">disparităților </w:t>
      </w:r>
      <w:r w:rsidR="006D7151" w:rsidRPr="0043716D">
        <w:rPr>
          <w:rFonts w:ascii="Times New Roman" w:hAnsi="Times New Roman" w:cs="Times New Roman"/>
          <w:sz w:val="24"/>
          <w:szCs w:val="24"/>
        </w:rPr>
        <w:t xml:space="preserve">câștigurilor salariale în profil </w:t>
      </w:r>
      <w:r w:rsidR="00BC6402" w:rsidRPr="0043716D">
        <w:rPr>
          <w:rFonts w:ascii="Times New Roman" w:hAnsi="Times New Roman" w:cs="Times New Roman"/>
          <w:sz w:val="24"/>
          <w:szCs w:val="24"/>
        </w:rPr>
        <w:t xml:space="preserve">regional, care să surprindă și impactul crizei economice este utilă, mai ales pentru </w:t>
      </w:r>
      <w:r w:rsidR="006D7151" w:rsidRPr="0043716D">
        <w:rPr>
          <w:rFonts w:ascii="Times New Roman" w:hAnsi="Times New Roman" w:cs="Times New Roman"/>
          <w:sz w:val="24"/>
          <w:szCs w:val="24"/>
        </w:rPr>
        <w:t xml:space="preserve">identificarea </w:t>
      </w:r>
      <w:r w:rsidR="00BC6402" w:rsidRPr="0043716D">
        <w:rPr>
          <w:rFonts w:ascii="Times New Roman" w:hAnsi="Times New Roman" w:cs="Times New Roman"/>
          <w:sz w:val="24"/>
          <w:szCs w:val="24"/>
        </w:rPr>
        <w:t xml:space="preserve">principalilor </w:t>
      </w:r>
      <w:r w:rsidR="006D7151" w:rsidRPr="0043716D">
        <w:rPr>
          <w:rFonts w:ascii="Times New Roman" w:hAnsi="Times New Roman" w:cs="Times New Roman"/>
          <w:sz w:val="24"/>
          <w:szCs w:val="24"/>
        </w:rPr>
        <w:t xml:space="preserve">factorilor care pot </w:t>
      </w:r>
      <w:r w:rsidR="00BC6402" w:rsidRPr="0043716D">
        <w:rPr>
          <w:rFonts w:ascii="Times New Roman" w:hAnsi="Times New Roman" w:cs="Times New Roman"/>
          <w:sz w:val="24"/>
          <w:szCs w:val="24"/>
        </w:rPr>
        <w:t>să ajute</w:t>
      </w:r>
      <w:r w:rsidR="006D7151" w:rsidRPr="0043716D">
        <w:rPr>
          <w:rFonts w:ascii="Times New Roman" w:hAnsi="Times New Roman" w:cs="Times New Roman"/>
          <w:sz w:val="24"/>
          <w:szCs w:val="24"/>
        </w:rPr>
        <w:t xml:space="preserve"> la </w:t>
      </w:r>
      <w:r w:rsidR="00BC6402" w:rsidRPr="0043716D">
        <w:rPr>
          <w:rFonts w:ascii="Times New Roman" w:hAnsi="Times New Roman" w:cs="Times New Roman"/>
          <w:sz w:val="24"/>
          <w:szCs w:val="24"/>
        </w:rPr>
        <w:t>îndeplinirea</w:t>
      </w:r>
      <w:r w:rsidR="006D7151" w:rsidRPr="0043716D">
        <w:rPr>
          <w:rFonts w:ascii="Times New Roman" w:hAnsi="Times New Roman" w:cs="Times New Roman"/>
          <w:sz w:val="24"/>
          <w:szCs w:val="24"/>
        </w:rPr>
        <w:t xml:space="preserve"> </w:t>
      </w:r>
      <w:r w:rsidR="00BC6402" w:rsidRPr="0043716D">
        <w:rPr>
          <w:rFonts w:ascii="Times New Roman" w:hAnsi="Times New Roman" w:cs="Times New Roman"/>
          <w:sz w:val="24"/>
          <w:szCs w:val="24"/>
        </w:rPr>
        <w:t>criterilor</w:t>
      </w:r>
      <w:r w:rsidR="006D7151" w:rsidRPr="0043716D">
        <w:rPr>
          <w:rFonts w:ascii="Times New Roman" w:hAnsi="Times New Roman" w:cs="Times New Roman"/>
          <w:sz w:val="24"/>
          <w:szCs w:val="24"/>
        </w:rPr>
        <w:t xml:space="preserve"> de convergență regională. </w:t>
      </w:r>
    </w:p>
    <w:p w:rsidR="00CE3B21" w:rsidRPr="00A57F05" w:rsidRDefault="00CE3B21" w:rsidP="00285326">
      <w:pPr>
        <w:pStyle w:val="ListParagraph"/>
        <w:spacing w:after="0" w:line="240" w:lineRule="auto"/>
        <w:ind w:left="714"/>
        <w:rPr>
          <w:rFonts w:ascii="Times New Roman" w:hAnsi="Times New Roman" w:cs="Times New Roman"/>
          <w:b/>
          <w:sz w:val="24"/>
          <w:szCs w:val="24"/>
        </w:rPr>
      </w:pPr>
    </w:p>
    <w:p w:rsidR="00285326" w:rsidRPr="00A57F05" w:rsidRDefault="00CE3B21" w:rsidP="00CE3B21">
      <w:pPr>
        <w:pStyle w:val="ListParagraph"/>
        <w:numPr>
          <w:ilvl w:val="0"/>
          <w:numId w:val="2"/>
        </w:numPr>
        <w:spacing w:after="0"/>
        <w:jc w:val="both"/>
        <w:rPr>
          <w:rFonts w:ascii="Times New Roman" w:hAnsi="Times New Roman" w:cs="Times New Roman"/>
          <w:b/>
          <w:sz w:val="24"/>
          <w:szCs w:val="24"/>
        </w:rPr>
      </w:pPr>
      <w:r w:rsidRPr="00A57F05">
        <w:rPr>
          <w:rFonts w:ascii="Times New Roman" w:hAnsi="Times New Roman" w:cs="Times New Roman"/>
          <w:b/>
          <w:sz w:val="24"/>
          <w:szCs w:val="24"/>
        </w:rPr>
        <w:t>ANALIZĂ STATISTICĂ</w:t>
      </w:r>
    </w:p>
    <w:p w:rsidR="00076B56" w:rsidRPr="00A57F05" w:rsidRDefault="00076B56" w:rsidP="00076B56">
      <w:pPr>
        <w:spacing w:after="0"/>
        <w:ind w:firstLine="360"/>
        <w:jc w:val="both"/>
        <w:rPr>
          <w:rFonts w:ascii="Times New Roman" w:hAnsi="Times New Roman" w:cs="Times New Roman"/>
          <w:sz w:val="24"/>
          <w:szCs w:val="24"/>
        </w:rPr>
      </w:pPr>
    </w:p>
    <w:p w:rsidR="00CE3B21" w:rsidRPr="00A57F05" w:rsidRDefault="00076B56" w:rsidP="00076B56">
      <w:pPr>
        <w:spacing w:after="0"/>
        <w:ind w:firstLine="360"/>
        <w:jc w:val="both"/>
        <w:rPr>
          <w:rFonts w:ascii="Times New Roman" w:hAnsi="Times New Roman" w:cs="Times New Roman"/>
          <w:sz w:val="24"/>
          <w:szCs w:val="24"/>
        </w:rPr>
      </w:pPr>
      <w:r w:rsidRPr="00A57F05">
        <w:rPr>
          <w:rFonts w:ascii="Times New Roman" w:hAnsi="Times New Roman" w:cs="Times New Roman"/>
          <w:sz w:val="24"/>
          <w:szCs w:val="24"/>
        </w:rPr>
        <w:t xml:space="preserve">Având în vedere faptul că disparitățile regionale sunt rezultatul unui cumul de factori, cum ar fi poziționarea geografică, structura și densitatea populației și mai ales existența unor sisteme economice și sociale defectuoase, </w:t>
      </w:r>
      <w:r w:rsidR="00F557EE" w:rsidRPr="00A57F05">
        <w:rPr>
          <w:rFonts w:ascii="Times New Roman" w:hAnsi="Times New Roman" w:cs="Times New Roman"/>
          <w:sz w:val="24"/>
          <w:szCs w:val="24"/>
        </w:rPr>
        <w:t>atunci politicile</w:t>
      </w:r>
      <w:r w:rsidRPr="00A57F05">
        <w:rPr>
          <w:rFonts w:ascii="Times New Roman" w:hAnsi="Times New Roman" w:cs="Times New Roman"/>
          <w:sz w:val="24"/>
          <w:szCs w:val="24"/>
        </w:rPr>
        <w:t xml:space="preserve"> promova</w:t>
      </w:r>
      <w:r w:rsidR="00F557EE" w:rsidRPr="00A57F05">
        <w:rPr>
          <w:rFonts w:ascii="Times New Roman" w:hAnsi="Times New Roman" w:cs="Times New Roman"/>
          <w:sz w:val="24"/>
          <w:szCs w:val="24"/>
        </w:rPr>
        <w:t>te</w:t>
      </w:r>
      <w:r w:rsidRPr="00A57F05">
        <w:rPr>
          <w:rFonts w:ascii="Times New Roman" w:hAnsi="Times New Roman" w:cs="Times New Roman"/>
          <w:sz w:val="24"/>
          <w:szCs w:val="24"/>
        </w:rPr>
        <w:t xml:space="preserve"> la nivelul regional </w:t>
      </w:r>
      <w:r w:rsidR="00F557EE" w:rsidRPr="00A57F05">
        <w:rPr>
          <w:rFonts w:ascii="Times New Roman" w:hAnsi="Times New Roman" w:cs="Times New Roman"/>
          <w:sz w:val="24"/>
          <w:szCs w:val="24"/>
        </w:rPr>
        <w:t xml:space="preserve">trebuie să pună accent în principal pe valorificarea cât mai eficiență a potențialului fiecărei regiuni, astfel încât să se îmbunătățească nivelul de trai ai fiecărui locuitor. </w:t>
      </w:r>
      <w:r w:rsidR="00F557EE" w:rsidRPr="00A57F05">
        <w:rPr>
          <w:rFonts w:ascii="Times New Roman" w:eastAsia="Times New Roman" w:hAnsi="Times New Roman" w:cs="Times New Roman"/>
          <w:sz w:val="24"/>
          <w:szCs w:val="24"/>
        </w:rPr>
        <w:t xml:space="preserve">Progresele realizare în urma aplicării politicilor de dezvoltare regională </w:t>
      </w:r>
      <w:r w:rsidR="00F557EE" w:rsidRPr="00A57F05">
        <w:rPr>
          <w:rFonts w:ascii="Times New Roman" w:hAnsi="Times New Roman" w:cs="Times New Roman"/>
          <w:sz w:val="24"/>
          <w:szCs w:val="24"/>
        </w:rPr>
        <w:t>sunt măsurate printr-o serie de indicatori specifici, cum ar fi: nivelul PIB-ului, și implicit al valorii adăugate brute (VAB), volumul</w:t>
      </w:r>
      <w:r w:rsidR="00A57F05">
        <w:rPr>
          <w:rFonts w:ascii="Times New Roman" w:hAnsi="Times New Roman" w:cs="Times New Roman"/>
          <w:sz w:val="24"/>
          <w:szCs w:val="24"/>
        </w:rPr>
        <w:t xml:space="preserve"> investițiilor străine directe (</w:t>
      </w:r>
      <w:r w:rsidR="00F557EE" w:rsidRPr="00A57F05">
        <w:rPr>
          <w:rFonts w:ascii="Times New Roman" w:hAnsi="Times New Roman" w:cs="Times New Roman"/>
          <w:sz w:val="24"/>
          <w:szCs w:val="24"/>
        </w:rPr>
        <w:t>ISD</w:t>
      </w:r>
      <w:r w:rsidR="00A57F05">
        <w:rPr>
          <w:rFonts w:ascii="Times New Roman" w:hAnsi="Times New Roman" w:cs="Times New Roman"/>
          <w:sz w:val="24"/>
          <w:szCs w:val="24"/>
        </w:rPr>
        <w:t>)</w:t>
      </w:r>
      <w:r w:rsidR="00F557EE" w:rsidRPr="00A57F05">
        <w:rPr>
          <w:rFonts w:ascii="Times New Roman" w:hAnsi="Times New Roman" w:cs="Times New Roman"/>
          <w:sz w:val="24"/>
          <w:szCs w:val="24"/>
        </w:rPr>
        <w:t xml:space="preserve">, nivelul câștigului salarial, nivelul de educație/reducerea abandonului școlar, </w:t>
      </w:r>
      <w:r w:rsidR="009B2521" w:rsidRPr="00A57F05">
        <w:rPr>
          <w:rFonts w:ascii="Times New Roman" w:hAnsi="Times New Roman" w:cs="Times New Roman"/>
          <w:sz w:val="24"/>
          <w:szCs w:val="24"/>
        </w:rPr>
        <w:t xml:space="preserve">etc., </w:t>
      </w:r>
      <w:r w:rsidR="00F557EE" w:rsidRPr="00A57F05">
        <w:rPr>
          <w:rFonts w:ascii="Times New Roman" w:hAnsi="Times New Roman" w:cs="Times New Roman"/>
          <w:sz w:val="24"/>
          <w:szCs w:val="24"/>
        </w:rPr>
        <w:t>indicatori definitorii în reducerea disparităților veniturilor între regiuni.</w:t>
      </w:r>
    </w:p>
    <w:p w:rsidR="00653D69" w:rsidRPr="00A57F05" w:rsidRDefault="009B2521" w:rsidP="009B2521">
      <w:pPr>
        <w:spacing w:after="0"/>
        <w:ind w:firstLine="360"/>
        <w:jc w:val="both"/>
        <w:rPr>
          <w:rFonts w:ascii="Times New Roman" w:hAnsi="Times New Roman" w:cs="Times New Roman"/>
          <w:sz w:val="24"/>
          <w:szCs w:val="24"/>
        </w:rPr>
      </w:pPr>
      <w:r w:rsidRPr="00A57F05">
        <w:rPr>
          <w:rFonts w:ascii="Times New Roman" w:hAnsi="Times New Roman" w:cs="Times New Roman"/>
          <w:sz w:val="24"/>
          <w:szCs w:val="24"/>
        </w:rPr>
        <w:t xml:space="preserve">Având în vedere aceste aspecte, în cadrul acestei secțiuni am analizat la nivel regional evoluția unor indicatori precum, câștigul salarial, valoarea adăugată brută, investițiile străine directe, numărul absolvenților de învățământ postliceal și superior și indicele Gini al disparităților câștigurilor salariale. </w:t>
      </w:r>
      <w:r w:rsidR="00653D69" w:rsidRPr="00A57F05">
        <w:rPr>
          <w:rFonts w:ascii="Times New Roman" w:hAnsi="Times New Roman" w:cs="Times New Roman"/>
          <w:sz w:val="24"/>
          <w:szCs w:val="24"/>
        </w:rPr>
        <w:t xml:space="preserve">Am ales pentru reprezentare doar 4 ani: 2000, 2007, 2009 şi 2013 pentru a putea surprinde mai ușor </w:t>
      </w:r>
      <w:r w:rsidRPr="00A57F05">
        <w:rPr>
          <w:rFonts w:ascii="Times New Roman" w:hAnsi="Times New Roman" w:cs="Times New Roman"/>
          <w:sz w:val="24"/>
          <w:szCs w:val="24"/>
        </w:rPr>
        <w:t xml:space="preserve">și </w:t>
      </w:r>
      <w:r w:rsidR="00653D69" w:rsidRPr="00A57F05">
        <w:rPr>
          <w:rFonts w:ascii="Times New Roman" w:hAnsi="Times New Roman" w:cs="Times New Roman"/>
          <w:sz w:val="24"/>
          <w:szCs w:val="24"/>
        </w:rPr>
        <w:t xml:space="preserve">impactul crizei economice asupra </w:t>
      </w:r>
      <w:r w:rsidRPr="00A57F05">
        <w:rPr>
          <w:rFonts w:ascii="Times New Roman" w:hAnsi="Times New Roman" w:cs="Times New Roman"/>
          <w:sz w:val="24"/>
          <w:szCs w:val="24"/>
        </w:rPr>
        <w:t>acestor indicatori</w:t>
      </w:r>
      <w:r w:rsidR="00653D69" w:rsidRPr="00A57F05">
        <w:rPr>
          <w:rFonts w:ascii="Times New Roman" w:hAnsi="Times New Roman" w:cs="Times New Roman"/>
          <w:sz w:val="24"/>
          <w:szCs w:val="24"/>
        </w:rPr>
        <w:t xml:space="preserve">. </w:t>
      </w:r>
    </w:p>
    <w:p w:rsidR="00653D69" w:rsidRPr="00A57F05" w:rsidRDefault="00653D69" w:rsidP="00653D69">
      <w:pPr>
        <w:spacing w:after="0"/>
        <w:ind w:firstLine="360"/>
        <w:jc w:val="both"/>
        <w:rPr>
          <w:rFonts w:ascii="Times New Roman" w:hAnsi="Times New Roman" w:cs="Times New Roman"/>
          <w:b/>
          <w:sz w:val="24"/>
          <w:szCs w:val="24"/>
        </w:rPr>
      </w:pPr>
    </w:p>
    <w:p w:rsidR="00CE3B21" w:rsidRPr="00A57F05" w:rsidRDefault="008D1DDA" w:rsidP="00A42A6A">
      <w:pPr>
        <w:spacing w:after="0"/>
        <w:jc w:val="center"/>
        <w:rPr>
          <w:rFonts w:ascii="Times New Roman" w:hAnsi="Times New Roman" w:cs="Times New Roman"/>
          <w:b/>
          <w:sz w:val="24"/>
          <w:szCs w:val="24"/>
        </w:rPr>
      </w:pPr>
      <w:r w:rsidRPr="00A57F05">
        <w:rPr>
          <w:noProof/>
        </w:rPr>
        <w:t xml:space="preserve"> </w:t>
      </w:r>
      <w:r w:rsidR="00A42A6A" w:rsidRPr="00A57F05">
        <w:rPr>
          <w:noProof/>
        </w:rPr>
        <w:drawing>
          <wp:inline distT="0" distB="0" distL="0" distR="0" wp14:anchorId="4B37694C" wp14:editId="27CF68AB">
            <wp:extent cx="4991548" cy="1807285"/>
            <wp:effectExtent l="0" t="0" r="19050" b="215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42A6A" w:rsidRPr="00A57F05" w:rsidRDefault="00A42A6A" w:rsidP="00A42A6A">
      <w:pPr>
        <w:spacing w:after="0"/>
        <w:jc w:val="center"/>
        <w:rPr>
          <w:rFonts w:ascii="Times New Roman" w:hAnsi="Times New Roman" w:cs="Times New Roman"/>
          <w:b/>
          <w:sz w:val="24"/>
          <w:szCs w:val="24"/>
        </w:rPr>
      </w:pPr>
      <w:r w:rsidRPr="00A57F05">
        <w:rPr>
          <w:rFonts w:ascii="Times New Roman" w:hAnsi="Times New Roman" w:cs="Times New Roman"/>
          <w:b/>
          <w:sz w:val="24"/>
          <w:szCs w:val="24"/>
        </w:rPr>
        <w:t>Figura nr. 1. Câștigul salarial real mediu brut lunar</w:t>
      </w:r>
      <w:r w:rsidR="00930644" w:rsidRPr="00A57F05">
        <w:rPr>
          <w:rFonts w:ascii="Times New Roman" w:hAnsi="Times New Roman" w:cs="Times New Roman"/>
          <w:b/>
          <w:sz w:val="24"/>
          <w:szCs w:val="24"/>
        </w:rPr>
        <w:t xml:space="preserve"> (lei)</w:t>
      </w:r>
    </w:p>
    <w:p w:rsidR="00A42A6A" w:rsidRPr="00A57F05" w:rsidRDefault="00A42A6A" w:rsidP="00A42A6A">
      <w:pPr>
        <w:spacing w:after="0"/>
        <w:jc w:val="center"/>
        <w:rPr>
          <w:rStyle w:val="Hyperlink"/>
          <w:rFonts w:ascii="Times New Roman" w:hAnsi="Times New Roman" w:cs="Times New Roman"/>
          <w:sz w:val="20"/>
          <w:szCs w:val="20"/>
        </w:rPr>
      </w:pPr>
      <w:r w:rsidRPr="00A57F05">
        <w:rPr>
          <w:rFonts w:ascii="Times New Roman" w:hAnsi="Times New Roman" w:cs="Times New Roman"/>
          <w:sz w:val="20"/>
          <w:szCs w:val="20"/>
        </w:rPr>
        <w:t xml:space="preserve">Sursa: creație proprie pe baza datelor de pe </w:t>
      </w:r>
      <w:hyperlink r:id="rId9" w:history="1">
        <w:r w:rsidRPr="00A57F05">
          <w:rPr>
            <w:rStyle w:val="Hyperlink"/>
            <w:rFonts w:ascii="Times New Roman" w:hAnsi="Times New Roman" w:cs="Times New Roman"/>
            <w:sz w:val="20"/>
            <w:szCs w:val="20"/>
          </w:rPr>
          <w:t>www.insse.ro</w:t>
        </w:r>
      </w:hyperlink>
    </w:p>
    <w:p w:rsidR="00653D69" w:rsidRPr="00A57F05" w:rsidRDefault="00653D69" w:rsidP="00653D69">
      <w:pPr>
        <w:spacing w:after="0"/>
        <w:jc w:val="both"/>
        <w:rPr>
          <w:rFonts w:ascii="Times New Roman" w:hAnsi="Times New Roman" w:cs="Times New Roman"/>
          <w:sz w:val="24"/>
          <w:szCs w:val="24"/>
        </w:rPr>
      </w:pPr>
    </w:p>
    <w:p w:rsidR="00EF6B14" w:rsidRPr="00A57F05" w:rsidRDefault="00AC0002" w:rsidP="00F90A72">
      <w:pPr>
        <w:spacing w:after="0" w:line="240" w:lineRule="auto"/>
        <w:ind w:firstLine="708"/>
        <w:jc w:val="both"/>
        <w:rPr>
          <w:rFonts w:ascii="Times New Roman" w:hAnsi="Times New Roman" w:cs="Times New Roman"/>
          <w:sz w:val="20"/>
          <w:szCs w:val="20"/>
        </w:rPr>
      </w:pPr>
      <w:r w:rsidRPr="00A57F05">
        <w:rPr>
          <w:rFonts w:ascii="Times New Roman" w:hAnsi="Times New Roman" w:cs="Times New Roman"/>
          <w:sz w:val="24"/>
          <w:szCs w:val="24"/>
        </w:rPr>
        <w:t>Pe toată perioada analizată c</w:t>
      </w:r>
      <w:r w:rsidR="00653D69" w:rsidRPr="00A57F05">
        <w:rPr>
          <w:rFonts w:ascii="Times New Roman" w:hAnsi="Times New Roman" w:cs="Times New Roman"/>
          <w:sz w:val="24"/>
          <w:szCs w:val="24"/>
        </w:rPr>
        <w:t>âștigul salarial real mediu brut lunar a crescut î</w:t>
      </w:r>
      <w:r w:rsidRPr="00A57F05">
        <w:rPr>
          <w:rFonts w:ascii="Times New Roman" w:hAnsi="Times New Roman" w:cs="Times New Roman"/>
          <w:sz w:val="24"/>
          <w:szCs w:val="24"/>
        </w:rPr>
        <w:t xml:space="preserve">n toate regiunile de dezvoltare. </w:t>
      </w:r>
      <w:r w:rsidR="00AA4986" w:rsidRPr="00A57F05">
        <w:rPr>
          <w:rFonts w:ascii="Times New Roman" w:hAnsi="Times New Roman" w:cs="Times New Roman"/>
          <w:sz w:val="24"/>
          <w:szCs w:val="24"/>
        </w:rPr>
        <w:t>Cele mai semnificative creșteri salariale s-au înregistrat în perioada 2000-2007, perioadă considerată de ascensiune economică. Regiunile care au avut cele mai mari creșteri</w:t>
      </w:r>
      <w:r w:rsidR="004968C3" w:rsidRPr="00A57F05">
        <w:rPr>
          <w:rFonts w:ascii="Times New Roman" w:hAnsi="Times New Roman" w:cs="Times New Roman"/>
          <w:sz w:val="24"/>
          <w:szCs w:val="24"/>
        </w:rPr>
        <w:t xml:space="preserve"> în acest interval</w:t>
      </w:r>
      <w:r w:rsidR="00AA4986" w:rsidRPr="00A57F05">
        <w:rPr>
          <w:rFonts w:ascii="Times New Roman" w:hAnsi="Times New Roman" w:cs="Times New Roman"/>
          <w:sz w:val="24"/>
          <w:szCs w:val="24"/>
        </w:rPr>
        <w:t xml:space="preserve"> </w:t>
      </w:r>
      <w:r w:rsidR="004968C3" w:rsidRPr="00A57F05">
        <w:rPr>
          <w:rFonts w:ascii="Times New Roman" w:hAnsi="Times New Roman" w:cs="Times New Roman"/>
          <w:sz w:val="24"/>
          <w:szCs w:val="24"/>
        </w:rPr>
        <w:t xml:space="preserve">(de peste 500%) </w:t>
      </w:r>
      <w:r w:rsidR="00AA4986" w:rsidRPr="00A57F05">
        <w:rPr>
          <w:rFonts w:ascii="Times New Roman" w:hAnsi="Times New Roman" w:cs="Times New Roman"/>
          <w:sz w:val="24"/>
          <w:szCs w:val="24"/>
        </w:rPr>
        <w:t>au fost Nord-Est, Nord-Vest, Vest și Centru. Perioada de criză economică nu a afectat câștigurile salariale în sensul scăderii, dar le-a redus ritmul de creștere. Astfel</w:t>
      </w:r>
      <w:r w:rsidR="004968C3" w:rsidRPr="00A57F05">
        <w:rPr>
          <w:rFonts w:ascii="Times New Roman" w:hAnsi="Times New Roman" w:cs="Times New Roman"/>
          <w:sz w:val="24"/>
          <w:szCs w:val="24"/>
        </w:rPr>
        <w:t>, în perioada 2007-2009 rata medie de creștere a câștigurilor pentru cele opt regiuni a fost de 30%. Această creștere a avut loc chiar dacă anul 2009 a fost anul în care salariile angajaților din sectorul public au fost reduse cu 25%. În intervalul 2009-2013 ritmul mediu de creștere al câștigurilor salariale regionale a fost mult mai redus, doar 17%.</w:t>
      </w:r>
      <w:r w:rsidR="001D0D44" w:rsidRPr="00A57F05">
        <w:rPr>
          <w:rFonts w:ascii="Times New Roman" w:hAnsi="Times New Roman" w:cs="Times New Roman"/>
          <w:sz w:val="24"/>
          <w:szCs w:val="24"/>
        </w:rPr>
        <w:t xml:space="preserve"> Putem observa că la nivelul anului 2013 cele mai ridicate câștiguri salariale se înregistrează în regiunile București-Ilfov, Vest și Sud</w:t>
      </w:r>
      <w:r w:rsidR="008449FD" w:rsidRPr="00A57F05">
        <w:rPr>
          <w:rFonts w:ascii="Times New Roman" w:hAnsi="Times New Roman" w:cs="Times New Roman"/>
          <w:sz w:val="24"/>
          <w:szCs w:val="24"/>
        </w:rPr>
        <w:t>, regiuni care reușesc să atragă și cele mai multe investiții străine directe</w:t>
      </w:r>
      <w:r w:rsidR="0043716D">
        <w:rPr>
          <w:rFonts w:ascii="Times New Roman" w:hAnsi="Times New Roman" w:cs="Times New Roman"/>
          <w:sz w:val="24"/>
          <w:szCs w:val="24"/>
        </w:rPr>
        <w:t xml:space="preserve"> (figura 1)</w:t>
      </w:r>
      <w:r w:rsidR="001D0D44" w:rsidRPr="00A57F05">
        <w:rPr>
          <w:rFonts w:ascii="Times New Roman" w:hAnsi="Times New Roman" w:cs="Times New Roman"/>
          <w:sz w:val="24"/>
          <w:szCs w:val="24"/>
        </w:rPr>
        <w:t>.</w:t>
      </w:r>
    </w:p>
    <w:p w:rsidR="00A42A6A" w:rsidRPr="00A57F05" w:rsidRDefault="00A42A6A" w:rsidP="00653D69">
      <w:pPr>
        <w:spacing w:after="0"/>
        <w:jc w:val="both"/>
        <w:rPr>
          <w:rFonts w:ascii="Times New Roman" w:hAnsi="Times New Roman" w:cs="Times New Roman"/>
          <w:sz w:val="20"/>
          <w:szCs w:val="20"/>
        </w:rPr>
      </w:pPr>
    </w:p>
    <w:p w:rsidR="00EF6B14" w:rsidRPr="00A57F05" w:rsidRDefault="00EF6B14" w:rsidP="00EF6B14">
      <w:pPr>
        <w:spacing w:after="0" w:line="240" w:lineRule="auto"/>
        <w:jc w:val="center"/>
        <w:rPr>
          <w:rFonts w:ascii="Times New Roman" w:hAnsi="Times New Roman" w:cs="Times New Roman"/>
          <w:sz w:val="20"/>
          <w:szCs w:val="20"/>
        </w:rPr>
      </w:pPr>
      <w:r w:rsidRPr="00A57F05">
        <w:rPr>
          <w:noProof/>
        </w:rPr>
        <w:drawing>
          <wp:inline distT="0" distB="0" distL="0" distR="0" wp14:anchorId="5AEF3CB7" wp14:editId="26F91518">
            <wp:extent cx="4862456" cy="2173045"/>
            <wp:effectExtent l="0" t="0" r="1460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6B14" w:rsidRPr="00A57F05" w:rsidRDefault="0043716D" w:rsidP="00EF6B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Figura nr. 2</w:t>
      </w:r>
      <w:r w:rsidR="00EF6B14" w:rsidRPr="00A57F05">
        <w:rPr>
          <w:rFonts w:ascii="Times New Roman" w:hAnsi="Times New Roman" w:cs="Times New Roman"/>
          <w:b/>
          <w:sz w:val="24"/>
          <w:szCs w:val="24"/>
        </w:rPr>
        <w:t>. Valoarea adăugată brută reală (mld. lei)</w:t>
      </w:r>
    </w:p>
    <w:p w:rsidR="00EF6B14" w:rsidRPr="00A57F05" w:rsidRDefault="00EF6B14" w:rsidP="00EF6B14">
      <w:pPr>
        <w:spacing w:after="0" w:line="240" w:lineRule="auto"/>
        <w:jc w:val="center"/>
        <w:rPr>
          <w:rStyle w:val="Hyperlink"/>
          <w:rFonts w:ascii="Times New Roman" w:hAnsi="Times New Roman" w:cs="Times New Roman"/>
          <w:sz w:val="20"/>
          <w:szCs w:val="20"/>
        </w:rPr>
      </w:pPr>
      <w:r w:rsidRPr="00A57F05">
        <w:rPr>
          <w:rFonts w:ascii="Times New Roman" w:hAnsi="Times New Roman" w:cs="Times New Roman"/>
          <w:sz w:val="20"/>
          <w:szCs w:val="20"/>
        </w:rPr>
        <w:t xml:space="preserve">Sursa: creație proprie pe baza datelor de pe </w:t>
      </w:r>
      <w:hyperlink r:id="rId11" w:history="1">
        <w:r w:rsidRPr="00A57F05">
          <w:rPr>
            <w:rStyle w:val="Hyperlink"/>
            <w:rFonts w:ascii="Times New Roman" w:hAnsi="Times New Roman" w:cs="Times New Roman"/>
            <w:sz w:val="20"/>
            <w:szCs w:val="20"/>
          </w:rPr>
          <w:t>www.eurostat.eu</w:t>
        </w:r>
      </w:hyperlink>
    </w:p>
    <w:p w:rsidR="007516C3" w:rsidRPr="00A57F05" w:rsidRDefault="007516C3" w:rsidP="00EF6B14">
      <w:pPr>
        <w:spacing w:after="0" w:line="240" w:lineRule="auto"/>
        <w:jc w:val="center"/>
        <w:rPr>
          <w:rStyle w:val="Hyperlink"/>
          <w:rFonts w:ascii="Times New Roman" w:hAnsi="Times New Roman" w:cs="Times New Roman"/>
          <w:sz w:val="20"/>
          <w:szCs w:val="20"/>
        </w:rPr>
      </w:pPr>
    </w:p>
    <w:p w:rsidR="007516C3" w:rsidRPr="00A57F05" w:rsidRDefault="00A33E18" w:rsidP="00F90A72">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t xml:space="preserve">În perioada 2000-2007 valoarea adăugată brută a crescut substanțial în toate regiunile de dezvoltare. Criza economică a făcut ca în </w:t>
      </w:r>
      <w:r w:rsidR="00764F2E" w:rsidRPr="00A57F05">
        <w:rPr>
          <w:rFonts w:ascii="Times New Roman" w:hAnsi="Times New Roman" w:cs="Times New Roman"/>
          <w:sz w:val="24"/>
          <w:szCs w:val="24"/>
        </w:rPr>
        <w:t xml:space="preserve">2009 față de 2007 </w:t>
      </w:r>
      <w:r w:rsidRPr="00A57F05">
        <w:rPr>
          <w:rFonts w:ascii="Times New Roman" w:hAnsi="Times New Roman" w:cs="Times New Roman"/>
          <w:sz w:val="24"/>
          <w:szCs w:val="24"/>
        </w:rPr>
        <w:t xml:space="preserve">creșterea medie </w:t>
      </w:r>
      <w:r w:rsidR="00764F2E" w:rsidRPr="00A57F05">
        <w:rPr>
          <w:rFonts w:ascii="Times New Roman" w:hAnsi="Times New Roman" w:cs="Times New Roman"/>
          <w:sz w:val="24"/>
          <w:szCs w:val="24"/>
        </w:rPr>
        <w:t xml:space="preserve">a valorii adăugate brute </w:t>
      </w:r>
      <w:r w:rsidRPr="00A57F05">
        <w:rPr>
          <w:rFonts w:ascii="Times New Roman" w:hAnsi="Times New Roman" w:cs="Times New Roman"/>
          <w:sz w:val="24"/>
          <w:szCs w:val="24"/>
        </w:rPr>
        <w:t xml:space="preserve">la nivelul regiunilor de dezvoltare să fie de </w:t>
      </w:r>
      <w:r w:rsidR="00EC7970" w:rsidRPr="00A57F05">
        <w:rPr>
          <w:rFonts w:ascii="Times New Roman" w:hAnsi="Times New Roman" w:cs="Times New Roman"/>
          <w:sz w:val="24"/>
          <w:szCs w:val="24"/>
        </w:rPr>
        <w:t xml:space="preserve">20,7%, iar </w:t>
      </w:r>
      <w:r w:rsidR="00764F2E" w:rsidRPr="00A57F05">
        <w:rPr>
          <w:rFonts w:ascii="Times New Roman" w:hAnsi="Times New Roman" w:cs="Times New Roman"/>
          <w:sz w:val="24"/>
          <w:szCs w:val="24"/>
        </w:rPr>
        <w:t xml:space="preserve">în 2012 față de 2009 </w:t>
      </w:r>
      <w:r w:rsidR="00EC7970" w:rsidRPr="00A57F05">
        <w:rPr>
          <w:rFonts w:ascii="Times New Roman" w:hAnsi="Times New Roman" w:cs="Times New Roman"/>
          <w:sz w:val="24"/>
          <w:szCs w:val="24"/>
        </w:rPr>
        <w:t>de doar 6,8%.  În aceste două perioade cele mai mici creșteri s-au înregistrat în regiunea Centru (17,8% în</w:t>
      </w:r>
      <w:r w:rsidR="0023766B" w:rsidRPr="00A57F05">
        <w:rPr>
          <w:rFonts w:ascii="Times New Roman" w:hAnsi="Times New Roman" w:cs="Times New Roman"/>
          <w:sz w:val="24"/>
          <w:szCs w:val="24"/>
        </w:rPr>
        <w:t xml:space="preserve"> 2009 față de 2007</w:t>
      </w:r>
      <w:r w:rsidR="00EC7970" w:rsidRPr="00A57F05">
        <w:rPr>
          <w:rFonts w:ascii="Times New Roman" w:hAnsi="Times New Roman" w:cs="Times New Roman"/>
          <w:sz w:val="24"/>
          <w:szCs w:val="24"/>
        </w:rPr>
        <w:t>, respectiv 4,6</w:t>
      </w:r>
      <w:r w:rsidR="0023766B" w:rsidRPr="00A57F05">
        <w:rPr>
          <w:rFonts w:ascii="Times New Roman" w:hAnsi="Times New Roman" w:cs="Times New Roman"/>
          <w:sz w:val="24"/>
          <w:szCs w:val="24"/>
        </w:rPr>
        <w:t>% în 2012 față de 2009</w:t>
      </w:r>
      <w:r w:rsidR="00EC7970" w:rsidRPr="00A57F05">
        <w:rPr>
          <w:rFonts w:ascii="Times New Roman" w:hAnsi="Times New Roman" w:cs="Times New Roman"/>
          <w:sz w:val="24"/>
          <w:szCs w:val="24"/>
        </w:rPr>
        <w:t xml:space="preserve">), iar cele mai ridicate în regiunea București-Ilfov (26,3% </w:t>
      </w:r>
      <w:r w:rsidR="00764F2E" w:rsidRPr="00A57F05">
        <w:rPr>
          <w:rFonts w:ascii="Times New Roman" w:hAnsi="Times New Roman" w:cs="Times New Roman"/>
          <w:sz w:val="24"/>
          <w:szCs w:val="24"/>
        </w:rPr>
        <w:t>în 2009 față de 2007</w:t>
      </w:r>
      <w:r w:rsidR="00EC7970" w:rsidRPr="00A57F05">
        <w:rPr>
          <w:rFonts w:ascii="Times New Roman" w:hAnsi="Times New Roman" w:cs="Times New Roman"/>
          <w:sz w:val="24"/>
          <w:szCs w:val="24"/>
        </w:rPr>
        <w:t xml:space="preserve">, respectiv 15,8% </w:t>
      </w:r>
      <w:r w:rsidR="00764F2E" w:rsidRPr="00A57F05">
        <w:rPr>
          <w:rFonts w:ascii="Times New Roman" w:hAnsi="Times New Roman" w:cs="Times New Roman"/>
          <w:sz w:val="24"/>
          <w:szCs w:val="24"/>
        </w:rPr>
        <w:t>în 2012 față de 2009</w:t>
      </w:r>
      <w:r w:rsidR="00EC7970" w:rsidRPr="00A57F05">
        <w:rPr>
          <w:rFonts w:ascii="Times New Roman" w:hAnsi="Times New Roman" w:cs="Times New Roman"/>
          <w:sz w:val="24"/>
          <w:szCs w:val="24"/>
        </w:rPr>
        <w:t xml:space="preserve">). </w:t>
      </w:r>
      <w:r w:rsidR="00764F2E" w:rsidRPr="00A57F05">
        <w:rPr>
          <w:rFonts w:ascii="Times New Roman" w:hAnsi="Times New Roman" w:cs="Times New Roman"/>
          <w:sz w:val="24"/>
          <w:szCs w:val="24"/>
        </w:rPr>
        <w:t>Efectele crizei economice au determinat o reducere a ritmului de creștere a valorii adăugate brute la nivel regional, situație care se reflectă în evoluția câștigurilor salariale</w:t>
      </w:r>
      <w:r w:rsidR="0043716D">
        <w:rPr>
          <w:rFonts w:ascii="Times New Roman" w:hAnsi="Times New Roman" w:cs="Times New Roman"/>
          <w:sz w:val="24"/>
          <w:szCs w:val="24"/>
        </w:rPr>
        <w:t xml:space="preserve"> (figura 2)</w:t>
      </w:r>
      <w:r w:rsidR="00764F2E" w:rsidRPr="00A57F05">
        <w:rPr>
          <w:rFonts w:ascii="Times New Roman" w:hAnsi="Times New Roman" w:cs="Times New Roman"/>
          <w:sz w:val="24"/>
          <w:szCs w:val="24"/>
        </w:rPr>
        <w:t>.</w:t>
      </w:r>
    </w:p>
    <w:p w:rsidR="00EF6B14" w:rsidRPr="00A57F05" w:rsidRDefault="00EF6B14" w:rsidP="00764F2E">
      <w:pPr>
        <w:spacing w:after="0" w:line="240" w:lineRule="auto"/>
        <w:rPr>
          <w:rFonts w:ascii="Times New Roman" w:hAnsi="Times New Roman" w:cs="Times New Roman"/>
          <w:sz w:val="20"/>
          <w:szCs w:val="20"/>
        </w:rPr>
      </w:pPr>
    </w:p>
    <w:p w:rsidR="00EF6B14" w:rsidRPr="00A57F05" w:rsidRDefault="00EF6B14" w:rsidP="00EF6B14">
      <w:pPr>
        <w:spacing w:after="0"/>
        <w:jc w:val="center"/>
        <w:rPr>
          <w:rFonts w:ascii="Times New Roman" w:hAnsi="Times New Roman" w:cs="Times New Roman"/>
          <w:b/>
          <w:sz w:val="24"/>
          <w:szCs w:val="24"/>
        </w:rPr>
      </w:pPr>
      <w:r w:rsidRPr="00A57F05">
        <w:rPr>
          <w:noProof/>
        </w:rPr>
        <w:drawing>
          <wp:inline distT="0" distB="0" distL="0" distR="0" wp14:anchorId="3CAB00AD" wp14:editId="0745C737">
            <wp:extent cx="4916245" cy="1990165"/>
            <wp:effectExtent l="0" t="0" r="1778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F6B14" w:rsidRPr="00A57F05" w:rsidRDefault="00EF6B14" w:rsidP="00EF6B14">
      <w:pPr>
        <w:spacing w:after="0" w:line="240" w:lineRule="auto"/>
        <w:jc w:val="center"/>
        <w:rPr>
          <w:rFonts w:ascii="Times New Roman" w:hAnsi="Times New Roman" w:cs="Times New Roman"/>
          <w:b/>
          <w:sz w:val="24"/>
          <w:szCs w:val="24"/>
        </w:rPr>
      </w:pPr>
      <w:r w:rsidRPr="00A57F05">
        <w:rPr>
          <w:rFonts w:ascii="Times New Roman" w:hAnsi="Times New Roman" w:cs="Times New Roman"/>
          <w:b/>
          <w:sz w:val="24"/>
          <w:szCs w:val="24"/>
        </w:rPr>
        <w:t>Figura nr. 3. Investiții străine directe (mld. lei)</w:t>
      </w:r>
    </w:p>
    <w:p w:rsidR="00EF6B14" w:rsidRPr="00A57F05" w:rsidRDefault="00EF6B14" w:rsidP="00EF6B14">
      <w:pPr>
        <w:spacing w:after="0" w:line="240" w:lineRule="auto"/>
        <w:jc w:val="center"/>
        <w:rPr>
          <w:rFonts w:ascii="Times New Roman" w:hAnsi="Times New Roman" w:cs="Times New Roman"/>
          <w:sz w:val="20"/>
          <w:szCs w:val="20"/>
        </w:rPr>
      </w:pPr>
      <w:r w:rsidRPr="00A57F05">
        <w:rPr>
          <w:rFonts w:ascii="Times New Roman" w:hAnsi="Times New Roman" w:cs="Times New Roman"/>
          <w:sz w:val="20"/>
          <w:szCs w:val="20"/>
        </w:rPr>
        <w:t xml:space="preserve">Sursa: creație proprie pe baza datelor de pe </w:t>
      </w:r>
      <w:hyperlink r:id="rId13" w:history="1">
        <w:r w:rsidRPr="00A57F05">
          <w:rPr>
            <w:rStyle w:val="Hyperlink"/>
            <w:rFonts w:ascii="Times New Roman" w:hAnsi="Times New Roman" w:cs="Times New Roman"/>
            <w:sz w:val="20"/>
            <w:szCs w:val="20"/>
          </w:rPr>
          <w:t>www.onrc.ro</w:t>
        </w:r>
      </w:hyperlink>
    </w:p>
    <w:p w:rsidR="00264049" w:rsidRPr="00A57F05" w:rsidRDefault="00264049" w:rsidP="00285326">
      <w:pPr>
        <w:spacing w:after="0"/>
        <w:jc w:val="both"/>
        <w:rPr>
          <w:rFonts w:ascii="Times New Roman" w:hAnsi="Times New Roman" w:cs="Times New Roman"/>
          <w:sz w:val="24"/>
          <w:szCs w:val="24"/>
        </w:rPr>
      </w:pPr>
    </w:p>
    <w:p w:rsidR="00A42A6A" w:rsidRPr="00A57F05" w:rsidRDefault="00264049" w:rsidP="00F90A72">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lastRenderedPageBreak/>
        <w:t>Investițiile străine directe</w:t>
      </w:r>
      <w:r w:rsidR="009846CF" w:rsidRPr="00A57F05">
        <w:rPr>
          <w:rFonts w:ascii="Times New Roman" w:hAnsi="Times New Roman" w:cs="Times New Roman"/>
          <w:sz w:val="24"/>
          <w:szCs w:val="24"/>
        </w:rPr>
        <w:t xml:space="preserve"> (ISD)</w:t>
      </w:r>
      <w:r w:rsidRPr="00A57F05">
        <w:rPr>
          <w:rFonts w:ascii="Times New Roman" w:hAnsi="Times New Roman" w:cs="Times New Roman"/>
          <w:sz w:val="24"/>
          <w:szCs w:val="24"/>
        </w:rPr>
        <w:t xml:space="preserve"> au crescut în perioada analizată (2001-2012). Cele mai mari intrări de capital străin s-au produs în perioada 2001-2007, dar observăm că și în perioada de criză economică investițiile străine directe au </w:t>
      </w:r>
      <w:r w:rsidR="009846CF" w:rsidRPr="00A57F05">
        <w:rPr>
          <w:rFonts w:ascii="Times New Roman" w:hAnsi="Times New Roman" w:cs="Times New Roman"/>
          <w:sz w:val="24"/>
          <w:szCs w:val="24"/>
        </w:rPr>
        <w:t xml:space="preserve">înregistrat </w:t>
      </w:r>
      <w:r w:rsidRPr="00A57F05">
        <w:rPr>
          <w:rFonts w:ascii="Times New Roman" w:hAnsi="Times New Roman" w:cs="Times New Roman"/>
          <w:sz w:val="24"/>
          <w:szCs w:val="24"/>
        </w:rPr>
        <w:t>creștere. Exceptând regiunea București-Ilfov care reușeste să atragă aproape 60% dintre ISD-uri</w:t>
      </w:r>
      <w:r w:rsidR="009846CF" w:rsidRPr="00A57F05">
        <w:rPr>
          <w:rFonts w:ascii="Times New Roman" w:hAnsi="Times New Roman" w:cs="Times New Roman"/>
          <w:sz w:val="24"/>
          <w:szCs w:val="24"/>
        </w:rPr>
        <w:t>, regiunile cele mai atractive pentru investitorii străini par a fi Centru (10,61 mld.lei atrase în 2012), Vest (9,49 mld.lei atrase în 2012) și Sud (9,41 mld.lei atrase în 2012). Investițiile directe străine susțin revenirea economică, dar totodată pot să accentueze disparităților salariale prin faptul că nivelul câștigurilor în firmele cu capital străin sunt în general peste media națională</w:t>
      </w:r>
      <w:r w:rsidR="0043716D">
        <w:rPr>
          <w:rFonts w:ascii="Times New Roman" w:hAnsi="Times New Roman" w:cs="Times New Roman"/>
          <w:sz w:val="24"/>
          <w:szCs w:val="24"/>
        </w:rPr>
        <w:t xml:space="preserve"> (figura 3)</w:t>
      </w:r>
      <w:r w:rsidR="009846CF" w:rsidRPr="00A57F05">
        <w:rPr>
          <w:rFonts w:ascii="Times New Roman" w:hAnsi="Times New Roman" w:cs="Times New Roman"/>
          <w:sz w:val="24"/>
          <w:szCs w:val="24"/>
        </w:rPr>
        <w:t>.</w:t>
      </w:r>
    </w:p>
    <w:p w:rsidR="00264049" w:rsidRPr="00A57F05" w:rsidRDefault="00264049" w:rsidP="00F90A72">
      <w:pPr>
        <w:spacing w:after="0" w:line="240" w:lineRule="auto"/>
        <w:jc w:val="both"/>
        <w:rPr>
          <w:rFonts w:ascii="Times New Roman" w:hAnsi="Times New Roman" w:cs="Times New Roman"/>
          <w:b/>
          <w:sz w:val="24"/>
          <w:szCs w:val="24"/>
        </w:rPr>
      </w:pPr>
    </w:p>
    <w:p w:rsidR="00A42A6A" w:rsidRPr="00A57F05" w:rsidRDefault="009F7484" w:rsidP="009F7484">
      <w:pPr>
        <w:spacing w:after="0"/>
        <w:jc w:val="center"/>
        <w:rPr>
          <w:rFonts w:ascii="Times New Roman" w:hAnsi="Times New Roman" w:cs="Times New Roman"/>
          <w:b/>
          <w:sz w:val="24"/>
          <w:szCs w:val="24"/>
        </w:rPr>
      </w:pPr>
      <w:r w:rsidRPr="00A57F05">
        <w:rPr>
          <w:noProof/>
        </w:rPr>
        <w:drawing>
          <wp:inline distT="0" distB="0" distL="0" distR="0" wp14:anchorId="1AF83EB5" wp14:editId="408A624C">
            <wp:extent cx="4970033" cy="2000923"/>
            <wp:effectExtent l="0" t="0" r="2159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30644" w:rsidRPr="00A57F05" w:rsidRDefault="0043716D" w:rsidP="009F7484">
      <w:pPr>
        <w:spacing w:after="0"/>
        <w:jc w:val="center"/>
        <w:rPr>
          <w:rFonts w:ascii="Times New Roman" w:hAnsi="Times New Roman" w:cs="Times New Roman"/>
          <w:b/>
          <w:sz w:val="24"/>
          <w:szCs w:val="24"/>
        </w:rPr>
      </w:pPr>
      <w:r>
        <w:rPr>
          <w:rFonts w:ascii="Times New Roman" w:hAnsi="Times New Roman" w:cs="Times New Roman"/>
          <w:b/>
          <w:sz w:val="24"/>
          <w:szCs w:val="24"/>
        </w:rPr>
        <w:t>Figura nr. 4</w:t>
      </w:r>
      <w:r w:rsidR="009F7484" w:rsidRPr="00A57F05">
        <w:rPr>
          <w:rFonts w:ascii="Times New Roman" w:hAnsi="Times New Roman" w:cs="Times New Roman"/>
          <w:b/>
          <w:sz w:val="24"/>
          <w:szCs w:val="24"/>
        </w:rPr>
        <w:t>. Absolvenţi de studii postliceale şi superioare</w:t>
      </w:r>
      <w:r w:rsidR="00930644" w:rsidRPr="00A57F05">
        <w:rPr>
          <w:rFonts w:ascii="Times New Roman" w:hAnsi="Times New Roman" w:cs="Times New Roman"/>
          <w:b/>
          <w:sz w:val="24"/>
          <w:szCs w:val="24"/>
        </w:rPr>
        <w:t xml:space="preserve"> </w:t>
      </w:r>
    </w:p>
    <w:p w:rsidR="009F7484" w:rsidRPr="00A57F05" w:rsidRDefault="009F7484" w:rsidP="009F7484">
      <w:pPr>
        <w:spacing w:after="0"/>
        <w:jc w:val="center"/>
        <w:rPr>
          <w:rFonts w:ascii="Times New Roman" w:hAnsi="Times New Roman" w:cs="Times New Roman"/>
          <w:sz w:val="20"/>
          <w:szCs w:val="20"/>
        </w:rPr>
      </w:pPr>
      <w:r w:rsidRPr="00A57F05">
        <w:rPr>
          <w:rFonts w:ascii="Times New Roman" w:hAnsi="Times New Roman" w:cs="Times New Roman"/>
          <w:sz w:val="20"/>
          <w:szCs w:val="20"/>
        </w:rPr>
        <w:t xml:space="preserve">Sursa: creație proprie pe baza datelor de pe </w:t>
      </w:r>
      <w:hyperlink r:id="rId15" w:history="1">
        <w:r w:rsidRPr="00A57F05">
          <w:rPr>
            <w:rStyle w:val="Hyperlink"/>
            <w:rFonts w:ascii="Times New Roman" w:hAnsi="Times New Roman" w:cs="Times New Roman"/>
            <w:sz w:val="20"/>
            <w:szCs w:val="20"/>
          </w:rPr>
          <w:t>www.insse.ro</w:t>
        </w:r>
      </w:hyperlink>
    </w:p>
    <w:p w:rsidR="009F7484" w:rsidRPr="00A57F05" w:rsidRDefault="009F7484" w:rsidP="009F7484">
      <w:pPr>
        <w:spacing w:after="0"/>
        <w:jc w:val="center"/>
        <w:rPr>
          <w:rFonts w:ascii="Times New Roman" w:hAnsi="Times New Roman" w:cs="Times New Roman"/>
          <w:b/>
          <w:sz w:val="24"/>
          <w:szCs w:val="24"/>
        </w:rPr>
      </w:pPr>
    </w:p>
    <w:p w:rsidR="005905AD" w:rsidRPr="00A57F05" w:rsidRDefault="005905AD" w:rsidP="005905AD">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t>În ceea ce priveşte numărul absolvenţilor de studii postliceale şi superioare, acesta a crescut semnificativ în majoritatea regiunile până în anul 2007, urmând ulterior o scădere. Regiunile Centru, Sud-Vest și Sud-Est fac excepție de la această tendință, înregistrând în anul 2009 față de 2007 un număr mai mare de absolvenți de studii postliceale şi superioare</w:t>
      </w:r>
      <w:r w:rsidR="0043716D">
        <w:rPr>
          <w:rFonts w:ascii="Times New Roman" w:hAnsi="Times New Roman" w:cs="Times New Roman"/>
          <w:sz w:val="24"/>
          <w:szCs w:val="24"/>
        </w:rPr>
        <w:t xml:space="preserve"> (figura 4)</w:t>
      </w:r>
      <w:r w:rsidRPr="00A57F05">
        <w:rPr>
          <w:rFonts w:ascii="Times New Roman" w:hAnsi="Times New Roman" w:cs="Times New Roman"/>
          <w:sz w:val="24"/>
          <w:szCs w:val="24"/>
        </w:rPr>
        <w:t xml:space="preserve">. </w:t>
      </w:r>
      <w:r w:rsidR="0014632E" w:rsidRPr="00A57F05">
        <w:rPr>
          <w:rFonts w:ascii="Times New Roman" w:hAnsi="Times New Roman" w:cs="Times New Roman"/>
          <w:sz w:val="24"/>
          <w:szCs w:val="24"/>
        </w:rPr>
        <w:t xml:space="preserve">Creșterea numărului de absovenți de studii postliceale și superioare din perioada 2000-2007 se poate explica și prin intrarea masivă pe piață a universităților private, dar mai ales prin numărul crescut al absovenților de studii liceale cu diplomă (bacalaureat). Scăderea înregistrată în perioada 2007-2012 se datorează pe de-o parte reducerii ratei natalității (avem în vedere generațiile de după 1990) și scăderii ratei de promovabilitate a bacalaureatului, dar pe de altă parte este posibil ca efectele crizei economice să-i fi </w:t>
      </w:r>
      <w:r w:rsidR="00F90A72" w:rsidRPr="00A57F05">
        <w:rPr>
          <w:rFonts w:ascii="Times New Roman" w:hAnsi="Times New Roman" w:cs="Times New Roman"/>
          <w:sz w:val="24"/>
          <w:szCs w:val="24"/>
        </w:rPr>
        <w:t xml:space="preserve">descurajat în continuarea studiilor. </w:t>
      </w:r>
    </w:p>
    <w:p w:rsidR="009F7484" w:rsidRPr="00A57F05" w:rsidRDefault="009F7484" w:rsidP="005905AD">
      <w:pPr>
        <w:spacing w:after="0"/>
        <w:rPr>
          <w:rFonts w:ascii="Times New Roman" w:hAnsi="Times New Roman" w:cs="Times New Roman"/>
          <w:b/>
          <w:sz w:val="24"/>
          <w:szCs w:val="24"/>
        </w:rPr>
      </w:pPr>
    </w:p>
    <w:p w:rsidR="009F7484" w:rsidRPr="00A57F05" w:rsidRDefault="00733ED0" w:rsidP="009F7484">
      <w:pPr>
        <w:spacing w:after="0"/>
        <w:jc w:val="center"/>
        <w:rPr>
          <w:rFonts w:ascii="Times New Roman" w:hAnsi="Times New Roman" w:cs="Times New Roman"/>
          <w:b/>
          <w:sz w:val="24"/>
          <w:szCs w:val="24"/>
        </w:rPr>
      </w:pPr>
      <w:r w:rsidRPr="00A57F05">
        <w:rPr>
          <w:noProof/>
        </w:rPr>
        <w:drawing>
          <wp:inline distT="0" distB="0" distL="0" distR="0" wp14:anchorId="17E9CE76" wp14:editId="7FA237F7">
            <wp:extent cx="5131398" cy="2086983"/>
            <wp:effectExtent l="0" t="0" r="12700" b="279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355B9" w:rsidRPr="00A57F05" w:rsidRDefault="0043716D" w:rsidP="008355B9">
      <w:pPr>
        <w:spacing w:after="0"/>
        <w:jc w:val="center"/>
        <w:rPr>
          <w:rFonts w:ascii="Times New Roman" w:hAnsi="Times New Roman" w:cs="Times New Roman"/>
          <w:b/>
          <w:sz w:val="24"/>
          <w:szCs w:val="24"/>
        </w:rPr>
      </w:pPr>
      <w:r>
        <w:rPr>
          <w:rFonts w:ascii="Times New Roman" w:hAnsi="Times New Roman" w:cs="Times New Roman"/>
          <w:b/>
          <w:sz w:val="24"/>
          <w:szCs w:val="24"/>
        </w:rPr>
        <w:t>Figura nr. 5</w:t>
      </w:r>
      <w:r w:rsidR="00947594">
        <w:rPr>
          <w:rFonts w:ascii="Times New Roman" w:hAnsi="Times New Roman" w:cs="Times New Roman"/>
          <w:b/>
          <w:sz w:val="24"/>
          <w:szCs w:val="24"/>
        </w:rPr>
        <w:t>. Indicele Gini</w:t>
      </w:r>
    </w:p>
    <w:p w:rsidR="008355B9" w:rsidRPr="00A57F05" w:rsidRDefault="008355B9" w:rsidP="008355B9">
      <w:pPr>
        <w:spacing w:after="0"/>
        <w:jc w:val="center"/>
        <w:rPr>
          <w:rFonts w:ascii="Times New Roman" w:hAnsi="Times New Roman" w:cs="Times New Roman"/>
          <w:sz w:val="20"/>
          <w:szCs w:val="20"/>
        </w:rPr>
      </w:pPr>
      <w:r w:rsidRPr="00A57F05">
        <w:rPr>
          <w:rFonts w:ascii="Times New Roman" w:hAnsi="Times New Roman" w:cs="Times New Roman"/>
          <w:sz w:val="20"/>
          <w:szCs w:val="20"/>
        </w:rPr>
        <w:t xml:space="preserve">Sursa: creație </w:t>
      </w:r>
      <w:r w:rsidR="0062622F" w:rsidRPr="00A57F05">
        <w:rPr>
          <w:rFonts w:ascii="Times New Roman" w:hAnsi="Times New Roman" w:cs="Times New Roman"/>
          <w:sz w:val="20"/>
          <w:szCs w:val="20"/>
        </w:rPr>
        <w:t xml:space="preserve">și calcule proprii </w:t>
      </w:r>
      <w:r w:rsidRPr="00A57F05">
        <w:rPr>
          <w:rFonts w:ascii="Times New Roman" w:hAnsi="Times New Roman" w:cs="Times New Roman"/>
          <w:sz w:val="20"/>
          <w:szCs w:val="20"/>
        </w:rPr>
        <w:t xml:space="preserve">pe baza datelor de pe </w:t>
      </w:r>
      <w:hyperlink r:id="rId17" w:history="1">
        <w:r w:rsidRPr="00A57F05">
          <w:rPr>
            <w:rStyle w:val="Hyperlink"/>
            <w:rFonts w:ascii="Times New Roman" w:hAnsi="Times New Roman" w:cs="Times New Roman"/>
            <w:sz w:val="20"/>
            <w:szCs w:val="20"/>
          </w:rPr>
          <w:t>www.insse.ro</w:t>
        </w:r>
      </w:hyperlink>
    </w:p>
    <w:p w:rsidR="00875A4E" w:rsidRPr="00A57F05" w:rsidRDefault="00875A4E" w:rsidP="00875A4E">
      <w:pPr>
        <w:spacing w:after="0"/>
        <w:ind w:firstLine="709"/>
        <w:jc w:val="both"/>
        <w:rPr>
          <w:rFonts w:ascii="Times New Roman" w:eastAsia="Calibri" w:hAnsi="Times New Roman" w:cs="Times New Roman"/>
          <w:sz w:val="24"/>
          <w:szCs w:val="24"/>
          <w:lang w:eastAsia="en-US"/>
        </w:rPr>
      </w:pPr>
    </w:p>
    <w:p w:rsidR="00DB5CD7" w:rsidRPr="00A57F05" w:rsidRDefault="00875A4E" w:rsidP="00F90A72">
      <w:pPr>
        <w:spacing w:after="0" w:line="240" w:lineRule="auto"/>
        <w:ind w:firstLine="709"/>
        <w:jc w:val="both"/>
        <w:rPr>
          <w:rFonts w:ascii="Times New Roman" w:eastAsia="Calibri" w:hAnsi="Times New Roman" w:cs="Times New Roman"/>
          <w:sz w:val="24"/>
          <w:szCs w:val="24"/>
          <w:lang w:eastAsia="en-US"/>
        </w:rPr>
      </w:pPr>
      <w:r w:rsidRPr="00A57F05">
        <w:rPr>
          <w:rFonts w:ascii="Times New Roman" w:eastAsia="Calibri" w:hAnsi="Times New Roman" w:cs="Times New Roman"/>
          <w:sz w:val="24"/>
          <w:szCs w:val="24"/>
          <w:lang w:eastAsia="en-US"/>
        </w:rPr>
        <w:t xml:space="preserve">În </w:t>
      </w:r>
      <w:r w:rsidR="00733ED0" w:rsidRPr="00A57F05">
        <w:rPr>
          <w:rFonts w:ascii="Times New Roman" w:eastAsia="Calibri" w:hAnsi="Times New Roman" w:cs="Times New Roman"/>
          <w:sz w:val="24"/>
          <w:szCs w:val="24"/>
          <w:lang w:eastAsia="en-US"/>
        </w:rPr>
        <w:t xml:space="preserve">anii 2000 și 2007 </w:t>
      </w:r>
      <w:r w:rsidRPr="00A57F05">
        <w:rPr>
          <w:rFonts w:ascii="Times New Roman" w:eastAsia="Calibri" w:hAnsi="Times New Roman" w:cs="Times New Roman"/>
          <w:sz w:val="24"/>
          <w:szCs w:val="24"/>
          <w:lang w:eastAsia="en-US"/>
        </w:rPr>
        <w:t xml:space="preserve">indicele Gini al </w:t>
      </w:r>
      <w:r w:rsidR="00932CD9" w:rsidRPr="00A57F05">
        <w:rPr>
          <w:rFonts w:ascii="Times New Roman" w:eastAsia="Calibri" w:hAnsi="Times New Roman" w:cs="Times New Roman"/>
          <w:sz w:val="24"/>
          <w:szCs w:val="24"/>
          <w:lang w:eastAsia="en-US"/>
        </w:rPr>
        <w:t>câștigurilor</w:t>
      </w:r>
      <w:r w:rsidRPr="00A57F05">
        <w:rPr>
          <w:rFonts w:ascii="Times New Roman" w:eastAsia="Calibri" w:hAnsi="Times New Roman" w:cs="Times New Roman"/>
          <w:sz w:val="24"/>
          <w:szCs w:val="24"/>
          <w:lang w:eastAsia="en-US"/>
        </w:rPr>
        <w:t xml:space="preserve"> salariale </w:t>
      </w:r>
      <w:r w:rsidR="00932CD9" w:rsidRPr="00A57F05">
        <w:rPr>
          <w:rFonts w:ascii="Times New Roman" w:eastAsia="Calibri" w:hAnsi="Times New Roman" w:cs="Times New Roman"/>
          <w:sz w:val="24"/>
          <w:szCs w:val="24"/>
          <w:lang w:eastAsia="en-US"/>
        </w:rPr>
        <w:t xml:space="preserve">la nivel regional </w:t>
      </w:r>
      <w:r w:rsidRPr="00A57F05">
        <w:rPr>
          <w:rFonts w:ascii="Times New Roman" w:eastAsia="Calibri" w:hAnsi="Times New Roman" w:cs="Times New Roman"/>
          <w:sz w:val="24"/>
          <w:szCs w:val="24"/>
          <w:lang w:eastAsia="en-US"/>
        </w:rPr>
        <w:t xml:space="preserve">s-a situat </w:t>
      </w:r>
      <w:r w:rsidR="00DB5CD7" w:rsidRPr="00A57F05">
        <w:rPr>
          <w:rFonts w:ascii="Times New Roman" w:eastAsia="Calibri" w:hAnsi="Times New Roman" w:cs="Times New Roman"/>
          <w:sz w:val="24"/>
          <w:szCs w:val="24"/>
          <w:lang w:eastAsia="en-US"/>
        </w:rPr>
        <w:t xml:space="preserve">în majoritatea regiunilor </w:t>
      </w:r>
      <w:r w:rsidRPr="00A57F05">
        <w:rPr>
          <w:rFonts w:ascii="Times New Roman" w:eastAsia="Calibri" w:hAnsi="Times New Roman" w:cs="Times New Roman"/>
          <w:sz w:val="24"/>
          <w:szCs w:val="24"/>
          <w:lang w:eastAsia="en-US"/>
        </w:rPr>
        <w:t xml:space="preserve">la valori de sub </w:t>
      </w:r>
      <w:r w:rsidR="00733ED0" w:rsidRPr="00A57F05">
        <w:rPr>
          <w:rFonts w:ascii="Times New Roman" w:eastAsia="Calibri" w:hAnsi="Times New Roman" w:cs="Times New Roman"/>
          <w:sz w:val="24"/>
          <w:szCs w:val="24"/>
          <w:lang w:eastAsia="en-US"/>
        </w:rPr>
        <w:t>0,</w:t>
      </w:r>
      <w:r w:rsidR="00932CD9" w:rsidRPr="00A57F05">
        <w:rPr>
          <w:rFonts w:ascii="Times New Roman" w:eastAsia="Calibri" w:hAnsi="Times New Roman" w:cs="Times New Roman"/>
          <w:sz w:val="24"/>
          <w:szCs w:val="24"/>
          <w:lang w:eastAsia="en-US"/>
        </w:rPr>
        <w:t xml:space="preserve">5, </w:t>
      </w:r>
      <w:r w:rsidRPr="00A57F05">
        <w:rPr>
          <w:rFonts w:ascii="Times New Roman" w:eastAsia="Calibri" w:hAnsi="Times New Roman" w:cs="Times New Roman"/>
          <w:sz w:val="24"/>
          <w:szCs w:val="24"/>
          <w:lang w:eastAsia="en-US"/>
        </w:rPr>
        <w:t xml:space="preserve">ceea ce </w:t>
      </w:r>
      <w:r w:rsidR="00DB5CD7" w:rsidRPr="00A57F05">
        <w:rPr>
          <w:rFonts w:ascii="Times New Roman" w:eastAsia="Calibri" w:hAnsi="Times New Roman" w:cs="Times New Roman"/>
          <w:sz w:val="24"/>
          <w:szCs w:val="24"/>
          <w:lang w:eastAsia="en-US"/>
        </w:rPr>
        <w:t xml:space="preserve">ne </w:t>
      </w:r>
      <w:r w:rsidRPr="00A57F05">
        <w:rPr>
          <w:rFonts w:ascii="Times New Roman" w:eastAsia="Calibri" w:hAnsi="Times New Roman" w:cs="Times New Roman"/>
          <w:sz w:val="24"/>
          <w:szCs w:val="24"/>
          <w:lang w:eastAsia="en-US"/>
        </w:rPr>
        <w:t xml:space="preserve">situează în zona stângă a curbei Kuznets, unde </w:t>
      </w:r>
      <w:r w:rsidRPr="00A57F05">
        <w:rPr>
          <w:rFonts w:ascii="Times New Roman" w:eastAsia="Calibri" w:hAnsi="Times New Roman" w:cs="Times New Roman"/>
          <w:sz w:val="24"/>
          <w:szCs w:val="24"/>
          <w:lang w:eastAsia="en-US"/>
        </w:rPr>
        <w:lastRenderedPageBreak/>
        <w:t>avem un nivel scăzut al PIB</w:t>
      </w:r>
      <w:r w:rsidR="00932CD9" w:rsidRPr="00A57F05">
        <w:rPr>
          <w:rFonts w:ascii="Times New Roman" w:eastAsia="Calibri" w:hAnsi="Times New Roman" w:cs="Times New Roman"/>
          <w:sz w:val="24"/>
          <w:szCs w:val="24"/>
          <w:lang w:eastAsia="en-US"/>
        </w:rPr>
        <w:t xml:space="preserve">-ului pe </w:t>
      </w:r>
      <w:r w:rsidRPr="00A57F05">
        <w:rPr>
          <w:rFonts w:ascii="Times New Roman" w:eastAsia="Calibri" w:hAnsi="Times New Roman" w:cs="Times New Roman"/>
          <w:sz w:val="24"/>
          <w:szCs w:val="24"/>
          <w:lang w:eastAsia="en-US"/>
        </w:rPr>
        <w:t>loc</w:t>
      </w:r>
      <w:r w:rsidR="00932CD9" w:rsidRPr="00A57F05">
        <w:rPr>
          <w:rFonts w:ascii="Times New Roman" w:eastAsia="Calibri" w:hAnsi="Times New Roman" w:cs="Times New Roman"/>
          <w:sz w:val="24"/>
          <w:szCs w:val="24"/>
          <w:lang w:eastAsia="en-US"/>
        </w:rPr>
        <w:t>uitor</w:t>
      </w:r>
      <w:r w:rsidRPr="00A57F05">
        <w:rPr>
          <w:rFonts w:ascii="Times New Roman" w:eastAsia="Calibri" w:hAnsi="Times New Roman" w:cs="Times New Roman"/>
          <w:sz w:val="24"/>
          <w:szCs w:val="24"/>
          <w:lang w:eastAsia="en-US"/>
        </w:rPr>
        <w:t xml:space="preserve"> și diferențe mici între venituri.</w:t>
      </w:r>
      <w:r w:rsidR="00DB5CD7" w:rsidRPr="00A57F05">
        <w:rPr>
          <w:rFonts w:ascii="Times New Roman" w:eastAsia="Calibri" w:hAnsi="Times New Roman" w:cs="Times New Roman"/>
          <w:sz w:val="24"/>
          <w:szCs w:val="24"/>
          <w:lang w:eastAsia="en-US"/>
        </w:rPr>
        <w:t xml:space="preserve"> Excepție de la aceast trend făcând regiunea Sud-Est</w:t>
      </w:r>
      <w:r w:rsidR="00733ED0" w:rsidRPr="00A57F05">
        <w:rPr>
          <w:rFonts w:ascii="Times New Roman" w:eastAsia="Calibri" w:hAnsi="Times New Roman" w:cs="Times New Roman"/>
          <w:sz w:val="24"/>
          <w:szCs w:val="24"/>
          <w:lang w:eastAsia="en-US"/>
        </w:rPr>
        <w:t xml:space="preserve"> cu un indice Gini de 0,</w:t>
      </w:r>
      <w:r w:rsidR="00DB5CD7" w:rsidRPr="00A57F05">
        <w:rPr>
          <w:rFonts w:ascii="Times New Roman" w:eastAsia="Calibri" w:hAnsi="Times New Roman" w:cs="Times New Roman"/>
          <w:sz w:val="24"/>
          <w:szCs w:val="24"/>
          <w:lang w:eastAsia="en-US"/>
        </w:rPr>
        <w:t>7</w:t>
      </w:r>
      <w:r w:rsidR="00733ED0" w:rsidRPr="00A57F05">
        <w:rPr>
          <w:rFonts w:ascii="Times New Roman" w:eastAsia="Calibri" w:hAnsi="Times New Roman" w:cs="Times New Roman"/>
          <w:sz w:val="24"/>
          <w:szCs w:val="24"/>
          <w:lang w:eastAsia="en-US"/>
        </w:rPr>
        <w:t xml:space="preserve"> în anul 2000, ceea ce indică o polarizare mai mare a câștigurilor salariale</w:t>
      </w:r>
      <w:r w:rsidR="00DB5CD7" w:rsidRPr="00A57F05">
        <w:rPr>
          <w:rFonts w:ascii="Times New Roman" w:eastAsia="Calibri" w:hAnsi="Times New Roman" w:cs="Times New Roman"/>
          <w:sz w:val="24"/>
          <w:szCs w:val="24"/>
          <w:lang w:eastAsia="en-US"/>
        </w:rPr>
        <w:t xml:space="preserve">. </w:t>
      </w:r>
      <w:r w:rsidR="00733ED0" w:rsidRPr="00A57F05">
        <w:rPr>
          <w:rFonts w:ascii="Times New Roman" w:eastAsia="Calibri" w:hAnsi="Times New Roman" w:cs="Times New Roman"/>
          <w:sz w:val="24"/>
          <w:szCs w:val="24"/>
          <w:lang w:eastAsia="en-US"/>
        </w:rPr>
        <w:t>În anul 2009 (anul de apogeu al crizei economice)</w:t>
      </w:r>
      <w:r w:rsidR="0039528C" w:rsidRPr="00A57F05">
        <w:rPr>
          <w:rFonts w:ascii="Times New Roman" w:eastAsia="Calibri" w:hAnsi="Times New Roman" w:cs="Times New Roman"/>
          <w:sz w:val="24"/>
          <w:szCs w:val="24"/>
          <w:lang w:eastAsia="en-US"/>
        </w:rPr>
        <w:t xml:space="preserve"> față de 2007 observăm că inegalitățile câștigurilor salariale s-au redus ușor în șase din cele opt regiuni de dezvoltare</w:t>
      </w:r>
      <w:r w:rsidR="0043716D">
        <w:rPr>
          <w:rFonts w:ascii="Times New Roman" w:eastAsia="Calibri" w:hAnsi="Times New Roman" w:cs="Times New Roman"/>
          <w:sz w:val="24"/>
          <w:szCs w:val="24"/>
          <w:lang w:eastAsia="en-US"/>
        </w:rPr>
        <w:t xml:space="preserve"> (figura 5)</w:t>
      </w:r>
      <w:r w:rsidR="0039528C" w:rsidRPr="00A57F05">
        <w:rPr>
          <w:rFonts w:ascii="Times New Roman" w:eastAsia="Calibri" w:hAnsi="Times New Roman" w:cs="Times New Roman"/>
          <w:sz w:val="24"/>
          <w:szCs w:val="24"/>
          <w:lang w:eastAsia="en-US"/>
        </w:rPr>
        <w:t xml:space="preserve">. Cele două regiuni care au avut o creștere a indicelui Gini au fost Sud-Est și Sud. De remarcat este faptul că în 2012 față de 2009 inegalitățile de câștig nu s-au accentuat în majoritatea regiunilor de dezvoltare. Singurele regiuni care au înregistrat creșteri ale indicelui Gini în această perioadă au fost </w:t>
      </w:r>
      <w:r w:rsidR="00B66FF0" w:rsidRPr="00A57F05">
        <w:rPr>
          <w:rFonts w:ascii="Times New Roman" w:eastAsia="Calibri" w:hAnsi="Times New Roman" w:cs="Times New Roman"/>
          <w:sz w:val="24"/>
          <w:szCs w:val="24"/>
          <w:lang w:eastAsia="en-US"/>
        </w:rPr>
        <w:t>Centru (creștere semnificativă de 55% a indicelui în 2012 față de 2009), Vest (creștere de 19%) și Sud (creștere de 12%).</w:t>
      </w:r>
      <w:r w:rsidR="0023766B" w:rsidRPr="00A57F05">
        <w:rPr>
          <w:rFonts w:ascii="Times New Roman" w:eastAsia="Calibri" w:hAnsi="Times New Roman" w:cs="Times New Roman"/>
          <w:sz w:val="24"/>
          <w:szCs w:val="24"/>
          <w:lang w:eastAsia="en-US"/>
        </w:rPr>
        <w:t xml:space="preserve"> Așa cum era de așteptat Regiunea București-Ilfov, în toți cei patru ani supuși analizei, are cele mai reduse valori ale indicelui Gini, fapt ce indică existența unei distribuții mai echitabile a câștigurilor în această regiune.</w:t>
      </w:r>
    </w:p>
    <w:p w:rsidR="00B66FF0" w:rsidRPr="00A57F05" w:rsidRDefault="00B66FF0" w:rsidP="00F90A72">
      <w:pPr>
        <w:spacing w:after="0" w:line="240" w:lineRule="auto"/>
        <w:ind w:firstLine="709"/>
        <w:jc w:val="both"/>
        <w:rPr>
          <w:rFonts w:ascii="Times New Roman" w:eastAsia="Calibri" w:hAnsi="Times New Roman" w:cs="Times New Roman"/>
          <w:sz w:val="24"/>
          <w:szCs w:val="24"/>
          <w:lang w:eastAsia="en-US"/>
        </w:rPr>
      </w:pPr>
      <w:r w:rsidRPr="00A57F05">
        <w:rPr>
          <w:rFonts w:ascii="Times New Roman" w:eastAsia="Calibri" w:hAnsi="Times New Roman" w:cs="Times New Roman"/>
          <w:sz w:val="24"/>
          <w:szCs w:val="24"/>
          <w:lang w:eastAsia="en-US"/>
        </w:rPr>
        <w:t>Urmărind evoluția indicelui Gini la nivel de regional putem spune că în majoritatea regiunilor de dezvoltare efectele crizei economice nu au accentuat inegalitățile la nivelul câștigurilor salariale</w:t>
      </w:r>
      <w:r w:rsidR="0023766B" w:rsidRPr="00A57F05">
        <w:rPr>
          <w:rFonts w:ascii="Times New Roman" w:eastAsia="Calibri" w:hAnsi="Times New Roman" w:cs="Times New Roman"/>
          <w:sz w:val="24"/>
          <w:szCs w:val="24"/>
          <w:lang w:eastAsia="en-US"/>
        </w:rPr>
        <w:t>, însă observăm că există tendința că odată cu primele semne de revenire economică inegalitatea câștigurilor începe să crească.</w:t>
      </w:r>
    </w:p>
    <w:p w:rsidR="00A42A6A" w:rsidRPr="00A57F05" w:rsidRDefault="00A42A6A" w:rsidP="00285326">
      <w:pPr>
        <w:spacing w:after="0"/>
        <w:jc w:val="both"/>
        <w:rPr>
          <w:rFonts w:ascii="Times New Roman" w:hAnsi="Times New Roman" w:cs="Times New Roman"/>
          <w:b/>
          <w:sz w:val="24"/>
          <w:szCs w:val="24"/>
        </w:rPr>
      </w:pPr>
    </w:p>
    <w:p w:rsidR="00CE3B21" w:rsidRPr="00A57F05" w:rsidRDefault="00CE3B21" w:rsidP="007A3017">
      <w:pPr>
        <w:pStyle w:val="ListParagraph"/>
        <w:numPr>
          <w:ilvl w:val="0"/>
          <w:numId w:val="2"/>
        </w:numPr>
        <w:spacing w:after="0" w:line="240" w:lineRule="auto"/>
        <w:jc w:val="both"/>
        <w:rPr>
          <w:rFonts w:ascii="Times New Roman" w:hAnsi="Times New Roman" w:cs="Times New Roman"/>
          <w:b/>
          <w:sz w:val="24"/>
          <w:szCs w:val="24"/>
        </w:rPr>
      </w:pPr>
      <w:r w:rsidRPr="00A57F05">
        <w:rPr>
          <w:rFonts w:ascii="Times New Roman" w:hAnsi="Times New Roman" w:cs="Times New Roman"/>
          <w:b/>
          <w:sz w:val="24"/>
          <w:szCs w:val="24"/>
        </w:rPr>
        <w:t>ANALIZĂ ECONOMETRICĂ</w:t>
      </w:r>
    </w:p>
    <w:p w:rsidR="007A3017" w:rsidRPr="00A57F05" w:rsidRDefault="007A3017" w:rsidP="007A3017">
      <w:pPr>
        <w:pStyle w:val="ListParagraph"/>
        <w:spacing w:after="0" w:line="240" w:lineRule="auto"/>
        <w:jc w:val="both"/>
        <w:rPr>
          <w:rFonts w:ascii="Times New Roman" w:hAnsi="Times New Roman" w:cs="Times New Roman"/>
          <w:b/>
          <w:sz w:val="24"/>
          <w:szCs w:val="24"/>
        </w:rPr>
      </w:pPr>
    </w:p>
    <w:p w:rsidR="00A70806" w:rsidRPr="00A57F05" w:rsidRDefault="0085176A" w:rsidP="0085176A">
      <w:pPr>
        <w:spacing w:after="0" w:line="240" w:lineRule="auto"/>
        <w:ind w:firstLine="720"/>
        <w:jc w:val="both"/>
        <w:rPr>
          <w:rFonts w:ascii="Times New Roman" w:hAnsi="Times New Roman" w:cs="Times New Roman"/>
          <w:sz w:val="24"/>
          <w:szCs w:val="24"/>
        </w:rPr>
      </w:pPr>
      <w:r w:rsidRPr="00A57F05">
        <w:rPr>
          <w:rFonts w:ascii="Times New Roman" w:hAnsi="Times New Roman" w:cs="Times New Roman"/>
          <w:sz w:val="24"/>
          <w:szCs w:val="24"/>
        </w:rPr>
        <w:t>În cadrul analizei econometrice realizate la nivelul celor 8 regiuni de dezvoltare din România am utilizat date anuale pentru perioada 2001-2012</w:t>
      </w:r>
      <w:r w:rsidR="00A70806" w:rsidRPr="00A57F05">
        <w:rPr>
          <w:rFonts w:ascii="Times New Roman" w:hAnsi="Times New Roman" w:cs="Times New Roman"/>
          <w:sz w:val="24"/>
          <w:szCs w:val="24"/>
        </w:rPr>
        <w:t>. Perioada aleasă spre analiză a fost determinată de indisponibilitatea datelor mai recente la nivel regional, dar și în aceste condiții am reușit să surprind perioada de vârf a crizei economice.</w:t>
      </w:r>
    </w:p>
    <w:p w:rsidR="0085176A" w:rsidRPr="00A57F05" w:rsidRDefault="005F5A25" w:rsidP="0085176A">
      <w:pPr>
        <w:spacing w:after="0" w:line="240" w:lineRule="auto"/>
        <w:ind w:firstLine="720"/>
        <w:jc w:val="both"/>
        <w:rPr>
          <w:rFonts w:ascii="Times New Roman" w:hAnsi="Times New Roman" w:cs="Times New Roman"/>
          <w:sz w:val="24"/>
          <w:szCs w:val="24"/>
        </w:rPr>
      </w:pPr>
      <w:r w:rsidRPr="00A57F05">
        <w:rPr>
          <w:rFonts w:ascii="Times New Roman" w:hAnsi="Times New Roman" w:cs="Times New Roman"/>
          <w:sz w:val="24"/>
          <w:szCs w:val="24"/>
        </w:rPr>
        <w:t>Estimările au fost făcute pe baza unui panel de date având ca variabile</w:t>
      </w:r>
      <w:r w:rsidR="0085176A" w:rsidRPr="00A57F05">
        <w:rPr>
          <w:rFonts w:ascii="Times New Roman" w:hAnsi="Times New Roman" w:cs="Times New Roman"/>
          <w:sz w:val="24"/>
          <w:szCs w:val="24"/>
        </w:rPr>
        <w:t xml:space="preserve"> dependente</w:t>
      </w:r>
      <w:r w:rsidRPr="00A57F05">
        <w:rPr>
          <w:rFonts w:ascii="Times New Roman" w:hAnsi="Times New Roman" w:cs="Times New Roman"/>
          <w:sz w:val="24"/>
          <w:szCs w:val="24"/>
        </w:rPr>
        <w:t xml:space="preserve"> câştigul salarial nominal mediu brut lunar şi indicele Gini la nivel de regiune. Referitor la variabilele independente, deși inițial am luat în calcul un număr mai mare, în urma estimărilor am obținut că nivelul câștigurilor salariale este înfluențat de valoarea adăugată brută (VAB), absolvenții de studii postliceale şi superioare și de rata inflației la nivel național (neexistând indici de preț calculați la nivel regional), în timp ce inegalitățile câștigurilor (indicele Gini) sunt determinate în special de nivelul valorii adăugate brute și de nivelul investițiilor străine directe la nivel de regiune (ISD).</w:t>
      </w:r>
    </w:p>
    <w:p w:rsidR="0085176A" w:rsidRPr="00A57F05" w:rsidRDefault="00A70806" w:rsidP="0085176A">
      <w:pPr>
        <w:spacing w:after="0" w:line="240" w:lineRule="auto"/>
        <w:ind w:firstLine="720"/>
        <w:jc w:val="both"/>
        <w:rPr>
          <w:rFonts w:ascii="Times New Roman" w:hAnsi="Times New Roman" w:cs="Times New Roman"/>
          <w:sz w:val="24"/>
          <w:szCs w:val="24"/>
        </w:rPr>
      </w:pPr>
      <w:r w:rsidRPr="00A57F05">
        <w:rPr>
          <w:rFonts w:ascii="Times New Roman" w:hAnsi="Times New Roman" w:cs="Times New Roman"/>
          <w:sz w:val="24"/>
          <w:szCs w:val="24"/>
        </w:rPr>
        <w:t xml:space="preserve">Sursele de date folosite au fost Institutul Național de Statistică de unde am preluat câștigurile salariale, absolvenții de studii postliceale şi superioare și rata inflației, Eurostat pentru valoarea adăugată brută și </w:t>
      </w:r>
      <w:r w:rsidR="004A53F9" w:rsidRPr="00A57F05">
        <w:rPr>
          <w:rFonts w:ascii="Times New Roman" w:hAnsi="Times New Roman" w:cs="Times New Roman"/>
          <w:sz w:val="24"/>
          <w:szCs w:val="24"/>
        </w:rPr>
        <w:t>Oficiul</w:t>
      </w:r>
      <w:r w:rsidR="004A11FC" w:rsidRPr="00A57F05">
        <w:rPr>
          <w:rFonts w:ascii="Times New Roman" w:hAnsi="Times New Roman" w:cs="Times New Roman"/>
          <w:sz w:val="24"/>
          <w:szCs w:val="24"/>
        </w:rPr>
        <w:t xml:space="preserve"> Naţional al Registrului Comerţului</w:t>
      </w:r>
      <w:r w:rsidR="004A53F9" w:rsidRPr="00A57F05">
        <w:rPr>
          <w:rFonts w:ascii="Times New Roman" w:hAnsi="Times New Roman" w:cs="Times New Roman"/>
          <w:sz w:val="24"/>
          <w:szCs w:val="24"/>
        </w:rPr>
        <w:t xml:space="preserve"> pentru investițiile străine directe. </w:t>
      </w:r>
    </w:p>
    <w:p w:rsidR="0085176A" w:rsidRPr="00A57F05" w:rsidRDefault="004A53F9" w:rsidP="004A53F9">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t>Referitor la</w:t>
      </w:r>
      <w:r w:rsidR="0085176A" w:rsidRPr="00A57F05">
        <w:rPr>
          <w:rFonts w:ascii="Times New Roman" w:hAnsi="Times New Roman" w:cs="Times New Roman"/>
          <w:sz w:val="24"/>
          <w:szCs w:val="24"/>
        </w:rPr>
        <w:t xml:space="preserve"> indicele Gini</w:t>
      </w:r>
      <w:r w:rsidRPr="00A57F05">
        <w:rPr>
          <w:rFonts w:ascii="Times New Roman" w:hAnsi="Times New Roman" w:cs="Times New Roman"/>
          <w:sz w:val="24"/>
          <w:szCs w:val="24"/>
        </w:rPr>
        <w:t xml:space="preserve"> calculat pentru fiecare regiune în parte am luat </w:t>
      </w:r>
      <w:r w:rsidR="0085176A" w:rsidRPr="00A57F05">
        <w:rPr>
          <w:rFonts w:ascii="Times New Roman" w:hAnsi="Times New Roman" w:cs="Times New Roman"/>
          <w:sz w:val="24"/>
          <w:szCs w:val="24"/>
        </w:rPr>
        <w:t>în considerare câştigurile salariale la nivel de judeţ</w:t>
      </w:r>
      <w:r w:rsidRPr="00A57F05">
        <w:rPr>
          <w:rFonts w:ascii="Times New Roman" w:hAnsi="Times New Roman" w:cs="Times New Roman"/>
          <w:sz w:val="24"/>
          <w:szCs w:val="24"/>
        </w:rPr>
        <w:t xml:space="preserve"> component</w:t>
      </w:r>
      <w:r w:rsidR="0085176A" w:rsidRPr="00A57F05">
        <w:rPr>
          <w:rFonts w:ascii="Times New Roman" w:hAnsi="Times New Roman" w:cs="Times New Roman"/>
          <w:sz w:val="24"/>
          <w:szCs w:val="24"/>
        </w:rPr>
        <w:t xml:space="preserve">. Scopul principal </w:t>
      </w:r>
      <w:r w:rsidRPr="00A57F05">
        <w:rPr>
          <w:rFonts w:ascii="Times New Roman" w:hAnsi="Times New Roman" w:cs="Times New Roman"/>
          <w:sz w:val="24"/>
          <w:szCs w:val="24"/>
        </w:rPr>
        <w:t xml:space="preserve">al realizării acestui indice </w:t>
      </w:r>
      <w:r w:rsidR="0085176A" w:rsidRPr="00A57F05">
        <w:rPr>
          <w:rFonts w:ascii="Times New Roman" w:hAnsi="Times New Roman" w:cs="Times New Roman"/>
          <w:sz w:val="24"/>
          <w:szCs w:val="24"/>
        </w:rPr>
        <w:t>a fost determinarea inegalităţilor salariale la nivel de regiune</w:t>
      </w:r>
      <w:r w:rsidR="007A3017" w:rsidRPr="00A57F05">
        <w:rPr>
          <w:rFonts w:ascii="Times New Roman" w:hAnsi="Times New Roman" w:cs="Times New Roman"/>
          <w:sz w:val="24"/>
          <w:szCs w:val="24"/>
        </w:rPr>
        <w:t xml:space="preserve">, deoarece indicele </w:t>
      </w:r>
      <w:r w:rsidR="007A3017" w:rsidRPr="00A57F05">
        <w:rPr>
          <w:rFonts w:ascii="Times New Roman" w:eastAsia="Calibri" w:hAnsi="Times New Roman" w:cs="Times New Roman"/>
          <w:sz w:val="24"/>
          <w:szCs w:val="24"/>
        </w:rPr>
        <w:t xml:space="preserve">Gini măsoară abaterea distribuției veniturilor unei persoane de la o distribuţie perfect egalitară, </w:t>
      </w:r>
      <w:r w:rsidR="0085176A" w:rsidRPr="00A57F05">
        <w:rPr>
          <w:rFonts w:ascii="Times New Roman" w:hAnsi="Times New Roman" w:cs="Times New Roman"/>
          <w:sz w:val="24"/>
          <w:szCs w:val="24"/>
        </w:rPr>
        <w:t>şi, ulterior, folosirea</w:t>
      </w:r>
      <w:r w:rsidRPr="00A57F05">
        <w:rPr>
          <w:rFonts w:ascii="Times New Roman" w:hAnsi="Times New Roman" w:cs="Times New Roman"/>
          <w:sz w:val="24"/>
          <w:szCs w:val="24"/>
        </w:rPr>
        <w:t xml:space="preserve"> lui ca </w:t>
      </w:r>
      <w:r w:rsidR="0085176A" w:rsidRPr="00A57F05">
        <w:rPr>
          <w:rFonts w:ascii="Times New Roman" w:hAnsi="Times New Roman" w:cs="Times New Roman"/>
          <w:sz w:val="24"/>
          <w:szCs w:val="24"/>
        </w:rPr>
        <w:t xml:space="preserve">variabilă independentă </w:t>
      </w:r>
      <w:r w:rsidRPr="00A57F05">
        <w:rPr>
          <w:rFonts w:ascii="Times New Roman" w:hAnsi="Times New Roman" w:cs="Times New Roman"/>
          <w:sz w:val="24"/>
          <w:szCs w:val="24"/>
        </w:rPr>
        <w:t xml:space="preserve">în modelul econometric. </w:t>
      </w:r>
      <w:r w:rsidR="007A3017" w:rsidRPr="00A57F05">
        <w:rPr>
          <w:rFonts w:ascii="Times New Roman" w:eastAsia="Calibri" w:hAnsi="Times New Roman" w:cs="Times New Roman"/>
          <w:sz w:val="24"/>
          <w:szCs w:val="24"/>
        </w:rPr>
        <w:t xml:space="preserve">Indicele Gini ia valori între 0 și 1, </w:t>
      </w:r>
      <w:r w:rsidR="0085176A" w:rsidRPr="00A57F05">
        <w:rPr>
          <w:rFonts w:ascii="Times New Roman" w:eastAsia="Calibri" w:hAnsi="Times New Roman" w:cs="Times New Roman"/>
          <w:sz w:val="24"/>
          <w:szCs w:val="24"/>
        </w:rPr>
        <w:t xml:space="preserve">unde 0 indică o distribuție </w:t>
      </w:r>
      <w:r w:rsidR="007A3017" w:rsidRPr="00A57F05">
        <w:rPr>
          <w:rFonts w:ascii="Times New Roman" w:eastAsia="Calibri" w:hAnsi="Times New Roman" w:cs="Times New Roman"/>
          <w:sz w:val="24"/>
          <w:szCs w:val="24"/>
        </w:rPr>
        <w:t>a veniturilor perfect echitabilă</w:t>
      </w:r>
      <w:r w:rsidR="0085176A" w:rsidRPr="00A57F05">
        <w:rPr>
          <w:rFonts w:ascii="Times New Roman" w:eastAsia="Calibri" w:hAnsi="Times New Roman" w:cs="Times New Roman"/>
          <w:sz w:val="24"/>
          <w:szCs w:val="24"/>
        </w:rPr>
        <w:t xml:space="preserve"> între persoanele dintr-o societate și 1 înseamnă că un singur individ primește toate veniturile. </w:t>
      </w:r>
    </w:p>
    <w:p w:rsidR="00C2354A" w:rsidRPr="00A57F05" w:rsidRDefault="007A3017" w:rsidP="004A42E3">
      <w:pPr>
        <w:spacing w:after="0" w:line="240" w:lineRule="auto"/>
        <w:ind w:firstLine="720"/>
        <w:jc w:val="both"/>
        <w:rPr>
          <w:rFonts w:ascii="Times New Roman" w:hAnsi="Times New Roman" w:cs="Times New Roman"/>
          <w:sz w:val="24"/>
          <w:szCs w:val="24"/>
        </w:rPr>
      </w:pPr>
      <w:r w:rsidRPr="00A57F05">
        <w:rPr>
          <w:rFonts w:ascii="Times New Roman" w:hAnsi="Times New Roman" w:cs="Times New Roman"/>
          <w:sz w:val="24"/>
          <w:szCs w:val="24"/>
        </w:rPr>
        <w:t>P</w:t>
      </w:r>
      <w:r w:rsidR="0085176A" w:rsidRPr="00A57F05">
        <w:rPr>
          <w:rFonts w:ascii="Times New Roman" w:hAnsi="Times New Roman" w:cs="Times New Roman"/>
          <w:sz w:val="24"/>
          <w:szCs w:val="24"/>
        </w:rPr>
        <w:t xml:space="preserve">relucrările şi estimările </w:t>
      </w:r>
      <w:r w:rsidRPr="00A57F05">
        <w:rPr>
          <w:rFonts w:ascii="Times New Roman" w:hAnsi="Times New Roman" w:cs="Times New Roman"/>
          <w:sz w:val="24"/>
          <w:szCs w:val="24"/>
        </w:rPr>
        <w:t xml:space="preserve">panelului de date </w:t>
      </w:r>
      <w:r w:rsidR="0085176A" w:rsidRPr="00A57F05">
        <w:rPr>
          <w:rFonts w:ascii="Times New Roman" w:hAnsi="Times New Roman" w:cs="Times New Roman"/>
          <w:sz w:val="24"/>
          <w:szCs w:val="24"/>
        </w:rPr>
        <w:t xml:space="preserve">au fost efectuate în Stata. </w:t>
      </w:r>
      <w:r w:rsidRPr="00A57F05">
        <w:rPr>
          <w:rFonts w:ascii="Times New Roman" w:hAnsi="Times New Roman" w:cs="Times New Roman"/>
          <w:sz w:val="24"/>
          <w:szCs w:val="24"/>
        </w:rPr>
        <w:t xml:space="preserve">Am utilizat un panel de date cu efecte fixe, determinând astfel o corelare a efectelor individuale </w:t>
      </w:r>
      <w:r w:rsidR="004A42E3" w:rsidRPr="00A57F05">
        <w:rPr>
          <w:rFonts w:ascii="Times New Roman" w:hAnsi="Times New Roman" w:cs="Times New Roman"/>
          <w:sz w:val="24"/>
          <w:szCs w:val="24"/>
        </w:rPr>
        <w:t>cu variabilele explicative și având astfel posibilitatea de a controla efectele neobservabile specifice fiecărei regiuni. Existența efectelor fixe am testat-o și pe baza testului Hausman care a indicat utilizarea efectelor fixe în panel. Ulterior am verificat ipotezele asupra reziduului modelului aplicând teste pentru autocorelare (testul Wooldridge) şi homoscedasticitate (testul Wald)(Drukker, 2003, Baum, 2001). Rezultatele au indicat faptul că erorile sunt heteroscedastice şi autocorelate și din aceste motive, a fost necesară obţinerea unor estimatori consistenţi prin aplicarea unei estimări robuste.</w:t>
      </w:r>
    </w:p>
    <w:p w:rsidR="00C2354A" w:rsidRPr="00A57F05" w:rsidRDefault="00C2354A" w:rsidP="00C2354A">
      <w:pPr>
        <w:spacing w:after="0" w:line="240" w:lineRule="auto"/>
        <w:jc w:val="center"/>
        <w:rPr>
          <w:rFonts w:ascii="Times New Roman" w:hAnsi="Times New Roman" w:cs="Times New Roman"/>
          <w:b/>
          <w:noProof/>
          <w:sz w:val="24"/>
          <w:szCs w:val="24"/>
        </w:rPr>
      </w:pPr>
    </w:p>
    <w:p w:rsidR="005773F4" w:rsidRDefault="005773F4" w:rsidP="007A3017">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en-US"/>
        </w:rPr>
      </w:pPr>
    </w:p>
    <w:p w:rsidR="005773F4" w:rsidRDefault="005773F4" w:rsidP="007A3017">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en-US"/>
        </w:rPr>
      </w:pPr>
    </w:p>
    <w:p w:rsidR="005773F4" w:rsidRDefault="005773F4" w:rsidP="007A3017">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en-US"/>
        </w:rPr>
      </w:pPr>
    </w:p>
    <w:p w:rsidR="006A441F" w:rsidRPr="00A57F05" w:rsidRDefault="006A441F" w:rsidP="007A3017">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en-US"/>
        </w:rPr>
      </w:pPr>
      <w:r w:rsidRPr="00A57F05">
        <w:rPr>
          <w:rFonts w:ascii="Times New Roman" w:eastAsia="Times New Roman" w:hAnsi="Times New Roman" w:cs="Times New Roman"/>
          <w:bCs/>
          <w:sz w:val="24"/>
          <w:szCs w:val="24"/>
          <w:lang w:eastAsia="en-US"/>
        </w:rPr>
        <w:lastRenderedPageBreak/>
        <w:t>Am avut în vedere estimarea a două ecuaţii ce au următoarele forme generale:</w:t>
      </w:r>
    </w:p>
    <w:p w:rsidR="008951D3" w:rsidRPr="00A57F05" w:rsidRDefault="008951D3" w:rsidP="007A3017">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en-US"/>
        </w:rPr>
      </w:pPr>
    </w:p>
    <w:p w:rsidR="006A441F" w:rsidRPr="00A57F05" w:rsidRDefault="005773F4" w:rsidP="007A3017">
      <w:pPr>
        <w:autoSpaceDE w:val="0"/>
        <w:autoSpaceDN w:val="0"/>
        <w:adjustRightInd w:val="0"/>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_cs</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rPr>
            <m:t xml:space="preserve">=c+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 xml:space="preserve">1 </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_educ</m:t>
              </m:r>
            </m:e>
            <m:sub>
              <m:r>
                <w:rPr>
                  <w:rFonts w:ascii="Cambria Math" w:eastAsia="Times New Roman" w:hAnsi="Cambria Math" w:cs="Times New Roman"/>
                  <w:sz w:val="24"/>
                  <w:szCs w:val="24"/>
                </w:rPr>
                <m:t xml:space="preserve">it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 xml:space="preserve">2 </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_vab</m:t>
              </m:r>
            </m:e>
            <m:sub>
              <m:r>
                <w:rPr>
                  <w:rFonts w:ascii="Cambria Math" w:eastAsia="Times New Roman" w:hAnsi="Cambria Math" w:cs="Times New Roman"/>
                  <w:sz w:val="24"/>
                  <w:szCs w:val="24"/>
                </w:rPr>
                <m:t xml:space="preserve">it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 xml:space="preserve">3 </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ri</m:t>
              </m:r>
            </m:e>
            <m:sub>
              <m:r>
                <w:rPr>
                  <w:rFonts w:ascii="Cambria Math" w:eastAsia="Times New Roman" w:hAnsi="Cambria Math" w:cs="Times New Roman"/>
                  <w:sz w:val="24"/>
                  <w:szCs w:val="24"/>
                </w:rPr>
                <m:t xml:space="preserve">it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ε</m:t>
              </m:r>
            </m:e>
            <m:sub>
              <m:r>
                <w:rPr>
                  <w:rFonts w:ascii="Cambria Math" w:eastAsia="Times New Roman" w:hAnsi="Cambria Math" w:cs="Times New Roman"/>
                  <w:sz w:val="24"/>
                  <w:szCs w:val="24"/>
                </w:rPr>
                <m:t xml:space="preserve">it  </m:t>
              </m:r>
            </m:sub>
          </m:sSub>
        </m:oMath>
      </m:oMathPara>
    </w:p>
    <w:p w:rsidR="008951D3" w:rsidRPr="00A57F05" w:rsidRDefault="008951D3" w:rsidP="007A3017">
      <w:pPr>
        <w:autoSpaceDE w:val="0"/>
        <w:autoSpaceDN w:val="0"/>
        <w:adjustRightInd w:val="0"/>
        <w:spacing w:after="0" w:line="240" w:lineRule="auto"/>
        <w:jc w:val="center"/>
        <w:rPr>
          <w:rFonts w:ascii="Times New Roman" w:eastAsia="Times New Roman" w:hAnsi="Times New Roman" w:cs="Times New Roman"/>
          <w:sz w:val="24"/>
          <w:szCs w:val="24"/>
        </w:rPr>
      </w:pPr>
    </w:p>
    <w:p w:rsidR="006A441F" w:rsidRPr="00A57F05" w:rsidRDefault="005773F4" w:rsidP="007A3017">
      <w:pPr>
        <w:spacing w:after="0"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_gini</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rPr>
            <m:t xml:space="preserve">=c+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 xml:space="preserve">1 </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_vab</m:t>
              </m:r>
            </m:e>
            <m:sub>
              <m:r>
                <w:rPr>
                  <w:rFonts w:ascii="Cambria Math" w:eastAsia="Times New Roman" w:hAnsi="Cambria Math" w:cs="Times New Roman"/>
                  <w:sz w:val="24"/>
                  <w:szCs w:val="24"/>
                </w:rPr>
                <m:t xml:space="preserve">it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 xml:space="preserve">2 </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ln⁡</m:t>
              </m:r>
              <m:r>
                <w:rPr>
                  <w:rFonts w:ascii="Cambria Math" w:eastAsia="Times New Roman" w:hAnsi="Cambria Math" w:cs="Times New Roman"/>
                  <w:sz w:val="24"/>
                  <w:szCs w:val="24"/>
                </w:rPr>
                <m:t>_isd</m:t>
              </m:r>
            </m:e>
            <m:sub>
              <m:r>
                <w:rPr>
                  <w:rFonts w:ascii="Cambria Math" w:eastAsia="Times New Roman" w:hAnsi="Cambria Math" w:cs="Times New Roman"/>
                  <w:sz w:val="24"/>
                  <w:szCs w:val="24"/>
                </w:rPr>
                <m:t xml:space="preserve">it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ε</m:t>
              </m:r>
            </m:e>
            <m:sub>
              <m:r>
                <w:rPr>
                  <w:rFonts w:ascii="Cambria Math" w:eastAsia="Times New Roman" w:hAnsi="Cambria Math" w:cs="Times New Roman"/>
                  <w:sz w:val="24"/>
                  <w:szCs w:val="24"/>
                </w:rPr>
                <m:t xml:space="preserve">it  </m:t>
              </m:r>
            </m:sub>
          </m:sSub>
        </m:oMath>
      </m:oMathPara>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sz w:val="24"/>
          <w:szCs w:val="24"/>
        </w:rPr>
        <w:t>unde:</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i/>
          <w:sz w:val="24"/>
          <w:szCs w:val="24"/>
        </w:rPr>
        <w:t>ln_cs</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sz w:val="24"/>
          <w:szCs w:val="24"/>
        </w:rPr>
        <w:t xml:space="preserve"> - reprezintă </w:t>
      </w:r>
      <w:r w:rsidRPr="00A57F05">
        <w:rPr>
          <w:rFonts w:ascii="Times New Roman" w:eastAsiaTheme="minorHAnsi" w:hAnsi="Times New Roman" w:cs="Times New Roman"/>
          <w:sz w:val="24"/>
          <w:szCs w:val="24"/>
          <w:lang w:eastAsia="en-US"/>
        </w:rPr>
        <w:t>câştigurile salariale nominal mediu brut lunar pentru fiecare regiune în anul t</w:t>
      </w:r>
      <w:r w:rsidRPr="00A57F05">
        <w:rPr>
          <w:rFonts w:ascii="Times New Roman" w:eastAsia="Times New Roman" w:hAnsi="Times New Roman" w:cs="Times New Roman"/>
          <w:sz w:val="24"/>
          <w:szCs w:val="24"/>
        </w:rPr>
        <w:t>, exprimat în logaritm natural;</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i/>
          <w:sz w:val="24"/>
          <w:szCs w:val="24"/>
        </w:rPr>
        <w:t>ln_educ</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sz w:val="24"/>
          <w:szCs w:val="24"/>
        </w:rPr>
        <w:t xml:space="preserve"> – reprezintă</w:t>
      </w:r>
      <w:r w:rsidRPr="00A57F05">
        <w:rPr>
          <w:rFonts w:ascii="Times New Roman" w:hAnsi="Times New Roman" w:cs="Times New Roman"/>
          <w:sz w:val="24"/>
          <w:szCs w:val="24"/>
        </w:rPr>
        <w:t xml:space="preserve"> absolvenţii de studii postliceale şi superioare pentru fiecare regiune </w:t>
      </w:r>
      <w:r w:rsidRPr="00A57F05">
        <w:rPr>
          <w:rFonts w:ascii="Times New Roman" w:eastAsiaTheme="minorHAnsi" w:hAnsi="Times New Roman" w:cs="Times New Roman"/>
          <w:sz w:val="24"/>
          <w:szCs w:val="24"/>
          <w:lang w:eastAsia="en-US"/>
        </w:rPr>
        <w:t xml:space="preserve">în anul t, </w:t>
      </w:r>
      <w:r w:rsidRPr="00A57F05">
        <w:rPr>
          <w:rFonts w:ascii="Times New Roman" w:eastAsia="Times New Roman" w:hAnsi="Times New Roman" w:cs="Times New Roman"/>
          <w:sz w:val="24"/>
          <w:szCs w:val="24"/>
        </w:rPr>
        <w:t>exprimat în logaritm natural;</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i/>
          <w:sz w:val="24"/>
          <w:szCs w:val="24"/>
        </w:rPr>
        <w:t>ln_vab</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sz w:val="24"/>
          <w:szCs w:val="24"/>
        </w:rPr>
        <w:t xml:space="preserve"> – reprezintă valoarea adăugată brută </w:t>
      </w:r>
      <w:r w:rsidRPr="00A57F05">
        <w:rPr>
          <w:rFonts w:ascii="Times New Roman" w:hAnsi="Times New Roman" w:cs="Times New Roman"/>
          <w:sz w:val="24"/>
          <w:szCs w:val="24"/>
        </w:rPr>
        <w:t xml:space="preserve">pentru fiecare regiune </w:t>
      </w:r>
      <w:r w:rsidRPr="00A57F05">
        <w:rPr>
          <w:rFonts w:ascii="Times New Roman" w:eastAsiaTheme="minorHAnsi" w:hAnsi="Times New Roman" w:cs="Times New Roman"/>
          <w:sz w:val="24"/>
          <w:szCs w:val="24"/>
          <w:lang w:eastAsia="en-US"/>
        </w:rPr>
        <w:t xml:space="preserve">în anul t, </w:t>
      </w:r>
      <w:r w:rsidRPr="00A57F05">
        <w:rPr>
          <w:rFonts w:ascii="Times New Roman" w:eastAsia="Times New Roman" w:hAnsi="Times New Roman" w:cs="Times New Roman"/>
          <w:sz w:val="24"/>
          <w:szCs w:val="24"/>
        </w:rPr>
        <w:t>exprimat în logaritm natural;</w:t>
      </w:r>
    </w:p>
    <w:p w:rsidR="006A441F" w:rsidRPr="00A57F05" w:rsidRDefault="006A441F" w:rsidP="007A3017">
      <w:pPr>
        <w:spacing w:after="0" w:line="240" w:lineRule="auto"/>
        <w:jc w:val="both"/>
        <w:rPr>
          <w:rFonts w:ascii="Times New Roman" w:eastAsiaTheme="minorHAnsi" w:hAnsi="Times New Roman" w:cs="Times New Roman"/>
          <w:bCs/>
          <w:sz w:val="24"/>
          <w:szCs w:val="24"/>
          <w:lang w:eastAsia="en-US"/>
        </w:rPr>
      </w:pPr>
      <w:r w:rsidRPr="00A57F05">
        <w:rPr>
          <w:rFonts w:ascii="Times New Roman" w:eastAsia="Times New Roman" w:hAnsi="Times New Roman" w:cs="Times New Roman"/>
          <w:i/>
          <w:sz w:val="24"/>
          <w:szCs w:val="24"/>
        </w:rPr>
        <w:t>ri</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i/>
          <w:sz w:val="24"/>
          <w:szCs w:val="24"/>
        </w:rPr>
        <w:t xml:space="preserve"> </w:t>
      </w:r>
      <w:r w:rsidRPr="00A57F05">
        <w:rPr>
          <w:rFonts w:ascii="Times New Roman" w:eastAsia="Times New Roman" w:hAnsi="Times New Roman" w:cs="Times New Roman"/>
          <w:sz w:val="24"/>
          <w:szCs w:val="24"/>
        </w:rPr>
        <w:t>– reprezintă rata inflației la nivel național în anul t;</w:t>
      </w:r>
      <w:r w:rsidRPr="00A57F05">
        <w:rPr>
          <w:rFonts w:ascii="Times New Roman" w:eastAsiaTheme="minorHAnsi" w:hAnsi="Times New Roman" w:cs="Times New Roman"/>
          <w:b/>
          <w:bCs/>
          <w:sz w:val="24"/>
          <w:szCs w:val="24"/>
          <w:lang w:eastAsia="en-US"/>
        </w:rPr>
        <w:t xml:space="preserve"> </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i/>
          <w:sz w:val="24"/>
          <w:szCs w:val="24"/>
        </w:rPr>
        <w:t>ln_gini</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sz w:val="24"/>
          <w:szCs w:val="24"/>
        </w:rPr>
        <w:t xml:space="preserve"> – reprezintă indicele Gini </w:t>
      </w:r>
      <w:r w:rsidRPr="00A57F05">
        <w:rPr>
          <w:rFonts w:ascii="Times New Roman" w:hAnsi="Times New Roman" w:cs="Times New Roman"/>
          <w:sz w:val="24"/>
          <w:szCs w:val="24"/>
        </w:rPr>
        <w:t xml:space="preserve">pentru fiecare regiune </w:t>
      </w:r>
      <w:r w:rsidRPr="00A57F05">
        <w:rPr>
          <w:rFonts w:ascii="Times New Roman" w:eastAsiaTheme="minorHAnsi" w:hAnsi="Times New Roman" w:cs="Times New Roman"/>
          <w:sz w:val="24"/>
          <w:szCs w:val="24"/>
          <w:lang w:eastAsia="en-US"/>
        </w:rPr>
        <w:t xml:space="preserve">în anul t, </w:t>
      </w:r>
      <w:r w:rsidRPr="00A57F05">
        <w:rPr>
          <w:rFonts w:ascii="Times New Roman" w:eastAsia="Times New Roman" w:hAnsi="Times New Roman" w:cs="Times New Roman"/>
          <w:sz w:val="24"/>
          <w:szCs w:val="24"/>
        </w:rPr>
        <w:t>exprimat în logaritm natural;</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i/>
          <w:sz w:val="24"/>
          <w:szCs w:val="24"/>
        </w:rPr>
        <w:t>ln_isd</w:t>
      </w:r>
      <w:r w:rsidRPr="00A57F05">
        <w:rPr>
          <w:rFonts w:ascii="Times New Roman" w:eastAsia="Times New Roman" w:hAnsi="Times New Roman" w:cs="Times New Roman"/>
          <w:i/>
          <w:sz w:val="24"/>
          <w:szCs w:val="24"/>
          <w:vertAlign w:val="subscript"/>
        </w:rPr>
        <w:t>it</w:t>
      </w:r>
      <w:r w:rsidRPr="00A57F05">
        <w:rPr>
          <w:rFonts w:ascii="Times New Roman" w:eastAsia="Times New Roman" w:hAnsi="Times New Roman" w:cs="Times New Roman"/>
          <w:sz w:val="24"/>
          <w:szCs w:val="24"/>
          <w:vertAlign w:val="subscript"/>
        </w:rPr>
        <w:t xml:space="preserve"> </w:t>
      </w:r>
      <w:r w:rsidRPr="00A57F05">
        <w:rPr>
          <w:rFonts w:ascii="Times New Roman" w:eastAsia="Times New Roman" w:hAnsi="Times New Roman" w:cs="Times New Roman"/>
          <w:sz w:val="24"/>
          <w:szCs w:val="24"/>
        </w:rPr>
        <w:t xml:space="preserve">– reprezintă investițiile străine directe </w:t>
      </w:r>
      <w:r w:rsidRPr="00A57F05">
        <w:rPr>
          <w:rFonts w:ascii="Times New Roman" w:hAnsi="Times New Roman" w:cs="Times New Roman"/>
          <w:sz w:val="24"/>
          <w:szCs w:val="24"/>
        </w:rPr>
        <w:t xml:space="preserve">pentru fiecare regiune </w:t>
      </w:r>
      <w:r w:rsidRPr="00A57F05">
        <w:rPr>
          <w:rFonts w:ascii="Times New Roman" w:eastAsiaTheme="minorHAnsi" w:hAnsi="Times New Roman" w:cs="Times New Roman"/>
          <w:sz w:val="24"/>
          <w:szCs w:val="24"/>
          <w:lang w:eastAsia="en-US"/>
        </w:rPr>
        <w:t xml:space="preserve">în anul t, </w:t>
      </w:r>
      <w:r w:rsidRPr="00A57F05">
        <w:rPr>
          <w:rFonts w:ascii="Times New Roman" w:eastAsia="Times New Roman" w:hAnsi="Times New Roman" w:cs="Times New Roman"/>
          <w:sz w:val="24"/>
          <w:szCs w:val="24"/>
        </w:rPr>
        <w:t>exprimat în logaritm natural;</w:t>
      </w:r>
    </w:p>
    <w:p w:rsidR="006A441F" w:rsidRPr="00A57F05" w:rsidRDefault="006A441F" w:rsidP="007A3017">
      <w:pPr>
        <w:spacing w:after="0" w:line="240" w:lineRule="auto"/>
        <w:jc w:val="both"/>
        <w:rPr>
          <w:rFonts w:ascii="Times New Roman" w:eastAsia="Times New Roman" w:hAnsi="Times New Roman" w:cs="Times New Roman"/>
          <w:sz w:val="24"/>
          <w:szCs w:val="24"/>
        </w:rPr>
      </w:pPr>
      <w:r w:rsidRPr="00A57F05">
        <w:rPr>
          <w:rFonts w:ascii="Times New Roman" w:eastAsia="Times New Roman" w:hAnsi="Times New Roman" w:cs="Times New Roman"/>
          <w:sz w:val="24"/>
          <w:szCs w:val="24"/>
        </w:rPr>
        <w:t>ε – eroarea modelului.</w:t>
      </w:r>
    </w:p>
    <w:p w:rsidR="00751AC5" w:rsidRPr="00A57F05" w:rsidRDefault="00751AC5" w:rsidP="007A3017">
      <w:pPr>
        <w:spacing w:after="0" w:line="240" w:lineRule="auto"/>
        <w:rPr>
          <w:rFonts w:ascii="Times New Roman" w:eastAsiaTheme="minorHAnsi" w:hAnsi="Times New Roman" w:cs="Times New Roman"/>
          <w:sz w:val="24"/>
          <w:szCs w:val="24"/>
          <w:lang w:eastAsia="en-US"/>
        </w:rPr>
      </w:pPr>
    </w:p>
    <w:p w:rsidR="00C2354A" w:rsidRPr="00A57F05" w:rsidRDefault="00751AC5" w:rsidP="007A3017">
      <w:pPr>
        <w:spacing w:after="0" w:line="240" w:lineRule="auto"/>
        <w:ind w:firstLine="708"/>
        <w:rPr>
          <w:rFonts w:ascii="Times New Roman" w:hAnsi="Times New Roman" w:cs="Times New Roman"/>
          <w:b/>
          <w:noProof/>
          <w:sz w:val="24"/>
          <w:szCs w:val="24"/>
        </w:rPr>
      </w:pPr>
      <w:r w:rsidRPr="00A57F05">
        <w:rPr>
          <w:rFonts w:ascii="Times New Roman" w:eastAsiaTheme="minorHAnsi" w:hAnsi="Times New Roman" w:cs="Times New Roman"/>
          <w:sz w:val="24"/>
          <w:szCs w:val="24"/>
          <w:lang w:eastAsia="en-US"/>
        </w:rPr>
        <w:t>Rezultatul estimării ecuaţiei câştigurilor salariale este prezentat mai jos:</w:t>
      </w:r>
    </w:p>
    <w:p w:rsidR="00C2354A" w:rsidRPr="00A57F05" w:rsidRDefault="00C2354A" w:rsidP="007A3017">
      <w:pPr>
        <w:spacing w:after="0" w:line="240" w:lineRule="auto"/>
        <w:jc w:val="center"/>
        <w:rPr>
          <w:rFonts w:ascii="Times New Roman" w:hAnsi="Times New Roman" w:cs="Times New Roman"/>
          <w:b/>
          <w:noProof/>
          <w:sz w:val="24"/>
          <w:szCs w:val="24"/>
        </w:rPr>
      </w:pPr>
    </w:p>
    <w:p w:rsidR="002A154F" w:rsidRPr="00A57F05" w:rsidRDefault="00761693" w:rsidP="007A3017">
      <w:pPr>
        <w:spacing w:after="0" w:line="240" w:lineRule="auto"/>
        <w:jc w:val="center"/>
        <w:rPr>
          <w:rFonts w:ascii="Times New Roman" w:hAnsi="Times New Roman" w:cs="Times New Roman"/>
          <w:b/>
          <w:noProof/>
          <w:sz w:val="24"/>
          <w:szCs w:val="24"/>
        </w:rPr>
      </w:pPr>
      <w:r w:rsidRPr="00A57F05">
        <w:rPr>
          <w:rFonts w:ascii="Times New Roman" w:hAnsi="Times New Roman" w:cs="Times New Roman"/>
          <w:b/>
          <w:noProof/>
          <w:sz w:val="24"/>
          <w:szCs w:val="24"/>
        </w:rPr>
        <w:drawing>
          <wp:inline distT="0" distB="0" distL="0" distR="0" wp14:anchorId="0D49FA4A" wp14:editId="6A13B096">
            <wp:extent cx="4840941" cy="22483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1240" cy="2248487"/>
                    </a:xfrm>
                    <a:prstGeom prst="rect">
                      <a:avLst/>
                    </a:prstGeom>
                    <a:noFill/>
                    <a:ln>
                      <a:noFill/>
                    </a:ln>
                  </pic:spPr>
                </pic:pic>
              </a:graphicData>
            </a:graphic>
          </wp:inline>
        </w:drawing>
      </w:r>
    </w:p>
    <w:p w:rsidR="002A154F" w:rsidRPr="00A57F05" w:rsidRDefault="002A154F" w:rsidP="007A3017">
      <w:pPr>
        <w:spacing w:after="0" w:line="240" w:lineRule="auto"/>
        <w:jc w:val="center"/>
        <w:rPr>
          <w:rFonts w:ascii="Times New Roman" w:hAnsi="Times New Roman" w:cs="Times New Roman"/>
          <w:b/>
          <w:noProof/>
          <w:sz w:val="24"/>
          <w:szCs w:val="24"/>
        </w:rPr>
      </w:pPr>
    </w:p>
    <w:p w:rsidR="00C2354A" w:rsidRPr="00A57F05" w:rsidRDefault="006A441F" w:rsidP="007A3017">
      <w:pPr>
        <w:spacing w:after="0" w:line="240" w:lineRule="auto"/>
        <w:jc w:val="center"/>
        <w:rPr>
          <w:rFonts w:ascii="Times New Roman" w:hAnsi="Times New Roman" w:cs="Times New Roman"/>
          <w:b/>
          <w:noProof/>
          <w:sz w:val="24"/>
          <w:szCs w:val="24"/>
        </w:rPr>
      </w:pPr>
      <w:r w:rsidRPr="00A57F05">
        <w:rPr>
          <w:rFonts w:ascii="Times New Roman" w:hAnsi="Times New Roman" w:cs="Times New Roman"/>
          <w:b/>
          <w:noProof/>
          <w:sz w:val="24"/>
          <w:szCs w:val="24"/>
        </w:rPr>
        <w:t>ln_cs</w:t>
      </w:r>
      <w:r w:rsidR="00C2354A" w:rsidRPr="00A57F05">
        <w:rPr>
          <w:rFonts w:ascii="Times New Roman" w:hAnsi="Times New Roman" w:cs="Times New Roman"/>
          <w:b/>
          <w:noProof/>
          <w:sz w:val="24"/>
          <w:szCs w:val="24"/>
          <w:vertAlign w:val="subscript"/>
        </w:rPr>
        <w:t>it</w:t>
      </w:r>
      <w:r w:rsidR="00C2354A" w:rsidRPr="00A57F05">
        <w:rPr>
          <w:rFonts w:ascii="Times New Roman" w:hAnsi="Times New Roman" w:cs="Times New Roman"/>
          <w:b/>
          <w:noProof/>
          <w:sz w:val="24"/>
          <w:szCs w:val="24"/>
        </w:rPr>
        <w:t xml:space="preserve"> = -16.8123 - 0.1628*ln_educ</w:t>
      </w:r>
      <w:r w:rsidR="00C2354A" w:rsidRPr="00A57F05">
        <w:rPr>
          <w:rFonts w:ascii="Times New Roman" w:hAnsi="Times New Roman" w:cs="Times New Roman"/>
          <w:b/>
          <w:noProof/>
          <w:sz w:val="24"/>
          <w:szCs w:val="24"/>
          <w:vertAlign w:val="subscript"/>
        </w:rPr>
        <w:t>it</w:t>
      </w:r>
      <w:r w:rsidRPr="00A57F05">
        <w:rPr>
          <w:rFonts w:ascii="Times New Roman" w:hAnsi="Times New Roman" w:cs="Times New Roman"/>
          <w:b/>
          <w:noProof/>
          <w:sz w:val="24"/>
          <w:szCs w:val="24"/>
        </w:rPr>
        <w:t xml:space="preserve"> + 0.9817*ln_vab</w:t>
      </w:r>
      <w:r w:rsidR="00C2354A" w:rsidRPr="00A57F05">
        <w:rPr>
          <w:rFonts w:ascii="Times New Roman" w:hAnsi="Times New Roman" w:cs="Times New Roman"/>
          <w:b/>
          <w:noProof/>
          <w:sz w:val="24"/>
          <w:szCs w:val="24"/>
          <w:vertAlign w:val="subscript"/>
        </w:rPr>
        <w:t>it</w:t>
      </w:r>
      <w:r w:rsidR="00C2354A" w:rsidRPr="00A57F05">
        <w:rPr>
          <w:rFonts w:ascii="Times New Roman" w:hAnsi="Times New Roman" w:cs="Times New Roman"/>
          <w:b/>
          <w:noProof/>
          <w:sz w:val="24"/>
          <w:szCs w:val="24"/>
        </w:rPr>
        <w:t xml:space="preserve"> + 0.0923</w:t>
      </w:r>
      <w:r w:rsidRPr="00A57F05">
        <w:rPr>
          <w:rFonts w:ascii="Times New Roman" w:hAnsi="Times New Roman" w:cs="Times New Roman"/>
          <w:b/>
          <w:noProof/>
          <w:sz w:val="24"/>
          <w:szCs w:val="24"/>
        </w:rPr>
        <w:t>*ri</w:t>
      </w:r>
      <w:r w:rsidR="00C2354A" w:rsidRPr="00A57F05">
        <w:rPr>
          <w:rFonts w:ascii="Times New Roman" w:hAnsi="Times New Roman" w:cs="Times New Roman"/>
          <w:b/>
          <w:noProof/>
          <w:sz w:val="24"/>
          <w:szCs w:val="24"/>
          <w:vertAlign w:val="subscript"/>
        </w:rPr>
        <w:t>it</w:t>
      </w:r>
    </w:p>
    <w:p w:rsidR="00C2354A" w:rsidRPr="00A57F05" w:rsidRDefault="00C2354A" w:rsidP="007A3017">
      <w:pPr>
        <w:spacing w:after="0" w:line="240" w:lineRule="auto"/>
        <w:jc w:val="both"/>
        <w:rPr>
          <w:rFonts w:ascii="Times New Roman" w:hAnsi="Times New Roman" w:cs="Times New Roman"/>
          <w:b/>
          <w:i/>
          <w:noProof/>
          <w:sz w:val="24"/>
          <w:szCs w:val="24"/>
        </w:rPr>
      </w:pPr>
      <w:r w:rsidRPr="00A57F05">
        <w:rPr>
          <w:rFonts w:ascii="Times New Roman" w:hAnsi="Times New Roman" w:cs="Times New Roman"/>
          <w:b/>
          <w:noProof/>
          <w:sz w:val="24"/>
          <w:szCs w:val="24"/>
        </w:rPr>
        <w:tab/>
      </w:r>
      <w:r w:rsidRPr="00A57F05">
        <w:rPr>
          <w:rFonts w:ascii="Times New Roman" w:hAnsi="Times New Roman" w:cs="Times New Roman"/>
          <w:b/>
          <w:noProof/>
          <w:sz w:val="24"/>
          <w:szCs w:val="24"/>
        </w:rPr>
        <w:tab/>
      </w:r>
      <w:r w:rsidRPr="00A57F05">
        <w:rPr>
          <w:rFonts w:ascii="Times New Roman" w:hAnsi="Times New Roman" w:cs="Times New Roman"/>
          <w:b/>
          <w:i/>
          <w:noProof/>
          <w:sz w:val="24"/>
          <w:szCs w:val="24"/>
        </w:rPr>
        <w:t xml:space="preserve">            </w:t>
      </w:r>
      <w:r w:rsidR="00AA0AD6" w:rsidRPr="00A57F05">
        <w:rPr>
          <w:rFonts w:ascii="Times New Roman" w:hAnsi="Times New Roman" w:cs="Times New Roman"/>
          <w:b/>
          <w:i/>
          <w:noProof/>
          <w:sz w:val="24"/>
          <w:szCs w:val="24"/>
        </w:rPr>
        <w:t xml:space="preserve">     </w:t>
      </w:r>
      <w:r w:rsidRPr="00A57F05">
        <w:rPr>
          <w:rFonts w:ascii="Times New Roman" w:hAnsi="Times New Roman" w:cs="Times New Roman"/>
          <w:b/>
          <w:i/>
          <w:noProof/>
          <w:sz w:val="24"/>
          <w:szCs w:val="24"/>
        </w:rPr>
        <w:t xml:space="preserve">  (1.03)*</w:t>
      </w:r>
      <w:r w:rsidRPr="00A57F05">
        <w:rPr>
          <w:rFonts w:ascii="Times New Roman" w:hAnsi="Times New Roman" w:cs="Times New Roman"/>
          <w:b/>
          <w:i/>
          <w:noProof/>
          <w:sz w:val="24"/>
          <w:szCs w:val="24"/>
        </w:rPr>
        <w:tab/>
      </w:r>
      <w:r w:rsidR="00AA0AD6" w:rsidRPr="00A57F05">
        <w:rPr>
          <w:rFonts w:ascii="Times New Roman" w:hAnsi="Times New Roman" w:cs="Times New Roman"/>
          <w:b/>
          <w:i/>
          <w:noProof/>
          <w:sz w:val="24"/>
          <w:szCs w:val="24"/>
        </w:rPr>
        <w:t xml:space="preserve">        </w:t>
      </w:r>
      <w:r w:rsidRPr="00A57F05">
        <w:rPr>
          <w:rFonts w:ascii="Times New Roman" w:hAnsi="Times New Roman" w:cs="Times New Roman"/>
          <w:b/>
          <w:i/>
          <w:noProof/>
          <w:sz w:val="24"/>
          <w:szCs w:val="24"/>
        </w:rPr>
        <w:t>(0.03)**</w:t>
      </w:r>
      <w:r w:rsidRPr="00A57F05">
        <w:rPr>
          <w:rFonts w:ascii="Times New Roman" w:hAnsi="Times New Roman" w:cs="Times New Roman"/>
          <w:b/>
          <w:i/>
          <w:noProof/>
          <w:sz w:val="24"/>
          <w:szCs w:val="24"/>
        </w:rPr>
        <w:tab/>
        <w:t xml:space="preserve">         </w:t>
      </w:r>
      <w:r w:rsidR="00AA0AD6" w:rsidRPr="00A57F05">
        <w:rPr>
          <w:rFonts w:ascii="Times New Roman" w:hAnsi="Times New Roman" w:cs="Times New Roman"/>
          <w:b/>
          <w:i/>
          <w:noProof/>
          <w:sz w:val="24"/>
          <w:szCs w:val="24"/>
        </w:rPr>
        <w:t xml:space="preserve">     </w:t>
      </w:r>
      <w:r w:rsidRPr="00A57F05">
        <w:rPr>
          <w:rFonts w:ascii="Times New Roman" w:hAnsi="Times New Roman" w:cs="Times New Roman"/>
          <w:b/>
          <w:i/>
          <w:noProof/>
          <w:sz w:val="24"/>
          <w:szCs w:val="24"/>
        </w:rPr>
        <w:t>(0.04</w:t>
      </w:r>
      <w:r w:rsidR="00AA0AD6" w:rsidRPr="00A57F05">
        <w:rPr>
          <w:rFonts w:ascii="Times New Roman" w:hAnsi="Times New Roman" w:cs="Times New Roman"/>
          <w:b/>
          <w:i/>
          <w:noProof/>
          <w:sz w:val="24"/>
          <w:szCs w:val="24"/>
        </w:rPr>
        <w:t>)*</w:t>
      </w:r>
      <w:r w:rsidR="00AA0AD6" w:rsidRPr="00A57F05">
        <w:rPr>
          <w:rFonts w:ascii="Times New Roman" w:hAnsi="Times New Roman" w:cs="Times New Roman"/>
          <w:b/>
          <w:i/>
          <w:noProof/>
          <w:sz w:val="24"/>
          <w:szCs w:val="24"/>
        </w:rPr>
        <w:tab/>
        <w:t xml:space="preserve">     </w:t>
      </w:r>
      <w:r w:rsidRPr="00A57F05">
        <w:rPr>
          <w:rFonts w:ascii="Times New Roman" w:hAnsi="Times New Roman" w:cs="Times New Roman"/>
          <w:b/>
          <w:i/>
          <w:noProof/>
          <w:sz w:val="24"/>
          <w:szCs w:val="24"/>
        </w:rPr>
        <w:t>(0.02)**</w:t>
      </w:r>
    </w:p>
    <w:p w:rsidR="00C2354A" w:rsidRPr="00A57F05" w:rsidRDefault="00C2354A" w:rsidP="007A3017">
      <w:pPr>
        <w:spacing w:after="0" w:line="240" w:lineRule="auto"/>
        <w:rPr>
          <w:rFonts w:ascii="Times New Roman" w:hAnsi="Times New Roman"/>
          <w:sz w:val="24"/>
          <w:szCs w:val="24"/>
        </w:rPr>
      </w:pPr>
    </w:p>
    <w:p w:rsidR="00C2354A" w:rsidRPr="00A57F05" w:rsidRDefault="00C2354A" w:rsidP="007A3017">
      <w:pPr>
        <w:spacing w:after="0" w:line="240" w:lineRule="auto"/>
        <w:jc w:val="both"/>
        <w:rPr>
          <w:rFonts w:ascii="Times New Roman" w:hAnsi="Times New Roman"/>
          <w:i/>
          <w:sz w:val="20"/>
          <w:szCs w:val="20"/>
        </w:rPr>
      </w:pPr>
      <w:r w:rsidRPr="00A57F05">
        <w:rPr>
          <w:rFonts w:ascii="Times New Roman" w:hAnsi="Times New Roman"/>
          <w:i/>
          <w:sz w:val="20"/>
          <w:szCs w:val="20"/>
        </w:rPr>
        <w:t>unde între paranteze se regăsesc erorile standard robuste, iar *, **, *** reprezintă 1%, 5% şi 10% nivel de semnificaţie.</w:t>
      </w:r>
    </w:p>
    <w:p w:rsidR="00AA0AD6" w:rsidRPr="00A57F05" w:rsidRDefault="00AA0AD6" w:rsidP="007A3017">
      <w:pPr>
        <w:spacing w:after="0" w:line="240" w:lineRule="auto"/>
        <w:rPr>
          <w:rFonts w:ascii="Times New Roman" w:hAnsi="Times New Roman"/>
          <w:sz w:val="24"/>
          <w:szCs w:val="24"/>
        </w:rPr>
      </w:pPr>
    </w:p>
    <w:p w:rsidR="00751AC5" w:rsidRPr="00A57F05" w:rsidRDefault="006A7C21" w:rsidP="007A3017">
      <w:pPr>
        <w:spacing w:after="0" w:line="240" w:lineRule="auto"/>
        <w:ind w:firstLine="709"/>
        <w:jc w:val="both"/>
        <w:rPr>
          <w:rFonts w:ascii="Times New Roman" w:hAnsi="Times New Roman" w:cs="Times New Roman"/>
          <w:color w:val="0070C0"/>
          <w:sz w:val="24"/>
          <w:szCs w:val="24"/>
        </w:rPr>
      </w:pPr>
      <w:r w:rsidRPr="00A57F05">
        <w:rPr>
          <w:rFonts w:ascii="Times New Roman" w:hAnsi="Times New Roman" w:cs="Times New Roman"/>
          <w:bCs/>
          <w:sz w:val="24"/>
          <w:szCs w:val="24"/>
        </w:rPr>
        <w:t>În urma estimării econometrice realizate pe baza modelului de tip panel de date, cu efecte fixe</w:t>
      </w:r>
      <w:r w:rsidR="00455361" w:rsidRPr="00A57F05">
        <w:rPr>
          <w:rFonts w:ascii="Times New Roman" w:hAnsi="Times New Roman" w:cs="Times New Roman"/>
          <w:bCs/>
          <w:sz w:val="24"/>
          <w:szCs w:val="24"/>
        </w:rPr>
        <w:t>,</w:t>
      </w:r>
      <w:r w:rsidRPr="00A57F05">
        <w:rPr>
          <w:rFonts w:ascii="Times New Roman" w:hAnsi="Times New Roman" w:cs="Times New Roman"/>
          <w:bCs/>
          <w:sz w:val="24"/>
          <w:szCs w:val="24"/>
        </w:rPr>
        <w:t xml:space="preserve"> se observă că cea mai mare influență asupra câștigului salarial la nivel regional o are valoarea adăugată brută (VAB-ul) cu un coeficient de 0.9817. Această influență este una normală atât ca sens cât și ca mărime, deoarece este normal ca nivelul câștigurilor salariale să fie determinat de rezultatele macroeconomice. Practic, o creștere a VAB-ului</w:t>
      </w:r>
      <w:r w:rsidR="008951D3" w:rsidRPr="00A57F05">
        <w:rPr>
          <w:rFonts w:ascii="Times New Roman" w:hAnsi="Times New Roman" w:cs="Times New Roman"/>
          <w:bCs/>
          <w:sz w:val="24"/>
          <w:szCs w:val="24"/>
        </w:rPr>
        <w:t xml:space="preserve"> (creștere economică)</w:t>
      </w:r>
      <w:r w:rsidRPr="00A57F05">
        <w:rPr>
          <w:rFonts w:ascii="Times New Roman" w:hAnsi="Times New Roman" w:cs="Times New Roman"/>
          <w:bCs/>
          <w:sz w:val="24"/>
          <w:szCs w:val="24"/>
        </w:rPr>
        <w:t xml:space="preserve"> se reflectă și în creșterea câștigurilor.</w:t>
      </w:r>
    </w:p>
    <w:p w:rsidR="006C36D8" w:rsidRPr="00A57F05" w:rsidRDefault="00455361" w:rsidP="007A3017">
      <w:pPr>
        <w:spacing w:after="0" w:line="240" w:lineRule="auto"/>
        <w:ind w:firstLine="709"/>
        <w:jc w:val="both"/>
        <w:rPr>
          <w:rFonts w:ascii="Times New Roman" w:hAnsi="Times New Roman" w:cs="Times New Roman"/>
          <w:sz w:val="24"/>
          <w:szCs w:val="24"/>
        </w:rPr>
      </w:pPr>
      <w:r w:rsidRPr="00A57F05">
        <w:rPr>
          <w:rFonts w:ascii="Times New Roman" w:hAnsi="Times New Roman" w:cs="Times New Roman"/>
          <w:sz w:val="24"/>
          <w:szCs w:val="24"/>
        </w:rPr>
        <w:t xml:space="preserve">Influența nivelului educației este </w:t>
      </w:r>
      <w:r w:rsidR="00202599" w:rsidRPr="00A57F05">
        <w:rPr>
          <w:rFonts w:ascii="Times New Roman" w:hAnsi="Times New Roman" w:cs="Times New Roman"/>
          <w:sz w:val="24"/>
          <w:szCs w:val="24"/>
        </w:rPr>
        <w:t xml:space="preserve">și ea normală ca semn (pozitiv), chiar dacă are un coeficient asociat mic (0,1628) comparativ cu cel al valorii adăugate brute. Acest rezultat ne indică faptul că o creștere a nivelului de educație determină o majorare a câștigurilor salariale, mai ales că, în general, angajații cu studii superioare </w:t>
      </w:r>
      <w:r w:rsidR="002A6BC9" w:rsidRPr="00A57F05">
        <w:rPr>
          <w:rFonts w:ascii="Times New Roman" w:hAnsi="Times New Roman" w:cs="Times New Roman"/>
          <w:sz w:val="24"/>
          <w:szCs w:val="24"/>
        </w:rPr>
        <w:t xml:space="preserve">ocupă locuri de muncă mai bine remunerate. </w:t>
      </w:r>
      <w:r w:rsidR="006C36D8" w:rsidRPr="00A57F05">
        <w:rPr>
          <w:rFonts w:ascii="Times New Roman" w:hAnsi="Times New Roman" w:cs="Times New Roman"/>
          <w:sz w:val="24"/>
          <w:szCs w:val="24"/>
        </w:rPr>
        <w:t xml:space="preserve">Trebuie să ținem cont și de faptul că toate regiunile din România au înregistrat creșteri ale ISD-urilor pe toată perioada analizată și că în majoritatea cazurilor investițiile de acest gen solicită și personal cu o calificare (pregătire) înaltă ale căror câștiguri salariale sunt cu mult peste media națională. </w:t>
      </w:r>
    </w:p>
    <w:p w:rsidR="002A6BC9" w:rsidRPr="00A57F05" w:rsidRDefault="002A6BC9" w:rsidP="007A3017">
      <w:pPr>
        <w:spacing w:after="0" w:line="240" w:lineRule="auto"/>
        <w:ind w:firstLine="709"/>
        <w:jc w:val="both"/>
        <w:rPr>
          <w:rFonts w:ascii="Times New Roman" w:hAnsi="Times New Roman" w:cs="Times New Roman"/>
          <w:sz w:val="24"/>
          <w:szCs w:val="24"/>
        </w:rPr>
      </w:pPr>
      <w:r w:rsidRPr="00A57F05">
        <w:rPr>
          <w:rFonts w:ascii="Times New Roman" w:hAnsi="Times New Roman" w:cs="Times New Roman"/>
          <w:sz w:val="24"/>
          <w:szCs w:val="24"/>
        </w:rPr>
        <w:lastRenderedPageBreak/>
        <w:t xml:space="preserve">Rata inflației are cea mai redusă influență asupra câștigurilor salariale (coeficient 0,0923), dar semnul pozitiv arată </w:t>
      </w:r>
      <w:r w:rsidR="00E60C5A" w:rsidRPr="00A57F05">
        <w:rPr>
          <w:rFonts w:ascii="Times New Roman" w:hAnsi="Times New Roman" w:cs="Times New Roman"/>
          <w:sz w:val="24"/>
          <w:szCs w:val="24"/>
        </w:rPr>
        <w:t xml:space="preserve">că </w:t>
      </w:r>
      <w:r w:rsidRPr="00A57F05">
        <w:rPr>
          <w:rFonts w:ascii="Times New Roman" w:hAnsi="Times New Roman" w:cs="Times New Roman"/>
          <w:sz w:val="24"/>
          <w:szCs w:val="24"/>
        </w:rPr>
        <w:t>presiunile inflaționiste</w:t>
      </w:r>
      <w:r w:rsidR="00E60C5A" w:rsidRPr="00A57F05">
        <w:rPr>
          <w:rFonts w:ascii="Times New Roman" w:hAnsi="Times New Roman" w:cs="Times New Roman"/>
          <w:sz w:val="24"/>
          <w:szCs w:val="24"/>
        </w:rPr>
        <w:t>,</w:t>
      </w:r>
      <w:r w:rsidRPr="00A57F05">
        <w:rPr>
          <w:rFonts w:ascii="Times New Roman" w:hAnsi="Times New Roman" w:cs="Times New Roman"/>
          <w:sz w:val="24"/>
          <w:szCs w:val="24"/>
        </w:rPr>
        <w:t xml:space="preserve"> mai ales din perioada 2001-2008</w:t>
      </w:r>
      <w:r w:rsidR="00E60C5A" w:rsidRPr="00A57F05">
        <w:rPr>
          <w:rFonts w:ascii="Times New Roman" w:hAnsi="Times New Roman" w:cs="Times New Roman"/>
          <w:sz w:val="24"/>
          <w:szCs w:val="24"/>
        </w:rPr>
        <w:t xml:space="preserve">, au susținut creșterile salariale. Am putea spune că salariile au fost ușor ajustate (indexate) pentru a putea compensa oarecum erodarea puterii de cumpărare a acestora provocată de rate ale inflației ridicate, mai ales în prima parte a intervalului analizat. </w:t>
      </w:r>
    </w:p>
    <w:p w:rsidR="00D12403" w:rsidRDefault="00D12403" w:rsidP="007A3017">
      <w:pPr>
        <w:spacing w:after="0" w:line="240" w:lineRule="auto"/>
        <w:ind w:firstLine="708"/>
        <w:rPr>
          <w:rFonts w:ascii="Times New Roman" w:eastAsiaTheme="minorHAnsi" w:hAnsi="Times New Roman" w:cs="Times New Roman"/>
          <w:sz w:val="24"/>
          <w:szCs w:val="24"/>
          <w:lang w:eastAsia="en-US"/>
        </w:rPr>
      </w:pPr>
    </w:p>
    <w:p w:rsidR="00751AC5" w:rsidRPr="00A57F05" w:rsidRDefault="006A7C21" w:rsidP="007A3017">
      <w:pPr>
        <w:spacing w:after="0" w:line="240" w:lineRule="auto"/>
        <w:ind w:firstLine="708"/>
        <w:rPr>
          <w:rFonts w:ascii="Times New Roman" w:eastAsiaTheme="minorHAnsi" w:hAnsi="Times New Roman" w:cs="Times New Roman"/>
          <w:sz w:val="24"/>
          <w:szCs w:val="24"/>
          <w:lang w:eastAsia="en-US"/>
        </w:rPr>
      </w:pPr>
      <w:r w:rsidRPr="00A57F05">
        <w:rPr>
          <w:rFonts w:ascii="Times New Roman" w:eastAsiaTheme="minorHAnsi" w:hAnsi="Times New Roman" w:cs="Times New Roman"/>
          <w:sz w:val="24"/>
          <w:szCs w:val="24"/>
          <w:lang w:eastAsia="en-US"/>
        </w:rPr>
        <w:t>Rezultatul estimării ecuaţiei indicelui Gini este prezentat mai jos:</w:t>
      </w:r>
    </w:p>
    <w:p w:rsidR="002A154F" w:rsidRPr="00A57F05" w:rsidRDefault="002A154F" w:rsidP="006A7C21">
      <w:pPr>
        <w:spacing w:after="0" w:line="240" w:lineRule="auto"/>
        <w:rPr>
          <w:rFonts w:ascii="Times New Roman" w:hAnsi="Times New Roman" w:cs="Times New Roman"/>
          <w:b/>
          <w:noProof/>
          <w:sz w:val="24"/>
          <w:szCs w:val="24"/>
        </w:rPr>
      </w:pPr>
    </w:p>
    <w:p w:rsidR="006A7C21" w:rsidRPr="00A57F05" w:rsidRDefault="002A154F" w:rsidP="002A154F">
      <w:pPr>
        <w:spacing w:after="0" w:line="240" w:lineRule="auto"/>
        <w:jc w:val="center"/>
        <w:rPr>
          <w:rFonts w:ascii="Times New Roman" w:hAnsi="Times New Roman" w:cs="Times New Roman"/>
          <w:b/>
          <w:noProof/>
          <w:sz w:val="24"/>
          <w:szCs w:val="24"/>
        </w:rPr>
      </w:pPr>
      <w:r w:rsidRPr="00A57F05">
        <w:rPr>
          <w:rFonts w:ascii="Times New Roman" w:hAnsi="Times New Roman" w:cs="Times New Roman"/>
          <w:b/>
          <w:noProof/>
          <w:sz w:val="24"/>
          <w:szCs w:val="24"/>
        </w:rPr>
        <w:drawing>
          <wp:inline distT="0" distB="0" distL="0" distR="0" wp14:anchorId="106A642E" wp14:editId="5C91EB96">
            <wp:extent cx="4399878" cy="2302137"/>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9755" cy="2302072"/>
                    </a:xfrm>
                    <a:prstGeom prst="rect">
                      <a:avLst/>
                    </a:prstGeom>
                    <a:noFill/>
                    <a:ln>
                      <a:noFill/>
                    </a:ln>
                  </pic:spPr>
                </pic:pic>
              </a:graphicData>
            </a:graphic>
          </wp:inline>
        </w:drawing>
      </w:r>
    </w:p>
    <w:p w:rsidR="002A154F" w:rsidRPr="00A57F05" w:rsidRDefault="002A154F" w:rsidP="00C2354A">
      <w:pPr>
        <w:spacing w:after="0" w:line="240" w:lineRule="auto"/>
        <w:jc w:val="center"/>
        <w:rPr>
          <w:rFonts w:ascii="Times New Roman" w:hAnsi="Times New Roman" w:cs="Times New Roman"/>
          <w:b/>
          <w:sz w:val="24"/>
          <w:szCs w:val="24"/>
        </w:rPr>
      </w:pPr>
    </w:p>
    <w:p w:rsidR="00C2354A" w:rsidRPr="00A57F05" w:rsidRDefault="00C2354A" w:rsidP="00C2354A">
      <w:pPr>
        <w:spacing w:after="0" w:line="240" w:lineRule="auto"/>
        <w:jc w:val="center"/>
        <w:rPr>
          <w:rFonts w:ascii="Times New Roman" w:hAnsi="Times New Roman" w:cs="Times New Roman"/>
          <w:b/>
          <w:sz w:val="24"/>
          <w:szCs w:val="24"/>
        </w:rPr>
      </w:pPr>
      <w:r w:rsidRPr="00A57F05">
        <w:rPr>
          <w:rFonts w:ascii="Times New Roman" w:hAnsi="Times New Roman" w:cs="Times New Roman"/>
          <w:b/>
          <w:sz w:val="24"/>
          <w:szCs w:val="24"/>
        </w:rPr>
        <w:t>ln_gini</w:t>
      </w:r>
      <w:r w:rsidRPr="00A57F05">
        <w:rPr>
          <w:rFonts w:ascii="Times New Roman" w:hAnsi="Times New Roman" w:cs="Times New Roman"/>
          <w:b/>
          <w:sz w:val="24"/>
          <w:szCs w:val="24"/>
          <w:vertAlign w:val="subscript"/>
        </w:rPr>
        <w:t>it</w:t>
      </w:r>
      <w:r w:rsidRPr="00A57F05">
        <w:rPr>
          <w:rFonts w:ascii="Times New Roman" w:hAnsi="Times New Roman" w:cs="Times New Roman"/>
          <w:b/>
          <w:sz w:val="24"/>
          <w:szCs w:val="24"/>
        </w:rPr>
        <w:t xml:space="preserve"> = -1.</w:t>
      </w:r>
      <w:r w:rsidR="000C5B39" w:rsidRPr="00A57F05">
        <w:rPr>
          <w:rFonts w:ascii="Times New Roman" w:hAnsi="Times New Roman" w:cs="Times New Roman"/>
          <w:b/>
          <w:sz w:val="24"/>
          <w:szCs w:val="24"/>
        </w:rPr>
        <w:t>7610 – 0.1697</w:t>
      </w:r>
      <w:r w:rsidR="006A441F" w:rsidRPr="00A57F05">
        <w:rPr>
          <w:rFonts w:ascii="Times New Roman" w:hAnsi="Times New Roman" w:cs="Times New Roman"/>
          <w:b/>
          <w:sz w:val="24"/>
          <w:szCs w:val="24"/>
        </w:rPr>
        <w:t>*ln_vab</w:t>
      </w:r>
      <w:r w:rsidRPr="00A57F05">
        <w:rPr>
          <w:rFonts w:ascii="Times New Roman" w:hAnsi="Times New Roman" w:cs="Times New Roman"/>
          <w:b/>
          <w:sz w:val="24"/>
          <w:szCs w:val="24"/>
          <w:vertAlign w:val="subscript"/>
        </w:rPr>
        <w:t>it</w:t>
      </w:r>
      <w:r w:rsidR="00AA0AD6" w:rsidRPr="00A57F05">
        <w:rPr>
          <w:rFonts w:ascii="Times New Roman" w:hAnsi="Times New Roman" w:cs="Times New Roman"/>
          <w:b/>
          <w:sz w:val="24"/>
          <w:szCs w:val="24"/>
          <w:vertAlign w:val="subscript"/>
        </w:rPr>
        <w:t xml:space="preserve"> </w:t>
      </w:r>
      <w:r w:rsidRPr="00A57F05">
        <w:rPr>
          <w:rFonts w:ascii="Times New Roman" w:hAnsi="Times New Roman" w:cs="Times New Roman"/>
          <w:b/>
          <w:sz w:val="24"/>
          <w:szCs w:val="24"/>
        </w:rPr>
        <w:t>+ 0.</w:t>
      </w:r>
      <w:r w:rsidR="00AA0AD6" w:rsidRPr="00A57F05">
        <w:rPr>
          <w:rFonts w:ascii="Times New Roman" w:hAnsi="Times New Roman" w:cs="Times New Roman"/>
          <w:b/>
          <w:sz w:val="24"/>
          <w:szCs w:val="24"/>
        </w:rPr>
        <w:t>1250</w:t>
      </w:r>
      <w:r w:rsidR="006A441F" w:rsidRPr="00A57F05">
        <w:rPr>
          <w:rFonts w:ascii="Times New Roman" w:hAnsi="Times New Roman" w:cs="Times New Roman"/>
          <w:b/>
          <w:sz w:val="24"/>
          <w:szCs w:val="24"/>
        </w:rPr>
        <w:t>*ln_isd</w:t>
      </w:r>
      <w:r w:rsidRPr="00A57F05">
        <w:rPr>
          <w:rFonts w:ascii="Times New Roman" w:hAnsi="Times New Roman" w:cs="Times New Roman"/>
          <w:b/>
          <w:sz w:val="24"/>
          <w:szCs w:val="24"/>
          <w:vertAlign w:val="subscript"/>
        </w:rPr>
        <w:t>it</w:t>
      </w:r>
    </w:p>
    <w:p w:rsidR="00C2354A" w:rsidRPr="00A57F05" w:rsidRDefault="00C2354A" w:rsidP="00C2354A">
      <w:pPr>
        <w:spacing w:after="0" w:line="240" w:lineRule="auto"/>
        <w:jc w:val="both"/>
        <w:rPr>
          <w:rFonts w:ascii="Times New Roman" w:hAnsi="Times New Roman" w:cs="Times New Roman"/>
          <w:b/>
          <w:i/>
          <w:sz w:val="24"/>
          <w:szCs w:val="24"/>
        </w:rPr>
      </w:pPr>
      <w:r w:rsidRPr="00A57F05">
        <w:rPr>
          <w:rFonts w:ascii="Times New Roman" w:hAnsi="Times New Roman" w:cs="Times New Roman"/>
          <w:b/>
          <w:sz w:val="24"/>
          <w:szCs w:val="24"/>
        </w:rPr>
        <w:tab/>
      </w:r>
      <w:r w:rsidRPr="00A57F05">
        <w:rPr>
          <w:rFonts w:ascii="Times New Roman" w:hAnsi="Times New Roman" w:cs="Times New Roman"/>
          <w:b/>
          <w:sz w:val="24"/>
          <w:szCs w:val="24"/>
        </w:rPr>
        <w:tab/>
      </w:r>
      <w:r w:rsidRPr="00A57F05">
        <w:rPr>
          <w:rFonts w:ascii="Times New Roman" w:hAnsi="Times New Roman" w:cs="Times New Roman"/>
          <w:b/>
          <w:sz w:val="24"/>
          <w:szCs w:val="24"/>
        </w:rPr>
        <w:tab/>
      </w:r>
      <w:r w:rsidRPr="00A57F05">
        <w:rPr>
          <w:rFonts w:ascii="Times New Roman" w:hAnsi="Times New Roman" w:cs="Times New Roman"/>
          <w:b/>
          <w:sz w:val="24"/>
          <w:szCs w:val="24"/>
        </w:rPr>
        <w:tab/>
      </w:r>
      <w:r w:rsidR="00AA0AD6" w:rsidRPr="00A57F05">
        <w:rPr>
          <w:rFonts w:ascii="Times New Roman" w:hAnsi="Times New Roman" w:cs="Times New Roman"/>
          <w:b/>
          <w:i/>
          <w:sz w:val="24"/>
          <w:szCs w:val="24"/>
        </w:rPr>
        <w:t xml:space="preserve">        </w:t>
      </w:r>
      <w:r w:rsidRPr="00A57F05">
        <w:rPr>
          <w:rFonts w:ascii="Times New Roman" w:hAnsi="Times New Roman" w:cs="Times New Roman"/>
          <w:b/>
          <w:i/>
          <w:sz w:val="24"/>
          <w:szCs w:val="24"/>
        </w:rPr>
        <w:t xml:space="preserve"> (0.5</w:t>
      </w:r>
      <w:r w:rsidR="00AA0AD6" w:rsidRPr="00A57F05">
        <w:rPr>
          <w:rFonts w:ascii="Times New Roman" w:hAnsi="Times New Roman" w:cs="Times New Roman"/>
          <w:b/>
          <w:i/>
          <w:sz w:val="24"/>
          <w:szCs w:val="24"/>
        </w:rPr>
        <w:t>6)**</w:t>
      </w:r>
      <w:r w:rsidR="00AA0AD6" w:rsidRPr="00A57F05">
        <w:rPr>
          <w:rFonts w:ascii="Times New Roman" w:hAnsi="Times New Roman" w:cs="Times New Roman"/>
          <w:b/>
          <w:i/>
          <w:sz w:val="24"/>
          <w:szCs w:val="24"/>
        </w:rPr>
        <w:tab/>
        <w:t xml:space="preserve">      (0.06)**</w:t>
      </w:r>
      <w:r w:rsidR="00AA0AD6" w:rsidRPr="00A57F05">
        <w:rPr>
          <w:rFonts w:ascii="Times New Roman" w:hAnsi="Times New Roman" w:cs="Times New Roman"/>
          <w:b/>
          <w:i/>
          <w:sz w:val="24"/>
          <w:szCs w:val="24"/>
        </w:rPr>
        <w:tab/>
        <w:t xml:space="preserve">              (0.05</w:t>
      </w:r>
      <w:r w:rsidRPr="00A57F05">
        <w:rPr>
          <w:rFonts w:ascii="Times New Roman" w:hAnsi="Times New Roman" w:cs="Times New Roman"/>
          <w:b/>
          <w:i/>
          <w:sz w:val="24"/>
          <w:szCs w:val="24"/>
        </w:rPr>
        <w:t>)**</w:t>
      </w:r>
    </w:p>
    <w:p w:rsidR="00C2354A" w:rsidRPr="00A57F05" w:rsidRDefault="00C2354A" w:rsidP="00C2354A">
      <w:pPr>
        <w:pStyle w:val="NormalWeb"/>
        <w:spacing w:before="0" w:beforeAutospacing="0" w:after="0" w:afterAutospacing="0"/>
        <w:jc w:val="both"/>
        <w:rPr>
          <w:b/>
          <w:color w:val="FF0000"/>
        </w:rPr>
      </w:pPr>
    </w:p>
    <w:p w:rsidR="00C2354A" w:rsidRPr="00A57F05" w:rsidRDefault="00C2354A" w:rsidP="0085176A">
      <w:pPr>
        <w:spacing w:after="0" w:line="240" w:lineRule="auto"/>
        <w:jc w:val="both"/>
        <w:rPr>
          <w:rFonts w:ascii="Times New Roman" w:hAnsi="Times New Roman"/>
          <w:i/>
          <w:sz w:val="20"/>
          <w:szCs w:val="20"/>
        </w:rPr>
      </w:pPr>
      <w:r w:rsidRPr="00A57F05">
        <w:rPr>
          <w:rFonts w:ascii="Times New Roman" w:hAnsi="Times New Roman"/>
          <w:i/>
          <w:sz w:val="20"/>
          <w:szCs w:val="20"/>
        </w:rPr>
        <w:t>unde între paranteze se regăsesc erorile standard robuste, iar *, **, *** reprezintă 1%, 5% şi 10% nivel de semnificaţie.</w:t>
      </w:r>
    </w:p>
    <w:p w:rsidR="00C2354A" w:rsidRPr="00A57F05" w:rsidRDefault="00C2354A" w:rsidP="00CE3B21">
      <w:pPr>
        <w:pStyle w:val="ListParagraph"/>
        <w:spacing w:after="0" w:line="240" w:lineRule="auto"/>
        <w:jc w:val="both"/>
        <w:rPr>
          <w:rFonts w:ascii="Times New Roman" w:hAnsi="Times New Roman" w:cs="Times New Roman"/>
          <w:b/>
          <w:sz w:val="24"/>
          <w:szCs w:val="24"/>
        </w:rPr>
      </w:pPr>
    </w:p>
    <w:p w:rsidR="000C5B39" w:rsidRPr="00A57F05" w:rsidRDefault="000C5B39" w:rsidP="000C5B39">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t xml:space="preserve">Având în vedere rezultatul estimării care redă dinamica inegalității câștigurilor salariale observăm că, și în acest caz, valoarea adăugată brută are cea mai mare influență (coeficient -0,1697). Semnul negativ asociat coeficientului ne arată faptul că creștere a performanțelor economice poate determina o </w:t>
      </w:r>
      <w:r w:rsidR="004B21C0" w:rsidRPr="00A57F05">
        <w:rPr>
          <w:rFonts w:ascii="Times New Roman" w:hAnsi="Times New Roman" w:cs="Times New Roman"/>
          <w:sz w:val="24"/>
          <w:szCs w:val="24"/>
        </w:rPr>
        <w:t>diminuare</w:t>
      </w:r>
      <w:r w:rsidRPr="00A57F05">
        <w:rPr>
          <w:rFonts w:ascii="Times New Roman" w:hAnsi="Times New Roman" w:cs="Times New Roman"/>
          <w:sz w:val="24"/>
          <w:szCs w:val="24"/>
        </w:rPr>
        <w:t xml:space="preserve"> a inegalităților salariale (un indice Gini mai redus). </w:t>
      </w:r>
    </w:p>
    <w:p w:rsidR="004B21C0" w:rsidRPr="00A57F05" w:rsidRDefault="004B21C0" w:rsidP="000C5B39">
      <w:pPr>
        <w:spacing w:after="0" w:line="240" w:lineRule="auto"/>
        <w:ind w:firstLine="708"/>
        <w:jc w:val="both"/>
        <w:rPr>
          <w:rFonts w:ascii="Times New Roman" w:hAnsi="Times New Roman" w:cs="Times New Roman"/>
          <w:sz w:val="24"/>
          <w:szCs w:val="24"/>
        </w:rPr>
      </w:pPr>
      <w:r w:rsidRPr="00A57F05">
        <w:rPr>
          <w:rFonts w:ascii="Times New Roman" w:hAnsi="Times New Roman" w:cs="Times New Roman"/>
          <w:sz w:val="24"/>
          <w:szCs w:val="24"/>
        </w:rPr>
        <w:t xml:space="preserve">Influența ISD-urilor asupra inegalităților salariale este una pozitivă, susținând faptul că în cele mai multe cazuri locurile de muncă de la firmele cu capital străin sunt mai bine plătite, iar în regiunile mai puțin dezvoltate acest lucru nu face decât să crească </w:t>
      </w:r>
      <w:r w:rsidR="0085176A" w:rsidRPr="00A57F05">
        <w:rPr>
          <w:rFonts w:ascii="Times New Roman" w:hAnsi="Times New Roman" w:cs="Times New Roman"/>
          <w:sz w:val="24"/>
          <w:szCs w:val="24"/>
        </w:rPr>
        <w:t>disparitățile de venit, și implicit de nivel de trai între locuitori.</w:t>
      </w:r>
      <w:r w:rsidRPr="00A57F05">
        <w:rPr>
          <w:rFonts w:ascii="Times New Roman" w:hAnsi="Times New Roman" w:cs="Times New Roman"/>
          <w:sz w:val="24"/>
          <w:szCs w:val="24"/>
        </w:rPr>
        <w:t xml:space="preserve"> </w:t>
      </w:r>
    </w:p>
    <w:p w:rsidR="00CC51DA" w:rsidRPr="00EA2AFA" w:rsidRDefault="000C5B39" w:rsidP="00EA2AFA">
      <w:pPr>
        <w:spacing w:after="0" w:line="240" w:lineRule="auto"/>
        <w:ind w:firstLine="709"/>
        <w:jc w:val="both"/>
        <w:rPr>
          <w:rFonts w:ascii="Times New Roman" w:hAnsi="Times New Roman" w:cs="Times New Roman"/>
          <w:sz w:val="24"/>
          <w:szCs w:val="24"/>
        </w:rPr>
      </w:pPr>
      <w:r w:rsidRPr="00A57F05">
        <w:rPr>
          <w:rFonts w:ascii="Times New Roman" w:hAnsi="Times New Roman" w:cs="Times New Roman"/>
          <w:sz w:val="24"/>
          <w:szCs w:val="24"/>
        </w:rPr>
        <w:t xml:space="preserve"> </w:t>
      </w:r>
    </w:p>
    <w:p w:rsidR="00CE3B21" w:rsidRPr="00A57F05" w:rsidRDefault="00CE3B21" w:rsidP="00CE3B21">
      <w:pPr>
        <w:pStyle w:val="NormalWeb"/>
        <w:numPr>
          <w:ilvl w:val="0"/>
          <w:numId w:val="2"/>
        </w:numPr>
        <w:spacing w:before="0" w:beforeAutospacing="0" w:after="0" w:afterAutospacing="0"/>
        <w:jc w:val="both"/>
        <w:rPr>
          <w:b/>
        </w:rPr>
      </w:pPr>
      <w:r w:rsidRPr="00A57F05">
        <w:rPr>
          <w:b/>
        </w:rPr>
        <w:t>CONCLUZII</w:t>
      </w:r>
    </w:p>
    <w:p w:rsidR="00CE3B21" w:rsidRPr="00A57F05" w:rsidRDefault="00CE3B21" w:rsidP="00CE3B21">
      <w:pPr>
        <w:spacing w:after="0" w:line="240" w:lineRule="auto"/>
        <w:rPr>
          <w:rFonts w:ascii="Times New Roman" w:hAnsi="Times New Roman" w:cs="Times New Roman"/>
          <w:b/>
          <w:sz w:val="24"/>
          <w:szCs w:val="24"/>
        </w:rPr>
      </w:pPr>
    </w:p>
    <w:p w:rsidR="008951D3" w:rsidRPr="00A57F05" w:rsidRDefault="00CD7864" w:rsidP="0085176A">
      <w:pPr>
        <w:pStyle w:val="NormalWeb"/>
        <w:spacing w:before="0" w:beforeAutospacing="0" w:after="0" w:afterAutospacing="0"/>
        <w:ind w:firstLine="709"/>
        <w:jc w:val="both"/>
        <w:rPr>
          <w:color w:val="0070C0"/>
        </w:rPr>
      </w:pPr>
      <w:r w:rsidRPr="002167E9">
        <w:t xml:space="preserve">Analiza statistică a indicatorilor macroeconomici incluși în modelul econometric a arătat faptul că </w:t>
      </w:r>
      <w:r w:rsidR="002167E9" w:rsidRPr="002167E9">
        <w:t>inegalitățile câștigurilor salariale la nivel regional s-au redus ușor odată cu declanșarea crizei economice. Perioada de criză economică nu a afectat indicatorii de influență ai inegalităților câștigurile în sensul scăderii, dar le-a redus ritmul de creștere</w:t>
      </w:r>
      <w:r w:rsidR="002167E9">
        <w:t>.</w:t>
      </w:r>
    </w:p>
    <w:p w:rsidR="007E17D4" w:rsidRPr="00A57F05" w:rsidRDefault="0085176A" w:rsidP="007E17D4">
      <w:pPr>
        <w:pStyle w:val="NormalWeb"/>
        <w:spacing w:before="0" w:beforeAutospacing="0" w:after="0" w:afterAutospacing="0"/>
        <w:ind w:firstLine="709"/>
        <w:jc w:val="both"/>
      </w:pPr>
      <w:r w:rsidRPr="00A57F05">
        <w:t xml:space="preserve">În urma estimărilor de tip panel realizate </w:t>
      </w:r>
      <w:r w:rsidR="008951D3" w:rsidRPr="00A57F05">
        <w:t>la nivelul</w:t>
      </w:r>
      <w:r w:rsidRPr="00A57F05">
        <w:t xml:space="preserve"> regiunile de dezvoltare ale României am </w:t>
      </w:r>
      <w:r w:rsidR="008951D3" w:rsidRPr="00A57F05">
        <w:t>constatat</w:t>
      </w:r>
      <w:r w:rsidRPr="00A57F05">
        <w:t xml:space="preserve"> că </w:t>
      </w:r>
      <w:r w:rsidR="008951D3" w:rsidRPr="00A57F05">
        <w:t xml:space="preserve">nivelul câștigului salarial este influențat cel mai mult și în sens pozitiv de nivelul valorii adăugate brute, fapt ce confirmă o corelare între rezultatele macroeconomice și câștigurile salariale. Nivelul de educație influențează și el pozitiv câștigul salarial indicând </w:t>
      </w:r>
      <w:r w:rsidR="007E17D4" w:rsidRPr="00A57F05">
        <w:t xml:space="preserve">faptul </w:t>
      </w:r>
      <w:r w:rsidR="008951D3" w:rsidRPr="00A57F05">
        <w:t>că forța de muncă bine pregătită (specializată) este mai bine remunerată</w:t>
      </w:r>
      <w:r w:rsidR="007E17D4" w:rsidRPr="00A57F05">
        <w:t>. Influența ratei inflației arată că presiunile inflaționiste au susținut ajustările câștigurilor salariale în vederea compensării erodării puterii de cumpărare.</w:t>
      </w:r>
    </w:p>
    <w:p w:rsidR="007E17D4" w:rsidRPr="00A57F05" w:rsidRDefault="0085176A" w:rsidP="001415F5">
      <w:pPr>
        <w:pStyle w:val="NormalWeb"/>
        <w:spacing w:before="0" w:beforeAutospacing="0" w:after="0" w:afterAutospacing="0"/>
        <w:ind w:firstLine="708"/>
        <w:jc w:val="both"/>
        <w:rPr>
          <w:rFonts w:eastAsia="TimesNewRomanPSMT"/>
        </w:rPr>
      </w:pPr>
      <w:r w:rsidRPr="00A57F05">
        <w:t xml:space="preserve">Asupra </w:t>
      </w:r>
      <w:r w:rsidR="007E17D4" w:rsidRPr="00A57F05">
        <w:t xml:space="preserve">indicelui Gini al </w:t>
      </w:r>
      <w:r w:rsidRPr="00A57F05">
        <w:t xml:space="preserve">inegalităților de câștig salarial </w:t>
      </w:r>
      <w:r w:rsidR="007E17D4" w:rsidRPr="00A57F05">
        <w:t xml:space="preserve">rezultatele econometrice au indicat un impact negativ al valorii adăugate brute </w:t>
      </w:r>
      <w:r w:rsidRPr="00A57F05">
        <w:t xml:space="preserve">indicând într-o oarecare măsură că </w:t>
      </w:r>
      <w:r w:rsidR="007E17D4" w:rsidRPr="00A57F05">
        <w:t xml:space="preserve">o creștere a </w:t>
      </w:r>
      <w:r w:rsidR="007E17D4" w:rsidRPr="00A57F05">
        <w:lastRenderedPageBreak/>
        <w:t>performanțelor economice poate determina o diminuare a inegalităților salariale</w:t>
      </w:r>
      <w:r w:rsidRPr="00A57F05">
        <w:t xml:space="preserve">. ISD-urile au o influență pozitivă arătând </w:t>
      </w:r>
      <w:r w:rsidR="007E17D4" w:rsidRPr="00A57F05">
        <w:t xml:space="preserve">astfel, </w:t>
      </w:r>
      <w:r w:rsidRPr="00A57F05">
        <w:t xml:space="preserve">că </w:t>
      </w:r>
      <w:r w:rsidR="007E17D4" w:rsidRPr="00A57F05">
        <w:t>salariații din</w:t>
      </w:r>
      <w:r w:rsidRPr="00A57F05">
        <w:t xml:space="preserve"> firmele cu capital străin sunt mai bine </w:t>
      </w:r>
      <w:r w:rsidR="007E17D4" w:rsidRPr="00A57F05">
        <w:t>plățiți, iar acest aspect duce în majoritatea regiunilor la accentuarea inegalităților salariale.</w:t>
      </w:r>
    </w:p>
    <w:p w:rsidR="001415F5" w:rsidRPr="00A57F05" w:rsidRDefault="001415F5" w:rsidP="0085176A">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A57F05">
        <w:rPr>
          <w:rFonts w:ascii="Times New Roman" w:eastAsia="TimesNewRomanPSMT" w:hAnsi="Times New Roman" w:cs="Times New Roman"/>
          <w:sz w:val="24"/>
          <w:szCs w:val="24"/>
        </w:rPr>
        <w:t>Aceste rezultate arată faptul că, p</w:t>
      </w:r>
      <w:r w:rsidR="0085176A" w:rsidRPr="00A57F05">
        <w:rPr>
          <w:rFonts w:ascii="Times New Roman" w:eastAsia="TimesNewRomanPSMT" w:hAnsi="Times New Roman" w:cs="Times New Roman"/>
          <w:sz w:val="24"/>
          <w:szCs w:val="24"/>
        </w:rPr>
        <w:t xml:space="preserve">entru reducerea inegalităţii de venituri și </w:t>
      </w:r>
      <w:r w:rsidRPr="00A57F05">
        <w:rPr>
          <w:rFonts w:ascii="Times New Roman" w:eastAsia="TimesNewRomanPSMT" w:hAnsi="Times New Roman" w:cs="Times New Roman"/>
          <w:sz w:val="24"/>
          <w:szCs w:val="24"/>
        </w:rPr>
        <w:t>îmbunătățirea nivelului de trai</w:t>
      </w:r>
      <w:r w:rsidR="0085176A" w:rsidRPr="00A57F05">
        <w:rPr>
          <w:rFonts w:ascii="Times New Roman" w:eastAsia="TimesNewRomanPSMT" w:hAnsi="Times New Roman" w:cs="Times New Roman"/>
          <w:sz w:val="24"/>
          <w:szCs w:val="24"/>
        </w:rPr>
        <w:t xml:space="preserve"> este importantă promovarea unor politici </w:t>
      </w:r>
      <w:r w:rsidRPr="00A57F05">
        <w:rPr>
          <w:rFonts w:ascii="Times New Roman" w:eastAsia="TimesNewRomanPSMT" w:hAnsi="Times New Roman" w:cs="Times New Roman"/>
          <w:sz w:val="24"/>
          <w:szCs w:val="24"/>
        </w:rPr>
        <w:t>regionale care să încurajeze dezvoltarea activității economice regionale prin realizarea de investiții (ISD-uri, atragerea de fonduri structurale, etc.), prin stimularea creșterii productivității factorilor de producție, și-n special a muncii și p</w:t>
      </w:r>
      <w:r w:rsidR="00EA2AFA">
        <w:rPr>
          <w:rFonts w:ascii="Times New Roman" w:eastAsia="TimesNewRomanPSMT" w:hAnsi="Times New Roman" w:cs="Times New Roman"/>
          <w:sz w:val="24"/>
          <w:szCs w:val="24"/>
        </w:rPr>
        <w:t>rin susținerea creșterii gradu</w:t>
      </w:r>
      <w:r w:rsidRPr="00A57F05">
        <w:rPr>
          <w:rFonts w:ascii="Times New Roman" w:eastAsia="TimesNewRomanPSMT" w:hAnsi="Times New Roman" w:cs="Times New Roman"/>
          <w:sz w:val="24"/>
          <w:szCs w:val="24"/>
        </w:rPr>
        <w:t>lui de educație în vederea existenței unei forțe de muncă bine pregătită (specializată).</w:t>
      </w:r>
    </w:p>
    <w:p w:rsidR="00CD7864" w:rsidRPr="00532DEE" w:rsidRDefault="00CD7864" w:rsidP="00EA2AFA">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mod evident, d</w:t>
      </w:r>
      <w:r w:rsidRPr="00532DEE">
        <w:rPr>
          <w:rFonts w:ascii="Times New Roman" w:eastAsia="Times New Roman" w:hAnsi="Times New Roman" w:cs="Times New Roman"/>
          <w:sz w:val="24"/>
          <w:szCs w:val="24"/>
        </w:rPr>
        <w:t>iminuarea disparităților veniturilor la nivel regional reprezintă o prioritate a politicii de coeziune a Uniunii Europene, cu atât mai mult cu cât o dată cu declanșarea crizei economice și adoptarea Agendei Europa 2020, fondurile de coeziune vizează în special crearea de noi locuri de muncă și creșterea standardului de viață.</w:t>
      </w:r>
    </w:p>
    <w:p w:rsidR="001415F5" w:rsidRPr="00EA2AFA" w:rsidRDefault="002167E9" w:rsidP="00EA2AFA">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EA2AFA">
        <w:rPr>
          <w:rFonts w:ascii="Times New Roman" w:eastAsia="TimesNewRomanPSMT" w:hAnsi="Times New Roman" w:cs="Times New Roman"/>
          <w:sz w:val="24"/>
          <w:szCs w:val="24"/>
        </w:rPr>
        <w:t xml:space="preserve">Pentru România prioritară este dezvoltarea regiunilor în care nivelul veniturilor este sub media națională, precum și implementarea unor politici de </w:t>
      </w:r>
      <w:r w:rsidR="00EA2AFA" w:rsidRPr="00EA2AFA">
        <w:rPr>
          <w:rFonts w:ascii="Times New Roman" w:eastAsia="TimesNewRomanPSMT" w:hAnsi="Times New Roman" w:cs="Times New Roman"/>
          <w:sz w:val="24"/>
          <w:szCs w:val="24"/>
        </w:rPr>
        <w:t>revitalizare a mediului rural pentru reducerea inegalităților de venituri și a gradului de sărăcie. Altfel spus, trebuie să se încurajeze investițiile și crearea de locuri de muncă, antreprenoriatul, educația și pregătirea profesională.</w:t>
      </w:r>
    </w:p>
    <w:p w:rsidR="00CE3B21" w:rsidRPr="00A57F05" w:rsidRDefault="00CE3B21" w:rsidP="00CE3B21">
      <w:pPr>
        <w:spacing w:after="0" w:line="240" w:lineRule="auto"/>
        <w:rPr>
          <w:rFonts w:ascii="Times New Roman" w:hAnsi="Times New Roman" w:cs="Times New Roman"/>
          <w:b/>
          <w:sz w:val="24"/>
          <w:szCs w:val="24"/>
        </w:rPr>
      </w:pPr>
    </w:p>
    <w:p w:rsidR="00CE3B21" w:rsidRDefault="00CE3B21" w:rsidP="00CE3B21">
      <w:pPr>
        <w:spacing w:after="0" w:line="240" w:lineRule="auto"/>
        <w:ind w:firstLine="709"/>
        <w:rPr>
          <w:rFonts w:ascii="Times New Roman" w:hAnsi="Times New Roman" w:cs="Times New Roman"/>
          <w:b/>
          <w:sz w:val="24"/>
          <w:szCs w:val="24"/>
        </w:rPr>
      </w:pPr>
      <w:r w:rsidRPr="00A57F05">
        <w:rPr>
          <w:rFonts w:ascii="Times New Roman" w:hAnsi="Times New Roman" w:cs="Times New Roman"/>
          <w:b/>
          <w:sz w:val="24"/>
          <w:szCs w:val="24"/>
        </w:rPr>
        <w:t>BIBLIOGRAFIE</w:t>
      </w:r>
    </w:p>
    <w:p w:rsidR="00EA2AFA" w:rsidRPr="00A57F05" w:rsidRDefault="00EA2AFA" w:rsidP="00CE3B21">
      <w:pPr>
        <w:spacing w:after="0" w:line="240" w:lineRule="auto"/>
        <w:ind w:firstLine="709"/>
        <w:rPr>
          <w:rFonts w:ascii="Times New Roman" w:hAnsi="Times New Roman" w:cs="Times New Roman"/>
          <w:b/>
          <w:sz w:val="24"/>
          <w:szCs w:val="24"/>
        </w:rPr>
      </w:pPr>
    </w:p>
    <w:p w:rsidR="00FD4133" w:rsidRPr="004134A1" w:rsidRDefault="00FD4133" w:rsidP="004A42E3">
      <w:pPr>
        <w:pStyle w:val="Els-reference"/>
        <w:numPr>
          <w:ilvl w:val="0"/>
          <w:numId w:val="3"/>
        </w:numPr>
        <w:spacing w:line="240" w:lineRule="auto"/>
        <w:ind w:left="714" w:hanging="357"/>
        <w:jc w:val="both"/>
        <w:rPr>
          <w:bCs/>
          <w:noProof w:val="0"/>
          <w:color w:val="000000" w:themeColor="text1"/>
          <w:sz w:val="24"/>
          <w:szCs w:val="24"/>
          <w:lang w:val="ro-RO"/>
        </w:rPr>
      </w:pPr>
      <w:r w:rsidRPr="004134A1">
        <w:rPr>
          <w:color w:val="000000" w:themeColor="text1"/>
          <w:sz w:val="24"/>
          <w:szCs w:val="24"/>
        </w:rPr>
        <w:t>Bartik, T. J. (1994), The Effects of Metropolitan Job Growth on the Size Distribution of Family Income. Journal of Regional Science. Vol 34, pp. 483-502.</w:t>
      </w:r>
    </w:p>
    <w:p w:rsidR="004A42E3" w:rsidRDefault="004A42E3" w:rsidP="004A42E3">
      <w:pPr>
        <w:pStyle w:val="Els-reference"/>
        <w:numPr>
          <w:ilvl w:val="0"/>
          <w:numId w:val="3"/>
        </w:numPr>
        <w:spacing w:line="240" w:lineRule="auto"/>
        <w:ind w:left="714" w:hanging="357"/>
        <w:jc w:val="both"/>
        <w:rPr>
          <w:bCs/>
          <w:noProof w:val="0"/>
          <w:color w:val="000000" w:themeColor="text1"/>
          <w:sz w:val="24"/>
          <w:szCs w:val="24"/>
          <w:lang w:val="ro-RO"/>
        </w:rPr>
      </w:pPr>
      <w:r w:rsidRPr="004134A1">
        <w:rPr>
          <w:bCs/>
          <w:noProof w:val="0"/>
          <w:color w:val="000000" w:themeColor="text1"/>
          <w:sz w:val="24"/>
          <w:szCs w:val="24"/>
          <w:lang w:val="ro-RO"/>
        </w:rPr>
        <w:t>Baum, C. F. (2001). Residual diagnostics for cross-section time series regression models. The Stata Journal, Vol 1, pp. 101–104.</w:t>
      </w:r>
    </w:p>
    <w:p w:rsidR="00B105F6" w:rsidRPr="00B105F6" w:rsidRDefault="00B105F6" w:rsidP="005773F4">
      <w:pPr>
        <w:pStyle w:val="ListParagraph"/>
        <w:numPr>
          <w:ilvl w:val="0"/>
          <w:numId w:val="3"/>
        </w:numPr>
        <w:spacing w:after="0" w:line="240" w:lineRule="auto"/>
        <w:jc w:val="both"/>
        <w:rPr>
          <w:rFonts w:ascii="Times New Roman" w:hAnsi="Times New Roman" w:cs="Times New Roman"/>
          <w:sz w:val="24"/>
          <w:szCs w:val="24"/>
        </w:rPr>
      </w:pPr>
      <w:r w:rsidRPr="00B105F6">
        <w:rPr>
          <w:rFonts w:ascii="Times New Roman" w:hAnsi="Times New Roman" w:cs="Times New Roman"/>
          <w:bCs/>
          <w:color w:val="000000"/>
          <w:sz w:val="24"/>
          <w:szCs w:val="24"/>
          <w:shd w:val="clear" w:color="auto" w:fill="FFFFFF"/>
        </w:rPr>
        <w:t xml:space="preserve">Bugudui, E., (2015), The impact of unemployment on older population in the North-East region, </w:t>
      </w:r>
      <w:r w:rsidRPr="00B105F6">
        <w:rPr>
          <w:rFonts w:ascii="Times New Roman" w:hAnsi="Times New Roman" w:cs="Times New Roman"/>
          <w:color w:val="000000"/>
          <w:sz w:val="24"/>
          <w:szCs w:val="24"/>
          <w:shd w:val="clear" w:color="auto" w:fill="FFFFFF"/>
        </w:rPr>
        <w:t xml:space="preserve"> Romanian Statistical Review- Supliment , nr. 1, ISSN 1844-7694, pp. 78-86.</w:t>
      </w:r>
    </w:p>
    <w:p w:rsidR="004A42E3" w:rsidRPr="004134A1" w:rsidRDefault="004A42E3" w:rsidP="005773F4">
      <w:pPr>
        <w:pStyle w:val="Els-reference"/>
        <w:numPr>
          <w:ilvl w:val="0"/>
          <w:numId w:val="3"/>
        </w:numPr>
        <w:spacing w:line="240" w:lineRule="auto"/>
        <w:ind w:left="714" w:hanging="357"/>
        <w:jc w:val="both"/>
        <w:rPr>
          <w:bCs/>
          <w:noProof w:val="0"/>
          <w:color w:val="000000" w:themeColor="text1"/>
          <w:sz w:val="24"/>
          <w:szCs w:val="24"/>
          <w:lang w:val="ro-RO"/>
        </w:rPr>
      </w:pPr>
      <w:r w:rsidRPr="004134A1">
        <w:rPr>
          <w:color w:val="000000" w:themeColor="text1"/>
          <w:sz w:val="24"/>
          <w:szCs w:val="24"/>
          <w:lang w:val="ro-RO"/>
        </w:rPr>
        <w:t>Candelaria, C, Daly, M., Hale, G., (2013), Persistence of Regional Inequality in China, Working Paper 2013-06, Federal Reserve Bank of San Francisco.</w:t>
      </w:r>
      <w:r w:rsidRPr="004134A1">
        <w:rPr>
          <w:bCs/>
          <w:noProof w:val="0"/>
          <w:color w:val="000000" w:themeColor="text1"/>
          <w:sz w:val="24"/>
          <w:szCs w:val="24"/>
          <w:lang w:val="ro-RO"/>
        </w:rPr>
        <w:t xml:space="preserve"> </w:t>
      </w:r>
    </w:p>
    <w:p w:rsidR="004A42E3" w:rsidRPr="004134A1" w:rsidRDefault="004A42E3" w:rsidP="005773F4">
      <w:pPr>
        <w:pStyle w:val="Els-reference"/>
        <w:numPr>
          <w:ilvl w:val="0"/>
          <w:numId w:val="3"/>
        </w:numPr>
        <w:spacing w:line="240" w:lineRule="auto"/>
        <w:ind w:left="714" w:hanging="357"/>
        <w:jc w:val="both"/>
        <w:rPr>
          <w:bCs/>
          <w:noProof w:val="0"/>
          <w:color w:val="000000" w:themeColor="text1"/>
          <w:sz w:val="24"/>
          <w:szCs w:val="24"/>
          <w:lang w:val="ro-RO"/>
        </w:rPr>
      </w:pPr>
      <w:r w:rsidRPr="004134A1">
        <w:rPr>
          <w:bCs/>
          <w:noProof w:val="0"/>
          <w:color w:val="000000" w:themeColor="text1"/>
          <w:sz w:val="24"/>
          <w:szCs w:val="24"/>
          <w:lang w:val="ro-RO"/>
        </w:rPr>
        <w:t>Drukker, D. M. (2003). Testing for serial correlation in linear panel-data models. The Stata Journal, Vol. 3, pp. 168–177.</w:t>
      </w:r>
    </w:p>
    <w:p w:rsidR="00F97682" w:rsidRPr="004134A1" w:rsidRDefault="00F97682" w:rsidP="00F97682">
      <w:pPr>
        <w:numPr>
          <w:ilvl w:val="0"/>
          <w:numId w:val="3"/>
        </w:numPr>
        <w:spacing w:after="0" w:line="240" w:lineRule="auto"/>
        <w:ind w:left="714" w:hanging="357"/>
        <w:contextualSpacing/>
        <w:jc w:val="both"/>
        <w:rPr>
          <w:rFonts w:ascii="Times New Roman" w:hAnsi="Times New Roman"/>
          <w:color w:val="000000" w:themeColor="text1"/>
          <w:sz w:val="24"/>
          <w:szCs w:val="24"/>
        </w:rPr>
      </w:pPr>
      <w:r w:rsidRPr="004134A1">
        <w:rPr>
          <w:rFonts w:ascii="Times New Roman" w:hAnsi="Times New Roman"/>
          <w:color w:val="000000" w:themeColor="text1"/>
          <w:sz w:val="24"/>
          <w:szCs w:val="24"/>
        </w:rPr>
        <w:t>Majumdar, S. Partridge, M.D., (2009), Impact of Economic Growth on Income Inequality: A Regional Perspective, Agricultural and Applied Economics Association</w:t>
      </w:r>
      <w:r w:rsidRPr="004134A1">
        <w:rPr>
          <w:color w:val="000000" w:themeColor="text1"/>
          <w:sz w:val="24"/>
          <w:szCs w:val="24"/>
        </w:rPr>
        <w:t xml:space="preserve"> </w:t>
      </w:r>
      <w:r w:rsidRPr="004134A1">
        <w:rPr>
          <w:rFonts w:ascii="Times New Roman" w:hAnsi="Times New Roman"/>
          <w:color w:val="000000" w:themeColor="text1"/>
          <w:sz w:val="24"/>
          <w:szCs w:val="24"/>
        </w:rPr>
        <w:t>Annual Meeting, Milwaukee, Wisconsin.</w:t>
      </w:r>
    </w:p>
    <w:p w:rsidR="00F97682" w:rsidRPr="004134A1" w:rsidRDefault="00F97682" w:rsidP="00F97682">
      <w:pPr>
        <w:numPr>
          <w:ilvl w:val="0"/>
          <w:numId w:val="3"/>
        </w:numPr>
        <w:spacing w:after="0" w:line="240" w:lineRule="auto"/>
        <w:ind w:left="714" w:hanging="357"/>
        <w:contextualSpacing/>
        <w:jc w:val="both"/>
        <w:rPr>
          <w:rFonts w:ascii="Times New Roman" w:hAnsi="Times New Roman"/>
          <w:color w:val="000000" w:themeColor="text1"/>
          <w:sz w:val="24"/>
          <w:szCs w:val="24"/>
        </w:rPr>
      </w:pPr>
      <w:r w:rsidRPr="004134A1">
        <w:rPr>
          <w:rFonts w:ascii="Times New Roman" w:hAnsi="Times New Roman"/>
          <w:color w:val="000000" w:themeColor="text1"/>
          <w:sz w:val="24"/>
          <w:szCs w:val="24"/>
        </w:rPr>
        <w:t>Monastiriotis V. (2002), Inter- and intra-regional wage inequalities in the UK: sources and evolution, Research Papers in Environmental and Spatial Analysis No70, LSE.</w:t>
      </w:r>
    </w:p>
    <w:p w:rsidR="004134A1" w:rsidRPr="004134A1" w:rsidRDefault="005773F4" w:rsidP="004134A1">
      <w:pPr>
        <w:numPr>
          <w:ilvl w:val="0"/>
          <w:numId w:val="3"/>
        </w:numPr>
        <w:autoSpaceDE w:val="0"/>
        <w:autoSpaceDN w:val="0"/>
        <w:adjustRightInd w:val="0"/>
        <w:spacing w:after="0" w:line="240" w:lineRule="auto"/>
        <w:ind w:left="714" w:hanging="357"/>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Te Velde, D.W., </w:t>
      </w:r>
      <w:r w:rsidR="004134A1" w:rsidRPr="004134A1">
        <w:rPr>
          <w:rFonts w:ascii="Times New Roman" w:hAnsi="Times New Roman"/>
          <w:color w:val="000000" w:themeColor="text1"/>
          <w:sz w:val="24"/>
          <w:szCs w:val="24"/>
        </w:rPr>
        <w:t>(2003), Foreign Direct Investment and Income Inequality in Latin America, Overseas Development Institute, UK.</w:t>
      </w:r>
    </w:p>
    <w:p w:rsidR="00285326" w:rsidRPr="00A57F05" w:rsidRDefault="00285326" w:rsidP="00285326">
      <w:pPr>
        <w:ind w:left="360"/>
        <w:jc w:val="both"/>
        <w:rPr>
          <w:rFonts w:ascii="Times New Roman" w:hAnsi="Times New Roman" w:cs="Times New Roman"/>
          <w:sz w:val="24"/>
          <w:szCs w:val="24"/>
        </w:rPr>
      </w:pPr>
    </w:p>
    <w:p w:rsidR="00285326" w:rsidRPr="00A57F05" w:rsidRDefault="00285326" w:rsidP="00285326">
      <w:pPr>
        <w:ind w:left="360"/>
        <w:rPr>
          <w:rFonts w:ascii="Times New Roman" w:hAnsi="Times New Roman" w:cs="Times New Roman"/>
          <w:b/>
          <w:sz w:val="24"/>
          <w:szCs w:val="24"/>
        </w:rPr>
      </w:pPr>
    </w:p>
    <w:p w:rsidR="00285326" w:rsidRPr="00734418" w:rsidRDefault="00285326" w:rsidP="00734418">
      <w:pPr>
        <w:spacing w:line="240" w:lineRule="auto"/>
        <w:rPr>
          <w:rFonts w:ascii="Times New Roman" w:hAnsi="Times New Roman" w:cs="Times New Roman"/>
          <w:color w:val="FF0000"/>
          <w:sz w:val="24"/>
          <w:szCs w:val="24"/>
        </w:rPr>
      </w:pPr>
    </w:p>
    <w:p w:rsidR="00734418" w:rsidRPr="00734418" w:rsidRDefault="00734418">
      <w:pPr>
        <w:spacing w:line="240" w:lineRule="auto"/>
        <w:rPr>
          <w:rFonts w:ascii="Times New Roman" w:hAnsi="Times New Roman" w:cs="Times New Roman"/>
          <w:sz w:val="24"/>
          <w:szCs w:val="24"/>
        </w:rPr>
      </w:pPr>
    </w:p>
    <w:sectPr w:rsidR="00734418" w:rsidRPr="00734418" w:rsidSect="00AA0A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76A" w:rsidRDefault="0085176A" w:rsidP="0085176A">
      <w:pPr>
        <w:spacing w:after="0" w:line="240" w:lineRule="auto"/>
      </w:pPr>
      <w:r>
        <w:separator/>
      </w:r>
    </w:p>
  </w:endnote>
  <w:endnote w:type="continuationSeparator" w:id="0">
    <w:p w:rsidR="0085176A" w:rsidRDefault="0085176A" w:rsidP="00851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7" w:usb1="080F0000" w:usb2="00000010" w:usb3="00000000" w:csb0="0012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76A" w:rsidRDefault="0085176A" w:rsidP="0085176A">
      <w:pPr>
        <w:spacing w:after="0" w:line="240" w:lineRule="auto"/>
      </w:pPr>
      <w:r>
        <w:separator/>
      </w:r>
    </w:p>
  </w:footnote>
  <w:footnote w:type="continuationSeparator" w:id="0">
    <w:p w:rsidR="0085176A" w:rsidRDefault="0085176A" w:rsidP="008517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69C6"/>
    <w:multiLevelType w:val="hybridMultilevel"/>
    <w:tmpl w:val="3C168F2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52321F7B"/>
    <w:multiLevelType w:val="hybridMultilevel"/>
    <w:tmpl w:val="AD1452B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95C417D"/>
    <w:multiLevelType w:val="hybridMultilevel"/>
    <w:tmpl w:val="3A4A71E2"/>
    <w:lvl w:ilvl="0" w:tplc="64BCF2B0">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42"/>
    <w:rsid w:val="00076B56"/>
    <w:rsid w:val="000C5B39"/>
    <w:rsid w:val="001415F5"/>
    <w:rsid w:val="0014632E"/>
    <w:rsid w:val="001D0D44"/>
    <w:rsid w:val="00202599"/>
    <w:rsid w:val="002167E9"/>
    <w:rsid w:val="0023766B"/>
    <w:rsid w:val="00264049"/>
    <w:rsid w:val="00285326"/>
    <w:rsid w:val="002A154F"/>
    <w:rsid w:val="002A6BC9"/>
    <w:rsid w:val="00313EC4"/>
    <w:rsid w:val="00373978"/>
    <w:rsid w:val="0039528C"/>
    <w:rsid w:val="004134A1"/>
    <w:rsid w:val="0043716D"/>
    <w:rsid w:val="00455361"/>
    <w:rsid w:val="004968C3"/>
    <w:rsid w:val="004A11FC"/>
    <w:rsid w:val="004A42E3"/>
    <w:rsid w:val="004A53F9"/>
    <w:rsid w:val="004A57E1"/>
    <w:rsid w:val="004B21C0"/>
    <w:rsid w:val="004D18E6"/>
    <w:rsid w:val="004D249E"/>
    <w:rsid w:val="005773F4"/>
    <w:rsid w:val="005905AD"/>
    <w:rsid w:val="005D7EB0"/>
    <w:rsid w:val="005F5A25"/>
    <w:rsid w:val="0062622F"/>
    <w:rsid w:val="00645790"/>
    <w:rsid w:val="00653D69"/>
    <w:rsid w:val="006A441F"/>
    <w:rsid w:val="006A7C21"/>
    <w:rsid w:val="006B1416"/>
    <w:rsid w:val="006C36D8"/>
    <w:rsid w:val="006D7151"/>
    <w:rsid w:val="00733ED0"/>
    <w:rsid w:val="00734418"/>
    <w:rsid w:val="007516C3"/>
    <w:rsid w:val="00751AC5"/>
    <w:rsid w:val="00761693"/>
    <w:rsid w:val="00764F2E"/>
    <w:rsid w:val="00790D7F"/>
    <w:rsid w:val="007A3017"/>
    <w:rsid w:val="007E17D4"/>
    <w:rsid w:val="008355B9"/>
    <w:rsid w:val="00835842"/>
    <w:rsid w:val="008449FD"/>
    <w:rsid w:val="0085176A"/>
    <w:rsid w:val="00875A4E"/>
    <w:rsid w:val="008951D3"/>
    <w:rsid w:val="008C474C"/>
    <w:rsid w:val="008D1DDA"/>
    <w:rsid w:val="008F46FA"/>
    <w:rsid w:val="00930644"/>
    <w:rsid w:val="0093200D"/>
    <w:rsid w:val="00932CD9"/>
    <w:rsid w:val="00947594"/>
    <w:rsid w:val="009846CF"/>
    <w:rsid w:val="009B2521"/>
    <w:rsid w:val="009B5D8F"/>
    <w:rsid w:val="009F7484"/>
    <w:rsid w:val="00A33E18"/>
    <w:rsid w:val="00A343AC"/>
    <w:rsid w:val="00A42A6A"/>
    <w:rsid w:val="00A57F05"/>
    <w:rsid w:val="00A70806"/>
    <w:rsid w:val="00AA0AD6"/>
    <w:rsid w:val="00AA4986"/>
    <w:rsid w:val="00AB5ACD"/>
    <w:rsid w:val="00AC0002"/>
    <w:rsid w:val="00AC0FF9"/>
    <w:rsid w:val="00B105F6"/>
    <w:rsid w:val="00B16CC6"/>
    <w:rsid w:val="00B25055"/>
    <w:rsid w:val="00B66FF0"/>
    <w:rsid w:val="00BB01E8"/>
    <w:rsid w:val="00BC6402"/>
    <w:rsid w:val="00BF5A91"/>
    <w:rsid w:val="00C2354A"/>
    <w:rsid w:val="00CC51DA"/>
    <w:rsid w:val="00CC5C86"/>
    <w:rsid w:val="00CD7864"/>
    <w:rsid w:val="00CE3B21"/>
    <w:rsid w:val="00CE7821"/>
    <w:rsid w:val="00D12403"/>
    <w:rsid w:val="00DB5CD7"/>
    <w:rsid w:val="00DF4DEF"/>
    <w:rsid w:val="00E44139"/>
    <w:rsid w:val="00E60C5A"/>
    <w:rsid w:val="00EA2AFA"/>
    <w:rsid w:val="00EC71F2"/>
    <w:rsid w:val="00EC7970"/>
    <w:rsid w:val="00EF6B14"/>
    <w:rsid w:val="00F557EE"/>
    <w:rsid w:val="00F90A72"/>
    <w:rsid w:val="00F97682"/>
    <w:rsid w:val="00FD41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D7F"/>
    <w:rPr>
      <w:color w:val="0000FF"/>
      <w:u w:val="single"/>
    </w:rPr>
  </w:style>
  <w:style w:type="paragraph" w:styleId="ListParagraph">
    <w:name w:val="List Paragraph"/>
    <w:basedOn w:val="Normal"/>
    <w:uiPriority w:val="34"/>
    <w:qFormat/>
    <w:rsid w:val="00285326"/>
    <w:pPr>
      <w:ind w:left="720"/>
      <w:contextualSpacing/>
    </w:pPr>
  </w:style>
  <w:style w:type="paragraph" w:styleId="NormalWeb">
    <w:name w:val="Normal (Web)"/>
    <w:basedOn w:val="Normal"/>
    <w:uiPriority w:val="99"/>
    <w:unhideWhenUsed/>
    <w:rsid w:val="00CE3B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A0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AD6"/>
    <w:rPr>
      <w:rFonts w:ascii="Tahoma" w:hAnsi="Tahoma" w:cs="Tahoma"/>
      <w:sz w:val="16"/>
      <w:szCs w:val="16"/>
    </w:rPr>
  </w:style>
  <w:style w:type="paragraph" w:styleId="EndnoteText">
    <w:name w:val="endnote text"/>
    <w:basedOn w:val="Normal"/>
    <w:link w:val="EndnoteTextChar"/>
    <w:uiPriority w:val="99"/>
    <w:semiHidden/>
    <w:unhideWhenUsed/>
    <w:rsid w:val="0085176A"/>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85176A"/>
    <w:rPr>
      <w:rFonts w:eastAsiaTheme="minorHAnsi"/>
      <w:sz w:val="20"/>
      <w:szCs w:val="20"/>
      <w:lang w:eastAsia="en-US"/>
    </w:rPr>
  </w:style>
  <w:style w:type="character" w:styleId="EndnoteReference">
    <w:name w:val="endnote reference"/>
    <w:basedOn w:val="DefaultParagraphFont"/>
    <w:uiPriority w:val="99"/>
    <w:semiHidden/>
    <w:unhideWhenUsed/>
    <w:rsid w:val="0085176A"/>
    <w:rPr>
      <w:vertAlign w:val="superscript"/>
    </w:rPr>
  </w:style>
  <w:style w:type="paragraph" w:customStyle="1" w:styleId="Els-reference">
    <w:name w:val="Els-reference"/>
    <w:rsid w:val="004A42E3"/>
    <w:pPr>
      <w:tabs>
        <w:tab w:val="left" w:pos="312"/>
      </w:tabs>
      <w:spacing w:after="0" w:line="200" w:lineRule="exact"/>
      <w:ind w:left="312" w:hanging="312"/>
    </w:pPr>
    <w:rPr>
      <w:rFonts w:ascii="Times New Roman" w:eastAsia="Times New Roman" w:hAnsi="Times New Roman" w:cs="Times New Roman"/>
      <w:noProof/>
      <w:sz w:val="16"/>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D7F"/>
    <w:rPr>
      <w:color w:val="0000FF"/>
      <w:u w:val="single"/>
    </w:rPr>
  </w:style>
  <w:style w:type="paragraph" w:styleId="ListParagraph">
    <w:name w:val="List Paragraph"/>
    <w:basedOn w:val="Normal"/>
    <w:uiPriority w:val="34"/>
    <w:qFormat/>
    <w:rsid w:val="00285326"/>
    <w:pPr>
      <w:ind w:left="720"/>
      <w:contextualSpacing/>
    </w:pPr>
  </w:style>
  <w:style w:type="paragraph" w:styleId="NormalWeb">
    <w:name w:val="Normal (Web)"/>
    <w:basedOn w:val="Normal"/>
    <w:uiPriority w:val="99"/>
    <w:unhideWhenUsed/>
    <w:rsid w:val="00CE3B2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A0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AD6"/>
    <w:rPr>
      <w:rFonts w:ascii="Tahoma" w:hAnsi="Tahoma" w:cs="Tahoma"/>
      <w:sz w:val="16"/>
      <w:szCs w:val="16"/>
    </w:rPr>
  </w:style>
  <w:style w:type="paragraph" w:styleId="EndnoteText">
    <w:name w:val="endnote text"/>
    <w:basedOn w:val="Normal"/>
    <w:link w:val="EndnoteTextChar"/>
    <w:uiPriority w:val="99"/>
    <w:semiHidden/>
    <w:unhideWhenUsed/>
    <w:rsid w:val="0085176A"/>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85176A"/>
    <w:rPr>
      <w:rFonts w:eastAsiaTheme="minorHAnsi"/>
      <w:sz w:val="20"/>
      <w:szCs w:val="20"/>
      <w:lang w:eastAsia="en-US"/>
    </w:rPr>
  </w:style>
  <w:style w:type="character" w:styleId="EndnoteReference">
    <w:name w:val="endnote reference"/>
    <w:basedOn w:val="DefaultParagraphFont"/>
    <w:uiPriority w:val="99"/>
    <w:semiHidden/>
    <w:unhideWhenUsed/>
    <w:rsid w:val="0085176A"/>
    <w:rPr>
      <w:vertAlign w:val="superscript"/>
    </w:rPr>
  </w:style>
  <w:style w:type="paragraph" w:customStyle="1" w:styleId="Els-reference">
    <w:name w:val="Els-reference"/>
    <w:rsid w:val="004A42E3"/>
    <w:pPr>
      <w:tabs>
        <w:tab w:val="left" w:pos="312"/>
      </w:tabs>
      <w:spacing w:after="0" w:line="200" w:lineRule="exact"/>
      <w:ind w:left="312" w:hanging="312"/>
    </w:pPr>
    <w:rPr>
      <w:rFonts w:ascii="Times New Roman" w:eastAsia="Times New Roman" w:hAnsi="Times New Roman" w:cs="Times New Roman"/>
      <w:noProof/>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onrc.ro" TargetMode="Externa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insse.ro"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urostat.eu" TargetMode="External"/><Relationship Id="rId5" Type="http://schemas.openxmlformats.org/officeDocument/2006/relationships/webSettings" Target="webSettings.xml"/><Relationship Id="rId15" Type="http://schemas.openxmlformats.org/officeDocument/2006/relationships/hyperlink" Target="http://www.insse.ro" TargetMode="External"/><Relationship Id="rId10" Type="http://schemas.openxmlformats.org/officeDocument/2006/relationships/chart" Target="charts/chart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nsse.ro"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F:\Art.%20Suceava_2015\date.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cs!$B$196</c:f>
              <c:strCache>
                <c:ptCount val="1"/>
                <c:pt idx="0">
                  <c:v>2000</c:v>
                </c:pt>
              </c:strCache>
            </c:strRef>
          </c:tx>
          <c:spPr>
            <a:solidFill>
              <a:srgbClr val="FF0000"/>
            </a:solidFill>
          </c:spPr>
          <c:invertIfNegative val="0"/>
          <c:cat>
            <c:strRef>
              <c:f>cs!$A$197:$A$204</c:f>
              <c:strCache>
                <c:ptCount val="8"/>
                <c:pt idx="0">
                  <c:v>BUCURESTI - ILFOV</c:v>
                </c:pt>
                <c:pt idx="1">
                  <c:v>VEST</c:v>
                </c:pt>
                <c:pt idx="2">
                  <c:v>SUD</c:v>
                </c:pt>
                <c:pt idx="3">
                  <c:v>SUD-VEST </c:v>
                </c:pt>
                <c:pt idx="4">
                  <c:v>CENTRU</c:v>
                </c:pt>
                <c:pt idx="5">
                  <c:v>SUD-EST</c:v>
                </c:pt>
                <c:pt idx="6">
                  <c:v>NORD-VEST</c:v>
                </c:pt>
                <c:pt idx="7">
                  <c:v>NORD-EST</c:v>
                </c:pt>
              </c:strCache>
            </c:strRef>
          </c:cat>
          <c:val>
            <c:numRef>
              <c:f>cs!$B$197:$B$204</c:f>
              <c:numCache>
                <c:formatCode>0</c:formatCode>
                <c:ptCount val="8"/>
                <c:pt idx="0">
                  <c:v>268.02539464653398</c:v>
                </c:pt>
                <c:pt idx="1">
                  <c:v>183.20363761153055</c:v>
                </c:pt>
                <c:pt idx="2">
                  <c:v>185.7354152367879</c:v>
                </c:pt>
                <c:pt idx="3">
                  <c:v>206.07439945092659</c:v>
                </c:pt>
                <c:pt idx="4">
                  <c:v>176.16657515442691</c:v>
                </c:pt>
                <c:pt idx="5">
                  <c:v>196.02868908716545</c:v>
                </c:pt>
                <c:pt idx="6">
                  <c:v>170.00501029512699</c:v>
                </c:pt>
                <c:pt idx="7">
                  <c:v>164.24124914207277</c:v>
                </c:pt>
              </c:numCache>
            </c:numRef>
          </c:val>
        </c:ser>
        <c:ser>
          <c:idx val="1"/>
          <c:order val="1"/>
          <c:tx>
            <c:strRef>
              <c:f>cs!$C$196</c:f>
              <c:strCache>
                <c:ptCount val="1"/>
                <c:pt idx="0">
                  <c:v>2007</c:v>
                </c:pt>
              </c:strCache>
            </c:strRef>
          </c:tx>
          <c:spPr>
            <a:solidFill>
              <a:srgbClr val="00B050"/>
            </a:solidFill>
          </c:spPr>
          <c:invertIfNegative val="0"/>
          <c:cat>
            <c:strRef>
              <c:f>cs!$A$197:$A$204</c:f>
              <c:strCache>
                <c:ptCount val="8"/>
                <c:pt idx="0">
                  <c:v>BUCURESTI - ILFOV</c:v>
                </c:pt>
                <c:pt idx="1">
                  <c:v>VEST</c:v>
                </c:pt>
                <c:pt idx="2">
                  <c:v>SUD</c:v>
                </c:pt>
                <c:pt idx="3">
                  <c:v>SUD-VEST </c:v>
                </c:pt>
                <c:pt idx="4">
                  <c:v>CENTRU</c:v>
                </c:pt>
                <c:pt idx="5">
                  <c:v>SUD-EST</c:v>
                </c:pt>
                <c:pt idx="6">
                  <c:v>NORD-VEST</c:v>
                </c:pt>
                <c:pt idx="7">
                  <c:v>NORD-EST</c:v>
                </c:pt>
              </c:strCache>
            </c:strRef>
          </c:cat>
          <c:val>
            <c:numRef>
              <c:f>cs!$C$197:$C$204</c:f>
              <c:numCache>
                <c:formatCode>0</c:formatCode>
                <c:ptCount val="8"/>
                <c:pt idx="0">
                  <c:v>1797.0240366272415</c:v>
                </c:pt>
                <c:pt idx="1">
                  <c:v>1242.8462418924073</c:v>
                </c:pt>
                <c:pt idx="2">
                  <c:v>1235.215566577642</c:v>
                </c:pt>
                <c:pt idx="3">
                  <c:v>1286.7226249523083</c:v>
                </c:pt>
                <c:pt idx="4">
                  <c:v>1191.3391835177413</c:v>
                </c:pt>
                <c:pt idx="5">
                  <c:v>1234.2617321632965</c:v>
                </c:pt>
                <c:pt idx="6">
                  <c:v>1183.708508202976</c:v>
                </c:pt>
                <c:pt idx="7">
                  <c:v>1189.4315146890499</c:v>
                </c:pt>
              </c:numCache>
            </c:numRef>
          </c:val>
        </c:ser>
        <c:ser>
          <c:idx val="2"/>
          <c:order val="2"/>
          <c:tx>
            <c:strRef>
              <c:f>cs!$D$196</c:f>
              <c:strCache>
                <c:ptCount val="1"/>
                <c:pt idx="0">
                  <c:v>2009</c:v>
                </c:pt>
              </c:strCache>
            </c:strRef>
          </c:tx>
          <c:spPr>
            <a:solidFill>
              <a:srgbClr val="FFC000"/>
            </a:solidFill>
          </c:spPr>
          <c:invertIfNegative val="0"/>
          <c:cat>
            <c:strRef>
              <c:f>cs!$A$197:$A$204</c:f>
              <c:strCache>
                <c:ptCount val="8"/>
                <c:pt idx="0">
                  <c:v>BUCURESTI - ILFOV</c:v>
                </c:pt>
                <c:pt idx="1">
                  <c:v>VEST</c:v>
                </c:pt>
                <c:pt idx="2">
                  <c:v>SUD</c:v>
                </c:pt>
                <c:pt idx="3">
                  <c:v>SUD-VEST </c:v>
                </c:pt>
                <c:pt idx="4">
                  <c:v>CENTRU</c:v>
                </c:pt>
                <c:pt idx="5">
                  <c:v>SUD-EST</c:v>
                </c:pt>
                <c:pt idx="6">
                  <c:v>NORD-VEST</c:v>
                </c:pt>
                <c:pt idx="7">
                  <c:v>NORD-EST</c:v>
                </c:pt>
              </c:strCache>
            </c:strRef>
          </c:cat>
          <c:val>
            <c:numRef>
              <c:f>cs!$D$197:$D$204</c:f>
              <c:numCache>
                <c:formatCode>0</c:formatCode>
                <c:ptCount val="8"/>
                <c:pt idx="0">
                  <c:v>2356.2837389904344</c:v>
                </c:pt>
                <c:pt idx="1">
                  <c:v>1621.3656596268586</c:v>
                </c:pt>
                <c:pt idx="2">
                  <c:v>1655.4597973292925</c:v>
                </c:pt>
                <c:pt idx="3">
                  <c:v>1681.9774599867412</c:v>
                </c:pt>
                <c:pt idx="4">
                  <c:v>1557.9126811251065</c:v>
                </c:pt>
                <c:pt idx="5">
                  <c:v>1609.0538876787573</c:v>
                </c:pt>
                <c:pt idx="6">
                  <c:v>1483.0949900558765</c:v>
                </c:pt>
                <c:pt idx="7">
                  <c:v>1542.7597310351359</c:v>
                </c:pt>
              </c:numCache>
            </c:numRef>
          </c:val>
        </c:ser>
        <c:ser>
          <c:idx val="3"/>
          <c:order val="3"/>
          <c:tx>
            <c:strRef>
              <c:f>cs!$E$196</c:f>
              <c:strCache>
                <c:ptCount val="1"/>
                <c:pt idx="0">
                  <c:v>2013</c:v>
                </c:pt>
              </c:strCache>
            </c:strRef>
          </c:tx>
          <c:spPr>
            <a:solidFill>
              <a:srgbClr val="0000FF"/>
            </a:solidFill>
          </c:spPr>
          <c:invertIfNegative val="0"/>
          <c:cat>
            <c:strRef>
              <c:f>cs!$A$197:$A$204</c:f>
              <c:strCache>
                <c:ptCount val="8"/>
                <c:pt idx="0">
                  <c:v>BUCURESTI - ILFOV</c:v>
                </c:pt>
                <c:pt idx="1">
                  <c:v>VEST</c:v>
                </c:pt>
                <c:pt idx="2">
                  <c:v>SUD</c:v>
                </c:pt>
                <c:pt idx="3">
                  <c:v>SUD-VEST </c:v>
                </c:pt>
                <c:pt idx="4">
                  <c:v>CENTRU</c:v>
                </c:pt>
                <c:pt idx="5">
                  <c:v>SUD-EST</c:v>
                </c:pt>
                <c:pt idx="6">
                  <c:v>NORD-VEST</c:v>
                </c:pt>
                <c:pt idx="7">
                  <c:v>NORD-EST</c:v>
                </c:pt>
              </c:strCache>
            </c:strRef>
          </c:cat>
          <c:val>
            <c:numRef>
              <c:f>cs!$E$197:$E$204</c:f>
              <c:numCache>
                <c:formatCode>0</c:formatCode>
                <c:ptCount val="8"/>
                <c:pt idx="0">
                  <c:v>2977.4956722446623</c:v>
                </c:pt>
                <c:pt idx="1">
                  <c:v>1960.954029621081</c:v>
                </c:pt>
                <c:pt idx="2">
                  <c:v>1934.0257741873436</c:v>
                </c:pt>
                <c:pt idx="3">
                  <c:v>1897.4802846701286</c:v>
                </c:pt>
                <c:pt idx="4">
                  <c:v>1839.7768801692632</c:v>
                </c:pt>
                <c:pt idx="5">
                  <c:v>1824.3893056356992</c:v>
                </c:pt>
                <c:pt idx="6">
                  <c:v>1766.6859011348336</c:v>
                </c:pt>
                <c:pt idx="7">
                  <c:v>1738.7959222927484</c:v>
                </c:pt>
              </c:numCache>
            </c:numRef>
          </c:val>
        </c:ser>
        <c:dLbls>
          <c:showLegendKey val="0"/>
          <c:showVal val="0"/>
          <c:showCatName val="0"/>
          <c:showSerName val="0"/>
          <c:showPercent val="0"/>
          <c:showBubbleSize val="0"/>
        </c:dLbls>
        <c:gapWidth val="150"/>
        <c:shape val="box"/>
        <c:axId val="70893952"/>
        <c:axId val="70895488"/>
        <c:axId val="0"/>
      </c:bar3DChart>
      <c:catAx>
        <c:axId val="70893952"/>
        <c:scaling>
          <c:orientation val="minMax"/>
        </c:scaling>
        <c:delete val="0"/>
        <c:axPos val="l"/>
        <c:majorTickMark val="out"/>
        <c:minorTickMark val="none"/>
        <c:tickLblPos val="nextTo"/>
        <c:txPr>
          <a:bodyPr/>
          <a:lstStyle/>
          <a:p>
            <a:pPr>
              <a:defRPr b="0" i="1">
                <a:latin typeface="Times New Roman" panose="02020603050405020304" pitchFamily="18" charset="0"/>
                <a:cs typeface="Times New Roman" panose="02020603050405020304" pitchFamily="18" charset="0"/>
              </a:defRPr>
            </a:pPr>
            <a:endParaRPr lang="ro-RO"/>
          </a:p>
        </c:txPr>
        <c:crossAx val="70895488"/>
        <c:crosses val="autoZero"/>
        <c:auto val="1"/>
        <c:lblAlgn val="ctr"/>
        <c:lblOffset val="100"/>
        <c:noMultiLvlLbl val="0"/>
      </c:catAx>
      <c:valAx>
        <c:axId val="70895488"/>
        <c:scaling>
          <c:orientation val="minMax"/>
        </c:scaling>
        <c:delete val="0"/>
        <c:axPos val="b"/>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o-RO"/>
          </a:p>
        </c:txPr>
        <c:crossAx val="70893952"/>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o-RO"/>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VAB!$B$49</c:f>
              <c:strCache>
                <c:ptCount val="1"/>
                <c:pt idx="0">
                  <c:v>2000</c:v>
                </c:pt>
              </c:strCache>
            </c:strRef>
          </c:tx>
          <c:spPr>
            <a:solidFill>
              <a:srgbClr val="0000FF"/>
            </a:solidFill>
          </c:spPr>
          <c:invertIfNegative val="0"/>
          <c:cat>
            <c:strRef>
              <c:f>VAB!$A$50:$A$57</c:f>
              <c:strCache>
                <c:ptCount val="8"/>
                <c:pt idx="0">
                  <c:v>BUCURESTI - ILFOV</c:v>
                </c:pt>
                <c:pt idx="1">
                  <c:v>SUD</c:v>
                </c:pt>
                <c:pt idx="2">
                  <c:v>CENTRU</c:v>
                </c:pt>
                <c:pt idx="3">
                  <c:v>NORD-VEST</c:v>
                </c:pt>
                <c:pt idx="4">
                  <c:v>SUD-EST</c:v>
                </c:pt>
                <c:pt idx="5">
                  <c:v>NORD-EST</c:v>
                </c:pt>
                <c:pt idx="6">
                  <c:v>VEST</c:v>
                </c:pt>
                <c:pt idx="7">
                  <c:v>SUD-VEST </c:v>
                </c:pt>
              </c:strCache>
            </c:strRef>
          </c:cat>
          <c:val>
            <c:numRef>
              <c:f>VAB!$B$50:$B$57</c:f>
              <c:numCache>
                <c:formatCode>0.00</c:formatCode>
                <c:ptCount val="8"/>
                <c:pt idx="0">
                  <c:v>11.154289636238849</c:v>
                </c:pt>
                <c:pt idx="1">
                  <c:v>6.2170212765957453</c:v>
                </c:pt>
                <c:pt idx="2">
                  <c:v>6.0489361702127669</c:v>
                </c:pt>
                <c:pt idx="3">
                  <c:v>5.6553191489361705</c:v>
                </c:pt>
                <c:pt idx="4">
                  <c:v>5.8688400823610163</c:v>
                </c:pt>
                <c:pt idx="5">
                  <c:v>5.8937542896362398</c:v>
                </c:pt>
                <c:pt idx="6">
                  <c:v>4.6881262868908724</c:v>
                </c:pt>
                <c:pt idx="7">
                  <c:v>4.3295126973232669</c:v>
                </c:pt>
              </c:numCache>
            </c:numRef>
          </c:val>
        </c:ser>
        <c:ser>
          <c:idx val="1"/>
          <c:order val="1"/>
          <c:tx>
            <c:strRef>
              <c:f>VAB!$C$49</c:f>
              <c:strCache>
                <c:ptCount val="1"/>
                <c:pt idx="0">
                  <c:v>2007</c:v>
                </c:pt>
              </c:strCache>
            </c:strRef>
          </c:tx>
          <c:spPr>
            <a:solidFill>
              <a:srgbClr val="C00000"/>
            </a:solidFill>
          </c:spPr>
          <c:invertIfNegative val="0"/>
          <c:cat>
            <c:strRef>
              <c:f>VAB!$A$50:$A$57</c:f>
              <c:strCache>
                <c:ptCount val="8"/>
                <c:pt idx="0">
                  <c:v>BUCURESTI - ILFOV</c:v>
                </c:pt>
                <c:pt idx="1">
                  <c:v>SUD</c:v>
                </c:pt>
                <c:pt idx="2">
                  <c:v>CENTRU</c:v>
                </c:pt>
                <c:pt idx="3">
                  <c:v>NORD-VEST</c:v>
                </c:pt>
                <c:pt idx="4">
                  <c:v>SUD-EST</c:v>
                </c:pt>
                <c:pt idx="5">
                  <c:v>NORD-EST</c:v>
                </c:pt>
                <c:pt idx="6">
                  <c:v>VEST</c:v>
                </c:pt>
                <c:pt idx="7">
                  <c:v>SUD-VEST </c:v>
                </c:pt>
              </c:strCache>
            </c:strRef>
          </c:cat>
          <c:val>
            <c:numRef>
              <c:f>VAB!$C$50:$C$57</c:f>
              <c:numCache>
                <c:formatCode>0.00</c:formatCode>
                <c:ptCount val="8"/>
                <c:pt idx="0">
                  <c:v>83.836894315146878</c:v>
                </c:pt>
                <c:pt idx="1">
                  <c:v>43.980064860740171</c:v>
                </c:pt>
                <c:pt idx="2">
                  <c:v>41.231495612361691</c:v>
                </c:pt>
                <c:pt idx="3">
                  <c:v>42.62476154139641</c:v>
                </c:pt>
                <c:pt idx="4">
                  <c:v>37.601392598244942</c:v>
                </c:pt>
                <c:pt idx="5">
                  <c:v>38.299217855780235</c:v>
                </c:pt>
                <c:pt idx="6">
                  <c:v>34.827928271652048</c:v>
                </c:pt>
                <c:pt idx="7">
                  <c:v>28.632869133918351</c:v>
                </c:pt>
              </c:numCache>
            </c:numRef>
          </c:val>
        </c:ser>
        <c:ser>
          <c:idx val="2"/>
          <c:order val="2"/>
          <c:tx>
            <c:strRef>
              <c:f>VAB!$D$49</c:f>
              <c:strCache>
                <c:ptCount val="1"/>
                <c:pt idx="0">
                  <c:v>2009</c:v>
                </c:pt>
              </c:strCache>
            </c:strRef>
          </c:tx>
          <c:spPr>
            <a:solidFill>
              <a:srgbClr val="FFC000"/>
            </a:solidFill>
          </c:spPr>
          <c:invertIfNegative val="0"/>
          <c:cat>
            <c:strRef>
              <c:f>VAB!$A$50:$A$57</c:f>
              <c:strCache>
                <c:ptCount val="8"/>
                <c:pt idx="0">
                  <c:v>BUCURESTI - ILFOV</c:v>
                </c:pt>
                <c:pt idx="1">
                  <c:v>SUD</c:v>
                </c:pt>
                <c:pt idx="2">
                  <c:v>CENTRU</c:v>
                </c:pt>
                <c:pt idx="3">
                  <c:v>NORD-VEST</c:v>
                </c:pt>
                <c:pt idx="4">
                  <c:v>SUD-EST</c:v>
                </c:pt>
                <c:pt idx="5">
                  <c:v>NORD-EST</c:v>
                </c:pt>
                <c:pt idx="6">
                  <c:v>VEST</c:v>
                </c:pt>
                <c:pt idx="7">
                  <c:v>SUD-VEST </c:v>
                </c:pt>
              </c:strCache>
            </c:strRef>
          </c:cat>
          <c:val>
            <c:numRef>
              <c:f>VAB!$D$50:$D$57</c:f>
              <c:numCache>
                <c:formatCode>0.00</c:formatCode>
                <c:ptCount val="8"/>
                <c:pt idx="0">
                  <c:v>105.89</c:v>
                </c:pt>
                <c:pt idx="1">
                  <c:v>55.66</c:v>
                </c:pt>
                <c:pt idx="2">
                  <c:v>48.6</c:v>
                </c:pt>
                <c:pt idx="3">
                  <c:v>49.27</c:v>
                </c:pt>
                <c:pt idx="4">
                  <c:v>44.99</c:v>
                </c:pt>
                <c:pt idx="5">
                  <c:v>46.28</c:v>
                </c:pt>
                <c:pt idx="6">
                  <c:v>41.9</c:v>
                </c:pt>
                <c:pt idx="7">
                  <c:v>34.1</c:v>
                </c:pt>
              </c:numCache>
            </c:numRef>
          </c:val>
        </c:ser>
        <c:ser>
          <c:idx val="3"/>
          <c:order val="3"/>
          <c:tx>
            <c:strRef>
              <c:f>VAB!$E$49</c:f>
              <c:strCache>
                <c:ptCount val="1"/>
                <c:pt idx="0">
                  <c:v>2012</c:v>
                </c:pt>
              </c:strCache>
            </c:strRef>
          </c:tx>
          <c:spPr>
            <a:solidFill>
              <a:srgbClr val="00B050"/>
            </a:solidFill>
          </c:spPr>
          <c:invertIfNegative val="0"/>
          <c:cat>
            <c:strRef>
              <c:f>VAB!$A$50:$A$57</c:f>
              <c:strCache>
                <c:ptCount val="8"/>
                <c:pt idx="0">
                  <c:v>BUCURESTI - ILFOV</c:v>
                </c:pt>
                <c:pt idx="1">
                  <c:v>SUD</c:v>
                </c:pt>
                <c:pt idx="2">
                  <c:v>CENTRU</c:v>
                </c:pt>
                <c:pt idx="3">
                  <c:v>NORD-VEST</c:v>
                </c:pt>
                <c:pt idx="4">
                  <c:v>SUD-EST</c:v>
                </c:pt>
                <c:pt idx="5">
                  <c:v>NORD-EST</c:v>
                </c:pt>
                <c:pt idx="6">
                  <c:v>VEST</c:v>
                </c:pt>
                <c:pt idx="7">
                  <c:v>SUD-VEST </c:v>
                </c:pt>
              </c:strCache>
            </c:strRef>
          </c:cat>
          <c:val>
            <c:numRef>
              <c:f>VAB!$E$50:$E$57</c:f>
              <c:numCache>
                <c:formatCode>0.00</c:formatCode>
                <c:ptCount val="8"/>
                <c:pt idx="0">
                  <c:v>122.70857358918613</c:v>
                </c:pt>
                <c:pt idx="1">
                  <c:v>57.783816995935346</c:v>
                </c:pt>
                <c:pt idx="2">
                  <c:v>50.838169959353429</c:v>
                </c:pt>
                <c:pt idx="3">
                  <c:v>50.498440306267128</c:v>
                </c:pt>
                <c:pt idx="4">
                  <c:v>49.118064089233386</c:v>
                </c:pt>
                <c:pt idx="5">
                  <c:v>47.190471689195569</c:v>
                </c:pt>
                <c:pt idx="6">
                  <c:v>45.732394366197184</c:v>
                </c:pt>
                <c:pt idx="7">
                  <c:v>36.749409206919367</c:v>
                </c:pt>
              </c:numCache>
            </c:numRef>
          </c:val>
        </c:ser>
        <c:dLbls>
          <c:showLegendKey val="0"/>
          <c:showVal val="0"/>
          <c:showCatName val="0"/>
          <c:showSerName val="0"/>
          <c:showPercent val="0"/>
          <c:showBubbleSize val="0"/>
        </c:dLbls>
        <c:gapWidth val="150"/>
        <c:shape val="box"/>
        <c:axId val="73990528"/>
        <c:axId val="73992064"/>
        <c:axId val="0"/>
      </c:bar3DChart>
      <c:catAx>
        <c:axId val="73990528"/>
        <c:scaling>
          <c:orientation val="minMax"/>
        </c:scaling>
        <c:delete val="0"/>
        <c:axPos val="l"/>
        <c:majorTickMark val="out"/>
        <c:minorTickMark val="none"/>
        <c:tickLblPos val="nextTo"/>
        <c:txPr>
          <a:bodyPr/>
          <a:lstStyle/>
          <a:p>
            <a:pPr>
              <a:defRPr i="1">
                <a:latin typeface="Times New Roman" panose="02020603050405020304" pitchFamily="18" charset="0"/>
                <a:cs typeface="Times New Roman" panose="02020603050405020304" pitchFamily="18" charset="0"/>
              </a:defRPr>
            </a:pPr>
            <a:endParaRPr lang="ro-RO"/>
          </a:p>
        </c:txPr>
        <c:crossAx val="73992064"/>
        <c:crosses val="autoZero"/>
        <c:auto val="1"/>
        <c:lblAlgn val="ctr"/>
        <c:lblOffset val="100"/>
        <c:noMultiLvlLbl val="0"/>
      </c:catAx>
      <c:valAx>
        <c:axId val="73992064"/>
        <c:scaling>
          <c:orientation val="minMax"/>
        </c:scaling>
        <c:delete val="0"/>
        <c:axPos val="b"/>
        <c:majorGridlines/>
        <c:numFmt formatCode="0" sourceLinked="0"/>
        <c:majorTickMark val="out"/>
        <c:minorTickMark val="none"/>
        <c:tickLblPos val="nextTo"/>
        <c:crossAx val="73990528"/>
        <c:crosses val="autoZero"/>
        <c:crossBetween val="between"/>
        <c:minorUnit val="20"/>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o-RO"/>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'isd-euro-lei'!$B$146</c:f>
              <c:strCache>
                <c:ptCount val="1"/>
                <c:pt idx="0">
                  <c:v>2001</c:v>
                </c:pt>
              </c:strCache>
            </c:strRef>
          </c:tx>
          <c:spPr>
            <a:solidFill>
              <a:srgbClr val="0070C0"/>
            </a:solidFill>
          </c:spPr>
          <c:invertIfNegative val="0"/>
          <c:cat>
            <c:strRef>
              <c:f>'isd-euro-lei'!$A$147:$A$154</c:f>
              <c:strCache>
                <c:ptCount val="8"/>
                <c:pt idx="0">
                  <c:v>BUCURESTI-ILFOV</c:v>
                </c:pt>
                <c:pt idx="1">
                  <c:v>CENTRU</c:v>
                </c:pt>
                <c:pt idx="2">
                  <c:v>VEST</c:v>
                </c:pt>
                <c:pt idx="3">
                  <c:v>SUD</c:v>
                </c:pt>
                <c:pt idx="4">
                  <c:v>NORD-VEST</c:v>
                </c:pt>
                <c:pt idx="5">
                  <c:v>SUD-EST</c:v>
                </c:pt>
                <c:pt idx="6">
                  <c:v>NORD-EST</c:v>
                </c:pt>
                <c:pt idx="7">
                  <c:v>SUD-VEST</c:v>
                </c:pt>
              </c:strCache>
            </c:strRef>
          </c:cat>
          <c:val>
            <c:numRef>
              <c:f>'isd-euro-lei'!$B$147:$B$154</c:f>
              <c:numCache>
                <c:formatCode>0.00</c:formatCode>
                <c:ptCount val="8"/>
                <c:pt idx="0">
                  <c:v>8.9506218478215605</c:v>
                </c:pt>
                <c:pt idx="1">
                  <c:v>1.1925353197918214</c:v>
                </c:pt>
                <c:pt idx="2">
                  <c:v>1.5675275001635687</c:v>
                </c:pt>
                <c:pt idx="3">
                  <c:v>1.8904813264237919</c:v>
                </c:pt>
                <c:pt idx="4">
                  <c:v>1.235321083360595</c:v>
                </c:pt>
                <c:pt idx="5">
                  <c:v>1.7110214389293683</c:v>
                </c:pt>
                <c:pt idx="6">
                  <c:v>0.4469387715390335</c:v>
                </c:pt>
                <c:pt idx="7">
                  <c:v>0.63789397373977708</c:v>
                </c:pt>
              </c:numCache>
            </c:numRef>
          </c:val>
        </c:ser>
        <c:ser>
          <c:idx val="1"/>
          <c:order val="1"/>
          <c:tx>
            <c:strRef>
              <c:f>'isd-euro-lei'!$C$146</c:f>
              <c:strCache>
                <c:ptCount val="1"/>
                <c:pt idx="0">
                  <c:v>2007</c:v>
                </c:pt>
              </c:strCache>
            </c:strRef>
          </c:tx>
          <c:spPr>
            <a:solidFill>
              <a:srgbClr val="92D050"/>
            </a:solidFill>
          </c:spPr>
          <c:invertIfNegative val="0"/>
          <c:cat>
            <c:strRef>
              <c:f>'isd-euro-lei'!$A$147:$A$154</c:f>
              <c:strCache>
                <c:ptCount val="8"/>
                <c:pt idx="0">
                  <c:v>BUCURESTI-ILFOV</c:v>
                </c:pt>
                <c:pt idx="1">
                  <c:v>CENTRU</c:v>
                </c:pt>
                <c:pt idx="2">
                  <c:v>VEST</c:v>
                </c:pt>
                <c:pt idx="3">
                  <c:v>SUD</c:v>
                </c:pt>
                <c:pt idx="4">
                  <c:v>NORD-VEST</c:v>
                </c:pt>
                <c:pt idx="5">
                  <c:v>SUD-EST</c:v>
                </c:pt>
                <c:pt idx="6">
                  <c:v>NORD-EST</c:v>
                </c:pt>
                <c:pt idx="7">
                  <c:v>SUD-VEST</c:v>
                </c:pt>
              </c:strCache>
            </c:strRef>
          </c:cat>
          <c:val>
            <c:numRef>
              <c:f>'isd-euro-lei'!$C$147:$C$154</c:f>
              <c:numCache>
                <c:formatCode>0.00</c:formatCode>
                <c:ptCount val="8"/>
                <c:pt idx="0">
                  <c:v>37.417753715423501</c:v>
                </c:pt>
                <c:pt idx="1">
                  <c:v>2.1808261805608549</c:v>
                </c:pt>
                <c:pt idx="2">
                  <c:v>2.836120372167112</c:v>
                </c:pt>
                <c:pt idx="3">
                  <c:v>4.222496798912629</c:v>
                </c:pt>
                <c:pt idx="4">
                  <c:v>2.2765385376859979</c:v>
                </c:pt>
                <c:pt idx="5">
                  <c:v>5.0766596846146506</c:v>
                </c:pt>
                <c:pt idx="6">
                  <c:v>1.7437886254292254</c:v>
                </c:pt>
                <c:pt idx="7">
                  <c:v>0.67998285590423491</c:v>
                </c:pt>
              </c:numCache>
            </c:numRef>
          </c:val>
        </c:ser>
        <c:ser>
          <c:idx val="2"/>
          <c:order val="2"/>
          <c:tx>
            <c:strRef>
              <c:f>'isd-euro-lei'!$D$146</c:f>
              <c:strCache>
                <c:ptCount val="1"/>
                <c:pt idx="0">
                  <c:v>2009</c:v>
                </c:pt>
              </c:strCache>
            </c:strRef>
          </c:tx>
          <c:spPr>
            <a:solidFill>
              <a:srgbClr val="FFC000"/>
            </a:solidFill>
          </c:spPr>
          <c:invertIfNegative val="0"/>
          <c:cat>
            <c:strRef>
              <c:f>'isd-euro-lei'!$A$147:$A$154</c:f>
              <c:strCache>
                <c:ptCount val="8"/>
                <c:pt idx="0">
                  <c:v>BUCURESTI-ILFOV</c:v>
                </c:pt>
                <c:pt idx="1">
                  <c:v>CENTRU</c:v>
                </c:pt>
                <c:pt idx="2">
                  <c:v>VEST</c:v>
                </c:pt>
                <c:pt idx="3">
                  <c:v>SUD</c:v>
                </c:pt>
                <c:pt idx="4">
                  <c:v>NORD-VEST</c:v>
                </c:pt>
                <c:pt idx="5">
                  <c:v>SUD-EST</c:v>
                </c:pt>
                <c:pt idx="6">
                  <c:v>NORD-EST</c:v>
                </c:pt>
                <c:pt idx="7">
                  <c:v>SUD-VEST</c:v>
                </c:pt>
              </c:strCache>
            </c:strRef>
          </c:cat>
          <c:val>
            <c:numRef>
              <c:f>'isd-euro-lei'!$D$147:$D$154</c:f>
              <c:numCache>
                <c:formatCode>0.00</c:formatCode>
                <c:ptCount val="8"/>
                <c:pt idx="0">
                  <c:v>57.9</c:v>
                </c:pt>
                <c:pt idx="1">
                  <c:v>7.9</c:v>
                </c:pt>
                <c:pt idx="2">
                  <c:v>7.2</c:v>
                </c:pt>
                <c:pt idx="3">
                  <c:v>7</c:v>
                </c:pt>
                <c:pt idx="4">
                  <c:v>6.4</c:v>
                </c:pt>
                <c:pt idx="5">
                  <c:v>6</c:v>
                </c:pt>
                <c:pt idx="6">
                  <c:v>5</c:v>
                </c:pt>
                <c:pt idx="7">
                  <c:v>3.7</c:v>
                </c:pt>
              </c:numCache>
            </c:numRef>
          </c:val>
        </c:ser>
        <c:ser>
          <c:idx val="3"/>
          <c:order val="3"/>
          <c:tx>
            <c:strRef>
              <c:f>'isd-euro-lei'!$E$146</c:f>
              <c:strCache>
                <c:ptCount val="1"/>
                <c:pt idx="0">
                  <c:v>2012</c:v>
                </c:pt>
              </c:strCache>
            </c:strRef>
          </c:tx>
          <c:spPr>
            <a:solidFill>
              <a:srgbClr val="7030A0"/>
            </a:solidFill>
          </c:spPr>
          <c:invertIfNegative val="0"/>
          <c:cat>
            <c:strRef>
              <c:f>'isd-euro-lei'!$A$147:$A$154</c:f>
              <c:strCache>
                <c:ptCount val="8"/>
                <c:pt idx="0">
                  <c:v>BUCURESTI-ILFOV</c:v>
                </c:pt>
                <c:pt idx="1">
                  <c:v>CENTRU</c:v>
                </c:pt>
                <c:pt idx="2">
                  <c:v>VEST</c:v>
                </c:pt>
                <c:pt idx="3">
                  <c:v>SUD</c:v>
                </c:pt>
                <c:pt idx="4">
                  <c:v>NORD-VEST</c:v>
                </c:pt>
                <c:pt idx="5">
                  <c:v>SUD-EST</c:v>
                </c:pt>
                <c:pt idx="6">
                  <c:v>NORD-EST</c:v>
                </c:pt>
                <c:pt idx="7">
                  <c:v>SUD-VEST</c:v>
                </c:pt>
              </c:strCache>
            </c:strRef>
          </c:cat>
          <c:val>
            <c:numRef>
              <c:f>'isd-euro-lei'!$E$147:$E$154</c:f>
              <c:numCache>
                <c:formatCode>0.00</c:formatCode>
                <c:ptCount val="8"/>
                <c:pt idx="0">
                  <c:v>84.730153767337654</c:v>
                </c:pt>
                <c:pt idx="1">
                  <c:v>10.612773648166069</c:v>
                </c:pt>
                <c:pt idx="2">
                  <c:v>9.4891431166456979</c:v>
                </c:pt>
                <c:pt idx="3">
                  <c:v>9.4129504975031448</c:v>
                </c:pt>
                <c:pt idx="4">
                  <c:v>8.4855261450691959</c:v>
                </c:pt>
                <c:pt idx="5">
                  <c:v>7.937639448698345</c:v>
                </c:pt>
                <c:pt idx="6">
                  <c:v>6.70011011787477</c:v>
                </c:pt>
                <c:pt idx="7">
                  <c:v>4.786241392877189</c:v>
                </c:pt>
              </c:numCache>
            </c:numRef>
          </c:val>
        </c:ser>
        <c:dLbls>
          <c:showLegendKey val="0"/>
          <c:showVal val="0"/>
          <c:showCatName val="0"/>
          <c:showSerName val="0"/>
          <c:showPercent val="0"/>
          <c:showBubbleSize val="0"/>
        </c:dLbls>
        <c:gapWidth val="150"/>
        <c:shape val="box"/>
        <c:axId val="80966016"/>
        <c:axId val="80967552"/>
        <c:axId val="0"/>
      </c:bar3DChart>
      <c:catAx>
        <c:axId val="80966016"/>
        <c:scaling>
          <c:orientation val="minMax"/>
        </c:scaling>
        <c:delete val="0"/>
        <c:axPos val="l"/>
        <c:majorTickMark val="out"/>
        <c:minorTickMark val="none"/>
        <c:tickLblPos val="nextTo"/>
        <c:txPr>
          <a:bodyPr/>
          <a:lstStyle/>
          <a:p>
            <a:pPr>
              <a:defRPr i="1">
                <a:latin typeface="Times New Roman" panose="02020603050405020304" pitchFamily="18" charset="0"/>
                <a:cs typeface="Times New Roman" panose="02020603050405020304" pitchFamily="18" charset="0"/>
              </a:defRPr>
            </a:pPr>
            <a:endParaRPr lang="ro-RO"/>
          </a:p>
        </c:txPr>
        <c:crossAx val="80967552"/>
        <c:crosses val="autoZero"/>
        <c:auto val="1"/>
        <c:lblAlgn val="ctr"/>
        <c:lblOffset val="100"/>
        <c:noMultiLvlLbl val="0"/>
      </c:catAx>
      <c:valAx>
        <c:axId val="80967552"/>
        <c:scaling>
          <c:orientation val="minMax"/>
        </c:scaling>
        <c:delete val="0"/>
        <c:axPos val="b"/>
        <c:majorGridlines/>
        <c:numFmt formatCode="0" sourceLinked="0"/>
        <c:majorTickMark val="out"/>
        <c:minorTickMark val="none"/>
        <c:tickLblPos val="nextTo"/>
        <c:crossAx val="80966016"/>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o-RO"/>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educatia!$X$99</c:f>
              <c:strCache>
                <c:ptCount val="1"/>
                <c:pt idx="0">
                  <c:v>2000</c:v>
                </c:pt>
              </c:strCache>
            </c:strRef>
          </c:tx>
          <c:spPr>
            <a:solidFill>
              <a:srgbClr val="00B0F0"/>
            </a:solidFill>
          </c:spPr>
          <c:invertIfNegative val="0"/>
          <c:cat>
            <c:strRef>
              <c:f>educatia!$W$100:$W$107</c:f>
              <c:strCache>
                <c:ptCount val="8"/>
                <c:pt idx="0">
                  <c:v>BUCURESTI - ILFOV</c:v>
                </c:pt>
                <c:pt idx="1">
                  <c:v>NORD-VEST</c:v>
                </c:pt>
                <c:pt idx="2">
                  <c:v>NORD-EST</c:v>
                </c:pt>
                <c:pt idx="3">
                  <c:v>CENTRU</c:v>
                </c:pt>
                <c:pt idx="4">
                  <c:v>VEST</c:v>
                </c:pt>
                <c:pt idx="5">
                  <c:v>SUD-VEST </c:v>
                </c:pt>
                <c:pt idx="6">
                  <c:v>SUD-EST</c:v>
                </c:pt>
                <c:pt idx="7">
                  <c:v>SUD</c:v>
                </c:pt>
              </c:strCache>
            </c:strRef>
          </c:cat>
          <c:val>
            <c:numRef>
              <c:f>educatia!$X$100:$X$107</c:f>
              <c:numCache>
                <c:formatCode>General</c:formatCode>
                <c:ptCount val="8"/>
                <c:pt idx="0">
                  <c:v>28911</c:v>
                </c:pt>
                <c:pt idx="1">
                  <c:v>16733</c:v>
                </c:pt>
                <c:pt idx="2">
                  <c:v>14106</c:v>
                </c:pt>
                <c:pt idx="3">
                  <c:v>13339</c:v>
                </c:pt>
                <c:pt idx="4">
                  <c:v>12391</c:v>
                </c:pt>
                <c:pt idx="5">
                  <c:v>8147</c:v>
                </c:pt>
                <c:pt idx="6">
                  <c:v>8721</c:v>
                </c:pt>
                <c:pt idx="7">
                  <c:v>7351</c:v>
                </c:pt>
              </c:numCache>
            </c:numRef>
          </c:val>
        </c:ser>
        <c:ser>
          <c:idx val="1"/>
          <c:order val="1"/>
          <c:tx>
            <c:strRef>
              <c:f>educatia!$Y$99</c:f>
              <c:strCache>
                <c:ptCount val="1"/>
                <c:pt idx="0">
                  <c:v>2007</c:v>
                </c:pt>
              </c:strCache>
            </c:strRef>
          </c:tx>
          <c:spPr>
            <a:solidFill>
              <a:srgbClr val="FF0000"/>
            </a:solidFill>
          </c:spPr>
          <c:invertIfNegative val="0"/>
          <c:cat>
            <c:strRef>
              <c:f>educatia!$W$100:$W$107</c:f>
              <c:strCache>
                <c:ptCount val="8"/>
                <c:pt idx="0">
                  <c:v>BUCURESTI - ILFOV</c:v>
                </c:pt>
                <c:pt idx="1">
                  <c:v>NORD-VEST</c:v>
                </c:pt>
                <c:pt idx="2">
                  <c:v>NORD-EST</c:v>
                </c:pt>
                <c:pt idx="3">
                  <c:v>CENTRU</c:v>
                </c:pt>
                <c:pt idx="4">
                  <c:v>VEST</c:v>
                </c:pt>
                <c:pt idx="5">
                  <c:v>SUD-VEST </c:v>
                </c:pt>
                <c:pt idx="6">
                  <c:v>SUD-EST</c:v>
                </c:pt>
                <c:pt idx="7">
                  <c:v>SUD</c:v>
                </c:pt>
              </c:strCache>
            </c:strRef>
          </c:cat>
          <c:val>
            <c:numRef>
              <c:f>educatia!$Y$100:$Y$107</c:f>
              <c:numCache>
                <c:formatCode>0</c:formatCode>
                <c:ptCount val="8"/>
                <c:pt idx="0">
                  <c:v>93457</c:v>
                </c:pt>
                <c:pt idx="1">
                  <c:v>28216</c:v>
                </c:pt>
                <c:pt idx="2">
                  <c:v>26102</c:v>
                </c:pt>
                <c:pt idx="3">
                  <c:v>28956</c:v>
                </c:pt>
                <c:pt idx="4">
                  <c:v>23751</c:v>
                </c:pt>
                <c:pt idx="5">
                  <c:v>15376</c:v>
                </c:pt>
                <c:pt idx="6">
                  <c:v>16581</c:v>
                </c:pt>
                <c:pt idx="7">
                  <c:v>13432</c:v>
                </c:pt>
              </c:numCache>
            </c:numRef>
          </c:val>
        </c:ser>
        <c:ser>
          <c:idx val="2"/>
          <c:order val="2"/>
          <c:tx>
            <c:strRef>
              <c:f>educatia!$Z$99</c:f>
              <c:strCache>
                <c:ptCount val="1"/>
                <c:pt idx="0">
                  <c:v>2009</c:v>
                </c:pt>
              </c:strCache>
            </c:strRef>
          </c:tx>
          <c:spPr>
            <a:solidFill>
              <a:srgbClr val="00B050"/>
            </a:solidFill>
          </c:spPr>
          <c:invertIfNegative val="0"/>
          <c:cat>
            <c:strRef>
              <c:f>educatia!$W$100:$W$107</c:f>
              <c:strCache>
                <c:ptCount val="8"/>
                <c:pt idx="0">
                  <c:v>BUCURESTI - ILFOV</c:v>
                </c:pt>
                <c:pt idx="1">
                  <c:v>NORD-VEST</c:v>
                </c:pt>
                <c:pt idx="2">
                  <c:v>NORD-EST</c:v>
                </c:pt>
                <c:pt idx="3">
                  <c:v>CENTRU</c:v>
                </c:pt>
                <c:pt idx="4">
                  <c:v>VEST</c:v>
                </c:pt>
                <c:pt idx="5">
                  <c:v>SUD-VEST </c:v>
                </c:pt>
                <c:pt idx="6">
                  <c:v>SUD-EST</c:v>
                </c:pt>
                <c:pt idx="7">
                  <c:v>SUD</c:v>
                </c:pt>
              </c:strCache>
            </c:strRef>
          </c:cat>
          <c:val>
            <c:numRef>
              <c:f>educatia!$Z$100:$Z$107</c:f>
              <c:numCache>
                <c:formatCode>General</c:formatCode>
                <c:ptCount val="8"/>
                <c:pt idx="0">
                  <c:v>73908</c:v>
                </c:pt>
                <c:pt idx="1">
                  <c:v>20494</c:v>
                </c:pt>
                <c:pt idx="2">
                  <c:v>17693</c:v>
                </c:pt>
                <c:pt idx="3">
                  <c:v>35991</c:v>
                </c:pt>
                <c:pt idx="4">
                  <c:v>18004</c:v>
                </c:pt>
                <c:pt idx="5">
                  <c:v>16446</c:v>
                </c:pt>
                <c:pt idx="6">
                  <c:v>17113</c:v>
                </c:pt>
                <c:pt idx="7">
                  <c:v>10874</c:v>
                </c:pt>
              </c:numCache>
            </c:numRef>
          </c:val>
        </c:ser>
        <c:ser>
          <c:idx val="3"/>
          <c:order val="3"/>
          <c:tx>
            <c:strRef>
              <c:f>educatia!$AA$99</c:f>
              <c:strCache>
                <c:ptCount val="1"/>
                <c:pt idx="0">
                  <c:v>2012</c:v>
                </c:pt>
              </c:strCache>
            </c:strRef>
          </c:tx>
          <c:spPr>
            <a:solidFill>
              <a:srgbClr val="7030A0"/>
            </a:solidFill>
          </c:spPr>
          <c:invertIfNegative val="0"/>
          <c:cat>
            <c:strRef>
              <c:f>educatia!$W$100:$W$107</c:f>
              <c:strCache>
                <c:ptCount val="8"/>
                <c:pt idx="0">
                  <c:v>BUCURESTI - ILFOV</c:v>
                </c:pt>
                <c:pt idx="1">
                  <c:v>NORD-VEST</c:v>
                </c:pt>
                <c:pt idx="2">
                  <c:v>NORD-EST</c:v>
                </c:pt>
                <c:pt idx="3">
                  <c:v>CENTRU</c:v>
                </c:pt>
                <c:pt idx="4">
                  <c:v>VEST</c:v>
                </c:pt>
                <c:pt idx="5">
                  <c:v>SUD-VEST </c:v>
                </c:pt>
                <c:pt idx="6">
                  <c:v>SUD-EST</c:v>
                </c:pt>
                <c:pt idx="7">
                  <c:v>SUD</c:v>
                </c:pt>
              </c:strCache>
            </c:strRef>
          </c:cat>
          <c:val>
            <c:numRef>
              <c:f>educatia!$AA$100:$AA$107</c:f>
              <c:numCache>
                <c:formatCode>0</c:formatCode>
                <c:ptCount val="8"/>
                <c:pt idx="0">
                  <c:v>36812</c:v>
                </c:pt>
                <c:pt idx="1">
                  <c:v>19188</c:v>
                </c:pt>
                <c:pt idx="2">
                  <c:v>17362</c:v>
                </c:pt>
                <c:pt idx="3">
                  <c:v>16119</c:v>
                </c:pt>
                <c:pt idx="4">
                  <c:v>15801</c:v>
                </c:pt>
                <c:pt idx="5">
                  <c:v>12074</c:v>
                </c:pt>
                <c:pt idx="6">
                  <c:v>12067</c:v>
                </c:pt>
                <c:pt idx="7">
                  <c:v>8496</c:v>
                </c:pt>
              </c:numCache>
            </c:numRef>
          </c:val>
        </c:ser>
        <c:dLbls>
          <c:showLegendKey val="0"/>
          <c:showVal val="0"/>
          <c:showCatName val="0"/>
          <c:showSerName val="0"/>
          <c:showPercent val="0"/>
          <c:showBubbleSize val="0"/>
        </c:dLbls>
        <c:gapWidth val="150"/>
        <c:shape val="box"/>
        <c:axId val="126329216"/>
        <c:axId val="126330752"/>
        <c:axId val="0"/>
      </c:bar3DChart>
      <c:catAx>
        <c:axId val="126329216"/>
        <c:scaling>
          <c:orientation val="minMax"/>
        </c:scaling>
        <c:delete val="0"/>
        <c:axPos val="b"/>
        <c:majorTickMark val="out"/>
        <c:minorTickMark val="none"/>
        <c:tickLblPos val="nextTo"/>
        <c:txPr>
          <a:bodyPr/>
          <a:lstStyle/>
          <a:p>
            <a:pPr>
              <a:defRPr i="1">
                <a:latin typeface="Times New Roman" panose="02020603050405020304" pitchFamily="18" charset="0"/>
                <a:cs typeface="Times New Roman" panose="02020603050405020304" pitchFamily="18" charset="0"/>
              </a:defRPr>
            </a:pPr>
            <a:endParaRPr lang="ro-RO"/>
          </a:p>
        </c:txPr>
        <c:crossAx val="126330752"/>
        <c:crosses val="autoZero"/>
        <c:auto val="1"/>
        <c:lblAlgn val="ctr"/>
        <c:lblOffset val="100"/>
        <c:noMultiLvlLbl val="0"/>
      </c:catAx>
      <c:valAx>
        <c:axId val="126330752"/>
        <c:scaling>
          <c:orientation val="minMax"/>
        </c:scaling>
        <c:delete val="0"/>
        <c:axPos val="l"/>
        <c:majorGridlines/>
        <c:numFmt formatCode="General" sourceLinked="1"/>
        <c:majorTickMark val="out"/>
        <c:minorTickMark val="none"/>
        <c:tickLblPos val="nextTo"/>
        <c:crossAx val="126329216"/>
        <c:crosses val="autoZero"/>
        <c:crossBetween val="between"/>
        <c:minorUnit val="20000"/>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o-RO"/>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gini!$B$30</c:f>
              <c:strCache>
                <c:ptCount val="1"/>
                <c:pt idx="0">
                  <c:v>2000</c:v>
                </c:pt>
              </c:strCache>
            </c:strRef>
          </c:tx>
          <c:spPr>
            <a:solidFill>
              <a:srgbClr val="FFC000"/>
            </a:solidFill>
          </c:spPr>
          <c:invertIfNegative val="0"/>
          <c:cat>
            <c:strRef>
              <c:f>gini!$A$31:$A$38</c:f>
              <c:strCache>
                <c:ptCount val="8"/>
                <c:pt idx="0">
                  <c:v>CENTRU</c:v>
                </c:pt>
                <c:pt idx="1">
                  <c:v>SUD</c:v>
                </c:pt>
                <c:pt idx="2">
                  <c:v>VEST</c:v>
                </c:pt>
                <c:pt idx="3">
                  <c:v>NORD-VEST</c:v>
                </c:pt>
                <c:pt idx="4">
                  <c:v>SUD-EST</c:v>
                </c:pt>
                <c:pt idx="5">
                  <c:v>NORD-EST</c:v>
                </c:pt>
                <c:pt idx="6">
                  <c:v>SUD-VEST </c:v>
                </c:pt>
                <c:pt idx="7">
                  <c:v>BUCURESTI - ILFOV</c:v>
                </c:pt>
              </c:strCache>
            </c:strRef>
          </c:cat>
          <c:val>
            <c:numRef>
              <c:f>gini!$B$31:$B$38</c:f>
              <c:numCache>
                <c:formatCode>General</c:formatCode>
                <c:ptCount val="8"/>
                <c:pt idx="0">
                  <c:v>0.42919600000000002</c:v>
                </c:pt>
                <c:pt idx="1">
                  <c:v>0.48749900000000002</c:v>
                </c:pt>
                <c:pt idx="2">
                  <c:v>0.523007</c:v>
                </c:pt>
                <c:pt idx="3">
                  <c:v>0.34071000000000001</c:v>
                </c:pt>
                <c:pt idx="4">
                  <c:v>0.73558400000000002</c:v>
                </c:pt>
                <c:pt idx="5">
                  <c:v>0.34327400000000002</c:v>
                </c:pt>
                <c:pt idx="6">
                  <c:v>0.47709600000000002</c:v>
                </c:pt>
                <c:pt idx="7">
                  <c:v>0.35891400000000001</c:v>
                </c:pt>
              </c:numCache>
            </c:numRef>
          </c:val>
        </c:ser>
        <c:ser>
          <c:idx val="1"/>
          <c:order val="1"/>
          <c:tx>
            <c:strRef>
              <c:f>gini!$C$30</c:f>
              <c:strCache>
                <c:ptCount val="1"/>
                <c:pt idx="0">
                  <c:v>2007</c:v>
                </c:pt>
              </c:strCache>
            </c:strRef>
          </c:tx>
          <c:spPr>
            <a:solidFill>
              <a:srgbClr val="0000FF"/>
            </a:solidFill>
          </c:spPr>
          <c:invertIfNegative val="0"/>
          <c:cat>
            <c:strRef>
              <c:f>gini!$A$31:$A$38</c:f>
              <c:strCache>
                <c:ptCount val="8"/>
                <c:pt idx="0">
                  <c:v>CENTRU</c:v>
                </c:pt>
                <c:pt idx="1">
                  <c:v>SUD</c:v>
                </c:pt>
                <c:pt idx="2">
                  <c:v>VEST</c:v>
                </c:pt>
                <c:pt idx="3">
                  <c:v>NORD-VEST</c:v>
                </c:pt>
                <c:pt idx="4">
                  <c:v>SUD-EST</c:v>
                </c:pt>
                <c:pt idx="5">
                  <c:v>NORD-EST</c:v>
                </c:pt>
                <c:pt idx="6">
                  <c:v>SUD-VEST </c:v>
                </c:pt>
                <c:pt idx="7">
                  <c:v>BUCURESTI - ILFOV</c:v>
                </c:pt>
              </c:strCache>
            </c:strRef>
          </c:cat>
          <c:val>
            <c:numRef>
              <c:f>gini!$C$31:$C$38</c:f>
              <c:numCache>
                <c:formatCode>General</c:formatCode>
                <c:ptCount val="8"/>
                <c:pt idx="0">
                  <c:v>0.49529699999999999</c:v>
                </c:pt>
                <c:pt idx="1">
                  <c:v>0.46442899999999998</c:v>
                </c:pt>
                <c:pt idx="2">
                  <c:v>0.44117600000000001</c:v>
                </c:pt>
                <c:pt idx="3">
                  <c:v>0.54175300000000004</c:v>
                </c:pt>
                <c:pt idx="4">
                  <c:v>0.43213200000000002</c:v>
                </c:pt>
                <c:pt idx="5">
                  <c:v>0.43196299999999999</c:v>
                </c:pt>
                <c:pt idx="6">
                  <c:v>0.433471</c:v>
                </c:pt>
                <c:pt idx="7">
                  <c:v>0.33556999999999998</c:v>
                </c:pt>
              </c:numCache>
            </c:numRef>
          </c:val>
        </c:ser>
        <c:ser>
          <c:idx val="2"/>
          <c:order val="2"/>
          <c:tx>
            <c:strRef>
              <c:f>gini!$D$30</c:f>
              <c:strCache>
                <c:ptCount val="1"/>
                <c:pt idx="0">
                  <c:v>2009</c:v>
                </c:pt>
              </c:strCache>
            </c:strRef>
          </c:tx>
          <c:spPr>
            <a:solidFill>
              <a:srgbClr val="FF0000"/>
            </a:solidFill>
          </c:spPr>
          <c:invertIfNegative val="0"/>
          <c:cat>
            <c:strRef>
              <c:f>gini!$A$31:$A$38</c:f>
              <c:strCache>
                <c:ptCount val="8"/>
                <c:pt idx="0">
                  <c:v>CENTRU</c:v>
                </c:pt>
                <c:pt idx="1">
                  <c:v>SUD</c:v>
                </c:pt>
                <c:pt idx="2">
                  <c:v>VEST</c:v>
                </c:pt>
                <c:pt idx="3">
                  <c:v>NORD-VEST</c:v>
                </c:pt>
                <c:pt idx="4">
                  <c:v>SUD-EST</c:v>
                </c:pt>
                <c:pt idx="5">
                  <c:v>NORD-EST</c:v>
                </c:pt>
                <c:pt idx="6">
                  <c:v>SUD-VEST </c:v>
                </c:pt>
                <c:pt idx="7">
                  <c:v>BUCURESTI - ILFOV</c:v>
                </c:pt>
              </c:strCache>
            </c:strRef>
          </c:cat>
          <c:val>
            <c:numRef>
              <c:f>gini!$D$31:$D$38</c:f>
              <c:numCache>
                <c:formatCode>General</c:formatCode>
                <c:ptCount val="8"/>
                <c:pt idx="0">
                  <c:v>0.42982599999999999</c:v>
                </c:pt>
                <c:pt idx="1">
                  <c:v>0.53218900000000002</c:v>
                </c:pt>
                <c:pt idx="2">
                  <c:v>0.442963</c:v>
                </c:pt>
                <c:pt idx="3">
                  <c:v>0.53181400000000001</c:v>
                </c:pt>
                <c:pt idx="4">
                  <c:v>0.49538500000000002</c:v>
                </c:pt>
                <c:pt idx="5">
                  <c:v>0.42979499999999998</c:v>
                </c:pt>
                <c:pt idx="6">
                  <c:v>0.42537799999999998</c:v>
                </c:pt>
                <c:pt idx="7">
                  <c:v>0.33348299999999997</c:v>
                </c:pt>
              </c:numCache>
            </c:numRef>
          </c:val>
        </c:ser>
        <c:ser>
          <c:idx val="3"/>
          <c:order val="3"/>
          <c:tx>
            <c:strRef>
              <c:f>gini!$E$30</c:f>
              <c:strCache>
                <c:ptCount val="1"/>
                <c:pt idx="0">
                  <c:v>2012</c:v>
                </c:pt>
              </c:strCache>
            </c:strRef>
          </c:tx>
          <c:spPr>
            <a:solidFill>
              <a:srgbClr val="00B050"/>
            </a:solidFill>
          </c:spPr>
          <c:invertIfNegative val="0"/>
          <c:cat>
            <c:strRef>
              <c:f>gini!$A$31:$A$38</c:f>
              <c:strCache>
                <c:ptCount val="8"/>
                <c:pt idx="0">
                  <c:v>CENTRU</c:v>
                </c:pt>
                <c:pt idx="1">
                  <c:v>SUD</c:v>
                </c:pt>
                <c:pt idx="2">
                  <c:v>VEST</c:v>
                </c:pt>
                <c:pt idx="3">
                  <c:v>NORD-VEST</c:v>
                </c:pt>
                <c:pt idx="4">
                  <c:v>SUD-EST</c:v>
                </c:pt>
                <c:pt idx="5">
                  <c:v>NORD-EST</c:v>
                </c:pt>
                <c:pt idx="6">
                  <c:v>SUD-VEST </c:v>
                </c:pt>
                <c:pt idx="7">
                  <c:v>BUCURESTI - ILFOV</c:v>
                </c:pt>
              </c:strCache>
            </c:strRef>
          </c:cat>
          <c:val>
            <c:numRef>
              <c:f>gini!$E$31:$E$38</c:f>
              <c:numCache>
                <c:formatCode>General</c:formatCode>
                <c:ptCount val="8"/>
                <c:pt idx="0">
                  <c:v>0.66768300000000003</c:v>
                </c:pt>
                <c:pt idx="1">
                  <c:v>0.59972300000000001</c:v>
                </c:pt>
                <c:pt idx="2">
                  <c:v>0.52995499999999995</c:v>
                </c:pt>
                <c:pt idx="3">
                  <c:v>0.51347600000000004</c:v>
                </c:pt>
                <c:pt idx="4">
                  <c:v>0.45042900000000002</c:v>
                </c:pt>
                <c:pt idx="5">
                  <c:v>0.41874899999999998</c:v>
                </c:pt>
                <c:pt idx="6">
                  <c:v>0.41550700000000002</c:v>
                </c:pt>
                <c:pt idx="7">
                  <c:v>0.24288699999999999</c:v>
                </c:pt>
              </c:numCache>
            </c:numRef>
          </c:val>
        </c:ser>
        <c:dLbls>
          <c:showLegendKey val="0"/>
          <c:showVal val="0"/>
          <c:showCatName val="0"/>
          <c:showSerName val="0"/>
          <c:showPercent val="0"/>
          <c:showBubbleSize val="0"/>
        </c:dLbls>
        <c:gapWidth val="150"/>
        <c:shape val="box"/>
        <c:axId val="129048960"/>
        <c:axId val="129050496"/>
        <c:axId val="0"/>
      </c:bar3DChart>
      <c:catAx>
        <c:axId val="129048960"/>
        <c:scaling>
          <c:orientation val="minMax"/>
        </c:scaling>
        <c:delete val="0"/>
        <c:axPos val="b"/>
        <c:majorTickMark val="out"/>
        <c:minorTickMark val="none"/>
        <c:tickLblPos val="nextTo"/>
        <c:txPr>
          <a:bodyPr/>
          <a:lstStyle/>
          <a:p>
            <a:pPr>
              <a:defRPr b="0" i="1">
                <a:latin typeface="Times New Roman" panose="02020603050405020304" pitchFamily="18" charset="0"/>
                <a:cs typeface="Times New Roman" panose="02020603050405020304" pitchFamily="18" charset="0"/>
              </a:defRPr>
            </a:pPr>
            <a:endParaRPr lang="ro-RO"/>
          </a:p>
        </c:txPr>
        <c:crossAx val="129050496"/>
        <c:crosses val="autoZero"/>
        <c:auto val="1"/>
        <c:lblAlgn val="ctr"/>
        <c:lblOffset val="100"/>
        <c:noMultiLvlLbl val="0"/>
      </c:catAx>
      <c:valAx>
        <c:axId val="129050496"/>
        <c:scaling>
          <c:orientation val="minMax"/>
        </c:scaling>
        <c:delete val="0"/>
        <c:axPos val="l"/>
        <c:majorGridlines/>
        <c:numFmt formatCode="General" sourceLinked="1"/>
        <c:majorTickMark val="out"/>
        <c:minorTickMark val="none"/>
        <c:tickLblPos val="nextTo"/>
        <c:crossAx val="129048960"/>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ro-RO"/>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768</TotalTime>
  <Pages>8</Pages>
  <Words>3533</Words>
  <Characters>20497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Amalia</cp:lastModifiedBy>
  <cp:revision>12</cp:revision>
  <dcterms:created xsi:type="dcterms:W3CDTF">2015-08-27T20:56:00Z</dcterms:created>
  <dcterms:modified xsi:type="dcterms:W3CDTF">2015-09-07T14:26:00Z</dcterms:modified>
</cp:coreProperties>
</file>