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C41" w:rsidRPr="00D57FA0" w:rsidRDefault="00C70C62" w:rsidP="00F605F2">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UNIUNEA EUROPEANĂ</w:t>
      </w:r>
      <w:r w:rsidR="00D57FA0" w:rsidRPr="00D57FA0">
        <w:rPr>
          <w:rFonts w:ascii="Times New Roman" w:hAnsi="Times New Roman" w:cs="Times New Roman"/>
          <w:b/>
          <w:sz w:val="28"/>
          <w:szCs w:val="28"/>
          <w:lang w:val="ro-RO"/>
        </w:rPr>
        <w:t xml:space="preserve"> ”</w:t>
      </w:r>
      <w:r>
        <w:rPr>
          <w:rFonts w:ascii="Times New Roman" w:hAnsi="Times New Roman" w:cs="Times New Roman"/>
          <w:b/>
          <w:sz w:val="28"/>
          <w:szCs w:val="28"/>
          <w:lang w:val="ro-RO"/>
        </w:rPr>
        <w:t>URMĂREȘ</w:t>
      </w:r>
      <w:r w:rsidR="00D57FA0">
        <w:rPr>
          <w:rFonts w:ascii="Times New Roman" w:hAnsi="Times New Roman" w:cs="Times New Roman"/>
          <w:b/>
          <w:sz w:val="28"/>
          <w:szCs w:val="28"/>
          <w:lang w:val="ro-RO"/>
        </w:rPr>
        <w:t>TE</w:t>
      </w:r>
      <w:r w:rsidR="00D57FA0" w:rsidRPr="00D57FA0">
        <w:t xml:space="preserve"> </w:t>
      </w:r>
      <w:r w:rsidR="00D57FA0" w:rsidRPr="00D57FA0">
        <w:rPr>
          <w:rFonts w:ascii="Times New Roman" w:hAnsi="Times New Roman" w:cs="Times New Roman"/>
          <w:b/>
          <w:sz w:val="28"/>
          <w:szCs w:val="28"/>
          <w:lang w:val="ro-RO"/>
        </w:rPr>
        <w:t>”</w:t>
      </w:r>
      <w:r w:rsidR="00D57FA0">
        <w:rPr>
          <w:rFonts w:ascii="Times New Roman" w:hAnsi="Times New Roman" w:cs="Times New Roman"/>
          <w:b/>
          <w:sz w:val="28"/>
          <w:szCs w:val="28"/>
          <w:lang w:val="ro-RO"/>
        </w:rPr>
        <w:t xml:space="preserve"> </w:t>
      </w:r>
      <w:r>
        <w:rPr>
          <w:rFonts w:ascii="Times New Roman" w:hAnsi="Times New Roman" w:cs="Times New Roman"/>
          <w:b/>
          <w:sz w:val="28"/>
          <w:szCs w:val="28"/>
          <w:lang w:val="ro-RO"/>
        </w:rPr>
        <w:t>UN ACCES PE PIAȚĂ</w:t>
      </w:r>
      <w:r w:rsidR="00D57FA0">
        <w:rPr>
          <w:rFonts w:ascii="Times New Roman" w:hAnsi="Times New Roman" w:cs="Times New Roman"/>
          <w:b/>
          <w:sz w:val="28"/>
          <w:szCs w:val="28"/>
          <w:lang w:val="ro-RO"/>
        </w:rPr>
        <w:t xml:space="preserve"> PLURILATERAL</w:t>
      </w:r>
      <w:r w:rsidR="00DA35A2">
        <w:rPr>
          <w:rFonts w:ascii="Times New Roman" w:hAnsi="Times New Roman" w:cs="Times New Roman"/>
          <w:b/>
          <w:sz w:val="28"/>
          <w:szCs w:val="28"/>
          <w:lang w:val="ro-RO"/>
        </w:rPr>
        <w:t xml:space="preserve"> </w:t>
      </w:r>
      <w:r w:rsidR="00D57FA0">
        <w:rPr>
          <w:rFonts w:ascii="Times New Roman" w:hAnsi="Times New Roman" w:cs="Times New Roman"/>
          <w:b/>
          <w:sz w:val="28"/>
          <w:szCs w:val="28"/>
          <w:lang w:val="ro-RO"/>
        </w:rPr>
        <w:t xml:space="preserve">PRIN NEGOCIEREA </w:t>
      </w:r>
      <w:r w:rsidR="00ED5E7C">
        <w:rPr>
          <w:rFonts w:ascii="Times New Roman" w:hAnsi="Times New Roman" w:cs="Times New Roman"/>
          <w:b/>
          <w:sz w:val="28"/>
          <w:szCs w:val="28"/>
          <w:lang w:val="ro-RO"/>
        </w:rPr>
        <w:t xml:space="preserve">ACORDULUI </w:t>
      </w:r>
      <w:bookmarkStart w:id="0" w:name="_GoBack"/>
      <w:bookmarkEnd w:id="0"/>
      <w:r w:rsidR="00D57FA0">
        <w:rPr>
          <w:rFonts w:ascii="Times New Roman" w:hAnsi="Times New Roman" w:cs="Times New Roman"/>
          <w:b/>
          <w:sz w:val="28"/>
          <w:szCs w:val="28"/>
          <w:lang w:val="ro-RO"/>
        </w:rPr>
        <w:t>TISA</w:t>
      </w:r>
    </w:p>
    <w:p w:rsidR="00473ABE" w:rsidRPr="00D57FA0" w:rsidRDefault="00473ABE" w:rsidP="00F605F2">
      <w:pPr>
        <w:spacing w:after="0" w:line="240" w:lineRule="auto"/>
        <w:jc w:val="center"/>
        <w:rPr>
          <w:rFonts w:ascii="Times New Roman" w:hAnsi="Times New Roman" w:cs="Times New Roman"/>
          <w:b/>
          <w:sz w:val="20"/>
          <w:szCs w:val="20"/>
          <w:lang w:val="ro-RO"/>
        </w:rPr>
      </w:pPr>
    </w:p>
    <w:p w:rsidR="00473ABE" w:rsidRPr="00D57FA0" w:rsidRDefault="00473ABE" w:rsidP="00F605F2">
      <w:pPr>
        <w:spacing w:after="0" w:line="240" w:lineRule="auto"/>
        <w:jc w:val="center"/>
        <w:rPr>
          <w:rFonts w:ascii="Times New Roman" w:hAnsi="Times New Roman" w:cs="Times New Roman"/>
          <w:b/>
          <w:sz w:val="24"/>
          <w:szCs w:val="24"/>
          <w:lang w:val="ro-RO"/>
        </w:rPr>
      </w:pPr>
    </w:p>
    <w:p w:rsidR="007116BE" w:rsidRPr="00D57FA0" w:rsidRDefault="007116BE" w:rsidP="00F605F2">
      <w:pPr>
        <w:spacing w:after="0" w:line="240" w:lineRule="auto"/>
        <w:ind w:firstLine="720"/>
        <w:jc w:val="both"/>
        <w:rPr>
          <w:rFonts w:ascii="Times New Roman" w:hAnsi="Times New Roman" w:cs="Times New Roman"/>
          <w:b/>
          <w:sz w:val="20"/>
          <w:szCs w:val="20"/>
          <w:lang w:val="ro-RO"/>
        </w:rPr>
      </w:pPr>
      <w:r w:rsidRPr="00D57FA0">
        <w:rPr>
          <w:rFonts w:ascii="Times New Roman" w:hAnsi="Times New Roman" w:cs="Times New Roman"/>
          <w:b/>
          <w:sz w:val="20"/>
          <w:szCs w:val="20"/>
          <w:lang w:val="ro-RO"/>
        </w:rPr>
        <w:t>Abstract:</w:t>
      </w:r>
    </w:p>
    <w:p w:rsidR="000C7C97" w:rsidRDefault="000C7C97" w:rsidP="00F605F2">
      <w:pPr>
        <w:spacing w:after="0" w:line="240" w:lineRule="auto"/>
        <w:ind w:firstLine="720"/>
        <w:jc w:val="both"/>
        <w:rPr>
          <w:rFonts w:ascii="Times New Roman" w:hAnsi="Times New Roman" w:cs="Times New Roman"/>
          <w:i/>
          <w:sz w:val="20"/>
          <w:szCs w:val="20"/>
          <w:lang w:val="ro-RO"/>
        </w:rPr>
      </w:pPr>
      <w:r w:rsidRPr="000C7C97">
        <w:rPr>
          <w:rFonts w:ascii="Times New Roman" w:hAnsi="Times New Roman" w:cs="Times New Roman"/>
          <w:i/>
          <w:sz w:val="20"/>
          <w:szCs w:val="20"/>
          <w:lang w:val="ro-RO"/>
        </w:rPr>
        <w:t>Comerțul internațional este un domeniu important și semnificativ al economiei mondiale, care po</w:t>
      </w:r>
      <w:r>
        <w:rPr>
          <w:rFonts w:ascii="Times New Roman" w:hAnsi="Times New Roman" w:cs="Times New Roman"/>
          <w:i/>
          <w:sz w:val="20"/>
          <w:szCs w:val="20"/>
          <w:lang w:val="ro-RO"/>
        </w:rPr>
        <w:t>ate</w:t>
      </w:r>
      <w:r w:rsidRPr="000C7C97">
        <w:rPr>
          <w:rFonts w:ascii="Times New Roman" w:hAnsi="Times New Roman" w:cs="Times New Roman"/>
          <w:i/>
          <w:sz w:val="20"/>
          <w:szCs w:val="20"/>
          <w:lang w:val="ro-RO"/>
        </w:rPr>
        <w:t xml:space="preserve"> asigura cre</w:t>
      </w:r>
      <w:r w:rsidR="007E4E69">
        <w:rPr>
          <w:rFonts w:ascii="Times New Roman" w:hAnsi="Times New Roman" w:cs="Times New Roman"/>
          <w:i/>
          <w:sz w:val="20"/>
          <w:szCs w:val="20"/>
          <w:lang w:val="ro-RO"/>
        </w:rPr>
        <w:t>ș</w:t>
      </w:r>
      <w:r w:rsidRPr="000C7C97">
        <w:rPr>
          <w:rFonts w:ascii="Times New Roman" w:hAnsi="Times New Roman" w:cs="Times New Roman"/>
          <w:i/>
          <w:sz w:val="20"/>
          <w:szCs w:val="20"/>
          <w:lang w:val="ro-RO"/>
        </w:rPr>
        <w:t xml:space="preserve">terea </w:t>
      </w:r>
      <w:r>
        <w:rPr>
          <w:rFonts w:ascii="Times New Roman" w:hAnsi="Times New Roman" w:cs="Times New Roman"/>
          <w:i/>
          <w:sz w:val="20"/>
          <w:szCs w:val="20"/>
          <w:lang w:val="ro-RO"/>
        </w:rPr>
        <w:t xml:space="preserve">economică </w:t>
      </w:r>
      <w:r w:rsidRPr="000C7C97">
        <w:rPr>
          <w:rFonts w:ascii="Times New Roman" w:hAnsi="Times New Roman" w:cs="Times New Roman"/>
          <w:i/>
          <w:sz w:val="20"/>
          <w:szCs w:val="20"/>
          <w:lang w:val="ro-RO"/>
        </w:rPr>
        <w:t>si mai mul</w:t>
      </w:r>
      <w:r>
        <w:rPr>
          <w:rFonts w:ascii="Times New Roman" w:hAnsi="Times New Roman" w:cs="Times New Roman"/>
          <w:i/>
          <w:sz w:val="20"/>
          <w:szCs w:val="20"/>
          <w:lang w:val="ro-RO"/>
        </w:rPr>
        <w:t>te locuri de muncă pentru țări</w:t>
      </w:r>
      <w:r w:rsidR="004847A4">
        <w:rPr>
          <w:rFonts w:ascii="Times New Roman" w:hAnsi="Times New Roman" w:cs="Times New Roman"/>
          <w:i/>
          <w:sz w:val="20"/>
          <w:szCs w:val="20"/>
          <w:lang w:val="ro-RO"/>
        </w:rPr>
        <w:t>le</w:t>
      </w:r>
      <w:r w:rsidRPr="000C7C97">
        <w:rPr>
          <w:rFonts w:ascii="Times New Roman" w:hAnsi="Times New Roman" w:cs="Times New Roman"/>
          <w:i/>
          <w:sz w:val="20"/>
          <w:szCs w:val="20"/>
          <w:lang w:val="ro-RO"/>
        </w:rPr>
        <w:t xml:space="preserve"> </w:t>
      </w:r>
      <w:r w:rsidR="004847A4">
        <w:rPr>
          <w:rFonts w:ascii="Times New Roman" w:hAnsi="Times New Roman" w:cs="Times New Roman"/>
          <w:i/>
          <w:sz w:val="20"/>
          <w:szCs w:val="20"/>
          <w:lang w:val="ro-RO"/>
        </w:rPr>
        <w:t>unei</w:t>
      </w:r>
      <w:r w:rsidRPr="000C7C97">
        <w:rPr>
          <w:rFonts w:ascii="Times New Roman" w:hAnsi="Times New Roman" w:cs="Times New Roman"/>
          <w:i/>
          <w:sz w:val="20"/>
          <w:szCs w:val="20"/>
          <w:lang w:val="ro-RO"/>
        </w:rPr>
        <w:t xml:space="preserve"> l</w:t>
      </w:r>
      <w:r w:rsidR="004847A4">
        <w:rPr>
          <w:rFonts w:ascii="Times New Roman" w:hAnsi="Times New Roman" w:cs="Times New Roman"/>
          <w:i/>
          <w:sz w:val="20"/>
          <w:szCs w:val="20"/>
          <w:lang w:val="ro-RO"/>
        </w:rPr>
        <w:t>umi globalizate</w:t>
      </w:r>
      <w:r w:rsidR="00920E99">
        <w:rPr>
          <w:rFonts w:ascii="Times New Roman" w:hAnsi="Times New Roman" w:cs="Times New Roman"/>
          <w:i/>
          <w:sz w:val="20"/>
          <w:szCs w:val="20"/>
          <w:lang w:val="ro-RO"/>
        </w:rPr>
        <w:t>. În prezent, acest domeniu</w:t>
      </w:r>
      <w:r w:rsidRPr="000C7C97">
        <w:rPr>
          <w:rFonts w:ascii="Times New Roman" w:hAnsi="Times New Roman" w:cs="Times New Roman"/>
          <w:i/>
          <w:sz w:val="20"/>
          <w:szCs w:val="20"/>
          <w:lang w:val="ro-RO"/>
        </w:rPr>
        <w:t xml:space="preserve"> este </w:t>
      </w:r>
      <w:r w:rsidR="00580532">
        <w:rPr>
          <w:rFonts w:ascii="Times New Roman" w:hAnsi="Times New Roman" w:cs="Times New Roman"/>
          <w:i/>
          <w:sz w:val="20"/>
          <w:szCs w:val="20"/>
          <w:lang w:val="ro-RO"/>
        </w:rPr>
        <w:t>reprezentat mai mult de exporturi și importuri</w:t>
      </w:r>
      <w:r w:rsidRPr="000C7C97">
        <w:rPr>
          <w:rFonts w:ascii="Times New Roman" w:hAnsi="Times New Roman" w:cs="Times New Roman"/>
          <w:i/>
          <w:sz w:val="20"/>
          <w:szCs w:val="20"/>
          <w:lang w:val="ro-RO"/>
        </w:rPr>
        <w:t xml:space="preserve"> de bunur</w:t>
      </w:r>
      <w:r w:rsidR="00D74328">
        <w:rPr>
          <w:rFonts w:ascii="Times New Roman" w:hAnsi="Times New Roman" w:cs="Times New Roman"/>
          <w:i/>
          <w:sz w:val="20"/>
          <w:szCs w:val="20"/>
          <w:lang w:val="ro-RO"/>
        </w:rPr>
        <w:t>i decât de</w:t>
      </w:r>
      <w:r w:rsidRPr="000C7C97">
        <w:rPr>
          <w:rFonts w:ascii="Times New Roman" w:hAnsi="Times New Roman" w:cs="Times New Roman"/>
          <w:i/>
          <w:sz w:val="20"/>
          <w:szCs w:val="20"/>
          <w:lang w:val="ro-RO"/>
        </w:rPr>
        <w:t xml:space="preserve"> comerțul cu servicii. În ciuda acestui fapt, scopul acestei lucrări este de a arăta interesul actual al țărilor și regiuni</w:t>
      </w:r>
      <w:r w:rsidR="00A57BE6">
        <w:rPr>
          <w:rFonts w:ascii="Times New Roman" w:hAnsi="Times New Roman" w:cs="Times New Roman"/>
          <w:i/>
          <w:sz w:val="20"/>
          <w:szCs w:val="20"/>
          <w:lang w:val="ro-RO"/>
        </w:rPr>
        <w:t>lor din lume, în special a</w:t>
      </w:r>
      <w:r w:rsidRPr="000C7C97">
        <w:rPr>
          <w:rFonts w:ascii="Times New Roman" w:hAnsi="Times New Roman" w:cs="Times New Roman"/>
          <w:i/>
          <w:sz w:val="20"/>
          <w:szCs w:val="20"/>
          <w:lang w:val="ro-RO"/>
        </w:rPr>
        <w:t xml:space="preserve"> UE și SUA, </w:t>
      </w:r>
      <w:r w:rsidR="00A57BE6">
        <w:rPr>
          <w:rFonts w:ascii="Times New Roman" w:hAnsi="Times New Roman" w:cs="Times New Roman"/>
          <w:i/>
          <w:sz w:val="20"/>
          <w:szCs w:val="20"/>
          <w:lang w:val="ro-RO"/>
        </w:rPr>
        <w:t>de</w:t>
      </w:r>
      <w:r w:rsidRPr="000C7C97">
        <w:rPr>
          <w:rFonts w:ascii="Times New Roman" w:hAnsi="Times New Roman" w:cs="Times New Roman"/>
          <w:i/>
          <w:sz w:val="20"/>
          <w:szCs w:val="20"/>
          <w:lang w:val="ro-RO"/>
        </w:rPr>
        <w:t xml:space="preserve"> a continua acordul GATS a Organizației Mondiale a Comerțului prin negocierea unui acord </w:t>
      </w:r>
      <w:r w:rsidR="00A57BE6">
        <w:rPr>
          <w:rFonts w:ascii="Times New Roman" w:hAnsi="Times New Roman" w:cs="Times New Roman"/>
          <w:i/>
          <w:sz w:val="20"/>
          <w:szCs w:val="20"/>
          <w:lang w:val="ro-RO"/>
        </w:rPr>
        <w:t>plurilateral</w:t>
      </w:r>
      <w:r w:rsidRPr="000C7C97">
        <w:rPr>
          <w:rFonts w:ascii="Times New Roman" w:hAnsi="Times New Roman" w:cs="Times New Roman"/>
          <w:i/>
          <w:sz w:val="20"/>
          <w:szCs w:val="20"/>
          <w:lang w:val="ro-RO"/>
        </w:rPr>
        <w:t xml:space="preserve"> în domeniul serviciilor. Astfel, 23 de țări ale lumii </w:t>
      </w:r>
      <w:r w:rsidR="00A57BE6">
        <w:rPr>
          <w:rFonts w:ascii="Times New Roman" w:hAnsi="Times New Roman" w:cs="Times New Roman"/>
          <w:i/>
          <w:sz w:val="20"/>
          <w:szCs w:val="20"/>
          <w:lang w:val="ro-RO"/>
        </w:rPr>
        <w:t xml:space="preserve">au început </w:t>
      </w:r>
      <w:r w:rsidRPr="000C7C97">
        <w:rPr>
          <w:rFonts w:ascii="Times New Roman" w:hAnsi="Times New Roman" w:cs="Times New Roman"/>
          <w:i/>
          <w:sz w:val="20"/>
          <w:szCs w:val="20"/>
          <w:lang w:val="ro-RO"/>
        </w:rPr>
        <w:t>în 2013</w:t>
      </w:r>
      <w:r w:rsidR="00A57BE6">
        <w:rPr>
          <w:rFonts w:ascii="Times New Roman" w:hAnsi="Times New Roman" w:cs="Times New Roman"/>
          <w:i/>
          <w:sz w:val="20"/>
          <w:szCs w:val="20"/>
          <w:lang w:val="ro-RO"/>
        </w:rPr>
        <w:t xml:space="preserve"> negocierea unor aspecte ale Acordului TiSA</w:t>
      </w:r>
      <w:r w:rsidRPr="000C7C97">
        <w:rPr>
          <w:rFonts w:ascii="Times New Roman" w:hAnsi="Times New Roman" w:cs="Times New Roman"/>
          <w:i/>
          <w:sz w:val="20"/>
          <w:szCs w:val="20"/>
          <w:lang w:val="ro-RO"/>
        </w:rPr>
        <w:t xml:space="preserve"> (</w:t>
      </w:r>
      <w:r w:rsidR="00A57BE6">
        <w:rPr>
          <w:rFonts w:ascii="Times New Roman" w:hAnsi="Times New Roman" w:cs="Times New Roman"/>
          <w:i/>
          <w:sz w:val="20"/>
          <w:szCs w:val="20"/>
          <w:lang w:val="ro-RO"/>
        </w:rPr>
        <w:t xml:space="preserve">Acord privind </w:t>
      </w:r>
      <w:r w:rsidRPr="000C7C97">
        <w:rPr>
          <w:rFonts w:ascii="Times New Roman" w:hAnsi="Times New Roman" w:cs="Times New Roman"/>
          <w:i/>
          <w:sz w:val="20"/>
          <w:szCs w:val="20"/>
          <w:lang w:val="ro-RO"/>
        </w:rPr>
        <w:t>comerțul cu servicii). Acest nou acord se bazează pe Acordul General privind Comerțul cu Servicii ("GATS").</w:t>
      </w:r>
    </w:p>
    <w:p w:rsidR="00A2118D" w:rsidRDefault="001E04E7" w:rsidP="00F605F2">
      <w:pPr>
        <w:spacing w:after="0" w:line="240" w:lineRule="auto"/>
        <w:ind w:firstLine="720"/>
        <w:jc w:val="both"/>
        <w:rPr>
          <w:rFonts w:ascii="Times New Roman" w:hAnsi="Times New Roman" w:cs="Times New Roman"/>
          <w:i/>
          <w:sz w:val="20"/>
          <w:szCs w:val="20"/>
          <w:lang w:val="ro-RO"/>
        </w:rPr>
      </w:pPr>
      <w:r w:rsidRPr="001E04E7">
        <w:rPr>
          <w:rFonts w:ascii="Times New Roman" w:hAnsi="Times New Roman" w:cs="Times New Roman"/>
          <w:i/>
          <w:sz w:val="20"/>
          <w:szCs w:val="20"/>
          <w:lang w:val="ro-RO"/>
        </w:rPr>
        <w:t>Pentru a înțelege impor</w:t>
      </w:r>
      <w:r>
        <w:rPr>
          <w:rFonts w:ascii="Times New Roman" w:hAnsi="Times New Roman" w:cs="Times New Roman"/>
          <w:i/>
          <w:sz w:val="20"/>
          <w:szCs w:val="20"/>
          <w:lang w:val="ro-RO"/>
        </w:rPr>
        <w:t>tanța acestui acord plurilateral</w:t>
      </w:r>
      <w:r w:rsidRPr="001E04E7">
        <w:rPr>
          <w:rFonts w:ascii="Times New Roman" w:hAnsi="Times New Roman" w:cs="Times New Roman"/>
          <w:i/>
          <w:sz w:val="20"/>
          <w:szCs w:val="20"/>
          <w:lang w:val="ro-RO"/>
        </w:rPr>
        <w:t xml:space="preserve"> în domeniul servi</w:t>
      </w:r>
      <w:r>
        <w:rPr>
          <w:rFonts w:ascii="Times New Roman" w:hAnsi="Times New Roman" w:cs="Times New Roman"/>
          <w:i/>
          <w:sz w:val="20"/>
          <w:szCs w:val="20"/>
          <w:lang w:val="ro-RO"/>
        </w:rPr>
        <w:t xml:space="preserve">ciilor, am analizat </w:t>
      </w:r>
      <w:r w:rsidR="00F96755">
        <w:rPr>
          <w:rFonts w:ascii="Times New Roman" w:hAnsi="Times New Roman" w:cs="Times New Roman"/>
          <w:i/>
          <w:sz w:val="20"/>
          <w:szCs w:val="20"/>
          <w:lang w:val="ro-RO"/>
        </w:rPr>
        <w:t xml:space="preserve">ponderea </w:t>
      </w:r>
      <w:r w:rsidRPr="001E04E7">
        <w:rPr>
          <w:rFonts w:ascii="Times New Roman" w:hAnsi="Times New Roman" w:cs="Times New Roman"/>
          <w:i/>
          <w:sz w:val="20"/>
          <w:szCs w:val="20"/>
          <w:lang w:val="ro-RO"/>
        </w:rPr>
        <w:t>PIB-ul</w:t>
      </w:r>
      <w:r w:rsidR="00F96755">
        <w:rPr>
          <w:rFonts w:ascii="Times New Roman" w:hAnsi="Times New Roman" w:cs="Times New Roman"/>
          <w:i/>
          <w:sz w:val="20"/>
          <w:szCs w:val="20"/>
          <w:lang w:val="ro-RO"/>
        </w:rPr>
        <w:t>ui</w:t>
      </w:r>
      <w:r w:rsidRPr="001E04E7">
        <w:rPr>
          <w:rFonts w:ascii="Times New Roman" w:hAnsi="Times New Roman" w:cs="Times New Roman"/>
          <w:i/>
          <w:sz w:val="20"/>
          <w:szCs w:val="20"/>
          <w:lang w:val="ro-RO"/>
        </w:rPr>
        <w:t xml:space="preserve"> mondial și comerțul internațional cu servicii, cercetarea noastră fiind </w:t>
      </w:r>
      <w:r w:rsidR="00F96755">
        <w:rPr>
          <w:rFonts w:ascii="Times New Roman" w:hAnsi="Times New Roman" w:cs="Times New Roman"/>
          <w:i/>
          <w:sz w:val="20"/>
          <w:szCs w:val="20"/>
          <w:lang w:val="ro-RO"/>
        </w:rPr>
        <w:t>în întreagime axată</w:t>
      </w:r>
      <w:r w:rsidRPr="001E04E7">
        <w:rPr>
          <w:rFonts w:ascii="Times New Roman" w:hAnsi="Times New Roman" w:cs="Times New Roman"/>
          <w:i/>
          <w:sz w:val="20"/>
          <w:szCs w:val="20"/>
          <w:lang w:val="ro-RO"/>
        </w:rPr>
        <w:t xml:space="preserve"> pe locul Uniunii Europene în 2012. Deoarece sectorul serviciilor constituie activitatea economică cea mai dinamică din UE, am analizat relațiile comerciale din această regiune cu restul țărilor car</w:t>
      </w:r>
      <w:r w:rsidR="00F96755">
        <w:rPr>
          <w:rFonts w:ascii="Times New Roman" w:hAnsi="Times New Roman" w:cs="Times New Roman"/>
          <w:i/>
          <w:sz w:val="20"/>
          <w:szCs w:val="20"/>
          <w:lang w:val="ro-RO"/>
        </w:rPr>
        <w:t>e fac parte din negocierile TiSA. În final</w:t>
      </w:r>
      <w:r w:rsidRPr="001E04E7">
        <w:rPr>
          <w:rFonts w:ascii="Times New Roman" w:hAnsi="Times New Roman" w:cs="Times New Roman"/>
          <w:i/>
          <w:sz w:val="20"/>
          <w:szCs w:val="20"/>
          <w:lang w:val="ro-RO"/>
        </w:rPr>
        <w:t>, am constatat că aceste</w:t>
      </w:r>
      <w:r w:rsidR="00F96755">
        <w:rPr>
          <w:rFonts w:ascii="Times New Roman" w:hAnsi="Times New Roman" w:cs="Times New Roman"/>
          <w:i/>
          <w:sz w:val="20"/>
          <w:szCs w:val="20"/>
          <w:lang w:val="ro-RO"/>
        </w:rPr>
        <w:t xml:space="preserve"> țări sunt parteneri substanțiale ai</w:t>
      </w:r>
      <w:r w:rsidRPr="001E04E7">
        <w:rPr>
          <w:rFonts w:ascii="Times New Roman" w:hAnsi="Times New Roman" w:cs="Times New Roman"/>
          <w:i/>
          <w:sz w:val="20"/>
          <w:szCs w:val="20"/>
          <w:lang w:val="ro-RO"/>
        </w:rPr>
        <w:t xml:space="preserve"> </w:t>
      </w:r>
      <w:r w:rsidR="00580532">
        <w:rPr>
          <w:rFonts w:ascii="Times New Roman" w:hAnsi="Times New Roman" w:cs="Times New Roman"/>
          <w:i/>
          <w:sz w:val="20"/>
          <w:szCs w:val="20"/>
          <w:lang w:val="ro-RO"/>
        </w:rPr>
        <w:t>UE privind exporturile și importurile de servicii comerciale</w:t>
      </w:r>
      <w:r w:rsidRPr="001E04E7">
        <w:rPr>
          <w:rFonts w:ascii="Times New Roman" w:hAnsi="Times New Roman" w:cs="Times New Roman"/>
          <w:i/>
          <w:sz w:val="20"/>
          <w:szCs w:val="20"/>
          <w:lang w:val="ro-RO"/>
        </w:rPr>
        <w:t>.</w:t>
      </w:r>
    </w:p>
    <w:p w:rsidR="001E04E7" w:rsidRPr="00D57FA0" w:rsidRDefault="001E04E7" w:rsidP="00F605F2">
      <w:pPr>
        <w:spacing w:after="0" w:line="240" w:lineRule="auto"/>
        <w:ind w:firstLine="720"/>
        <w:jc w:val="both"/>
        <w:rPr>
          <w:rFonts w:ascii="Times New Roman" w:hAnsi="Times New Roman" w:cs="Times New Roman"/>
          <w:i/>
          <w:sz w:val="20"/>
          <w:szCs w:val="20"/>
          <w:lang w:val="ro-RO"/>
        </w:rPr>
      </w:pPr>
    </w:p>
    <w:p w:rsidR="003B4E81" w:rsidRDefault="00D92D73" w:rsidP="00F605F2">
      <w:pPr>
        <w:spacing w:after="0" w:line="240" w:lineRule="auto"/>
        <w:ind w:firstLine="720"/>
        <w:jc w:val="both"/>
        <w:rPr>
          <w:rFonts w:ascii="Times New Roman" w:hAnsi="Times New Roman" w:cs="Times New Roman"/>
          <w:b/>
          <w:sz w:val="20"/>
          <w:szCs w:val="20"/>
          <w:lang w:val="ro-RO"/>
        </w:rPr>
      </w:pPr>
      <w:r w:rsidRPr="00D92D73">
        <w:rPr>
          <w:rFonts w:ascii="Times New Roman" w:hAnsi="Times New Roman" w:cs="Times New Roman"/>
          <w:b/>
          <w:sz w:val="20"/>
          <w:szCs w:val="20"/>
          <w:lang w:val="ro-RO"/>
        </w:rPr>
        <w:t xml:space="preserve">Cuvinte cheie: </w:t>
      </w:r>
      <w:r>
        <w:rPr>
          <w:rFonts w:ascii="Times New Roman" w:hAnsi="Times New Roman" w:cs="Times New Roman"/>
          <w:sz w:val="20"/>
          <w:szCs w:val="20"/>
          <w:lang w:val="ro-RO"/>
        </w:rPr>
        <w:t xml:space="preserve">Acord </w:t>
      </w:r>
      <w:r w:rsidRPr="00D92D73">
        <w:rPr>
          <w:rFonts w:ascii="Times New Roman" w:hAnsi="Times New Roman" w:cs="Times New Roman"/>
          <w:sz w:val="20"/>
          <w:szCs w:val="20"/>
          <w:lang w:val="ro-RO"/>
        </w:rPr>
        <w:t>Ti</w:t>
      </w:r>
      <w:r>
        <w:rPr>
          <w:rFonts w:ascii="Times New Roman" w:hAnsi="Times New Roman" w:cs="Times New Roman"/>
          <w:sz w:val="20"/>
          <w:szCs w:val="20"/>
          <w:lang w:val="ro-RO"/>
        </w:rPr>
        <w:t>SA</w:t>
      </w:r>
      <w:r w:rsidRPr="00D92D73">
        <w:rPr>
          <w:rFonts w:ascii="Times New Roman" w:hAnsi="Times New Roman" w:cs="Times New Roman"/>
          <w:sz w:val="20"/>
          <w:szCs w:val="20"/>
          <w:lang w:val="ro-RO"/>
        </w:rPr>
        <w:t>, integrare comercia</w:t>
      </w:r>
      <w:r w:rsidR="000E50E3">
        <w:rPr>
          <w:rFonts w:ascii="Times New Roman" w:hAnsi="Times New Roman" w:cs="Times New Roman"/>
          <w:sz w:val="20"/>
          <w:szCs w:val="20"/>
          <w:lang w:val="ro-RO"/>
        </w:rPr>
        <w:t>lă privind</w:t>
      </w:r>
      <w:r>
        <w:rPr>
          <w:rFonts w:ascii="Times New Roman" w:hAnsi="Times New Roman" w:cs="Times New Roman"/>
          <w:sz w:val="20"/>
          <w:szCs w:val="20"/>
          <w:lang w:val="ro-RO"/>
        </w:rPr>
        <w:t xml:space="preserve"> servicii, PIB, accesul pe piață, transparență</w:t>
      </w:r>
      <w:r w:rsidRPr="00D92D73">
        <w:rPr>
          <w:rFonts w:ascii="Times New Roman" w:hAnsi="Times New Roman" w:cs="Times New Roman"/>
          <w:sz w:val="20"/>
          <w:szCs w:val="20"/>
          <w:lang w:val="ro-RO"/>
        </w:rPr>
        <w:t>.</w:t>
      </w:r>
    </w:p>
    <w:p w:rsidR="00D92D73" w:rsidRPr="00D57FA0" w:rsidRDefault="00D92D73" w:rsidP="00F605F2">
      <w:pPr>
        <w:spacing w:after="0" w:line="240" w:lineRule="auto"/>
        <w:ind w:firstLine="720"/>
        <w:jc w:val="both"/>
        <w:rPr>
          <w:rFonts w:ascii="Times New Roman" w:hAnsi="Times New Roman" w:cs="Times New Roman"/>
          <w:sz w:val="20"/>
          <w:szCs w:val="20"/>
          <w:lang w:val="ro-RO"/>
        </w:rPr>
      </w:pPr>
    </w:p>
    <w:p w:rsidR="003B4E81" w:rsidRPr="00D57FA0" w:rsidRDefault="00D92D73" w:rsidP="00F605F2">
      <w:pPr>
        <w:spacing w:after="0" w:line="240" w:lineRule="auto"/>
        <w:ind w:firstLine="720"/>
        <w:jc w:val="both"/>
        <w:rPr>
          <w:rFonts w:ascii="Times New Roman" w:hAnsi="Times New Roman" w:cs="Times New Roman"/>
          <w:sz w:val="20"/>
          <w:szCs w:val="20"/>
          <w:lang w:val="ro-RO"/>
        </w:rPr>
      </w:pPr>
      <w:r>
        <w:rPr>
          <w:rFonts w:ascii="Times New Roman" w:hAnsi="Times New Roman" w:cs="Times New Roman"/>
          <w:b/>
          <w:sz w:val="20"/>
          <w:szCs w:val="20"/>
          <w:lang w:val="ro-RO"/>
        </w:rPr>
        <w:t>Clasificarea JEL</w:t>
      </w:r>
      <w:r w:rsidR="003B4E81" w:rsidRPr="00D57FA0">
        <w:rPr>
          <w:rFonts w:ascii="Times New Roman" w:hAnsi="Times New Roman" w:cs="Times New Roman"/>
          <w:b/>
          <w:sz w:val="20"/>
          <w:szCs w:val="20"/>
          <w:lang w:val="ro-RO"/>
        </w:rPr>
        <w:t>:</w:t>
      </w:r>
      <w:r w:rsidR="003B4E81" w:rsidRPr="00D57FA0">
        <w:rPr>
          <w:rFonts w:ascii="Times New Roman" w:hAnsi="Times New Roman" w:cs="Times New Roman"/>
          <w:sz w:val="20"/>
          <w:szCs w:val="20"/>
          <w:lang w:val="ro-RO"/>
        </w:rPr>
        <w:t xml:space="preserve"> F10, F13.</w:t>
      </w:r>
    </w:p>
    <w:p w:rsidR="00EF5937" w:rsidRPr="00D57FA0" w:rsidRDefault="00EF5937" w:rsidP="00F605F2">
      <w:pPr>
        <w:spacing w:after="0" w:line="240" w:lineRule="auto"/>
        <w:ind w:firstLine="720"/>
        <w:jc w:val="both"/>
        <w:rPr>
          <w:rFonts w:ascii="Times New Roman" w:hAnsi="Times New Roman" w:cs="Times New Roman"/>
          <w:sz w:val="20"/>
          <w:szCs w:val="20"/>
          <w:lang w:val="ro-RO"/>
        </w:rPr>
      </w:pPr>
    </w:p>
    <w:p w:rsidR="000E0963" w:rsidRPr="00D57FA0" w:rsidRDefault="000E0963" w:rsidP="00F605F2">
      <w:pPr>
        <w:spacing w:after="0" w:line="240" w:lineRule="auto"/>
        <w:jc w:val="both"/>
        <w:rPr>
          <w:rFonts w:ascii="Times New Roman" w:hAnsi="Times New Roman" w:cs="Times New Roman"/>
          <w:sz w:val="24"/>
          <w:szCs w:val="24"/>
          <w:lang w:val="ro-RO"/>
        </w:rPr>
      </w:pPr>
    </w:p>
    <w:p w:rsidR="003E00D8" w:rsidRPr="00D57FA0" w:rsidRDefault="000E0963" w:rsidP="00F605F2">
      <w:pPr>
        <w:spacing w:after="0" w:line="240" w:lineRule="auto"/>
        <w:ind w:firstLine="720"/>
        <w:jc w:val="both"/>
        <w:rPr>
          <w:rFonts w:ascii="Times New Roman" w:hAnsi="Times New Roman" w:cs="Times New Roman"/>
          <w:b/>
          <w:sz w:val="24"/>
          <w:szCs w:val="24"/>
          <w:lang w:val="ro-RO"/>
        </w:rPr>
      </w:pPr>
      <w:r w:rsidRPr="00D57FA0">
        <w:rPr>
          <w:rFonts w:ascii="Times New Roman" w:hAnsi="Times New Roman" w:cs="Times New Roman"/>
          <w:b/>
          <w:sz w:val="24"/>
          <w:szCs w:val="24"/>
          <w:lang w:val="ro-RO"/>
        </w:rPr>
        <w:t xml:space="preserve">1. </w:t>
      </w:r>
      <w:r w:rsidR="00D50021">
        <w:rPr>
          <w:rFonts w:ascii="Times New Roman" w:hAnsi="Times New Roman" w:cs="Times New Roman"/>
          <w:b/>
          <w:sz w:val="24"/>
          <w:szCs w:val="24"/>
          <w:lang w:val="ro-RO"/>
        </w:rPr>
        <w:t>INTRODUCERE</w:t>
      </w:r>
    </w:p>
    <w:p w:rsidR="003E00D8" w:rsidRPr="00D57FA0" w:rsidRDefault="003E00D8" w:rsidP="00F605F2">
      <w:pPr>
        <w:spacing w:after="0" w:line="240" w:lineRule="auto"/>
        <w:ind w:firstLine="720"/>
        <w:jc w:val="both"/>
        <w:rPr>
          <w:rFonts w:ascii="Times New Roman" w:hAnsi="Times New Roman" w:cs="Times New Roman"/>
          <w:b/>
          <w:sz w:val="24"/>
          <w:szCs w:val="24"/>
          <w:lang w:val="ro-RO"/>
        </w:rPr>
      </w:pPr>
    </w:p>
    <w:p w:rsidR="00C0015E" w:rsidRDefault="00C0015E" w:rsidP="00F605F2">
      <w:pPr>
        <w:spacing w:after="0" w:line="240" w:lineRule="auto"/>
        <w:ind w:firstLine="720"/>
        <w:jc w:val="both"/>
        <w:rPr>
          <w:rFonts w:ascii="Times New Roman" w:hAnsi="Times New Roman" w:cs="Times New Roman"/>
          <w:sz w:val="24"/>
          <w:szCs w:val="24"/>
          <w:lang w:val="ro-RO"/>
        </w:rPr>
      </w:pPr>
      <w:r w:rsidRPr="00C0015E">
        <w:rPr>
          <w:rFonts w:ascii="Times New Roman" w:hAnsi="Times New Roman" w:cs="Times New Roman"/>
          <w:sz w:val="24"/>
          <w:szCs w:val="24"/>
          <w:lang w:val="ro-RO"/>
        </w:rPr>
        <w:t>În prezent, 23 de țări (membri ai Organizației Mondiale a Comerțului), inclusiv Uniunea Europeană, a</w:t>
      </w:r>
      <w:r>
        <w:rPr>
          <w:rFonts w:ascii="Times New Roman" w:hAnsi="Times New Roman" w:cs="Times New Roman"/>
          <w:sz w:val="24"/>
          <w:szCs w:val="24"/>
          <w:lang w:val="ro-RO"/>
        </w:rPr>
        <w:t>u</w:t>
      </w:r>
      <w:r w:rsidRPr="00C0015E">
        <w:rPr>
          <w:rFonts w:ascii="Times New Roman" w:hAnsi="Times New Roman" w:cs="Times New Roman"/>
          <w:sz w:val="24"/>
          <w:szCs w:val="24"/>
          <w:lang w:val="ro-RO"/>
        </w:rPr>
        <w:t xml:space="preserve"> începu</w:t>
      </w:r>
      <w:r>
        <w:rPr>
          <w:rFonts w:ascii="Times New Roman" w:hAnsi="Times New Roman" w:cs="Times New Roman"/>
          <w:sz w:val="24"/>
          <w:szCs w:val="24"/>
          <w:lang w:val="ro-RO"/>
        </w:rPr>
        <w:t>t negocierile unui acord bazat pe comerțul</w:t>
      </w:r>
      <w:r w:rsidRPr="00C0015E">
        <w:rPr>
          <w:rFonts w:ascii="Times New Roman" w:hAnsi="Times New Roman" w:cs="Times New Roman"/>
          <w:sz w:val="24"/>
          <w:szCs w:val="24"/>
          <w:lang w:val="ro-RO"/>
        </w:rPr>
        <w:t xml:space="preserve"> internațional cu s</w:t>
      </w:r>
      <w:r w:rsidR="00C03CEC">
        <w:rPr>
          <w:rFonts w:ascii="Times New Roman" w:hAnsi="Times New Roman" w:cs="Times New Roman"/>
          <w:sz w:val="24"/>
          <w:szCs w:val="24"/>
          <w:lang w:val="ro-RO"/>
        </w:rPr>
        <w:t>ervicii. Deoarece aceste țări reprezintă</w:t>
      </w:r>
      <w:r w:rsidRPr="00C0015E">
        <w:rPr>
          <w:rFonts w:ascii="Times New Roman" w:hAnsi="Times New Roman" w:cs="Times New Roman"/>
          <w:sz w:val="24"/>
          <w:szCs w:val="24"/>
          <w:lang w:val="ro-RO"/>
        </w:rPr>
        <w:t xml:space="preserve"> mai mult de 60% din comerțul mondial cu servicii, Acordul privind </w:t>
      </w:r>
      <w:r>
        <w:rPr>
          <w:rFonts w:ascii="Times New Roman" w:hAnsi="Times New Roman" w:cs="Times New Roman"/>
          <w:sz w:val="24"/>
          <w:szCs w:val="24"/>
          <w:lang w:val="ro-RO"/>
        </w:rPr>
        <w:t>comerțul cu servicii (TiSA</w:t>
      </w:r>
      <w:r w:rsidRPr="00C0015E">
        <w:rPr>
          <w:rFonts w:ascii="Times New Roman" w:hAnsi="Times New Roman" w:cs="Times New Roman"/>
          <w:sz w:val="24"/>
          <w:szCs w:val="24"/>
          <w:lang w:val="ro-RO"/>
        </w:rPr>
        <w:t xml:space="preserve">) este un subiect </w:t>
      </w:r>
      <w:r>
        <w:rPr>
          <w:rFonts w:ascii="Times New Roman" w:hAnsi="Times New Roman" w:cs="Times New Roman"/>
          <w:sz w:val="24"/>
          <w:szCs w:val="24"/>
          <w:lang w:val="ro-RO"/>
        </w:rPr>
        <w:t>de mare interes</w:t>
      </w:r>
      <w:r w:rsidRPr="00C0015E">
        <w:rPr>
          <w:rFonts w:ascii="Times New Roman" w:hAnsi="Times New Roman" w:cs="Times New Roman"/>
          <w:sz w:val="24"/>
          <w:szCs w:val="24"/>
          <w:lang w:val="ro-RO"/>
        </w:rPr>
        <w:t xml:space="preserve"> în întreaga lume. Acesta are ca scop deschiderea piețelor și îmbunătățirea normelor în domenii cum ar fi acordarea de licențe, servic</w:t>
      </w:r>
      <w:r w:rsidR="00C03CEC">
        <w:rPr>
          <w:rFonts w:ascii="Times New Roman" w:hAnsi="Times New Roman" w:cs="Times New Roman"/>
          <w:sz w:val="24"/>
          <w:szCs w:val="24"/>
          <w:lang w:val="ro-RO"/>
        </w:rPr>
        <w:t>ii financiare, telecomunicații</w:t>
      </w:r>
      <w:r w:rsidRPr="00C0015E">
        <w:rPr>
          <w:rFonts w:ascii="Times New Roman" w:hAnsi="Times New Roman" w:cs="Times New Roman"/>
          <w:sz w:val="24"/>
          <w:szCs w:val="24"/>
          <w:lang w:val="ro-RO"/>
        </w:rPr>
        <w:t>, e-commerce, tr</w:t>
      </w:r>
      <w:r w:rsidR="00C03CEC">
        <w:rPr>
          <w:rFonts w:ascii="Times New Roman" w:hAnsi="Times New Roman" w:cs="Times New Roman"/>
          <w:sz w:val="24"/>
          <w:szCs w:val="24"/>
          <w:lang w:val="ro-RO"/>
        </w:rPr>
        <w:t>ansport</w:t>
      </w:r>
      <w:r>
        <w:rPr>
          <w:rFonts w:ascii="Times New Roman" w:hAnsi="Times New Roman" w:cs="Times New Roman"/>
          <w:sz w:val="24"/>
          <w:szCs w:val="24"/>
          <w:lang w:val="ro-RO"/>
        </w:rPr>
        <w:t xml:space="preserve"> maritim, precum și </w:t>
      </w:r>
      <w:r w:rsidRPr="00C0015E">
        <w:rPr>
          <w:rFonts w:ascii="Times New Roman" w:hAnsi="Times New Roman" w:cs="Times New Roman"/>
          <w:sz w:val="24"/>
          <w:szCs w:val="24"/>
          <w:lang w:val="ro-RO"/>
        </w:rPr>
        <w:t xml:space="preserve">mutarea </w:t>
      </w:r>
      <w:r>
        <w:rPr>
          <w:rFonts w:ascii="Times New Roman" w:hAnsi="Times New Roman" w:cs="Times New Roman"/>
          <w:sz w:val="24"/>
          <w:szCs w:val="24"/>
          <w:lang w:val="ro-RO"/>
        </w:rPr>
        <w:t>profesioniștilor în străinătate temporar pentru</w:t>
      </w:r>
      <w:r w:rsidRPr="00C0015E">
        <w:rPr>
          <w:rFonts w:ascii="Times New Roman" w:hAnsi="Times New Roman" w:cs="Times New Roman"/>
          <w:sz w:val="24"/>
          <w:szCs w:val="24"/>
          <w:lang w:val="ro-RO"/>
        </w:rPr>
        <w:t xml:space="preserve"> a presta servicii.</w:t>
      </w:r>
    </w:p>
    <w:p w:rsidR="00890E5D" w:rsidRDefault="00890E5D" w:rsidP="001962FC">
      <w:pPr>
        <w:spacing w:after="0" w:line="240" w:lineRule="auto"/>
        <w:ind w:firstLine="720"/>
        <w:jc w:val="both"/>
        <w:rPr>
          <w:rFonts w:ascii="Times New Roman" w:hAnsi="Times New Roman" w:cs="Times New Roman"/>
          <w:sz w:val="24"/>
          <w:szCs w:val="24"/>
          <w:lang w:val="ro-RO"/>
        </w:rPr>
      </w:pPr>
      <w:r w:rsidRPr="00890E5D">
        <w:rPr>
          <w:rFonts w:ascii="Times New Roman" w:hAnsi="Times New Roman" w:cs="Times New Roman"/>
          <w:sz w:val="24"/>
          <w:szCs w:val="24"/>
          <w:lang w:val="ro-RO"/>
        </w:rPr>
        <w:t>Scopul prezentei lucrări este de a ev</w:t>
      </w:r>
      <w:r w:rsidR="00C03CEC">
        <w:rPr>
          <w:rFonts w:ascii="Times New Roman" w:hAnsi="Times New Roman" w:cs="Times New Roman"/>
          <w:sz w:val="24"/>
          <w:szCs w:val="24"/>
          <w:lang w:val="ro-RO"/>
        </w:rPr>
        <w:t>idenț</w:t>
      </w:r>
      <w:r w:rsidRPr="00890E5D">
        <w:rPr>
          <w:rFonts w:ascii="Times New Roman" w:hAnsi="Times New Roman" w:cs="Times New Roman"/>
          <w:sz w:val="24"/>
          <w:szCs w:val="24"/>
          <w:lang w:val="ro-RO"/>
        </w:rPr>
        <w:t xml:space="preserve">ia importanța sectoarelor de servicii în comerțul internațional. De asemenea, serviciile sunt o parte centrală a economiei UE. În acest fel, pentru moment, UE propune să </w:t>
      </w:r>
      <w:r w:rsidR="00542E54">
        <w:rPr>
          <w:rFonts w:ascii="Times New Roman" w:hAnsi="Times New Roman" w:cs="Times New Roman"/>
          <w:sz w:val="24"/>
          <w:szCs w:val="24"/>
          <w:lang w:val="ro-RO"/>
        </w:rPr>
        <w:t>înlocuiască dispozițiile GATS prin intermediun</w:t>
      </w:r>
      <w:r w:rsidRPr="00890E5D">
        <w:rPr>
          <w:rFonts w:ascii="Times New Roman" w:hAnsi="Times New Roman" w:cs="Times New Roman"/>
          <w:sz w:val="24"/>
          <w:szCs w:val="24"/>
          <w:lang w:val="ro-RO"/>
        </w:rPr>
        <w:t xml:space="preserve"> acord</w:t>
      </w:r>
      <w:r w:rsidR="00542E54">
        <w:rPr>
          <w:rFonts w:ascii="Times New Roman" w:hAnsi="Times New Roman" w:cs="Times New Roman"/>
          <w:sz w:val="24"/>
          <w:szCs w:val="24"/>
          <w:lang w:val="ro-RO"/>
        </w:rPr>
        <w:t>ului</w:t>
      </w:r>
      <w:r w:rsidRPr="00890E5D">
        <w:rPr>
          <w:rFonts w:ascii="Times New Roman" w:hAnsi="Times New Roman" w:cs="Times New Roman"/>
          <w:sz w:val="24"/>
          <w:szCs w:val="24"/>
          <w:lang w:val="ro-RO"/>
        </w:rPr>
        <w:t xml:space="preserve"> plurilateral </w:t>
      </w:r>
      <w:r>
        <w:rPr>
          <w:rFonts w:ascii="Times New Roman" w:hAnsi="Times New Roman" w:cs="Times New Roman"/>
          <w:sz w:val="24"/>
          <w:szCs w:val="24"/>
          <w:lang w:val="ro-RO"/>
        </w:rPr>
        <w:t xml:space="preserve">cu scopul </w:t>
      </w:r>
      <w:r w:rsidRPr="00890E5D">
        <w:rPr>
          <w:rFonts w:ascii="Times New Roman" w:hAnsi="Times New Roman" w:cs="Times New Roman"/>
          <w:sz w:val="24"/>
          <w:szCs w:val="24"/>
          <w:lang w:val="ro-RO"/>
        </w:rPr>
        <w:t xml:space="preserve">de a crea o bază solidă pentru negocierea liberalizării </w:t>
      </w:r>
      <w:r>
        <w:rPr>
          <w:rFonts w:ascii="Times New Roman" w:hAnsi="Times New Roman" w:cs="Times New Roman"/>
          <w:sz w:val="24"/>
          <w:szCs w:val="24"/>
          <w:lang w:val="ro-RO"/>
        </w:rPr>
        <w:t>de servicii suplimentare. TiSA</w:t>
      </w:r>
      <w:r w:rsidRPr="00890E5D">
        <w:rPr>
          <w:rFonts w:ascii="Times New Roman" w:hAnsi="Times New Roman" w:cs="Times New Roman"/>
          <w:sz w:val="24"/>
          <w:szCs w:val="24"/>
          <w:lang w:val="ro-RO"/>
        </w:rPr>
        <w:t xml:space="preserve"> s</w:t>
      </w:r>
      <w:r>
        <w:rPr>
          <w:rFonts w:ascii="Times New Roman" w:hAnsi="Times New Roman" w:cs="Times New Roman"/>
          <w:sz w:val="24"/>
          <w:szCs w:val="24"/>
          <w:lang w:val="ro-RO"/>
        </w:rPr>
        <w:t xml:space="preserve">e bazează pe </w:t>
      </w:r>
      <w:r w:rsidRPr="00890E5D">
        <w:rPr>
          <w:rFonts w:ascii="Times New Roman" w:hAnsi="Times New Roman" w:cs="Times New Roman"/>
          <w:sz w:val="24"/>
          <w:szCs w:val="24"/>
          <w:lang w:val="ro-RO"/>
        </w:rPr>
        <w:t>Acordul General privind Comerţul cu Servicii (GATS), care implică toți membrii OMC.</w:t>
      </w:r>
    </w:p>
    <w:p w:rsidR="00522580" w:rsidRDefault="00522580" w:rsidP="000E721A">
      <w:pPr>
        <w:spacing w:after="0" w:line="240" w:lineRule="auto"/>
        <w:ind w:firstLine="720"/>
        <w:jc w:val="both"/>
        <w:rPr>
          <w:rFonts w:ascii="Times New Roman" w:hAnsi="Times New Roman" w:cs="Times New Roman"/>
          <w:sz w:val="24"/>
          <w:szCs w:val="24"/>
          <w:lang w:val="ro-RO"/>
        </w:rPr>
      </w:pPr>
      <w:r w:rsidRPr="00522580">
        <w:rPr>
          <w:rFonts w:ascii="Times New Roman" w:hAnsi="Times New Roman" w:cs="Times New Roman"/>
          <w:sz w:val="24"/>
          <w:szCs w:val="24"/>
          <w:lang w:val="ro-RO"/>
        </w:rPr>
        <w:t>Pe termen lung, rezultatele negocierilor multi</w:t>
      </w:r>
      <w:r>
        <w:rPr>
          <w:rFonts w:ascii="Times New Roman" w:hAnsi="Times New Roman" w:cs="Times New Roman"/>
          <w:sz w:val="24"/>
          <w:szCs w:val="24"/>
          <w:lang w:val="ro-RO"/>
        </w:rPr>
        <w:t>laterale de servicii ar putea face trecerea la multilateralizare. De către</w:t>
      </w:r>
      <w:r w:rsidRPr="00522580">
        <w:rPr>
          <w:rFonts w:ascii="Times New Roman" w:hAnsi="Times New Roman" w:cs="Times New Roman"/>
          <w:sz w:val="24"/>
          <w:szCs w:val="24"/>
          <w:lang w:val="ro-RO"/>
        </w:rPr>
        <w:t xml:space="preserve"> toate ț</w:t>
      </w:r>
      <w:r w:rsidR="000359CD">
        <w:rPr>
          <w:rFonts w:ascii="Times New Roman" w:hAnsi="Times New Roman" w:cs="Times New Roman"/>
          <w:sz w:val="24"/>
          <w:szCs w:val="24"/>
          <w:lang w:val="ro-RO"/>
        </w:rPr>
        <w:t>ările participante</w:t>
      </w:r>
      <w:r>
        <w:rPr>
          <w:rFonts w:ascii="Times New Roman" w:hAnsi="Times New Roman" w:cs="Times New Roman"/>
          <w:sz w:val="24"/>
          <w:szCs w:val="24"/>
          <w:lang w:val="ro-RO"/>
        </w:rPr>
        <w:t xml:space="preserve"> acordul TiSA este văzut</w:t>
      </w:r>
      <w:r w:rsidRPr="00522580">
        <w:rPr>
          <w:rFonts w:ascii="Times New Roman" w:hAnsi="Times New Roman" w:cs="Times New Roman"/>
          <w:sz w:val="24"/>
          <w:szCs w:val="24"/>
          <w:lang w:val="ro-RO"/>
        </w:rPr>
        <w:t xml:space="preserve"> mai mult ca un instrument și o inițiativă care ar putea consolida sistemul multilateral. Astfel, acest acord ar putea fi tr</w:t>
      </w:r>
      <w:r>
        <w:rPr>
          <w:rFonts w:ascii="Times New Roman" w:hAnsi="Times New Roman" w:cs="Times New Roman"/>
          <w:sz w:val="24"/>
          <w:szCs w:val="24"/>
          <w:lang w:val="ro-RO"/>
        </w:rPr>
        <w:t>ansformat într-un acord</w:t>
      </w:r>
      <w:r w:rsidR="000359CD">
        <w:rPr>
          <w:rFonts w:ascii="Times New Roman" w:hAnsi="Times New Roman" w:cs="Times New Roman"/>
          <w:sz w:val="24"/>
          <w:szCs w:val="24"/>
          <w:lang w:val="ro-RO"/>
        </w:rPr>
        <w:t xml:space="preserve"> al OMC,</w:t>
      </w:r>
      <w:r w:rsidRPr="00522580">
        <w:rPr>
          <w:rFonts w:ascii="Times New Roman" w:hAnsi="Times New Roman" w:cs="Times New Roman"/>
          <w:sz w:val="24"/>
          <w:szCs w:val="24"/>
          <w:lang w:val="ro-RO"/>
        </w:rPr>
        <w:t xml:space="preserve"> beneficiile sale </w:t>
      </w:r>
      <w:r>
        <w:rPr>
          <w:rFonts w:ascii="Times New Roman" w:hAnsi="Times New Roman" w:cs="Times New Roman"/>
          <w:sz w:val="24"/>
          <w:szCs w:val="24"/>
          <w:lang w:val="ro-RO"/>
        </w:rPr>
        <w:t xml:space="preserve">fiind </w:t>
      </w:r>
      <w:r w:rsidRPr="00522580">
        <w:rPr>
          <w:rFonts w:ascii="Times New Roman" w:hAnsi="Times New Roman" w:cs="Times New Roman"/>
          <w:sz w:val="24"/>
          <w:szCs w:val="24"/>
          <w:lang w:val="ro-RO"/>
        </w:rPr>
        <w:t>extinse dincolo de interesele partic</w:t>
      </w:r>
      <w:r w:rsidR="002B69FF">
        <w:rPr>
          <w:rFonts w:ascii="Times New Roman" w:hAnsi="Times New Roman" w:cs="Times New Roman"/>
          <w:sz w:val="24"/>
          <w:szCs w:val="24"/>
          <w:lang w:val="ro-RO"/>
        </w:rPr>
        <w:t>ipanților curenți</w:t>
      </w:r>
      <w:r w:rsidRPr="00522580">
        <w:rPr>
          <w:rFonts w:ascii="Times New Roman" w:hAnsi="Times New Roman" w:cs="Times New Roman"/>
          <w:sz w:val="24"/>
          <w:szCs w:val="24"/>
          <w:lang w:val="ro-RO"/>
        </w:rPr>
        <w:t>.</w:t>
      </w:r>
    </w:p>
    <w:p w:rsidR="00DF0057" w:rsidRDefault="00DF0057" w:rsidP="000E721A">
      <w:pPr>
        <w:spacing w:after="0" w:line="240" w:lineRule="auto"/>
        <w:ind w:firstLine="720"/>
        <w:jc w:val="both"/>
        <w:rPr>
          <w:rFonts w:ascii="Times New Roman" w:hAnsi="Times New Roman" w:cs="Times New Roman"/>
          <w:sz w:val="24"/>
          <w:szCs w:val="24"/>
          <w:lang w:val="ro-RO"/>
        </w:rPr>
      </w:pPr>
      <w:r w:rsidRPr="00DF0057">
        <w:rPr>
          <w:rFonts w:ascii="Times New Roman" w:hAnsi="Times New Roman" w:cs="Times New Roman"/>
          <w:sz w:val="24"/>
          <w:szCs w:val="24"/>
          <w:lang w:val="ro-RO"/>
        </w:rPr>
        <w:t>În următoarele două secțiuni ale acestei lucrări vom prezenta imaginea comerțului internațional cu se</w:t>
      </w:r>
      <w:r>
        <w:rPr>
          <w:rFonts w:ascii="Times New Roman" w:hAnsi="Times New Roman" w:cs="Times New Roman"/>
          <w:sz w:val="24"/>
          <w:szCs w:val="24"/>
          <w:lang w:val="ro-RO"/>
        </w:rPr>
        <w:t>rvicii, în 2012, concentrându-ne</w:t>
      </w:r>
      <w:r w:rsidRPr="00DF0057">
        <w:rPr>
          <w:rFonts w:ascii="Times New Roman" w:hAnsi="Times New Roman" w:cs="Times New Roman"/>
          <w:sz w:val="24"/>
          <w:szCs w:val="24"/>
          <w:lang w:val="ro-RO"/>
        </w:rPr>
        <w:t xml:space="preserve"> pe Uniunea Europeană. Scopul analizei de piață de mai jos este de a găsi răspunsuri la următoarele întrebări: Care este locul Uniunii Europene în comerțul internațional? Și, sunt </w:t>
      </w:r>
      <w:r w:rsidR="00031C5B">
        <w:rPr>
          <w:rFonts w:ascii="Times New Roman" w:hAnsi="Times New Roman" w:cs="Times New Roman"/>
          <w:sz w:val="24"/>
          <w:szCs w:val="24"/>
          <w:lang w:val="ro-RO"/>
        </w:rPr>
        <w:t>celelalte</w:t>
      </w:r>
      <w:r w:rsidRPr="00DF0057">
        <w:rPr>
          <w:rFonts w:ascii="Times New Roman" w:hAnsi="Times New Roman" w:cs="Times New Roman"/>
          <w:sz w:val="24"/>
          <w:szCs w:val="24"/>
          <w:lang w:val="ro-RO"/>
        </w:rPr>
        <w:t xml:space="preserve"> părți ale negocierilor Ti</w:t>
      </w:r>
      <w:r>
        <w:rPr>
          <w:rFonts w:ascii="Times New Roman" w:hAnsi="Times New Roman" w:cs="Times New Roman"/>
          <w:sz w:val="24"/>
          <w:szCs w:val="24"/>
          <w:lang w:val="ro-RO"/>
        </w:rPr>
        <w:t>SA</w:t>
      </w:r>
      <w:r w:rsidRPr="00DF0057">
        <w:rPr>
          <w:rFonts w:ascii="Times New Roman" w:hAnsi="Times New Roman" w:cs="Times New Roman"/>
          <w:sz w:val="24"/>
          <w:szCs w:val="24"/>
          <w:lang w:val="ro-RO"/>
        </w:rPr>
        <w:t xml:space="preserve"> parteneri comerciali importanți pentru UE?</w:t>
      </w:r>
    </w:p>
    <w:p w:rsidR="00DF0057" w:rsidRDefault="00DF0057" w:rsidP="00F605F2">
      <w:pPr>
        <w:spacing w:after="0" w:line="240" w:lineRule="auto"/>
        <w:ind w:firstLine="720"/>
        <w:jc w:val="both"/>
        <w:rPr>
          <w:rFonts w:ascii="Times New Roman" w:hAnsi="Times New Roman" w:cs="Times New Roman"/>
          <w:sz w:val="24"/>
          <w:szCs w:val="24"/>
          <w:lang w:val="ro-RO"/>
        </w:rPr>
      </w:pPr>
      <w:r w:rsidRPr="00DF0057">
        <w:rPr>
          <w:rFonts w:ascii="Times New Roman" w:hAnsi="Times New Roman" w:cs="Times New Roman"/>
          <w:sz w:val="24"/>
          <w:szCs w:val="24"/>
          <w:lang w:val="ro-RO"/>
        </w:rPr>
        <w:t xml:space="preserve">Astfel, pentru a răspunde la întrebările de mai sus, în cea de a doua (următoare) secțiune </w:t>
      </w:r>
      <w:r w:rsidR="003D331D">
        <w:rPr>
          <w:rFonts w:ascii="Times New Roman" w:hAnsi="Times New Roman" w:cs="Times New Roman"/>
          <w:sz w:val="24"/>
          <w:szCs w:val="24"/>
          <w:lang w:val="ro-RO"/>
        </w:rPr>
        <w:t>am ales să analizăm ponderea</w:t>
      </w:r>
      <w:r w:rsidRPr="00DF0057">
        <w:rPr>
          <w:rFonts w:ascii="Times New Roman" w:hAnsi="Times New Roman" w:cs="Times New Roman"/>
          <w:sz w:val="24"/>
          <w:szCs w:val="24"/>
          <w:lang w:val="ro-RO"/>
        </w:rPr>
        <w:t xml:space="preserve"> PIB-ul</w:t>
      </w:r>
      <w:r w:rsidR="003D331D">
        <w:rPr>
          <w:rFonts w:ascii="Times New Roman" w:hAnsi="Times New Roman" w:cs="Times New Roman"/>
          <w:sz w:val="24"/>
          <w:szCs w:val="24"/>
          <w:lang w:val="ro-RO"/>
        </w:rPr>
        <w:t>ui</w:t>
      </w:r>
      <w:r w:rsidRPr="00DF0057">
        <w:rPr>
          <w:rFonts w:ascii="Times New Roman" w:hAnsi="Times New Roman" w:cs="Times New Roman"/>
          <w:sz w:val="24"/>
          <w:szCs w:val="24"/>
          <w:lang w:val="ro-RO"/>
        </w:rPr>
        <w:t xml:space="preserve"> mondial și comerțul internațional al țărilor din lume. Se știe deja că</w:t>
      </w:r>
      <w:r w:rsidR="003D331D">
        <w:rPr>
          <w:rFonts w:ascii="Times New Roman" w:hAnsi="Times New Roman" w:cs="Times New Roman"/>
          <w:sz w:val="24"/>
          <w:szCs w:val="24"/>
          <w:lang w:val="ro-RO"/>
        </w:rPr>
        <w:t xml:space="preserve"> bunurile sunt un aspect</w:t>
      </w:r>
      <w:r w:rsidRPr="00DF0057">
        <w:rPr>
          <w:rFonts w:ascii="Times New Roman" w:hAnsi="Times New Roman" w:cs="Times New Roman"/>
          <w:sz w:val="24"/>
          <w:szCs w:val="24"/>
          <w:lang w:val="ro-RO"/>
        </w:rPr>
        <w:t xml:space="preserve"> important în economia mondial</w:t>
      </w:r>
      <w:r w:rsidR="000A6D19">
        <w:rPr>
          <w:rFonts w:ascii="Times New Roman" w:hAnsi="Times New Roman" w:cs="Times New Roman"/>
          <w:sz w:val="24"/>
          <w:szCs w:val="24"/>
          <w:lang w:val="ro-RO"/>
        </w:rPr>
        <w:t>ă. Dar, negocierile în curs ale</w:t>
      </w:r>
      <w:r w:rsidRPr="00DF0057">
        <w:rPr>
          <w:rFonts w:ascii="Times New Roman" w:hAnsi="Times New Roman" w:cs="Times New Roman"/>
          <w:sz w:val="24"/>
          <w:szCs w:val="24"/>
          <w:lang w:val="ro-RO"/>
        </w:rPr>
        <w:t xml:space="preserve"> Ti</w:t>
      </w:r>
      <w:r w:rsidR="000A6D19">
        <w:rPr>
          <w:rFonts w:ascii="Times New Roman" w:hAnsi="Times New Roman" w:cs="Times New Roman"/>
          <w:sz w:val="24"/>
          <w:szCs w:val="24"/>
          <w:lang w:val="ro-RO"/>
        </w:rPr>
        <w:t>SA</w:t>
      </w:r>
      <w:r w:rsidRPr="00DF0057">
        <w:rPr>
          <w:rFonts w:ascii="Times New Roman" w:hAnsi="Times New Roman" w:cs="Times New Roman"/>
          <w:sz w:val="24"/>
          <w:szCs w:val="24"/>
          <w:lang w:val="ro-RO"/>
        </w:rPr>
        <w:t xml:space="preserve"> arată faptul că sectorul serviciilor este un subiect </w:t>
      </w:r>
      <w:r w:rsidR="000A6D19">
        <w:rPr>
          <w:rFonts w:ascii="Times New Roman" w:hAnsi="Times New Roman" w:cs="Times New Roman"/>
          <w:sz w:val="24"/>
          <w:szCs w:val="24"/>
          <w:lang w:val="ro-RO"/>
        </w:rPr>
        <w:t xml:space="preserve">important și </w:t>
      </w:r>
      <w:r w:rsidRPr="00DF0057">
        <w:rPr>
          <w:rFonts w:ascii="Times New Roman" w:hAnsi="Times New Roman" w:cs="Times New Roman"/>
          <w:sz w:val="24"/>
          <w:szCs w:val="24"/>
          <w:lang w:val="ro-RO"/>
        </w:rPr>
        <w:t>esențial de negocieri bilaterale și multilaterale actuale din lume.</w:t>
      </w:r>
    </w:p>
    <w:p w:rsidR="00AB790A" w:rsidRDefault="00CE4693" w:rsidP="00F605F2">
      <w:pPr>
        <w:spacing w:after="0" w:line="240" w:lineRule="auto"/>
        <w:ind w:firstLine="720"/>
        <w:jc w:val="both"/>
        <w:rPr>
          <w:rFonts w:ascii="Times New Roman" w:hAnsi="Times New Roman" w:cs="Times New Roman"/>
          <w:sz w:val="24"/>
          <w:szCs w:val="24"/>
          <w:lang w:val="ro-RO"/>
        </w:rPr>
      </w:pPr>
      <w:r w:rsidRPr="00CE4693">
        <w:rPr>
          <w:rFonts w:ascii="Times New Roman" w:hAnsi="Times New Roman" w:cs="Times New Roman"/>
          <w:sz w:val="24"/>
          <w:szCs w:val="24"/>
          <w:lang w:val="ro-RO"/>
        </w:rPr>
        <w:t xml:space="preserve">Scopul celei de a treia secțiune a acestei lucrări este de a sublinia scopul </w:t>
      </w:r>
      <w:r>
        <w:rPr>
          <w:rFonts w:ascii="Times New Roman" w:hAnsi="Times New Roman" w:cs="Times New Roman"/>
          <w:sz w:val="24"/>
          <w:szCs w:val="24"/>
          <w:lang w:val="ro-RO"/>
        </w:rPr>
        <w:t xml:space="preserve">acrdului </w:t>
      </w:r>
      <w:r w:rsidRPr="00CE4693">
        <w:rPr>
          <w:rFonts w:ascii="Times New Roman" w:hAnsi="Times New Roman" w:cs="Times New Roman"/>
          <w:sz w:val="24"/>
          <w:szCs w:val="24"/>
          <w:lang w:val="ro-RO"/>
        </w:rPr>
        <w:t>Ti</w:t>
      </w:r>
      <w:r>
        <w:rPr>
          <w:rFonts w:ascii="Times New Roman" w:hAnsi="Times New Roman" w:cs="Times New Roman"/>
          <w:sz w:val="24"/>
          <w:szCs w:val="24"/>
          <w:lang w:val="ro-RO"/>
        </w:rPr>
        <w:t>SA care presupune</w:t>
      </w:r>
      <w:r w:rsidRPr="00CE4693">
        <w:rPr>
          <w:rFonts w:ascii="Times New Roman" w:hAnsi="Times New Roman" w:cs="Times New Roman"/>
          <w:sz w:val="24"/>
          <w:szCs w:val="24"/>
          <w:lang w:val="ro-RO"/>
        </w:rPr>
        <w:t xml:space="preserve"> facilita</w:t>
      </w:r>
      <w:r>
        <w:rPr>
          <w:rFonts w:ascii="Times New Roman" w:hAnsi="Times New Roman" w:cs="Times New Roman"/>
          <w:sz w:val="24"/>
          <w:szCs w:val="24"/>
          <w:lang w:val="ro-RO"/>
        </w:rPr>
        <w:t>rea</w:t>
      </w:r>
      <w:r w:rsidRPr="00CE4693">
        <w:rPr>
          <w:rFonts w:ascii="Times New Roman" w:hAnsi="Times New Roman" w:cs="Times New Roman"/>
          <w:sz w:val="24"/>
          <w:szCs w:val="24"/>
          <w:lang w:val="ro-RO"/>
        </w:rPr>
        <w:t xml:space="preserve"> comerțul</w:t>
      </w:r>
      <w:r>
        <w:rPr>
          <w:rFonts w:ascii="Times New Roman" w:hAnsi="Times New Roman" w:cs="Times New Roman"/>
          <w:sz w:val="24"/>
          <w:szCs w:val="24"/>
          <w:lang w:val="ro-RO"/>
        </w:rPr>
        <w:t>ui</w:t>
      </w:r>
      <w:r w:rsidRPr="00CE4693">
        <w:rPr>
          <w:rFonts w:ascii="Times New Roman" w:hAnsi="Times New Roman" w:cs="Times New Roman"/>
          <w:sz w:val="24"/>
          <w:szCs w:val="24"/>
          <w:lang w:val="ro-RO"/>
        </w:rPr>
        <w:t xml:space="preserve"> cu servicii între țări și regiuni din lume. Deschi</w:t>
      </w:r>
      <w:r>
        <w:rPr>
          <w:rFonts w:ascii="Times New Roman" w:hAnsi="Times New Roman" w:cs="Times New Roman"/>
          <w:sz w:val="24"/>
          <w:szCs w:val="24"/>
          <w:lang w:val="ro-RO"/>
        </w:rPr>
        <w:t>derea piețelor pentru servicii</w:t>
      </w:r>
      <w:r w:rsidRPr="00CE4693">
        <w:rPr>
          <w:rFonts w:ascii="Times New Roman" w:hAnsi="Times New Roman" w:cs="Times New Roman"/>
          <w:sz w:val="24"/>
          <w:szCs w:val="24"/>
          <w:lang w:val="ro-RO"/>
        </w:rPr>
        <w:t xml:space="preserve"> va însemna mai multă creștere</w:t>
      </w:r>
      <w:r>
        <w:rPr>
          <w:rFonts w:ascii="Times New Roman" w:hAnsi="Times New Roman" w:cs="Times New Roman"/>
          <w:sz w:val="24"/>
          <w:szCs w:val="24"/>
          <w:lang w:val="ro-RO"/>
        </w:rPr>
        <w:t xml:space="preserve"> economică</w:t>
      </w:r>
      <w:r w:rsidRPr="00CE4693">
        <w:rPr>
          <w:rFonts w:ascii="Times New Roman" w:hAnsi="Times New Roman" w:cs="Times New Roman"/>
          <w:sz w:val="24"/>
          <w:szCs w:val="24"/>
          <w:lang w:val="ro-RO"/>
        </w:rPr>
        <w:t xml:space="preserve"> și locuri de muncă pentru țările UE. Aici, cercetarea </w:t>
      </w:r>
      <w:r w:rsidRPr="00CE4693">
        <w:rPr>
          <w:rFonts w:ascii="Times New Roman" w:hAnsi="Times New Roman" w:cs="Times New Roman"/>
          <w:sz w:val="24"/>
          <w:szCs w:val="24"/>
          <w:lang w:val="ro-RO"/>
        </w:rPr>
        <w:lastRenderedPageBreak/>
        <w:t>noastră este axat</w:t>
      </w:r>
      <w:r w:rsidR="002727F4">
        <w:rPr>
          <w:rFonts w:ascii="Times New Roman" w:hAnsi="Times New Roman" w:cs="Times New Roman"/>
          <w:sz w:val="24"/>
          <w:szCs w:val="24"/>
          <w:lang w:val="ro-RO"/>
        </w:rPr>
        <w:t>ă</w:t>
      </w:r>
      <w:r w:rsidRPr="00CE4693">
        <w:rPr>
          <w:rFonts w:ascii="Times New Roman" w:hAnsi="Times New Roman" w:cs="Times New Roman"/>
          <w:sz w:val="24"/>
          <w:szCs w:val="24"/>
          <w:lang w:val="ro-RO"/>
        </w:rPr>
        <w:t xml:space="preserve"> pe relațiile comerciale cu servicii comerciale ale UE cu restul 22 de țări </w:t>
      </w:r>
      <w:r w:rsidR="00124A3A">
        <w:rPr>
          <w:rFonts w:ascii="Times New Roman" w:hAnsi="Times New Roman" w:cs="Times New Roman"/>
          <w:sz w:val="24"/>
          <w:szCs w:val="24"/>
          <w:lang w:val="ro-RO"/>
        </w:rPr>
        <w:t>participante la negocierule acrdului</w:t>
      </w:r>
      <w:r w:rsidRPr="00CE4693">
        <w:rPr>
          <w:rFonts w:ascii="Times New Roman" w:hAnsi="Times New Roman" w:cs="Times New Roman"/>
          <w:sz w:val="24"/>
          <w:szCs w:val="24"/>
          <w:lang w:val="ro-RO"/>
        </w:rPr>
        <w:t xml:space="preserve"> Ti</w:t>
      </w:r>
      <w:r w:rsidR="002727F4">
        <w:rPr>
          <w:rFonts w:ascii="Times New Roman" w:hAnsi="Times New Roman" w:cs="Times New Roman"/>
          <w:sz w:val="24"/>
          <w:szCs w:val="24"/>
          <w:lang w:val="ro-RO"/>
        </w:rPr>
        <w:t>SA</w:t>
      </w:r>
      <w:r w:rsidRPr="00CE4693">
        <w:rPr>
          <w:rFonts w:ascii="Times New Roman" w:hAnsi="Times New Roman" w:cs="Times New Roman"/>
          <w:sz w:val="24"/>
          <w:szCs w:val="24"/>
          <w:lang w:val="ro-RO"/>
        </w:rPr>
        <w:t>.</w:t>
      </w:r>
    </w:p>
    <w:p w:rsidR="00124A3A" w:rsidRPr="00D57FA0" w:rsidRDefault="00124A3A" w:rsidP="00F605F2">
      <w:pPr>
        <w:spacing w:after="0" w:line="240" w:lineRule="auto"/>
        <w:ind w:firstLine="720"/>
        <w:jc w:val="both"/>
        <w:rPr>
          <w:rFonts w:ascii="Times New Roman" w:hAnsi="Times New Roman" w:cs="Times New Roman"/>
          <w:sz w:val="24"/>
          <w:szCs w:val="24"/>
          <w:lang w:val="ro-RO"/>
        </w:rPr>
      </w:pPr>
    </w:p>
    <w:p w:rsidR="00C2099B" w:rsidRPr="00D57FA0" w:rsidRDefault="00992426" w:rsidP="00F605F2">
      <w:pPr>
        <w:spacing w:after="0" w:line="240" w:lineRule="auto"/>
        <w:ind w:firstLine="720"/>
        <w:jc w:val="both"/>
        <w:rPr>
          <w:rFonts w:ascii="Times New Roman" w:hAnsi="Times New Roman" w:cs="Times New Roman"/>
          <w:b/>
          <w:sz w:val="24"/>
          <w:szCs w:val="24"/>
          <w:lang w:val="ro-RO"/>
        </w:rPr>
      </w:pPr>
      <w:r w:rsidRPr="00D57FA0">
        <w:rPr>
          <w:rFonts w:ascii="Times New Roman" w:hAnsi="Times New Roman" w:cs="Times New Roman"/>
          <w:b/>
          <w:sz w:val="24"/>
          <w:szCs w:val="24"/>
          <w:lang w:val="ro-RO"/>
        </w:rPr>
        <w:t xml:space="preserve">2. </w:t>
      </w:r>
      <w:r w:rsidR="006C6A79" w:rsidRPr="006C6A79">
        <w:rPr>
          <w:rFonts w:ascii="Times New Roman" w:hAnsi="Times New Roman" w:cs="Times New Roman"/>
          <w:b/>
          <w:sz w:val="24"/>
          <w:szCs w:val="24"/>
          <w:lang w:val="ro-RO"/>
        </w:rPr>
        <w:t xml:space="preserve">LOCUL UNIUNII EUROPENE ÎN </w:t>
      </w:r>
      <w:r w:rsidR="006C6A79">
        <w:rPr>
          <w:rFonts w:ascii="Times New Roman" w:hAnsi="Times New Roman" w:cs="Times New Roman"/>
          <w:b/>
          <w:sz w:val="24"/>
          <w:szCs w:val="24"/>
          <w:lang w:val="ro-RO"/>
        </w:rPr>
        <w:t>COMERȚUL INTERNAȚIONAL CU SERVICII</w:t>
      </w:r>
    </w:p>
    <w:p w:rsidR="0089411F" w:rsidRPr="00D57FA0" w:rsidRDefault="0089411F" w:rsidP="00F605F2">
      <w:pPr>
        <w:spacing w:after="0" w:line="240" w:lineRule="auto"/>
        <w:jc w:val="both"/>
        <w:rPr>
          <w:rFonts w:ascii="Times New Roman" w:hAnsi="Times New Roman" w:cs="Times New Roman"/>
          <w:sz w:val="24"/>
          <w:szCs w:val="24"/>
          <w:lang w:val="ro-RO"/>
        </w:rPr>
      </w:pPr>
    </w:p>
    <w:p w:rsidR="003B4ADA" w:rsidRDefault="003B4ADA" w:rsidP="00B94211">
      <w:pPr>
        <w:spacing w:after="0" w:line="240" w:lineRule="auto"/>
        <w:ind w:firstLine="720"/>
        <w:jc w:val="both"/>
        <w:rPr>
          <w:rFonts w:ascii="Times New Roman" w:hAnsi="Times New Roman" w:cs="Times New Roman"/>
          <w:sz w:val="24"/>
          <w:szCs w:val="24"/>
          <w:lang w:val="ro-RO"/>
        </w:rPr>
      </w:pPr>
      <w:r w:rsidRPr="003B4ADA">
        <w:rPr>
          <w:rFonts w:ascii="Times New Roman" w:hAnsi="Times New Roman" w:cs="Times New Roman"/>
          <w:sz w:val="24"/>
          <w:szCs w:val="24"/>
          <w:lang w:val="ro-RO"/>
        </w:rPr>
        <w:t>Scopul principal al negoci</w:t>
      </w:r>
      <w:r>
        <w:rPr>
          <w:rFonts w:ascii="Times New Roman" w:hAnsi="Times New Roman" w:cs="Times New Roman"/>
          <w:sz w:val="24"/>
          <w:szCs w:val="24"/>
          <w:lang w:val="ro-RO"/>
        </w:rPr>
        <w:t>erilor comerciale multilaterale/bilaterale care au</w:t>
      </w:r>
      <w:r w:rsidRPr="003B4ADA">
        <w:rPr>
          <w:rFonts w:ascii="Times New Roman" w:hAnsi="Times New Roman" w:cs="Times New Roman"/>
          <w:sz w:val="24"/>
          <w:szCs w:val="24"/>
          <w:lang w:val="ro-RO"/>
        </w:rPr>
        <w:t xml:space="preserve"> loc între părți la nivel mond</w:t>
      </w:r>
      <w:r>
        <w:rPr>
          <w:rFonts w:ascii="Times New Roman" w:hAnsi="Times New Roman" w:cs="Times New Roman"/>
          <w:sz w:val="24"/>
          <w:szCs w:val="24"/>
          <w:lang w:val="ro-RO"/>
        </w:rPr>
        <w:t>ial este de a asigura accesul pe piața de</w:t>
      </w:r>
      <w:r w:rsidRPr="003B4ADA">
        <w:rPr>
          <w:rFonts w:ascii="Times New Roman" w:hAnsi="Times New Roman" w:cs="Times New Roman"/>
          <w:sz w:val="24"/>
          <w:szCs w:val="24"/>
          <w:lang w:val="ro-RO"/>
        </w:rPr>
        <w:t xml:space="preserve"> bunuri și servicii, pentru a face comerț mai rapid și mai ieftin, pentru a spori oportunitățile de investiții; și toate acestea pentru a garanta creștere economică și locuri de muncă pentru</w:t>
      </w:r>
      <w:r w:rsidR="00E03402">
        <w:rPr>
          <w:rFonts w:ascii="Times New Roman" w:hAnsi="Times New Roman" w:cs="Times New Roman"/>
          <w:sz w:val="24"/>
          <w:szCs w:val="24"/>
          <w:lang w:val="ro-RO"/>
        </w:rPr>
        <w:t xml:space="preserve"> fiecare </w:t>
      </w:r>
      <w:r w:rsidR="00734337">
        <w:rPr>
          <w:rFonts w:ascii="Times New Roman" w:hAnsi="Times New Roman" w:cs="Times New Roman"/>
          <w:sz w:val="24"/>
          <w:szCs w:val="24"/>
          <w:lang w:val="ro-RO"/>
        </w:rPr>
        <w:t xml:space="preserve">dintre </w:t>
      </w:r>
      <w:r w:rsidR="00E03402">
        <w:rPr>
          <w:rFonts w:ascii="Times New Roman" w:hAnsi="Times New Roman" w:cs="Times New Roman"/>
          <w:sz w:val="24"/>
          <w:szCs w:val="24"/>
          <w:lang w:val="ro-RO"/>
        </w:rPr>
        <w:t>părți. Astfel,</w:t>
      </w:r>
      <w:r w:rsidRPr="003B4ADA">
        <w:rPr>
          <w:rFonts w:ascii="Times New Roman" w:hAnsi="Times New Roman" w:cs="Times New Roman"/>
          <w:sz w:val="24"/>
          <w:szCs w:val="24"/>
          <w:lang w:val="ro-RO"/>
        </w:rPr>
        <w:t xml:space="preserve"> serviciile sunt un aspect tot mai important în economia globală și o parte centrală a economiei UE. Scopul </w:t>
      </w:r>
      <w:r w:rsidR="00E03402">
        <w:rPr>
          <w:rFonts w:ascii="Times New Roman" w:hAnsi="Times New Roman" w:cs="Times New Roman"/>
          <w:sz w:val="24"/>
          <w:szCs w:val="24"/>
          <w:lang w:val="ro-RO"/>
        </w:rPr>
        <w:t xml:space="preserve">TiSA </w:t>
      </w:r>
      <w:r w:rsidRPr="003B4ADA">
        <w:rPr>
          <w:rFonts w:ascii="Times New Roman" w:hAnsi="Times New Roman" w:cs="Times New Roman"/>
          <w:sz w:val="24"/>
          <w:szCs w:val="24"/>
          <w:lang w:val="ro-RO"/>
        </w:rPr>
        <w:t>este de a facilita comerțul cu servicii între țări și regiuni din lume. UE este cel mai mare exportator mondial de servicii cu zeci de milioane de locuri de muncă în întreaga Europă în sectorul serviciilor. Deschi</w:t>
      </w:r>
      <w:r w:rsidR="00E03402">
        <w:rPr>
          <w:rFonts w:ascii="Times New Roman" w:hAnsi="Times New Roman" w:cs="Times New Roman"/>
          <w:sz w:val="24"/>
          <w:szCs w:val="24"/>
          <w:lang w:val="ro-RO"/>
        </w:rPr>
        <w:t>derea piețelor pentru servicii</w:t>
      </w:r>
      <w:r w:rsidRPr="003B4ADA">
        <w:rPr>
          <w:rFonts w:ascii="Times New Roman" w:hAnsi="Times New Roman" w:cs="Times New Roman"/>
          <w:sz w:val="24"/>
          <w:szCs w:val="24"/>
          <w:lang w:val="ro-RO"/>
        </w:rPr>
        <w:t xml:space="preserve"> va însemna mai multă creștere și locuri de muncă pentru țările UE.</w:t>
      </w:r>
    </w:p>
    <w:p w:rsidR="00E03402" w:rsidRDefault="00E03402" w:rsidP="00F605F2">
      <w:pPr>
        <w:spacing w:after="0" w:line="240" w:lineRule="auto"/>
        <w:ind w:firstLine="720"/>
        <w:jc w:val="both"/>
        <w:rPr>
          <w:rFonts w:ascii="Times New Roman" w:hAnsi="Times New Roman" w:cs="Times New Roman"/>
          <w:sz w:val="24"/>
          <w:szCs w:val="24"/>
          <w:lang w:val="ro-RO"/>
        </w:rPr>
      </w:pPr>
      <w:r w:rsidRPr="00E03402">
        <w:rPr>
          <w:rFonts w:ascii="Times New Roman" w:hAnsi="Times New Roman" w:cs="Times New Roman"/>
          <w:sz w:val="24"/>
          <w:szCs w:val="24"/>
          <w:lang w:val="ro-RO"/>
        </w:rPr>
        <w:t xml:space="preserve">Pentru a înțelege mai bine interesele actuale ale UE în domeniul comerțului serviciilor internaționale, </w:t>
      </w:r>
      <w:r w:rsidR="00F66D4B">
        <w:rPr>
          <w:rFonts w:ascii="Times New Roman" w:hAnsi="Times New Roman" w:cs="Times New Roman"/>
          <w:sz w:val="24"/>
          <w:szCs w:val="24"/>
          <w:lang w:val="ro-RO"/>
        </w:rPr>
        <w:t>am luat în considerare publicațiile</w:t>
      </w:r>
      <w:r w:rsidRPr="00E03402">
        <w:rPr>
          <w:rFonts w:ascii="Times New Roman" w:hAnsi="Times New Roman" w:cs="Times New Roman"/>
          <w:sz w:val="24"/>
          <w:szCs w:val="24"/>
          <w:lang w:val="ro-RO"/>
        </w:rPr>
        <w:t xml:space="preserve"> statistice ale </w:t>
      </w:r>
      <w:r>
        <w:rPr>
          <w:rFonts w:ascii="Times New Roman" w:hAnsi="Times New Roman" w:cs="Times New Roman"/>
          <w:sz w:val="24"/>
          <w:szCs w:val="24"/>
          <w:lang w:val="ro-RO"/>
        </w:rPr>
        <w:t>bazei</w:t>
      </w:r>
      <w:r w:rsidRPr="00E03402">
        <w:rPr>
          <w:rFonts w:ascii="Times New Roman" w:hAnsi="Times New Roman" w:cs="Times New Roman"/>
          <w:sz w:val="24"/>
          <w:szCs w:val="24"/>
          <w:lang w:val="ro-RO"/>
        </w:rPr>
        <w:t xml:space="preserve"> de date</w:t>
      </w:r>
      <w:r>
        <w:rPr>
          <w:rFonts w:ascii="Times New Roman" w:hAnsi="Times New Roman" w:cs="Times New Roman"/>
          <w:sz w:val="24"/>
          <w:szCs w:val="24"/>
          <w:lang w:val="ro-RO"/>
        </w:rPr>
        <w:t xml:space="preserve"> Eurostat</w:t>
      </w:r>
      <w:r w:rsidR="00D63335">
        <w:rPr>
          <w:rFonts w:ascii="Times New Roman" w:hAnsi="Times New Roman" w:cs="Times New Roman"/>
          <w:sz w:val="24"/>
          <w:szCs w:val="24"/>
          <w:lang w:val="ro-RO"/>
        </w:rPr>
        <w:t xml:space="preserve">. În acestea </w:t>
      </w:r>
      <w:r w:rsidR="00C75FAF">
        <w:rPr>
          <w:rFonts w:ascii="Times New Roman" w:hAnsi="Times New Roman" w:cs="Times New Roman"/>
          <w:sz w:val="24"/>
          <w:szCs w:val="24"/>
          <w:lang w:val="ro-RO"/>
        </w:rPr>
        <w:t>gasim</w:t>
      </w:r>
      <w:r w:rsidR="009F0F29">
        <w:rPr>
          <w:rFonts w:ascii="Times New Roman" w:hAnsi="Times New Roman" w:cs="Times New Roman"/>
          <w:sz w:val="24"/>
          <w:szCs w:val="24"/>
          <w:lang w:val="ro-RO"/>
        </w:rPr>
        <w:t xml:space="preserve"> publicată</w:t>
      </w:r>
      <w:r w:rsidRPr="00E03402">
        <w:rPr>
          <w:rFonts w:ascii="Times New Roman" w:hAnsi="Times New Roman" w:cs="Times New Roman"/>
          <w:sz w:val="24"/>
          <w:szCs w:val="24"/>
          <w:lang w:val="ro-RO"/>
        </w:rPr>
        <w:t xml:space="preserve"> imagine</w:t>
      </w:r>
      <w:r w:rsidR="009F0F29">
        <w:rPr>
          <w:rFonts w:ascii="Times New Roman" w:hAnsi="Times New Roman" w:cs="Times New Roman"/>
          <w:sz w:val="24"/>
          <w:szCs w:val="24"/>
          <w:lang w:val="ro-RO"/>
        </w:rPr>
        <w:t>a</w:t>
      </w:r>
      <w:r w:rsidRPr="00E03402">
        <w:rPr>
          <w:rFonts w:ascii="Times New Roman" w:hAnsi="Times New Roman" w:cs="Times New Roman"/>
          <w:sz w:val="24"/>
          <w:szCs w:val="24"/>
          <w:lang w:val="ro-RO"/>
        </w:rPr>
        <w:t xml:space="preserve"> statistică a Uniunii Europene (UE) </w:t>
      </w:r>
      <w:r w:rsidR="00093FE8">
        <w:rPr>
          <w:rFonts w:ascii="Times New Roman" w:hAnsi="Times New Roman" w:cs="Times New Roman"/>
          <w:sz w:val="24"/>
          <w:szCs w:val="24"/>
          <w:lang w:val="ro-RO"/>
        </w:rPr>
        <w:t>în relație cu</w:t>
      </w:r>
      <w:r w:rsidRPr="00E03402">
        <w:rPr>
          <w:rFonts w:ascii="Times New Roman" w:hAnsi="Times New Roman" w:cs="Times New Roman"/>
          <w:sz w:val="24"/>
          <w:szCs w:val="24"/>
          <w:lang w:val="ro-RO"/>
        </w:rPr>
        <w:t xml:space="preserve"> țările și regiunile lumii.</w:t>
      </w:r>
    </w:p>
    <w:p w:rsidR="002A5BFA" w:rsidRDefault="0010347F" w:rsidP="00F605F2">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w:t>
      </w:r>
      <w:r w:rsidRPr="0010347F">
        <w:rPr>
          <w:rFonts w:ascii="Times New Roman" w:hAnsi="Times New Roman" w:cs="Times New Roman"/>
          <w:sz w:val="24"/>
          <w:szCs w:val="24"/>
          <w:lang w:val="ro-RO"/>
        </w:rPr>
        <w:t xml:space="preserve">figura </w:t>
      </w:r>
      <w:r>
        <w:rPr>
          <w:rFonts w:ascii="Times New Roman" w:hAnsi="Times New Roman" w:cs="Times New Roman"/>
          <w:sz w:val="24"/>
          <w:szCs w:val="24"/>
          <w:lang w:val="ro-RO"/>
        </w:rPr>
        <w:t xml:space="preserve">de mai jos </w:t>
      </w:r>
      <w:r w:rsidRPr="0010347F">
        <w:rPr>
          <w:rFonts w:ascii="Times New Roman" w:hAnsi="Times New Roman" w:cs="Times New Roman"/>
          <w:sz w:val="24"/>
          <w:szCs w:val="24"/>
          <w:lang w:val="ro-RO"/>
        </w:rPr>
        <w:t xml:space="preserve">(Figura nr. 1), se poate vedea că UE a reprezentat o pondere de 23% din PIB-ul mondial în 2012 (PIB-ul mondial a fost evaluat la </w:t>
      </w:r>
      <w:r w:rsidR="002814BE">
        <w:rPr>
          <w:rFonts w:ascii="Times New Roman" w:hAnsi="Times New Roman" w:cs="Times New Roman"/>
          <w:sz w:val="24"/>
          <w:szCs w:val="24"/>
          <w:lang w:val="ro-RO"/>
        </w:rPr>
        <w:t>56</w:t>
      </w:r>
      <w:r w:rsidRPr="0010347F">
        <w:rPr>
          <w:rFonts w:ascii="Times New Roman" w:hAnsi="Times New Roman" w:cs="Times New Roman"/>
          <w:sz w:val="24"/>
          <w:szCs w:val="24"/>
          <w:lang w:val="ro-RO"/>
        </w:rPr>
        <w:t>577 miliard</w:t>
      </w:r>
      <w:r>
        <w:rPr>
          <w:rFonts w:ascii="Times New Roman" w:hAnsi="Times New Roman" w:cs="Times New Roman"/>
          <w:sz w:val="24"/>
          <w:szCs w:val="24"/>
          <w:lang w:val="ro-RO"/>
        </w:rPr>
        <w:t>e €</w:t>
      </w:r>
      <w:r w:rsidRPr="0010347F">
        <w:rPr>
          <w:rFonts w:ascii="Times New Roman" w:hAnsi="Times New Roman" w:cs="Times New Roman"/>
          <w:sz w:val="24"/>
          <w:szCs w:val="24"/>
          <w:lang w:val="ro-RO"/>
        </w:rPr>
        <w:t xml:space="preserve"> în 2012), în timp ce ponderea Statele Unite ale Americii a fost </w:t>
      </w:r>
      <w:r w:rsidR="00CC35E9">
        <w:rPr>
          <w:rFonts w:ascii="Times New Roman" w:hAnsi="Times New Roman" w:cs="Times New Roman"/>
          <w:sz w:val="24"/>
          <w:szCs w:val="24"/>
          <w:lang w:val="ro-RO"/>
        </w:rPr>
        <w:t xml:space="preserve">de </w:t>
      </w:r>
      <w:r>
        <w:rPr>
          <w:rFonts w:ascii="Times New Roman" w:hAnsi="Times New Roman" w:cs="Times New Roman"/>
          <w:sz w:val="24"/>
          <w:szCs w:val="24"/>
          <w:lang w:val="ro-RO"/>
        </w:rPr>
        <w:t>22%. Ponderea Chinei</w:t>
      </w:r>
      <w:r w:rsidRPr="0010347F">
        <w:rPr>
          <w:rFonts w:ascii="Times New Roman" w:hAnsi="Times New Roman" w:cs="Times New Roman"/>
          <w:sz w:val="24"/>
          <w:szCs w:val="24"/>
          <w:lang w:val="ro-RO"/>
        </w:rPr>
        <w:t xml:space="preserve"> </w:t>
      </w:r>
      <w:r w:rsidR="00CC35E9">
        <w:rPr>
          <w:rFonts w:ascii="Times New Roman" w:hAnsi="Times New Roman" w:cs="Times New Roman"/>
          <w:sz w:val="24"/>
          <w:szCs w:val="24"/>
          <w:lang w:val="ro-RO"/>
        </w:rPr>
        <w:t xml:space="preserve">a evoluat </w:t>
      </w:r>
      <w:r w:rsidRPr="0010347F">
        <w:rPr>
          <w:rFonts w:ascii="Times New Roman" w:hAnsi="Times New Roman" w:cs="Times New Roman"/>
          <w:sz w:val="24"/>
          <w:szCs w:val="24"/>
          <w:lang w:val="ro-RO"/>
        </w:rPr>
        <w:t>de la 4,3% în 2002 la 12% în 2012, o valoare mai mare decât Japonia, cu 8%. În ceea ce privește preț</w:t>
      </w:r>
      <w:r>
        <w:rPr>
          <w:rFonts w:ascii="Times New Roman" w:hAnsi="Times New Roman" w:cs="Times New Roman"/>
          <w:sz w:val="24"/>
          <w:szCs w:val="24"/>
          <w:lang w:val="ro-RO"/>
        </w:rPr>
        <w:t>ul curent,</w:t>
      </w:r>
      <w:r w:rsidRPr="0010347F">
        <w:rPr>
          <w:rFonts w:ascii="Times New Roman" w:hAnsi="Times New Roman" w:cs="Times New Roman"/>
          <w:sz w:val="24"/>
          <w:szCs w:val="24"/>
          <w:lang w:val="ro-RO"/>
        </w:rPr>
        <w:t xml:space="preserve"> PIB-ul C</w:t>
      </w:r>
      <w:r>
        <w:rPr>
          <w:rFonts w:ascii="Times New Roman" w:hAnsi="Times New Roman" w:cs="Times New Roman"/>
          <w:sz w:val="24"/>
          <w:szCs w:val="24"/>
          <w:lang w:val="ro-RO"/>
        </w:rPr>
        <w:t>hinei a fost de 4970 miliarde €</w:t>
      </w:r>
      <w:r w:rsidR="00557B2E">
        <w:rPr>
          <w:rFonts w:ascii="Times New Roman" w:hAnsi="Times New Roman" w:cs="Times New Roman"/>
          <w:sz w:val="24"/>
          <w:szCs w:val="24"/>
          <w:lang w:val="ro-RO"/>
        </w:rPr>
        <w:t>, o creștere din</w:t>
      </w:r>
      <w:r w:rsidRPr="0010347F">
        <w:rPr>
          <w:rFonts w:ascii="Times New Roman" w:hAnsi="Times New Roman" w:cs="Times New Roman"/>
          <w:sz w:val="24"/>
          <w:szCs w:val="24"/>
          <w:lang w:val="ro-RO"/>
        </w:rPr>
        <w:t xml:space="preserve"> 2002 echivalentă cu PIB-ul combinat în 2012 de Mexic, Coreea de Sud, Indonezia, Turcia, Arabia Saudită, Coreea de Sud, Argentina și Africa de Sud. Astfel, PIB-ul glo</w:t>
      </w:r>
      <w:r w:rsidR="00130BE2">
        <w:rPr>
          <w:rFonts w:ascii="Times New Roman" w:hAnsi="Times New Roman" w:cs="Times New Roman"/>
          <w:sz w:val="24"/>
          <w:szCs w:val="24"/>
          <w:lang w:val="ro-RO"/>
        </w:rPr>
        <w:t>bal a</w:t>
      </w:r>
      <w:r w:rsidR="00557B2E">
        <w:rPr>
          <w:rFonts w:ascii="Times New Roman" w:hAnsi="Times New Roman" w:cs="Times New Roman"/>
          <w:sz w:val="24"/>
          <w:szCs w:val="24"/>
          <w:lang w:val="ro-RO"/>
        </w:rPr>
        <w:t>l UE, SUA, China, Japonia a</w:t>
      </w:r>
      <w:r w:rsidRPr="0010347F">
        <w:rPr>
          <w:rFonts w:ascii="Times New Roman" w:hAnsi="Times New Roman" w:cs="Times New Roman"/>
          <w:sz w:val="24"/>
          <w:szCs w:val="24"/>
          <w:lang w:val="ro-RO"/>
        </w:rPr>
        <w:t xml:space="preserve"> acoperit</w:t>
      </w:r>
      <w:r w:rsidR="00130BE2">
        <w:rPr>
          <w:rFonts w:ascii="Times New Roman" w:hAnsi="Times New Roman" w:cs="Times New Roman"/>
          <w:sz w:val="24"/>
          <w:szCs w:val="24"/>
          <w:lang w:val="ro-RO"/>
        </w:rPr>
        <w:t xml:space="preserve"> o</w:t>
      </w:r>
      <w:r w:rsidRPr="0010347F">
        <w:rPr>
          <w:rFonts w:ascii="Times New Roman" w:hAnsi="Times New Roman" w:cs="Times New Roman"/>
          <w:sz w:val="24"/>
          <w:szCs w:val="24"/>
          <w:lang w:val="ro-RO"/>
        </w:rPr>
        <w:t xml:space="preserve"> cotă </w:t>
      </w:r>
      <w:r w:rsidR="00557B2E">
        <w:rPr>
          <w:rFonts w:ascii="Times New Roman" w:hAnsi="Times New Roman" w:cs="Times New Roman"/>
          <w:sz w:val="24"/>
          <w:szCs w:val="24"/>
          <w:lang w:val="ro-RO"/>
        </w:rPr>
        <w:t>ce depășește</w:t>
      </w:r>
      <w:r w:rsidRPr="0010347F">
        <w:rPr>
          <w:rFonts w:ascii="Times New Roman" w:hAnsi="Times New Roman" w:cs="Times New Roman"/>
          <w:sz w:val="24"/>
          <w:szCs w:val="24"/>
          <w:lang w:val="ro-RO"/>
        </w:rPr>
        <w:t xml:space="preserve"> 50% din PIB-ul mondial în 2012.</w:t>
      </w:r>
    </w:p>
    <w:p w:rsidR="0010347F" w:rsidRPr="00D57FA0" w:rsidRDefault="0010347F" w:rsidP="00F605F2">
      <w:pPr>
        <w:spacing w:after="0" w:line="240" w:lineRule="auto"/>
        <w:ind w:firstLine="720"/>
        <w:jc w:val="both"/>
        <w:rPr>
          <w:rFonts w:ascii="Times New Roman" w:hAnsi="Times New Roman" w:cs="Times New Roman"/>
          <w:sz w:val="24"/>
          <w:szCs w:val="24"/>
          <w:lang w:val="ro-RO"/>
        </w:rPr>
      </w:pPr>
    </w:p>
    <w:p w:rsidR="002A5BFA" w:rsidRPr="00D57FA0" w:rsidRDefault="002A5BFA" w:rsidP="00F605F2">
      <w:pPr>
        <w:spacing w:after="0" w:line="240" w:lineRule="auto"/>
        <w:ind w:firstLine="720"/>
        <w:jc w:val="both"/>
        <w:rPr>
          <w:rFonts w:ascii="Times New Roman" w:hAnsi="Times New Roman" w:cs="Times New Roman"/>
          <w:sz w:val="24"/>
          <w:szCs w:val="24"/>
          <w:lang w:val="ro-RO"/>
        </w:rPr>
      </w:pPr>
      <w:r w:rsidRPr="00D57FA0">
        <w:rPr>
          <w:noProof/>
        </w:rPr>
        <w:drawing>
          <wp:anchor distT="0" distB="0" distL="114300" distR="114300" simplePos="0" relativeHeight="251659264" behindDoc="1" locked="0" layoutInCell="1" allowOverlap="1" wp14:anchorId="47D241B0" wp14:editId="682EE3F6">
            <wp:simplePos x="0" y="0"/>
            <wp:positionH relativeFrom="column">
              <wp:posOffset>718185</wp:posOffset>
            </wp:positionH>
            <wp:positionV relativeFrom="paragraph">
              <wp:posOffset>81915</wp:posOffset>
            </wp:positionV>
            <wp:extent cx="4933950" cy="2371725"/>
            <wp:effectExtent l="0" t="0" r="0" b="9525"/>
            <wp:wrapTight wrapText="bothSides">
              <wp:wrapPolygon edited="0">
                <wp:start x="0" y="0"/>
                <wp:lineTo x="0" y="21513"/>
                <wp:lineTo x="21517" y="21513"/>
                <wp:lineTo x="21517"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p>
    <w:p w:rsidR="002A5BFA" w:rsidRPr="00D57FA0" w:rsidRDefault="002A5BFA" w:rsidP="00F605F2">
      <w:pPr>
        <w:spacing w:after="0" w:line="240" w:lineRule="auto"/>
        <w:rPr>
          <w:rFonts w:ascii="Times New Roman" w:hAnsi="Times New Roman" w:cs="Times New Roman"/>
          <w:sz w:val="24"/>
          <w:szCs w:val="24"/>
          <w:lang w:val="ro-RO"/>
        </w:rPr>
      </w:pPr>
    </w:p>
    <w:p w:rsidR="002A5BFA" w:rsidRPr="00D57FA0" w:rsidRDefault="002A5BFA" w:rsidP="00F605F2">
      <w:pPr>
        <w:spacing w:after="0" w:line="240" w:lineRule="auto"/>
        <w:rPr>
          <w:rFonts w:ascii="Times New Roman" w:hAnsi="Times New Roman" w:cs="Times New Roman"/>
          <w:sz w:val="24"/>
          <w:szCs w:val="24"/>
          <w:lang w:val="ro-RO"/>
        </w:rPr>
      </w:pPr>
    </w:p>
    <w:p w:rsidR="002A5BFA" w:rsidRPr="00D57FA0" w:rsidRDefault="002A5BFA" w:rsidP="00F605F2">
      <w:pPr>
        <w:spacing w:after="0" w:line="240" w:lineRule="auto"/>
        <w:rPr>
          <w:rFonts w:ascii="Times New Roman" w:hAnsi="Times New Roman" w:cs="Times New Roman"/>
          <w:sz w:val="24"/>
          <w:szCs w:val="24"/>
          <w:lang w:val="ro-RO"/>
        </w:rPr>
      </w:pPr>
    </w:p>
    <w:p w:rsidR="002A5BFA" w:rsidRPr="00D57FA0" w:rsidRDefault="002A5BFA" w:rsidP="00F605F2">
      <w:pPr>
        <w:spacing w:after="0" w:line="240" w:lineRule="auto"/>
        <w:rPr>
          <w:rFonts w:ascii="Times New Roman" w:hAnsi="Times New Roman" w:cs="Times New Roman"/>
          <w:sz w:val="24"/>
          <w:szCs w:val="24"/>
          <w:lang w:val="ro-RO"/>
        </w:rPr>
      </w:pPr>
    </w:p>
    <w:p w:rsidR="002A5BFA" w:rsidRPr="00D57FA0" w:rsidRDefault="002A5BFA" w:rsidP="00F605F2">
      <w:pPr>
        <w:spacing w:after="0" w:line="240" w:lineRule="auto"/>
        <w:rPr>
          <w:rFonts w:ascii="Times New Roman" w:hAnsi="Times New Roman" w:cs="Times New Roman"/>
          <w:sz w:val="24"/>
          <w:szCs w:val="24"/>
          <w:lang w:val="ro-RO"/>
        </w:rPr>
      </w:pPr>
    </w:p>
    <w:p w:rsidR="002A5BFA" w:rsidRPr="00D57FA0" w:rsidRDefault="002A5BFA" w:rsidP="00F605F2">
      <w:pPr>
        <w:spacing w:after="0" w:line="240" w:lineRule="auto"/>
        <w:rPr>
          <w:rFonts w:ascii="Times New Roman" w:hAnsi="Times New Roman" w:cs="Times New Roman"/>
          <w:sz w:val="24"/>
          <w:szCs w:val="24"/>
          <w:lang w:val="ro-RO"/>
        </w:rPr>
      </w:pPr>
    </w:p>
    <w:p w:rsidR="002A5BFA" w:rsidRPr="00D57FA0" w:rsidRDefault="002A5BFA" w:rsidP="00F605F2">
      <w:pPr>
        <w:spacing w:after="0" w:line="240" w:lineRule="auto"/>
        <w:rPr>
          <w:rFonts w:ascii="Times New Roman" w:hAnsi="Times New Roman" w:cs="Times New Roman"/>
          <w:sz w:val="24"/>
          <w:szCs w:val="24"/>
          <w:lang w:val="ro-RO"/>
        </w:rPr>
      </w:pPr>
    </w:p>
    <w:p w:rsidR="002A5BFA" w:rsidRPr="00D57FA0" w:rsidRDefault="002A5BFA" w:rsidP="00F605F2">
      <w:pPr>
        <w:spacing w:after="0" w:line="240" w:lineRule="auto"/>
        <w:rPr>
          <w:rFonts w:ascii="Times New Roman" w:hAnsi="Times New Roman" w:cs="Times New Roman"/>
          <w:sz w:val="24"/>
          <w:szCs w:val="24"/>
          <w:lang w:val="ro-RO"/>
        </w:rPr>
      </w:pPr>
    </w:p>
    <w:p w:rsidR="00F605F2" w:rsidRPr="00D57FA0" w:rsidRDefault="00F605F2" w:rsidP="00F605F2">
      <w:pPr>
        <w:spacing w:after="0" w:line="240" w:lineRule="auto"/>
        <w:jc w:val="center"/>
        <w:rPr>
          <w:rFonts w:ascii="Times New Roman" w:hAnsi="Times New Roman" w:cs="Times New Roman"/>
          <w:b/>
          <w:sz w:val="24"/>
          <w:szCs w:val="24"/>
          <w:lang w:val="ro-RO"/>
        </w:rPr>
      </w:pPr>
    </w:p>
    <w:p w:rsidR="00F605F2" w:rsidRPr="00D57FA0" w:rsidRDefault="00F605F2" w:rsidP="00F605F2">
      <w:pPr>
        <w:spacing w:after="0" w:line="240" w:lineRule="auto"/>
        <w:jc w:val="center"/>
        <w:rPr>
          <w:rFonts w:ascii="Times New Roman" w:hAnsi="Times New Roman" w:cs="Times New Roman"/>
          <w:b/>
          <w:sz w:val="24"/>
          <w:szCs w:val="24"/>
          <w:lang w:val="ro-RO"/>
        </w:rPr>
      </w:pPr>
    </w:p>
    <w:p w:rsidR="00F605F2" w:rsidRPr="00D57FA0" w:rsidRDefault="00F605F2" w:rsidP="00F605F2">
      <w:pPr>
        <w:spacing w:after="0" w:line="240" w:lineRule="auto"/>
        <w:jc w:val="center"/>
        <w:rPr>
          <w:rFonts w:ascii="Times New Roman" w:hAnsi="Times New Roman" w:cs="Times New Roman"/>
          <w:b/>
          <w:sz w:val="24"/>
          <w:szCs w:val="24"/>
          <w:lang w:val="ro-RO"/>
        </w:rPr>
      </w:pPr>
    </w:p>
    <w:p w:rsidR="00F605F2" w:rsidRPr="00D57FA0" w:rsidRDefault="00F605F2" w:rsidP="00F605F2">
      <w:pPr>
        <w:spacing w:after="0" w:line="240" w:lineRule="auto"/>
        <w:jc w:val="center"/>
        <w:rPr>
          <w:rFonts w:ascii="Times New Roman" w:hAnsi="Times New Roman" w:cs="Times New Roman"/>
          <w:b/>
          <w:sz w:val="24"/>
          <w:szCs w:val="24"/>
          <w:lang w:val="ro-RO"/>
        </w:rPr>
      </w:pPr>
    </w:p>
    <w:p w:rsidR="00F605F2" w:rsidRPr="00D57FA0" w:rsidRDefault="00F605F2" w:rsidP="00F605F2">
      <w:pPr>
        <w:spacing w:after="0" w:line="240" w:lineRule="auto"/>
        <w:jc w:val="center"/>
        <w:rPr>
          <w:rFonts w:ascii="Times New Roman" w:hAnsi="Times New Roman" w:cs="Times New Roman"/>
          <w:b/>
          <w:sz w:val="24"/>
          <w:szCs w:val="24"/>
          <w:lang w:val="ro-RO"/>
        </w:rPr>
      </w:pPr>
    </w:p>
    <w:p w:rsidR="00F605F2" w:rsidRPr="00D57FA0" w:rsidRDefault="00F605F2" w:rsidP="00F605F2">
      <w:pPr>
        <w:spacing w:after="0" w:line="240" w:lineRule="auto"/>
        <w:jc w:val="center"/>
        <w:rPr>
          <w:rFonts w:ascii="Times New Roman" w:hAnsi="Times New Roman" w:cs="Times New Roman"/>
          <w:b/>
          <w:sz w:val="24"/>
          <w:szCs w:val="24"/>
          <w:lang w:val="ro-RO"/>
        </w:rPr>
      </w:pPr>
    </w:p>
    <w:p w:rsidR="00981AB6" w:rsidRDefault="00981AB6" w:rsidP="00F605F2">
      <w:pPr>
        <w:spacing w:after="0" w:line="240" w:lineRule="auto"/>
        <w:jc w:val="center"/>
        <w:rPr>
          <w:rFonts w:ascii="Times New Roman" w:hAnsi="Times New Roman" w:cs="Times New Roman"/>
          <w:b/>
          <w:sz w:val="24"/>
          <w:szCs w:val="24"/>
          <w:lang w:val="ro-RO"/>
        </w:rPr>
      </w:pPr>
      <w:r w:rsidRPr="00981AB6">
        <w:rPr>
          <w:rFonts w:ascii="Times New Roman" w:hAnsi="Times New Roman" w:cs="Times New Roman"/>
          <w:b/>
          <w:sz w:val="24"/>
          <w:szCs w:val="24"/>
          <w:lang w:val="ro-RO"/>
        </w:rPr>
        <w:t>Figura nr. 1. Ponderea PIB-ul mondial, în 2012</w:t>
      </w:r>
    </w:p>
    <w:p w:rsidR="005B36C6" w:rsidRDefault="00F61EB6" w:rsidP="00981AB6">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Sursa: P</w:t>
      </w:r>
      <w:r w:rsidR="00981AB6" w:rsidRPr="00981AB6">
        <w:rPr>
          <w:rFonts w:ascii="Times New Roman" w:hAnsi="Times New Roman" w:cs="Times New Roman"/>
          <w:sz w:val="20"/>
          <w:szCs w:val="20"/>
          <w:lang w:val="ro-RO"/>
        </w:rPr>
        <w:t>relucrare proprie după baza de date Eurostat</w:t>
      </w:r>
    </w:p>
    <w:p w:rsidR="00981AB6" w:rsidRPr="00D57FA0" w:rsidRDefault="00981AB6" w:rsidP="00F605F2">
      <w:pPr>
        <w:spacing w:after="0" w:line="240" w:lineRule="auto"/>
        <w:rPr>
          <w:rFonts w:ascii="Times New Roman" w:hAnsi="Times New Roman" w:cs="Times New Roman"/>
          <w:sz w:val="24"/>
          <w:szCs w:val="24"/>
          <w:lang w:val="ro-RO"/>
        </w:rPr>
      </w:pPr>
    </w:p>
    <w:p w:rsidR="002A5BFA" w:rsidRPr="00D57FA0" w:rsidRDefault="005B36C6" w:rsidP="00F605F2">
      <w:pPr>
        <w:spacing w:after="0" w:line="240" w:lineRule="auto"/>
        <w:jc w:val="both"/>
        <w:rPr>
          <w:rFonts w:ascii="Times New Roman" w:hAnsi="Times New Roman" w:cs="Times New Roman"/>
          <w:sz w:val="24"/>
          <w:szCs w:val="24"/>
          <w:lang w:val="ro-RO"/>
        </w:rPr>
      </w:pPr>
      <w:r w:rsidRPr="00D57FA0">
        <w:rPr>
          <w:rFonts w:ascii="Times New Roman" w:hAnsi="Times New Roman" w:cs="Times New Roman"/>
          <w:sz w:val="24"/>
          <w:szCs w:val="24"/>
          <w:lang w:val="ro-RO"/>
        </w:rPr>
        <w:tab/>
      </w:r>
      <w:r w:rsidR="008B6662" w:rsidRPr="008B6662">
        <w:rPr>
          <w:rFonts w:ascii="Times New Roman" w:hAnsi="Times New Roman" w:cs="Times New Roman"/>
          <w:sz w:val="24"/>
          <w:szCs w:val="24"/>
          <w:lang w:val="ro-RO"/>
        </w:rPr>
        <w:t>Potrivit Eurostat, ponderea mondială a PIB</w:t>
      </w:r>
      <w:r w:rsidR="008B6662">
        <w:rPr>
          <w:rFonts w:ascii="Times New Roman" w:hAnsi="Times New Roman" w:cs="Times New Roman"/>
          <w:sz w:val="24"/>
          <w:szCs w:val="24"/>
          <w:lang w:val="ro-RO"/>
        </w:rPr>
        <w:t>-ului</w:t>
      </w:r>
      <w:r w:rsidR="008B6662" w:rsidRPr="008B6662">
        <w:rPr>
          <w:rFonts w:ascii="Times New Roman" w:hAnsi="Times New Roman" w:cs="Times New Roman"/>
          <w:sz w:val="24"/>
          <w:szCs w:val="24"/>
          <w:lang w:val="ro-RO"/>
        </w:rPr>
        <w:t xml:space="preserve"> </w:t>
      </w:r>
      <w:r w:rsidR="00C333C6">
        <w:rPr>
          <w:rFonts w:ascii="Times New Roman" w:hAnsi="Times New Roman" w:cs="Times New Roman"/>
          <w:sz w:val="24"/>
          <w:szCs w:val="24"/>
          <w:lang w:val="ro-RO"/>
        </w:rPr>
        <w:t>UE a fost mai mare decât cea a Chinei</w:t>
      </w:r>
      <w:r w:rsidR="008B6662" w:rsidRPr="008B6662">
        <w:rPr>
          <w:rFonts w:ascii="Times New Roman" w:hAnsi="Times New Roman" w:cs="Times New Roman"/>
          <w:sz w:val="24"/>
          <w:szCs w:val="24"/>
          <w:lang w:val="ro-RO"/>
        </w:rPr>
        <w:t xml:space="preserve">. În ciuda acestui fapt, China </w:t>
      </w:r>
      <w:r w:rsidR="003612AD">
        <w:rPr>
          <w:rFonts w:ascii="Times New Roman" w:hAnsi="Times New Roman" w:cs="Times New Roman"/>
          <w:sz w:val="24"/>
          <w:szCs w:val="24"/>
          <w:lang w:val="ro-RO"/>
        </w:rPr>
        <w:t>rămâne o</w:t>
      </w:r>
      <w:r w:rsidR="003C54AE">
        <w:rPr>
          <w:rFonts w:ascii="Times New Roman" w:hAnsi="Times New Roman" w:cs="Times New Roman"/>
          <w:sz w:val="24"/>
          <w:szCs w:val="24"/>
          <w:lang w:val="ro-RO"/>
        </w:rPr>
        <w:t xml:space="preserve"> importanță</w:t>
      </w:r>
      <w:r w:rsidR="008B6662" w:rsidRPr="008B6662">
        <w:rPr>
          <w:rFonts w:ascii="Times New Roman" w:hAnsi="Times New Roman" w:cs="Times New Roman"/>
          <w:sz w:val="24"/>
          <w:szCs w:val="24"/>
          <w:lang w:val="ro-RO"/>
        </w:rPr>
        <w:t xml:space="preserve"> relativă în cadrul economiei globale, reprezentând mai mult de două treimi din PIB-ul UE.</w:t>
      </w:r>
    </w:p>
    <w:p w:rsidR="001723F6" w:rsidRPr="00D57FA0" w:rsidRDefault="00037744" w:rsidP="00F605F2">
      <w:pPr>
        <w:spacing w:after="0" w:line="240" w:lineRule="auto"/>
        <w:jc w:val="both"/>
        <w:rPr>
          <w:rFonts w:ascii="Times New Roman" w:hAnsi="Times New Roman" w:cs="Times New Roman"/>
          <w:sz w:val="24"/>
          <w:szCs w:val="24"/>
          <w:lang w:val="ro-RO"/>
        </w:rPr>
      </w:pPr>
      <w:r w:rsidRPr="00D57FA0">
        <w:rPr>
          <w:rFonts w:ascii="Times New Roman" w:hAnsi="Times New Roman" w:cs="Times New Roman"/>
          <w:sz w:val="24"/>
          <w:szCs w:val="24"/>
          <w:lang w:val="ro-RO"/>
        </w:rPr>
        <w:tab/>
      </w:r>
      <w:r w:rsidR="00EF1E08">
        <w:rPr>
          <w:rFonts w:ascii="Times New Roman" w:hAnsi="Times New Roman" w:cs="Times New Roman"/>
          <w:sz w:val="24"/>
          <w:szCs w:val="24"/>
          <w:lang w:val="ro-RO"/>
        </w:rPr>
        <w:t>În ceea ce privește sectoarele</w:t>
      </w:r>
      <w:r w:rsidR="00EF1E08" w:rsidRPr="00EF1E08">
        <w:rPr>
          <w:rFonts w:ascii="Times New Roman" w:hAnsi="Times New Roman" w:cs="Times New Roman"/>
          <w:sz w:val="24"/>
          <w:szCs w:val="24"/>
          <w:lang w:val="ro-RO"/>
        </w:rPr>
        <w:t xml:space="preserve"> care a</w:t>
      </w:r>
      <w:r w:rsidR="00EF1E08">
        <w:rPr>
          <w:rFonts w:ascii="Times New Roman" w:hAnsi="Times New Roman" w:cs="Times New Roman"/>
          <w:sz w:val="24"/>
          <w:szCs w:val="24"/>
          <w:lang w:val="ro-RO"/>
        </w:rPr>
        <w:t xml:space="preserve">u fost obiectul </w:t>
      </w:r>
      <w:r w:rsidR="00EF1E08" w:rsidRPr="00EF1E08">
        <w:rPr>
          <w:rFonts w:ascii="Times New Roman" w:hAnsi="Times New Roman" w:cs="Times New Roman"/>
          <w:sz w:val="24"/>
          <w:szCs w:val="24"/>
          <w:lang w:val="ro-RO"/>
        </w:rPr>
        <w:t>exporturi</w:t>
      </w:r>
      <w:r w:rsidR="00EF1E08">
        <w:rPr>
          <w:rFonts w:ascii="Times New Roman" w:hAnsi="Times New Roman" w:cs="Times New Roman"/>
          <w:sz w:val="24"/>
          <w:szCs w:val="24"/>
          <w:lang w:val="ro-RO"/>
        </w:rPr>
        <w:t>lor</w:t>
      </w:r>
      <w:r w:rsidR="00EF1E08" w:rsidRPr="00EF1E08">
        <w:rPr>
          <w:rFonts w:ascii="Times New Roman" w:hAnsi="Times New Roman" w:cs="Times New Roman"/>
          <w:sz w:val="24"/>
          <w:szCs w:val="24"/>
          <w:lang w:val="ro-RO"/>
        </w:rPr>
        <w:t xml:space="preserve"> și importuri</w:t>
      </w:r>
      <w:r w:rsidR="00EF1E08">
        <w:rPr>
          <w:rFonts w:ascii="Times New Roman" w:hAnsi="Times New Roman" w:cs="Times New Roman"/>
          <w:sz w:val="24"/>
          <w:szCs w:val="24"/>
          <w:lang w:val="ro-RO"/>
        </w:rPr>
        <w:t>lor în 2012, am găsit că agricultura, silvicultura</w:t>
      </w:r>
      <w:r w:rsidR="00EF1E08" w:rsidRPr="00EF1E08">
        <w:rPr>
          <w:rFonts w:ascii="Times New Roman" w:hAnsi="Times New Roman" w:cs="Times New Roman"/>
          <w:sz w:val="24"/>
          <w:szCs w:val="24"/>
          <w:lang w:val="ro-RO"/>
        </w:rPr>
        <w:t xml:space="preserve"> și pescuit</w:t>
      </w:r>
      <w:r w:rsidR="00EF1E08">
        <w:rPr>
          <w:rFonts w:ascii="Times New Roman" w:hAnsi="Times New Roman" w:cs="Times New Roman"/>
          <w:sz w:val="24"/>
          <w:szCs w:val="24"/>
          <w:lang w:val="ro-RO"/>
        </w:rPr>
        <w:t>ul</w:t>
      </w:r>
      <w:r w:rsidR="00EF1E08" w:rsidRPr="00EF1E08">
        <w:rPr>
          <w:rFonts w:ascii="Times New Roman" w:hAnsi="Times New Roman" w:cs="Times New Roman"/>
          <w:sz w:val="24"/>
          <w:szCs w:val="24"/>
          <w:lang w:val="ro-RO"/>
        </w:rPr>
        <w:t xml:space="preserve"> au contribuit cu 10% sau mai mult din PIB în țări precum India, Indonezia și </w:t>
      </w:r>
      <w:r w:rsidR="00F30E2C">
        <w:rPr>
          <w:rFonts w:ascii="Times New Roman" w:hAnsi="Times New Roman" w:cs="Times New Roman"/>
          <w:sz w:val="24"/>
          <w:szCs w:val="24"/>
          <w:lang w:val="ro-RO"/>
        </w:rPr>
        <w:t>China, în timp ce contribuția acestora</w:t>
      </w:r>
      <w:r w:rsidR="00EF1E08" w:rsidRPr="00EF1E08">
        <w:rPr>
          <w:rFonts w:ascii="Times New Roman" w:hAnsi="Times New Roman" w:cs="Times New Roman"/>
          <w:sz w:val="24"/>
          <w:szCs w:val="24"/>
          <w:lang w:val="ro-RO"/>
        </w:rPr>
        <w:t xml:space="preserve"> a fost de 2%</w:t>
      </w:r>
      <w:r w:rsidR="00EF1E08">
        <w:rPr>
          <w:rFonts w:ascii="Times New Roman" w:hAnsi="Times New Roman" w:cs="Times New Roman"/>
          <w:sz w:val="24"/>
          <w:szCs w:val="24"/>
          <w:lang w:val="ro-RO"/>
        </w:rPr>
        <w:t xml:space="preserve"> sau mai puțin în Statele Unite ale Americii</w:t>
      </w:r>
      <w:r w:rsidR="00EF1E08" w:rsidRPr="00EF1E08">
        <w:rPr>
          <w:rFonts w:ascii="Times New Roman" w:hAnsi="Times New Roman" w:cs="Times New Roman"/>
          <w:sz w:val="24"/>
          <w:szCs w:val="24"/>
          <w:lang w:val="ro-RO"/>
        </w:rPr>
        <w:t>, Japonia, Ca</w:t>
      </w:r>
      <w:r w:rsidR="00092EF7">
        <w:rPr>
          <w:rFonts w:ascii="Times New Roman" w:hAnsi="Times New Roman" w:cs="Times New Roman"/>
          <w:sz w:val="24"/>
          <w:szCs w:val="24"/>
          <w:lang w:val="ro-RO"/>
        </w:rPr>
        <w:t>nada, UE și Australia. Industria</w:t>
      </w:r>
      <w:r w:rsidR="00EF1E08" w:rsidRPr="00EF1E08">
        <w:rPr>
          <w:rFonts w:ascii="Times New Roman" w:hAnsi="Times New Roman" w:cs="Times New Roman"/>
          <w:sz w:val="24"/>
          <w:szCs w:val="24"/>
          <w:lang w:val="ro-RO"/>
        </w:rPr>
        <w:t xml:space="preserve"> (inclusiv industria extractivă, prelucrătoare, energie electrică, gaze și apă) a contribuit mai mult de jumătate di</w:t>
      </w:r>
      <w:r w:rsidR="00092EF7">
        <w:rPr>
          <w:rFonts w:ascii="Times New Roman" w:hAnsi="Times New Roman" w:cs="Times New Roman"/>
          <w:sz w:val="24"/>
          <w:szCs w:val="24"/>
          <w:lang w:val="ro-RO"/>
        </w:rPr>
        <w:t>n PIB-ul Arabiei Saudite (58%) ș</w:t>
      </w:r>
      <w:r w:rsidR="00EF1E08" w:rsidRPr="00EF1E08">
        <w:rPr>
          <w:rFonts w:ascii="Times New Roman" w:hAnsi="Times New Roman" w:cs="Times New Roman"/>
          <w:sz w:val="24"/>
          <w:szCs w:val="24"/>
          <w:lang w:val="ro-RO"/>
        </w:rPr>
        <w:t xml:space="preserve">i </w:t>
      </w:r>
      <w:r w:rsidR="00EF1E08" w:rsidRPr="00EF1E08">
        <w:rPr>
          <w:rFonts w:ascii="Times New Roman" w:hAnsi="Times New Roman" w:cs="Times New Roman"/>
          <w:sz w:val="24"/>
          <w:szCs w:val="24"/>
          <w:lang w:val="ro-RO"/>
        </w:rPr>
        <w:lastRenderedPageBreak/>
        <w:t>mai mult de o treime din PIB-ul total în China, Indonezia și Coreea d</w:t>
      </w:r>
      <w:r w:rsidR="00EF1E08">
        <w:rPr>
          <w:rFonts w:ascii="Times New Roman" w:hAnsi="Times New Roman" w:cs="Times New Roman"/>
          <w:sz w:val="24"/>
          <w:szCs w:val="24"/>
          <w:lang w:val="ro-RO"/>
        </w:rPr>
        <w:t>e Sud, în timp ce în Canada, UE</w:t>
      </w:r>
      <w:r w:rsidR="00EF1E08" w:rsidRPr="00EF1E08">
        <w:rPr>
          <w:rFonts w:ascii="Times New Roman" w:hAnsi="Times New Roman" w:cs="Times New Roman"/>
          <w:sz w:val="24"/>
          <w:szCs w:val="24"/>
          <w:lang w:val="ro-RO"/>
        </w:rPr>
        <w:t xml:space="preserve">, India și </w:t>
      </w:r>
      <w:r w:rsidR="00092EF7">
        <w:rPr>
          <w:rFonts w:ascii="Times New Roman" w:hAnsi="Times New Roman" w:cs="Times New Roman"/>
          <w:sz w:val="24"/>
          <w:szCs w:val="24"/>
          <w:lang w:val="ro-RO"/>
        </w:rPr>
        <w:t>S</w:t>
      </w:r>
      <w:r w:rsidR="00EF1E08" w:rsidRPr="00EF1E08">
        <w:rPr>
          <w:rFonts w:ascii="Times New Roman" w:hAnsi="Times New Roman" w:cs="Times New Roman"/>
          <w:sz w:val="24"/>
          <w:szCs w:val="24"/>
          <w:lang w:val="ro-RO"/>
        </w:rPr>
        <w:t>tatele Unite ale Americii contribuția sa a fost mai puțin de o cincime din total.</w:t>
      </w:r>
    </w:p>
    <w:p w:rsidR="00092EF7" w:rsidRDefault="00092EF7" w:rsidP="00F605F2">
      <w:pPr>
        <w:spacing w:after="0" w:line="240" w:lineRule="auto"/>
        <w:ind w:firstLine="720"/>
        <w:jc w:val="both"/>
        <w:rPr>
          <w:rFonts w:ascii="Times New Roman" w:hAnsi="Times New Roman" w:cs="Times New Roman"/>
          <w:sz w:val="24"/>
          <w:szCs w:val="24"/>
          <w:lang w:val="ro-RO"/>
        </w:rPr>
      </w:pPr>
      <w:r w:rsidRPr="00092EF7">
        <w:rPr>
          <w:rFonts w:ascii="Times New Roman" w:hAnsi="Times New Roman" w:cs="Times New Roman"/>
          <w:sz w:val="24"/>
          <w:szCs w:val="24"/>
          <w:lang w:val="ro-RO"/>
        </w:rPr>
        <w:t xml:space="preserve">Sectorul serviciilor, hoteluri și restaurante, transporturi, informații și servicii de comunicații </w:t>
      </w:r>
      <w:r>
        <w:rPr>
          <w:rFonts w:ascii="Times New Roman" w:hAnsi="Times New Roman" w:cs="Times New Roman"/>
          <w:sz w:val="24"/>
          <w:szCs w:val="24"/>
          <w:lang w:val="ro-RO"/>
        </w:rPr>
        <w:t xml:space="preserve">au </w:t>
      </w:r>
      <w:r w:rsidRPr="00092EF7">
        <w:rPr>
          <w:rFonts w:ascii="Times New Roman" w:hAnsi="Times New Roman" w:cs="Times New Roman"/>
          <w:sz w:val="24"/>
          <w:szCs w:val="24"/>
          <w:lang w:val="ro-RO"/>
        </w:rPr>
        <w:t xml:space="preserve">variat puțin în țările lumii din Turcia </w:t>
      </w:r>
      <w:r w:rsidR="00F30E2C">
        <w:rPr>
          <w:rFonts w:ascii="Times New Roman" w:hAnsi="Times New Roman" w:cs="Times New Roman"/>
          <w:sz w:val="24"/>
          <w:szCs w:val="24"/>
          <w:lang w:val="ro-RO"/>
        </w:rPr>
        <w:t xml:space="preserve">până </w:t>
      </w:r>
      <w:r w:rsidRPr="00092EF7">
        <w:rPr>
          <w:rFonts w:ascii="Times New Roman" w:hAnsi="Times New Roman" w:cs="Times New Roman"/>
          <w:sz w:val="24"/>
          <w:szCs w:val="24"/>
          <w:lang w:val="ro-RO"/>
        </w:rPr>
        <w:t>în China. În Statele Unite, Canada și zona euro (EA-18), alte servicii (servicii financiare și de afaceri, precum și servicii de multe ori asociate cu furnizarea sectorul public) a contribuit mai mult de jumătate din PIB-ul total, în timp ce Uniunea Europeană și Australia a</w:t>
      </w:r>
      <w:r>
        <w:rPr>
          <w:rFonts w:ascii="Times New Roman" w:hAnsi="Times New Roman" w:cs="Times New Roman"/>
          <w:sz w:val="24"/>
          <w:szCs w:val="24"/>
          <w:lang w:val="ro-RO"/>
        </w:rPr>
        <w:t>u</w:t>
      </w:r>
      <w:r w:rsidR="00E4176F">
        <w:rPr>
          <w:rFonts w:ascii="Times New Roman" w:hAnsi="Times New Roman" w:cs="Times New Roman"/>
          <w:sz w:val="24"/>
          <w:szCs w:val="24"/>
          <w:lang w:val="ro-RO"/>
        </w:rPr>
        <w:t xml:space="preserve"> înregistrat contribuții din alte s</w:t>
      </w:r>
      <w:r w:rsidRPr="00092EF7">
        <w:rPr>
          <w:rFonts w:ascii="Times New Roman" w:hAnsi="Times New Roman" w:cs="Times New Roman"/>
          <w:sz w:val="24"/>
          <w:szCs w:val="24"/>
          <w:lang w:val="ro-RO"/>
        </w:rPr>
        <w:t>ervicii chiar sub acest nivel. În schimb, alte servicii a</w:t>
      </w:r>
      <w:r w:rsidR="00157FCF">
        <w:rPr>
          <w:rFonts w:ascii="Times New Roman" w:hAnsi="Times New Roman" w:cs="Times New Roman"/>
          <w:sz w:val="24"/>
          <w:szCs w:val="24"/>
          <w:lang w:val="ro-RO"/>
        </w:rPr>
        <w:t>u</w:t>
      </w:r>
      <w:r w:rsidRPr="00092EF7">
        <w:rPr>
          <w:rFonts w:ascii="Times New Roman" w:hAnsi="Times New Roman" w:cs="Times New Roman"/>
          <w:sz w:val="24"/>
          <w:szCs w:val="24"/>
          <w:lang w:val="ro-RO"/>
        </w:rPr>
        <w:t xml:space="preserve"> contribuit </w:t>
      </w:r>
      <w:r w:rsidR="00157FCF">
        <w:rPr>
          <w:rFonts w:ascii="Times New Roman" w:hAnsi="Times New Roman" w:cs="Times New Roman"/>
          <w:sz w:val="24"/>
          <w:szCs w:val="24"/>
          <w:lang w:val="ro-RO"/>
        </w:rPr>
        <w:t xml:space="preserve">cu </w:t>
      </w:r>
      <w:r w:rsidRPr="00092EF7">
        <w:rPr>
          <w:rFonts w:ascii="Times New Roman" w:hAnsi="Times New Roman" w:cs="Times New Roman"/>
          <w:sz w:val="24"/>
          <w:szCs w:val="24"/>
          <w:lang w:val="ro-RO"/>
        </w:rPr>
        <w:t>o cot</w:t>
      </w:r>
      <w:r w:rsidR="00DD164C">
        <w:rPr>
          <w:rFonts w:ascii="Times New Roman" w:hAnsi="Times New Roman" w:cs="Times New Roman"/>
          <w:sz w:val="24"/>
          <w:szCs w:val="24"/>
          <w:lang w:val="ro-RO"/>
        </w:rPr>
        <w:t>ă între un sfert și puț</w:t>
      </w:r>
      <w:r w:rsidRPr="00092EF7">
        <w:rPr>
          <w:rFonts w:ascii="Times New Roman" w:hAnsi="Times New Roman" w:cs="Times New Roman"/>
          <w:sz w:val="24"/>
          <w:szCs w:val="24"/>
          <w:lang w:val="ro-RO"/>
        </w:rPr>
        <w:t xml:space="preserve">in peste </w:t>
      </w:r>
      <w:r w:rsidR="00DD164C">
        <w:rPr>
          <w:rFonts w:ascii="Times New Roman" w:hAnsi="Times New Roman" w:cs="Times New Roman"/>
          <w:sz w:val="24"/>
          <w:szCs w:val="24"/>
          <w:lang w:val="ro-RO"/>
        </w:rPr>
        <w:t>o treime</w:t>
      </w:r>
      <w:r w:rsidR="00DD164C" w:rsidRPr="00092EF7">
        <w:rPr>
          <w:rFonts w:ascii="Times New Roman" w:hAnsi="Times New Roman" w:cs="Times New Roman"/>
          <w:sz w:val="24"/>
          <w:szCs w:val="24"/>
          <w:lang w:val="ro-RO"/>
        </w:rPr>
        <w:t xml:space="preserve"> </w:t>
      </w:r>
      <w:r w:rsidRPr="00092EF7">
        <w:rPr>
          <w:rFonts w:ascii="Times New Roman" w:hAnsi="Times New Roman" w:cs="Times New Roman"/>
          <w:sz w:val="24"/>
          <w:szCs w:val="24"/>
          <w:lang w:val="ro-RO"/>
        </w:rPr>
        <w:t>din PIB în Mexic, Turcia, India, Rusia și China și chiar mai puțin în Arabia Saudită și Indonezia.</w:t>
      </w:r>
      <w:r w:rsidR="00DD164C" w:rsidRPr="00DD164C">
        <w:rPr>
          <w:rFonts w:ascii="Times New Roman" w:hAnsi="Times New Roman" w:cs="Times New Roman"/>
          <w:sz w:val="24"/>
          <w:szCs w:val="24"/>
          <w:lang w:val="ro-RO"/>
        </w:rPr>
        <w:t xml:space="preserve"> </w:t>
      </w:r>
    </w:p>
    <w:p w:rsidR="00186455" w:rsidRDefault="00186455" w:rsidP="00F605F2">
      <w:pPr>
        <w:spacing w:after="0" w:line="240" w:lineRule="auto"/>
        <w:ind w:firstLine="720"/>
        <w:jc w:val="both"/>
        <w:rPr>
          <w:rFonts w:ascii="Times New Roman" w:hAnsi="Times New Roman" w:cs="Times New Roman"/>
          <w:sz w:val="24"/>
          <w:szCs w:val="24"/>
          <w:lang w:val="ro-RO"/>
        </w:rPr>
      </w:pPr>
      <w:r w:rsidRPr="00186455">
        <w:rPr>
          <w:rFonts w:ascii="Times New Roman" w:hAnsi="Times New Roman" w:cs="Times New Roman"/>
          <w:sz w:val="24"/>
          <w:szCs w:val="24"/>
          <w:lang w:val="ro-RO"/>
        </w:rPr>
        <w:t xml:space="preserve">În ceea ce privește comerțul internațional, Statele Unite ale Americii au raportat al doilea cel mai mic </w:t>
      </w:r>
      <w:r w:rsidR="00285AB5">
        <w:rPr>
          <w:rFonts w:ascii="Times New Roman" w:hAnsi="Times New Roman" w:cs="Times New Roman"/>
          <w:sz w:val="24"/>
          <w:szCs w:val="24"/>
          <w:lang w:val="ro-RO"/>
        </w:rPr>
        <w:t xml:space="preserve">nivel </w:t>
      </w:r>
      <w:r w:rsidRPr="00186455">
        <w:rPr>
          <w:rFonts w:ascii="Times New Roman" w:hAnsi="Times New Roman" w:cs="Times New Roman"/>
          <w:sz w:val="24"/>
          <w:szCs w:val="24"/>
          <w:lang w:val="ro-RO"/>
        </w:rPr>
        <w:t xml:space="preserve">de bunuri și servicii </w:t>
      </w:r>
      <w:r w:rsidR="00690F55">
        <w:rPr>
          <w:rFonts w:ascii="Times New Roman" w:hAnsi="Times New Roman" w:cs="Times New Roman"/>
          <w:sz w:val="24"/>
          <w:szCs w:val="24"/>
          <w:lang w:val="ro-RO"/>
        </w:rPr>
        <w:t xml:space="preserve">raportate la </w:t>
      </w:r>
      <w:r w:rsidRPr="00186455">
        <w:rPr>
          <w:rFonts w:ascii="Times New Roman" w:hAnsi="Times New Roman" w:cs="Times New Roman"/>
          <w:sz w:val="24"/>
          <w:szCs w:val="24"/>
          <w:lang w:val="ro-RO"/>
        </w:rPr>
        <w:t xml:space="preserve">PIB (16%), în 2012, printre membrii G20. În timp ce comerțul cu mărfuri domină comerțul internațional, comerțul cu servicii a crescut puternic. Comerțul cu servicii a fost echivalentul </w:t>
      </w:r>
      <w:r w:rsidR="00285AB5">
        <w:rPr>
          <w:rFonts w:ascii="Times New Roman" w:hAnsi="Times New Roman" w:cs="Times New Roman"/>
          <w:sz w:val="24"/>
          <w:szCs w:val="24"/>
          <w:lang w:val="ro-RO"/>
        </w:rPr>
        <w:t>l</w:t>
      </w:r>
      <w:r w:rsidRPr="00186455">
        <w:rPr>
          <w:rFonts w:ascii="Times New Roman" w:hAnsi="Times New Roman" w:cs="Times New Roman"/>
          <w:sz w:val="24"/>
          <w:szCs w:val="24"/>
          <w:lang w:val="ro-RO"/>
        </w:rPr>
        <w:t>a 5,05% din PIB în Canada, 7,15% din PIB în India, în UE la 4,5% din PIB, iar în SUA la 3,3% din PIB.</w:t>
      </w:r>
    </w:p>
    <w:p w:rsidR="006A2939" w:rsidRPr="00D57FA0" w:rsidRDefault="001E40BD" w:rsidP="00F605F2">
      <w:pPr>
        <w:spacing w:after="0" w:line="240" w:lineRule="auto"/>
        <w:ind w:firstLine="720"/>
        <w:jc w:val="both"/>
        <w:rPr>
          <w:rFonts w:ascii="Times New Roman" w:hAnsi="Times New Roman" w:cs="Times New Roman"/>
          <w:sz w:val="24"/>
          <w:szCs w:val="24"/>
          <w:lang w:val="ro-RO"/>
        </w:rPr>
      </w:pPr>
      <w:r>
        <w:rPr>
          <w:noProof/>
        </w:rPr>
        <w:drawing>
          <wp:anchor distT="0" distB="0" distL="114300" distR="114300" simplePos="0" relativeHeight="251665408" behindDoc="1" locked="0" layoutInCell="1" allowOverlap="1" wp14:anchorId="6F478ACD" wp14:editId="26A4D954">
            <wp:simplePos x="0" y="0"/>
            <wp:positionH relativeFrom="column">
              <wp:posOffset>13335</wp:posOffset>
            </wp:positionH>
            <wp:positionV relativeFrom="paragraph">
              <wp:posOffset>186690</wp:posOffset>
            </wp:positionV>
            <wp:extent cx="5991225" cy="2743200"/>
            <wp:effectExtent l="0" t="0" r="9525" b="0"/>
            <wp:wrapTight wrapText="bothSides">
              <wp:wrapPolygon edited="0">
                <wp:start x="0" y="0"/>
                <wp:lineTo x="0" y="21450"/>
                <wp:lineTo x="21566" y="21450"/>
                <wp:lineTo x="21566"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anchor>
        </w:drawing>
      </w:r>
    </w:p>
    <w:p w:rsidR="006421F3" w:rsidRDefault="006421F3" w:rsidP="00D80B5E">
      <w:pPr>
        <w:spacing w:after="0" w:line="240" w:lineRule="auto"/>
        <w:jc w:val="center"/>
        <w:rPr>
          <w:rFonts w:ascii="Times New Roman" w:hAnsi="Times New Roman" w:cs="Times New Roman"/>
          <w:b/>
          <w:sz w:val="24"/>
          <w:szCs w:val="24"/>
          <w:lang w:val="ro-RO"/>
        </w:rPr>
      </w:pPr>
      <w:r w:rsidRPr="006421F3">
        <w:rPr>
          <w:rFonts w:ascii="Times New Roman" w:hAnsi="Times New Roman" w:cs="Times New Roman"/>
          <w:b/>
          <w:sz w:val="24"/>
          <w:szCs w:val="24"/>
          <w:lang w:val="ro-RO"/>
        </w:rPr>
        <w:t>Figura nr. 2. Integrarea comercială: Ponderea serviciilor în raport cu bunuri, raportat la PIB, în 2012</w:t>
      </w:r>
    </w:p>
    <w:p w:rsidR="00D80B5E" w:rsidRPr="00D57FA0" w:rsidRDefault="006421F3" w:rsidP="006421F3">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Sursa: P</w:t>
      </w:r>
      <w:r w:rsidRPr="006421F3">
        <w:rPr>
          <w:rFonts w:ascii="Times New Roman" w:hAnsi="Times New Roman" w:cs="Times New Roman"/>
          <w:sz w:val="20"/>
          <w:szCs w:val="20"/>
          <w:lang w:val="ro-RO"/>
        </w:rPr>
        <w:t>relucrare proprie după baza de date Eurostat</w:t>
      </w:r>
    </w:p>
    <w:p w:rsidR="006A2939" w:rsidRPr="00D57FA0" w:rsidRDefault="006A2939" w:rsidP="00F605F2">
      <w:pPr>
        <w:spacing w:after="0" w:line="240" w:lineRule="auto"/>
        <w:ind w:firstLine="720"/>
        <w:jc w:val="both"/>
        <w:rPr>
          <w:rFonts w:ascii="Times New Roman" w:hAnsi="Times New Roman" w:cs="Times New Roman"/>
          <w:sz w:val="24"/>
          <w:szCs w:val="24"/>
          <w:lang w:val="ro-RO"/>
        </w:rPr>
      </w:pPr>
    </w:p>
    <w:p w:rsidR="00E5084E" w:rsidRDefault="00661A72" w:rsidP="00F605F2">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un număr de 16 țări, </w:t>
      </w:r>
      <w:r w:rsidR="00E5084E" w:rsidRPr="00E5084E">
        <w:rPr>
          <w:rFonts w:ascii="Times New Roman" w:hAnsi="Times New Roman" w:cs="Times New Roman"/>
          <w:sz w:val="24"/>
          <w:szCs w:val="24"/>
          <w:lang w:val="ro-RO"/>
        </w:rPr>
        <w:t>prezentat</w:t>
      </w:r>
      <w:r>
        <w:rPr>
          <w:rFonts w:ascii="Times New Roman" w:hAnsi="Times New Roman" w:cs="Times New Roman"/>
          <w:sz w:val="24"/>
          <w:szCs w:val="24"/>
          <w:lang w:val="ro-RO"/>
        </w:rPr>
        <w:t>e</w:t>
      </w:r>
      <w:r w:rsidR="00E5084E" w:rsidRPr="00E5084E">
        <w:rPr>
          <w:rFonts w:ascii="Times New Roman" w:hAnsi="Times New Roman" w:cs="Times New Roman"/>
          <w:sz w:val="24"/>
          <w:szCs w:val="24"/>
          <w:lang w:val="ro-RO"/>
        </w:rPr>
        <w:t xml:space="preserve"> în figura de mai sus (Figura nr. 2), am analizat valoarea medie a importurilor și exporturilor de bunuri și </w:t>
      </w:r>
      <w:r w:rsidR="00EF6A8D">
        <w:rPr>
          <w:rFonts w:ascii="Times New Roman" w:hAnsi="Times New Roman" w:cs="Times New Roman"/>
          <w:sz w:val="24"/>
          <w:szCs w:val="24"/>
          <w:lang w:val="ro-RO"/>
        </w:rPr>
        <w:t>servicii în raport cu PIB-ul fiecărei</w:t>
      </w:r>
      <w:r w:rsidR="00DC3BA0">
        <w:rPr>
          <w:rFonts w:ascii="Times New Roman" w:hAnsi="Times New Roman" w:cs="Times New Roman"/>
          <w:sz w:val="24"/>
          <w:szCs w:val="24"/>
          <w:lang w:val="ro-RO"/>
        </w:rPr>
        <w:t xml:space="preserve"> țări pentru anul 2012. Am găsit</w:t>
      </w:r>
      <w:r w:rsidR="00E5084E" w:rsidRPr="00E5084E">
        <w:rPr>
          <w:rFonts w:ascii="Times New Roman" w:hAnsi="Times New Roman" w:cs="Times New Roman"/>
          <w:sz w:val="24"/>
          <w:szCs w:val="24"/>
          <w:lang w:val="ro-RO"/>
        </w:rPr>
        <w:t xml:space="preserve"> că come</w:t>
      </w:r>
      <w:r w:rsidR="00DC3BA0">
        <w:rPr>
          <w:rFonts w:ascii="Times New Roman" w:hAnsi="Times New Roman" w:cs="Times New Roman"/>
          <w:sz w:val="24"/>
          <w:szCs w:val="24"/>
          <w:lang w:val="ro-RO"/>
        </w:rPr>
        <w:t>rțul cu servicii a fost mai mic de</w:t>
      </w:r>
      <w:r w:rsidR="00E5084E" w:rsidRPr="00E5084E">
        <w:rPr>
          <w:rFonts w:ascii="Times New Roman" w:hAnsi="Times New Roman" w:cs="Times New Roman"/>
          <w:sz w:val="24"/>
          <w:szCs w:val="24"/>
          <w:lang w:val="ro-RO"/>
        </w:rPr>
        <w:t xml:space="preserve"> 50% din comerțul cu mărfuri în raport cu PIB-ul pentru toate țările analizate. Nivelul superior a</w:t>
      </w:r>
      <w:r w:rsidR="008A4460">
        <w:rPr>
          <w:rFonts w:ascii="Times New Roman" w:hAnsi="Times New Roman" w:cs="Times New Roman"/>
          <w:sz w:val="24"/>
          <w:szCs w:val="24"/>
          <w:lang w:val="ro-RO"/>
        </w:rPr>
        <w:t xml:space="preserve"> fost reprezentată de India (34,21%), UE (33,</w:t>
      </w:r>
      <w:r w:rsidR="00E5084E" w:rsidRPr="00E5084E">
        <w:rPr>
          <w:rFonts w:ascii="Times New Roman" w:hAnsi="Times New Roman" w:cs="Times New Roman"/>
          <w:sz w:val="24"/>
          <w:szCs w:val="24"/>
          <w:lang w:val="ro-RO"/>
        </w:rPr>
        <w:t>71%),</w:t>
      </w:r>
      <w:r w:rsidR="008A4460">
        <w:rPr>
          <w:rFonts w:ascii="Times New Roman" w:hAnsi="Times New Roman" w:cs="Times New Roman"/>
          <w:sz w:val="24"/>
          <w:szCs w:val="24"/>
          <w:lang w:val="ro-RO"/>
        </w:rPr>
        <w:t xml:space="preserve"> Statele Unite ale Americii (27,62%), și Brazilia (25,</w:t>
      </w:r>
      <w:r w:rsidR="00E5084E" w:rsidRPr="00E5084E">
        <w:rPr>
          <w:rFonts w:ascii="Times New Roman" w:hAnsi="Times New Roman" w:cs="Times New Roman"/>
          <w:sz w:val="24"/>
          <w:szCs w:val="24"/>
          <w:lang w:val="ro-RO"/>
        </w:rPr>
        <w:t>59%). Cel mai scăzut nivel a fost reprezentată de Mexic (6,15%), China (12,34%), Indonezia (15,08%), Africa de Sud (15,45%), și Arabia Saudită (15,56%).</w:t>
      </w:r>
    </w:p>
    <w:p w:rsidR="00E5084E" w:rsidRDefault="00E5084E" w:rsidP="00F605F2">
      <w:pPr>
        <w:spacing w:after="0" w:line="240" w:lineRule="auto"/>
        <w:ind w:firstLine="720"/>
        <w:jc w:val="both"/>
        <w:rPr>
          <w:rFonts w:ascii="Times New Roman" w:hAnsi="Times New Roman" w:cs="Times New Roman"/>
          <w:sz w:val="24"/>
          <w:szCs w:val="24"/>
          <w:lang w:val="ro-RO"/>
        </w:rPr>
      </w:pPr>
      <w:r w:rsidRPr="00E5084E">
        <w:rPr>
          <w:rFonts w:ascii="Times New Roman" w:hAnsi="Times New Roman" w:cs="Times New Roman"/>
          <w:sz w:val="24"/>
          <w:szCs w:val="24"/>
          <w:lang w:val="ro-RO"/>
        </w:rPr>
        <w:t>Relativ la PIB, Arabia Saudită a înregistrat de departe cel mai mare surplus comercial internațional cu bunur</w:t>
      </w:r>
      <w:r w:rsidR="001A051A">
        <w:rPr>
          <w:rFonts w:ascii="Times New Roman" w:hAnsi="Times New Roman" w:cs="Times New Roman"/>
          <w:sz w:val="24"/>
          <w:szCs w:val="24"/>
          <w:lang w:val="ro-RO"/>
        </w:rPr>
        <w:t>i și servicii (combinate) de 23,9</w:t>
      </w:r>
      <w:r w:rsidRPr="00E5084E">
        <w:rPr>
          <w:rFonts w:ascii="Times New Roman" w:hAnsi="Times New Roman" w:cs="Times New Roman"/>
          <w:sz w:val="24"/>
          <w:szCs w:val="24"/>
          <w:lang w:val="ro-RO"/>
        </w:rPr>
        <w:t>% în 2012; Rusia, cu un excedent de</w:t>
      </w:r>
      <w:r w:rsidR="001A051A">
        <w:rPr>
          <w:rFonts w:ascii="Times New Roman" w:hAnsi="Times New Roman" w:cs="Times New Roman"/>
          <w:sz w:val="24"/>
          <w:szCs w:val="24"/>
          <w:lang w:val="ro-RO"/>
        </w:rPr>
        <w:t xml:space="preserve"> 7,3% din PIB, și Coreea de Sud</w:t>
      </w:r>
      <w:r w:rsidRPr="00E5084E">
        <w:rPr>
          <w:rFonts w:ascii="Times New Roman" w:hAnsi="Times New Roman" w:cs="Times New Roman"/>
          <w:sz w:val="24"/>
          <w:szCs w:val="24"/>
          <w:lang w:val="ro-RO"/>
        </w:rPr>
        <w:t xml:space="preserve"> cu un excedent de 2,7% din PIB. La celălalt capăt al scalei, deficitul </w:t>
      </w:r>
      <w:r w:rsidR="00B40C7D">
        <w:rPr>
          <w:rFonts w:ascii="Times New Roman" w:hAnsi="Times New Roman" w:cs="Times New Roman"/>
          <w:sz w:val="24"/>
          <w:szCs w:val="24"/>
          <w:lang w:val="ro-RO"/>
        </w:rPr>
        <w:t xml:space="preserve">mare </w:t>
      </w:r>
      <w:r w:rsidR="001A051A">
        <w:rPr>
          <w:rFonts w:ascii="Times New Roman" w:hAnsi="Times New Roman" w:cs="Times New Roman"/>
          <w:sz w:val="24"/>
          <w:szCs w:val="24"/>
          <w:lang w:val="ro-RO"/>
        </w:rPr>
        <w:t xml:space="preserve">de </w:t>
      </w:r>
      <w:r w:rsidR="00B40C7D">
        <w:rPr>
          <w:rFonts w:ascii="Times New Roman" w:hAnsi="Times New Roman" w:cs="Times New Roman"/>
          <w:sz w:val="24"/>
          <w:szCs w:val="24"/>
          <w:lang w:val="ro-RO"/>
        </w:rPr>
        <w:t>bunuri</w:t>
      </w:r>
      <w:r w:rsidRPr="00E5084E">
        <w:rPr>
          <w:rFonts w:ascii="Times New Roman" w:hAnsi="Times New Roman" w:cs="Times New Roman"/>
          <w:sz w:val="24"/>
          <w:szCs w:val="24"/>
          <w:lang w:val="ro-RO"/>
        </w:rPr>
        <w:t xml:space="preserve"> și deficitul </w:t>
      </w:r>
      <w:r w:rsidR="00B40C7D">
        <w:rPr>
          <w:rFonts w:ascii="Times New Roman" w:hAnsi="Times New Roman" w:cs="Times New Roman"/>
          <w:sz w:val="24"/>
          <w:szCs w:val="24"/>
          <w:lang w:val="ro-RO"/>
        </w:rPr>
        <w:t xml:space="preserve">mic de servicii înregistrate de </w:t>
      </w:r>
      <w:r w:rsidRPr="00E5084E">
        <w:rPr>
          <w:rFonts w:ascii="Times New Roman" w:hAnsi="Times New Roman" w:cs="Times New Roman"/>
          <w:sz w:val="24"/>
          <w:szCs w:val="24"/>
          <w:lang w:val="ro-RO"/>
        </w:rPr>
        <w:t xml:space="preserve">Africa de Sud </w:t>
      </w:r>
      <w:r w:rsidR="00B40C7D">
        <w:rPr>
          <w:rFonts w:ascii="Times New Roman" w:hAnsi="Times New Roman" w:cs="Times New Roman"/>
          <w:sz w:val="24"/>
          <w:szCs w:val="24"/>
          <w:lang w:val="ro-RO"/>
        </w:rPr>
        <w:t>au determinat</w:t>
      </w:r>
      <w:r w:rsidRPr="00E5084E">
        <w:rPr>
          <w:rFonts w:ascii="Times New Roman" w:hAnsi="Times New Roman" w:cs="Times New Roman"/>
          <w:sz w:val="24"/>
          <w:szCs w:val="24"/>
          <w:lang w:val="ro-RO"/>
        </w:rPr>
        <w:t xml:space="preserve"> un deficit total echivalentul a 10,3% din PIB, mai ma</w:t>
      </w:r>
      <w:r w:rsidR="008E74BD">
        <w:rPr>
          <w:rFonts w:ascii="Times New Roman" w:hAnsi="Times New Roman" w:cs="Times New Roman"/>
          <w:sz w:val="24"/>
          <w:szCs w:val="24"/>
          <w:lang w:val="ro-RO"/>
        </w:rPr>
        <w:t>re în termeni relativi decât cel pentru India (-9,7%) și Turcia (-7,</w:t>
      </w:r>
      <w:r w:rsidRPr="00E5084E">
        <w:rPr>
          <w:rFonts w:ascii="Times New Roman" w:hAnsi="Times New Roman" w:cs="Times New Roman"/>
          <w:sz w:val="24"/>
          <w:szCs w:val="24"/>
          <w:lang w:val="ro-RO"/>
        </w:rPr>
        <w:t>9%).</w:t>
      </w:r>
    </w:p>
    <w:p w:rsidR="001723F6" w:rsidRPr="00D57FA0" w:rsidRDefault="00E5084E" w:rsidP="00F605F2">
      <w:pPr>
        <w:spacing w:after="0" w:line="240" w:lineRule="auto"/>
        <w:ind w:firstLine="720"/>
        <w:jc w:val="both"/>
        <w:rPr>
          <w:rFonts w:ascii="Times New Roman" w:hAnsi="Times New Roman" w:cs="Times New Roman"/>
          <w:sz w:val="24"/>
          <w:szCs w:val="24"/>
          <w:lang w:val="ro-RO"/>
        </w:rPr>
      </w:pPr>
      <w:r w:rsidRPr="00E5084E">
        <w:rPr>
          <w:rFonts w:ascii="Times New Roman" w:hAnsi="Times New Roman" w:cs="Times New Roman"/>
          <w:sz w:val="24"/>
          <w:szCs w:val="24"/>
          <w:lang w:val="ro-RO"/>
        </w:rPr>
        <w:t xml:space="preserve">UE a înregistrat un excedent comercial de 147 </w:t>
      </w:r>
      <w:r w:rsidR="00340AE0">
        <w:rPr>
          <w:rFonts w:ascii="Times New Roman" w:hAnsi="Times New Roman" w:cs="Times New Roman"/>
          <w:sz w:val="24"/>
          <w:szCs w:val="24"/>
          <w:lang w:val="ro-RO"/>
        </w:rPr>
        <w:t>miliarde € în 2012, cu un deficit</w:t>
      </w:r>
      <w:r w:rsidRPr="00E5084E">
        <w:rPr>
          <w:rFonts w:ascii="Times New Roman" w:hAnsi="Times New Roman" w:cs="Times New Roman"/>
          <w:sz w:val="24"/>
          <w:szCs w:val="24"/>
          <w:lang w:val="ro-RO"/>
        </w:rPr>
        <w:t xml:space="preserve"> comercial pentru bunuri și un e</w:t>
      </w:r>
      <w:r w:rsidR="00340AE0">
        <w:rPr>
          <w:rFonts w:ascii="Times New Roman" w:hAnsi="Times New Roman" w:cs="Times New Roman"/>
          <w:sz w:val="24"/>
          <w:szCs w:val="24"/>
          <w:lang w:val="ro-RO"/>
        </w:rPr>
        <w:t>xcedent comercial înregistrat pentru</w:t>
      </w:r>
      <w:r w:rsidRPr="00E5084E">
        <w:rPr>
          <w:rFonts w:ascii="Times New Roman" w:hAnsi="Times New Roman" w:cs="Times New Roman"/>
          <w:sz w:val="24"/>
          <w:szCs w:val="24"/>
          <w:lang w:val="ro-RO"/>
        </w:rPr>
        <w:t xml:space="preserve"> servicii.</w:t>
      </w:r>
      <w:r w:rsidR="00340AE0">
        <w:rPr>
          <w:rFonts w:ascii="Times New Roman" w:hAnsi="Times New Roman" w:cs="Times New Roman"/>
          <w:sz w:val="24"/>
          <w:szCs w:val="24"/>
          <w:lang w:val="ro-RO"/>
        </w:rPr>
        <w:t xml:space="preserve"> </w:t>
      </w:r>
      <w:r w:rsidRPr="00E5084E">
        <w:rPr>
          <w:rFonts w:ascii="Times New Roman" w:hAnsi="Times New Roman" w:cs="Times New Roman"/>
          <w:sz w:val="24"/>
          <w:szCs w:val="24"/>
          <w:lang w:val="ro-RO"/>
        </w:rPr>
        <w:t>Statele Unite ale Americii a</w:t>
      </w:r>
      <w:r w:rsidR="005C1756">
        <w:rPr>
          <w:rFonts w:ascii="Times New Roman" w:hAnsi="Times New Roman" w:cs="Times New Roman"/>
          <w:sz w:val="24"/>
          <w:szCs w:val="24"/>
          <w:lang w:val="ro-RO"/>
        </w:rPr>
        <w:t>u</w:t>
      </w:r>
      <w:r w:rsidRPr="00E5084E">
        <w:rPr>
          <w:rFonts w:ascii="Times New Roman" w:hAnsi="Times New Roman" w:cs="Times New Roman"/>
          <w:sz w:val="24"/>
          <w:szCs w:val="24"/>
          <w:lang w:val="ro-RO"/>
        </w:rPr>
        <w:t xml:space="preserve"> înregistrat a</w:t>
      </w:r>
      <w:r w:rsidR="005C1756">
        <w:rPr>
          <w:rFonts w:ascii="Times New Roman" w:hAnsi="Times New Roman" w:cs="Times New Roman"/>
          <w:sz w:val="24"/>
          <w:szCs w:val="24"/>
          <w:lang w:val="ro-RO"/>
        </w:rPr>
        <w:t>l doilea</w:t>
      </w:r>
      <w:r w:rsidRPr="00E5084E">
        <w:rPr>
          <w:rFonts w:ascii="Times New Roman" w:hAnsi="Times New Roman" w:cs="Times New Roman"/>
          <w:sz w:val="24"/>
          <w:szCs w:val="24"/>
          <w:lang w:val="ro-RO"/>
        </w:rPr>
        <w:t xml:space="preserve"> cea mai mare excedentul comercial pentru servicii, în valoare de 128 miliarde €. </w:t>
      </w:r>
      <w:r w:rsidRPr="00E5084E">
        <w:rPr>
          <w:rFonts w:ascii="Times New Roman" w:hAnsi="Times New Roman" w:cs="Times New Roman"/>
          <w:sz w:val="24"/>
          <w:szCs w:val="24"/>
          <w:lang w:val="ro-RO"/>
        </w:rPr>
        <w:lastRenderedPageBreak/>
        <w:t>O pondere rel</w:t>
      </w:r>
      <w:r w:rsidR="005C1756">
        <w:rPr>
          <w:rFonts w:ascii="Times New Roman" w:hAnsi="Times New Roman" w:cs="Times New Roman"/>
          <w:sz w:val="24"/>
          <w:szCs w:val="24"/>
          <w:lang w:val="ro-RO"/>
        </w:rPr>
        <w:t>ativ ridicată a comerțului UE cu</w:t>
      </w:r>
      <w:r w:rsidRPr="00E5084E">
        <w:rPr>
          <w:rFonts w:ascii="Times New Roman" w:hAnsi="Times New Roman" w:cs="Times New Roman"/>
          <w:sz w:val="24"/>
          <w:szCs w:val="24"/>
          <w:lang w:val="ro-RO"/>
        </w:rPr>
        <w:t xml:space="preserve"> servicii a fost cu Statele Unite, care este un i</w:t>
      </w:r>
      <w:r w:rsidR="005C1756">
        <w:rPr>
          <w:rFonts w:ascii="Times New Roman" w:hAnsi="Times New Roman" w:cs="Times New Roman"/>
          <w:sz w:val="24"/>
          <w:szCs w:val="24"/>
          <w:lang w:val="ro-RO"/>
        </w:rPr>
        <w:t>mportant partener comercial</w:t>
      </w:r>
      <w:r w:rsidRPr="00E5084E">
        <w:rPr>
          <w:rFonts w:ascii="Times New Roman" w:hAnsi="Times New Roman" w:cs="Times New Roman"/>
          <w:sz w:val="24"/>
          <w:szCs w:val="24"/>
          <w:lang w:val="ro-RO"/>
        </w:rPr>
        <w:t xml:space="preserve"> al Uniunii Europene.</w:t>
      </w:r>
      <w:r w:rsidR="00E30C04" w:rsidRPr="00D57FA0">
        <w:rPr>
          <w:rFonts w:ascii="Times New Roman" w:hAnsi="Times New Roman" w:cs="Times New Roman"/>
          <w:sz w:val="24"/>
          <w:szCs w:val="24"/>
          <w:lang w:val="ro-RO"/>
        </w:rPr>
        <w:t xml:space="preserve"> </w:t>
      </w:r>
    </w:p>
    <w:p w:rsidR="00A363E0" w:rsidRPr="00D57FA0" w:rsidRDefault="00A363E0" w:rsidP="00F605F2">
      <w:pPr>
        <w:spacing w:after="0" w:line="240" w:lineRule="auto"/>
        <w:ind w:firstLine="720"/>
        <w:jc w:val="both"/>
        <w:rPr>
          <w:rFonts w:ascii="Times New Roman" w:hAnsi="Times New Roman" w:cs="Times New Roman"/>
          <w:sz w:val="24"/>
          <w:szCs w:val="24"/>
          <w:lang w:val="ro-RO"/>
        </w:rPr>
      </w:pPr>
    </w:p>
    <w:p w:rsidR="00E30C04" w:rsidRPr="00D57FA0" w:rsidRDefault="00E30C04" w:rsidP="00F605F2">
      <w:pPr>
        <w:spacing w:after="0" w:line="240" w:lineRule="auto"/>
        <w:jc w:val="both"/>
        <w:rPr>
          <w:rFonts w:ascii="Times New Roman" w:hAnsi="Times New Roman" w:cs="Times New Roman"/>
          <w:sz w:val="24"/>
          <w:szCs w:val="24"/>
          <w:lang w:val="ro-RO"/>
        </w:rPr>
      </w:pPr>
      <w:r w:rsidRPr="00D57FA0">
        <w:rPr>
          <w:noProof/>
        </w:rPr>
        <w:drawing>
          <wp:anchor distT="0" distB="0" distL="114300" distR="114300" simplePos="0" relativeHeight="251661312" behindDoc="1" locked="0" layoutInCell="1" allowOverlap="1" wp14:anchorId="52CD9B33" wp14:editId="34C7CB7F">
            <wp:simplePos x="0" y="0"/>
            <wp:positionH relativeFrom="margin">
              <wp:posOffset>613410</wp:posOffset>
            </wp:positionH>
            <wp:positionV relativeFrom="paragraph">
              <wp:posOffset>9525</wp:posOffset>
            </wp:positionV>
            <wp:extent cx="5019675" cy="2533650"/>
            <wp:effectExtent l="0" t="0" r="9525" b="0"/>
            <wp:wrapTight wrapText="bothSides">
              <wp:wrapPolygon edited="0">
                <wp:start x="0" y="0"/>
                <wp:lineTo x="0" y="21438"/>
                <wp:lineTo x="21559" y="21438"/>
                <wp:lineTo x="21559"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E30C04" w:rsidRPr="00D57FA0" w:rsidRDefault="00E30C04" w:rsidP="00F605F2">
      <w:pPr>
        <w:spacing w:after="0" w:line="240" w:lineRule="auto"/>
        <w:jc w:val="both"/>
        <w:rPr>
          <w:rFonts w:ascii="Times New Roman" w:hAnsi="Times New Roman" w:cs="Times New Roman"/>
          <w:sz w:val="24"/>
          <w:szCs w:val="24"/>
          <w:lang w:val="ro-RO"/>
        </w:rPr>
      </w:pPr>
    </w:p>
    <w:p w:rsidR="00E30C04" w:rsidRPr="00D57FA0" w:rsidRDefault="00E30C04" w:rsidP="00F605F2">
      <w:pPr>
        <w:spacing w:after="0" w:line="240" w:lineRule="auto"/>
        <w:rPr>
          <w:rFonts w:ascii="Times New Roman" w:hAnsi="Times New Roman" w:cs="Times New Roman"/>
          <w:sz w:val="24"/>
          <w:szCs w:val="24"/>
          <w:lang w:val="ro-RO"/>
        </w:rPr>
      </w:pPr>
    </w:p>
    <w:p w:rsidR="00E30C04" w:rsidRPr="00D57FA0" w:rsidRDefault="00E30C04" w:rsidP="00F605F2">
      <w:pPr>
        <w:spacing w:after="0" w:line="240" w:lineRule="auto"/>
        <w:rPr>
          <w:rFonts w:ascii="Times New Roman" w:hAnsi="Times New Roman" w:cs="Times New Roman"/>
          <w:sz w:val="24"/>
          <w:szCs w:val="24"/>
          <w:lang w:val="ro-RO"/>
        </w:rPr>
      </w:pPr>
    </w:p>
    <w:p w:rsidR="00E30C04" w:rsidRPr="00D57FA0" w:rsidRDefault="00E30C04" w:rsidP="00F605F2">
      <w:pPr>
        <w:spacing w:after="0" w:line="240" w:lineRule="auto"/>
        <w:rPr>
          <w:rFonts w:ascii="Times New Roman" w:hAnsi="Times New Roman" w:cs="Times New Roman"/>
          <w:sz w:val="24"/>
          <w:szCs w:val="24"/>
          <w:lang w:val="ro-RO"/>
        </w:rPr>
      </w:pPr>
    </w:p>
    <w:p w:rsidR="00E30C04" w:rsidRPr="00D57FA0" w:rsidRDefault="00E30C04" w:rsidP="00F605F2">
      <w:pPr>
        <w:spacing w:after="0" w:line="240" w:lineRule="auto"/>
        <w:rPr>
          <w:rFonts w:ascii="Times New Roman" w:hAnsi="Times New Roman" w:cs="Times New Roman"/>
          <w:sz w:val="24"/>
          <w:szCs w:val="24"/>
          <w:lang w:val="ro-RO"/>
        </w:rPr>
      </w:pPr>
    </w:p>
    <w:p w:rsidR="00E30C04" w:rsidRPr="00D57FA0" w:rsidRDefault="00E30C04" w:rsidP="00F605F2">
      <w:pPr>
        <w:spacing w:after="0" w:line="240" w:lineRule="auto"/>
        <w:rPr>
          <w:rFonts w:ascii="Times New Roman" w:hAnsi="Times New Roman" w:cs="Times New Roman"/>
          <w:sz w:val="24"/>
          <w:szCs w:val="24"/>
          <w:lang w:val="ro-RO"/>
        </w:rPr>
      </w:pPr>
    </w:p>
    <w:p w:rsidR="00E30C04" w:rsidRPr="00D57FA0" w:rsidRDefault="00E30C04" w:rsidP="00F605F2">
      <w:pPr>
        <w:spacing w:after="0" w:line="240" w:lineRule="auto"/>
        <w:rPr>
          <w:rFonts w:ascii="Times New Roman" w:hAnsi="Times New Roman" w:cs="Times New Roman"/>
          <w:sz w:val="24"/>
          <w:szCs w:val="24"/>
          <w:lang w:val="ro-RO"/>
        </w:rPr>
      </w:pPr>
    </w:p>
    <w:p w:rsidR="00E30C04" w:rsidRPr="00D57FA0" w:rsidRDefault="00E30C04" w:rsidP="00F605F2">
      <w:pPr>
        <w:spacing w:after="0" w:line="240" w:lineRule="auto"/>
        <w:rPr>
          <w:rFonts w:ascii="Times New Roman" w:hAnsi="Times New Roman" w:cs="Times New Roman"/>
          <w:sz w:val="24"/>
          <w:szCs w:val="24"/>
          <w:lang w:val="ro-RO"/>
        </w:rPr>
      </w:pPr>
    </w:p>
    <w:p w:rsidR="00E30C04" w:rsidRPr="00D57FA0" w:rsidRDefault="00E30C04" w:rsidP="00F605F2">
      <w:pPr>
        <w:spacing w:after="0" w:line="240" w:lineRule="auto"/>
        <w:rPr>
          <w:rFonts w:ascii="Times New Roman" w:hAnsi="Times New Roman" w:cs="Times New Roman"/>
          <w:sz w:val="24"/>
          <w:szCs w:val="24"/>
          <w:lang w:val="ro-RO"/>
        </w:rPr>
      </w:pPr>
    </w:p>
    <w:p w:rsidR="009C4347" w:rsidRPr="00D57FA0" w:rsidRDefault="009C4347" w:rsidP="00F605F2">
      <w:pPr>
        <w:spacing w:after="0" w:line="240" w:lineRule="auto"/>
        <w:rPr>
          <w:rFonts w:ascii="Times New Roman" w:hAnsi="Times New Roman" w:cs="Times New Roman"/>
          <w:b/>
          <w:sz w:val="24"/>
          <w:szCs w:val="24"/>
          <w:lang w:val="ro-RO"/>
        </w:rPr>
      </w:pPr>
    </w:p>
    <w:p w:rsidR="009C4347" w:rsidRPr="00D57FA0" w:rsidRDefault="009C4347" w:rsidP="00F605F2">
      <w:pPr>
        <w:spacing w:after="0" w:line="240" w:lineRule="auto"/>
        <w:rPr>
          <w:rFonts w:ascii="Times New Roman" w:hAnsi="Times New Roman" w:cs="Times New Roman"/>
          <w:b/>
          <w:sz w:val="24"/>
          <w:szCs w:val="24"/>
          <w:lang w:val="ro-RO"/>
        </w:rPr>
      </w:pPr>
    </w:p>
    <w:p w:rsidR="009C4347" w:rsidRPr="00D57FA0" w:rsidRDefault="009C4347" w:rsidP="00F605F2">
      <w:pPr>
        <w:spacing w:after="0" w:line="240" w:lineRule="auto"/>
        <w:rPr>
          <w:rFonts w:ascii="Times New Roman" w:hAnsi="Times New Roman" w:cs="Times New Roman"/>
          <w:b/>
          <w:sz w:val="24"/>
          <w:szCs w:val="24"/>
          <w:lang w:val="ro-RO"/>
        </w:rPr>
      </w:pPr>
    </w:p>
    <w:p w:rsidR="009C4347" w:rsidRPr="00D57FA0" w:rsidRDefault="009C4347" w:rsidP="00F605F2">
      <w:pPr>
        <w:spacing w:after="0" w:line="240" w:lineRule="auto"/>
        <w:rPr>
          <w:rFonts w:ascii="Times New Roman" w:hAnsi="Times New Roman" w:cs="Times New Roman"/>
          <w:b/>
          <w:sz w:val="24"/>
          <w:szCs w:val="24"/>
          <w:lang w:val="ro-RO"/>
        </w:rPr>
      </w:pPr>
    </w:p>
    <w:p w:rsidR="009C4347" w:rsidRPr="00D57FA0" w:rsidRDefault="009C4347" w:rsidP="00F605F2">
      <w:pPr>
        <w:spacing w:after="0" w:line="240" w:lineRule="auto"/>
        <w:rPr>
          <w:rFonts w:ascii="Times New Roman" w:hAnsi="Times New Roman" w:cs="Times New Roman"/>
          <w:b/>
          <w:sz w:val="24"/>
          <w:szCs w:val="24"/>
          <w:lang w:val="ro-RO"/>
        </w:rPr>
      </w:pPr>
    </w:p>
    <w:p w:rsidR="007F36C3" w:rsidRDefault="007F36C3" w:rsidP="009C4347">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Figura nr. 3. P</w:t>
      </w:r>
      <w:r w:rsidRPr="007F36C3">
        <w:rPr>
          <w:rFonts w:ascii="Times New Roman" w:hAnsi="Times New Roman" w:cs="Times New Roman"/>
          <w:b/>
          <w:sz w:val="24"/>
          <w:szCs w:val="24"/>
          <w:lang w:val="ro-RO"/>
        </w:rPr>
        <w:t>arteneri</w:t>
      </w:r>
      <w:r w:rsidR="00E112F4">
        <w:rPr>
          <w:rFonts w:ascii="Times New Roman" w:hAnsi="Times New Roman" w:cs="Times New Roman"/>
          <w:b/>
          <w:sz w:val="24"/>
          <w:szCs w:val="24"/>
          <w:lang w:val="ro-RO"/>
        </w:rPr>
        <w:t>i comerciali G20 privind exporturile</w:t>
      </w:r>
      <w:r w:rsidRPr="007F36C3">
        <w:rPr>
          <w:rFonts w:ascii="Times New Roman" w:hAnsi="Times New Roman" w:cs="Times New Roman"/>
          <w:b/>
          <w:sz w:val="24"/>
          <w:szCs w:val="24"/>
          <w:lang w:val="ro-RO"/>
        </w:rPr>
        <w:t xml:space="preserve"> și importurile de servicii</w:t>
      </w:r>
      <w:r w:rsidR="00E112F4">
        <w:rPr>
          <w:rFonts w:ascii="Times New Roman" w:hAnsi="Times New Roman" w:cs="Times New Roman"/>
          <w:b/>
          <w:sz w:val="24"/>
          <w:szCs w:val="24"/>
          <w:lang w:val="ro-RO"/>
        </w:rPr>
        <w:t xml:space="preserve"> ale UE, în 2012 (ponderea</w:t>
      </w:r>
      <w:r w:rsidRPr="007F36C3">
        <w:rPr>
          <w:rFonts w:ascii="Times New Roman" w:hAnsi="Times New Roman" w:cs="Times New Roman"/>
          <w:b/>
          <w:sz w:val="24"/>
          <w:szCs w:val="24"/>
          <w:lang w:val="ro-RO"/>
        </w:rPr>
        <w:t xml:space="preserve"> din exporturile extra-UE)</w:t>
      </w:r>
    </w:p>
    <w:p w:rsidR="009C4347" w:rsidRDefault="007F36C3" w:rsidP="00E96E4C">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Sursa: P</w:t>
      </w:r>
      <w:r w:rsidRPr="007F36C3">
        <w:rPr>
          <w:rFonts w:ascii="Times New Roman" w:hAnsi="Times New Roman" w:cs="Times New Roman"/>
          <w:sz w:val="20"/>
          <w:szCs w:val="20"/>
          <w:lang w:val="ro-RO"/>
        </w:rPr>
        <w:t>relucrare proprie după baza de date Eurostat</w:t>
      </w:r>
    </w:p>
    <w:p w:rsidR="007F36C3" w:rsidRPr="00D57FA0" w:rsidRDefault="007F36C3" w:rsidP="007F36C3">
      <w:pPr>
        <w:spacing w:after="0" w:line="240" w:lineRule="auto"/>
        <w:ind w:firstLine="720"/>
        <w:jc w:val="center"/>
        <w:rPr>
          <w:rFonts w:ascii="Times New Roman" w:hAnsi="Times New Roman" w:cs="Times New Roman"/>
          <w:sz w:val="24"/>
          <w:szCs w:val="24"/>
          <w:lang w:val="ro-RO"/>
        </w:rPr>
      </w:pPr>
    </w:p>
    <w:p w:rsidR="00001F25" w:rsidRDefault="00945FE4" w:rsidP="00F605F2">
      <w:pPr>
        <w:spacing w:after="0" w:line="240" w:lineRule="auto"/>
        <w:ind w:firstLine="720"/>
        <w:jc w:val="both"/>
        <w:rPr>
          <w:rFonts w:ascii="Times New Roman" w:hAnsi="Times New Roman" w:cs="Times New Roman"/>
          <w:sz w:val="24"/>
          <w:szCs w:val="24"/>
          <w:lang w:val="ro-RO"/>
        </w:rPr>
      </w:pPr>
      <w:r w:rsidRPr="00945FE4">
        <w:rPr>
          <w:rFonts w:ascii="Times New Roman" w:hAnsi="Times New Roman" w:cs="Times New Roman"/>
          <w:sz w:val="24"/>
          <w:szCs w:val="24"/>
          <w:lang w:val="ro-RO"/>
        </w:rPr>
        <w:t xml:space="preserve">Pentru a încheia această secțiune a lucrării de față, am ales </w:t>
      </w:r>
      <w:r w:rsidR="004D42C1">
        <w:rPr>
          <w:rFonts w:ascii="Times New Roman" w:hAnsi="Times New Roman" w:cs="Times New Roman"/>
          <w:sz w:val="24"/>
          <w:szCs w:val="24"/>
          <w:lang w:val="ro-RO"/>
        </w:rPr>
        <w:t>să arătăm</w:t>
      </w:r>
      <w:r w:rsidRPr="00945FE4">
        <w:rPr>
          <w:rFonts w:ascii="Times New Roman" w:hAnsi="Times New Roman" w:cs="Times New Roman"/>
          <w:sz w:val="24"/>
          <w:szCs w:val="24"/>
          <w:lang w:val="ro-RO"/>
        </w:rPr>
        <w:t xml:space="preserve"> relați</w:t>
      </w:r>
      <w:r w:rsidR="004D42C1">
        <w:rPr>
          <w:rFonts w:ascii="Times New Roman" w:hAnsi="Times New Roman" w:cs="Times New Roman"/>
          <w:sz w:val="24"/>
          <w:szCs w:val="24"/>
          <w:lang w:val="ro-RO"/>
        </w:rPr>
        <w:t>a comercială a UE cu lumea în calitate de</w:t>
      </w:r>
      <w:r w:rsidRPr="00945FE4">
        <w:rPr>
          <w:rFonts w:ascii="Times New Roman" w:hAnsi="Times New Roman" w:cs="Times New Roman"/>
          <w:sz w:val="24"/>
          <w:szCs w:val="24"/>
          <w:lang w:val="ro-RO"/>
        </w:rPr>
        <w:t xml:space="preserve"> partener comercial. Din </w:t>
      </w:r>
      <w:r w:rsidR="008959F6">
        <w:rPr>
          <w:rFonts w:ascii="Times New Roman" w:hAnsi="Times New Roman" w:cs="Times New Roman"/>
          <w:sz w:val="24"/>
          <w:szCs w:val="24"/>
          <w:lang w:val="ro-RO"/>
        </w:rPr>
        <w:t xml:space="preserve">analiza </w:t>
      </w:r>
      <w:r w:rsidRPr="00945FE4">
        <w:rPr>
          <w:rFonts w:ascii="Times New Roman" w:hAnsi="Times New Roman" w:cs="Times New Roman"/>
          <w:sz w:val="24"/>
          <w:szCs w:val="24"/>
          <w:lang w:val="ro-RO"/>
        </w:rPr>
        <w:t xml:space="preserve">de </w:t>
      </w:r>
      <w:r w:rsidR="004D42C1">
        <w:rPr>
          <w:rFonts w:ascii="Times New Roman" w:hAnsi="Times New Roman" w:cs="Times New Roman"/>
          <w:sz w:val="24"/>
          <w:szCs w:val="24"/>
          <w:lang w:val="ro-RO"/>
        </w:rPr>
        <w:t>mai sus (F</w:t>
      </w:r>
      <w:r w:rsidRPr="00945FE4">
        <w:rPr>
          <w:rFonts w:ascii="Times New Roman" w:hAnsi="Times New Roman" w:cs="Times New Roman"/>
          <w:sz w:val="24"/>
          <w:szCs w:val="24"/>
          <w:lang w:val="ro-RO"/>
        </w:rPr>
        <w:t>igura nr. 3)</w:t>
      </w:r>
      <w:r w:rsidR="008959F6">
        <w:rPr>
          <w:rFonts w:ascii="Times New Roman" w:hAnsi="Times New Roman" w:cs="Times New Roman"/>
          <w:sz w:val="24"/>
          <w:szCs w:val="24"/>
          <w:lang w:val="ro-RO"/>
        </w:rPr>
        <w:t xml:space="preserve"> </w:t>
      </w:r>
      <w:r w:rsidRPr="00945FE4">
        <w:rPr>
          <w:rFonts w:ascii="Times New Roman" w:hAnsi="Times New Roman" w:cs="Times New Roman"/>
          <w:sz w:val="24"/>
          <w:szCs w:val="24"/>
          <w:lang w:val="ro-RO"/>
        </w:rPr>
        <w:t xml:space="preserve">a partenerilor comerciali ai UE, putem vedea importanța Statelor Unite (cu 29%), ca un partener comercial al UE în servicii, în 2012. Potrivit Eurostat, acest </w:t>
      </w:r>
      <w:r w:rsidR="008959F6">
        <w:rPr>
          <w:rFonts w:ascii="Times New Roman" w:hAnsi="Times New Roman" w:cs="Times New Roman"/>
          <w:sz w:val="24"/>
          <w:szCs w:val="24"/>
          <w:lang w:val="ro-RO"/>
        </w:rPr>
        <w:t>procent</w:t>
      </w:r>
      <w:r w:rsidR="000B2F48">
        <w:rPr>
          <w:rFonts w:ascii="Times New Roman" w:hAnsi="Times New Roman" w:cs="Times New Roman"/>
          <w:sz w:val="24"/>
          <w:szCs w:val="24"/>
          <w:lang w:val="ro-RO"/>
        </w:rPr>
        <w:t xml:space="preserve"> este </w:t>
      </w:r>
      <w:r w:rsidRPr="00945FE4">
        <w:rPr>
          <w:rFonts w:ascii="Times New Roman" w:hAnsi="Times New Roman" w:cs="Times New Roman"/>
          <w:sz w:val="24"/>
          <w:szCs w:val="24"/>
          <w:lang w:val="ro-RO"/>
        </w:rPr>
        <w:t>mai mare decât a fost pentru bunuri, în timp ce invers era valabil pentru China și Rusia. De asemenea, Elveția a fost un partener important pentru comerțul cu servicii (aproximativ 12%), cu o pondere mai mare decât cea înregistrată pentru Rusia, China și Japonia combinate (10%).</w:t>
      </w:r>
    </w:p>
    <w:p w:rsidR="00945FE4" w:rsidRPr="00D57FA0" w:rsidRDefault="00945FE4" w:rsidP="00F605F2">
      <w:pPr>
        <w:spacing w:after="0" w:line="240" w:lineRule="auto"/>
        <w:ind w:firstLine="720"/>
        <w:jc w:val="both"/>
        <w:rPr>
          <w:rFonts w:ascii="Times New Roman" w:hAnsi="Times New Roman" w:cs="Times New Roman"/>
          <w:sz w:val="24"/>
          <w:szCs w:val="24"/>
          <w:lang w:val="ro-RO"/>
        </w:rPr>
      </w:pPr>
    </w:p>
    <w:p w:rsidR="008518F0" w:rsidRPr="00D57FA0" w:rsidRDefault="00EF0654" w:rsidP="00F605F2">
      <w:pPr>
        <w:spacing w:after="0" w:line="240" w:lineRule="auto"/>
        <w:ind w:firstLine="720"/>
        <w:jc w:val="both"/>
        <w:rPr>
          <w:rFonts w:ascii="Times New Roman" w:hAnsi="Times New Roman" w:cs="Times New Roman"/>
          <w:b/>
          <w:sz w:val="24"/>
          <w:szCs w:val="24"/>
          <w:lang w:val="ro-RO"/>
        </w:rPr>
      </w:pPr>
      <w:r w:rsidRPr="00D57FA0">
        <w:rPr>
          <w:rFonts w:ascii="Times New Roman" w:hAnsi="Times New Roman" w:cs="Times New Roman"/>
          <w:b/>
          <w:sz w:val="24"/>
          <w:szCs w:val="24"/>
          <w:lang w:val="ro-RO"/>
        </w:rPr>
        <w:t xml:space="preserve">3. </w:t>
      </w:r>
      <w:r w:rsidR="00460156" w:rsidRPr="00D57FA0">
        <w:rPr>
          <w:rFonts w:ascii="Times New Roman" w:hAnsi="Times New Roman" w:cs="Times New Roman"/>
          <w:b/>
          <w:sz w:val="24"/>
          <w:szCs w:val="24"/>
          <w:lang w:val="ro-RO"/>
        </w:rPr>
        <w:t>TI</w:t>
      </w:r>
      <w:r w:rsidR="00E836B4" w:rsidRPr="00D57FA0">
        <w:rPr>
          <w:rFonts w:ascii="Times New Roman" w:hAnsi="Times New Roman" w:cs="Times New Roman"/>
          <w:b/>
          <w:sz w:val="24"/>
          <w:szCs w:val="24"/>
          <w:lang w:val="ro-RO"/>
        </w:rPr>
        <w:t xml:space="preserve">SA: </w:t>
      </w:r>
      <w:r w:rsidR="00455195">
        <w:rPr>
          <w:rFonts w:ascii="Times New Roman" w:hAnsi="Times New Roman" w:cs="Times New Roman"/>
          <w:b/>
          <w:sz w:val="24"/>
          <w:szCs w:val="24"/>
          <w:lang w:val="ro-RO"/>
        </w:rPr>
        <w:t>UN NIVEL N</w:t>
      </w:r>
      <w:r w:rsidR="00907045">
        <w:rPr>
          <w:rFonts w:ascii="Times New Roman" w:hAnsi="Times New Roman" w:cs="Times New Roman"/>
          <w:b/>
          <w:sz w:val="24"/>
          <w:szCs w:val="24"/>
          <w:lang w:val="ro-RO"/>
        </w:rPr>
        <w:t xml:space="preserve">OU AL COMERȚULUI </w:t>
      </w:r>
      <w:r w:rsidR="00455195">
        <w:rPr>
          <w:rFonts w:ascii="Times New Roman" w:hAnsi="Times New Roman" w:cs="Times New Roman"/>
          <w:b/>
          <w:sz w:val="24"/>
          <w:szCs w:val="24"/>
          <w:lang w:val="ro-RO"/>
        </w:rPr>
        <w:t>INTERNAȚIONAL CU SERVICII</w:t>
      </w:r>
    </w:p>
    <w:p w:rsidR="00D840B3" w:rsidRPr="00D57FA0" w:rsidRDefault="00D840B3" w:rsidP="00F605F2">
      <w:pPr>
        <w:spacing w:after="0" w:line="240" w:lineRule="auto"/>
        <w:ind w:firstLine="720"/>
        <w:jc w:val="both"/>
        <w:rPr>
          <w:rFonts w:ascii="Times New Roman" w:hAnsi="Times New Roman" w:cs="Times New Roman"/>
          <w:sz w:val="24"/>
          <w:szCs w:val="24"/>
          <w:lang w:val="ro-RO"/>
        </w:rPr>
      </w:pPr>
    </w:p>
    <w:p w:rsidR="00541B38" w:rsidRDefault="00541B38" w:rsidP="0091479A">
      <w:pPr>
        <w:spacing w:after="0" w:line="240" w:lineRule="auto"/>
        <w:ind w:firstLine="720"/>
        <w:jc w:val="both"/>
        <w:rPr>
          <w:rFonts w:ascii="Times New Roman" w:hAnsi="Times New Roman" w:cs="Times New Roman"/>
          <w:sz w:val="24"/>
          <w:szCs w:val="24"/>
          <w:lang w:val="ro-RO"/>
        </w:rPr>
      </w:pPr>
      <w:r w:rsidRPr="00541B38">
        <w:rPr>
          <w:rFonts w:ascii="Times New Roman" w:hAnsi="Times New Roman" w:cs="Times New Roman"/>
          <w:sz w:val="24"/>
          <w:szCs w:val="24"/>
          <w:lang w:val="ro-RO"/>
        </w:rPr>
        <w:t xml:space="preserve">În </w:t>
      </w:r>
      <w:r w:rsidR="007361E9" w:rsidRPr="00541B38">
        <w:rPr>
          <w:rFonts w:ascii="Times New Roman" w:hAnsi="Times New Roman" w:cs="Times New Roman"/>
          <w:sz w:val="24"/>
          <w:szCs w:val="24"/>
          <w:lang w:val="ro-RO"/>
        </w:rPr>
        <w:t>analiza</w:t>
      </w:r>
      <w:r w:rsidRPr="00541B38">
        <w:rPr>
          <w:rFonts w:ascii="Times New Roman" w:hAnsi="Times New Roman" w:cs="Times New Roman"/>
          <w:sz w:val="24"/>
          <w:szCs w:val="24"/>
          <w:lang w:val="ro-RO"/>
        </w:rPr>
        <w:t xml:space="preserve"> de mai sus a comerțului internațional cu servicii și bunuri, am văzut că serviciile reprezintă mai puțin de 50% din bunuri în raport cu PIB în 2012, sectorul serviciilor sunt un </w:t>
      </w:r>
      <w:r w:rsidR="00B433FD">
        <w:rPr>
          <w:rFonts w:ascii="Times New Roman" w:hAnsi="Times New Roman" w:cs="Times New Roman"/>
          <w:sz w:val="24"/>
          <w:szCs w:val="24"/>
          <w:lang w:val="ro-RO"/>
        </w:rPr>
        <w:t xml:space="preserve">subient </w:t>
      </w:r>
      <w:r w:rsidRPr="00541B38">
        <w:rPr>
          <w:rFonts w:ascii="Times New Roman" w:hAnsi="Times New Roman" w:cs="Times New Roman"/>
          <w:sz w:val="24"/>
          <w:szCs w:val="24"/>
          <w:lang w:val="ro-RO"/>
        </w:rPr>
        <w:t xml:space="preserve">important și esențial </w:t>
      </w:r>
      <w:r w:rsidR="008D5486">
        <w:rPr>
          <w:rFonts w:ascii="Times New Roman" w:hAnsi="Times New Roman" w:cs="Times New Roman"/>
          <w:sz w:val="24"/>
          <w:szCs w:val="24"/>
          <w:lang w:val="ro-RO"/>
        </w:rPr>
        <w:t>al</w:t>
      </w:r>
      <w:r w:rsidRPr="00541B38">
        <w:rPr>
          <w:rFonts w:ascii="Times New Roman" w:hAnsi="Times New Roman" w:cs="Times New Roman"/>
          <w:sz w:val="24"/>
          <w:szCs w:val="24"/>
          <w:lang w:val="ro-RO"/>
        </w:rPr>
        <w:t xml:space="preserve"> negocierilor </w:t>
      </w:r>
      <w:r w:rsidR="008D5486">
        <w:rPr>
          <w:rFonts w:ascii="Times New Roman" w:hAnsi="Times New Roman" w:cs="Times New Roman"/>
          <w:sz w:val="24"/>
          <w:szCs w:val="24"/>
          <w:lang w:val="ro-RO"/>
        </w:rPr>
        <w:t>bilaterale/</w:t>
      </w:r>
      <w:r w:rsidRPr="00541B38">
        <w:rPr>
          <w:rFonts w:ascii="Times New Roman" w:hAnsi="Times New Roman" w:cs="Times New Roman"/>
          <w:sz w:val="24"/>
          <w:szCs w:val="24"/>
          <w:lang w:val="ro-RO"/>
        </w:rPr>
        <w:t>multilaterale din lume .</w:t>
      </w:r>
    </w:p>
    <w:p w:rsidR="00541B38" w:rsidRDefault="002A52D3" w:rsidP="00A57509">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prezent, TiSA</w:t>
      </w:r>
      <w:r w:rsidR="00541B38" w:rsidRPr="00541B38">
        <w:rPr>
          <w:rFonts w:ascii="Times New Roman" w:hAnsi="Times New Roman" w:cs="Times New Roman"/>
          <w:sz w:val="24"/>
          <w:szCs w:val="24"/>
          <w:lang w:val="ro-RO"/>
        </w:rPr>
        <w:t xml:space="preserve"> est</w:t>
      </w:r>
      <w:r>
        <w:rPr>
          <w:rFonts w:ascii="Times New Roman" w:hAnsi="Times New Roman" w:cs="Times New Roman"/>
          <w:sz w:val="24"/>
          <w:szCs w:val="24"/>
          <w:lang w:val="ro-RO"/>
        </w:rPr>
        <w:t>e un acord negociat plurilateral</w:t>
      </w:r>
      <w:r w:rsidR="00541B38" w:rsidRPr="00541B38">
        <w:rPr>
          <w:rFonts w:ascii="Times New Roman" w:hAnsi="Times New Roman" w:cs="Times New Roman"/>
          <w:sz w:val="24"/>
          <w:szCs w:val="24"/>
          <w:lang w:val="ro-RO"/>
        </w:rPr>
        <w:t xml:space="preserve"> și </w:t>
      </w:r>
      <w:r>
        <w:rPr>
          <w:rFonts w:ascii="Times New Roman" w:hAnsi="Times New Roman" w:cs="Times New Roman"/>
          <w:sz w:val="24"/>
          <w:szCs w:val="24"/>
          <w:lang w:val="ro-RO"/>
        </w:rPr>
        <w:t>la care fac</w:t>
      </w:r>
      <w:r w:rsidR="00541B38" w:rsidRPr="00541B38">
        <w:rPr>
          <w:rFonts w:ascii="Times New Roman" w:hAnsi="Times New Roman" w:cs="Times New Roman"/>
          <w:sz w:val="24"/>
          <w:szCs w:val="24"/>
          <w:lang w:val="ro-RO"/>
        </w:rPr>
        <w:t xml:space="preserve"> parte 23 de membri ai Organizației Mondiale a Comerțului, și anume: Australia, Canada, Chile, China Taipei, Columbia, Costa Rica, UE, Hong Kong China, Islanda, Israel, Japonia, Coreea, Liechtenstein, Mexic, Noua Zeelandă, Norvegia, Pakistan, Panama, Para</w:t>
      </w:r>
      <w:r>
        <w:rPr>
          <w:rFonts w:ascii="Times New Roman" w:hAnsi="Times New Roman" w:cs="Times New Roman"/>
          <w:sz w:val="24"/>
          <w:szCs w:val="24"/>
          <w:lang w:val="ro-RO"/>
        </w:rPr>
        <w:t>guay, Peru, Elveția, Turcia și S</w:t>
      </w:r>
      <w:r w:rsidR="00541B38" w:rsidRPr="00541B38">
        <w:rPr>
          <w:rFonts w:ascii="Times New Roman" w:hAnsi="Times New Roman" w:cs="Times New Roman"/>
          <w:sz w:val="24"/>
          <w:szCs w:val="24"/>
          <w:lang w:val="ro-RO"/>
        </w:rPr>
        <w:t xml:space="preserve">tatele Unite ale Americii. </w:t>
      </w:r>
      <w:r>
        <w:rPr>
          <w:rFonts w:ascii="Times New Roman" w:hAnsi="Times New Roman" w:cs="Times New Roman"/>
          <w:sz w:val="24"/>
          <w:szCs w:val="24"/>
          <w:lang w:val="ro-RO"/>
        </w:rPr>
        <w:t>Acest acord rămâne deschis</w:t>
      </w:r>
      <w:r w:rsidR="00541B38" w:rsidRPr="00541B38">
        <w:rPr>
          <w:rFonts w:ascii="Times New Roman" w:hAnsi="Times New Roman" w:cs="Times New Roman"/>
          <w:sz w:val="24"/>
          <w:szCs w:val="24"/>
          <w:lang w:val="ro-RO"/>
        </w:rPr>
        <w:t xml:space="preserve"> </w:t>
      </w:r>
      <w:r w:rsidR="00BD683F">
        <w:rPr>
          <w:rFonts w:ascii="Times New Roman" w:hAnsi="Times New Roman" w:cs="Times New Roman"/>
          <w:sz w:val="24"/>
          <w:szCs w:val="24"/>
          <w:lang w:val="ro-RO"/>
        </w:rPr>
        <w:t>și pentru ceilalți</w:t>
      </w:r>
      <w:r w:rsidR="00541B38" w:rsidRPr="00541B38">
        <w:rPr>
          <w:rFonts w:ascii="Times New Roman" w:hAnsi="Times New Roman" w:cs="Times New Roman"/>
          <w:sz w:val="24"/>
          <w:szCs w:val="24"/>
          <w:lang w:val="ro-RO"/>
        </w:rPr>
        <w:t xml:space="preserve"> me</w:t>
      </w:r>
      <w:r w:rsidR="00BD683F">
        <w:rPr>
          <w:rFonts w:ascii="Times New Roman" w:hAnsi="Times New Roman" w:cs="Times New Roman"/>
          <w:sz w:val="24"/>
          <w:szCs w:val="24"/>
          <w:lang w:val="ro-RO"/>
        </w:rPr>
        <w:t>mbri ai</w:t>
      </w:r>
      <w:r w:rsidR="00541B38" w:rsidRPr="00541B38">
        <w:rPr>
          <w:rFonts w:ascii="Times New Roman" w:hAnsi="Times New Roman" w:cs="Times New Roman"/>
          <w:sz w:val="24"/>
          <w:szCs w:val="24"/>
          <w:lang w:val="ro-RO"/>
        </w:rPr>
        <w:t xml:space="preserve"> OMC care doresc să deschidă comerțul cu servicii. Acesta nu </w:t>
      </w:r>
      <w:r w:rsidR="00BD683F">
        <w:rPr>
          <w:rFonts w:ascii="Times New Roman" w:hAnsi="Times New Roman" w:cs="Times New Roman"/>
          <w:sz w:val="24"/>
          <w:szCs w:val="24"/>
          <w:lang w:val="ro-RO"/>
        </w:rPr>
        <w:t>înlocuiește</w:t>
      </w:r>
      <w:r w:rsidR="00541B38" w:rsidRPr="00541B38">
        <w:rPr>
          <w:rFonts w:ascii="Times New Roman" w:hAnsi="Times New Roman" w:cs="Times New Roman"/>
          <w:sz w:val="24"/>
          <w:szCs w:val="24"/>
          <w:lang w:val="ro-RO"/>
        </w:rPr>
        <w:t xml:space="preserve"> negocieri</w:t>
      </w:r>
      <w:r w:rsidR="00BD683F">
        <w:rPr>
          <w:rFonts w:ascii="Times New Roman" w:hAnsi="Times New Roman" w:cs="Times New Roman"/>
          <w:sz w:val="24"/>
          <w:szCs w:val="24"/>
          <w:lang w:val="ro-RO"/>
        </w:rPr>
        <w:t>le</w:t>
      </w:r>
      <w:r w:rsidR="00541B38" w:rsidRPr="00541B38">
        <w:rPr>
          <w:rFonts w:ascii="Times New Roman" w:hAnsi="Times New Roman" w:cs="Times New Roman"/>
          <w:sz w:val="24"/>
          <w:szCs w:val="24"/>
          <w:lang w:val="ro-RO"/>
        </w:rPr>
        <w:t xml:space="preserve"> multilaterale p</w:t>
      </w:r>
      <w:r w:rsidR="00BD683F">
        <w:rPr>
          <w:rFonts w:ascii="Times New Roman" w:hAnsi="Times New Roman" w:cs="Times New Roman"/>
          <w:sz w:val="24"/>
          <w:szCs w:val="24"/>
          <w:lang w:val="ro-RO"/>
        </w:rPr>
        <w:t>rivind serviciile, deoarece TiSA este văzut</w:t>
      </w:r>
      <w:r w:rsidR="00541B38" w:rsidRPr="00541B38">
        <w:rPr>
          <w:rFonts w:ascii="Times New Roman" w:hAnsi="Times New Roman" w:cs="Times New Roman"/>
          <w:sz w:val="24"/>
          <w:szCs w:val="24"/>
          <w:lang w:val="ro-RO"/>
        </w:rPr>
        <w:t xml:space="preserve"> ca o parte (sau un mod) pentru a începe cât mai curând posibil negocierile multilaterale </w:t>
      </w:r>
      <w:r w:rsidR="00BD683F">
        <w:rPr>
          <w:rFonts w:ascii="Times New Roman" w:hAnsi="Times New Roman" w:cs="Times New Roman"/>
          <w:sz w:val="24"/>
          <w:szCs w:val="24"/>
          <w:lang w:val="ro-RO"/>
        </w:rPr>
        <w:t xml:space="preserve">care </w:t>
      </w:r>
      <w:r w:rsidR="00541B38" w:rsidRPr="00541B38">
        <w:rPr>
          <w:rFonts w:ascii="Times New Roman" w:hAnsi="Times New Roman" w:cs="Times New Roman"/>
          <w:sz w:val="24"/>
          <w:szCs w:val="24"/>
          <w:lang w:val="ro-RO"/>
        </w:rPr>
        <w:t>au sta</w:t>
      </w:r>
      <w:r w:rsidR="00BD683F">
        <w:rPr>
          <w:rFonts w:ascii="Times New Roman" w:hAnsi="Times New Roman" w:cs="Times New Roman"/>
          <w:sz w:val="24"/>
          <w:szCs w:val="24"/>
          <w:lang w:val="ro-RO"/>
        </w:rPr>
        <w:t>gnat (Runda Doha a OMC</w:t>
      </w:r>
      <w:r w:rsidR="00541B38" w:rsidRPr="00541B38">
        <w:rPr>
          <w:rFonts w:ascii="Times New Roman" w:hAnsi="Times New Roman" w:cs="Times New Roman"/>
          <w:sz w:val="24"/>
          <w:szCs w:val="24"/>
          <w:lang w:val="ro-RO"/>
        </w:rPr>
        <w:t>). Astfel, acest acord se va baza pe Acordul General privind Comerțul cu Servicii (GATS).</w:t>
      </w:r>
    </w:p>
    <w:p w:rsidR="00541B38" w:rsidRDefault="00541B38" w:rsidP="00541B38">
      <w:pPr>
        <w:spacing w:after="0" w:line="240" w:lineRule="auto"/>
        <w:ind w:firstLine="720"/>
        <w:jc w:val="both"/>
        <w:rPr>
          <w:rFonts w:ascii="Times New Roman" w:hAnsi="Times New Roman" w:cs="Times New Roman"/>
          <w:sz w:val="24"/>
          <w:szCs w:val="24"/>
          <w:lang w:val="ro-RO"/>
        </w:rPr>
      </w:pPr>
      <w:r w:rsidRPr="00541B38">
        <w:rPr>
          <w:rFonts w:ascii="Times New Roman" w:hAnsi="Times New Roman" w:cs="Times New Roman"/>
          <w:sz w:val="24"/>
          <w:szCs w:val="24"/>
          <w:lang w:val="ro-RO"/>
        </w:rPr>
        <w:t>Potrivit Comisiei Europene, întrucât discuțiile au fost lansate în martie 2013, Uniunea Europeană face eforturi pentru</w:t>
      </w:r>
      <w:r w:rsidR="00816E09">
        <w:rPr>
          <w:rFonts w:ascii="Times New Roman" w:hAnsi="Times New Roman" w:cs="Times New Roman"/>
          <w:sz w:val="24"/>
          <w:szCs w:val="24"/>
          <w:lang w:val="ro-RO"/>
        </w:rPr>
        <w:t xml:space="preserve"> a se asigura că TiSA</w:t>
      </w:r>
      <w:r w:rsidRPr="00541B38">
        <w:rPr>
          <w:rFonts w:ascii="Times New Roman" w:hAnsi="Times New Roman" w:cs="Times New Roman"/>
          <w:sz w:val="24"/>
          <w:szCs w:val="24"/>
          <w:lang w:val="ro-RO"/>
        </w:rPr>
        <w:t xml:space="preserve"> este compatibil cu GATS, ceea ce face mai ușor să-l integreze în OMC. Aceste angajamente noi și îmbunătățite sunt foarte importante pentru UE, deoarece sectorul serviciilor constituie activitatea economică cea mai dinamică în această regiune. Companiile din UE sunt lideri furnizori de servicii în multe sectoare și sunt cei mai mari exportatori de servicii la nivel mondial, cu aproape 26% din totalul exporturilor mondiale de servicii și jumătat</w:t>
      </w:r>
      <w:r w:rsidR="00816E09">
        <w:rPr>
          <w:rFonts w:ascii="Times New Roman" w:hAnsi="Times New Roman" w:cs="Times New Roman"/>
          <w:sz w:val="24"/>
          <w:szCs w:val="24"/>
          <w:lang w:val="ro-RO"/>
        </w:rPr>
        <w:t>e din investițiile străine vin</w:t>
      </w:r>
      <w:r w:rsidRPr="00541B38">
        <w:rPr>
          <w:rFonts w:ascii="Times New Roman" w:hAnsi="Times New Roman" w:cs="Times New Roman"/>
          <w:sz w:val="24"/>
          <w:szCs w:val="24"/>
          <w:lang w:val="ro-RO"/>
        </w:rPr>
        <w:t xml:space="preserve"> de la UE către alte părți ale lumii. Securitate</w:t>
      </w:r>
      <w:r w:rsidR="00816E09">
        <w:rPr>
          <w:rFonts w:ascii="Times New Roman" w:hAnsi="Times New Roman" w:cs="Times New Roman"/>
          <w:sz w:val="24"/>
          <w:szCs w:val="24"/>
          <w:lang w:val="ro-RO"/>
        </w:rPr>
        <w:t>a juridică și</w:t>
      </w:r>
      <w:r w:rsidRPr="00541B38">
        <w:rPr>
          <w:rFonts w:ascii="Times New Roman" w:hAnsi="Times New Roman" w:cs="Times New Roman"/>
          <w:sz w:val="24"/>
          <w:szCs w:val="24"/>
          <w:lang w:val="ro-RO"/>
        </w:rPr>
        <w:t xml:space="preserve"> noi oportunități de acces pe piață sunt, prin urmare, esențială pentru companiile europene.</w:t>
      </w:r>
    </w:p>
    <w:p w:rsidR="00541B38" w:rsidRPr="00541B38" w:rsidRDefault="00541B38" w:rsidP="00541B38">
      <w:pPr>
        <w:spacing w:after="0" w:line="240" w:lineRule="auto"/>
        <w:ind w:firstLine="720"/>
        <w:jc w:val="both"/>
        <w:rPr>
          <w:rFonts w:ascii="Times New Roman" w:hAnsi="Times New Roman" w:cs="Times New Roman"/>
          <w:sz w:val="24"/>
          <w:szCs w:val="24"/>
          <w:lang w:val="ro-RO"/>
        </w:rPr>
      </w:pPr>
      <w:r w:rsidRPr="00541B38">
        <w:rPr>
          <w:rFonts w:ascii="Times New Roman" w:hAnsi="Times New Roman" w:cs="Times New Roman"/>
          <w:sz w:val="24"/>
          <w:szCs w:val="24"/>
          <w:lang w:val="ro-RO"/>
        </w:rPr>
        <w:lastRenderedPageBreak/>
        <w:t xml:space="preserve">Celelalte 22 de țări care participă la </w:t>
      </w:r>
      <w:r w:rsidR="00206845">
        <w:rPr>
          <w:rFonts w:ascii="Times New Roman" w:hAnsi="Times New Roman" w:cs="Times New Roman"/>
          <w:sz w:val="24"/>
          <w:szCs w:val="24"/>
          <w:lang w:val="ro-RO"/>
        </w:rPr>
        <w:t xml:space="preserve">negocierile privind </w:t>
      </w:r>
      <w:r w:rsidRPr="00541B38">
        <w:rPr>
          <w:rFonts w:ascii="Times New Roman" w:hAnsi="Times New Roman" w:cs="Times New Roman"/>
          <w:sz w:val="24"/>
          <w:szCs w:val="24"/>
          <w:lang w:val="ro-RO"/>
        </w:rPr>
        <w:t>Acordul</w:t>
      </w:r>
      <w:r w:rsidR="00206845">
        <w:rPr>
          <w:rFonts w:ascii="Times New Roman" w:hAnsi="Times New Roman" w:cs="Times New Roman"/>
          <w:sz w:val="24"/>
          <w:szCs w:val="24"/>
          <w:lang w:val="ro-RO"/>
        </w:rPr>
        <w:t xml:space="preserve"> </w:t>
      </w:r>
      <w:r w:rsidRPr="00541B38">
        <w:rPr>
          <w:rFonts w:ascii="Times New Roman" w:hAnsi="Times New Roman" w:cs="Times New Roman"/>
          <w:sz w:val="24"/>
          <w:szCs w:val="24"/>
          <w:lang w:val="ro-RO"/>
        </w:rPr>
        <w:t xml:space="preserve">privind </w:t>
      </w:r>
      <w:r w:rsidR="00206845">
        <w:rPr>
          <w:rFonts w:ascii="Times New Roman" w:hAnsi="Times New Roman" w:cs="Times New Roman"/>
          <w:sz w:val="24"/>
          <w:szCs w:val="24"/>
          <w:lang w:val="ro-RO"/>
        </w:rPr>
        <w:t xml:space="preserve">comerțul cu </w:t>
      </w:r>
      <w:r w:rsidRPr="00541B38">
        <w:rPr>
          <w:rFonts w:ascii="Times New Roman" w:hAnsi="Times New Roman" w:cs="Times New Roman"/>
          <w:sz w:val="24"/>
          <w:szCs w:val="24"/>
          <w:lang w:val="ro-RO"/>
        </w:rPr>
        <w:t>servicii</w:t>
      </w:r>
      <w:r w:rsidR="00206845">
        <w:rPr>
          <w:rFonts w:ascii="Times New Roman" w:hAnsi="Times New Roman" w:cs="Times New Roman"/>
          <w:sz w:val="24"/>
          <w:szCs w:val="24"/>
          <w:lang w:val="ro-RO"/>
        </w:rPr>
        <w:t xml:space="preserve"> reprezintă parteneri</w:t>
      </w:r>
      <w:r w:rsidR="005F592F">
        <w:rPr>
          <w:rFonts w:ascii="Times New Roman" w:hAnsi="Times New Roman" w:cs="Times New Roman"/>
          <w:sz w:val="24"/>
          <w:szCs w:val="24"/>
          <w:lang w:val="ro-RO"/>
        </w:rPr>
        <w:t xml:space="preserve"> substanțiali ai UE în exporturile și importurile</w:t>
      </w:r>
      <w:r w:rsidRPr="00541B38">
        <w:rPr>
          <w:rFonts w:ascii="Times New Roman" w:hAnsi="Times New Roman" w:cs="Times New Roman"/>
          <w:sz w:val="24"/>
          <w:szCs w:val="24"/>
          <w:lang w:val="ro-RO"/>
        </w:rPr>
        <w:t xml:space="preserve"> de servicii comerciale: 58% din exporturile UE și 59% din importurile UE. Principalele valori sunt reprezentate de comerțul cu țări precum SUA, Elveția, Japonia, Norvegia, Australia și Canada. Acestea singur</w:t>
      </w:r>
      <w:r w:rsidR="00151ED4">
        <w:rPr>
          <w:rFonts w:ascii="Times New Roman" w:hAnsi="Times New Roman" w:cs="Times New Roman"/>
          <w:sz w:val="24"/>
          <w:szCs w:val="24"/>
          <w:lang w:val="ro-RO"/>
        </w:rPr>
        <w:t>e</w:t>
      </w:r>
      <w:r w:rsidRPr="00541B38">
        <w:rPr>
          <w:rFonts w:ascii="Times New Roman" w:hAnsi="Times New Roman" w:cs="Times New Roman"/>
          <w:sz w:val="24"/>
          <w:szCs w:val="24"/>
          <w:lang w:val="ro-RO"/>
        </w:rPr>
        <w:t xml:space="preserve"> reprezintă aproape 50% </w:t>
      </w:r>
      <w:r w:rsidR="00151ED4">
        <w:rPr>
          <w:rFonts w:ascii="Times New Roman" w:hAnsi="Times New Roman" w:cs="Times New Roman"/>
          <w:sz w:val="24"/>
          <w:szCs w:val="24"/>
          <w:lang w:val="ro-RO"/>
        </w:rPr>
        <w:t>atât din exporturile UE, cât</w:t>
      </w:r>
      <w:r w:rsidRPr="00541B38">
        <w:rPr>
          <w:rFonts w:ascii="Times New Roman" w:hAnsi="Times New Roman" w:cs="Times New Roman"/>
          <w:sz w:val="24"/>
          <w:szCs w:val="24"/>
          <w:lang w:val="ro-RO"/>
        </w:rPr>
        <w:t xml:space="preserve"> și importurile UE. Cu ace</w:t>
      </w:r>
      <w:r w:rsidR="000777E2">
        <w:rPr>
          <w:rFonts w:ascii="Times New Roman" w:hAnsi="Times New Roman" w:cs="Times New Roman"/>
          <w:sz w:val="24"/>
          <w:szCs w:val="24"/>
          <w:lang w:val="ro-RO"/>
        </w:rPr>
        <w:t>ste țări UE a semnat deja sau</w:t>
      </w:r>
      <w:r w:rsidRPr="00541B38">
        <w:rPr>
          <w:rFonts w:ascii="Times New Roman" w:hAnsi="Times New Roman" w:cs="Times New Roman"/>
          <w:sz w:val="24"/>
          <w:szCs w:val="24"/>
          <w:lang w:val="ro-RO"/>
        </w:rPr>
        <w:t xml:space="preserve"> negociază acorduri bilaterale ambițioas</w:t>
      </w:r>
      <w:r w:rsidR="000777E2">
        <w:rPr>
          <w:rFonts w:ascii="Times New Roman" w:hAnsi="Times New Roman" w:cs="Times New Roman"/>
          <w:sz w:val="24"/>
          <w:szCs w:val="24"/>
          <w:lang w:val="ro-RO"/>
        </w:rPr>
        <w:t>e care includ liberalizarea de</w:t>
      </w:r>
      <w:r w:rsidRPr="00541B38">
        <w:rPr>
          <w:rFonts w:ascii="Times New Roman" w:hAnsi="Times New Roman" w:cs="Times New Roman"/>
          <w:sz w:val="24"/>
          <w:szCs w:val="24"/>
          <w:lang w:val="ro-RO"/>
        </w:rPr>
        <w:t xml:space="preserve"> bunuri și servicii, după cum urmează:</w:t>
      </w:r>
    </w:p>
    <w:p w:rsidR="00541B38" w:rsidRDefault="00541B38" w:rsidP="00015B86">
      <w:pPr>
        <w:pStyle w:val="ListParagraph"/>
        <w:numPr>
          <w:ilvl w:val="0"/>
          <w:numId w:val="2"/>
        </w:numPr>
        <w:spacing w:after="0" w:line="240" w:lineRule="auto"/>
        <w:jc w:val="both"/>
        <w:rPr>
          <w:rFonts w:ascii="Times New Roman" w:hAnsi="Times New Roman" w:cs="Times New Roman"/>
          <w:sz w:val="24"/>
          <w:szCs w:val="24"/>
          <w:lang w:val="ro-RO"/>
        </w:rPr>
      </w:pPr>
      <w:r>
        <w:rPr>
          <w:rFonts w:ascii="Times New Roman" w:hAnsi="Times New Roman" w:cs="Times New Roman"/>
          <w:i/>
          <w:sz w:val="24"/>
          <w:szCs w:val="24"/>
          <w:lang w:val="ro-RO"/>
        </w:rPr>
        <w:t>UE-SUA</w:t>
      </w:r>
      <w:r w:rsidR="00291D96" w:rsidRPr="00D57FA0">
        <w:rPr>
          <w:rFonts w:ascii="Times New Roman" w:hAnsi="Times New Roman" w:cs="Times New Roman"/>
          <w:sz w:val="24"/>
          <w:szCs w:val="24"/>
          <w:lang w:val="ro-RO"/>
        </w:rPr>
        <w:t xml:space="preserve">: </w:t>
      </w:r>
      <w:r w:rsidR="00015B86" w:rsidRPr="00015B86">
        <w:rPr>
          <w:rFonts w:ascii="Times New Roman" w:hAnsi="Times New Roman" w:cs="Times New Roman"/>
          <w:sz w:val="24"/>
          <w:szCs w:val="24"/>
          <w:lang w:val="ro-RO"/>
        </w:rPr>
        <w:t>Parteneri</w:t>
      </w:r>
      <w:r w:rsidR="00015B86">
        <w:rPr>
          <w:rFonts w:ascii="Times New Roman" w:hAnsi="Times New Roman" w:cs="Times New Roman"/>
          <w:sz w:val="24"/>
          <w:szCs w:val="24"/>
          <w:lang w:val="ro-RO"/>
        </w:rPr>
        <w:t>atul Transatlantic pentru Comerț si Investiț</w:t>
      </w:r>
      <w:r w:rsidR="00015B86" w:rsidRPr="00015B86">
        <w:rPr>
          <w:rFonts w:ascii="Times New Roman" w:hAnsi="Times New Roman" w:cs="Times New Roman"/>
          <w:sz w:val="24"/>
          <w:szCs w:val="24"/>
          <w:lang w:val="ro-RO"/>
        </w:rPr>
        <w:t xml:space="preserve">i </w:t>
      </w:r>
      <w:r w:rsidRPr="00541B38">
        <w:rPr>
          <w:rFonts w:ascii="Times New Roman" w:hAnsi="Times New Roman" w:cs="Times New Roman"/>
          <w:sz w:val="24"/>
          <w:szCs w:val="24"/>
          <w:lang w:val="ro-RO"/>
        </w:rPr>
        <w:t>(TTIP) (atunci când negocierile sunt finalizate, acest acord ar fi cea mai mare afacere de comerț bilateral negociat vreodată);</w:t>
      </w:r>
    </w:p>
    <w:p w:rsidR="00D02000" w:rsidRPr="00541B38" w:rsidRDefault="00541B38" w:rsidP="00541B38">
      <w:pPr>
        <w:pStyle w:val="ListParagraph"/>
        <w:numPr>
          <w:ilvl w:val="0"/>
          <w:numId w:val="2"/>
        </w:numPr>
        <w:spacing w:after="0" w:line="240" w:lineRule="auto"/>
        <w:jc w:val="both"/>
        <w:rPr>
          <w:rFonts w:ascii="Times New Roman" w:hAnsi="Times New Roman" w:cs="Times New Roman"/>
          <w:sz w:val="24"/>
          <w:szCs w:val="24"/>
          <w:lang w:val="ro-RO"/>
        </w:rPr>
      </w:pPr>
      <w:r>
        <w:rPr>
          <w:rFonts w:ascii="Times New Roman" w:hAnsi="Times New Roman" w:cs="Times New Roman"/>
          <w:i/>
          <w:sz w:val="24"/>
          <w:szCs w:val="24"/>
          <w:lang w:val="ro-RO"/>
        </w:rPr>
        <w:t>UE-Elveția</w:t>
      </w:r>
      <w:r w:rsidR="00D02000" w:rsidRPr="00541B38">
        <w:rPr>
          <w:rFonts w:ascii="Times New Roman" w:hAnsi="Times New Roman" w:cs="Times New Roman"/>
          <w:i/>
          <w:sz w:val="24"/>
          <w:szCs w:val="24"/>
          <w:lang w:val="ro-RO"/>
        </w:rPr>
        <w:t>:</w:t>
      </w:r>
      <w:r w:rsidR="00D02000" w:rsidRPr="00541B38">
        <w:rPr>
          <w:rFonts w:ascii="Times New Roman" w:hAnsi="Times New Roman" w:cs="Times New Roman"/>
          <w:sz w:val="24"/>
          <w:szCs w:val="24"/>
          <w:lang w:val="ro-RO"/>
        </w:rPr>
        <w:t xml:space="preserve"> </w:t>
      </w:r>
      <w:r w:rsidRPr="00541B38">
        <w:rPr>
          <w:rFonts w:ascii="Times New Roman" w:hAnsi="Times New Roman" w:cs="Times New Roman"/>
          <w:sz w:val="24"/>
          <w:szCs w:val="24"/>
          <w:lang w:val="ro-RO"/>
        </w:rPr>
        <w:t>o serie de acorduri bilaterale încheiate (în cazul în care Elveția a fost de acord să-și asume anumite aspecte ale le</w:t>
      </w:r>
      <w:r w:rsidR="00015B86">
        <w:rPr>
          <w:rFonts w:ascii="Times New Roman" w:hAnsi="Times New Roman" w:cs="Times New Roman"/>
          <w:sz w:val="24"/>
          <w:szCs w:val="24"/>
          <w:lang w:val="ro-RO"/>
        </w:rPr>
        <w:t>gislației UE în schimbul accesării</w:t>
      </w:r>
      <w:r w:rsidRPr="00541B38">
        <w:rPr>
          <w:rFonts w:ascii="Times New Roman" w:hAnsi="Times New Roman" w:cs="Times New Roman"/>
          <w:sz w:val="24"/>
          <w:szCs w:val="24"/>
          <w:lang w:val="ro-RO"/>
        </w:rPr>
        <w:t xml:space="preserve"> pieței unice a UE);</w:t>
      </w:r>
    </w:p>
    <w:p w:rsidR="009813B8" w:rsidRPr="00D57FA0" w:rsidRDefault="00541B38" w:rsidP="00541B38">
      <w:pPr>
        <w:pStyle w:val="ListParagraph"/>
        <w:numPr>
          <w:ilvl w:val="0"/>
          <w:numId w:val="2"/>
        </w:numPr>
        <w:spacing w:after="0" w:line="240" w:lineRule="auto"/>
        <w:jc w:val="both"/>
        <w:rPr>
          <w:rFonts w:ascii="Times New Roman" w:hAnsi="Times New Roman" w:cs="Times New Roman"/>
          <w:sz w:val="24"/>
          <w:szCs w:val="24"/>
          <w:lang w:val="ro-RO"/>
        </w:rPr>
      </w:pPr>
      <w:r>
        <w:rPr>
          <w:rFonts w:ascii="Times New Roman" w:hAnsi="Times New Roman" w:cs="Times New Roman"/>
          <w:i/>
          <w:sz w:val="24"/>
          <w:szCs w:val="24"/>
          <w:lang w:val="ro-RO"/>
        </w:rPr>
        <w:t>UE-Japonia</w:t>
      </w:r>
      <w:r w:rsidR="00735D03" w:rsidRPr="00D57FA0">
        <w:rPr>
          <w:rFonts w:ascii="Times New Roman" w:hAnsi="Times New Roman" w:cs="Times New Roman"/>
          <w:sz w:val="24"/>
          <w:szCs w:val="24"/>
          <w:lang w:val="ro-RO"/>
        </w:rPr>
        <w:t xml:space="preserve">: </w:t>
      </w:r>
      <w:r w:rsidR="0018049B">
        <w:rPr>
          <w:rFonts w:ascii="Times New Roman" w:hAnsi="Times New Roman" w:cs="Times New Roman"/>
          <w:sz w:val="24"/>
          <w:szCs w:val="24"/>
          <w:lang w:val="ro-RO"/>
        </w:rPr>
        <w:t xml:space="preserve">Acord de </w:t>
      </w:r>
      <w:r w:rsidRPr="00541B38">
        <w:rPr>
          <w:rFonts w:ascii="Times New Roman" w:hAnsi="Times New Roman" w:cs="Times New Roman"/>
          <w:sz w:val="24"/>
          <w:szCs w:val="24"/>
          <w:lang w:val="ro-RO"/>
        </w:rPr>
        <w:t xml:space="preserve">Liber </w:t>
      </w:r>
      <w:r w:rsidR="0018049B">
        <w:rPr>
          <w:rFonts w:ascii="Times New Roman" w:hAnsi="Times New Roman" w:cs="Times New Roman"/>
          <w:sz w:val="24"/>
          <w:szCs w:val="24"/>
          <w:lang w:val="ro-RO"/>
        </w:rPr>
        <w:t>Schimb (negocieri</w:t>
      </w:r>
      <w:r w:rsidRPr="00541B38">
        <w:rPr>
          <w:rFonts w:ascii="Times New Roman" w:hAnsi="Times New Roman" w:cs="Times New Roman"/>
          <w:sz w:val="24"/>
          <w:szCs w:val="24"/>
          <w:lang w:val="ro-RO"/>
        </w:rPr>
        <w:t xml:space="preserve"> în curs);</w:t>
      </w:r>
    </w:p>
    <w:p w:rsidR="00735D03" w:rsidRPr="00D57FA0" w:rsidRDefault="00541B38" w:rsidP="00541B38">
      <w:pPr>
        <w:pStyle w:val="ListParagraph"/>
        <w:numPr>
          <w:ilvl w:val="0"/>
          <w:numId w:val="2"/>
        </w:numPr>
        <w:spacing w:after="0" w:line="240" w:lineRule="auto"/>
        <w:jc w:val="both"/>
        <w:rPr>
          <w:rFonts w:ascii="Times New Roman" w:hAnsi="Times New Roman" w:cs="Times New Roman"/>
          <w:sz w:val="24"/>
          <w:szCs w:val="24"/>
          <w:lang w:val="ro-RO"/>
        </w:rPr>
      </w:pPr>
      <w:r>
        <w:rPr>
          <w:rFonts w:ascii="Times New Roman" w:hAnsi="Times New Roman" w:cs="Times New Roman"/>
          <w:i/>
          <w:sz w:val="24"/>
          <w:szCs w:val="24"/>
          <w:lang w:val="ro-RO"/>
        </w:rPr>
        <w:t>UE-Norvegia</w:t>
      </w:r>
      <w:r w:rsidR="00735D03" w:rsidRPr="00D57FA0">
        <w:rPr>
          <w:rFonts w:ascii="Times New Roman" w:hAnsi="Times New Roman" w:cs="Times New Roman"/>
          <w:sz w:val="24"/>
          <w:szCs w:val="24"/>
          <w:lang w:val="ro-RO"/>
        </w:rPr>
        <w:t xml:space="preserve">: </w:t>
      </w:r>
      <w:r w:rsidR="0018049B">
        <w:rPr>
          <w:rFonts w:ascii="Times New Roman" w:hAnsi="Times New Roman" w:cs="Times New Roman"/>
          <w:sz w:val="24"/>
          <w:szCs w:val="24"/>
          <w:lang w:val="ro-RO"/>
        </w:rPr>
        <w:t>Acordul privind Spațiul Economic European (SEE)</w:t>
      </w:r>
      <w:r w:rsidRPr="00541B38">
        <w:rPr>
          <w:rFonts w:ascii="Times New Roman" w:hAnsi="Times New Roman" w:cs="Times New Roman"/>
          <w:sz w:val="24"/>
          <w:szCs w:val="24"/>
          <w:lang w:val="ro-RO"/>
        </w:rPr>
        <w:t>;</w:t>
      </w:r>
    </w:p>
    <w:p w:rsidR="007D4ECC" w:rsidRPr="00D57FA0" w:rsidRDefault="00541B38" w:rsidP="00541B38">
      <w:pPr>
        <w:pStyle w:val="ListParagraph"/>
        <w:numPr>
          <w:ilvl w:val="0"/>
          <w:numId w:val="2"/>
        </w:numPr>
        <w:spacing w:after="0" w:line="240" w:lineRule="auto"/>
        <w:jc w:val="both"/>
        <w:rPr>
          <w:rFonts w:ascii="Times New Roman" w:hAnsi="Times New Roman" w:cs="Times New Roman"/>
          <w:sz w:val="24"/>
          <w:szCs w:val="24"/>
          <w:lang w:val="ro-RO"/>
        </w:rPr>
      </w:pPr>
      <w:r>
        <w:rPr>
          <w:rFonts w:ascii="Times New Roman" w:hAnsi="Times New Roman" w:cs="Times New Roman"/>
          <w:i/>
          <w:sz w:val="24"/>
          <w:szCs w:val="24"/>
          <w:lang w:val="ro-RO"/>
        </w:rPr>
        <w:t>UE</w:t>
      </w:r>
      <w:r w:rsidR="00F15533" w:rsidRPr="00D57FA0">
        <w:rPr>
          <w:rFonts w:ascii="Times New Roman" w:hAnsi="Times New Roman" w:cs="Times New Roman"/>
          <w:i/>
          <w:sz w:val="24"/>
          <w:szCs w:val="24"/>
          <w:lang w:val="ro-RO"/>
        </w:rPr>
        <w:t>-Australia</w:t>
      </w:r>
      <w:r w:rsidR="00F15533" w:rsidRPr="00D57FA0">
        <w:rPr>
          <w:rFonts w:ascii="Times New Roman" w:hAnsi="Times New Roman" w:cs="Times New Roman"/>
          <w:sz w:val="24"/>
          <w:szCs w:val="24"/>
          <w:lang w:val="ro-RO"/>
        </w:rPr>
        <w:t xml:space="preserve">: </w:t>
      </w:r>
      <w:r w:rsidRPr="00541B38">
        <w:rPr>
          <w:rFonts w:ascii="Times New Roman" w:hAnsi="Times New Roman" w:cs="Times New Roman"/>
          <w:sz w:val="24"/>
          <w:szCs w:val="24"/>
          <w:lang w:val="ro-RO"/>
        </w:rPr>
        <w:t>Relațiile comerciale și</w:t>
      </w:r>
      <w:r w:rsidR="0018049B">
        <w:rPr>
          <w:rFonts w:ascii="Times New Roman" w:hAnsi="Times New Roman" w:cs="Times New Roman"/>
          <w:sz w:val="24"/>
          <w:szCs w:val="24"/>
          <w:lang w:val="ro-RO"/>
        </w:rPr>
        <w:t xml:space="preserve"> economice în contextul</w:t>
      </w:r>
      <w:r w:rsidRPr="00541B38">
        <w:rPr>
          <w:rFonts w:ascii="Times New Roman" w:hAnsi="Times New Roman" w:cs="Times New Roman"/>
          <w:sz w:val="24"/>
          <w:szCs w:val="24"/>
          <w:lang w:val="ro-RO"/>
        </w:rPr>
        <w:t xml:space="preserve"> </w:t>
      </w:r>
      <w:r w:rsidR="0018049B">
        <w:rPr>
          <w:rFonts w:ascii="Times New Roman" w:hAnsi="Times New Roman" w:cs="Times New Roman"/>
          <w:sz w:val="24"/>
          <w:szCs w:val="24"/>
          <w:lang w:val="ro-RO"/>
        </w:rPr>
        <w:t>Parteneriatului UE-Australia</w:t>
      </w:r>
      <w:r>
        <w:rPr>
          <w:rFonts w:ascii="Times New Roman" w:hAnsi="Times New Roman" w:cs="Times New Roman"/>
          <w:sz w:val="24"/>
          <w:szCs w:val="24"/>
          <w:lang w:val="ro-RO"/>
        </w:rPr>
        <w:t>;</w:t>
      </w:r>
    </w:p>
    <w:p w:rsidR="001E26CB" w:rsidRDefault="00541B38" w:rsidP="001E26CB">
      <w:pPr>
        <w:pStyle w:val="ListParagraph"/>
        <w:numPr>
          <w:ilvl w:val="0"/>
          <w:numId w:val="2"/>
        </w:numPr>
        <w:spacing w:after="0" w:line="240" w:lineRule="auto"/>
        <w:jc w:val="both"/>
        <w:rPr>
          <w:rFonts w:ascii="Times New Roman" w:hAnsi="Times New Roman" w:cs="Times New Roman"/>
          <w:sz w:val="24"/>
          <w:szCs w:val="24"/>
          <w:lang w:val="ro-RO"/>
        </w:rPr>
      </w:pPr>
      <w:r w:rsidRPr="001E26CB">
        <w:rPr>
          <w:rFonts w:ascii="Times New Roman" w:hAnsi="Times New Roman" w:cs="Times New Roman"/>
          <w:i/>
          <w:sz w:val="24"/>
          <w:szCs w:val="24"/>
          <w:lang w:val="ro-RO"/>
        </w:rPr>
        <w:t>UE</w:t>
      </w:r>
      <w:r w:rsidR="00352669" w:rsidRPr="001E26CB">
        <w:rPr>
          <w:rFonts w:ascii="Times New Roman" w:hAnsi="Times New Roman" w:cs="Times New Roman"/>
          <w:i/>
          <w:sz w:val="24"/>
          <w:szCs w:val="24"/>
          <w:lang w:val="ro-RO"/>
        </w:rPr>
        <w:t>-Canada:</w:t>
      </w:r>
      <w:r w:rsidR="00352669" w:rsidRPr="001E26CB">
        <w:rPr>
          <w:rFonts w:ascii="Times New Roman" w:hAnsi="Times New Roman" w:cs="Times New Roman"/>
          <w:sz w:val="24"/>
          <w:szCs w:val="24"/>
          <w:lang w:val="ro-RO"/>
        </w:rPr>
        <w:t xml:space="preserve"> </w:t>
      </w:r>
      <w:r w:rsidR="001E26CB" w:rsidRPr="001E26CB">
        <w:rPr>
          <w:rFonts w:ascii="Times New Roman" w:hAnsi="Times New Roman" w:cs="Times New Roman"/>
          <w:sz w:val="24"/>
          <w:szCs w:val="24"/>
          <w:lang w:val="ro-RO"/>
        </w:rPr>
        <w:t>Acordul Economic şi Comercial dintre Canada şi UE</w:t>
      </w:r>
      <w:r w:rsidR="001E26CB">
        <w:rPr>
          <w:rFonts w:ascii="Times New Roman" w:hAnsi="Times New Roman" w:cs="Times New Roman"/>
          <w:sz w:val="24"/>
          <w:szCs w:val="24"/>
          <w:lang w:val="ro-RO"/>
        </w:rPr>
        <w:t>.</w:t>
      </w:r>
    </w:p>
    <w:p w:rsidR="006B71F3" w:rsidRPr="001E26CB" w:rsidRDefault="006B71F3" w:rsidP="001E26CB">
      <w:pPr>
        <w:spacing w:after="0" w:line="240" w:lineRule="auto"/>
        <w:ind w:firstLine="720"/>
        <w:jc w:val="both"/>
        <w:rPr>
          <w:rFonts w:ascii="Times New Roman" w:hAnsi="Times New Roman" w:cs="Times New Roman"/>
          <w:sz w:val="24"/>
          <w:szCs w:val="24"/>
          <w:lang w:val="ro-RO"/>
        </w:rPr>
      </w:pPr>
      <w:r w:rsidRPr="001E26CB">
        <w:rPr>
          <w:rFonts w:ascii="Times New Roman" w:hAnsi="Times New Roman" w:cs="Times New Roman"/>
          <w:sz w:val="24"/>
          <w:szCs w:val="24"/>
          <w:lang w:val="ro-RO"/>
        </w:rPr>
        <w:t xml:space="preserve">Numai cu patru țări </w:t>
      </w:r>
      <w:r w:rsidR="00AE3502">
        <w:rPr>
          <w:rFonts w:ascii="Times New Roman" w:hAnsi="Times New Roman" w:cs="Times New Roman"/>
          <w:sz w:val="24"/>
          <w:szCs w:val="24"/>
          <w:lang w:val="ro-RO"/>
        </w:rPr>
        <w:t>din cei</w:t>
      </w:r>
      <w:r w:rsidRPr="001E26CB">
        <w:rPr>
          <w:rFonts w:ascii="Times New Roman" w:hAnsi="Times New Roman" w:cs="Times New Roman"/>
          <w:sz w:val="24"/>
          <w:szCs w:val="24"/>
          <w:lang w:val="ro-RO"/>
        </w:rPr>
        <w:t xml:space="preserve"> 22 de membri ai Ti</w:t>
      </w:r>
      <w:r w:rsidR="00AE3502">
        <w:rPr>
          <w:rFonts w:ascii="Times New Roman" w:hAnsi="Times New Roman" w:cs="Times New Roman"/>
          <w:sz w:val="24"/>
          <w:szCs w:val="24"/>
          <w:lang w:val="ro-RO"/>
        </w:rPr>
        <w:t xml:space="preserve">SA Uniunea Europeană </w:t>
      </w:r>
      <w:r w:rsidRPr="001E26CB">
        <w:rPr>
          <w:rFonts w:ascii="Times New Roman" w:hAnsi="Times New Roman" w:cs="Times New Roman"/>
          <w:sz w:val="24"/>
          <w:szCs w:val="24"/>
          <w:lang w:val="ro-RO"/>
        </w:rPr>
        <w:t>acorduri bilaterale</w:t>
      </w:r>
      <w:r w:rsidR="00AE3502">
        <w:rPr>
          <w:rFonts w:ascii="Times New Roman" w:hAnsi="Times New Roman" w:cs="Times New Roman"/>
          <w:sz w:val="24"/>
          <w:szCs w:val="24"/>
          <w:lang w:val="ro-RO"/>
        </w:rPr>
        <w:t xml:space="preserve"> care includ</w:t>
      </w:r>
      <w:r w:rsidRPr="001E26CB">
        <w:rPr>
          <w:rFonts w:ascii="Times New Roman" w:hAnsi="Times New Roman" w:cs="Times New Roman"/>
          <w:sz w:val="24"/>
          <w:szCs w:val="24"/>
          <w:lang w:val="ro-RO"/>
        </w:rPr>
        <w:t xml:space="preserve"> un capitol de servicii în vigoare. Aceste țări sunt următo</w:t>
      </w:r>
      <w:r w:rsidR="004A49BC">
        <w:rPr>
          <w:rFonts w:ascii="Times New Roman" w:hAnsi="Times New Roman" w:cs="Times New Roman"/>
          <w:sz w:val="24"/>
          <w:szCs w:val="24"/>
          <w:lang w:val="ro-RO"/>
        </w:rPr>
        <w:t>arele: Norvegia, Islanda, Mexic</w:t>
      </w:r>
      <w:r w:rsidRPr="001E26CB">
        <w:rPr>
          <w:rFonts w:ascii="Times New Roman" w:hAnsi="Times New Roman" w:cs="Times New Roman"/>
          <w:sz w:val="24"/>
          <w:szCs w:val="24"/>
          <w:lang w:val="ro-RO"/>
        </w:rPr>
        <w:t xml:space="preserve"> și Coreea de Sud.</w:t>
      </w:r>
    </w:p>
    <w:p w:rsidR="000A2140" w:rsidRPr="006B71F3" w:rsidRDefault="0020196B" w:rsidP="006B71F3">
      <w:pPr>
        <w:pStyle w:val="ListParagraph"/>
        <w:spacing w:after="0" w:line="240" w:lineRule="auto"/>
        <w:ind w:left="1080"/>
        <w:jc w:val="both"/>
        <w:rPr>
          <w:rFonts w:ascii="Times New Roman" w:hAnsi="Times New Roman" w:cs="Times New Roman"/>
          <w:sz w:val="24"/>
          <w:szCs w:val="24"/>
          <w:lang w:val="ro-RO"/>
        </w:rPr>
      </w:pPr>
      <w:r>
        <w:rPr>
          <w:noProof/>
        </w:rPr>
        <w:drawing>
          <wp:anchor distT="0" distB="0" distL="114300" distR="114300" simplePos="0" relativeHeight="251666432" behindDoc="1" locked="0" layoutInCell="1" allowOverlap="1" wp14:anchorId="301DA874" wp14:editId="7CD436F0">
            <wp:simplePos x="0" y="0"/>
            <wp:positionH relativeFrom="column">
              <wp:posOffset>108585</wp:posOffset>
            </wp:positionH>
            <wp:positionV relativeFrom="paragraph">
              <wp:posOffset>272415</wp:posOffset>
            </wp:positionV>
            <wp:extent cx="5943600" cy="2743200"/>
            <wp:effectExtent l="0" t="0" r="0" b="0"/>
            <wp:wrapTight wrapText="bothSides">
              <wp:wrapPolygon edited="0">
                <wp:start x="0" y="0"/>
                <wp:lineTo x="0" y="21450"/>
                <wp:lineTo x="21531" y="21450"/>
                <wp:lineTo x="21531"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p>
    <w:p w:rsidR="00E96E4C" w:rsidRDefault="00373C1C" w:rsidP="007B4765">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Figura nr. 4. Nivelul PIB-ului și comerțul </w:t>
      </w:r>
      <w:r w:rsidR="00E96E4C" w:rsidRPr="00E96E4C">
        <w:rPr>
          <w:rFonts w:ascii="Times New Roman" w:hAnsi="Times New Roman" w:cs="Times New Roman"/>
          <w:b/>
          <w:sz w:val="24"/>
          <w:szCs w:val="24"/>
          <w:lang w:val="ro-RO"/>
        </w:rPr>
        <w:t xml:space="preserve">UE </w:t>
      </w:r>
      <w:r>
        <w:rPr>
          <w:rFonts w:ascii="Times New Roman" w:hAnsi="Times New Roman" w:cs="Times New Roman"/>
          <w:b/>
          <w:sz w:val="24"/>
          <w:szCs w:val="24"/>
          <w:lang w:val="ro-RO"/>
        </w:rPr>
        <w:t>cu servicii</w:t>
      </w:r>
      <w:r w:rsidR="00E96E4C" w:rsidRPr="00E96E4C">
        <w:rPr>
          <w:rFonts w:ascii="Times New Roman" w:hAnsi="Times New Roman" w:cs="Times New Roman"/>
          <w:b/>
          <w:sz w:val="24"/>
          <w:szCs w:val="24"/>
          <w:lang w:val="ro-RO"/>
        </w:rPr>
        <w:t xml:space="preserve"> c</w:t>
      </w:r>
      <w:r w:rsidR="000B71EC">
        <w:rPr>
          <w:rFonts w:ascii="Times New Roman" w:hAnsi="Times New Roman" w:cs="Times New Roman"/>
          <w:b/>
          <w:sz w:val="24"/>
          <w:szCs w:val="24"/>
          <w:lang w:val="ro-RO"/>
        </w:rPr>
        <w:t>omerciale sub egida TiSA</w:t>
      </w:r>
      <w:r w:rsidR="00E96E4C" w:rsidRPr="00E96E4C">
        <w:rPr>
          <w:rFonts w:ascii="Times New Roman" w:hAnsi="Times New Roman" w:cs="Times New Roman"/>
          <w:b/>
          <w:sz w:val="24"/>
          <w:szCs w:val="24"/>
          <w:lang w:val="ro-RO"/>
        </w:rPr>
        <w:t>, în 2012</w:t>
      </w:r>
    </w:p>
    <w:p w:rsidR="00E96E4C" w:rsidRDefault="00E96E4C" w:rsidP="008B715C">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Sursa: P</w:t>
      </w:r>
      <w:r w:rsidRPr="007F36C3">
        <w:rPr>
          <w:rFonts w:ascii="Times New Roman" w:hAnsi="Times New Roman" w:cs="Times New Roman"/>
          <w:sz w:val="20"/>
          <w:szCs w:val="20"/>
          <w:lang w:val="ro-RO"/>
        </w:rPr>
        <w:t xml:space="preserve">relucrare proprie după baza de date </w:t>
      </w:r>
      <w:r>
        <w:rPr>
          <w:rFonts w:ascii="Times New Roman" w:hAnsi="Times New Roman" w:cs="Times New Roman"/>
          <w:sz w:val="20"/>
          <w:szCs w:val="20"/>
          <w:lang w:val="ro-RO"/>
        </w:rPr>
        <w:t>a Comisiei Europene</w:t>
      </w:r>
    </w:p>
    <w:p w:rsidR="007B4765" w:rsidRPr="00D57FA0" w:rsidRDefault="007B4765" w:rsidP="00F605F2">
      <w:pPr>
        <w:spacing w:after="0" w:line="240" w:lineRule="auto"/>
        <w:ind w:firstLine="720"/>
        <w:jc w:val="both"/>
        <w:rPr>
          <w:rFonts w:ascii="Times New Roman" w:hAnsi="Times New Roman" w:cs="Times New Roman"/>
          <w:sz w:val="24"/>
          <w:szCs w:val="24"/>
          <w:lang w:val="ro-RO"/>
        </w:rPr>
      </w:pPr>
    </w:p>
    <w:p w:rsidR="004467E7" w:rsidRDefault="007867C5" w:rsidP="00766814">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Pentru țările partenere TiSA</w:t>
      </w:r>
      <w:r w:rsidR="004467E7" w:rsidRPr="004467E7">
        <w:rPr>
          <w:rFonts w:ascii="Times New Roman" w:hAnsi="Times New Roman" w:cs="Times New Roman"/>
          <w:sz w:val="24"/>
          <w:szCs w:val="24"/>
          <w:lang w:val="ro-RO"/>
        </w:rPr>
        <w:t xml:space="preserve"> (cu excepția UE) am analizat nivelul PIB-ului, precum ș</w:t>
      </w:r>
      <w:r w:rsidR="007B7D1D">
        <w:rPr>
          <w:rFonts w:ascii="Times New Roman" w:hAnsi="Times New Roman" w:cs="Times New Roman"/>
          <w:sz w:val="24"/>
          <w:szCs w:val="24"/>
          <w:lang w:val="ro-RO"/>
        </w:rPr>
        <w:t>i relațiile comerciale ale UE privind</w:t>
      </w:r>
      <w:r w:rsidR="004467E7" w:rsidRPr="004467E7">
        <w:rPr>
          <w:rFonts w:ascii="Times New Roman" w:hAnsi="Times New Roman" w:cs="Times New Roman"/>
          <w:sz w:val="24"/>
          <w:szCs w:val="24"/>
          <w:lang w:val="ro-RO"/>
        </w:rPr>
        <w:t xml:space="preserve"> servicii</w:t>
      </w:r>
      <w:r w:rsidR="007B7D1D">
        <w:rPr>
          <w:rFonts w:ascii="Times New Roman" w:hAnsi="Times New Roman" w:cs="Times New Roman"/>
          <w:sz w:val="24"/>
          <w:szCs w:val="24"/>
          <w:lang w:val="ro-RO"/>
        </w:rPr>
        <w:t>le</w:t>
      </w:r>
      <w:r w:rsidR="004467E7" w:rsidRPr="004467E7">
        <w:rPr>
          <w:rFonts w:ascii="Times New Roman" w:hAnsi="Times New Roman" w:cs="Times New Roman"/>
          <w:sz w:val="24"/>
          <w:szCs w:val="24"/>
          <w:lang w:val="ro-RO"/>
        </w:rPr>
        <w:t xml:space="preserve"> comerciale cu aceste țări. Cercetarea este plasat</w:t>
      </w:r>
      <w:r w:rsidR="007B7D1D">
        <w:rPr>
          <w:rFonts w:ascii="Times New Roman" w:hAnsi="Times New Roman" w:cs="Times New Roman"/>
          <w:sz w:val="24"/>
          <w:szCs w:val="24"/>
          <w:lang w:val="ro-RO"/>
        </w:rPr>
        <w:t>ă</w:t>
      </w:r>
      <w:r w:rsidR="004467E7" w:rsidRPr="004467E7">
        <w:rPr>
          <w:rFonts w:ascii="Times New Roman" w:hAnsi="Times New Roman" w:cs="Times New Roman"/>
          <w:sz w:val="24"/>
          <w:szCs w:val="24"/>
          <w:lang w:val="ro-RO"/>
        </w:rPr>
        <w:t xml:space="preserve"> în anul 2012, în calitate de </w:t>
      </w:r>
      <w:r w:rsidR="007B7D1D">
        <w:rPr>
          <w:rFonts w:ascii="Times New Roman" w:hAnsi="Times New Roman" w:cs="Times New Roman"/>
          <w:sz w:val="24"/>
          <w:szCs w:val="24"/>
          <w:lang w:val="ro-RO"/>
        </w:rPr>
        <w:t xml:space="preserve">timp de </w:t>
      </w:r>
      <w:r w:rsidR="004467E7" w:rsidRPr="004467E7">
        <w:rPr>
          <w:rFonts w:ascii="Times New Roman" w:hAnsi="Times New Roman" w:cs="Times New Roman"/>
          <w:sz w:val="24"/>
          <w:szCs w:val="24"/>
          <w:lang w:val="ro-RO"/>
        </w:rPr>
        <w:t>referință. Numai pentru 15 din 22 de țări da</w:t>
      </w:r>
      <w:r w:rsidR="00C36057">
        <w:rPr>
          <w:rFonts w:ascii="Times New Roman" w:hAnsi="Times New Roman" w:cs="Times New Roman"/>
          <w:sz w:val="24"/>
          <w:szCs w:val="24"/>
          <w:lang w:val="ro-RO"/>
        </w:rPr>
        <w:t>telor statistice a fost complete</w:t>
      </w:r>
      <w:r w:rsidR="004467E7" w:rsidRPr="004467E7">
        <w:rPr>
          <w:rFonts w:ascii="Times New Roman" w:hAnsi="Times New Roman" w:cs="Times New Roman"/>
          <w:sz w:val="24"/>
          <w:szCs w:val="24"/>
          <w:lang w:val="ro-RO"/>
        </w:rPr>
        <w:t xml:space="preserve"> și disponibile pe Baza de date a Comisiei Europene (Figura nr. 4).</w:t>
      </w:r>
    </w:p>
    <w:p w:rsidR="004467E7" w:rsidRDefault="004467E7" w:rsidP="00F605F2">
      <w:pPr>
        <w:spacing w:after="0" w:line="240" w:lineRule="auto"/>
        <w:ind w:firstLine="720"/>
        <w:jc w:val="both"/>
        <w:rPr>
          <w:rFonts w:ascii="Times New Roman" w:hAnsi="Times New Roman" w:cs="Times New Roman"/>
          <w:sz w:val="24"/>
          <w:szCs w:val="24"/>
          <w:lang w:val="ro-RO"/>
        </w:rPr>
      </w:pPr>
      <w:r w:rsidRPr="004467E7">
        <w:rPr>
          <w:rFonts w:ascii="Times New Roman" w:hAnsi="Times New Roman" w:cs="Times New Roman"/>
          <w:sz w:val="24"/>
          <w:szCs w:val="24"/>
          <w:lang w:val="ro-RO"/>
        </w:rPr>
        <w:t>După cum se poate observa în figura de mai sus, cel mai înalt nivel al PIB-ului a fost reprezentat de pa</w:t>
      </w:r>
      <w:r w:rsidR="00C2559F">
        <w:rPr>
          <w:rFonts w:ascii="Times New Roman" w:hAnsi="Times New Roman" w:cs="Times New Roman"/>
          <w:sz w:val="24"/>
          <w:szCs w:val="24"/>
          <w:lang w:val="ro-RO"/>
        </w:rPr>
        <w:t>tru țări din 15, ca: SUA cu 12643.</w:t>
      </w:r>
      <w:r w:rsidRPr="004467E7">
        <w:rPr>
          <w:rFonts w:ascii="Times New Roman" w:hAnsi="Times New Roman" w:cs="Times New Roman"/>
          <w:sz w:val="24"/>
          <w:szCs w:val="24"/>
          <w:lang w:val="ro-RO"/>
        </w:rPr>
        <w:t>7 miliarde €</w:t>
      </w:r>
      <w:r w:rsidR="00C2559F">
        <w:rPr>
          <w:rFonts w:ascii="Times New Roman" w:hAnsi="Times New Roman" w:cs="Times New Roman"/>
          <w:sz w:val="24"/>
          <w:szCs w:val="24"/>
          <w:lang w:val="ro-RO"/>
        </w:rPr>
        <w:t>, Japonia cu € 4</w:t>
      </w:r>
      <w:r w:rsidRPr="004467E7">
        <w:rPr>
          <w:rFonts w:ascii="Times New Roman" w:hAnsi="Times New Roman" w:cs="Times New Roman"/>
          <w:sz w:val="24"/>
          <w:szCs w:val="24"/>
          <w:lang w:val="ro-RO"/>
        </w:rPr>
        <w:t>621</w:t>
      </w:r>
      <w:r w:rsidR="00C2559F">
        <w:rPr>
          <w:rFonts w:ascii="Times New Roman" w:hAnsi="Times New Roman" w:cs="Times New Roman"/>
          <w:sz w:val="24"/>
          <w:szCs w:val="24"/>
          <w:lang w:val="ro-RO"/>
        </w:rPr>
        <w:t>,</w:t>
      </w:r>
      <w:r w:rsidRPr="004467E7">
        <w:rPr>
          <w:rFonts w:ascii="Times New Roman" w:hAnsi="Times New Roman" w:cs="Times New Roman"/>
          <w:sz w:val="24"/>
          <w:szCs w:val="24"/>
          <w:lang w:val="ro-RO"/>
        </w:rPr>
        <w:t>5</w:t>
      </w:r>
      <w:r w:rsidR="00C2559F">
        <w:rPr>
          <w:rFonts w:ascii="Times New Roman" w:hAnsi="Times New Roman" w:cs="Times New Roman"/>
          <w:sz w:val="24"/>
          <w:szCs w:val="24"/>
          <w:lang w:val="ro-RO"/>
        </w:rPr>
        <w:t xml:space="preserve"> miliarde, Canada cu</w:t>
      </w:r>
      <w:r w:rsidRPr="004467E7">
        <w:rPr>
          <w:rFonts w:ascii="Times New Roman" w:hAnsi="Times New Roman" w:cs="Times New Roman"/>
          <w:sz w:val="24"/>
          <w:szCs w:val="24"/>
          <w:lang w:val="ro-RO"/>
        </w:rPr>
        <w:t xml:space="preserve"> </w:t>
      </w:r>
      <w:r w:rsidR="00C2559F">
        <w:rPr>
          <w:rFonts w:ascii="Times New Roman" w:hAnsi="Times New Roman" w:cs="Times New Roman"/>
          <w:sz w:val="24"/>
          <w:szCs w:val="24"/>
          <w:lang w:val="ro-RO"/>
        </w:rPr>
        <w:t>1417,7 miliarde €, și Australia cu</w:t>
      </w:r>
      <w:r w:rsidRPr="004467E7">
        <w:rPr>
          <w:rFonts w:ascii="Times New Roman" w:hAnsi="Times New Roman" w:cs="Times New Roman"/>
          <w:sz w:val="24"/>
          <w:szCs w:val="24"/>
          <w:lang w:val="ro-RO"/>
        </w:rPr>
        <w:t xml:space="preserve"> </w:t>
      </w:r>
      <w:r w:rsidR="00C2559F">
        <w:rPr>
          <w:rFonts w:ascii="Times New Roman" w:hAnsi="Times New Roman" w:cs="Times New Roman"/>
          <w:sz w:val="24"/>
          <w:szCs w:val="24"/>
          <w:lang w:val="ro-RO"/>
        </w:rPr>
        <w:t>1</w:t>
      </w:r>
      <w:r w:rsidRPr="004467E7">
        <w:rPr>
          <w:rFonts w:ascii="Times New Roman" w:hAnsi="Times New Roman" w:cs="Times New Roman"/>
          <w:sz w:val="24"/>
          <w:szCs w:val="24"/>
          <w:lang w:val="ro-RO"/>
        </w:rPr>
        <w:t>192</w:t>
      </w:r>
      <w:r w:rsidR="00C2559F">
        <w:rPr>
          <w:rFonts w:ascii="Times New Roman" w:hAnsi="Times New Roman" w:cs="Times New Roman"/>
          <w:sz w:val="24"/>
          <w:szCs w:val="24"/>
          <w:lang w:val="ro-RO"/>
        </w:rPr>
        <w:t>,</w:t>
      </w:r>
      <w:r w:rsidRPr="004467E7">
        <w:rPr>
          <w:rFonts w:ascii="Times New Roman" w:hAnsi="Times New Roman" w:cs="Times New Roman"/>
          <w:sz w:val="24"/>
          <w:szCs w:val="24"/>
          <w:lang w:val="ro-RO"/>
        </w:rPr>
        <w:t>7</w:t>
      </w:r>
      <w:r w:rsidR="00C2559F">
        <w:rPr>
          <w:rFonts w:ascii="Times New Roman" w:hAnsi="Times New Roman" w:cs="Times New Roman"/>
          <w:sz w:val="24"/>
          <w:szCs w:val="24"/>
          <w:lang w:val="ro-RO"/>
        </w:rPr>
        <w:t xml:space="preserve"> miliarde</w:t>
      </w:r>
      <w:r w:rsidRPr="004467E7">
        <w:rPr>
          <w:rFonts w:ascii="Times New Roman" w:hAnsi="Times New Roman" w:cs="Times New Roman"/>
          <w:sz w:val="24"/>
          <w:szCs w:val="24"/>
          <w:lang w:val="ro-RO"/>
        </w:rPr>
        <w:t xml:space="preserve"> €. Acestea au fost urmat</w:t>
      </w:r>
      <w:r w:rsidR="00C2559F">
        <w:rPr>
          <w:rFonts w:ascii="Times New Roman" w:hAnsi="Times New Roman" w:cs="Times New Roman"/>
          <w:sz w:val="24"/>
          <w:szCs w:val="24"/>
          <w:lang w:val="ro-RO"/>
        </w:rPr>
        <w:t>e de Coreea de Sud (951,7 miliarde</w:t>
      </w:r>
      <w:r w:rsidRPr="004467E7">
        <w:rPr>
          <w:rFonts w:ascii="Times New Roman" w:hAnsi="Times New Roman" w:cs="Times New Roman"/>
          <w:sz w:val="24"/>
          <w:szCs w:val="24"/>
          <w:lang w:val="ro-RO"/>
        </w:rPr>
        <w:t xml:space="preserve"> €), și Mexic (923</w:t>
      </w:r>
      <w:r w:rsidR="00C2559F">
        <w:rPr>
          <w:rFonts w:ascii="Times New Roman" w:hAnsi="Times New Roman" w:cs="Times New Roman"/>
          <w:sz w:val="24"/>
          <w:szCs w:val="24"/>
          <w:lang w:val="ro-RO"/>
        </w:rPr>
        <w:t>,</w:t>
      </w:r>
      <w:r w:rsidRPr="004467E7">
        <w:rPr>
          <w:rFonts w:ascii="Times New Roman" w:hAnsi="Times New Roman" w:cs="Times New Roman"/>
          <w:sz w:val="24"/>
          <w:szCs w:val="24"/>
          <w:lang w:val="ro-RO"/>
        </w:rPr>
        <w:t>5</w:t>
      </w:r>
      <w:r w:rsidR="00C2559F">
        <w:rPr>
          <w:rFonts w:ascii="Times New Roman" w:hAnsi="Times New Roman" w:cs="Times New Roman"/>
          <w:sz w:val="24"/>
          <w:szCs w:val="24"/>
          <w:lang w:val="ro-RO"/>
        </w:rPr>
        <w:t xml:space="preserve"> miliarde €). Cele mai scăzute nivele</w:t>
      </w:r>
      <w:r w:rsidRPr="004467E7">
        <w:rPr>
          <w:rFonts w:ascii="Times New Roman" w:hAnsi="Times New Roman" w:cs="Times New Roman"/>
          <w:sz w:val="24"/>
          <w:szCs w:val="24"/>
          <w:lang w:val="ro-RO"/>
        </w:rPr>
        <w:t xml:space="preserve"> a</w:t>
      </w:r>
      <w:r w:rsidR="00C2559F">
        <w:rPr>
          <w:rFonts w:ascii="Times New Roman" w:hAnsi="Times New Roman" w:cs="Times New Roman"/>
          <w:sz w:val="24"/>
          <w:szCs w:val="24"/>
          <w:lang w:val="ro-RO"/>
        </w:rPr>
        <w:t>u</w:t>
      </w:r>
      <w:r w:rsidRPr="004467E7">
        <w:rPr>
          <w:rFonts w:ascii="Times New Roman" w:hAnsi="Times New Roman" w:cs="Times New Roman"/>
          <w:sz w:val="24"/>
          <w:szCs w:val="24"/>
          <w:lang w:val="ro-RO"/>
        </w:rPr>
        <w:t xml:space="preserve"> fost reprezentat</w:t>
      </w:r>
      <w:r w:rsidR="00C2559F">
        <w:rPr>
          <w:rFonts w:ascii="Times New Roman" w:hAnsi="Times New Roman" w:cs="Times New Roman"/>
          <w:sz w:val="24"/>
          <w:szCs w:val="24"/>
          <w:lang w:val="ro-RO"/>
        </w:rPr>
        <w:t>e</w:t>
      </w:r>
      <w:r w:rsidRPr="004467E7">
        <w:rPr>
          <w:rFonts w:ascii="Times New Roman" w:hAnsi="Times New Roman" w:cs="Times New Roman"/>
          <w:sz w:val="24"/>
          <w:szCs w:val="24"/>
          <w:lang w:val="ro-RO"/>
        </w:rPr>
        <w:t xml:space="preserve"> de căt</w:t>
      </w:r>
      <w:r w:rsidR="00C2559F">
        <w:rPr>
          <w:rFonts w:ascii="Times New Roman" w:hAnsi="Times New Roman" w:cs="Times New Roman"/>
          <w:sz w:val="24"/>
          <w:szCs w:val="24"/>
          <w:lang w:val="ro-RO"/>
        </w:rPr>
        <w:t>re Noua Zeelandă de 133,5 miliarde</w:t>
      </w:r>
      <w:r w:rsidRPr="004467E7">
        <w:rPr>
          <w:rFonts w:ascii="Times New Roman" w:hAnsi="Times New Roman" w:cs="Times New Roman"/>
          <w:sz w:val="24"/>
          <w:szCs w:val="24"/>
          <w:lang w:val="ro-RO"/>
        </w:rPr>
        <w:t xml:space="preserve"> €, și Islanda cu 10,6 miliarde €.</w:t>
      </w:r>
    </w:p>
    <w:p w:rsidR="00CB4419" w:rsidRDefault="004467E7" w:rsidP="00F605F2">
      <w:pPr>
        <w:spacing w:after="0" w:line="240" w:lineRule="auto"/>
        <w:ind w:firstLine="720"/>
        <w:jc w:val="both"/>
        <w:rPr>
          <w:rFonts w:ascii="Times New Roman" w:hAnsi="Times New Roman" w:cs="Times New Roman"/>
          <w:sz w:val="24"/>
          <w:szCs w:val="24"/>
          <w:lang w:val="ro-RO"/>
        </w:rPr>
      </w:pPr>
      <w:r w:rsidRPr="004467E7">
        <w:rPr>
          <w:rFonts w:ascii="Times New Roman" w:hAnsi="Times New Roman" w:cs="Times New Roman"/>
          <w:sz w:val="24"/>
          <w:szCs w:val="24"/>
          <w:lang w:val="ro-RO"/>
        </w:rPr>
        <w:t>În ceea ce privește comerț</w:t>
      </w:r>
      <w:r w:rsidR="00F45E92">
        <w:rPr>
          <w:rFonts w:ascii="Times New Roman" w:hAnsi="Times New Roman" w:cs="Times New Roman"/>
          <w:sz w:val="24"/>
          <w:szCs w:val="24"/>
          <w:lang w:val="ro-RO"/>
        </w:rPr>
        <w:t>ul UE privind</w:t>
      </w:r>
      <w:r w:rsidRPr="004467E7">
        <w:rPr>
          <w:rFonts w:ascii="Times New Roman" w:hAnsi="Times New Roman" w:cs="Times New Roman"/>
          <w:sz w:val="24"/>
          <w:szCs w:val="24"/>
          <w:lang w:val="ro-RO"/>
        </w:rPr>
        <w:t xml:space="preserve"> servicii</w:t>
      </w:r>
      <w:r w:rsidR="00F45E92">
        <w:rPr>
          <w:rFonts w:ascii="Times New Roman" w:hAnsi="Times New Roman" w:cs="Times New Roman"/>
          <w:sz w:val="24"/>
          <w:szCs w:val="24"/>
          <w:lang w:val="ro-RO"/>
        </w:rPr>
        <w:t>le</w:t>
      </w:r>
      <w:r w:rsidRPr="004467E7">
        <w:rPr>
          <w:rFonts w:ascii="Times New Roman" w:hAnsi="Times New Roman" w:cs="Times New Roman"/>
          <w:sz w:val="24"/>
          <w:szCs w:val="24"/>
          <w:lang w:val="ro-RO"/>
        </w:rPr>
        <w:t xml:space="preserve"> comerciale cu aceste țări, în partea de sus a listei </w:t>
      </w:r>
      <w:r w:rsidR="0055203F">
        <w:rPr>
          <w:rFonts w:ascii="Times New Roman" w:hAnsi="Times New Roman" w:cs="Times New Roman"/>
          <w:sz w:val="24"/>
          <w:szCs w:val="24"/>
          <w:lang w:val="ro-RO"/>
        </w:rPr>
        <w:t>și-a fă</w:t>
      </w:r>
      <w:r w:rsidRPr="004467E7">
        <w:rPr>
          <w:rFonts w:ascii="Times New Roman" w:hAnsi="Times New Roman" w:cs="Times New Roman"/>
          <w:sz w:val="24"/>
          <w:szCs w:val="24"/>
          <w:lang w:val="ro-RO"/>
        </w:rPr>
        <w:t>cut loc Elveția. Astfel, cel mai înalt nivel a f</w:t>
      </w:r>
      <w:r w:rsidR="0055203F">
        <w:rPr>
          <w:rFonts w:ascii="Times New Roman" w:hAnsi="Times New Roman" w:cs="Times New Roman"/>
          <w:sz w:val="24"/>
          <w:szCs w:val="24"/>
          <w:lang w:val="ro-RO"/>
        </w:rPr>
        <w:t>ost atins de SUA cu 155.95 miliarde €, urmate de Elveția cu 70,75 miliarde € (cu un PIB de 491,</w:t>
      </w:r>
      <w:r w:rsidRPr="004467E7">
        <w:rPr>
          <w:rFonts w:ascii="Times New Roman" w:hAnsi="Times New Roman" w:cs="Times New Roman"/>
          <w:sz w:val="24"/>
          <w:szCs w:val="24"/>
          <w:lang w:val="ro-RO"/>
        </w:rPr>
        <w:t>3 miliarde</w:t>
      </w:r>
      <w:r w:rsidR="0055203F">
        <w:rPr>
          <w:rFonts w:ascii="Times New Roman" w:hAnsi="Times New Roman" w:cs="Times New Roman"/>
          <w:sz w:val="24"/>
          <w:szCs w:val="24"/>
          <w:lang w:val="ro-RO"/>
        </w:rPr>
        <w:t xml:space="preserve"> €), iar Japonia cu 20,</w:t>
      </w:r>
      <w:r w:rsidRPr="004467E7">
        <w:rPr>
          <w:rFonts w:ascii="Times New Roman" w:hAnsi="Times New Roman" w:cs="Times New Roman"/>
          <w:sz w:val="24"/>
          <w:szCs w:val="24"/>
          <w:lang w:val="ro-RO"/>
        </w:rPr>
        <w:t xml:space="preserve">1 miliarde €. Cele </w:t>
      </w:r>
      <w:r w:rsidRPr="004467E7">
        <w:rPr>
          <w:rFonts w:ascii="Times New Roman" w:hAnsi="Times New Roman" w:cs="Times New Roman"/>
          <w:sz w:val="24"/>
          <w:szCs w:val="24"/>
          <w:lang w:val="ro-RO"/>
        </w:rPr>
        <w:lastRenderedPageBreak/>
        <w:t>mai scăzute niveluri a</w:t>
      </w:r>
      <w:r w:rsidR="0055203F">
        <w:rPr>
          <w:rFonts w:ascii="Times New Roman" w:hAnsi="Times New Roman" w:cs="Times New Roman"/>
          <w:sz w:val="24"/>
          <w:szCs w:val="24"/>
          <w:lang w:val="ro-RO"/>
        </w:rPr>
        <w:t>u</w:t>
      </w:r>
      <w:r w:rsidRPr="004467E7">
        <w:rPr>
          <w:rFonts w:ascii="Times New Roman" w:hAnsi="Times New Roman" w:cs="Times New Roman"/>
          <w:sz w:val="24"/>
          <w:szCs w:val="24"/>
          <w:lang w:val="ro-RO"/>
        </w:rPr>
        <w:t xml:space="preserve"> fost reprezentat de către Noua Zeelandă (1,9 miliarde €) și Islanda (0,6 miliarde €).</w:t>
      </w:r>
    </w:p>
    <w:p w:rsidR="004467E7" w:rsidRPr="00D57FA0" w:rsidRDefault="004467E7" w:rsidP="00F605F2">
      <w:pPr>
        <w:spacing w:after="0" w:line="240" w:lineRule="auto"/>
        <w:ind w:firstLine="720"/>
        <w:jc w:val="both"/>
        <w:rPr>
          <w:rFonts w:ascii="Times New Roman" w:hAnsi="Times New Roman" w:cs="Times New Roman"/>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r>
        <w:rPr>
          <w:noProof/>
        </w:rPr>
        <w:drawing>
          <wp:anchor distT="0" distB="0" distL="114300" distR="114300" simplePos="0" relativeHeight="251667456" behindDoc="1" locked="0" layoutInCell="1" allowOverlap="1">
            <wp:simplePos x="0" y="0"/>
            <wp:positionH relativeFrom="margin">
              <wp:align>center</wp:align>
            </wp:positionH>
            <wp:positionV relativeFrom="paragraph">
              <wp:posOffset>1905</wp:posOffset>
            </wp:positionV>
            <wp:extent cx="4572000" cy="2743200"/>
            <wp:effectExtent l="0" t="0" r="0" b="0"/>
            <wp:wrapTight wrapText="bothSides">
              <wp:wrapPolygon edited="0">
                <wp:start x="0" y="0"/>
                <wp:lineTo x="0" y="21450"/>
                <wp:lineTo x="21510" y="21450"/>
                <wp:lineTo x="21510"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3806C4" w:rsidRDefault="003806C4" w:rsidP="00114A12">
      <w:pPr>
        <w:spacing w:after="0" w:line="240" w:lineRule="auto"/>
        <w:jc w:val="center"/>
        <w:rPr>
          <w:rFonts w:ascii="Times New Roman" w:hAnsi="Times New Roman" w:cs="Times New Roman"/>
          <w:b/>
          <w:sz w:val="24"/>
          <w:szCs w:val="24"/>
          <w:lang w:val="ro-RO"/>
        </w:rPr>
      </w:pPr>
    </w:p>
    <w:p w:rsidR="00ED790A" w:rsidRDefault="00ED790A" w:rsidP="00114A12">
      <w:pPr>
        <w:spacing w:after="0" w:line="240" w:lineRule="auto"/>
        <w:jc w:val="center"/>
        <w:rPr>
          <w:rFonts w:ascii="Times New Roman" w:hAnsi="Times New Roman" w:cs="Times New Roman"/>
          <w:b/>
          <w:sz w:val="24"/>
          <w:szCs w:val="24"/>
          <w:lang w:val="ro-RO"/>
        </w:rPr>
      </w:pPr>
      <w:r w:rsidRPr="00ED790A">
        <w:rPr>
          <w:rFonts w:ascii="Times New Roman" w:hAnsi="Times New Roman" w:cs="Times New Roman"/>
          <w:b/>
          <w:sz w:val="24"/>
          <w:szCs w:val="24"/>
          <w:lang w:val="ro-RO"/>
        </w:rPr>
        <w:t>Figura nr. 5. Ponderea serviciilor în raport cu PIB, în 2012</w:t>
      </w:r>
    </w:p>
    <w:p w:rsidR="00ED790A" w:rsidRDefault="00ED790A" w:rsidP="004B2EA4">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Sursa: P</w:t>
      </w:r>
      <w:r w:rsidRPr="007F36C3">
        <w:rPr>
          <w:rFonts w:ascii="Times New Roman" w:hAnsi="Times New Roman" w:cs="Times New Roman"/>
          <w:sz w:val="20"/>
          <w:szCs w:val="20"/>
          <w:lang w:val="ro-RO"/>
        </w:rPr>
        <w:t xml:space="preserve">relucrare proprie după baza de date </w:t>
      </w:r>
      <w:r>
        <w:rPr>
          <w:rFonts w:ascii="Times New Roman" w:hAnsi="Times New Roman" w:cs="Times New Roman"/>
          <w:sz w:val="20"/>
          <w:szCs w:val="20"/>
          <w:lang w:val="ro-RO"/>
        </w:rPr>
        <w:t>a Comisiei Europene</w:t>
      </w:r>
    </w:p>
    <w:p w:rsidR="00256C7D" w:rsidRPr="00D57FA0" w:rsidRDefault="00256C7D" w:rsidP="00114A12">
      <w:pPr>
        <w:spacing w:after="0" w:line="240" w:lineRule="auto"/>
        <w:ind w:firstLine="720"/>
        <w:jc w:val="center"/>
        <w:rPr>
          <w:rFonts w:ascii="Times New Roman" w:hAnsi="Times New Roman" w:cs="Times New Roman"/>
          <w:sz w:val="24"/>
          <w:szCs w:val="24"/>
          <w:lang w:val="ro-RO"/>
        </w:rPr>
      </w:pPr>
    </w:p>
    <w:p w:rsidR="0079487E" w:rsidRDefault="004B2EA4" w:rsidP="00CB6DF3">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De mare interes</w:t>
      </w:r>
      <w:r w:rsidR="0079487E" w:rsidRPr="0079487E">
        <w:rPr>
          <w:rFonts w:ascii="Times New Roman" w:hAnsi="Times New Roman" w:cs="Times New Roman"/>
          <w:sz w:val="24"/>
          <w:szCs w:val="24"/>
          <w:lang w:val="ro-RO"/>
        </w:rPr>
        <w:t xml:space="preserve"> a fost faptul că ponderea comerțului internațional cu servicii comerciale cu UE a fost mai reprezentativ pentru Elveția cu 14,4% în raport cu PIB-ul</w:t>
      </w:r>
      <w:r w:rsidR="001C0F02">
        <w:rPr>
          <w:rFonts w:ascii="Times New Roman" w:hAnsi="Times New Roman" w:cs="Times New Roman"/>
          <w:sz w:val="24"/>
          <w:szCs w:val="24"/>
          <w:lang w:val="ro-RO"/>
        </w:rPr>
        <w:t xml:space="preserve"> acestei țări</w:t>
      </w:r>
      <w:r w:rsidR="0079487E" w:rsidRPr="0079487E">
        <w:rPr>
          <w:rFonts w:ascii="Times New Roman" w:hAnsi="Times New Roman" w:cs="Times New Roman"/>
          <w:sz w:val="24"/>
          <w:szCs w:val="24"/>
          <w:lang w:val="ro-RO"/>
        </w:rPr>
        <w:t xml:space="preserve"> (Figura nr. 5). Cea de a doua a fost Islanda, cu 5,66%. Restul țărilor din 15 au reprezentat un procent mai puțin de 5% din comerțul servicii cu UE, în raport cu PIB-ul lor. Chiar și Statele Unite ale Americii au reprezentat doar 1,23%. Putem concluziona că exporturile și importurile în domeniul serviciilor cu UE este mai important pentru țările (c</w:t>
      </w:r>
      <w:r w:rsidR="001C0F02">
        <w:rPr>
          <w:rFonts w:ascii="Times New Roman" w:hAnsi="Times New Roman" w:cs="Times New Roman"/>
          <w:sz w:val="24"/>
          <w:szCs w:val="24"/>
          <w:lang w:val="ro-RO"/>
        </w:rPr>
        <w:t>are sunt părți la negocieri TiSA)</w:t>
      </w:r>
      <w:r w:rsidR="0079487E" w:rsidRPr="0079487E">
        <w:rPr>
          <w:rFonts w:ascii="Times New Roman" w:hAnsi="Times New Roman" w:cs="Times New Roman"/>
          <w:sz w:val="24"/>
          <w:szCs w:val="24"/>
          <w:lang w:val="ro-RO"/>
        </w:rPr>
        <w:t xml:space="preserve"> ca Elveția, Islanda, Hong Kong China (4,79%), Norvegia (4,56%). Dar pentru țări ca Japonia (0,43%), Mexic (0,56%), Coreea (0,75%), Canada (0,95%), precum și Australia (1,14%), comerțul internațional cu UE nu se bazează pe sectorul serviciilor.</w:t>
      </w:r>
    </w:p>
    <w:p w:rsidR="0079487E" w:rsidRDefault="000471B3" w:rsidP="00F605F2">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Astăzi, putem vedea o</w:t>
      </w:r>
      <w:r w:rsidR="0079487E" w:rsidRPr="0079487E">
        <w:rPr>
          <w:rFonts w:ascii="Times New Roman" w:hAnsi="Times New Roman" w:cs="Times New Roman"/>
          <w:sz w:val="24"/>
          <w:szCs w:val="24"/>
          <w:lang w:val="ro-RO"/>
        </w:rPr>
        <w:t xml:space="preserve"> importanță tot mai mare privind comerțul cu servicii la nivel mondial. Un număr considerabil de companii văd mai multe beneficii prin practicarea acestui tip de comerț. UE a contribuit în mod </w:t>
      </w:r>
      <w:r>
        <w:rPr>
          <w:rFonts w:ascii="Times New Roman" w:hAnsi="Times New Roman" w:cs="Times New Roman"/>
          <w:sz w:val="24"/>
          <w:szCs w:val="24"/>
          <w:lang w:val="ro-RO"/>
        </w:rPr>
        <w:t>semnificativ la negocierile TiSA</w:t>
      </w:r>
      <w:r w:rsidR="0079487E" w:rsidRPr="0079487E">
        <w:rPr>
          <w:rFonts w:ascii="Times New Roman" w:hAnsi="Times New Roman" w:cs="Times New Roman"/>
          <w:sz w:val="24"/>
          <w:szCs w:val="24"/>
          <w:lang w:val="ro-RO"/>
        </w:rPr>
        <w:t xml:space="preserve"> care se bazează pe texte depuse de țările participante. </w:t>
      </w:r>
      <w:r>
        <w:rPr>
          <w:rFonts w:ascii="Times New Roman" w:hAnsi="Times New Roman" w:cs="Times New Roman"/>
          <w:sz w:val="24"/>
          <w:szCs w:val="24"/>
          <w:lang w:val="ro-RO"/>
        </w:rPr>
        <w:t>T</w:t>
      </w:r>
      <w:r w:rsidR="0079487E" w:rsidRPr="0079487E">
        <w:rPr>
          <w:rFonts w:ascii="Times New Roman" w:hAnsi="Times New Roman" w:cs="Times New Roman"/>
          <w:sz w:val="24"/>
          <w:szCs w:val="24"/>
          <w:lang w:val="ro-RO"/>
        </w:rPr>
        <w:t>extele prezent</w:t>
      </w:r>
      <w:r w:rsidR="00BB4976">
        <w:rPr>
          <w:rFonts w:ascii="Times New Roman" w:hAnsi="Times New Roman" w:cs="Times New Roman"/>
          <w:sz w:val="24"/>
          <w:szCs w:val="24"/>
          <w:lang w:val="ro-RO"/>
        </w:rPr>
        <w:t>ate de UE reprezintă în primul rând un acord al</w:t>
      </w:r>
      <w:r w:rsidR="00216609">
        <w:rPr>
          <w:rFonts w:ascii="Times New Roman" w:hAnsi="Times New Roman" w:cs="Times New Roman"/>
          <w:sz w:val="24"/>
          <w:szCs w:val="24"/>
          <w:lang w:val="ro-RO"/>
        </w:rPr>
        <w:t xml:space="preserve"> guvernelor</w:t>
      </w:r>
      <w:r w:rsidR="0079487E" w:rsidRPr="0079487E">
        <w:rPr>
          <w:rFonts w:ascii="Times New Roman" w:hAnsi="Times New Roman" w:cs="Times New Roman"/>
          <w:sz w:val="24"/>
          <w:szCs w:val="24"/>
          <w:lang w:val="ro-RO"/>
        </w:rPr>
        <w:t xml:space="preserve"> stat</w:t>
      </w:r>
      <w:r w:rsidR="00216609">
        <w:rPr>
          <w:rFonts w:ascii="Times New Roman" w:hAnsi="Times New Roman" w:cs="Times New Roman"/>
          <w:sz w:val="24"/>
          <w:szCs w:val="24"/>
          <w:lang w:val="ro-RO"/>
        </w:rPr>
        <w:t>elor membre ale UE, transparența</w:t>
      </w:r>
      <w:r w:rsidR="0079487E" w:rsidRPr="0079487E">
        <w:rPr>
          <w:rFonts w:ascii="Times New Roman" w:hAnsi="Times New Roman" w:cs="Times New Roman"/>
          <w:sz w:val="24"/>
          <w:szCs w:val="24"/>
          <w:lang w:val="ro-RO"/>
        </w:rPr>
        <w:t xml:space="preserve"> fiind important</w:t>
      </w:r>
      <w:r w:rsidR="004A0944">
        <w:rPr>
          <w:rFonts w:ascii="Times New Roman" w:hAnsi="Times New Roman" w:cs="Times New Roman"/>
          <w:sz w:val="24"/>
          <w:szCs w:val="24"/>
          <w:lang w:val="ro-RO"/>
        </w:rPr>
        <w:t>ă</w:t>
      </w:r>
      <w:r w:rsidR="0079487E" w:rsidRPr="0079487E">
        <w:rPr>
          <w:rFonts w:ascii="Times New Roman" w:hAnsi="Times New Roman" w:cs="Times New Roman"/>
          <w:sz w:val="24"/>
          <w:szCs w:val="24"/>
          <w:lang w:val="ro-RO"/>
        </w:rPr>
        <w:t xml:space="preserve"> pentru Comisia Europeană.</w:t>
      </w:r>
    </w:p>
    <w:p w:rsidR="001C1163" w:rsidRDefault="0079487E" w:rsidP="001C1163">
      <w:pPr>
        <w:spacing w:after="0" w:line="240" w:lineRule="auto"/>
        <w:ind w:firstLine="720"/>
        <w:jc w:val="both"/>
        <w:rPr>
          <w:rFonts w:ascii="Times New Roman" w:hAnsi="Times New Roman" w:cs="Times New Roman"/>
          <w:sz w:val="24"/>
          <w:szCs w:val="24"/>
          <w:lang w:val="ro-RO"/>
        </w:rPr>
      </w:pPr>
      <w:r w:rsidRPr="0079487E">
        <w:rPr>
          <w:rFonts w:ascii="Times New Roman" w:hAnsi="Times New Roman" w:cs="Times New Roman"/>
          <w:sz w:val="24"/>
          <w:szCs w:val="24"/>
          <w:lang w:val="ro-RO"/>
        </w:rPr>
        <w:t>Ideile UE privind modul în care acor</w:t>
      </w:r>
      <w:r w:rsidR="004A0944">
        <w:rPr>
          <w:rFonts w:ascii="Times New Roman" w:hAnsi="Times New Roman" w:cs="Times New Roman"/>
          <w:sz w:val="24"/>
          <w:szCs w:val="24"/>
          <w:lang w:val="ro-RO"/>
        </w:rPr>
        <w:t>dul ar trebui să fie structurat</w:t>
      </w:r>
      <w:r w:rsidRPr="0079487E">
        <w:rPr>
          <w:rFonts w:ascii="Times New Roman" w:hAnsi="Times New Roman" w:cs="Times New Roman"/>
          <w:sz w:val="24"/>
          <w:szCs w:val="24"/>
          <w:lang w:val="ro-RO"/>
        </w:rPr>
        <w:t xml:space="preserve"> sunt prevăzute într-un document concept, </w:t>
      </w:r>
      <w:r w:rsidR="004A0944">
        <w:rPr>
          <w:rFonts w:ascii="Times New Roman" w:hAnsi="Times New Roman" w:cs="Times New Roman"/>
          <w:sz w:val="24"/>
          <w:szCs w:val="24"/>
          <w:lang w:val="ro-RO"/>
        </w:rPr>
        <w:t>intitulat</w:t>
      </w:r>
      <w:r w:rsidRPr="0079487E">
        <w:rPr>
          <w:rFonts w:ascii="Times New Roman" w:hAnsi="Times New Roman" w:cs="Times New Roman"/>
          <w:sz w:val="24"/>
          <w:szCs w:val="24"/>
          <w:lang w:val="ro-RO"/>
        </w:rPr>
        <w:t xml:space="preserve"> "O abordare modulară a arhi</w:t>
      </w:r>
      <w:r w:rsidR="009E4492">
        <w:rPr>
          <w:rFonts w:ascii="Times New Roman" w:hAnsi="Times New Roman" w:cs="Times New Roman"/>
          <w:sz w:val="24"/>
          <w:szCs w:val="24"/>
          <w:lang w:val="ro-RO"/>
        </w:rPr>
        <w:t>tecturii unui acord plurilateral</w:t>
      </w:r>
      <w:r w:rsidRPr="0079487E">
        <w:rPr>
          <w:rFonts w:ascii="Times New Roman" w:hAnsi="Times New Roman" w:cs="Times New Roman"/>
          <w:sz w:val="24"/>
          <w:szCs w:val="24"/>
          <w:lang w:val="ro-RO"/>
        </w:rPr>
        <w:t xml:space="preserve"> privind serviciile", publicat online de </w:t>
      </w:r>
      <w:r w:rsidR="009E4492">
        <w:rPr>
          <w:rFonts w:ascii="Times New Roman" w:hAnsi="Times New Roman" w:cs="Times New Roman"/>
          <w:sz w:val="24"/>
          <w:szCs w:val="24"/>
          <w:lang w:val="ro-RO"/>
        </w:rPr>
        <w:t>Comisia Europeană și distribuit în septembrie 2012. Acesta</w:t>
      </w:r>
      <w:r w:rsidRPr="0079487E">
        <w:rPr>
          <w:rFonts w:ascii="Times New Roman" w:hAnsi="Times New Roman" w:cs="Times New Roman"/>
          <w:sz w:val="24"/>
          <w:szCs w:val="24"/>
          <w:lang w:val="ro-RO"/>
        </w:rPr>
        <w:t xml:space="preserve"> include, de asemenea, ideile UE cu privi</w:t>
      </w:r>
      <w:r w:rsidR="009E4492">
        <w:rPr>
          <w:rFonts w:ascii="Times New Roman" w:hAnsi="Times New Roman" w:cs="Times New Roman"/>
          <w:sz w:val="24"/>
          <w:szCs w:val="24"/>
          <w:lang w:val="ro-RO"/>
        </w:rPr>
        <w:t>re la cum să devină acest acord</w:t>
      </w:r>
      <w:r w:rsidRPr="0079487E">
        <w:rPr>
          <w:rFonts w:ascii="Times New Roman" w:hAnsi="Times New Roman" w:cs="Times New Roman"/>
          <w:sz w:val="24"/>
          <w:szCs w:val="24"/>
          <w:lang w:val="ro-RO"/>
        </w:rPr>
        <w:t xml:space="preserve"> o parte din norme</w:t>
      </w:r>
      <w:r w:rsidR="009E4492">
        <w:rPr>
          <w:rFonts w:ascii="Times New Roman" w:hAnsi="Times New Roman" w:cs="Times New Roman"/>
          <w:sz w:val="24"/>
          <w:szCs w:val="24"/>
          <w:lang w:val="ro-RO"/>
        </w:rPr>
        <w:t>le</w:t>
      </w:r>
      <w:r w:rsidRPr="0079487E">
        <w:rPr>
          <w:rFonts w:ascii="Times New Roman" w:hAnsi="Times New Roman" w:cs="Times New Roman"/>
          <w:sz w:val="24"/>
          <w:szCs w:val="24"/>
          <w:lang w:val="ro-RO"/>
        </w:rPr>
        <w:t xml:space="preserve"> generale </w:t>
      </w:r>
      <w:r w:rsidR="00807714">
        <w:rPr>
          <w:rFonts w:ascii="Times New Roman" w:hAnsi="Times New Roman" w:cs="Times New Roman"/>
          <w:sz w:val="24"/>
          <w:szCs w:val="24"/>
          <w:lang w:val="ro-RO"/>
        </w:rPr>
        <w:t xml:space="preserve">ale </w:t>
      </w:r>
      <w:r w:rsidRPr="0079487E">
        <w:rPr>
          <w:rFonts w:ascii="Times New Roman" w:hAnsi="Times New Roman" w:cs="Times New Roman"/>
          <w:sz w:val="24"/>
          <w:szCs w:val="24"/>
          <w:lang w:val="ro-RO"/>
        </w:rPr>
        <w:t xml:space="preserve">Organizației Mondiale a </w:t>
      </w:r>
      <w:r w:rsidR="00807714">
        <w:rPr>
          <w:rFonts w:ascii="Times New Roman" w:hAnsi="Times New Roman" w:cs="Times New Roman"/>
          <w:sz w:val="24"/>
          <w:szCs w:val="24"/>
          <w:lang w:val="ro-RO"/>
        </w:rPr>
        <w:t>Comerțului, în cele din urmă</w:t>
      </w:r>
      <w:r w:rsidRPr="0079487E">
        <w:rPr>
          <w:rFonts w:ascii="Times New Roman" w:hAnsi="Times New Roman" w:cs="Times New Roman"/>
          <w:sz w:val="24"/>
          <w:szCs w:val="24"/>
          <w:lang w:val="ro-RO"/>
        </w:rPr>
        <w:t>.</w:t>
      </w:r>
    </w:p>
    <w:p w:rsidR="0096589E" w:rsidRPr="00D57FA0" w:rsidRDefault="001C1163" w:rsidP="001C1163">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Prezentăm mai jos câ</w:t>
      </w:r>
      <w:r w:rsidR="0079487E" w:rsidRPr="0079487E">
        <w:rPr>
          <w:rFonts w:ascii="Times New Roman" w:hAnsi="Times New Roman" w:cs="Times New Roman"/>
          <w:sz w:val="24"/>
          <w:szCs w:val="24"/>
          <w:lang w:val="ro-RO"/>
        </w:rPr>
        <w:t>teva aspecte generale ale lucrării propuse de Uniunea Europeană. Potrivit</w:t>
      </w:r>
      <w:r>
        <w:rPr>
          <w:rFonts w:ascii="Times New Roman" w:hAnsi="Times New Roman" w:cs="Times New Roman"/>
          <w:sz w:val="24"/>
          <w:szCs w:val="24"/>
          <w:lang w:val="ro-RO"/>
        </w:rPr>
        <w:t xml:space="preserve"> acesteia, participanții la TiSA vor</w:t>
      </w:r>
      <w:r w:rsidR="0079487E" w:rsidRPr="0079487E">
        <w:rPr>
          <w:rFonts w:ascii="Times New Roman" w:hAnsi="Times New Roman" w:cs="Times New Roman"/>
          <w:sz w:val="24"/>
          <w:szCs w:val="24"/>
          <w:lang w:val="ro-RO"/>
        </w:rPr>
        <w:t xml:space="preserve"> lua parte la o mai mare liberalizare a c</w:t>
      </w:r>
      <w:r>
        <w:rPr>
          <w:rFonts w:ascii="Times New Roman" w:hAnsi="Times New Roman" w:cs="Times New Roman"/>
          <w:sz w:val="24"/>
          <w:szCs w:val="24"/>
          <w:lang w:val="ro-RO"/>
        </w:rPr>
        <w:t>omerțului cu servicii, ducând la</w:t>
      </w:r>
      <w:r w:rsidR="0079487E" w:rsidRPr="0079487E">
        <w:rPr>
          <w:rFonts w:ascii="Times New Roman" w:hAnsi="Times New Roman" w:cs="Times New Roman"/>
          <w:sz w:val="24"/>
          <w:szCs w:val="24"/>
          <w:lang w:val="ro-RO"/>
        </w:rPr>
        <w:t xml:space="preserve"> consolidarea în cele din urmă </w:t>
      </w:r>
      <w:r>
        <w:rPr>
          <w:rFonts w:ascii="Times New Roman" w:hAnsi="Times New Roman" w:cs="Times New Roman"/>
          <w:sz w:val="24"/>
          <w:szCs w:val="24"/>
          <w:lang w:val="ro-RO"/>
        </w:rPr>
        <w:t xml:space="preserve">a sistemului </w:t>
      </w:r>
      <w:r w:rsidR="0079487E" w:rsidRPr="0079487E">
        <w:rPr>
          <w:rFonts w:ascii="Times New Roman" w:hAnsi="Times New Roman" w:cs="Times New Roman"/>
          <w:sz w:val="24"/>
          <w:szCs w:val="24"/>
          <w:lang w:val="ro-RO"/>
        </w:rPr>
        <w:t>comercial multilateral:</w:t>
      </w:r>
      <w:r w:rsidR="004D3075" w:rsidRPr="00D57FA0">
        <w:rPr>
          <w:rFonts w:ascii="Times New Roman" w:hAnsi="Times New Roman" w:cs="Times New Roman"/>
          <w:sz w:val="24"/>
          <w:szCs w:val="24"/>
          <w:lang w:val="ro-RO"/>
        </w:rPr>
        <w:tab/>
      </w:r>
    </w:p>
    <w:p w:rsidR="0079487E" w:rsidRDefault="0079487E" w:rsidP="0079487E">
      <w:pPr>
        <w:pStyle w:val="ListParagraph"/>
        <w:numPr>
          <w:ilvl w:val="0"/>
          <w:numId w:val="1"/>
        </w:numPr>
        <w:spacing w:after="0" w:line="240" w:lineRule="auto"/>
        <w:jc w:val="both"/>
        <w:rPr>
          <w:rFonts w:ascii="Times New Roman" w:hAnsi="Times New Roman" w:cs="Times New Roman"/>
          <w:sz w:val="24"/>
          <w:szCs w:val="24"/>
          <w:lang w:val="ro-RO"/>
        </w:rPr>
      </w:pPr>
      <w:r w:rsidRPr="0079487E">
        <w:rPr>
          <w:rFonts w:ascii="Times New Roman" w:hAnsi="Times New Roman" w:cs="Times New Roman"/>
          <w:sz w:val="24"/>
          <w:szCs w:val="24"/>
          <w:lang w:val="ro-RO"/>
        </w:rPr>
        <w:t xml:space="preserve">UE propune să înlocuiască dispozițiile GATS în Acordul plurilateral. Scopul este de a crea o bază solidă pentru negocierea liberalizării suplimentare </w:t>
      </w:r>
      <w:r w:rsidR="009A1BCF">
        <w:rPr>
          <w:rFonts w:ascii="Times New Roman" w:hAnsi="Times New Roman" w:cs="Times New Roman"/>
          <w:sz w:val="24"/>
          <w:szCs w:val="24"/>
          <w:lang w:val="ro-RO"/>
        </w:rPr>
        <w:t xml:space="preserve">a </w:t>
      </w:r>
      <w:r w:rsidRPr="0079487E">
        <w:rPr>
          <w:rFonts w:ascii="Times New Roman" w:hAnsi="Times New Roman" w:cs="Times New Roman"/>
          <w:sz w:val="24"/>
          <w:szCs w:val="24"/>
          <w:lang w:val="ro-RO"/>
        </w:rPr>
        <w:t>serviciilor, asigurând în același timp că angajamentele asumate vor fi pe deplin compatibil</w:t>
      </w:r>
      <w:r w:rsidR="009A1BCF">
        <w:rPr>
          <w:rFonts w:ascii="Times New Roman" w:hAnsi="Times New Roman" w:cs="Times New Roman"/>
          <w:sz w:val="24"/>
          <w:szCs w:val="24"/>
          <w:lang w:val="ro-RO"/>
        </w:rPr>
        <w:t>e</w:t>
      </w:r>
      <w:r w:rsidRPr="0079487E">
        <w:rPr>
          <w:rFonts w:ascii="Times New Roman" w:hAnsi="Times New Roman" w:cs="Times New Roman"/>
          <w:sz w:val="24"/>
          <w:szCs w:val="24"/>
          <w:lang w:val="ro-RO"/>
        </w:rPr>
        <w:t xml:space="preserve"> cu angajamentele GATS existente și ar putea fi în cele din urmă adus la OMC.</w:t>
      </w:r>
    </w:p>
    <w:p w:rsidR="0079487E" w:rsidRPr="0079487E" w:rsidRDefault="009A1BCF" w:rsidP="0079487E">
      <w:pPr>
        <w:pStyle w:val="ListParagraph"/>
        <w:numPr>
          <w:ilvl w:val="0"/>
          <w:numId w:val="1"/>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Părțile la TiSA</w:t>
      </w:r>
      <w:r w:rsidR="0079487E" w:rsidRPr="0079487E">
        <w:rPr>
          <w:rFonts w:ascii="Times New Roman" w:hAnsi="Times New Roman" w:cs="Times New Roman"/>
          <w:sz w:val="24"/>
          <w:szCs w:val="24"/>
          <w:lang w:val="ro-RO"/>
        </w:rPr>
        <w:t xml:space="preserve"> ar putea dezvolta norme și discipline suplimentare, care ar putea acoperi regulament</w:t>
      </w:r>
      <w:r>
        <w:rPr>
          <w:rFonts w:ascii="Times New Roman" w:hAnsi="Times New Roman" w:cs="Times New Roman"/>
          <w:sz w:val="24"/>
          <w:szCs w:val="24"/>
          <w:lang w:val="ro-RO"/>
        </w:rPr>
        <w:t>ul</w:t>
      </w:r>
      <w:r w:rsidR="0079487E" w:rsidRPr="0079487E">
        <w:rPr>
          <w:rFonts w:ascii="Times New Roman" w:hAnsi="Times New Roman" w:cs="Times New Roman"/>
          <w:sz w:val="24"/>
          <w:szCs w:val="24"/>
          <w:lang w:val="ro-RO"/>
        </w:rPr>
        <w:t xml:space="preserve"> intern, servicii TIC, e-commerce sau alte subiecte alese de participanți.</w:t>
      </w:r>
    </w:p>
    <w:p w:rsidR="00FB0449" w:rsidRDefault="0079487E" w:rsidP="00F605F2">
      <w:pPr>
        <w:spacing w:after="0" w:line="240" w:lineRule="auto"/>
        <w:ind w:firstLine="720"/>
        <w:jc w:val="both"/>
        <w:rPr>
          <w:rFonts w:ascii="Times New Roman" w:hAnsi="Times New Roman" w:cs="Times New Roman"/>
          <w:sz w:val="24"/>
          <w:szCs w:val="24"/>
          <w:lang w:val="ro-RO"/>
        </w:rPr>
      </w:pPr>
      <w:r w:rsidRPr="0079487E">
        <w:rPr>
          <w:rFonts w:ascii="Times New Roman" w:hAnsi="Times New Roman" w:cs="Times New Roman"/>
          <w:sz w:val="24"/>
          <w:szCs w:val="24"/>
          <w:lang w:val="ro-RO"/>
        </w:rPr>
        <w:t>În cazul în care arhitectura GATS existent</w:t>
      </w:r>
      <w:r w:rsidR="009A1BCF">
        <w:rPr>
          <w:rFonts w:ascii="Times New Roman" w:hAnsi="Times New Roman" w:cs="Times New Roman"/>
          <w:sz w:val="24"/>
          <w:szCs w:val="24"/>
          <w:lang w:val="ro-RO"/>
        </w:rPr>
        <w:t>ă</w:t>
      </w:r>
      <w:r w:rsidRPr="0079487E">
        <w:rPr>
          <w:rFonts w:ascii="Times New Roman" w:hAnsi="Times New Roman" w:cs="Times New Roman"/>
          <w:sz w:val="24"/>
          <w:szCs w:val="24"/>
          <w:lang w:val="ro-RO"/>
        </w:rPr>
        <w:t xml:space="preserve"> este respectată, o tranziție lină la o multilateralizare a rezultat</w:t>
      </w:r>
      <w:r w:rsidR="009A1BCF">
        <w:rPr>
          <w:rFonts w:ascii="Times New Roman" w:hAnsi="Times New Roman" w:cs="Times New Roman"/>
          <w:sz w:val="24"/>
          <w:szCs w:val="24"/>
          <w:lang w:val="ro-RO"/>
        </w:rPr>
        <w:t xml:space="preserve">elor negocierilor plurilaterale </w:t>
      </w:r>
      <w:r w:rsidRPr="0079487E">
        <w:rPr>
          <w:rFonts w:ascii="Times New Roman" w:hAnsi="Times New Roman" w:cs="Times New Roman"/>
          <w:sz w:val="24"/>
          <w:szCs w:val="24"/>
          <w:lang w:val="ro-RO"/>
        </w:rPr>
        <w:t xml:space="preserve">de servicii poate fi asigurată. În cele din </w:t>
      </w:r>
      <w:r w:rsidRPr="0079487E">
        <w:rPr>
          <w:rFonts w:ascii="Times New Roman" w:hAnsi="Times New Roman" w:cs="Times New Roman"/>
          <w:sz w:val="24"/>
          <w:szCs w:val="24"/>
          <w:lang w:val="ro-RO"/>
        </w:rPr>
        <w:lastRenderedPageBreak/>
        <w:t xml:space="preserve">urmă, contractul de prestări </w:t>
      </w:r>
      <w:r w:rsidR="009A1BCF">
        <w:rPr>
          <w:rFonts w:ascii="Times New Roman" w:hAnsi="Times New Roman" w:cs="Times New Roman"/>
          <w:sz w:val="24"/>
          <w:szCs w:val="24"/>
          <w:lang w:val="ro-RO"/>
        </w:rPr>
        <w:t xml:space="preserve">de </w:t>
      </w:r>
      <w:r w:rsidRPr="0079487E">
        <w:rPr>
          <w:rFonts w:ascii="Times New Roman" w:hAnsi="Times New Roman" w:cs="Times New Roman"/>
          <w:sz w:val="24"/>
          <w:szCs w:val="24"/>
          <w:lang w:val="ro-RO"/>
        </w:rPr>
        <w:t xml:space="preserve">servicii </w:t>
      </w:r>
      <w:r w:rsidR="009A1BCF">
        <w:rPr>
          <w:rFonts w:ascii="Times New Roman" w:hAnsi="Times New Roman" w:cs="Times New Roman"/>
          <w:sz w:val="24"/>
          <w:szCs w:val="24"/>
          <w:lang w:val="ro-RO"/>
        </w:rPr>
        <w:t>plurilateral</w:t>
      </w:r>
      <w:r w:rsidRPr="0079487E">
        <w:rPr>
          <w:rFonts w:ascii="Times New Roman" w:hAnsi="Times New Roman" w:cs="Times New Roman"/>
          <w:sz w:val="24"/>
          <w:szCs w:val="24"/>
          <w:lang w:val="ro-RO"/>
        </w:rPr>
        <w:t>, fiind un instrument, ar putea dispărea și, în consecință, sistemu</w:t>
      </w:r>
      <w:r w:rsidR="00630F32">
        <w:rPr>
          <w:rFonts w:ascii="Times New Roman" w:hAnsi="Times New Roman" w:cs="Times New Roman"/>
          <w:sz w:val="24"/>
          <w:szCs w:val="24"/>
          <w:lang w:val="ro-RO"/>
        </w:rPr>
        <w:t>l multilateral ar fi consolidat</w:t>
      </w:r>
      <w:r w:rsidRPr="0079487E">
        <w:rPr>
          <w:rFonts w:ascii="Times New Roman" w:hAnsi="Times New Roman" w:cs="Times New Roman"/>
          <w:sz w:val="24"/>
          <w:szCs w:val="24"/>
          <w:lang w:val="ro-RO"/>
        </w:rPr>
        <w:t xml:space="preserve"> prin această inițiativă.</w:t>
      </w:r>
    </w:p>
    <w:p w:rsidR="0079487E" w:rsidRPr="00D57FA0" w:rsidRDefault="0079487E" w:rsidP="00F605F2">
      <w:pPr>
        <w:spacing w:after="0" w:line="240" w:lineRule="auto"/>
        <w:ind w:firstLine="720"/>
        <w:jc w:val="both"/>
        <w:rPr>
          <w:rFonts w:ascii="Times New Roman" w:hAnsi="Times New Roman" w:cs="Times New Roman"/>
          <w:sz w:val="24"/>
          <w:szCs w:val="24"/>
          <w:lang w:val="ro-RO"/>
        </w:rPr>
      </w:pPr>
    </w:p>
    <w:p w:rsidR="009E5BC9" w:rsidRPr="00D57FA0" w:rsidRDefault="0079487E" w:rsidP="00F605F2">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b/>
          <w:sz w:val="24"/>
          <w:szCs w:val="24"/>
          <w:lang w:val="ro-RO"/>
        </w:rPr>
        <w:t>4. CONCLUZII</w:t>
      </w:r>
    </w:p>
    <w:p w:rsidR="00EF0654" w:rsidRPr="00D57FA0" w:rsidRDefault="00EF0654" w:rsidP="00F605F2">
      <w:pPr>
        <w:spacing w:after="0" w:line="240" w:lineRule="auto"/>
        <w:ind w:firstLine="720"/>
        <w:jc w:val="both"/>
        <w:rPr>
          <w:rFonts w:ascii="Times New Roman" w:hAnsi="Times New Roman" w:cs="Times New Roman"/>
          <w:sz w:val="24"/>
          <w:szCs w:val="24"/>
          <w:lang w:val="ro-RO"/>
        </w:rPr>
      </w:pPr>
    </w:p>
    <w:p w:rsidR="0079487E" w:rsidRDefault="00A65127" w:rsidP="0079487E">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Scopul principal al TiSA</w:t>
      </w:r>
      <w:r w:rsidR="0079487E" w:rsidRPr="0079487E">
        <w:rPr>
          <w:rFonts w:ascii="Times New Roman" w:hAnsi="Times New Roman" w:cs="Times New Roman"/>
          <w:sz w:val="24"/>
          <w:szCs w:val="24"/>
          <w:lang w:val="ro-RO"/>
        </w:rPr>
        <w:t xml:space="preserve"> este de a </w:t>
      </w:r>
      <w:r>
        <w:rPr>
          <w:rFonts w:ascii="Times New Roman" w:hAnsi="Times New Roman" w:cs="Times New Roman"/>
          <w:sz w:val="24"/>
          <w:szCs w:val="24"/>
          <w:lang w:val="ro-RO"/>
        </w:rPr>
        <w:t>asigura accesul pe piața de</w:t>
      </w:r>
      <w:r w:rsidR="0079487E" w:rsidRPr="0079487E">
        <w:rPr>
          <w:rFonts w:ascii="Times New Roman" w:hAnsi="Times New Roman" w:cs="Times New Roman"/>
          <w:sz w:val="24"/>
          <w:szCs w:val="24"/>
          <w:lang w:val="ro-RO"/>
        </w:rPr>
        <w:t xml:space="preserve"> bunuri și servicii, pentru a face comerț</w:t>
      </w:r>
      <w:r>
        <w:rPr>
          <w:rFonts w:ascii="Times New Roman" w:hAnsi="Times New Roman" w:cs="Times New Roman"/>
          <w:sz w:val="24"/>
          <w:szCs w:val="24"/>
          <w:lang w:val="ro-RO"/>
        </w:rPr>
        <w:t>ul</w:t>
      </w:r>
      <w:r w:rsidR="0079487E" w:rsidRPr="0079487E">
        <w:rPr>
          <w:rFonts w:ascii="Times New Roman" w:hAnsi="Times New Roman" w:cs="Times New Roman"/>
          <w:sz w:val="24"/>
          <w:szCs w:val="24"/>
          <w:lang w:val="ro-RO"/>
        </w:rPr>
        <w:t xml:space="preserve"> mai rapid și mai ieftin, pentru a spori oportunitățile de investiții; și toate acestea pentru a garanta creșterea economică și locuri de muncă pentru fiecare </w:t>
      </w:r>
      <w:r w:rsidR="0057058D">
        <w:rPr>
          <w:rFonts w:ascii="Times New Roman" w:hAnsi="Times New Roman" w:cs="Times New Roman"/>
          <w:sz w:val="24"/>
          <w:szCs w:val="24"/>
          <w:lang w:val="ro-RO"/>
        </w:rPr>
        <w:t xml:space="preserve">dintre </w:t>
      </w:r>
      <w:r w:rsidR="0079487E" w:rsidRPr="0079487E">
        <w:rPr>
          <w:rFonts w:ascii="Times New Roman" w:hAnsi="Times New Roman" w:cs="Times New Roman"/>
          <w:sz w:val="24"/>
          <w:szCs w:val="24"/>
          <w:lang w:val="ro-RO"/>
        </w:rPr>
        <w:t xml:space="preserve">părți. Acesta este doar un mod de a finaliza și de a încheia negocierile "blocate" de la </w:t>
      </w:r>
      <w:r w:rsidR="0057058D">
        <w:rPr>
          <w:rFonts w:ascii="Times New Roman" w:hAnsi="Times New Roman" w:cs="Times New Roman"/>
          <w:sz w:val="24"/>
          <w:szCs w:val="24"/>
          <w:lang w:val="ro-RO"/>
        </w:rPr>
        <w:t xml:space="preserve">Agenda </w:t>
      </w:r>
      <w:r w:rsidR="0079487E" w:rsidRPr="0079487E">
        <w:rPr>
          <w:rFonts w:ascii="Times New Roman" w:hAnsi="Times New Roman" w:cs="Times New Roman"/>
          <w:sz w:val="24"/>
          <w:szCs w:val="24"/>
          <w:lang w:val="ro-RO"/>
        </w:rPr>
        <w:t>Doha de Dezvoltare a Organizației Mondiale a Comerțului.</w:t>
      </w:r>
    </w:p>
    <w:p w:rsidR="0079487E" w:rsidRDefault="0079487E" w:rsidP="00F605F2">
      <w:pPr>
        <w:spacing w:after="0" w:line="240" w:lineRule="auto"/>
        <w:ind w:firstLine="720"/>
        <w:jc w:val="both"/>
        <w:rPr>
          <w:rFonts w:ascii="Times New Roman" w:hAnsi="Times New Roman" w:cs="Times New Roman"/>
          <w:sz w:val="24"/>
          <w:szCs w:val="24"/>
          <w:lang w:val="ro-RO"/>
        </w:rPr>
      </w:pPr>
      <w:r w:rsidRPr="0079487E">
        <w:rPr>
          <w:rFonts w:ascii="Times New Roman" w:hAnsi="Times New Roman" w:cs="Times New Roman"/>
          <w:sz w:val="24"/>
          <w:szCs w:val="24"/>
          <w:lang w:val="ro-RO"/>
        </w:rPr>
        <w:t>În cele ce urmează vom oferi răspunsuri cu privire la între</w:t>
      </w:r>
      <w:r w:rsidR="00B951DE">
        <w:rPr>
          <w:rFonts w:ascii="Times New Roman" w:hAnsi="Times New Roman" w:cs="Times New Roman"/>
          <w:sz w:val="24"/>
          <w:szCs w:val="24"/>
          <w:lang w:val="ro-RO"/>
        </w:rPr>
        <w:t>bările din partea introductivă</w:t>
      </w:r>
      <w:r w:rsidRPr="0079487E">
        <w:rPr>
          <w:rFonts w:ascii="Times New Roman" w:hAnsi="Times New Roman" w:cs="Times New Roman"/>
          <w:sz w:val="24"/>
          <w:szCs w:val="24"/>
          <w:lang w:val="ro-RO"/>
        </w:rPr>
        <w:t xml:space="preserve"> a acestei lucrări. Răspunsur</w:t>
      </w:r>
      <w:r w:rsidR="00B951DE">
        <w:rPr>
          <w:rFonts w:ascii="Times New Roman" w:hAnsi="Times New Roman" w:cs="Times New Roman"/>
          <w:sz w:val="24"/>
          <w:szCs w:val="24"/>
          <w:lang w:val="ro-RO"/>
        </w:rPr>
        <w:t>ile sunt bazate pe cercetările</w:t>
      </w:r>
      <w:r w:rsidRPr="0079487E">
        <w:rPr>
          <w:rFonts w:ascii="Times New Roman" w:hAnsi="Times New Roman" w:cs="Times New Roman"/>
          <w:sz w:val="24"/>
          <w:szCs w:val="24"/>
          <w:lang w:val="ro-RO"/>
        </w:rPr>
        <w:t xml:space="preserve"> de mai sus, </w:t>
      </w:r>
      <w:r w:rsidR="00B951DE">
        <w:rPr>
          <w:rFonts w:ascii="Times New Roman" w:hAnsi="Times New Roman" w:cs="Times New Roman"/>
          <w:sz w:val="24"/>
          <w:szCs w:val="24"/>
          <w:lang w:val="ro-RO"/>
        </w:rPr>
        <w:t>a căror obiect</w:t>
      </w:r>
      <w:r w:rsidRPr="0079487E">
        <w:rPr>
          <w:rFonts w:ascii="Times New Roman" w:hAnsi="Times New Roman" w:cs="Times New Roman"/>
          <w:sz w:val="24"/>
          <w:szCs w:val="24"/>
          <w:lang w:val="ro-RO"/>
        </w:rPr>
        <w:t xml:space="preserve"> este comerțul internațional cu servicii ale Uniunii Europene.</w:t>
      </w:r>
    </w:p>
    <w:p w:rsidR="0079487E" w:rsidRDefault="0079487E" w:rsidP="00F605F2">
      <w:pPr>
        <w:spacing w:after="0" w:line="240" w:lineRule="auto"/>
        <w:ind w:firstLine="720"/>
        <w:jc w:val="both"/>
        <w:rPr>
          <w:rFonts w:ascii="Times New Roman" w:hAnsi="Times New Roman" w:cs="Times New Roman"/>
          <w:sz w:val="24"/>
          <w:szCs w:val="24"/>
          <w:lang w:val="ro-RO"/>
        </w:rPr>
      </w:pPr>
      <w:r w:rsidRPr="0079487E">
        <w:rPr>
          <w:rFonts w:ascii="Times New Roman" w:hAnsi="Times New Roman" w:cs="Times New Roman"/>
          <w:sz w:val="24"/>
          <w:szCs w:val="24"/>
          <w:lang w:val="ro-RO"/>
        </w:rPr>
        <w:t>Pentru a răspunde la prima întrebare - și anume, care este locul Uniunii Europen</w:t>
      </w:r>
      <w:r w:rsidR="00B951DE">
        <w:rPr>
          <w:rFonts w:ascii="Times New Roman" w:hAnsi="Times New Roman" w:cs="Times New Roman"/>
          <w:sz w:val="24"/>
          <w:szCs w:val="24"/>
          <w:lang w:val="ro-RO"/>
        </w:rPr>
        <w:t>e în comerțul internațional? - a</w:t>
      </w:r>
      <w:r w:rsidRPr="0079487E">
        <w:rPr>
          <w:rFonts w:ascii="Times New Roman" w:hAnsi="Times New Roman" w:cs="Times New Roman"/>
          <w:sz w:val="24"/>
          <w:szCs w:val="24"/>
          <w:lang w:val="ro-RO"/>
        </w:rPr>
        <w:t>m analizat PIB-ul mondi</w:t>
      </w:r>
      <w:r w:rsidR="00880C0A">
        <w:rPr>
          <w:rFonts w:ascii="Times New Roman" w:hAnsi="Times New Roman" w:cs="Times New Roman"/>
          <w:sz w:val="24"/>
          <w:szCs w:val="24"/>
          <w:lang w:val="ro-RO"/>
        </w:rPr>
        <w:t>al și exporturile și importurile țărilor lumii</w:t>
      </w:r>
      <w:r w:rsidRPr="0079487E">
        <w:rPr>
          <w:rFonts w:ascii="Times New Roman" w:hAnsi="Times New Roman" w:cs="Times New Roman"/>
          <w:sz w:val="24"/>
          <w:szCs w:val="24"/>
          <w:lang w:val="ro-RO"/>
        </w:rPr>
        <w:t>. Am constatat că PIB-ul glob</w:t>
      </w:r>
      <w:r w:rsidR="00880C0A">
        <w:rPr>
          <w:rFonts w:ascii="Times New Roman" w:hAnsi="Times New Roman" w:cs="Times New Roman"/>
          <w:sz w:val="24"/>
          <w:szCs w:val="24"/>
          <w:lang w:val="ro-RO"/>
        </w:rPr>
        <w:t>al a UE, SUA, China, Japonia acoperă o cotă mai mare</w:t>
      </w:r>
      <w:r w:rsidRPr="0079487E">
        <w:rPr>
          <w:rFonts w:ascii="Times New Roman" w:hAnsi="Times New Roman" w:cs="Times New Roman"/>
          <w:sz w:val="24"/>
          <w:szCs w:val="24"/>
          <w:lang w:val="ro-RO"/>
        </w:rPr>
        <w:t xml:space="preserve"> de 50% din PIB-ul mondial în 2012. UE a înregistrat un excedent comercial, cu </w:t>
      </w:r>
      <w:r w:rsidR="00880C0A">
        <w:rPr>
          <w:rFonts w:ascii="Times New Roman" w:hAnsi="Times New Roman" w:cs="Times New Roman"/>
          <w:sz w:val="24"/>
          <w:szCs w:val="24"/>
          <w:lang w:val="ro-RO"/>
        </w:rPr>
        <w:t xml:space="preserve">un </w:t>
      </w:r>
      <w:r w:rsidRPr="0079487E">
        <w:rPr>
          <w:rFonts w:ascii="Times New Roman" w:hAnsi="Times New Roman" w:cs="Times New Roman"/>
          <w:sz w:val="24"/>
          <w:szCs w:val="24"/>
          <w:lang w:val="ro-RO"/>
        </w:rPr>
        <w:t>deficitul comercial pentru bunuri și un e</w:t>
      </w:r>
      <w:r w:rsidR="00880C0A">
        <w:rPr>
          <w:rFonts w:ascii="Times New Roman" w:hAnsi="Times New Roman" w:cs="Times New Roman"/>
          <w:sz w:val="24"/>
          <w:szCs w:val="24"/>
          <w:lang w:val="ro-RO"/>
        </w:rPr>
        <w:t>xcedent comercial înregistrat pentru</w:t>
      </w:r>
      <w:r w:rsidRPr="0079487E">
        <w:rPr>
          <w:rFonts w:ascii="Times New Roman" w:hAnsi="Times New Roman" w:cs="Times New Roman"/>
          <w:sz w:val="24"/>
          <w:szCs w:val="24"/>
          <w:lang w:val="ro-RO"/>
        </w:rPr>
        <w:t xml:space="preserve"> servicii. Printre prin</w:t>
      </w:r>
      <w:r w:rsidR="00B100AB">
        <w:rPr>
          <w:rFonts w:ascii="Times New Roman" w:hAnsi="Times New Roman" w:cs="Times New Roman"/>
          <w:sz w:val="24"/>
          <w:szCs w:val="24"/>
          <w:lang w:val="ro-RO"/>
        </w:rPr>
        <w:t>cipalii parteneri comerciali de</w:t>
      </w:r>
      <w:r w:rsidRPr="0079487E">
        <w:rPr>
          <w:rFonts w:ascii="Times New Roman" w:hAnsi="Times New Roman" w:cs="Times New Roman"/>
          <w:sz w:val="24"/>
          <w:szCs w:val="24"/>
          <w:lang w:val="ro-RO"/>
        </w:rPr>
        <w:t xml:space="preserve"> servicii ale UE </w:t>
      </w:r>
      <w:r w:rsidR="00B100AB">
        <w:rPr>
          <w:rFonts w:ascii="Times New Roman" w:hAnsi="Times New Roman" w:cs="Times New Roman"/>
          <w:sz w:val="24"/>
          <w:szCs w:val="24"/>
          <w:lang w:val="ro-RO"/>
        </w:rPr>
        <w:t>se numără</w:t>
      </w:r>
      <w:r w:rsidRPr="0079487E">
        <w:rPr>
          <w:rFonts w:ascii="Times New Roman" w:hAnsi="Times New Roman" w:cs="Times New Roman"/>
          <w:sz w:val="24"/>
          <w:szCs w:val="24"/>
          <w:lang w:val="ro-RO"/>
        </w:rPr>
        <w:t xml:space="preserve"> SUA și Elveția.</w:t>
      </w:r>
    </w:p>
    <w:p w:rsidR="0079487E" w:rsidRDefault="0079487E" w:rsidP="006A5878">
      <w:pPr>
        <w:tabs>
          <w:tab w:val="left" w:pos="3660"/>
        </w:tabs>
        <w:spacing w:after="0" w:line="240" w:lineRule="auto"/>
        <w:ind w:firstLine="720"/>
        <w:jc w:val="both"/>
        <w:rPr>
          <w:rFonts w:ascii="Times New Roman" w:hAnsi="Times New Roman" w:cs="Times New Roman"/>
          <w:sz w:val="24"/>
          <w:szCs w:val="24"/>
          <w:lang w:val="ro-RO"/>
        </w:rPr>
      </w:pPr>
      <w:r w:rsidRPr="0079487E">
        <w:rPr>
          <w:rFonts w:ascii="Times New Roman" w:hAnsi="Times New Roman" w:cs="Times New Roman"/>
          <w:sz w:val="24"/>
          <w:szCs w:val="24"/>
          <w:lang w:val="ro-RO"/>
        </w:rPr>
        <w:t xml:space="preserve">Pentru a răspunde la a doua întrebare - și anume, sunt </w:t>
      </w:r>
      <w:r w:rsidR="00FD6419">
        <w:rPr>
          <w:rFonts w:ascii="Times New Roman" w:hAnsi="Times New Roman" w:cs="Times New Roman"/>
          <w:sz w:val="24"/>
          <w:szCs w:val="24"/>
          <w:lang w:val="ro-RO"/>
        </w:rPr>
        <w:t>celelalte</w:t>
      </w:r>
      <w:r w:rsidR="009F629A">
        <w:rPr>
          <w:rFonts w:ascii="Times New Roman" w:hAnsi="Times New Roman" w:cs="Times New Roman"/>
          <w:sz w:val="24"/>
          <w:szCs w:val="24"/>
          <w:lang w:val="ro-RO"/>
        </w:rPr>
        <w:t xml:space="preserve"> părți ale negocierilor TiSA</w:t>
      </w:r>
      <w:r w:rsidRPr="0079487E">
        <w:rPr>
          <w:rFonts w:ascii="Times New Roman" w:hAnsi="Times New Roman" w:cs="Times New Roman"/>
          <w:sz w:val="24"/>
          <w:szCs w:val="24"/>
          <w:lang w:val="ro-RO"/>
        </w:rPr>
        <w:t xml:space="preserve"> parteneri come</w:t>
      </w:r>
      <w:r w:rsidR="009F629A">
        <w:rPr>
          <w:rFonts w:ascii="Times New Roman" w:hAnsi="Times New Roman" w:cs="Times New Roman"/>
          <w:sz w:val="24"/>
          <w:szCs w:val="24"/>
          <w:lang w:val="ro-RO"/>
        </w:rPr>
        <w:t>rciali importanți pentru UE? - am analizat comerțul UE cu</w:t>
      </w:r>
      <w:r w:rsidRPr="0079487E">
        <w:rPr>
          <w:rFonts w:ascii="Times New Roman" w:hAnsi="Times New Roman" w:cs="Times New Roman"/>
          <w:sz w:val="24"/>
          <w:szCs w:val="24"/>
          <w:lang w:val="ro-RO"/>
        </w:rPr>
        <w:t xml:space="preserve"> servicii comerciale cu 22 de țări care participă la</w:t>
      </w:r>
      <w:r w:rsidR="009F629A">
        <w:rPr>
          <w:rFonts w:ascii="Times New Roman" w:hAnsi="Times New Roman" w:cs="Times New Roman"/>
          <w:sz w:val="24"/>
          <w:szCs w:val="24"/>
          <w:lang w:val="ro-RO"/>
        </w:rPr>
        <w:t xml:space="preserve"> negocierile</w:t>
      </w:r>
      <w:r w:rsidRPr="0079487E">
        <w:rPr>
          <w:rFonts w:ascii="Times New Roman" w:hAnsi="Times New Roman" w:cs="Times New Roman"/>
          <w:sz w:val="24"/>
          <w:szCs w:val="24"/>
          <w:lang w:val="ro-RO"/>
        </w:rPr>
        <w:t xml:space="preserve"> Acordul</w:t>
      </w:r>
      <w:r w:rsidR="009F629A">
        <w:rPr>
          <w:rFonts w:ascii="Times New Roman" w:hAnsi="Times New Roman" w:cs="Times New Roman"/>
          <w:sz w:val="24"/>
          <w:szCs w:val="24"/>
          <w:lang w:val="ro-RO"/>
        </w:rPr>
        <w:t>ui</w:t>
      </w:r>
      <w:r w:rsidRPr="0079487E">
        <w:rPr>
          <w:rFonts w:ascii="Times New Roman" w:hAnsi="Times New Roman" w:cs="Times New Roman"/>
          <w:sz w:val="24"/>
          <w:szCs w:val="24"/>
          <w:lang w:val="ro-RO"/>
        </w:rPr>
        <w:t xml:space="preserve"> privind</w:t>
      </w:r>
      <w:r w:rsidR="009F629A">
        <w:rPr>
          <w:rFonts w:ascii="Times New Roman" w:hAnsi="Times New Roman" w:cs="Times New Roman"/>
          <w:sz w:val="24"/>
          <w:szCs w:val="24"/>
          <w:lang w:val="ro-RO"/>
        </w:rPr>
        <w:t xml:space="preserve"> comerțul cu</w:t>
      </w:r>
      <w:r w:rsidRPr="0079487E">
        <w:rPr>
          <w:rFonts w:ascii="Times New Roman" w:hAnsi="Times New Roman" w:cs="Times New Roman"/>
          <w:sz w:val="24"/>
          <w:szCs w:val="24"/>
          <w:lang w:val="ro-RO"/>
        </w:rPr>
        <w:t xml:space="preserve"> servicii</w:t>
      </w:r>
      <w:r w:rsidR="009F629A">
        <w:rPr>
          <w:rFonts w:ascii="Times New Roman" w:hAnsi="Times New Roman" w:cs="Times New Roman"/>
          <w:sz w:val="24"/>
          <w:szCs w:val="24"/>
          <w:lang w:val="ro-RO"/>
        </w:rPr>
        <w:t>. Am constatat că aceste state</w:t>
      </w:r>
      <w:r w:rsidRPr="0079487E">
        <w:rPr>
          <w:rFonts w:ascii="Times New Roman" w:hAnsi="Times New Roman" w:cs="Times New Roman"/>
          <w:sz w:val="24"/>
          <w:szCs w:val="24"/>
          <w:lang w:val="ro-RO"/>
        </w:rPr>
        <w:t xml:space="preserve"> a</w:t>
      </w:r>
      <w:r w:rsidR="009F629A">
        <w:rPr>
          <w:rFonts w:ascii="Times New Roman" w:hAnsi="Times New Roman" w:cs="Times New Roman"/>
          <w:sz w:val="24"/>
          <w:szCs w:val="24"/>
          <w:lang w:val="ro-RO"/>
        </w:rPr>
        <w:t>u</w:t>
      </w:r>
      <w:r w:rsidRPr="0079487E">
        <w:rPr>
          <w:rFonts w:ascii="Times New Roman" w:hAnsi="Times New Roman" w:cs="Times New Roman"/>
          <w:sz w:val="24"/>
          <w:szCs w:val="24"/>
          <w:lang w:val="ro-RO"/>
        </w:rPr>
        <w:t xml:space="preserve"> fost reprezentat</w:t>
      </w:r>
      <w:r w:rsidR="009F629A">
        <w:rPr>
          <w:rFonts w:ascii="Times New Roman" w:hAnsi="Times New Roman" w:cs="Times New Roman"/>
          <w:sz w:val="24"/>
          <w:szCs w:val="24"/>
          <w:lang w:val="ro-RO"/>
        </w:rPr>
        <w:t xml:space="preserve"> în 2012 partenerii substanțiali ai UE în exporturile și importurile</w:t>
      </w:r>
      <w:r w:rsidRPr="0079487E">
        <w:rPr>
          <w:rFonts w:ascii="Times New Roman" w:hAnsi="Times New Roman" w:cs="Times New Roman"/>
          <w:sz w:val="24"/>
          <w:szCs w:val="24"/>
          <w:lang w:val="ro-RO"/>
        </w:rPr>
        <w:t xml:space="preserve"> de servicii comerciale, mai mult de 50%. Principalele valori a</w:t>
      </w:r>
      <w:r w:rsidR="009F629A">
        <w:rPr>
          <w:rFonts w:ascii="Times New Roman" w:hAnsi="Times New Roman" w:cs="Times New Roman"/>
          <w:sz w:val="24"/>
          <w:szCs w:val="24"/>
          <w:lang w:val="ro-RO"/>
        </w:rPr>
        <w:t>u fost reprezentate</w:t>
      </w:r>
      <w:r w:rsidRPr="0079487E">
        <w:rPr>
          <w:rFonts w:ascii="Times New Roman" w:hAnsi="Times New Roman" w:cs="Times New Roman"/>
          <w:sz w:val="24"/>
          <w:szCs w:val="24"/>
          <w:lang w:val="ro-RO"/>
        </w:rPr>
        <w:t xml:space="preserve"> de comerțul cu țări precum SUA, Elveția, Japonia, Norvegia, Australia și Canada.</w:t>
      </w:r>
    </w:p>
    <w:p w:rsidR="00D840B3" w:rsidRPr="00D57FA0" w:rsidRDefault="006A5878" w:rsidP="006A5878">
      <w:pPr>
        <w:tabs>
          <w:tab w:val="left" w:pos="3660"/>
        </w:tabs>
        <w:spacing w:after="0" w:line="240" w:lineRule="auto"/>
        <w:ind w:firstLine="720"/>
        <w:jc w:val="both"/>
        <w:rPr>
          <w:rFonts w:ascii="Times New Roman" w:hAnsi="Times New Roman" w:cs="Times New Roman"/>
          <w:sz w:val="24"/>
          <w:szCs w:val="24"/>
          <w:lang w:val="ro-RO"/>
        </w:rPr>
      </w:pPr>
      <w:r w:rsidRPr="00D57FA0">
        <w:rPr>
          <w:rFonts w:ascii="Times New Roman" w:hAnsi="Times New Roman" w:cs="Times New Roman"/>
          <w:sz w:val="24"/>
          <w:szCs w:val="24"/>
          <w:lang w:val="ro-RO"/>
        </w:rPr>
        <w:tab/>
      </w:r>
    </w:p>
    <w:p w:rsidR="00EF0654" w:rsidRPr="00D57FA0" w:rsidRDefault="00EF0654" w:rsidP="00F605F2">
      <w:pPr>
        <w:spacing w:after="0" w:line="240" w:lineRule="auto"/>
        <w:ind w:firstLine="720"/>
        <w:jc w:val="both"/>
        <w:rPr>
          <w:rFonts w:ascii="Times New Roman" w:hAnsi="Times New Roman" w:cs="Times New Roman"/>
          <w:sz w:val="24"/>
          <w:szCs w:val="24"/>
          <w:lang w:val="ro-RO"/>
        </w:rPr>
      </w:pPr>
    </w:p>
    <w:p w:rsidR="00FC2082" w:rsidRPr="00D57FA0" w:rsidRDefault="0079487E" w:rsidP="00FC2082">
      <w:pPr>
        <w:spacing w:after="0" w:line="240" w:lineRule="auto"/>
        <w:ind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BIBLIOGRAFIE</w:t>
      </w:r>
    </w:p>
    <w:p w:rsidR="00FC2082" w:rsidRPr="00D57FA0" w:rsidRDefault="00FC2082" w:rsidP="00FC2082">
      <w:pPr>
        <w:spacing w:after="0" w:line="240" w:lineRule="auto"/>
        <w:ind w:firstLine="720"/>
        <w:jc w:val="both"/>
        <w:rPr>
          <w:rFonts w:ascii="Times New Roman" w:hAnsi="Times New Roman" w:cs="Times New Roman"/>
          <w:b/>
          <w:sz w:val="24"/>
          <w:szCs w:val="24"/>
          <w:lang w:val="ro-RO"/>
        </w:rPr>
      </w:pPr>
    </w:p>
    <w:p w:rsidR="00FC2082" w:rsidRPr="00D57FA0" w:rsidRDefault="00FC2082" w:rsidP="00FC2082">
      <w:pPr>
        <w:pStyle w:val="ListParagraph"/>
        <w:numPr>
          <w:ilvl w:val="0"/>
          <w:numId w:val="4"/>
        </w:numPr>
        <w:spacing w:after="0" w:line="240" w:lineRule="auto"/>
        <w:jc w:val="both"/>
        <w:rPr>
          <w:rFonts w:ascii="Times New Roman" w:hAnsi="Times New Roman" w:cs="Times New Roman"/>
          <w:b/>
          <w:sz w:val="24"/>
          <w:szCs w:val="24"/>
          <w:lang w:val="ro-RO"/>
        </w:rPr>
      </w:pPr>
      <w:r w:rsidRPr="00D57FA0">
        <w:rPr>
          <w:rFonts w:ascii="Times New Roman" w:hAnsi="Times New Roman" w:cs="Times New Roman"/>
          <w:sz w:val="24"/>
          <w:szCs w:val="24"/>
          <w:lang w:val="ro-RO"/>
        </w:rPr>
        <w:t xml:space="preserve">*** </w:t>
      </w:r>
      <w:r w:rsidR="006027B8" w:rsidRPr="00D57FA0">
        <w:rPr>
          <w:rFonts w:ascii="Times New Roman" w:hAnsi="Times New Roman" w:cs="Times New Roman"/>
          <w:i/>
          <w:sz w:val="24"/>
          <w:szCs w:val="24"/>
          <w:lang w:val="ro-RO"/>
        </w:rPr>
        <w:t>A modular approach to the architecture of a plurilateral agreement on services</w:t>
      </w:r>
      <w:r w:rsidR="006027B8" w:rsidRPr="00D57FA0">
        <w:rPr>
          <w:rFonts w:ascii="Times New Roman" w:hAnsi="Times New Roman" w:cs="Times New Roman"/>
          <w:sz w:val="24"/>
          <w:szCs w:val="24"/>
          <w:lang w:val="ro-RO"/>
        </w:rPr>
        <w:t>,</w:t>
      </w:r>
      <w:r w:rsidR="000C6791" w:rsidRPr="00D57FA0">
        <w:rPr>
          <w:rFonts w:ascii="Times New Roman" w:hAnsi="Times New Roman" w:cs="Times New Roman"/>
          <w:sz w:val="24"/>
          <w:szCs w:val="24"/>
          <w:lang w:val="ro-RO"/>
        </w:rPr>
        <w:t xml:space="preserve"> </w:t>
      </w:r>
      <w:r w:rsidR="009F629A">
        <w:rPr>
          <w:rFonts w:ascii="Times New Roman" w:hAnsi="Times New Roman" w:cs="Times New Roman"/>
          <w:sz w:val="24"/>
          <w:szCs w:val="24"/>
          <w:lang w:val="ro-RO"/>
        </w:rPr>
        <w:t>Comisia Europeană</w:t>
      </w:r>
      <w:r w:rsidRPr="00D57FA0">
        <w:rPr>
          <w:rFonts w:ascii="Times New Roman" w:hAnsi="Times New Roman" w:cs="Times New Roman"/>
          <w:sz w:val="24"/>
          <w:szCs w:val="24"/>
          <w:lang w:val="ro-RO"/>
        </w:rPr>
        <w:t xml:space="preserve">, </w:t>
      </w:r>
      <w:r w:rsidR="009F629A">
        <w:rPr>
          <w:rFonts w:ascii="Times New Roman" w:hAnsi="Times New Roman" w:cs="Times New Roman"/>
          <w:sz w:val="24"/>
          <w:szCs w:val="24"/>
          <w:lang w:val="ro-RO"/>
        </w:rPr>
        <w:t>acest document a fost distribuit</w:t>
      </w:r>
      <w:r w:rsidR="000C6791" w:rsidRPr="00D57FA0">
        <w:rPr>
          <w:rFonts w:ascii="Times New Roman" w:hAnsi="Times New Roman" w:cs="Times New Roman"/>
          <w:sz w:val="24"/>
          <w:szCs w:val="24"/>
          <w:lang w:val="ro-RO"/>
        </w:rPr>
        <w:t xml:space="preserve"> </w:t>
      </w:r>
      <w:r w:rsidR="009F629A">
        <w:rPr>
          <w:rFonts w:ascii="Times New Roman" w:hAnsi="Times New Roman" w:cs="Times New Roman"/>
          <w:sz w:val="24"/>
          <w:szCs w:val="24"/>
          <w:lang w:val="ro-RO"/>
        </w:rPr>
        <w:t>în septembrie</w:t>
      </w:r>
      <w:r w:rsidR="006027B8" w:rsidRPr="00D57FA0">
        <w:rPr>
          <w:rFonts w:ascii="Times New Roman" w:hAnsi="Times New Roman" w:cs="Times New Roman"/>
          <w:sz w:val="24"/>
          <w:szCs w:val="24"/>
          <w:lang w:val="ro-RO"/>
        </w:rPr>
        <w:t xml:space="preserve"> 2012,</w:t>
      </w:r>
      <w:r w:rsidR="000C6791" w:rsidRPr="00D57FA0">
        <w:rPr>
          <w:rFonts w:ascii="Times New Roman" w:hAnsi="Times New Roman" w:cs="Times New Roman"/>
          <w:sz w:val="24"/>
          <w:szCs w:val="24"/>
          <w:lang w:val="ro-RO"/>
        </w:rPr>
        <w:t xml:space="preserve"> </w:t>
      </w:r>
      <w:r w:rsidR="009F629A">
        <w:rPr>
          <w:rFonts w:ascii="Times New Roman" w:hAnsi="Times New Roman" w:cs="Times New Roman"/>
          <w:sz w:val="24"/>
          <w:szCs w:val="24"/>
          <w:lang w:val="ro-RO"/>
        </w:rPr>
        <w:t>accesat în februarie 2015 la</w:t>
      </w:r>
      <w:r w:rsidR="000F47B9" w:rsidRPr="00D57FA0">
        <w:rPr>
          <w:rFonts w:ascii="Times New Roman" w:hAnsi="Times New Roman" w:cs="Times New Roman"/>
          <w:sz w:val="24"/>
          <w:szCs w:val="24"/>
          <w:lang w:val="ro-RO"/>
        </w:rPr>
        <w:t xml:space="preserve"> </w:t>
      </w:r>
      <w:r w:rsidRPr="00D57FA0">
        <w:rPr>
          <w:rFonts w:ascii="Times New Roman" w:hAnsi="Times New Roman" w:cs="Times New Roman"/>
          <w:sz w:val="24"/>
          <w:szCs w:val="24"/>
          <w:lang w:val="ro-RO"/>
        </w:rPr>
        <w:t>http://trade.ec.europa.eu/doclib/docs/2014/july/tradoc_152686.pdf</w:t>
      </w:r>
    </w:p>
    <w:p w:rsidR="00FC2082" w:rsidRPr="00D57FA0" w:rsidRDefault="00FC2082" w:rsidP="00814C83">
      <w:pPr>
        <w:pStyle w:val="ListParagraph"/>
        <w:numPr>
          <w:ilvl w:val="0"/>
          <w:numId w:val="4"/>
        </w:numPr>
        <w:spacing w:after="0" w:line="240" w:lineRule="auto"/>
        <w:jc w:val="both"/>
        <w:rPr>
          <w:rFonts w:ascii="Times New Roman" w:hAnsi="Times New Roman" w:cs="Times New Roman"/>
          <w:b/>
          <w:sz w:val="24"/>
          <w:szCs w:val="24"/>
          <w:lang w:val="ro-RO"/>
        </w:rPr>
      </w:pPr>
      <w:r w:rsidRPr="00D57FA0">
        <w:rPr>
          <w:rFonts w:ascii="Times New Roman" w:hAnsi="Times New Roman" w:cs="Times New Roman"/>
          <w:sz w:val="24"/>
          <w:szCs w:val="24"/>
          <w:lang w:val="ro-RO"/>
        </w:rPr>
        <w:t>***</w:t>
      </w:r>
      <w:r w:rsidR="009011F1" w:rsidRPr="00D57FA0">
        <w:rPr>
          <w:rFonts w:ascii="Times New Roman" w:hAnsi="Times New Roman" w:cs="Times New Roman"/>
          <w:sz w:val="24"/>
          <w:szCs w:val="24"/>
          <w:lang w:val="ro-RO"/>
        </w:rPr>
        <w:t xml:space="preserve"> </w:t>
      </w:r>
      <w:r w:rsidR="009011F1" w:rsidRPr="00D57FA0">
        <w:rPr>
          <w:rFonts w:ascii="Times New Roman" w:hAnsi="Times New Roman" w:cs="Times New Roman"/>
          <w:i/>
          <w:sz w:val="24"/>
          <w:szCs w:val="24"/>
          <w:lang w:val="ro-RO"/>
        </w:rPr>
        <w:t>EU chairs next round of plurilateral talks on services</w:t>
      </w:r>
      <w:r w:rsidR="009011F1" w:rsidRPr="00D57FA0">
        <w:rPr>
          <w:rFonts w:ascii="Times New Roman" w:hAnsi="Times New Roman" w:cs="Times New Roman"/>
          <w:sz w:val="24"/>
          <w:szCs w:val="24"/>
          <w:lang w:val="ro-RO"/>
        </w:rPr>
        <w:t xml:space="preserve">, </w:t>
      </w:r>
      <w:r w:rsidR="009F629A">
        <w:rPr>
          <w:rFonts w:ascii="Times New Roman" w:hAnsi="Times New Roman" w:cs="Times New Roman"/>
          <w:sz w:val="24"/>
          <w:szCs w:val="24"/>
          <w:lang w:val="ro-RO"/>
        </w:rPr>
        <w:t>Comisia Europeană</w:t>
      </w:r>
      <w:r w:rsidRPr="00D57FA0">
        <w:rPr>
          <w:rFonts w:ascii="Times New Roman" w:hAnsi="Times New Roman" w:cs="Times New Roman"/>
          <w:sz w:val="24"/>
          <w:szCs w:val="24"/>
          <w:lang w:val="ro-RO"/>
        </w:rPr>
        <w:t xml:space="preserve">, </w:t>
      </w:r>
      <w:r w:rsidR="009011F1" w:rsidRPr="00D57FA0">
        <w:rPr>
          <w:rFonts w:ascii="Times New Roman" w:hAnsi="Times New Roman" w:cs="Times New Roman"/>
          <w:sz w:val="24"/>
          <w:szCs w:val="24"/>
          <w:lang w:val="ro-RO"/>
        </w:rPr>
        <w:t>Brussels</w:t>
      </w:r>
      <w:r w:rsidR="009F629A">
        <w:rPr>
          <w:rFonts w:ascii="Times New Roman" w:hAnsi="Times New Roman" w:cs="Times New Roman"/>
          <w:sz w:val="24"/>
          <w:szCs w:val="24"/>
          <w:lang w:val="ro-RO"/>
        </w:rPr>
        <w:t>, 19 septembrie</w:t>
      </w:r>
      <w:r w:rsidR="009011F1" w:rsidRPr="00D57FA0">
        <w:rPr>
          <w:rFonts w:ascii="Times New Roman" w:hAnsi="Times New Roman" w:cs="Times New Roman"/>
          <w:sz w:val="24"/>
          <w:szCs w:val="24"/>
          <w:lang w:val="ro-RO"/>
        </w:rPr>
        <w:t xml:space="preserve"> 2014,</w:t>
      </w:r>
      <w:r w:rsidR="000F47B9" w:rsidRPr="00D57FA0">
        <w:rPr>
          <w:rFonts w:ascii="Times New Roman" w:hAnsi="Times New Roman" w:cs="Times New Roman"/>
          <w:sz w:val="24"/>
          <w:szCs w:val="24"/>
          <w:lang w:val="ro-RO"/>
        </w:rPr>
        <w:t xml:space="preserve"> </w:t>
      </w:r>
      <w:r w:rsidR="009F629A">
        <w:rPr>
          <w:rFonts w:ascii="Times New Roman" w:hAnsi="Times New Roman" w:cs="Times New Roman"/>
          <w:sz w:val="24"/>
          <w:szCs w:val="24"/>
          <w:lang w:val="ro-RO"/>
        </w:rPr>
        <w:t>accesat în februarie 2015 la</w:t>
      </w:r>
      <w:r w:rsidR="009F629A" w:rsidRPr="00D57FA0">
        <w:rPr>
          <w:rFonts w:ascii="Times New Roman" w:hAnsi="Times New Roman" w:cs="Times New Roman"/>
          <w:sz w:val="24"/>
          <w:szCs w:val="24"/>
          <w:lang w:val="ro-RO"/>
        </w:rPr>
        <w:t xml:space="preserve"> </w:t>
      </w:r>
      <w:r w:rsidR="009011F1" w:rsidRPr="00D57FA0">
        <w:rPr>
          <w:rFonts w:ascii="Times New Roman" w:hAnsi="Times New Roman" w:cs="Times New Roman"/>
          <w:sz w:val="24"/>
          <w:szCs w:val="24"/>
          <w:lang w:val="ro-RO"/>
        </w:rPr>
        <w:t xml:space="preserve"> </w:t>
      </w:r>
      <w:r w:rsidRPr="00D57FA0">
        <w:rPr>
          <w:rFonts w:ascii="Times New Roman" w:hAnsi="Times New Roman" w:cs="Times New Roman"/>
          <w:sz w:val="24"/>
          <w:szCs w:val="24"/>
          <w:lang w:val="ro-RO"/>
        </w:rPr>
        <w:t>http://trade.ec.europa.eu/doclib/press/index.cfm?id=115</w:t>
      </w:r>
    </w:p>
    <w:p w:rsidR="00FC2082" w:rsidRPr="00D57FA0" w:rsidRDefault="00310316" w:rsidP="00814C83">
      <w:pPr>
        <w:pStyle w:val="ListParagraph"/>
        <w:numPr>
          <w:ilvl w:val="0"/>
          <w:numId w:val="4"/>
        </w:numPr>
        <w:spacing w:after="0" w:line="240" w:lineRule="auto"/>
        <w:jc w:val="both"/>
        <w:rPr>
          <w:rFonts w:ascii="Times New Roman" w:hAnsi="Times New Roman" w:cs="Times New Roman"/>
          <w:b/>
          <w:sz w:val="24"/>
          <w:szCs w:val="24"/>
          <w:lang w:val="ro-RO"/>
        </w:rPr>
      </w:pPr>
      <w:r w:rsidRPr="00D57FA0">
        <w:rPr>
          <w:rFonts w:ascii="Times New Roman" w:hAnsi="Times New Roman" w:cs="Times New Roman"/>
          <w:sz w:val="24"/>
          <w:szCs w:val="24"/>
          <w:lang w:val="ro-RO"/>
        </w:rPr>
        <w:t>***</w:t>
      </w:r>
      <w:r w:rsidR="00A86540" w:rsidRPr="00D57FA0">
        <w:rPr>
          <w:rFonts w:ascii="Times New Roman" w:hAnsi="Times New Roman" w:cs="Times New Roman"/>
          <w:sz w:val="24"/>
          <w:szCs w:val="24"/>
          <w:lang w:val="ro-RO"/>
        </w:rPr>
        <w:t xml:space="preserve"> </w:t>
      </w:r>
      <w:r w:rsidR="00A86540" w:rsidRPr="00D57FA0">
        <w:rPr>
          <w:rFonts w:ascii="Times New Roman" w:hAnsi="Times New Roman" w:cs="Times New Roman"/>
          <w:i/>
          <w:sz w:val="24"/>
          <w:szCs w:val="24"/>
          <w:lang w:val="ro-RO"/>
        </w:rPr>
        <w:t>Trade in Services Agreement (TiSA),</w:t>
      </w:r>
      <w:r w:rsidR="00A86540" w:rsidRPr="00D57FA0">
        <w:rPr>
          <w:rFonts w:ascii="Times New Roman" w:hAnsi="Times New Roman" w:cs="Times New Roman"/>
          <w:sz w:val="24"/>
          <w:szCs w:val="24"/>
          <w:lang w:val="ro-RO"/>
        </w:rPr>
        <w:t xml:space="preserve"> </w:t>
      </w:r>
      <w:r w:rsidR="009F629A">
        <w:rPr>
          <w:rFonts w:ascii="Times New Roman" w:hAnsi="Times New Roman" w:cs="Times New Roman"/>
          <w:sz w:val="24"/>
          <w:szCs w:val="24"/>
          <w:lang w:val="ro-RO"/>
        </w:rPr>
        <w:t>Comisia Europeană</w:t>
      </w:r>
      <w:r w:rsidRPr="00D57FA0">
        <w:rPr>
          <w:rFonts w:ascii="Times New Roman" w:hAnsi="Times New Roman" w:cs="Times New Roman"/>
          <w:sz w:val="24"/>
          <w:szCs w:val="24"/>
          <w:lang w:val="ro-RO"/>
        </w:rPr>
        <w:t xml:space="preserve">, </w:t>
      </w:r>
      <w:r w:rsidR="009F629A">
        <w:rPr>
          <w:rFonts w:ascii="Times New Roman" w:hAnsi="Times New Roman" w:cs="Times New Roman"/>
          <w:sz w:val="24"/>
          <w:szCs w:val="24"/>
          <w:lang w:val="ro-RO"/>
        </w:rPr>
        <w:t>accesat în februarie 2015 la</w:t>
      </w:r>
      <w:r w:rsidR="00FC2082" w:rsidRPr="00D57FA0">
        <w:rPr>
          <w:rFonts w:ascii="Times New Roman" w:hAnsi="Times New Roman" w:cs="Times New Roman"/>
          <w:sz w:val="24"/>
          <w:szCs w:val="24"/>
          <w:lang w:val="ro-RO"/>
        </w:rPr>
        <w:t xml:space="preserve"> </w:t>
      </w:r>
      <w:r w:rsidR="00A86540" w:rsidRPr="00D57FA0">
        <w:rPr>
          <w:rFonts w:ascii="Times New Roman" w:hAnsi="Times New Roman" w:cs="Times New Roman"/>
          <w:sz w:val="24"/>
          <w:szCs w:val="24"/>
          <w:lang w:val="ro-RO"/>
        </w:rPr>
        <w:t xml:space="preserve">http://ec.europa.eu/trade/policy/in-focus/tisa/ </w:t>
      </w:r>
    </w:p>
    <w:p w:rsidR="00FC2082" w:rsidRPr="00D57FA0" w:rsidRDefault="00310316" w:rsidP="00814C83">
      <w:pPr>
        <w:pStyle w:val="ListParagraph"/>
        <w:numPr>
          <w:ilvl w:val="0"/>
          <w:numId w:val="4"/>
        </w:numPr>
        <w:spacing w:after="0" w:line="240" w:lineRule="auto"/>
        <w:jc w:val="both"/>
        <w:rPr>
          <w:rFonts w:ascii="Times New Roman" w:hAnsi="Times New Roman" w:cs="Times New Roman"/>
          <w:b/>
          <w:sz w:val="24"/>
          <w:szCs w:val="24"/>
          <w:lang w:val="ro-RO"/>
        </w:rPr>
      </w:pPr>
      <w:r w:rsidRPr="00D57FA0">
        <w:rPr>
          <w:rFonts w:ascii="Times New Roman" w:hAnsi="Times New Roman" w:cs="Times New Roman"/>
          <w:sz w:val="24"/>
          <w:szCs w:val="24"/>
          <w:lang w:val="ro-RO"/>
        </w:rPr>
        <w:t>***</w:t>
      </w:r>
      <w:r w:rsidR="00281FB3" w:rsidRPr="00D57FA0">
        <w:rPr>
          <w:rFonts w:ascii="Times New Roman" w:hAnsi="Times New Roman" w:cs="Times New Roman"/>
          <w:sz w:val="24"/>
          <w:szCs w:val="24"/>
          <w:lang w:val="ro-RO"/>
        </w:rPr>
        <w:t xml:space="preserve"> </w:t>
      </w:r>
      <w:r w:rsidR="00281FB3" w:rsidRPr="00D57FA0">
        <w:rPr>
          <w:rFonts w:ascii="Times New Roman" w:hAnsi="Times New Roman" w:cs="Times New Roman"/>
          <w:i/>
          <w:sz w:val="24"/>
          <w:szCs w:val="24"/>
          <w:lang w:val="ro-RO"/>
        </w:rPr>
        <w:t xml:space="preserve">The Trade in Services Agreement ('TiSA'), </w:t>
      </w:r>
      <w:r w:rsidR="009F629A">
        <w:rPr>
          <w:rFonts w:ascii="Times New Roman" w:hAnsi="Times New Roman" w:cs="Times New Roman"/>
          <w:sz w:val="24"/>
          <w:szCs w:val="24"/>
          <w:lang w:val="ro-RO"/>
        </w:rPr>
        <w:t>Comisia Europeană</w:t>
      </w:r>
      <w:r w:rsidRPr="00D57FA0">
        <w:rPr>
          <w:rFonts w:ascii="Times New Roman" w:hAnsi="Times New Roman" w:cs="Times New Roman"/>
          <w:sz w:val="24"/>
          <w:szCs w:val="24"/>
          <w:lang w:val="ro-RO"/>
        </w:rPr>
        <w:t xml:space="preserve">, </w:t>
      </w:r>
      <w:r w:rsidR="009F629A">
        <w:rPr>
          <w:rFonts w:ascii="Times New Roman" w:hAnsi="Times New Roman" w:cs="Times New Roman"/>
          <w:sz w:val="24"/>
          <w:szCs w:val="24"/>
          <w:lang w:val="ro-RO"/>
        </w:rPr>
        <w:t>accesat în februarie 2015 la</w:t>
      </w:r>
      <w:r w:rsidR="00FC2082" w:rsidRPr="00D57FA0">
        <w:rPr>
          <w:rFonts w:ascii="Times New Roman" w:hAnsi="Times New Roman" w:cs="Times New Roman"/>
          <w:sz w:val="24"/>
          <w:szCs w:val="24"/>
          <w:lang w:val="ro-RO"/>
        </w:rPr>
        <w:t xml:space="preserve"> </w:t>
      </w:r>
      <w:r w:rsidR="00281FB3" w:rsidRPr="00D57FA0">
        <w:rPr>
          <w:rFonts w:ascii="Times New Roman" w:hAnsi="Times New Roman" w:cs="Times New Roman"/>
          <w:sz w:val="24"/>
          <w:szCs w:val="24"/>
          <w:lang w:val="ro-RO"/>
        </w:rPr>
        <w:t xml:space="preserve">http://trade.ec.europa.eu/doclib/docs/2013/june/tradoc_151374.pdf </w:t>
      </w:r>
    </w:p>
    <w:p w:rsidR="00281FB3" w:rsidRPr="00D57FA0" w:rsidRDefault="00310316" w:rsidP="00814C83">
      <w:pPr>
        <w:pStyle w:val="ListParagraph"/>
        <w:numPr>
          <w:ilvl w:val="0"/>
          <w:numId w:val="4"/>
        </w:numPr>
        <w:spacing w:after="0" w:line="240" w:lineRule="auto"/>
        <w:jc w:val="both"/>
        <w:rPr>
          <w:rFonts w:ascii="Times New Roman" w:hAnsi="Times New Roman" w:cs="Times New Roman"/>
          <w:b/>
          <w:sz w:val="24"/>
          <w:szCs w:val="24"/>
          <w:lang w:val="ro-RO"/>
        </w:rPr>
      </w:pPr>
      <w:r w:rsidRPr="00D57FA0">
        <w:rPr>
          <w:rFonts w:ascii="Times New Roman" w:hAnsi="Times New Roman" w:cs="Times New Roman"/>
          <w:sz w:val="24"/>
          <w:szCs w:val="24"/>
          <w:lang w:val="ro-RO"/>
        </w:rPr>
        <w:t>***</w:t>
      </w:r>
      <w:r w:rsidR="00007FC2" w:rsidRPr="00D57FA0">
        <w:rPr>
          <w:rFonts w:ascii="Times New Roman" w:hAnsi="Times New Roman" w:cs="Times New Roman"/>
          <w:sz w:val="24"/>
          <w:szCs w:val="24"/>
          <w:lang w:val="ro-RO"/>
        </w:rPr>
        <w:t xml:space="preserve"> </w:t>
      </w:r>
      <w:r w:rsidR="00007FC2" w:rsidRPr="00D57FA0">
        <w:rPr>
          <w:rFonts w:ascii="Times New Roman" w:hAnsi="Times New Roman" w:cs="Times New Roman"/>
          <w:i/>
          <w:sz w:val="24"/>
          <w:szCs w:val="24"/>
          <w:lang w:val="ro-RO"/>
        </w:rPr>
        <w:t>The EU in the world 2014 - A statistical portrait</w:t>
      </w:r>
      <w:r w:rsidR="00007FC2" w:rsidRPr="00D57FA0">
        <w:rPr>
          <w:rFonts w:ascii="Times New Roman" w:hAnsi="Times New Roman" w:cs="Times New Roman"/>
          <w:sz w:val="24"/>
          <w:szCs w:val="24"/>
          <w:lang w:val="ro-RO"/>
        </w:rPr>
        <w:t xml:space="preserve">, Eurostat Statistical Books, </w:t>
      </w:r>
      <w:r w:rsidR="009F629A">
        <w:rPr>
          <w:rFonts w:ascii="Times New Roman" w:hAnsi="Times New Roman" w:cs="Times New Roman"/>
          <w:sz w:val="24"/>
          <w:szCs w:val="24"/>
          <w:lang w:val="ro-RO"/>
        </w:rPr>
        <w:t>accesat în februarie 2015 la</w:t>
      </w:r>
      <w:r w:rsidR="00FC2082" w:rsidRPr="00D57FA0">
        <w:rPr>
          <w:rFonts w:ascii="Times New Roman" w:hAnsi="Times New Roman" w:cs="Times New Roman"/>
          <w:sz w:val="24"/>
          <w:szCs w:val="24"/>
          <w:lang w:val="ro-RO"/>
        </w:rPr>
        <w:t xml:space="preserve"> </w:t>
      </w:r>
      <w:r w:rsidR="00007FC2" w:rsidRPr="00D57FA0">
        <w:rPr>
          <w:rFonts w:ascii="Times New Roman" w:hAnsi="Times New Roman" w:cs="Times New Roman"/>
          <w:sz w:val="24"/>
          <w:szCs w:val="24"/>
          <w:lang w:val="ro-RO"/>
        </w:rPr>
        <w:t xml:space="preserve">http://ec.europa.eu/eurostat/documents/3217494/5786625/KS-EX-14-001-EN.PDF/8642be84-659a-4a3d-a451-1ef26101c78f?version=1.0 </w:t>
      </w:r>
    </w:p>
    <w:p w:rsidR="00501E6E" w:rsidRPr="00D57FA0" w:rsidRDefault="00501E6E" w:rsidP="00794C54">
      <w:pPr>
        <w:spacing w:after="0" w:line="240" w:lineRule="auto"/>
        <w:ind w:firstLine="720"/>
        <w:jc w:val="both"/>
        <w:rPr>
          <w:rFonts w:ascii="Times New Roman" w:hAnsi="Times New Roman" w:cs="Times New Roman"/>
          <w:sz w:val="24"/>
          <w:szCs w:val="24"/>
          <w:lang w:val="ro-RO"/>
        </w:rPr>
      </w:pPr>
    </w:p>
    <w:sectPr w:rsidR="00501E6E" w:rsidRPr="00D57FA0" w:rsidSect="00EF0654">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47A35"/>
    <w:multiLevelType w:val="hybridMultilevel"/>
    <w:tmpl w:val="30E6723E"/>
    <w:lvl w:ilvl="0" w:tplc="537087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0B2EAA"/>
    <w:multiLevelType w:val="hybridMultilevel"/>
    <w:tmpl w:val="50FC6A48"/>
    <w:lvl w:ilvl="0" w:tplc="57FE2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281522"/>
    <w:multiLevelType w:val="hybridMultilevel"/>
    <w:tmpl w:val="46E67C5E"/>
    <w:lvl w:ilvl="0" w:tplc="BD807C3A">
      <w:start w:val="2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AFF64A8"/>
    <w:multiLevelType w:val="hybridMultilevel"/>
    <w:tmpl w:val="C96CAFA6"/>
    <w:lvl w:ilvl="0" w:tplc="E288003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5A"/>
    <w:rsid w:val="00001F25"/>
    <w:rsid w:val="00007FC2"/>
    <w:rsid w:val="00012440"/>
    <w:rsid w:val="00015B86"/>
    <w:rsid w:val="00021B18"/>
    <w:rsid w:val="00022E88"/>
    <w:rsid w:val="00031C5B"/>
    <w:rsid w:val="000359CD"/>
    <w:rsid w:val="00035ADC"/>
    <w:rsid w:val="0003615F"/>
    <w:rsid w:val="00037744"/>
    <w:rsid w:val="000471B3"/>
    <w:rsid w:val="00067CB9"/>
    <w:rsid w:val="000709CD"/>
    <w:rsid w:val="000777E2"/>
    <w:rsid w:val="000816BD"/>
    <w:rsid w:val="00085B94"/>
    <w:rsid w:val="00087C64"/>
    <w:rsid w:val="0009057D"/>
    <w:rsid w:val="00090C53"/>
    <w:rsid w:val="00092EF7"/>
    <w:rsid w:val="00093FE8"/>
    <w:rsid w:val="000A2140"/>
    <w:rsid w:val="000A6D19"/>
    <w:rsid w:val="000B2F48"/>
    <w:rsid w:val="000B4DA7"/>
    <w:rsid w:val="000B71EC"/>
    <w:rsid w:val="000C5FCF"/>
    <w:rsid w:val="000C6791"/>
    <w:rsid w:val="000C7C97"/>
    <w:rsid w:val="000D1080"/>
    <w:rsid w:val="000D52D4"/>
    <w:rsid w:val="000D6406"/>
    <w:rsid w:val="000D7411"/>
    <w:rsid w:val="000E0963"/>
    <w:rsid w:val="000E50E3"/>
    <w:rsid w:val="000E721A"/>
    <w:rsid w:val="000F3553"/>
    <w:rsid w:val="000F47B9"/>
    <w:rsid w:val="0010347F"/>
    <w:rsid w:val="00103DD6"/>
    <w:rsid w:val="001055EC"/>
    <w:rsid w:val="00111D06"/>
    <w:rsid w:val="00114A12"/>
    <w:rsid w:val="00124A3A"/>
    <w:rsid w:val="00130BE2"/>
    <w:rsid w:val="001362E9"/>
    <w:rsid w:val="00151ED4"/>
    <w:rsid w:val="00153064"/>
    <w:rsid w:val="00157352"/>
    <w:rsid w:val="00157FCF"/>
    <w:rsid w:val="001723F6"/>
    <w:rsid w:val="00174570"/>
    <w:rsid w:val="0018049B"/>
    <w:rsid w:val="00180793"/>
    <w:rsid w:val="00186455"/>
    <w:rsid w:val="0018768C"/>
    <w:rsid w:val="0019343A"/>
    <w:rsid w:val="001962FC"/>
    <w:rsid w:val="001A051A"/>
    <w:rsid w:val="001A0F9F"/>
    <w:rsid w:val="001A4FB0"/>
    <w:rsid w:val="001B387A"/>
    <w:rsid w:val="001B6502"/>
    <w:rsid w:val="001C0C97"/>
    <w:rsid w:val="001C0F02"/>
    <w:rsid w:val="001C1163"/>
    <w:rsid w:val="001C4D08"/>
    <w:rsid w:val="001C6469"/>
    <w:rsid w:val="001E04E7"/>
    <w:rsid w:val="001E1616"/>
    <w:rsid w:val="001E26CB"/>
    <w:rsid w:val="001E40BD"/>
    <w:rsid w:val="001E7873"/>
    <w:rsid w:val="001F756D"/>
    <w:rsid w:val="0020196B"/>
    <w:rsid w:val="00206845"/>
    <w:rsid w:val="00212B30"/>
    <w:rsid w:val="00216609"/>
    <w:rsid w:val="00225021"/>
    <w:rsid w:val="002279D3"/>
    <w:rsid w:val="002412BD"/>
    <w:rsid w:val="002545BA"/>
    <w:rsid w:val="00256C7D"/>
    <w:rsid w:val="002727F4"/>
    <w:rsid w:val="0028121E"/>
    <w:rsid w:val="002814BE"/>
    <w:rsid w:val="00281FB3"/>
    <w:rsid w:val="00285AB5"/>
    <w:rsid w:val="00291D96"/>
    <w:rsid w:val="002A52D3"/>
    <w:rsid w:val="002A5BFA"/>
    <w:rsid w:val="002B69FF"/>
    <w:rsid w:val="002C0EBD"/>
    <w:rsid w:val="002C0EFC"/>
    <w:rsid w:val="002E6488"/>
    <w:rsid w:val="002F113F"/>
    <w:rsid w:val="002F17A6"/>
    <w:rsid w:val="002F422F"/>
    <w:rsid w:val="003037EA"/>
    <w:rsid w:val="00307F96"/>
    <w:rsid w:val="00310316"/>
    <w:rsid w:val="00313000"/>
    <w:rsid w:val="00335C87"/>
    <w:rsid w:val="00340AE0"/>
    <w:rsid w:val="00346DBD"/>
    <w:rsid w:val="00352669"/>
    <w:rsid w:val="00352CF0"/>
    <w:rsid w:val="00356262"/>
    <w:rsid w:val="003612AD"/>
    <w:rsid w:val="00362379"/>
    <w:rsid w:val="00371759"/>
    <w:rsid w:val="00373C1C"/>
    <w:rsid w:val="003806C4"/>
    <w:rsid w:val="003943BB"/>
    <w:rsid w:val="00394B57"/>
    <w:rsid w:val="003B4ADA"/>
    <w:rsid w:val="003B4E81"/>
    <w:rsid w:val="003C4382"/>
    <w:rsid w:val="003C54AE"/>
    <w:rsid w:val="003D0D84"/>
    <w:rsid w:val="003D0E21"/>
    <w:rsid w:val="003D331D"/>
    <w:rsid w:val="003D624D"/>
    <w:rsid w:val="003D75EE"/>
    <w:rsid w:val="003E00D8"/>
    <w:rsid w:val="0040431C"/>
    <w:rsid w:val="00422122"/>
    <w:rsid w:val="00423987"/>
    <w:rsid w:val="0043125F"/>
    <w:rsid w:val="0043728A"/>
    <w:rsid w:val="004447F6"/>
    <w:rsid w:val="00445403"/>
    <w:rsid w:val="00445AD3"/>
    <w:rsid w:val="004467E7"/>
    <w:rsid w:val="0045071D"/>
    <w:rsid w:val="00455195"/>
    <w:rsid w:val="00456DAF"/>
    <w:rsid w:val="00460156"/>
    <w:rsid w:val="0047097F"/>
    <w:rsid w:val="00473ABE"/>
    <w:rsid w:val="00474403"/>
    <w:rsid w:val="00476DBF"/>
    <w:rsid w:val="00484103"/>
    <w:rsid w:val="004847A4"/>
    <w:rsid w:val="00485A73"/>
    <w:rsid w:val="004A0944"/>
    <w:rsid w:val="004A1786"/>
    <w:rsid w:val="004A4042"/>
    <w:rsid w:val="004A43AD"/>
    <w:rsid w:val="004A49BC"/>
    <w:rsid w:val="004B0326"/>
    <w:rsid w:val="004B2EA4"/>
    <w:rsid w:val="004C4431"/>
    <w:rsid w:val="004D3075"/>
    <w:rsid w:val="004D42C1"/>
    <w:rsid w:val="004D640C"/>
    <w:rsid w:val="004D68B4"/>
    <w:rsid w:val="004D6EF5"/>
    <w:rsid w:val="004E13EA"/>
    <w:rsid w:val="004E1AEC"/>
    <w:rsid w:val="004E3B39"/>
    <w:rsid w:val="00501905"/>
    <w:rsid w:val="00501E6E"/>
    <w:rsid w:val="00505B6E"/>
    <w:rsid w:val="0052174E"/>
    <w:rsid w:val="00522580"/>
    <w:rsid w:val="00523B07"/>
    <w:rsid w:val="00527503"/>
    <w:rsid w:val="00535543"/>
    <w:rsid w:val="0053609C"/>
    <w:rsid w:val="00536559"/>
    <w:rsid w:val="00536B76"/>
    <w:rsid w:val="00541B38"/>
    <w:rsid w:val="00542E54"/>
    <w:rsid w:val="005460A3"/>
    <w:rsid w:val="005471DA"/>
    <w:rsid w:val="0055179D"/>
    <w:rsid w:val="0055203F"/>
    <w:rsid w:val="00557B2E"/>
    <w:rsid w:val="0057058D"/>
    <w:rsid w:val="00572E51"/>
    <w:rsid w:val="00580532"/>
    <w:rsid w:val="00580E21"/>
    <w:rsid w:val="005A1AFA"/>
    <w:rsid w:val="005B36C6"/>
    <w:rsid w:val="005B5953"/>
    <w:rsid w:val="005C1756"/>
    <w:rsid w:val="005C318F"/>
    <w:rsid w:val="005C43DF"/>
    <w:rsid w:val="005D0733"/>
    <w:rsid w:val="005D52DB"/>
    <w:rsid w:val="005E1C16"/>
    <w:rsid w:val="005F592F"/>
    <w:rsid w:val="006027B8"/>
    <w:rsid w:val="00605ED7"/>
    <w:rsid w:val="00610544"/>
    <w:rsid w:val="0062239C"/>
    <w:rsid w:val="00630F32"/>
    <w:rsid w:val="006401A1"/>
    <w:rsid w:val="006421F3"/>
    <w:rsid w:val="00650F99"/>
    <w:rsid w:val="00656A9C"/>
    <w:rsid w:val="00661A72"/>
    <w:rsid w:val="00662207"/>
    <w:rsid w:val="006644BF"/>
    <w:rsid w:val="00666C6A"/>
    <w:rsid w:val="006747B5"/>
    <w:rsid w:val="00682E08"/>
    <w:rsid w:val="00690F55"/>
    <w:rsid w:val="006A2939"/>
    <w:rsid w:val="006A2F41"/>
    <w:rsid w:val="006A5878"/>
    <w:rsid w:val="006B1831"/>
    <w:rsid w:val="006B2441"/>
    <w:rsid w:val="006B71F3"/>
    <w:rsid w:val="006C6377"/>
    <w:rsid w:val="006C6A79"/>
    <w:rsid w:val="006D63E9"/>
    <w:rsid w:val="006E2F87"/>
    <w:rsid w:val="006E7FB7"/>
    <w:rsid w:val="006F4899"/>
    <w:rsid w:val="007048E6"/>
    <w:rsid w:val="007116BE"/>
    <w:rsid w:val="0071745F"/>
    <w:rsid w:val="00732C25"/>
    <w:rsid w:val="00734337"/>
    <w:rsid w:val="00735330"/>
    <w:rsid w:val="00735D03"/>
    <w:rsid w:val="007361E9"/>
    <w:rsid w:val="00746044"/>
    <w:rsid w:val="007602DA"/>
    <w:rsid w:val="00766814"/>
    <w:rsid w:val="00785572"/>
    <w:rsid w:val="007867C5"/>
    <w:rsid w:val="007939FE"/>
    <w:rsid w:val="0079487E"/>
    <w:rsid w:val="00794C54"/>
    <w:rsid w:val="007A7949"/>
    <w:rsid w:val="007B4765"/>
    <w:rsid w:val="007B7D1D"/>
    <w:rsid w:val="007C64AD"/>
    <w:rsid w:val="007D4ECC"/>
    <w:rsid w:val="007E0C35"/>
    <w:rsid w:val="007E1A55"/>
    <w:rsid w:val="007E4E69"/>
    <w:rsid w:val="007E69B3"/>
    <w:rsid w:val="007F2053"/>
    <w:rsid w:val="007F36C3"/>
    <w:rsid w:val="00807714"/>
    <w:rsid w:val="008100D8"/>
    <w:rsid w:val="00814C83"/>
    <w:rsid w:val="00816E09"/>
    <w:rsid w:val="0082022F"/>
    <w:rsid w:val="0082295B"/>
    <w:rsid w:val="00831B73"/>
    <w:rsid w:val="0083214F"/>
    <w:rsid w:val="0083660D"/>
    <w:rsid w:val="008518F0"/>
    <w:rsid w:val="008672FD"/>
    <w:rsid w:val="00867F11"/>
    <w:rsid w:val="00871CBA"/>
    <w:rsid w:val="00872727"/>
    <w:rsid w:val="0087420E"/>
    <w:rsid w:val="00880C0A"/>
    <w:rsid w:val="0088205A"/>
    <w:rsid w:val="00890E5D"/>
    <w:rsid w:val="0089411F"/>
    <w:rsid w:val="008959F6"/>
    <w:rsid w:val="008A4460"/>
    <w:rsid w:val="008B6662"/>
    <w:rsid w:val="008B715C"/>
    <w:rsid w:val="008C1934"/>
    <w:rsid w:val="008C3541"/>
    <w:rsid w:val="008C57AB"/>
    <w:rsid w:val="008D3A23"/>
    <w:rsid w:val="008D414F"/>
    <w:rsid w:val="008D43DD"/>
    <w:rsid w:val="008D5486"/>
    <w:rsid w:val="008D7DF1"/>
    <w:rsid w:val="008E652A"/>
    <w:rsid w:val="008E74BD"/>
    <w:rsid w:val="008F1D9D"/>
    <w:rsid w:val="008F2113"/>
    <w:rsid w:val="009011F1"/>
    <w:rsid w:val="00907045"/>
    <w:rsid w:val="0091479A"/>
    <w:rsid w:val="00920E99"/>
    <w:rsid w:val="009223EB"/>
    <w:rsid w:val="009243B8"/>
    <w:rsid w:val="00936587"/>
    <w:rsid w:val="00940383"/>
    <w:rsid w:val="00941971"/>
    <w:rsid w:val="00944EDD"/>
    <w:rsid w:val="00945FE4"/>
    <w:rsid w:val="00952C95"/>
    <w:rsid w:val="00961F05"/>
    <w:rsid w:val="0096589E"/>
    <w:rsid w:val="009813B8"/>
    <w:rsid w:val="00981AB6"/>
    <w:rsid w:val="009839B4"/>
    <w:rsid w:val="00992426"/>
    <w:rsid w:val="009A1BCF"/>
    <w:rsid w:val="009A2994"/>
    <w:rsid w:val="009A6E8F"/>
    <w:rsid w:val="009B2947"/>
    <w:rsid w:val="009B2ADA"/>
    <w:rsid w:val="009C27F2"/>
    <w:rsid w:val="009C4347"/>
    <w:rsid w:val="009C6C88"/>
    <w:rsid w:val="009D0237"/>
    <w:rsid w:val="009E4492"/>
    <w:rsid w:val="009E47A4"/>
    <w:rsid w:val="009E5BC9"/>
    <w:rsid w:val="009F0F29"/>
    <w:rsid w:val="009F629A"/>
    <w:rsid w:val="00A049DE"/>
    <w:rsid w:val="00A05882"/>
    <w:rsid w:val="00A13BDC"/>
    <w:rsid w:val="00A17439"/>
    <w:rsid w:val="00A2118D"/>
    <w:rsid w:val="00A23817"/>
    <w:rsid w:val="00A23AA1"/>
    <w:rsid w:val="00A23BD3"/>
    <w:rsid w:val="00A363E0"/>
    <w:rsid w:val="00A438BA"/>
    <w:rsid w:val="00A441BE"/>
    <w:rsid w:val="00A50E56"/>
    <w:rsid w:val="00A52B53"/>
    <w:rsid w:val="00A57509"/>
    <w:rsid w:val="00A57BE6"/>
    <w:rsid w:val="00A65127"/>
    <w:rsid w:val="00A705C7"/>
    <w:rsid w:val="00A86540"/>
    <w:rsid w:val="00AA05F0"/>
    <w:rsid w:val="00AA1F71"/>
    <w:rsid w:val="00AB5114"/>
    <w:rsid w:val="00AB790A"/>
    <w:rsid w:val="00AC724B"/>
    <w:rsid w:val="00AE178F"/>
    <w:rsid w:val="00AE1AC2"/>
    <w:rsid w:val="00AE3502"/>
    <w:rsid w:val="00AF5F3C"/>
    <w:rsid w:val="00AF7B35"/>
    <w:rsid w:val="00B039F8"/>
    <w:rsid w:val="00B07952"/>
    <w:rsid w:val="00B100AB"/>
    <w:rsid w:val="00B1134B"/>
    <w:rsid w:val="00B15D70"/>
    <w:rsid w:val="00B20195"/>
    <w:rsid w:val="00B23A2E"/>
    <w:rsid w:val="00B23BFA"/>
    <w:rsid w:val="00B23D23"/>
    <w:rsid w:val="00B245E4"/>
    <w:rsid w:val="00B32089"/>
    <w:rsid w:val="00B36CBF"/>
    <w:rsid w:val="00B40C7D"/>
    <w:rsid w:val="00B433FD"/>
    <w:rsid w:val="00B65C41"/>
    <w:rsid w:val="00B664D9"/>
    <w:rsid w:val="00B94211"/>
    <w:rsid w:val="00B951DE"/>
    <w:rsid w:val="00BB4976"/>
    <w:rsid w:val="00BB5054"/>
    <w:rsid w:val="00BB6265"/>
    <w:rsid w:val="00BB7FE3"/>
    <w:rsid w:val="00BD1960"/>
    <w:rsid w:val="00BD2A3C"/>
    <w:rsid w:val="00BD683F"/>
    <w:rsid w:val="00BE7865"/>
    <w:rsid w:val="00BF0556"/>
    <w:rsid w:val="00C0015E"/>
    <w:rsid w:val="00C03CEC"/>
    <w:rsid w:val="00C1299C"/>
    <w:rsid w:val="00C2099B"/>
    <w:rsid w:val="00C2559F"/>
    <w:rsid w:val="00C3062B"/>
    <w:rsid w:val="00C333C6"/>
    <w:rsid w:val="00C35B0F"/>
    <w:rsid w:val="00C36057"/>
    <w:rsid w:val="00C51EA0"/>
    <w:rsid w:val="00C639CD"/>
    <w:rsid w:val="00C664A6"/>
    <w:rsid w:val="00C674DA"/>
    <w:rsid w:val="00C70C62"/>
    <w:rsid w:val="00C75FAF"/>
    <w:rsid w:val="00CB3100"/>
    <w:rsid w:val="00CB4419"/>
    <w:rsid w:val="00CB5C82"/>
    <w:rsid w:val="00CB6DF3"/>
    <w:rsid w:val="00CC35E9"/>
    <w:rsid w:val="00CC473D"/>
    <w:rsid w:val="00CD31E9"/>
    <w:rsid w:val="00CE4693"/>
    <w:rsid w:val="00CE795D"/>
    <w:rsid w:val="00CF0DA9"/>
    <w:rsid w:val="00CF114E"/>
    <w:rsid w:val="00CF1497"/>
    <w:rsid w:val="00CF71C3"/>
    <w:rsid w:val="00D02000"/>
    <w:rsid w:val="00D07D68"/>
    <w:rsid w:val="00D47F7B"/>
    <w:rsid w:val="00D50021"/>
    <w:rsid w:val="00D50782"/>
    <w:rsid w:val="00D51F42"/>
    <w:rsid w:val="00D57FA0"/>
    <w:rsid w:val="00D6126A"/>
    <w:rsid w:val="00D63335"/>
    <w:rsid w:val="00D65ABF"/>
    <w:rsid w:val="00D74328"/>
    <w:rsid w:val="00D80B5E"/>
    <w:rsid w:val="00D82649"/>
    <w:rsid w:val="00D840B3"/>
    <w:rsid w:val="00D845CD"/>
    <w:rsid w:val="00D92D73"/>
    <w:rsid w:val="00DA2107"/>
    <w:rsid w:val="00DA35A2"/>
    <w:rsid w:val="00DC3BA0"/>
    <w:rsid w:val="00DD0262"/>
    <w:rsid w:val="00DD164C"/>
    <w:rsid w:val="00DD3859"/>
    <w:rsid w:val="00DE77D3"/>
    <w:rsid w:val="00DF0057"/>
    <w:rsid w:val="00E03402"/>
    <w:rsid w:val="00E05B22"/>
    <w:rsid w:val="00E112F4"/>
    <w:rsid w:val="00E20DC8"/>
    <w:rsid w:val="00E21162"/>
    <w:rsid w:val="00E30C04"/>
    <w:rsid w:val="00E34EA3"/>
    <w:rsid w:val="00E36AD2"/>
    <w:rsid w:val="00E40F37"/>
    <w:rsid w:val="00E4176F"/>
    <w:rsid w:val="00E47DAF"/>
    <w:rsid w:val="00E5084E"/>
    <w:rsid w:val="00E518FF"/>
    <w:rsid w:val="00E52B9F"/>
    <w:rsid w:val="00E562A5"/>
    <w:rsid w:val="00E836B4"/>
    <w:rsid w:val="00E87291"/>
    <w:rsid w:val="00E957C0"/>
    <w:rsid w:val="00E96E4C"/>
    <w:rsid w:val="00EA04FA"/>
    <w:rsid w:val="00EA6956"/>
    <w:rsid w:val="00EC7B71"/>
    <w:rsid w:val="00EC7D7D"/>
    <w:rsid w:val="00ED5E7C"/>
    <w:rsid w:val="00ED790A"/>
    <w:rsid w:val="00EF0654"/>
    <w:rsid w:val="00EF1E08"/>
    <w:rsid w:val="00EF5937"/>
    <w:rsid w:val="00EF6A8D"/>
    <w:rsid w:val="00F001EF"/>
    <w:rsid w:val="00F073D4"/>
    <w:rsid w:val="00F15533"/>
    <w:rsid w:val="00F2283D"/>
    <w:rsid w:val="00F2620D"/>
    <w:rsid w:val="00F26610"/>
    <w:rsid w:val="00F30E2C"/>
    <w:rsid w:val="00F34110"/>
    <w:rsid w:val="00F415E8"/>
    <w:rsid w:val="00F45E92"/>
    <w:rsid w:val="00F4777C"/>
    <w:rsid w:val="00F50F03"/>
    <w:rsid w:val="00F605F2"/>
    <w:rsid w:val="00F61D9D"/>
    <w:rsid w:val="00F61EB6"/>
    <w:rsid w:val="00F66D4B"/>
    <w:rsid w:val="00F812E9"/>
    <w:rsid w:val="00F96755"/>
    <w:rsid w:val="00FA36E5"/>
    <w:rsid w:val="00FB0449"/>
    <w:rsid w:val="00FB4742"/>
    <w:rsid w:val="00FB5B6B"/>
    <w:rsid w:val="00FC154D"/>
    <w:rsid w:val="00FC2082"/>
    <w:rsid w:val="00FC4B71"/>
    <w:rsid w:val="00FC67D5"/>
    <w:rsid w:val="00FD6419"/>
    <w:rsid w:val="00FE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9C5E6-B4DB-4811-AE1C-98FB65EB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3817"/>
    <w:rPr>
      <w:color w:val="0563C1" w:themeColor="hyperlink"/>
      <w:u w:val="single"/>
    </w:rPr>
  </w:style>
  <w:style w:type="character" w:styleId="FollowedHyperlink">
    <w:name w:val="FollowedHyperlink"/>
    <w:basedOn w:val="DefaultParagraphFont"/>
    <w:uiPriority w:val="99"/>
    <w:semiHidden/>
    <w:unhideWhenUsed/>
    <w:rsid w:val="00A23817"/>
    <w:rPr>
      <w:color w:val="954F72" w:themeColor="followedHyperlink"/>
      <w:u w:val="single"/>
    </w:rPr>
  </w:style>
  <w:style w:type="paragraph" w:styleId="ListParagraph">
    <w:name w:val="List Paragraph"/>
    <w:basedOn w:val="Normal"/>
    <w:uiPriority w:val="34"/>
    <w:qFormat/>
    <w:rsid w:val="00965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udmila\Desktop\nama_gdp_c.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FEAA\Ciclu%203%20(doctorat)\articles\servic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udmila\Desktop\bc_e.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FEAA\Ciclu%203%20(doctorat)\articles\servic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FEAA\Ciclu%203%20(doctorat)\articles\servic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[nama_gdp_c.xls]Sheet1!$L$4</c:f>
              <c:strCache>
                <c:ptCount val="1"/>
                <c:pt idx="0">
                  <c:v>2012</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dLbl>
              <c:idx val="0"/>
              <c:tx>
                <c:rich>
                  <a:bodyPr/>
                  <a:lstStyle/>
                  <a:p>
                    <a:r>
                      <a:rPr lang="en-US" baseline="0"/>
                      <a:t>UE
</a:t>
                    </a:r>
                    <a:fld id="{31906432-0869-431E-86E7-03D08D80C36E}"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r>
                      <a:rPr lang="en-US" baseline="0"/>
                      <a:t>SUA
</a:t>
                    </a:r>
                    <a:fld id="{3AAF2652-A0E4-4C8D-879A-BBA2D4E06379}"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3"/>
              <c:tx>
                <c:rich>
                  <a:bodyPr/>
                  <a:lstStyle/>
                  <a:p>
                    <a:r>
                      <a:rPr lang="en-US" baseline="0"/>
                      <a:t>Japonia
</a:t>
                    </a:r>
                    <a:fld id="{81739B4F-F66B-4461-BB48-25D6213DC5A0}"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4"/>
              <c:tx>
                <c:rich>
                  <a:bodyPr/>
                  <a:lstStyle/>
                  <a:p>
                    <a:r>
                      <a:rPr lang="en-US" baseline="0"/>
                      <a:t>Restul lumii
</a:t>
                    </a:r>
                    <a:fld id="{F4BE0193-6963-48C8-B6D7-9E09AB87F77A}"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[nama_gdp_c.xls]Sheet1!$K$5:$K$9</c:f>
              <c:strCache>
                <c:ptCount val="5"/>
                <c:pt idx="0">
                  <c:v>EU-28</c:v>
                </c:pt>
                <c:pt idx="1">
                  <c:v>US</c:v>
                </c:pt>
                <c:pt idx="2">
                  <c:v>China</c:v>
                </c:pt>
                <c:pt idx="3">
                  <c:v>Japan</c:v>
                </c:pt>
                <c:pt idx="4">
                  <c:v>Rest of the world</c:v>
                </c:pt>
              </c:strCache>
            </c:strRef>
          </c:cat>
          <c:val>
            <c:numRef>
              <c:f>[nama_gdp_c.xls]Sheet1!$L$5:$L$9</c:f>
              <c:numCache>
                <c:formatCode>0.00%</c:formatCode>
                <c:ptCount val="5"/>
                <c:pt idx="0">
                  <c:v>0.22900000000000001</c:v>
                </c:pt>
                <c:pt idx="1">
                  <c:v>0.223</c:v>
                </c:pt>
                <c:pt idx="2">
                  <c:v>0.115</c:v>
                </c:pt>
                <c:pt idx="3">
                  <c:v>8.2000000000000003E-2</c:v>
                </c:pt>
                <c:pt idx="4">
                  <c:v>0.35099999999999998</c:v>
                </c:pt>
              </c:numCache>
            </c:numRef>
          </c:val>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Sheet3!$M$5</c:f>
              <c:strCache>
                <c:ptCount val="1"/>
                <c:pt idx="0">
                  <c:v>2012</c:v>
                </c:pt>
              </c:strCache>
            </c:strRef>
          </c:tx>
          <c:spPr>
            <a:solidFill>
              <a:schemeClr val="accent1"/>
            </a:solidFill>
            <a:ln>
              <a:noFill/>
            </a:ln>
            <a:effectLst/>
          </c:spPr>
          <c:invertIfNegative val="0"/>
          <c:cat>
            <c:strRef>
              <c:f>Sheet3!$L$6:$L$21</c:f>
              <c:strCache>
                <c:ptCount val="16"/>
                <c:pt idx="0">
                  <c:v>UE</c:v>
                </c:pt>
                <c:pt idx="1">
                  <c:v>Australia</c:v>
                </c:pt>
                <c:pt idx="2">
                  <c:v>Brazilia</c:v>
                </c:pt>
                <c:pt idx="3">
                  <c:v>Canada</c:v>
                </c:pt>
                <c:pt idx="4">
                  <c:v>China</c:v>
                </c:pt>
                <c:pt idx="5">
                  <c:v>India</c:v>
                </c:pt>
                <c:pt idx="6">
                  <c:v>Indonezia</c:v>
                </c:pt>
                <c:pt idx="7">
                  <c:v>Japonia</c:v>
                </c:pt>
                <c:pt idx="8">
                  <c:v>Mexic</c:v>
                </c:pt>
                <c:pt idx="9">
                  <c:v>Rusia</c:v>
                </c:pt>
                <c:pt idx="10">
                  <c:v>Arabia Saudită</c:v>
                </c:pt>
                <c:pt idx="11">
                  <c:v>Africa de Sud</c:v>
                </c:pt>
                <c:pt idx="12">
                  <c:v>Coreea de Sud</c:v>
                </c:pt>
                <c:pt idx="13">
                  <c:v>Turcia</c:v>
                </c:pt>
                <c:pt idx="14">
                  <c:v>SUA</c:v>
                </c:pt>
                <c:pt idx="15">
                  <c:v>Argentina</c:v>
                </c:pt>
              </c:strCache>
            </c:strRef>
          </c:cat>
          <c:val>
            <c:numRef>
              <c:f>Sheet3!$M$6:$M$21</c:f>
              <c:numCache>
                <c:formatCode>0.00%</c:formatCode>
                <c:ptCount val="16"/>
                <c:pt idx="0">
                  <c:v>0.33707865168539325</c:v>
                </c:pt>
                <c:pt idx="1">
                  <c:v>0.22658610271903326</c:v>
                </c:pt>
                <c:pt idx="2">
                  <c:v>0.25592417061611372</c:v>
                </c:pt>
                <c:pt idx="3">
                  <c:v>0.19765166340508805</c:v>
                </c:pt>
                <c:pt idx="4">
                  <c:v>0.12337662337662335</c:v>
                </c:pt>
                <c:pt idx="5">
                  <c:v>0.3421052631578948</c:v>
                </c:pt>
                <c:pt idx="6">
                  <c:v>0.15081206496519722</c:v>
                </c:pt>
                <c:pt idx="7">
                  <c:v>0.19081272084805653</c:v>
                </c:pt>
                <c:pt idx="8">
                  <c:v>6.1514195583596207E-2</c:v>
                </c:pt>
                <c:pt idx="9">
                  <c:v>0.19069767441860463</c:v>
                </c:pt>
                <c:pt idx="10">
                  <c:v>0.15555555555555556</c:v>
                </c:pt>
                <c:pt idx="11">
                  <c:v>0.15454545454545454</c:v>
                </c:pt>
                <c:pt idx="12">
                  <c:v>0.20529100529100527</c:v>
                </c:pt>
                <c:pt idx="13">
                  <c:v>0.16161616161616163</c:v>
                </c:pt>
                <c:pt idx="14">
                  <c:v>0.27615062761506276</c:v>
                </c:pt>
                <c:pt idx="15">
                  <c:v>0.22611464968152867</c:v>
                </c:pt>
              </c:numCache>
            </c:numRef>
          </c:val>
        </c:ser>
        <c:dLbls>
          <c:showLegendKey val="0"/>
          <c:showVal val="0"/>
          <c:showCatName val="0"/>
          <c:showSerName val="0"/>
          <c:showPercent val="0"/>
          <c:showBubbleSize val="0"/>
        </c:dLbls>
        <c:gapWidth val="219"/>
        <c:overlap val="-27"/>
        <c:axId val="305074400"/>
        <c:axId val="305074792"/>
      </c:barChart>
      <c:catAx>
        <c:axId val="30507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074792"/>
        <c:crosses val="autoZero"/>
        <c:auto val="1"/>
        <c:lblAlgn val="ctr"/>
        <c:lblOffset val="100"/>
        <c:noMultiLvlLbl val="0"/>
      </c:catAx>
      <c:valAx>
        <c:axId val="305074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07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Sheet1!$E$2</c:f>
              <c:strCache>
                <c:ptCount val="1"/>
                <c:pt idx="0">
                  <c:v>2012</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dLbl>
              <c:idx val="0"/>
              <c:tx>
                <c:rich>
                  <a:bodyPr/>
                  <a:lstStyle/>
                  <a:p>
                    <a:r>
                      <a:rPr lang="en-US" baseline="0"/>
                      <a:t>SUA
</a:t>
                    </a:r>
                    <a:fld id="{17C1D3B0-181A-48F2-B3E5-A94DC19ACEF9}"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a:lstStyle/>
                  <a:p>
                    <a:r>
                      <a:rPr lang="en-US" baseline="0"/>
                      <a:t>Rusia
</a:t>
                    </a:r>
                    <a:fld id="{D12B4D31-330B-4A42-8E63-CE302B3BA5CC}"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3"/>
              <c:tx>
                <c:rich>
                  <a:bodyPr/>
                  <a:lstStyle/>
                  <a:p>
                    <a:r>
                      <a:rPr lang="en-US" baseline="0"/>
                      <a:t>Japonia
</a:t>
                    </a:r>
                    <a:fld id="{AB51698B-FF6F-4F50-8126-68B4448C27A0}"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4"/>
              <c:tx>
                <c:rich>
                  <a:bodyPr/>
                  <a:lstStyle/>
                  <a:p>
                    <a:r>
                      <a:rPr lang="en-US" baseline="0"/>
                      <a:t>Restul lumii
</a:t>
                    </a:r>
                    <a:fld id="{C0359E8A-D867-4607-A28D-5D85C137468D}"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Sheet1!$D$3:$D$7</c:f>
              <c:strCache>
                <c:ptCount val="5"/>
                <c:pt idx="0">
                  <c:v>US</c:v>
                </c:pt>
                <c:pt idx="1">
                  <c:v>China</c:v>
                </c:pt>
                <c:pt idx="2">
                  <c:v>Russia</c:v>
                </c:pt>
                <c:pt idx="3">
                  <c:v>Japan</c:v>
                </c:pt>
                <c:pt idx="4">
                  <c:v>Rest of the world</c:v>
                </c:pt>
              </c:strCache>
            </c:strRef>
          </c:cat>
          <c:val>
            <c:numRef>
              <c:f>Sheet1!$E$3:$E$7</c:f>
              <c:numCache>
                <c:formatCode>0.00%</c:formatCode>
                <c:ptCount val="5"/>
                <c:pt idx="0">
                  <c:v>0.28899999999999998</c:v>
                </c:pt>
                <c:pt idx="1">
                  <c:v>3.9E-2</c:v>
                </c:pt>
                <c:pt idx="2" formatCode="0%">
                  <c:v>0.03</c:v>
                </c:pt>
                <c:pt idx="3">
                  <c:v>3.1E-2</c:v>
                </c:pt>
                <c:pt idx="4">
                  <c:v>0.61099999999999999</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Sheet2!$C$4</c:f>
              <c:strCache>
                <c:ptCount val="1"/>
                <c:pt idx="0">
                  <c:v>PIB (Miliarde euro))</c:v>
                </c:pt>
              </c:strCache>
            </c:strRef>
          </c:tx>
          <c:spPr>
            <a:solidFill>
              <a:schemeClr val="accent1"/>
            </a:solidFill>
            <a:ln>
              <a:noFill/>
            </a:ln>
            <a:effectLst/>
          </c:spPr>
          <c:invertIfNegative val="0"/>
          <c:cat>
            <c:strRef>
              <c:f>Sheet2!$B$5:$B$19</c:f>
              <c:strCache>
                <c:ptCount val="15"/>
                <c:pt idx="0">
                  <c:v>SUA</c:v>
                </c:pt>
                <c:pt idx="1">
                  <c:v>Japonia</c:v>
                </c:pt>
                <c:pt idx="2">
                  <c:v>Canada</c:v>
                </c:pt>
                <c:pt idx="3">
                  <c:v>Australia</c:v>
                </c:pt>
                <c:pt idx="4">
                  <c:v>Coreea</c:v>
                </c:pt>
                <c:pt idx="5">
                  <c:v>Mexic</c:v>
                </c:pt>
                <c:pt idx="6">
                  <c:v>Turcia</c:v>
                </c:pt>
                <c:pt idx="7">
                  <c:v>Elveția</c:v>
                </c:pt>
                <c:pt idx="8">
                  <c:v>Norvegia</c:v>
                </c:pt>
                <c:pt idx="9">
                  <c:v>Columbia</c:v>
                </c:pt>
                <c:pt idx="10">
                  <c:v>Chile</c:v>
                </c:pt>
                <c:pt idx="11">
                  <c:v>Hong Kong China</c:v>
                </c:pt>
                <c:pt idx="12">
                  <c:v>Israel</c:v>
                </c:pt>
                <c:pt idx="13">
                  <c:v>Noua Zeelandă</c:v>
                </c:pt>
                <c:pt idx="14">
                  <c:v>Islanda</c:v>
                </c:pt>
              </c:strCache>
            </c:strRef>
          </c:cat>
          <c:val>
            <c:numRef>
              <c:f>Sheet2!$C$5:$C$19</c:f>
              <c:numCache>
                <c:formatCode>#,##0.00</c:formatCode>
                <c:ptCount val="15"/>
                <c:pt idx="0">
                  <c:v>12643.7</c:v>
                </c:pt>
                <c:pt idx="1">
                  <c:v>4621.5</c:v>
                </c:pt>
                <c:pt idx="2">
                  <c:v>1417.7</c:v>
                </c:pt>
                <c:pt idx="3">
                  <c:v>1192.7</c:v>
                </c:pt>
                <c:pt idx="4">
                  <c:v>951.7</c:v>
                </c:pt>
                <c:pt idx="5">
                  <c:v>923.5</c:v>
                </c:pt>
                <c:pt idx="6">
                  <c:v>614</c:v>
                </c:pt>
                <c:pt idx="7">
                  <c:v>491.3</c:v>
                </c:pt>
                <c:pt idx="8">
                  <c:v>389.2</c:v>
                </c:pt>
                <c:pt idx="9">
                  <c:v>288.2</c:v>
                </c:pt>
                <c:pt idx="10">
                  <c:v>207.2</c:v>
                </c:pt>
                <c:pt idx="11">
                  <c:v>204.4</c:v>
                </c:pt>
                <c:pt idx="12">
                  <c:v>200.5</c:v>
                </c:pt>
                <c:pt idx="13">
                  <c:v>133.5</c:v>
                </c:pt>
                <c:pt idx="14">
                  <c:v>10.6</c:v>
                </c:pt>
              </c:numCache>
            </c:numRef>
          </c:val>
        </c:ser>
        <c:dLbls>
          <c:showLegendKey val="0"/>
          <c:showVal val="0"/>
          <c:showCatName val="0"/>
          <c:showSerName val="0"/>
          <c:showPercent val="0"/>
          <c:showBubbleSize val="0"/>
        </c:dLbls>
        <c:gapWidth val="219"/>
        <c:overlap val="-27"/>
        <c:axId val="305075968"/>
        <c:axId val="305076360"/>
      </c:barChart>
      <c:lineChart>
        <c:grouping val="standard"/>
        <c:varyColors val="0"/>
        <c:ser>
          <c:idx val="1"/>
          <c:order val="1"/>
          <c:tx>
            <c:strRef>
              <c:f>Sheet2!$D$4</c:f>
              <c:strCache>
                <c:ptCount val="1"/>
                <c:pt idx="0">
                  <c:v>Comerțul UE cu servicii comerciale (Miliarde euro)</c:v>
                </c:pt>
              </c:strCache>
            </c:strRef>
          </c:tx>
          <c:spPr>
            <a:ln w="28575" cap="rnd">
              <a:solidFill>
                <a:schemeClr val="accent2"/>
              </a:solidFill>
              <a:round/>
            </a:ln>
            <a:effectLst/>
          </c:spPr>
          <c:marker>
            <c:symbol val="none"/>
          </c:marker>
          <c:cat>
            <c:strRef>
              <c:f>Sheet2!$B$5:$B$19</c:f>
              <c:strCache>
                <c:ptCount val="15"/>
                <c:pt idx="0">
                  <c:v>SUA</c:v>
                </c:pt>
                <c:pt idx="1">
                  <c:v>Japonia</c:v>
                </c:pt>
                <c:pt idx="2">
                  <c:v>Canada</c:v>
                </c:pt>
                <c:pt idx="3">
                  <c:v>Australia</c:v>
                </c:pt>
                <c:pt idx="4">
                  <c:v>Coreea</c:v>
                </c:pt>
                <c:pt idx="5">
                  <c:v>Mexic</c:v>
                </c:pt>
                <c:pt idx="6">
                  <c:v>Turcia</c:v>
                </c:pt>
                <c:pt idx="7">
                  <c:v>Elveția</c:v>
                </c:pt>
                <c:pt idx="8">
                  <c:v>Norvegia</c:v>
                </c:pt>
                <c:pt idx="9">
                  <c:v>Columbia</c:v>
                </c:pt>
                <c:pt idx="10">
                  <c:v>Chile</c:v>
                </c:pt>
                <c:pt idx="11">
                  <c:v>Hong Kong China</c:v>
                </c:pt>
                <c:pt idx="12">
                  <c:v>Israel</c:v>
                </c:pt>
                <c:pt idx="13">
                  <c:v>Noua Zeelandă</c:v>
                </c:pt>
                <c:pt idx="14">
                  <c:v>Islanda</c:v>
                </c:pt>
              </c:strCache>
            </c:strRef>
          </c:cat>
          <c:val>
            <c:numRef>
              <c:f>Sheet2!$D$5:$D$19</c:f>
              <c:numCache>
                <c:formatCode>General</c:formatCode>
                <c:ptCount val="15"/>
                <c:pt idx="0">
                  <c:v>155.94999999999999</c:v>
                </c:pt>
                <c:pt idx="1">
                  <c:v>20.100000000000001</c:v>
                </c:pt>
                <c:pt idx="2">
                  <c:v>13.45</c:v>
                </c:pt>
                <c:pt idx="3">
                  <c:v>13.55</c:v>
                </c:pt>
                <c:pt idx="4">
                  <c:v>7.1</c:v>
                </c:pt>
                <c:pt idx="5">
                  <c:v>5.15</c:v>
                </c:pt>
                <c:pt idx="6">
                  <c:v>12</c:v>
                </c:pt>
                <c:pt idx="7">
                  <c:v>70.75</c:v>
                </c:pt>
                <c:pt idx="8">
                  <c:v>17.75</c:v>
                </c:pt>
                <c:pt idx="9">
                  <c:v>6.2</c:v>
                </c:pt>
                <c:pt idx="10">
                  <c:v>2.4000000000000004</c:v>
                </c:pt>
                <c:pt idx="11">
                  <c:v>9.8000000000000007</c:v>
                </c:pt>
                <c:pt idx="12">
                  <c:v>3.9</c:v>
                </c:pt>
                <c:pt idx="13">
                  <c:v>1.9</c:v>
                </c:pt>
                <c:pt idx="14">
                  <c:v>0.60000000000000009</c:v>
                </c:pt>
              </c:numCache>
            </c:numRef>
          </c:val>
          <c:smooth val="0"/>
        </c:ser>
        <c:dLbls>
          <c:showLegendKey val="0"/>
          <c:showVal val="0"/>
          <c:showCatName val="0"/>
          <c:showSerName val="0"/>
          <c:showPercent val="0"/>
          <c:showBubbleSize val="0"/>
        </c:dLbls>
        <c:marker val="1"/>
        <c:smooth val="0"/>
        <c:axId val="334718176"/>
        <c:axId val="305076752"/>
      </c:lineChart>
      <c:catAx>
        <c:axId val="30507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076360"/>
        <c:crosses val="autoZero"/>
        <c:auto val="1"/>
        <c:lblAlgn val="ctr"/>
        <c:lblOffset val="100"/>
        <c:noMultiLvlLbl val="0"/>
      </c:catAx>
      <c:valAx>
        <c:axId val="3050763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075968"/>
        <c:crosses val="autoZero"/>
        <c:crossBetween val="between"/>
      </c:valAx>
      <c:valAx>
        <c:axId val="305076752"/>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718176"/>
        <c:crosses val="max"/>
        <c:crossBetween val="between"/>
      </c:valAx>
      <c:catAx>
        <c:axId val="334718176"/>
        <c:scaling>
          <c:orientation val="minMax"/>
        </c:scaling>
        <c:delete val="1"/>
        <c:axPos val="b"/>
        <c:numFmt formatCode="General" sourceLinked="1"/>
        <c:majorTickMark val="none"/>
        <c:minorTickMark val="none"/>
        <c:tickLblPos val="nextTo"/>
        <c:crossAx val="3050767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Sheet4!$J$3</c:f>
              <c:strCache>
                <c:ptCount val="1"/>
                <c:pt idx="0">
                  <c:v>The share of services relative to GDP</c:v>
                </c:pt>
              </c:strCache>
            </c:strRef>
          </c:tx>
          <c:spPr>
            <a:ln w="28575" cap="rnd">
              <a:solidFill>
                <a:schemeClr val="accent1"/>
              </a:solidFill>
              <a:round/>
            </a:ln>
            <a:effectLst/>
          </c:spPr>
          <c:marker>
            <c:symbol val="none"/>
          </c:marker>
          <c:cat>
            <c:strRef>
              <c:f>Sheet4!$I$4:$I$18</c:f>
              <c:strCache>
                <c:ptCount val="15"/>
                <c:pt idx="0">
                  <c:v>Switzerland</c:v>
                </c:pt>
                <c:pt idx="1">
                  <c:v>Iceland</c:v>
                </c:pt>
                <c:pt idx="2">
                  <c:v>Hong Kong China</c:v>
                </c:pt>
                <c:pt idx="3">
                  <c:v>Norway</c:v>
                </c:pt>
                <c:pt idx="4">
                  <c:v>Colombia</c:v>
                </c:pt>
                <c:pt idx="5">
                  <c:v>Turkey</c:v>
                </c:pt>
                <c:pt idx="6">
                  <c:v>Israel</c:v>
                </c:pt>
                <c:pt idx="7">
                  <c:v>New Zealand</c:v>
                </c:pt>
                <c:pt idx="8">
                  <c:v>USA</c:v>
                </c:pt>
                <c:pt idx="9">
                  <c:v>Chile</c:v>
                </c:pt>
                <c:pt idx="10">
                  <c:v>Australia</c:v>
                </c:pt>
                <c:pt idx="11">
                  <c:v>Canada</c:v>
                </c:pt>
                <c:pt idx="12">
                  <c:v>Korea</c:v>
                </c:pt>
                <c:pt idx="13">
                  <c:v>Mexico</c:v>
                </c:pt>
                <c:pt idx="14">
                  <c:v>Japan</c:v>
                </c:pt>
              </c:strCache>
            </c:strRef>
          </c:cat>
          <c:val>
            <c:numRef>
              <c:f>Sheet4!$J$4:$J$18</c:f>
              <c:numCache>
                <c:formatCode>0.00%</c:formatCode>
                <c:ptCount val="15"/>
                <c:pt idx="0">
                  <c:v>0.14400569916547934</c:v>
                </c:pt>
                <c:pt idx="1">
                  <c:v>5.6603773584905669E-2</c:v>
                </c:pt>
                <c:pt idx="2">
                  <c:v>4.7945205479452059E-2</c:v>
                </c:pt>
                <c:pt idx="3">
                  <c:v>4.5606372045220965E-2</c:v>
                </c:pt>
                <c:pt idx="4">
                  <c:v>2.1512838306731438E-2</c:v>
                </c:pt>
                <c:pt idx="5">
                  <c:v>1.9543973941368076E-2</c:v>
                </c:pt>
                <c:pt idx="6">
                  <c:v>1.945137157107232E-2</c:v>
                </c:pt>
                <c:pt idx="7">
                  <c:v>1.4232209737827715E-2</c:v>
                </c:pt>
                <c:pt idx="8">
                  <c:v>1.2334205968189689E-2</c:v>
                </c:pt>
                <c:pt idx="9">
                  <c:v>1.1583011583011586E-2</c:v>
                </c:pt>
                <c:pt idx="10">
                  <c:v>1.1360778066571644E-2</c:v>
                </c:pt>
                <c:pt idx="11">
                  <c:v>9.4871975735345976E-3</c:v>
                </c:pt>
                <c:pt idx="12">
                  <c:v>7.4603341389093197E-3</c:v>
                </c:pt>
                <c:pt idx="13">
                  <c:v>5.5766107200866276E-3</c:v>
                </c:pt>
                <c:pt idx="14">
                  <c:v>4.349237260629666E-3</c:v>
                </c:pt>
              </c:numCache>
            </c:numRef>
          </c:val>
        </c:ser>
        <c:dLbls>
          <c:showLegendKey val="0"/>
          <c:showVal val="0"/>
          <c:showCatName val="0"/>
          <c:showSerName val="0"/>
          <c:showPercent val="0"/>
          <c:showBubbleSize val="0"/>
        </c:dLbls>
        <c:axId val="337606696"/>
        <c:axId val="337607088"/>
      </c:radarChart>
      <c:catAx>
        <c:axId val="337606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37607088"/>
        <c:crosses val="autoZero"/>
        <c:auto val="1"/>
        <c:lblAlgn val="ctr"/>
        <c:lblOffset val="100"/>
        <c:noMultiLvlLbl val="0"/>
      </c:catAx>
      <c:valAx>
        <c:axId val="3376070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60000"/>
                    <a:lumOff val="40000"/>
                  </a:schemeClr>
                </a:solidFill>
                <a:latin typeface="+mn-lt"/>
                <a:ea typeface="+mn-ea"/>
                <a:cs typeface="+mn-cs"/>
              </a:defRPr>
            </a:pPr>
            <a:endParaRPr lang="en-US"/>
          </a:p>
        </c:txPr>
        <c:crossAx val="337606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7</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Ludmila</cp:lastModifiedBy>
  <cp:revision>429</cp:revision>
  <dcterms:created xsi:type="dcterms:W3CDTF">2015-02-06T17:45:00Z</dcterms:created>
  <dcterms:modified xsi:type="dcterms:W3CDTF">2015-02-08T19:30:00Z</dcterms:modified>
</cp:coreProperties>
</file>