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25" w:rsidRPr="00844061" w:rsidRDefault="00601396" w:rsidP="00844061">
      <w:pPr>
        <w:jc w:val="center"/>
        <w:rPr>
          <w:rFonts w:ascii="Times New Roman" w:hAnsi="Times New Roman" w:cs="Times New Roman"/>
          <w:b/>
          <w:sz w:val="28"/>
          <w:szCs w:val="28"/>
          <w:lang w:val="ro-RO"/>
        </w:rPr>
      </w:pPr>
      <w:r w:rsidRPr="00A64892">
        <w:rPr>
          <w:rFonts w:ascii="Times New Roman" w:hAnsi="Times New Roman" w:cs="Times New Roman"/>
          <w:b/>
          <w:sz w:val="28"/>
          <w:szCs w:val="28"/>
          <w:lang w:val="ro-RO"/>
        </w:rPr>
        <w:t>EFECTELE  ECONOMICE ALE EMIGRĂRII TINERILOR ROMÂNI CU STUDII SUPERIOARE</w:t>
      </w:r>
    </w:p>
    <w:p w:rsidR="00601396" w:rsidRPr="00A64892" w:rsidRDefault="00601396" w:rsidP="00601396">
      <w:pPr>
        <w:jc w:val="both"/>
        <w:rPr>
          <w:rFonts w:ascii="Times New Roman" w:hAnsi="Times New Roman" w:cs="Times New Roman"/>
          <w:sz w:val="24"/>
          <w:szCs w:val="24"/>
          <w:lang w:val="ro-RO"/>
        </w:rPr>
      </w:pPr>
    </w:p>
    <w:p w:rsidR="00844061" w:rsidRPr="00844061" w:rsidRDefault="00844061" w:rsidP="00B53025">
      <w:pPr>
        <w:spacing w:after="0"/>
        <w:ind w:firstLine="720"/>
        <w:jc w:val="both"/>
        <w:rPr>
          <w:rFonts w:ascii="Times New Roman" w:hAnsi="Times New Roman" w:cs="Times New Roman"/>
          <w:b/>
          <w:i/>
          <w:sz w:val="20"/>
          <w:szCs w:val="20"/>
        </w:rPr>
      </w:pPr>
      <w:r w:rsidRPr="00844061">
        <w:rPr>
          <w:rFonts w:ascii="Times New Roman" w:hAnsi="Times New Roman" w:cs="Times New Roman"/>
          <w:b/>
          <w:i/>
          <w:sz w:val="20"/>
          <w:szCs w:val="20"/>
          <w:lang w:val="ro-RO"/>
        </w:rPr>
        <w:t>Abstract</w:t>
      </w:r>
      <w:r w:rsidRPr="00844061">
        <w:rPr>
          <w:rFonts w:ascii="Times New Roman" w:hAnsi="Times New Roman" w:cs="Times New Roman"/>
          <w:b/>
          <w:i/>
          <w:sz w:val="20"/>
          <w:szCs w:val="20"/>
        </w:rPr>
        <w:t>:</w:t>
      </w:r>
    </w:p>
    <w:p w:rsidR="00601396" w:rsidRPr="00A64892" w:rsidRDefault="00601396" w:rsidP="00B53025">
      <w:pPr>
        <w:spacing w:after="0"/>
        <w:ind w:firstLine="720"/>
        <w:jc w:val="both"/>
        <w:rPr>
          <w:rFonts w:ascii="Times New Roman" w:hAnsi="Times New Roman" w:cs="Times New Roman"/>
          <w:i/>
          <w:sz w:val="20"/>
          <w:szCs w:val="20"/>
          <w:lang w:val="ro-RO"/>
        </w:rPr>
      </w:pPr>
      <w:r w:rsidRPr="00A64892">
        <w:rPr>
          <w:rFonts w:ascii="Times New Roman" w:hAnsi="Times New Roman" w:cs="Times New Roman"/>
          <w:i/>
          <w:sz w:val="20"/>
          <w:szCs w:val="20"/>
          <w:lang w:val="ro-RO"/>
        </w:rPr>
        <w:t xml:space="preserve"> Migrația reprezintă unul dintre cele mai vechi fenomene care au însoțit dezvoltarea societății umane, provocând ciocniri între popoare, culturi şi civilizaţii. Evenimente recente sau dintr-un trecut nu prea îndepărtat al Europei dovedesc faptul că tensiunile create de fluxurile migratorii se răsfrâng adesea asupra relaţiilor politice</w:t>
      </w:r>
      <w:r w:rsidR="00CB2364">
        <w:rPr>
          <w:rFonts w:ascii="Times New Roman" w:hAnsi="Times New Roman" w:cs="Times New Roman"/>
          <w:i/>
          <w:sz w:val="20"/>
          <w:szCs w:val="20"/>
          <w:lang w:val="ro-RO"/>
        </w:rPr>
        <w:t xml:space="preserve"> și economice</w:t>
      </w:r>
      <w:r w:rsidRPr="00A64892">
        <w:rPr>
          <w:rFonts w:ascii="Times New Roman" w:hAnsi="Times New Roman" w:cs="Times New Roman"/>
          <w:i/>
          <w:sz w:val="20"/>
          <w:szCs w:val="20"/>
          <w:lang w:val="ro-RO"/>
        </w:rPr>
        <w:t xml:space="preserve"> dintre diferite ţări, culturi şi religii. </w:t>
      </w:r>
    </w:p>
    <w:p w:rsidR="00601396" w:rsidRPr="00A64892" w:rsidRDefault="00601396" w:rsidP="004237D3">
      <w:pPr>
        <w:spacing w:after="0"/>
        <w:ind w:firstLine="720"/>
        <w:jc w:val="both"/>
        <w:rPr>
          <w:rFonts w:ascii="Times New Roman" w:hAnsi="Times New Roman" w:cs="Times New Roman"/>
          <w:i/>
          <w:sz w:val="20"/>
          <w:szCs w:val="20"/>
          <w:lang w:val="ro-RO"/>
        </w:rPr>
      </w:pPr>
      <w:r w:rsidRPr="00A64892">
        <w:rPr>
          <w:rFonts w:ascii="Times New Roman" w:hAnsi="Times New Roman" w:cs="Times New Roman"/>
          <w:i/>
          <w:sz w:val="20"/>
          <w:szCs w:val="20"/>
          <w:lang w:val="ro-RO"/>
        </w:rPr>
        <w:t>Realitatea curentă românească ne arată că după anul 1989 populația rezidentă a cunoscut o diminuare. Conform Institutului Național de Statistică, în perioada 1989-2012, populația României s-a redus cu aproximativ 3,1 milioane de locuitori, această reducere fiind determinată atât de fenomenul migraționist, cât și de sporul natural negativ. Evidențele statistice ne arată totodată că printre cei care decid să emigreze se află, de regulă, extremele. Pe de o parte aleg acest drum persoanele cu venituri scăzute și nivel de educație scăzut sau mediu, pe de cealaltă parte, regăsim fenomenul de brain drain. Îngrijorător este faptul că printre cei care aleg să emigreze se înregistrează populația tânără, capabilă să muncească, punându-se atfel problema  finanțării serviciilor sociale, pe termen mediul și lung.</w:t>
      </w:r>
    </w:p>
    <w:p w:rsidR="00601396" w:rsidRPr="00A64892" w:rsidRDefault="00601396" w:rsidP="004237D3">
      <w:pPr>
        <w:spacing w:after="0"/>
        <w:ind w:firstLine="720"/>
        <w:jc w:val="both"/>
        <w:rPr>
          <w:rFonts w:ascii="Times New Roman" w:hAnsi="Times New Roman" w:cs="Times New Roman"/>
          <w:i/>
          <w:sz w:val="20"/>
          <w:szCs w:val="20"/>
          <w:lang w:val="ro-RO"/>
        </w:rPr>
      </w:pPr>
      <w:r w:rsidRPr="00A64892">
        <w:rPr>
          <w:rFonts w:ascii="Times New Roman" w:hAnsi="Times New Roman" w:cs="Times New Roman"/>
          <w:i/>
          <w:sz w:val="20"/>
          <w:szCs w:val="20"/>
          <w:lang w:val="ro-RO"/>
        </w:rPr>
        <w:t>Pornind de la astfel de considerente, lucrarea prezentă urmărește evidențierea unor aspecte cheie privind intenția de emigrare a tinerilor având un nivel de educație superior. Folosind atât metode cantitative, cât și calitative, autorii prezentei lucrări urmăresc atât identificarea posibilelor cauze care pot determina tineretul cu studii superioare să emigreze,  evaluarea unor posibile efecte generate de acest fenomen, cât și identificarea unor propuneri de soluții pentru limitarea efectelor negative produse de declinul demografic.</w:t>
      </w:r>
    </w:p>
    <w:p w:rsidR="00601396" w:rsidRPr="00A64892" w:rsidRDefault="00601396" w:rsidP="00601396">
      <w:pPr>
        <w:jc w:val="both"/>
        <w:rPr>
          <w:rFonts w:ascii="Times New Roman" w:hAnsi="Times New Roman" w:cs="Times New Roman"/>
          <w:b/>
          <w:sz w:val="20"/>
          <w:szCs w:val="20"/>
          <w:lang w:val="ro-RO"/>
        </w:rPr>
      </w:pPr>
    </w:p>
    <w:p w:rsidR="00601396" w:rsidRPr="00A64892" w:rsidRDefault="00601396" w:rsidP="00B53025">
      <w:pPr>
        <w:ind w:firstLine="720"/>
        <w:jc w:val="both"/>
        <w:rPr>
          <w:rFonts w:ascii="Times New Roman" w:hAnsi="Times New Roman" w:cs="Times New Roman"/>
          <w:sz w:val="20"/>
          <w:szCs w:val="20"/>
          <w:lang w:val="ro-RO"/>
        </w:rPr>
      </w:pPr>
      <w:r w:rsidRPr="00A64892">
        <w:rPr>
          <w:rFonts w:ascii="Times New Roman" w:hAnsi="Times New Roman" w:cs="Times New Roman"/>
          <w:b/>
          <w:sz w:val="20"/>
          <w:szCs w:val="20"/>
          <w:lang w:val="ro-RO"/>
        </w:rPr>
        <w:t>Cuvinte cheie:</w:t>
      </w:r>
      <w:r w:rsidRPr="00A64892">
        <w:rPr>
          <w:rFonts w:ascii="Times New Roman" w:hAnsi="Times New Roman" w:cs="Times New Roman"/>
          <w:sz w:val="20"/>
          <w:szCs w:val="20"/>
          <w:lang w:val="ro-RO"/>
        </w:rPr>
        <w:t xml:space="preserve"> migrația, declin demografic, piața muncii, asistenţă socială, brain drain</w:t>
      </w:r>
    </w:p>
    <w:p w:rsidR="00601396" w:rsidRDefault="00601396" w:rsidP="00B53025">
      <w:pPr>
        <w:ind w:firstLine="720"/>
        <w:jc w:val="both"/>
        <w:rPr>
          <w:rFonts w:ascii="Times New Roman" w:hAnsi="Times New Roman" w:cs="Times New Roman"/>
          <w:sz w:val="20"/>
          <w:szCs w:val="20"/>
          <w:lang w:val="ro-RO"/>
        </w:rPr>
      </w:pPr>
      <w:r w:rsidRPr="00A64892">
        <w:rPr>
          <w:rFonts w:ascii="Times New Roman" w:hAnsi="Times New Roman" w:cs="Times New Roman"/>
          <w:b/>
          <w:sz w:val="20"/>
          <w:szCs w:val="20"/>
          <w:lang w:val="ro-RO"/>
        </w:rPr>
        <w:t>Clasificare JEL:</w:t>
      </w:r>
      <w:r w:rsidRPr="00A64892">
        <w:rPr>
          <w:rFonts w:ascii="Times New Roman" w:hAnsi="Times New Roman" w:cs="Times New Roman"/>
          <w:sz w:val="20"/>
          <w:szCs w:val="20"/>
          <w:lang w:val="ro-RO"/>
        </w:rPr>
        <w:t xml:space="preserve">   J69, R10</w:t>
      </w:r>
    </w:p>
    <w:p w:rsidR="00844061" w:rsidRPr="00A64892" w:rsidRDefault="00844061" w:rsidP="00B53025">
      <w:pPr>
        <w:ind w:firstLine="720"/>
        <w:jc w:val="both"/>
        <w:rPr>
          <w:rFonts w:ascii="Times New Roman" w:hAnsi="Times New Roman" w:cs="Times New Roman"/>
          <w:sz w:val="24"/>
          <w:szCs w:val="24"/>
          <w:lang w:val="ro-RO"/>
        </w:rPr>
      </w:pPr>
    </w:p>
    <w:p w:rsidR="00A152CD" w:rsidRPr="00A64892" w:rsidRDefault="00601396" w:rsidP="00B53025">
      <w:pPr>
        <w:ind w:firstLine="720"/>
        <w:jc w:val="both"/>
        <w:rPr>
          <w:rFonts w:ascii="Times New Roman" w:hAnsi="Times New Roman" w:cs="Times New Roman"/>
          <w:b/>
          <w:iCs/>
          <w:sz w:val="24"/>
          <w:szCs w:val="24"/>
          <w:lang w:val="ro-RO"/>
        </w:rPr>
      </w:pPr>
      <w:r w:rsidRPr="00A64892">
        <w:rPr>
          <w:rFonts w:ascii="Times New Roman" w:hAnsi="Times New Roman" w:cs="Times New Roman"/>
          <w:b/>
          <w:iCs/>
          <w:sz w:val="24"/>
          <w:szCs w:val="24"/>
          <w:lang w:val="ro-RO"/>
        </w:rPr>
        <w:t xml:space="preserve">1. </w:t>
      </w:r>
      <w:r w:rsidR="00844061">
        <w:rPr>
          <w:rFonts w:ascii="Times New Roman" w:hAnsi="Times New Roman" w:cs="Times New Roman"/>
          <w:b/>
          <w:iCs/>
          <w:sz w:val="24"/>
          <w:szCs w:val="24"/>
          <w:lang w:val="ro-RO"/>
        </w:rPr>
        <w:t>MIGRATIA IN LITERATURA DE SPECIALITATE</w:t>
      </w:r>
    </w:p>
    <w:p w:rsidR="005B50C5" w:rsidRPr="00A64892" w:rsidRDefault="00722E30" w:rsidP="00B53025">
      <w:pPr>
        <w:ind w:firstLine="720"/>
        <w:jc w:val="both"/>
        <w:rPr>
          <w:rFonts w:ascii="Times New Roman" w:hAnsi="Times New Roman" w:cs="Times New Roman"/>
          <w:iCs/>
          <w:sz w:val="24"/>
          <w:szCs w:val="24"/>
          <w:lang w:val="ro-RO"/>
        </w:rPr>
      </w:pPr>
      <w:r w:rsidRPr="00A64892">
        <w:rPr>
          <w:rFonts w:ascii="Times New Roman" w:hAnsi="Times New Roman" w:cs="Times New Roman"/>
          <w:iCs/>
          <w:sz w:val="24"/>
          <w:szCs w:val="24"/>
          <w:lang w:val="ro-RO"/>
        </w:rPr>
        <w:t>Fenomenul migraționist există din timpuri imemoriale, iar istoria stă martor în acest sens. Din punct de vedere teoretic, problematica migrației a fost amplu dezbătută și, cu toate acestea, nu se poate afirma că s-a spus ultimul cuvânt. Domeniul este unul complex, cu multiple implicații, de la cele economice, l</w:t>
      </w:r>
      <w:r w:rsidR="00A152CD" w:rsidRPr="00A64892">
        <w:rPr>
          <w:rFonts w:ascii="Times New Roman" w:hAnsi="Times New Roman" w:cs="Times New Roman"/>
          <w:iCs/>
          <w:sz w:val="24"/>
          <w:szCs w:val="24"/>
          <w:lang w:val="ro-RO"/>
        </w:rPr>
        <w:t>a cele sociale, politice, demogr</w:t>
      </w:r>
      <w:r w:rsidRPr="00A64892">
        <w:rPr>
          <w:rFonts w:ascii="Times New Roman" w:hAnsi="Times New Roman" w:cs="Times New Roman"/>
          <w:iCs/>
          <w:sz w:val="24"/>
          <w:szCs w:val="24"/>
          <w:lang w:val="ro-RO"/>
        </w:rPr>
        <w:t xml:space="preserve">afice și chiar psihologice. După cum afirma cercetătorul </w:t>
      </w:r>
      <w:r w:rsidRPr="00A64892">
        <w:rPr>
          <w:rFonts w:ascii="Times New Roman" w:hAnsi="Times New Roman" w:cs="Times New Roman"/>
          <w:i/>
          <w:iCs/>
          <w:sz w:val="24"/>
          <w:szCs w:val="24"/>
          <w:lang w:val="ro-RO"/>
        </w:rPr>
        <w:t>Joaquin Arango</w:t>
      </w:r>
      <w:r w:rsidRPr="00A64892">
        <w:rPr>
          <w:rFonts w:ascii="Times New Roman" w:hAnsi="Times New Roman" w:cs="Times New Roman"/>
          <w:iCs/>
          <w:sz w:val="24"/>
          <w:szCs w:val="24"/>
          <w:lang w:val="ro-RO"/>
        </w:rPr>
        <w:t xml:space="preserve">, se pare că amploarea fenomenului în ultimele două secole a determinat noi cercetări : </w:t>
      </w:r>
      <w:r w:rsidR="002F1FCF" w:rsidRPr="00A64892">
        <w:rPr>
          <w:rFonts w:ascii="Times New Roman" w:hAnsi="Times New Roman" w:cs="Times New Roman"/>
          <w:sz w:val="24"/>
          <w:szCs w:val="24"/>
          <w:lang w:val="ro-RO"/>
        </w:rPr>
        <w:t>„Construcţia teoriilor în acest domeniu este practic o problemă a secolului XX şi în special a ultimei sale treimi. Cele mai multe contribuţii anterioare anilor 1960 sunt astăzi numai de interes istoric, exceptând un număr de contribuţii la vocabularul migraţiei şi semnificaţia specială a cât</w:t>
      </w:r>
      <w:r w:rsidRPr="00A64892">
        <w:rPr>
          <w:rFonts w:ascii="Times New Roman" w:hAnsi="Times New Roman" w:cs="Times New Roman"/>
          <w:sz w:val="24"/>
          <w:szCs w:val="24"/>
          <w:lang w:val="ro-RO"/>
        </w:rPr>
        <w:t>orva remarcabili precursori” (Constantinescu, 2002</w:t>
      </w:r>
      <w:r w:rsidR="002F1FCF" w:rsidRPr="00A64892">
        <w:rPr>
          <w:rFonts w:ascii="Times New Roman" w:hAnsi="Times New Roman" w:cs="Times New Roman"/>
          <w:sz w:val="24"/>
          <w:szCs w:val="24"/>
          <w:lang w:val="ro-RO"/>
        </w:rPr>
        <w:t>, p.94</w:t>
      </w:r>
      <w:r w:rsidRPr="00A64892">
        <w:rPr>
          <w:rFonts w:ascii="Times New Roman" w:hAnsi="Times New Roman" w:cs="Times New Roman"/>
          <w:sz w:val="24"/>
          <w:szCs w:val="24"/>
          <w:lang w:val="ro-RO"/>
        </w:rPr>
        <w:t>)</w:t>
      </w:r>
      <w:r w:rsidR="002F1FCF" w:rsidRPr="00A64892">
        <w:rPr>
          <w:rFonts w:ascii="Times New Roman" w:hAnsi="Times New Roman" w:cs="Times New Roman"/>
          <w:sz w:val="24"/>
          <w:szCs w:val="24"/>
          <w:lang w:val="ro-RO"/>
        </w:rPr>
        <w:t>.</w:t>
      </w:r>
    </w:p>
    <w:p w:rsidR="00722E30" w:rsidRPr="00A64892" w:rsidRDefault="004D268E" w:rsidP="00B53025">
      <w:pPr>
        <w:pStyle w:val="Default"/>
        <w:spacing w:line="276" w:lineRule="auto"/>
        <w:ind w:firstLine="720"/>
        <w:jc w:val="both"/>
        <w:rPr>
          <w:color w:val="auto"/>
          <w:lang w:val="ro-RO"/>
        </w:rPr>
      </w:pPr>
      <w:r w:rsidRPr="00A64892">
        <w:rPr>
          <w:color w:val="auto"/>
          <w:lang w:val="ro-RO"/>
        </w:rPr>
        <w:t xml:space="preserve">Cu toate acestea, realizările curente au la bază teorii care provin din secole îndepărtate. Astfel, problema migrației a început să fie dezbătută în cercurile științifice încă dinainte de mercantiliști. Cert este că </w:t>
      </w:r>
      <w:r w:rsidR="00A152CD" w:rsidRPr="00A64892">
        <w:rPr>
          <w:color w:val="auto"/>
          <w:lang w:val="ro-RO"/>
        </w:rPr>
        <w:t xml:space="preserve">Jean </w:t>
      </w:r>
      <w:r w:rsidR="00EE1758" w:rsidRPr="00A64892">
        <w:rPr>
          <w:color w:val="auto"/>
          <w:lang w:val="ro-RO"/>
        </w:rPr>
        <w:t>B</w:t>
      </w:r>
      <w:r w:rsidR="00A152CD" w:rsidRPr="00A64892">
        <w:rPr>
          <w:color w:val="auto"/>
          <w:lang w:val="ro-RO"/>
        </w:rPr>
        <w:t>aptiste</w:t>
      </w:r>
      <w:r w:rsidR="00EE1758" w:rsidRPr="00A64892">
        <w:rPr>
          <w:color w:val="auto"/>
          <w:lang w:val="ro-RO"/>
        </w:rPr>
        <w:t xml:space="preserve"> Colbert și Thomas Mun, reprezentanți ai mercantilismului, subliniau interdependența existentă între migrație și creșterea economică, </w:t>
      </w:r>
      <w:r w:rsidR="00EE1758" w:rsidRPr="00A64892">
        <w:rPr>
          <w:color w:val="auto"/>
          <w:lang w:val="ro-RO"/>
        </w:rPr>
        <w:lastRenderedPageBreak/>
        <w:t>evidențiind necesitatea ținerii sub control a emigrației dinspre țara de origine spre colonii, întrucât o forță de muncă numeroasă era garantul unei creșteri economice semnificative.</w:t>
      </w:r>
      <w:r w:rsidR="004236C9" w:rsidRPr="00A64892">
        <w:rPr>
          <w:color w:val="auto"/>
          <w:lang w:val="ro-RO"/>
        </w:rPr>
        <w:t xml:space="preserve"> Ulterior, școala clasică evidenția ceva mai nuanțat problema migrației. Adam Smith, părintele științei economice, arăta că este necesară libera circulație a mărfurilor și a populației, ca premise ale creșterii avuției (Smith, 1992). Printre liberali, problema mobilității populației a fost abordată și de către J.S. Mill, Th. Malthus etc., </w:t>
      </w:r>
      <w:r w:rsidR="00166D2A" w:rsidRPr="00A64892">
        <w:rPr>
          <w:color w:val="auto"/>
          <w:lang w:val="ro-RO"/>
        </w:rPr>
        <w:t xml:space="preserve">aceștia arătând că mobilitatea factorului muncă asigură și accesul la noi piețe de desfacere. Migrația a fost studiată indiferent de orientarea doctrinară. Sper exemplu, în cazul lui K.Marx, factorul principal care declanșează dezvoltarea economiei, mobilitatea populaţiei şi modificarea tuturor aspectelor vieţii sociale este producţia industrială în masă, prin urmare migrația apare ca fiind determinată de evoluția industrială (Marx, 2009). </w:t>
      </w:r>
    </w:p>
    <w:p w:rsidR="002870D3" w:rsidRPr="00A64892" w:rsidRDefault="002870D3" w:rsidP="00601396">
      <w:pPr>
        <w:pStyle w:val="Default"/>
        <w:spacing w:line="276" w:lineRule="auto"/>
        <w:jc w:val="both"/>
        <w:rPr>
          <w:color w:val="auto"/>
          <w:lang w:val="ro-RO"/>
        </w:rPr>
      </w:pPr>
    </w:p>
    <w:p w:rsidR="00EE1758" w:rsidRPr="00A64892" w:rsidRDefault="002047A4" w:rsidP="00B53025">
      <w:pPr>
        <w:pStyle w:val="Default"/>
        <w:spacing w:line="276" w:lineRule="auto"/>
        <w:ind w:firstLine="720"/>
        <w:jc w:val="both"/>
        <w:rPr>
          <w:color w:val="auto"/>
          <w:lang w:val="ro-RO"/>
        </w:rPr>
      </w:pPr>
      <w:r w:rsidRPr="00A64892">
        <w:rPr>
          <w:color w:val="auto"/>
          <w:lang w:val="ro-RO"/>
        </w:rPr>
        <w:t>Secolul al XX-lea vine cu o serie de teorii dedicate fenomenului migraționist. În tabelul de mai jos sunt sintetizate doar câteva dintre acestea, literatura de</w:t>
      </w:r>
      <w:r w:rsidR="004237D3">
        <w:rPr>
          <w:color w:val="auto"/>
          <w:lang w:val="ro-RO"/>
        </w:rPr>
        <w:t xml:space="preserve"> specialitate dovedindu-se real</w:t>
      </w:r>
      <w:r w:rsidRPr="00A64892">
        <w:rPr>
          <w:color w:val="auto"/>
          <w:lang w:val="ro-RO"/>
        </w:rPr>
        <w:t>mente complexă</w:t>
      </w:r>
      <w:r w:rsidR="00844061">
        <w:rPr>
          <w:color w:val="auto"/>
          <w:lang w:val="ro-RO"/>
        </w:rPr>
        <w:t xml:space="preserve"> (Tabel nr. 1)</w:t>
      </w:r>
      <w:r w:rsidRPr="00A64892">
        <w:rPr>
          <w:color w:val="auto"/>
          <w:lang w:val="ro-RO"/>
        </w:rPr>
        <w:t>.</w:t>
      </w:r>
    </w:p>
    <w:p w:rsidR="005F5929" w:rsidRPr="00A64892" w:rsidRDefault="005F5929" w:rsidP="00601396">
      <w:pPr>
        <w:pStyle w:val="Default"/>
        <w:spacing w:line="276" w:lineRule="auto"/>
        <w:jc w:val="both"/>
        <w:rPr>
          <w:color w:val="auto"/>
          <w:lang w:val="ro-RO"/>
        </w:rPr>
      </w:pPr>
    </w:p>
    <w:p w:rsidR="002047A4" w:rsidRPr="00844061" w:rsidRDefault="002047A4" w:rsidP="00B53025">
      <w:pPr>
        <w:pStyle w:val="Default"/>
        <w:spacing w:line="276" w:lineRule="auto"/>
        <w:jc w:val="center"/>
        <w:rPr>
          <w:b/>
          <w:color w:val="auto"/>
          <w:lang w:val="ro-RO"/>
        </w:rPr>
      </w:pPr>
      <w:r w:rsidRPr="00844061">
        <w:rPr>
          <w:b/>
          <w:color w:val="auto"/>
          <w:lang w:val="ro-RO"/>
        </w:rPr>
        <w:t>Tabel nr.1. Câteva repere în literatura de specialitate privind migrația</w:t>
      </w:r>
    </w:p>
    <w:tbl>
      <w:tblPr>
        <w:tblStyle w:val="LightGrid-Accent3"/>
        <w:tblW w:w="0" w:type="auto"/>
        <w:tblLook w:val="04A0"/>
      </w:tblPr>
      <w:tblGrid>
        <w:gridCol w:w="1101"/>
        <w:gridCol w:w="3543"/>
        <w:gridCol w:w="4932"/>
      </w:tblGrid>
      <w:tr w:rsidR="00601396" w:rsidRPr="00A64892" w:rsidTr="005F1FC0">
        <w:trPr>
          <w:cnfStyle w:val="100000000000"/>
        </w:trPr>
        <w:tc>
          <w:tcPr>
            <w:cnfStyle w:val="001000000000"/>
            <w:tcW w:w="1101" w:type="dxa"/>
          </w:tcPr>
          <w:p w:rsidR="002047A4" w:rsidRPr="00844061" w:rsidRDefault="002047A4" w:rsidP="00601396">
            <w:pPr>
              <w:pStyle w:val="Default"/>
              <w:spacing w:line="276" w:lineRule="auto"/>
              <w:jc w:val="center"/>
              <w:rPr>
                <w:color w:val="auto"/>
                <w:sz w:val="20"/>
                <w:szCs w:val="20"/>
                <w:lang w:val="ro-RO"/>
              </w:rPr>
            </w:pPr>
            <w:r w:rsidRPr="00844061">
              <w:rPr>
                <w:color w:val="auto"/>
                <w:sz w:val="20"/>
                <w:szCs w:val="20"/>
                <w:lang w:val="ro-RO"/>
              </w:rPr>
              <w:t>Anul</w:t>
            </w:r>
          </w:p>
        </w:tc>
        <w:tc>
          <w:tcPr>
            <w:tcW w:w="3543" w:type="dxa"/>
          </w:tcPr>
          <w:p w:rsidR="002047A4" w:rsidRPr="00844061" w:rsidRDefault="002047A4" w:rsidP="00601396">
            <w:pPr>
              <w:pStyle w:val="Default"/>
              <w:spacing w:line="276" w:lineRule="auto"/>
              <w:jc w:val="center"/>
              <w:cnfStyle w:val="100000000000"/>
              <w:rPr>
                <w:color w:val="auto"/>
                <w:sz w:val="20"/>
                <w:szCs w:val="20"/>
                <w:lang w:val="ro-RO"/>
              </w:rPr>
            </w:pPr>
            <w:r w:rsidRPr="00844061">
              <w:rPr>
                <w:color w:val="auto"/>
                <w:sz w:val="20"/>
                <w:szCs w:val="20"/>
                <w:lang w:val="ro-RO"/>
              </w:rPr>
              <w:t>Cercetători preocupați de studiul migrației</w:t>
            </w:r>
          </w:p>
        </w:tc>
        <w:tc>
          <w:tcPr>
            <w:tcW w:w="4932" w:type="dxa"/>
          </w:tcPr>
          <w:p w:rsidR="002047A4" w:rsidRPr="00844061" w:rsidRDefault="002047A4" w:rsidP="00601396">
            <w:pPr>
              <w:pStyle w:val="Default"/>
              <w:spacing w:line="276" w:lineRule="auto"/>
              <w:jc w:val="center"/>
              <w:cnfStyle w:val="100000000000"/>
              <w:rPr>
                <w:color w:val="auto"/>
                <w:sz w:val="20"/>
                <w:szCs w:val="20"/>
                <w:lang w:val="ro-RO"/>
              </w:rPr>
            </w:pPr>
            <w:r w:rsidRPr="00844061">
              <w:rPr>
                <w:color w:val="auto"/>
                <w:sz w:val="20"/>
                <w:szCs w:val="20"/>
                <w:lang w:val="ro-RO"/>
              </w:rPr>
              <w:t>Principalele aspecte studiate</w:t>
            </w:r>
          </w:p>
        </w:tc>
      </w:tr>
      <w:tr w:rsidR="00601396" w:rsidRPr="000B41E9" w:rsidTr="005F1FC0">
        <w:trPr>
          <w:cnfStyle w:val="000000100000"/>
        </w:trPr>
        <w:tc>
          <w:tcPr>
            <w:cnfStyle w:val="001000000000"/>
            <w:tcW w:w="1101" w:type="dxa"/>
          </w:tcPr>
          <w:p w:rsidR="002047A4" w:rsidRPr="00844061" w:rsidRDefault="002047A4" w:rsidP="00601396">
            <w:pPr>
              <w:pStyle w:val="Default"/>
              <w:spacing w:line="276" w:lineRule="auto"/>
              <w:jc w:val="both"/>
              <w:rPr>
                <w:color w:val="auto"/>
                <w:sz w:val="20"/>
                <w:szCs w:val="20"/>
                <w:lang w:val="ro-RO"/>
              </w:rPr>
            </w:pPr>
            <w:r w:rsidRPr="00844061">
              <w:rPr>
                <w:color w:val="auto"/>
                <w:sz w:val="20"/>
                <w:szCs w:val="20"/>
                <w:lang w:val="ro-RO"/>
              </w:rPr>
              <w:t>1957</w:t>
            </w:r>
          </w:p>
        </w:tc>
        <w:tc>
          <w:tcPr>
            <w:tcW w:w="3543" w:type="dxa"/>
          </w:tcPr>
          <w:p w:rsidR="002047A4" w:rsidRPr="00844061" w:rsidRDefault="002047A4" w:rsidP="00601396">
            <w:pPr>
              <w:pStyle w:val="Default"/>
              <w:spacing w:line="276" w:lineRule="auto"/>
              <w:jc w:val="both"/>
              <w:cnfStyle w:val="000000100000"/>
              <w:rPr>
                <w:color w:val="auto"/>
                <w:sz w:val="20"/>
                <w:szCs w:val="20"/>
                <w:lang w:val="ro-RO"/>
              </w:rPr>
            </w:pPr>
            <w:r w:rsidRPr="00844061">
              <w:rPr>
                <w:color w:val="auto"/>
                <w:sz w:val="20"/>
                <w:szCs w:val="20"/>
                <w:lang w:val="ro-RO"/>
              </w:rPr>
              <w:t>D. Massey</w:t>
            </w:r>
          </w:p>
          <w:p w:rsidR="002047A4" w:rsidRPr="00844061" w:rsidRDefault="002047A4" w:rsidP="00601396">
            <w:pPr>
              <w:pStyle w:val="Default"/>
              <w:spacing w:line="276" w:lineRule="auto"/>
              <w:jc w:val="both"/>
              <w:cnfStyle w:val="000000100000"/>
              <w:rPr>
                <w:color w:val="auto"/>
                <w:sz w:val="20"/>
                <w:szCs w:val="20"/>
                <w:lang w:val="ro-RO"/>
              </w:rPr>
            </w:pPr>
            <w:r w:rsidRPr="00844061">
              <w:rPr>
                <w:color w:val="auto"/>
                <w:sz w:val="20"/>
                <w:szCs w:val="20"/>
                <w:lang w:val="ro-RO"/>
              </w:rPr>
              <w:t xml:space="preserve">G. Myrdal </w:t>
            </w:r>
          </w:p>
          <w:p w:rsidR="002047A4" w:rsidRPr="00844061" w:rsidRDefault="002047A4" w:rsidP="00601396">
            <w:pPr>
              <w:pStyle w:val="Default"/>
              <w:spacing w:line="276" w:lineRule="auto"/>
              <w:jc w:val="both"/>
              <w:cnfStyle w:val="000000100000"/>
              <w:rPr>
                <w:color w:val="auto"/>
                <w:sz w:val="20"/>
                <w:szCs w:val="20"/>
                <w:lang w:val="ro-RO"/>
              </w:rPr>
            </w:pPr>
          </w:p>
        </w:tc>
        <w:tc>
          <w:tcPr>
            <w:tcW w:w="4932" w:type="dxa"/>
          </w:tcPr>
          <w:p w:rsidR="002047A4" w:rsidRPr="00844061" w:rsidRDefault="002047A4" w:rsidP="00601396">
            <w:pPr>
              <w:pStyle w:val="Default"/>
              <w:spacing w:line="276" w:lineRule="auto"/>
              <w:jc w:val="both"/>
              <w:cnfStyle w:val="000000100000"/>
              <w:rPr>
                <w:color w:val="auto"/>
                <w:sz w:val="20"/>
                <w:szCs w:val="20"/>
                <w:lang w:val="ro-RO"/>
              </w:rPr>
            </w:pPr>
            <w:r w:rsidRPr="00844061">
              <w:rPr>
                <w:color w:val="auto"/>
                <w:sz w:val="20"/>
                <w:szCs w:val="20"/>
                <w:lang w:val="ro-RO"/>
              </w:rPr>
              <w:t>Migraţia poate fi privită ca un proces cu capacitate de  autosusţinere prin înseși m</w:t>
            </w:r>
            <w:r w:rsidR="003320D1" w:rsidRPr="00844061">
              <w:rPr>
                <w:color w:val="auto"/>
                <w:sz w:val="20"/>
                <w:szCs w:val="20"/>
                <w:lang w:val="ro-RO"/>
              </w:rPr>
              <w:t>ecanismele cărora le dă naştere.</w:t>
            </w:r>
          </w:p>
          <w:p w:rsidR="002047A4" w:rsidRPr="00844061" w:rsidRDefault="002047A4" w:rsidP="00601396">
            <w:pPr>
              <w:pStyle w:val="Default"/>
              <w:spacing w:line="276" w:lineRule="auto"/>
              <w:jc w:val="both"/>
              <w:cnfStyle w:val="000000100000"/>
              <w:rPr>
                <w:color w:val="auto"/>
                <w:sz w:val="20"/>
                <w:szCs w:val="20"/>
                <w:lang w:val="ro-RO"/>
              </w:rPr>
            </w:pPr>
          </w:p>
        </w:tc>
      </w:tr>
      <w:tr w:rsidR="00601396" w:rsidRPr="00A64892" w:rsidTr="005F1FC0">
        <w:trPr>
          <w:cnfStyle w:val="000000010000"/>
        </w:trPr>
        <w:tc>
          <w:tcPr>
            <w:cnfStyle w:val="001000000000"/>
            <w:tcW w:w="1101" w:type="dxa"/>
          </w:tcPr>
          <w:p w:rsidR="002047A4" w:rsidRPr="00844061" w:rsidRDefault="005F1FC0" w:rsidP="00601396">
            <w:pPr>
              <w:pStyle w:val="Default"/>
              <w:spacing w:line="276" w:lineRule="auto"/>
              <w:jc w:val="both"/>
              <w:rPr>
                <w:color w:val="auto"/>
                <w:sz w:val="20"/>
                <w:szCs w:val="20"/>
                <w:lang w:val="ro-RO"/>
              </w:rPr>
            </w:pPr>
            <w:r w:rsidRPr="00844061">
              <w:rPr>
                <w:color w:val="auto"/>
                <w:sz w:val="20"/>
                <w:szCs w:val="20"/>
                <w:lang w:val="ro-RO"/>
              </w:rPr>
              <w:t>1960</w:t>
            </w:r>
          </w:p>
        </w:tc>
        <w:tc>
          <w:tcPr>
            <w:tcW w:w="3543" w:type="dxa"/>
          </w:tcPr>
          <w:p w:rsidR="005F1FC0" w:rsidRPr="00844061" w:rsidRDefault="005F1FC0" w:rsidP="00601396">
            <w:pPr>
              <w:pStyle w:val="Default"/>
              <w:spacing w:line="276" w:lineRule="auto"/>
              <w:jc w:val="both"/>
              <w:cnfStyle w:val="000000010000"/>
              <w:rPr>
                <w:color w:val="auto"/>
                <w:sz w:val="20"/>
                <w:szCs w:val="20"/>
                <w:lang w:val="ro-RO"/>
              </w:rPr>
            </w:pPr>
            <w:r w:rsidRPr="00844061">
              <w:rPr>
                <w:color w:val="auto"/>
                <w:sz w:val="20"/>
                <w:szCs w:val="20"/>
                <w:lang w:val="ro-RO"/>
              </w:rPr>
              <w:t>O. Stark</w:t>
            </w:r>
          </w:p>
          <w:p w:rsidR="005F1FC0" w:rsidRPr="00844061" w:rsidRDefault="005F1FC0" w:rsidP="00601396">
            <w:pPr>
              <w:pStyle w:val="Default"/>
              <w:spacing w:line="276" w:lineRule="auto"/>
              <w:jc w:val="both"/>
              <w:cnfStyle w:val="000000010000"/>
              <w:rPr>
                <w:color w:val="auto"/>
                <w:sz w:val="20"/>
                <w:szCs w:val="20"/>
                <w:lang w:val="ro-RO"/>
              </w:rPr>
            </w:pPr>
            <w:r w:rsidRPr="00844061">
              <w:rPr>
                <w:color w:val="auto"/>
                <w:sz w:val="20"/>
                <w:szCs w:val="20"/>
                <w:lang w:val="ro-RO"/>
              </w:rPr>
              <w:t>M.P. Todaro</w:t>
            </w:r>
          </w:p>
          <w:p w:rsidR="002047A4" w:rsidRPr="00844061" w:rsidRDefault="005F1FC0" w:rsidP="00601396">
            <w:pPr>
              <w:pStyle w:val="Default"/>
              <w:spacing w:line="276" w:lineRule="auto"/>
              <w:jc w:val="both"/>
              <w:cnfStyle w:val="000000010000"/>
              <w:rPr>
                <w:color w:val="auto"/>
                <w:sz w:val="20"/>
                <w:szCs w:val="20"/>
                <w:lang w:val="ro-RO"/>
              </w:rPr>
            </w:pPr>
            <w:r w:rsidRPr="00844061">
              <w:rPr>
                <w:color w:val="auto"/>
                <w:sz w:val="20"/>
                <w:szCs w:val="20"/>
                <w:lang w:val="ro-RO"/>
              </w:rPr>
              <w:t>J.R. Harris</w:t>
            </w:r>
          </w:p>
        </w:tc>
        <w:tc>
          <w:tcPr>
            <w:tcW w:w="4932" w:type="dxa"/>
          </w:tcPr>
          <w:p w:rsidR="002047A4" w:rsidRPr="00844061" w:rsidRDefault="005F1FC0" w:rsidP="00601396">
            <w:pPr>
              <w:pStyle w:val="Default"/>
              <w:spacing w:line="276" w:lineRule="auto"/>
              <w:jc w:val="both"/>
              <w:cnfStyle w:val="000000010000"/>
              <w:rPr>
                <w:color w:val="auto"/>
                <w:sz w:val="20"/>
                <w:szCs w:val="20"/>
                <w:lang w:val="ro-RO"/>
              </w:rPr>
            </w:pPr>
            <w:r w:rsidRPr="00844061">
              <w:rPr>
                <w:color w:val="auto"/>
                <w:sz w:val="20"/>
                <w:szCs w:val="20"/>
                <w:lang w:val="ro-RO"/>
              </w:rPr>
              <w:t>Migraţia poate fi analizată din perspectiva deciziei individului raţional, capabil să-şi evalueze perspectivele privind sporirea veniturilor</w:t>
            </w:r>
            <w:r w:rsidR="003320D1" w:rsidRPr="00844061">
              <w:rPr>
                <w:color w:val="auto"/>
                <w:sz w:val="20"/>
                <w:szCs w:val="20"/>
                <w:lang w:val="ro-RO"/>
              </w:rPr>
              <w:t>.</w:t>
            </w:r>
          </w:p>
        </w:tc>
      </w:tr>
      <w:tr w:rsidR="00601396" w:rsidRPr="000B41E9" w:rsidTr="005F1FC0">
        <w:trPr>
          <w:cnfStyle w:val="000000100000"/>
        </w:trPr>
        <w:tc>
          <w:tcPr>
            <w:cnfStyle w:val="001000000000"/>
            <w:tcW w:w="1101" w:type="dxa"/>
          </w:tcPr>
          <w:p w:rsidR="005F1FC0" w:rsidRPr="00844061" w:rsidRDefault="005F1FC0" w:rsidP="00601396">
            <w:pPr>
              <w:autoSpaceDE w:val="0"/>
              <w:autoSpaceDN w:val="0"/>
              <w:adjustRightInd w:val="0"/>
              <w:spacing w:line="276" w:lineRule="auto"/>
              <w:rPr>
                <w:rFonts w:ascii="Times New Roman" w:hAnsi="Times New Roman" w:cs="Times New Roman"/>
                <w:sz w:val="20"/>
                <w:szCs w:val="20"/>
                <w:lang w:val="ro-RO"/>
              </w:rPr>
            </w:pPr>
            <w:r w:rsidRPr="00844061">
              <w:rPr>
                <w:rFonts w:ascii="Times New Roman" w:hAnsi="Times New Roman" w:cs="Times New Roman"/>
                <w:sz w:val="20"/>
                <w:szCs w:val="20"/>
                <w:lang w:val="ro-RO"/>
              </w:rPr>
              <w:t>1962-1964</w:t>
            </w:r>
          </w:p>
        </w:tc>
        <w:tc>
          <w:tcPr>
            <w:tcW w:w="3543" w:type="dxa"/>
          </w:tcPr>
          <w:p w:rsidR="005F1FC0" w:rsidRPr="00844061" w:rsidRDefault="005F1FC0" w:rsidP="00601396">
            <w:pPr>
              <w:autoSpaceDE w:val="0"/>
              <w:autoSpaceDN w:val="0"/>
              <w:adjustRightInd w:val="0"/>
              <w:spacing w:line="276" w:lineRule="auto"/>
              <w:cnfStyle w:val="000000100000"/>
              <w:rPr>
                <w:rFonts w:ascii="Times New Roman" w:hAnsi="Times New Roman" w:cs="Times New Roman"/>
                <w:sz w:val="20"/>
                <w:szCs w:val="20"/>
                <w:lang w:val="ro-RO"/>
              </w:rPr>
            </w:pPr>
            <w:r w:rsidRPr="00844061">
              <w:rPr>
                <w:rFonts w:ascii="Times New Roman" w:hAnsi="Times New Roman" w:cs="Times New Roman"/>
                <w:sz w:val="20"/>
                <w:szCs w:val="20"/>
                <w:lang w:val="ro-RO"/>
              </w:rPr>
              <w:t xml:space="preserve">G. Becker, Th. Shults, L.A.Sjaastad </w:t>
            </w:r>
          </w:p>
        </w:tc>
        <w:tc>
          <w:tcPr>
            <w:tcW w:w="4932" w:type="dxa"/>
          </w:tcPr>
          <w:p w:rsidR="005F1FC0" w:rsidRPr="00844061" w:rsidRDefault="006151F6" w:rsidP="00601396">
            <w:pPr>
              <w:autoSpaceDE w:val="0"/>
              <w:autoSpaceDN w:val="0"/>
              <w:adjustRightInd w:val="0"/>
              <w:spacing w:line="276" w:lineRule="auto"/>
              <w:cnfStyle w:val="000000100000"/>
              <w:rPr>
                <w:rFonts w:ascii="Times New Roman" w:hAnsi="Times New Roman" w:cs="Times New Roman"/>
                <w:sz w:val="20"/>
                <w:szCs w:val="20"/>
                <w:lang w:val="ro-RO"/>
              </w:rPr>
            </w:pPr>
            <w:r w:rsidRPr="00844061">
              <w:rPr>
                <w:rFonts w:ascii="Times New Roman" w:hAnsi="Times New Roman" w:cs="Times New Roman"/>
                <w:sz w:val="20"/>
                <w:szCs w:val="20"/>
                <w:lang w:val="ro-RO"/>
              </w:rPr>
              <w:t xml:space="preserve">Migraţia poate fi analizată ca un </w:t>
            </w:r>
            <w:r w:rsidR="005F1FC0" w:rsidRPr="00844061">
              <w:rPr>
                <w:rFonts w:ascii="Times New Roman" w:hAnsi="Times New Roman" w:cs="Times New Roman"/>
                <w:sz w:val="20"/>
                <w:szCs w:val="20"/>
                <w:lang w:val="ro-RO"/>
              </w:rPr>
              <w:t>proces de investiţie în</w:t>
            </w:r>
            <w:r w:rsidRPr="00844061">
              <w:rPr>
                <w:rFonts w:ascii="Times New Roman" w:hAnsi="Times New Roman" w:cs="Times New Roman"/>
                <w:sz w:val="20"/>
                <w:szCs w:val="20"/>
                <w:lang w:val="ro-RO"/>
              </w:rPr>
              <w:t xml:space="preserve"> capitalu</w:t>
            </w:r>
            <w:r w:rsidR="00930095" w:rsidRPr="00844061">
              <w:rPr>
                <w:rFonts w:ascii="Times New Roman" w:hAnsi="Times New Roman" w:cs="Times New Roman"/>
                <w:sz w:val="20"/>
                <w:szCs w:val="20"/>
                <w:lang w:val="ro-RO"/>
              </w:rPr>
              <w:t>l uman al migranţilor</w:t>
            </w:r>
            <w:r w:rsidR="003320D1" w:rsidRPr="00844061">
              <w:rPr>
                <w:rFonts w:ascii="Times New Roman" w:hAnsi="Times New Roman" w:cs="Times New Roman"/>
                <w:sz w:val="20"/>
                <w:szCs w:val="20"/>
                <w:lang w:val="ro-RO"/>
              </w:rPr>
              <w:t>.</w:t>
            </w:r>
          </w:p>
        </w:tc>
      </w:tr>
      <w:tr w:rsidR="00601396" w:rsidRPr="000B41E9" w:rsidTr="005F1FC0">
        <w:trPr>
          <w:cnfStyle w:val="000000010000"/>
        </w:trPr>
        <w:tc>
          <w:tcPr>
            <w:cnfStyle w:val="001000000000"/>
            <w:tcW w:w="1101" w:type="dxa"/>
          </w:tcPr>
          <w:p w:rsidR="0078474A" w:rsidRPr="00844061" w:rsidRDefault="0078474A" w:rsidP="00601396">
            <w:pPr>
              <w:autoSpaceDE w:val="0"/>
              <w:autoSpaceDN w:val="0"/>
              <w:adjustRightInd w:val="0"/>
              <w:spacing w:line="276" w:lineRule="auto"/>
              <w:rPr>
                <w:rFonts w:ascii="Times New Roman" w:hAnsi="Times New Roman" w:cs="Times New Roman"/>
                <w:sz w:val="20"/>
                <w:szCs w:val="20"/>
                <w:lang w:val="ro-RO"/>
              </w:rPr>
            </w:pPr>
            <w:r w:rsidRPr="00844061">
              <w:rPr>
                <w:rFonts w:ascii="Times New Roman" w:hAnsi="Times New Roman" w:cs="Times New Roman"/>
                <w:sz w:val="20"/>
                <w:szCs w:val="20"/>
                <w:lang w:val="ro-RO"/>
              </w:rPr>
              <w:t>1966</w:t>
            </w:r>
          </w:p>
        </w:tc>
        <w:tc>
          <w:tcPr>
            <w:tcW w:w="3543" w:type="dxa"/>
          </w:tcPr>
          <w:p w:rsidR="0078474A" w:rsidRPr="00844061" w:rsidRDefault="0078474A" w:rsidP="00601396">
            <w:pPr>
              <w:autoSpaceDE w:val="0"/>
              <w:autoSpaceDN w:val="0"/>
              <w:adjustRightInd w:val="0"/>
              <w:spacing w:line="276" w:lineRule="auto"/>
              <w:cnfStyle w:val="000000010000"/>
              <w:rPr>
                <w:rFonts w:ascii="Times New Roman" w:hAnsi="Times New Roman" w:cs="Times New Roman"/>
                <w:sz w:val="20"/>
                <w:szCs w:val="20"/>
                <w:lang w:val="ro-RO"/>
              </w:rPr>
            </w:pPr>
            <w:r w:rsidRPr="00844061">
              <w:rPr>
                <w:rFonts w:ascii="Times New Roman" w:hAnsi="Times New Roman" w:cs="Times New Roman"/>
                <w:sz w:val="20"/>
                <w:szCs w:val="20"/>
                <w:lang w:val="ro-RO"/>
              </w:rPr>
              <w:t>E.S. Lee</w:t>
            </w:r>
          </w:p>
        </w:tc>
        <w:tc>
          <w:tcPr>
            <w:tcW w:w="4932" w:type="dxa"/>
          </w:tcPr>
          <w:p w:rsidR="0078474A" w:rsidRPr="00844061" w:rsidRDefault="0078474A" w:rsidP="00601396">
            <w:pPr>
              <w:autoSpaceDE w:val="0"/>
              <w:autoSpaceDN w:val="0"/>
              <w:adjustRightInd w:val="0"/>
              <w:spacing w:line="276" w:lineRule="auto"/>
              <w:cnfStyle w:val="000000010000"/>
              <w:rPr>
                <w:rFonts w:ascii="Times New Roman" w:hAnsi="Times New Roman" w:cs="Times New Roman"/>
                <w:sz w:val="20"/>
                <w:szCs w:val="20"/>
                <w:lang w:val="ro-RO"/>
              </w:rPr>
            </w:pPr>
            <w:r w:rsidRPr="00844061">
              <w:rPr>
                <w:rFonts w:ascii="Times New Roman" w:hAnsi="Times New Roman" w:cs="Times New Roman"/>
                <w:sz w:val="20"/>
                <w:szCs w:val="20"/>
                <w:lang w:val="ro-RO"/>
              </w:rPr>
              <w:t xml:space="preserve">Pornind de la „legile migrației” descoperite în sec. al XIX-lea de </w:t>
            </w:r>
            <w:r w:rsidR="00533822" w:rsidRPr="00844061">
              <w:rPr>
                <w:rFonts w:ascii="Times New Roman" w:hAnsi="Times New Roman" w:cs="Times New Roman"/>
                <w:sz w:val="20"/>
                <w:szCs w:val="20"/>
                <w:lang w:val="ro-RO"/>
              </w:rPr>
              <w:t xml:space="preserve">Ravenstein, </w:t>
            </w:r>
            <w:r w:rsidR="00B53025" w:rsidRPr="00844061">
              <w:rPr>
                <w:rFonts w:ascii="Times New Roman" w:hAnsi="Times New Roman" w:cs="Times New Roman"/>
                <w:sz w:val="20"/>
                <w:szCs w:val="20"/>
                <w:lang w:val="ro-RO"/>
              </w:rPr>
              <w:t xml:space="preserve">Lee </w:t>
            </w:r>
            <w:r w:rsidR="00533822" w:rsidRPr="00844061">
              <w:rPr>
                <w:rFonts w:ascii="Times New Roman" w:hAnsi="Times New Roman" w:cs="Times New Roman"/>
                <w:sz w:val="20"/>
                <w:szCs w:val="20"/>
                <w:lang w:val="ro-RO"/>
              </w:rPr>
              <w:t xml:space="preserve">propune teoria push-pull a migrației, care identifică patru categorii mari de factori determinanți ai deciziei de emigrare: factori asociați cu zona de origine, factori asociați cu zona de destinație, obstacole și determinanți de natură personală. </w:t>
            </w:r>
          </w:p>
        </w:tc>
      </w:tr>
      <w:tr w:rsidR="00601396" w:rsidRPr="000B41E9" w:rsidTr="005F1FC0">
        <w:trPr>
          <w:cnfStyle w:val="000000100000"/>
        </w:trPr>
        <w:tc>
          <w:tcPr>
            <w:cnfStyle w:val="001000000000"/>
            <w:tcW w:w="1101" w:type="dxa"/>
          </w:tcPr>
          <w:p w:rsidR="005F1FC0" w:rsidRPr="00844061" w:rsidRDefault="005F1FC0" w:rsidP="00601396">
            <w:pPr>
              <w:autoSpaceDE w:val="0"/>
              <w:autoSpaceDN w:val="0"/>
              <w:adjustRightInd w:val="0"/>
              <w:spacing w:line="276" w:lineRule="auto"/>
              <w:rPr>
                <w:rFonts w:ascii="Times New Roman" w:hAnsi="Times New Roman" w:cs="Times New Roman"/>
                <w:sz w:val="20"/>
                <w:szCs w:val="20"/>
                <w:lang w:val="ro-RO"/>
              </w:rPr>
            </w:pPr>
            <w:r w:rsidRPr="00844061">
              <w:rPr>
                <w:rFonts w:ascii="Times New Roman" w:hAnsi="Times New Roman" w:cs="Times New Roman"/>
                <w:sz w:val="20"/>
                <w:szCs w:val="20"/>
                <w:lang w:val="ro-RO"/>
              </w:rPr>
              <w:t xml:space="preserve">1979 </w:t>
            </w:r>
          </w:p>
        </w:tc>
        <w:tc>
          <w:tcPr>
            <w:tcW w:w="3543" w:type="dxa"/>
          </w:tcPr>
          <w:p w:rsidR="005F1FC0" w:rsidRPr="00844061" w:rsidRDefault="005F1FC0" w:rsidP="00601396">
            <w:pPr>
              <w:autoSpaceDE w:val="0"/>
              <w:autoSpaceDN w:val="0"/>
              <w:adjustRightInd w:val="0"/>
              <w:spacing w:line="276" w:lineRule="auto"/>
              <w:cnfStyle w:val="000000100000"/>
              <w:rPr>
                <w:rFonts w:ascii="Times New Roman" w:hAnsi="Times New Roman" w:cs="Times New Roman"/>
                <w:sz w:val="20"/>
                <w:szCs w:val="20"/>
                <w:lang w:val="ro-RO"/>
              </w:rPr>
            </w:pPr>
            <w:r w:rsidRPr="00844061">
              <w:rPr>
                <w:rFonts w:ascii="Times New Roman" w:hAnsi="Times New Roman" w:cs="Times New Roman"/>
                <w:sz w:val="20"/>
                <w:szCs w:val="20"/>
                <w:lang w:val="ro-RO"/>
              </w:rPr>
              <w:t xml:space="preserve">L. Basch, M. J. Piore </w:t>
            </w:r>
          </w:p>
        </w:tc>
        <w:tc>
          <w:tcPr>
            <w:tcW w:w="4932" w:type="dxa"/>
          </w:tcPr>
          <w:p w:rsidR="005F1FC0" w:rsidRPr="00844061" w:rsidRDefault="006151F6" w:rsidP="00601396">
            <w:pPr>
              <w:autoSpaceDE w:val="0"/>
              <w:autoSpaceDN w:val="0"/>
              <w:adjustRightInd w:val="0"/>
              <w:spacing w:line="276" w:lineRule="auto"/>
              <w:cnfStyle w:val="000000100000"/>
              <w:rPr>
                <w:rFonts w:ascii="Times New Roman" w:hAnsi="Times New Roman" w:cs="Times New Roman"/>
                <w:sz w:val="20"/>
                <w:szCs w:val="20"/>
                <w:lang w:val="ro-RO"/>
              </w:rPr>
            </w:pPr>
            <w:r w:rsidRPr="00844061">
              <w:rPr>
                <w:rFonts w:ascii="Times New Roman" w:hAnsi="Times New Roman" w:cs="Times New Roman"/>
                <w:sz w:val="20"/>
                <w:szCs w:val="20"/>
                <w:lang w:val="ro-RO"/>
              </w:rPr>
              <w:t>Migraţia trebuie studiată din perspectiva</w:t>
            </w:r>
            <w:r w:rsidR="005F1FC0" w:rsidRPr="00844061">
              <w:rPr>
                <w:rFonts w:ascii="Times New Roman" w:hAnsi="Times New Roman" w:cs="Times New Roman"/>
                <w:sz w:val="20"/>
                <w:szCs w:val="20"/>
                <w:lang w:val="ro-RO"/>
              </w:rPr>
              <w:t xml:space="preserve"> efectul</w:t>
            </w:r>
            <w:r w:rsidRPr="00844061">
              <w:rPr>
                <w:rFonts w:ascii="Times New Roman" w:hAnsi="Times New Roman" w:cs="Times New Roman"/>
                <w:sz w:val="20"/>
                <w:szCs w:val="20"/>
                <w:lang w:val="ro-RO"/>
              </w:rPr>
              <w:t>ui</w:t>
            </w:r>
            <w:r w:rsidR="005F1FC0" w:rsidRPr="00844061">
              <w:rPr>
                <w:rFonts w:ascii="Times New Roman" w:hAnsi="Times New Roman" w:cs="Times New Roman"/>
                <w:sz w:val="20"/>
                <w:szCs w:val="20"/>
                <w:lang w:val="ro-RO"/>
              </w:rPr>
              <w:t xml:space="preserve"> cererii forţei de muncă în sectoarele secundare ale </w:t>
            </w:r>
            <w:r w:rsidRPr="00844061">
              <w:rPr>
                <w:rFonts w:ascii="Times New Roman" w:hAnsi="Times New Roman" w:cs="Times New Roman"/>
                <w:sz w:val="20"/>
                <w:szCs w:val="20"/>
                <w:lang w:val="ro-RO"/>
              </w:rPr>
              <w:t>ţărilor dezvoltate</w:t>
            </w:r>
            <w:r w:rsidR="005F1FC0" w:rsidRPr="00844061">
              <w:rPr>
                <w:rFonts w:ascii="Times New Roman" w:hAnsi="Times New Roman" w:cs="Times New Roman"/>
                <w:sz w:val="20"/>
                <w:szCs w:val="20"/>
                <w:lang w:val="ro-RO"/>
              </w:rPr>
              <w:t xml:space="preserve">. </w:t>
            </w:r>
          </w:p>
        </w:tc>
      </w:tr>
      <w:tr w:rsidR="00601396" w:rsidRPr="000B41E9" w:rsidTr="005F1FC0">
        <w:trPr>
          <w:cnfStyle w:val="000000010000"/>
        </w:trPr>
        <w:tc>
          <w:tcPr>
            <w:cnfStyle w:val="001000000000"/>
            <w:tcW w:w="1101" w:type="dxa"/>
          </w:tcPr>
          <w:p w:rsidR="005F1FC0" w:rsidRPr="00844061" w:rsidRDefault="005F1FC0" w:rsidP="00601396">
            <w:pPr>
              <w:pStyle w:val="Default"/>
              <w:spacing w:line="276" w:lineRule="auto"/>
              <w:rPr>
                <w:color w:val="auto"/>
                <w:sz w:val="20"/>
                <w:szCs w:val="20"/>
                <w:lang w:val="ro-RO"/>
              </w:rPr>
            </w:pPr>
            <w:r w:rsidRPr="00844061">
              <w:rPr>
                <w:color w:val="auto"/>
                <w:sz w:val="20"/>
                <w:szCs w:val="20"/>
                <w:lang w:val="ro-RO"/>
              </w:rPr>
              <w:t xml:space="preserve">1987 </w:t>
            </w:r>
          </w:p>
        </w:tc>
        <w:tc>
          <w:tcPr>
            <w:tcW w:w="3543" w:type="dxa"/>
          </w:tcPr>
          <w:p w:rsidR="005F1FC0" w:rsidRPr="00844061" w:rsidRDefault="005F1FC0" w:rsidP="00601396">
            <w:pPr>
              <w:pStyle w:val="Default"/>
              <w:spacing w:line="276" w:lineRule="auto"/>
              <w:cnfStyle w:val="000000010000"/>
              <w:rPr>
                <w:color w:val="auto"/>
                <w:sz w:val="20"/>
                <w:szCs w:val="20"/>
                <w:lang w:val="ro-RO"/>
              </w:rPr>
            </w:pPr>
            <w:r w:rsidRPr="00844061">
              <w:rPr>
                <w:color w:val="auto"/>
                <w:sz w:val="20"/>
                <w:szCs w:val="20"/>
                <w:lang w:val="ro-RO"/>
              </w:rPr>
              <w:t xml:space="preserve">D. Massey, L.P. Goldring, J. Durand </w:t>
            </w:r>
          </w:p>
        </w:tc>
        <w:tc>
          <w:tcPr>
            <w:tcW w:w="4932" w:type="dxa"/>
          </w:tcPr>
          <w:p w:rsidR="005F1FC0" w:rsidRPr="00844061" w:rsidRDefault="005F1FC0" w:rsidP="00601396">
            <w:pPr>
              <w:pStyle w:val="Default"/>
              <w:spacing w:line="276" w:lineRule="auto"/>
              <w:cnfStyle w:val="000000010000"/>
              <w:rPr>
                <w:color w:val="auto"/>
                <w:sz w:val="20"/>
                <w:szCs w:val="20"/>
                <w:lang w:val="ro-RO"/>
              </w:rPr>
            </w:pPr>
            <w:r w:rsidRPr="00844061">
              <w:rPr>
                <w:color w:val="auto"/>
                <w:sz w:val="20"/>
                <w:szCs w:val="20"/>
                <w:lang w:val="ro-RO"/>
              </w:rPr>
              <w:t xml:space="preserve">Migraţia </w:t>
            </w:r>
            <w:r w:rsidR="006151F6" w:rsidRPr="00844061">
              <w:rPr>
                <w:color w:val="auto"/>
                <w:sz w:val="20"/>
                <w:szCs w:val="20"/>
                <w:lang w:val="ro-RO"/>
              </w:rPr>
              <w:t xml:space="preserve">este de analizat din perspectiva </w:t>
            </w:r>
            <w:r w:rsidRPr="00844061">
              <w:rPr>
                <w:color w:val="auto"/>
                <w:sz w:val="20"/>
                <w:szCs w:val="20"/>
                <w:lang w:val="ro-RO"/>
              </w:rPr>
              <w:t>mecanism</w:t>
            </w:r>
            <w:r w:rsidR="006151F6" w:rsidRPr="00844061">
              <w:rPr>
                <w:color w:val="auto"/>
                <w:sz w:val="20"/>
                <w:szCs w:val="20"/>
                <w:lang w:val="ro-RO"/>
              </w:rPr>
              <w:t>ului</w:t>
            </w:r>
            <w:r w:rsidRPr="00844061">
              <w:rPr>
                <w:color w:val="auto"/>
                <w:sz w:val="20"/>
                <w:szCs w:val="20"/>
                <w:lang w:val="ro-RO"/>
              </w:rPr>
              <w:t xml:space="preserve"> </w:t>
            </w:r>
            <w:r w:rsidR="006151F6" w:rsidRPr="00844061">
              <w:rPr>
                <w:color w:val="auto"/>
                <w:sz w:val="20"/>
                <w:szCs w:val="20"/>
                <w:lang w:val="ro-RO"/>
              </w:rPr>
              <w:t>de formare a capitalului social</w:t>
            </w:r>
            <w:r w:rsidRPr="00844061">
              <w:rPr>
                <w:color w:val="auto"/>
                <w:sz w:val="20"/>
                <w:szCs w:val="20"/>
                <w:lang w:val="ro-RO"/>
              </w:rPr>
              <w:t xml:space="preserve">. </w:t>
            </w:r>
          </w:p>
        </w:tc>
      </w:tr>
      <w:tr w:rsidR="00601396" w:rsidRPr="00A64892" w:rsidTr="005F1FC0">
        <w:trPr>
          <w:cnfStyle w:val="000000100000"/>
        </w:trPr>
        <w:tc>
          <w:tcPr>
            <w:cnfStyle w:val="001000000000"/>
            <w:tcW w:w="1101" w:type="dxa"/>
          </w:tcPr>
          <w:p w:rsidR="005F1FC0" w:rsidRPr="00844061" w:rsidRDefault="005F1FC0" w:rsidP="00601396">
            <w:pPr>
              <w:pStyle w:val="Default"/>
              <w:spacing w:line="276" w:lineRule="auto"/>
              <w:rPr>
                <w:color w:val="auto"/>
                <w:sz w:val="20"/>
                <w:szCs w:val="20"/>
                <w:lang w:val="ro-RO"/>
              </w:rPr>
            </w:pPr>
            <w:r w:rsidRPr="00844061">
              <w:rPr>
                <w:color w:val="auto"/>
                <w:sz w:val="20"/>
                <w:szCs w:val="20"/>
                <w:lang w:val="ro-RO"/>
              </w:rPr>
              <w:t xml:space="preserve">1989 </w:t>
            </w:r>
          </w:p>
        </w:tc>
        <w:tc>
          <w:tcPr>
            <w:tcW w:w="3543" w:type="dxa"/>
          </w:tcPr>
          <w:p w:rsidR="005F1FC0" w:rsidRPr="00844061" w:rsidRDefault="005F1FC0" w:rsidP="00601396">
            <w:pPr>
              <w:pStyle w:val="Default"/>
              <w:spacing w:line="276" w:lineRule="auto"/>
              <w:cnfStyle w:val="000000100000"/>
              <w:rPr>
                <w:color w:val="auto"/>
                <w:sz w:val="20"/>
                <w:szCs w:val="20"/>
                <w:lang w:val="ro-RO"/>
              </w:rPr>
            </w:pPr>
            <w:r w:rsidRPr="00844061">
              <w:rPr>
                <w:color w:val="auto"/>
                <w:sz w:val="20"/>
                <w:szCs w:val="20"/>
                <w:lang w:val="ro-RO"/>
              </w:rPr>
              <w:t xml:space="preserve">E. Taylor, O. Stark, P. Arnold, D. Massey </w:t>
            </w:r>
          </w:p>
        </w:tc>
        <w:tc>
          <w:tcPr>
            <w:tcW w:w="4932" w:type="dxa"/>
          </w:tcPr>
          <w:p w:rsidR="005F1FC0" w:rsidRPr="00844061" w:rsidRDefault="005F1FC0" w:rsidP="00601396">
            <w:pPr>
              <w:pStyle w:val="Default"/>
              <w:spacing w:line="276" w:lineRule="auto"/>
              <w:cnfStyle w:val="000000100000"/>
              <w:rPr>
                <w:color w:val="auto"/>
                <w:sz w:val="20"/>
                <w:szCs w:val="20"/>
                <w:lang w:val="ro-RO"/>
              </w:rPr>
            </w:pPr>
            <w:r w:rsidRPr="00844061">
              <w:rPr>
                <w:color w:val="auto"/>
                <w:sz w:val="20"/>
                <w:szCs w:val="20"/>
                <w:lang w:val="ro-RO"/>
              </w:rPr>
              <w:t>Migraţia – strategie a familiei, direcţionată spre minimizarea riscurilor de reducere a venituril</w:t>
            </w:r>
            <w:r w:rsidR="0078474A" w:rsidRPr="00844061">
              <w:rPr>
                <w:color w:val="auto"/>
                <w:sz w:val="20"/>
                <w:szCs w:val="20"/>
                <w:lang w:val="ro-RO"/>
              </w:rPr>
              <w:t>or prin diversificarea lor</w:t>
            </w:r>
            <w:r w:rsidRPr="00844061">
              <w:rPr>
                <w:color w:val="auto"/>
                <w:sz w:val="20"/>
                <w:szCs w:val="20"/>
                <w:lang w:val="ro-RO"/>
              </w:rPr>
              <w:t xml:space="preserve">. </w:t>
            </w:r>
          </w:p>
        </w:tc>
      </w:tr>
    </w:tbl>
    <w:p w:rsidR="005F5929" w:rsidRPr="00A64892" w:rsidRDefault="002870D3" w:rsidP="00B53025">
      <w:pPr>
        <w:pStyle w:val="Default"/>
        <w:spacing w:line="276" w:lineRule="auto"/>
        <w:jc w:val="both"/>
        <w:rPr>
          <w:color w:val="auto"/>
          <w:sz w:val="20"/>
          <w:szCs w:val="20"/>
          <w:lang w:val="ro-RO"/>
        </w:rPr>
      </w:pPr>
      <w:r w:rsidRPr="00A64892">
        <w:rPr>
          <w:color w:val="auto"/>
          <w:sz w:val="20"/>
          <w:szCs w:val="20"/>
          <w:lang w:val="ro-RO"/>
        </w:rPr>
        <w:t>Sursa: prelucrări ale autorilor</w:t>
      </w:r>
    </w:p>
    <w:p w:rsidR="00FB41F7" w:rsidRPr="00A64892" w:rsidRDefault="00FB41F7" w:rsidP="00601396">
      <w:pPr>
        <w:pStyle w:val="Default"/>
        <w:spacing w:line="276" w:lineRule="auto"/>
        <w:jc w:val="both"/>
        <w:rPr>
          <w:color w:val="auto"/>
          <w:lang w:val="ro-RO"/>
        </w:rPr>
      </w:pPr>
    </w:p>
    <w:p w:rsidR="002047A4" w:rsidRPr="00A64892" w:rsidRDefault="005F5929" w:rsidP="00B53025">
      <w:pPr>
        <w:pStyle w:val="Default"/>
        <w:spacing w:line="276" w:lineRule="auto"/>
        <w:ind w:firstLine="720"/>
        <w:jc w:val="both"/>
        <w:rPr>
          <w:color w:val="auto"/>
          <w:lang w:val="ro-RO"/>
        </w:rPr>
      </w:pPr>
      <w:r w:rsidRPr="00A64892">
        <w:rPr>
          <w:color w:val="auto"/>
          <w:lang w:val="ro-RO"/>
        </w:rPr>
        <w:t xml:space="preserve">În ultima perioadă, studiul fenomenului migraționist începe să se concentreze și pe chestiuni specifice, cum ar fi fenomenul de exod al creierelor sau „brain drain”. Curentul </w:t>
      </w:r>
      <w:r w:rsidRPr="00A64892">
        <w:rPr>
          <w:color w:val="auto"/>
          <w:lang w:val="ro-RO"/>
        </w:rPr>
        <w:lastRenderedPageBreak/>
        <w:t>principal al literaturii migrației a subliniat că exodul de creiere reprezintă o pierdere a capitalului uman (Beine, Docquier și Rapoport, 2001), producând numai efecte negative asupra țării de origine (Wong și Yip,</w:t>
      </w:r>
      <w:r w:rsidR="007C29A6" w:rsidRPr="00A64892">
        <w:rPr>
          <w:color w:val="auto"/>
          <w:lang w:val="ro-RO"/>
        </w:rPr>
        <w:t xml:space="preserve"> 1999, Bhagwati și Wilson, 1989</w:t>
      </w:r>
      <w:r w:rsidRPr="00A64892">
        <w:rPr>
          <w:color w:val="auto"/>
          <w:lang w:val="ro-RO"/>
        </w:rPr>
        <w:t xml:space="preserve">). O altă parte a literaturii </w:t>
      </w:r>
      <w:r w:rsidR="007C29A6" w:rsidRPr="00A64892">
        <w:rPr>
          <w:color w:val="auto"/>
          <w:lang w:val="ro-RO"/>
        </w:rPr>
        <w:t>arată că fenomenul brain drain aduce cu sine și o serie de avantaje pe termen lung, cum ar fi: remitențele trimise de migranți în țările lor de origine (Cinar și Docquier, 2004), cunoștințele și abilitățile suplimentare aduse de persoanele repatriate în țara de origine (Dos Santos și Postel-Vinay, 2003), intensificarea relațiilor comerciale prin crearea de noi rețele de afaceri (Mesnard și Ravallion, 2001), creșterea investițiilor străine etc.</w:t>
      </w:r>
      <w:r w:rsidR="00DE6AF2" w:rsidRPr="00A64892">
        <w:rPr>
          <w:color w:val="auto"/>
          <w:lang w:val="ro-RO"/>
        </w:rPr>
        <w:t xml:space="preserve"> Literatura de specialitate a introdus noi concepte precum Brain Drain, Brain Gain, Brain Waste, iar o subramură a studiului fenomenului migraționist a apărut destul de rapid – „noua economie a  exodului de creiere” (Docquier and Rapoport, 2004).</w:t>
      </w:r>
    </w:p>
    <w:p w:rsidR="00DE6AF2" w:rsidRPr="00A64892" w:rsidRDefault="00DE6AF2" w:rsidP="00601396">
      <w:pPr>
        <w:pStyle w:val="Default"/>
        <w:spacing w:line="276" w:lineRule="auto"/>
        <w:jc w:val="both"/>
        <w:rPr>
          <w:color w:val="auto"/>
          <w:lang w:val="ro-RO"/>
        </w:rPr>
      </w:pPr>
    </w:p>
    <w:p w:rsidR="004B7F11" w:rsidRPr="00A64892" w:rsidRDefault="00EF3D86" w:rsidP="00EF1BF5">
      <w:pPr>
        <w:spacing w:after="0" w:line="240" w:lineRule="auto"/>
        <w:ind w:firstLine="720"/>
        <w:rPr>
          <w:rFonts w:ascii="Times New Roman" w:hAnsi="Times New Roman" w:cs="Times New Roman"/>
          <w:b/>
          <w:sz w:val="24"/>
          <w:szCs w:val="24"/>
          <w:lang w:val="ro-RO"/>
        </w:rPr>
      </w:pPr>
      <w:r>
        <w:rPr>
          <w:rFonts w:ascii="Times New Roman" w:hAnsi="Times New Roman" w:cs="Times New Roman"/>
          <w:b/>
          <w:sz w:val="24"/>
          <w:szCs w:val="24"/>
          <w:lang w:val="ro-RO"/>
        </w:rPr>
        <w:t>2. FENOMENUL MIGRAȚIONIST DIN ROMÂNIA</w:t>
      </w:r>
    </w:p>
    <w:p w:rsidR="004B7F11" w:rsidRPr="00A64892" w:rsidRDefault="004B7F11" w:rsidP="004B7F11">
      <w:pPr>
        <w:spacing w:after="0" w:line="240" w:lineRule="auto"/>
        <w:rPr>
          <w:rFonts w:ascii="Times New Roman" w:hAnsi="Times New Roman" w:cs="Times New Roman"/>
          <w:b/>
          <w:sz w:val="24"/>
          <w:szCs w:val="24"/>
          <w:lang w:val="ro-RO"/>
        </w:rPr>
      </w:pPr>
    </w:p>
    <w:p w:rsidR="00DC19B9" w:rsidRPr="00A64892" w:rsidRDefault="004B7F11" w:rsidP="00EF1BF5">
      <w:pPr>
        <w:spacing w:after="0" w:line="240" w:lineRule="auto"/>
        <w:ind w:firstLine="720"/>
        <w:jc w:val="both"/>
        <w:rPr>
          <w:rFonts w:ascii="Times New Roman" w:hAnsi="Times New Roman" w:cs="Times New Roman"/>
          <w:sz w:val="24"/>
          <w:szCs w:val="24"/>
          <w:lang w:val="ro-RO"/>
        </w:rPr>
      </w:pPr>
      <w:r w:rsidRPr="00A64892">
        <w:rPr>
          <w:rFonts w:ascii="Times New Roman" w:hAnsi="Times New Roman" w:cs="Times New Roman"/>
          <w:sz w:val="24"/>
          <w:szCs w:val="24"/>
          <w:lang w:val="ro-RO"/>
        </w:rPr>
        <w:t xml:space="preserve">După </w:t>
      </w:r>
      <w:r w:rsidR="00580701">
        <w:rPr>
          <w:rFonts w:ascii="Times New Roman" w:hAnsi="Times New Roman" w:cs="Times New Roman"/>
          <w:sz w:val="24"/>
          <w:szCs w:val="24"/>
          <w:lang w:val="ro-RO"/>
        </w:rPr>
        <w:t xml:space="preserve">anul </w:t>
      </w:r>
      <w:r w:rsidRPr="00A64892">
        <w:rPr>
          <w:rFonts w:ascii="Times New Roman" w:hAnsi="Times New Roman" w:cs="Times New Roman"/>
          <w:sz w:val="24"/>
          <w:szCs w:val="24"/>
          <w:lang w:val="ro-RO"/>
        </w:rPr>
        <w:t>1990 România a suferit cea mai mare pierdere de populație, în vreme de pace, din istoria sa</w:t>
      </w:r>
      <w:r w:rsidR="00DB4A05" w:rsidRPr="00A64892">
        <w:rPr>
          <w:rFonts w:ascii="Times New Roman" w:hAnsi="Times New Roman" w:cs="Times New Roman"/>
          <w:sz w:val="24"/>
          <w:szCs w:val="24"/>
          <w:lang w:val="ro-RO"/>
        </w:rPr>
        <w:t xml:space="preserve">. </w:t>
      </w:r>
      <w:r w:rsidRPr="00A64892">
        <w:rPr>
          <w:rFonts w:ascii="Times New Roman" w:hAnsi="Times New Roman" w:cs="Times New Roman"/>
          <w:sz w:val="24"/>
          <w:szCs w:val="24"/>
          <w:lang w:val="ro-RO"/>
        </w:rPr>
        <w:t xml:space="preserve">Principalele cauze </w:t>
      </w:r>
      <w:r w:rsidR="00DC19B9" w:rsidRPr="00A64892">
        <w:rPr>
          <w:rFonts w:ascii="Times New Roman" w:hAnsi="Times New Roman" w:cs="Times New Roman"/>
          <w:sz w:val="24"/>
          <w:szCs w:val="24"/>
          <w:lang w:val="ro-RO"/>
        </w:rPr>
        <w:t xml:space="preserve">ale reducerii populației </w:t>
      </w:r>
      <w:r w:rsidRPr="00A64892">
        <w:rPr>
          <w:rFonts w:ascii="Times New Roman" w:hAnsi="Times New Roman" w:cs="Times New Roman"/>
          <w:sz w:val="24"/>
          <w:szCs w:val="24"/>
          <w:lang w:val="ro-RO"/>
        </w:rPr>
        <w:t>au fost</w:t>
      </w:r>
      <w:r w:rsidR="0079795A">
        <w:rPr>
          <w:rFonts w:ascii="Times New Roman" w:hAnsi="Times New Roman" w:cs="Times New Roman"/>
          <w:sz w:val="24"/>
          <w:szCs w:val="24"/>
          <w:lang w:val="ro-RO"/>
        </w:rPr>
        <w:t>: migrația internațională, planning-ul familial și mortalitatea ridicată (INS, 2014)</w:t>
      </w:r>
      <w:r w:rsidRPr="00A64892">
        <w:rPr>
          <w:rFonts w:ascii="Times New Roman" w:hAnsi="Times New Roman" w:cs="Times New Roman"/>
          <w:sz w:val="24"/>
          <w:szCs w:val="24"/>
          <w:lang w:val="ro-RO"/>
        </w:rPr>
        <w:t xml:space="preserve">. </w:t>
      </w:r>
    </w:p>
    <w:p w:rsidR="00CA0CA7" w:rsidRPr="00A64892" w:rsidRDefault="00CA0CA7" w:rsidP="00DB4A05">
      <w:pPr>
        <w:spacing w:after="0" w:line="240" w:lineRule="auto"/>
        <w:ind w:firstLine="720"/>
        <w:jc w:val="both"/>
        <w:rPr>
          <w:rFonts w:ascii="Times New Roman" w:hAnsi="Times New Roman" w:cs="Times New Roman"/>
          <w:sz w:val="24"/>
          <w:szCs w:val="24"/>
          <w:lang w:val="ro-RO"/>
        </w:rPr>
      </w:pPr>
      <w:r w:rsidRPr="00A64892">
        <w:rPr>
          <w:rFonts w:ascii="Times New Roman" w:hAnsi="Times New Roman" w:cs="Times New Roman"/>
          <w:sz w:val="24"/>
          <w:szCs w:val="24"/>
          <w:lang w:val="ro-RO"/>
        </w:rPr>
        <w:t>Începând cu</w:t>
      </w:r>
      <w:r w:rsidR="001736AE" w:rsidRPr="00A64892">
        <w:rPr>
          <w:rFonts w:ascii="Times New Roman" w:hAnsi="Times New Roman" w:cs="Times New Roman"/>
          <w:sz w:val="24"/>
          <w:szCs w:val="24"/>
          <w:lang w:val="ro-RO"/>
        </w:rPr>
        <w:t xml:space="preserve"> anul 2014 populația rezidentă a</w:t>
      </w:r>
      <w:r w:rsidRPr="00A64892">
        <w:rPr>
          <w:rFonts w:ascii="Times New Roman" w:hAnsi="Times New Roman" w:cs="Times New Roman"/>
          <w:sz w:val="24"/>
          <w:szCs w:val="24"/>
          <w:lang w:val="ro-RO"/>
        </w:rPr>
        <w:t xml:space="preserve"> României a înregistrat pentru prima dată valori sub 20 de milioane locuitori. </w:t>
      </w:r>
      <w:r w:rsidR="00DB4A05" w:rsidRPr="00A64892">
        <w:rPr>
          <w:rFonts w:ascii="Times New Roman" w:hAnsi="Times New Roman" w:cs="Times New Roman"/>
          <w:sz w:val="24"/>
          <w:szCs w:val="24"/>
          <w:lang w:val="ro-RO"/>
        </w:rPr>
        <w:t>Pe parcursul perioadei 1989-2012</w:t>
      </w:r>
      <w:r w:rsidR="000F4788" w:rsidRPr="00A64892">
        <w:rPr>
          <w:rFonts w:ascii="Times New Roman" w:hAnsi="Times New Roman" w:cs="Times New Roman"/>
          <w:sz w:val="24"/>
          <w:szCs w:val="24"/>
          <w:lang w:val="ro-RO"/>
        </w:rPr>
        <w:t xml:space="preserve"> populația  rezidentă</w:t>
      </w:r>
      <w:r w:rsidR="00DB4A05" w:rsidRPr="00A64892">
        <w:rPr>
          <w:rFonts w:ascii="Times New Roman" w:hAnsi="Times New Roman" w:cs="Times New Roman"/>
          <w:sz w:val="24"/>
          <w:szCs w:val="24"/>
          <w:lang w:val="ro-RO"/>
        </w:rPr>
        <w:t xml:space="preserve"> s-a diminuat cu 3,1  mil. locuitori, mai mult de 77% din sporul negativ al acesteia (2,4 mil.) fiind determinat de emigrație. Până în 2009 această reducere a fost determinată predominant de  fenomenul migraționist</w:t>
      </w:r>
      <w:r w:rsidR="00EF1BF5">
        <w:rPr>
          <w:rFonts w:ascii="Times New Roman" w:hAnsi="Times New Roman" w:cs="Times New Roman"/>
          <w:sz w:val="24"/>
          <w:szCs w:val="24"/>
          <w:lang w:val="ro-RO"/>
        </w:rPr>
        <w:t>,</w:t>
      </w:r>
      <w:r w:rsidR="00DB4A05" w:rsidRPr="00A64892">
        <w:rPr>
          <w:rFonts w:ascii="Times New Roman" w:hAnsi="Times New Roman" w:cs="Times New Roman"/>
          <w:sz w:val="24"/>
          <w:szCs w:val="24"/>
          <w:lang w:val="ro-RO"/>
        </w:rPr>
        <w:t xml:space="preserve"> iar începând cu 2010 de sporul natural negativ. Migrația internațională a condus la o reducere medie anuală a populației României de 104,2 mii perso</w:t>
      </w:r>
      <w:r w:rsidR="00141786">
        <w:rPr>
          <w:rFonts w:ascii="Times New Roman" w:hAnsi="Times New Roman" w:cs="Times New Roman"/>
          <w:sz w:val="24"/>
          <w:szCs w:val="24"/>
          <w:lang w:val="ro-RO"/>
        </w:rPr>
        <w:t xml:space="preserve">ane în perioada 1990-2012 (INS, </w:t>
      </w:r>
      <w:r w:rsidR="00DB4A05" w:rsidRPr="00A64892">
        <w:rPr>
          <w:rFonts w:ascii="Times New Roman" w:hAnsi="Times New Roman" w:cs="Times New Roman"/>
          <w:sz w:val="24"/>
          <w:szCs w:val="24"/>
          <w:lang w:val="ro-RO"/>
        </w:rPr>
        <w:t xml:space="preserve">2014). </w:t>
      </w:r>
      <w:r w:rsidR="00141786">
        <w:rPr>
          <w:rFonts w:ascii="Times New Roman" w:hAnsi="Times New Roman" w:cs="Times New Roman"/>
          <w:sz w:val="24"/>
          <w:szCs w:val="24"/>
          <w:lang w:val="ro-RO"/>
        </w:rPr>
        <w:t xml:space="preserve">Factorii care </w:t>
      </w:r>
      <w:r w:rsidR="00D25915">
        <w:rPr>
          <w:rFonts w:ascii="Times New Roman" w:hAnsi="Times New Roman" w:cs="Times New Roman"/>
          <w:sz w:val="24"/>
          <w:szCs w:val="24"/>
          <w:lang w:val="ro-RO"/>
        </w:rPr>
        <w:t>a</w:t>
      </w:r>
      <w:r w:rsidR="00141786">
        <w:rPr>
          <w:rFonts w:ascii="Times New Roman" w:hAnsi="Times New Roman" w:cs="Times New Roman"/>
          <w:sz w:val="24"/>
          <w:szCs w:val="24"/>
          <w:lang w:val="ro-RO"/>
        </w:rPr>
        <w:t xml:space="preserve">u condus la actuala situație sunt numeroși și se incadrează în diferite categorii, incepând cu cei de natură economico-socială și ajungând până la cei de natură psihologică. Interesant este faptul că statisticile din ultima vreme indică pe lângă factorii binecunoscuți care au condus la actualul declin demografic și </w:t>
      </w:r>
      <w:r w:rsidRPr="00A64892">
        <w:rPr>
          <w:rFonts w:ascii="Times New Roman" w:hAnsi="Times New Roman" w:cs="Times New Roman"/>
          <w:sz w:val="24"/>
          <w:szCs w:val="24"/>
          <w:lang w:val="ro-RO"/>
        </w:rPr>
        <w:t xml:space="preserve">creșterea vârstei medii a mamei la prima naștere de la 23,7 </w:t>
      </w:r>
      <w:r w:rsidR="00EF1BF5">
        <w:rPr>
          <w:rFonts w:ascii="Times New Roman" w:hAnsi="Times New Roman" w:cs="Times New Roman"/>
          <w:sz w:val="24"/>
          <w:szCs w:val="24"/>
          <w:lang w:val="ro-RO"/>
        </w:rPr>
        <w:t xml:space="preserve">ani </w:t>
      </w:r>
      <w:r w:rsidRPr="00A64892">
        <w:rPr>
          <w:rFonts w:ascii="Times New Roman" w:hAnsi="Times New Roman" w:cs="Times New Roman"/>
          <w:sz w:val="24"/>
          <w:szCs w:val="24"/>
          <w:lang w:val="ro-RO"/>
        </w:rPr>
        <w:t>în 2000 la 26,2</w:t>
      </w:r>
      <w:r w:rsidR="00EF1BF5">
        <w:rPr>
          <w:rFonts w:ascii="Times New Roman" w:hAnsi="Times New Roman" w:cs="Times New Roman"/>
          <w:sz w:val="24"/>
          <w:szCs w:val="24"/>
          <w:lang w:val="ro-RO"/>
        </w:rPr>
        <w:t xml:space="preserve"> ani în 2012 și</w:t>
      </w:r>
      <w:r w:rsidRPr="00A64892">
        <w:rPr>
          <w:rFonts w:ascii="Times New Roman" w:hAnsi="Times New Roman" w:cs="Times New Roman"/>
          <w:sz w:val="24"/>
          <w:szCs w:val="24"/>
          <w:lang w:val="ro-RO"/>
        </w:rPr>
        <w:t xml:space="preserve"> </w:t>
      </w:r>
      <w:r w:rsidR="001736AE" w:rsidRPr="00A64892">
        <w:rPr>
          <w:rFonts w:ascii="Times New Roman" w:hAnsi="Times New Roman" w:cs="Times New Roman"/>
          <w:sz w:val="24"/>
          <w:szCs w:val="24"/>
          <w:lang w:val="ro-RO"/>
        </w:rPr>
        <w:t>scăderea ratei de fert</w:t>
      </w:r>
      <w:r w:rsidR="000F4788" w:rsidRPr="00A64892">
        <w:rPr>
          <w:rFonts w:ascii="Times New Roman" w:hAnsi="Times New Roman" w:cs="Times New Roman"/>
          <w:sz w:val="24"/>
          <w:szCs w:val="24"/>
          <w:lang w:val="ro-RO"/>
        </w:rPr>
        <w:t xml:space="preserve">ilitate a unei românce </w:t>
      </w:r>
      <w:r w:rsidR="001736AE" w:rsidRPr="00A64892">
        <w:rPr>
          <w:rFonts w:ascii="Times New Roman" w:hAnsi="Times New Roman" w:cs="Times New Roman"/>
          <w:sz w:val="24"/>
          <w:szCs w:val="24"/>
          <w:lang w:val="ro-RO"/>
        </w:rPr>
        <w:t xml:space="preserve">(conform </w:t>
      </w:r>
      <w:r w:rsidR="00EF1BF5">
        <w:rPr>
          <w:rFonts w:ascii="Times New Roman" w:hAnsi="Times New Roman" w:cs="Times New Roman"/>
          <w:sz w:val="24"/>
          <w:szCs w:val="24"/>
          <w:lang w:val="ro-RO"/>
        </w:rPr>
        <w:t>E</w:t>
      </w:r>
      <w:r w:rsidR="001736AE" w:rsidRPr="00A64892">
        <w:rPr>
          <w:rFonts w:ascii="Times New Roman" w:hAnsi="Times New Roman" w:cs="Times New Roman"/>
          <w:sz w:val="24"/>
          <w:szCs w:val="24"/>
          <w:lang w:val="ro-RO"/>
        </w:rPr>
        <w:t xml:space="preserve">urostat). </w:t>
      </w:r>
    </w:p>
    <w:p w:rsidR="00502962" w:rsidRPr="00A64892" w:rsidRDefault="0065225F" w:rsidP="0065225F">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Din păcate situația României nu se dovedește a fi una excepțională. </w:t>
      </w:r>
      <w:r w:rsidR="00DB4A05" w:rsidRPr="00A64892">
        <w:rPr>
          <w:rFonts w:ascii="Times New Roman" w:hAnsi="Times New Roman" w:cs="Times New Roman"/>
          <w:sz w:val="24"/>
          <w:szCs w:val="24"/>
          <w:lang w:val="ro-RO"/>
        </w:rPr>
        <w:t>Estimările</w:t>
      </w:r>
      <w:r>
        <w:rPr>
          <w:rFonts w:ascii="Times New Roman" w:hAnsi="Times New Roman" w:cs="Times New Roman"/>
          <w:sz w:val="24"/>
          <w:szCs w:val="24"/>
          <w:lang w:val="ro-RO"/>
        </w:rPr>
        <w:t xml:space="preserve"> realizate de United Nations arată pen</w:t>
      </w:r>
      <w:r w:rsidR="00EB02E6">
        <w:rPr>
          <w:rFonts w:ascii="Times New Roman" w:hAnsi="Times New Roman" w:cs="Times New Roman"/>
          <w:sz w:val="24"/>
          <w:szCs w:val="24"/>
          <w:lang w:val="ro-RO"/>
        </w:rPr>
        <w:t>t</w:t>
      </w:r>
      <w:r>
        <w:rPr>
          <w:rFonts w:ascii="Times New Roman" w:hAnsi="Times New Roman" w:cs="Times New Roman"/>
          <w:sz w:val="24"/>
          <w:szCs w:val="24"/>
          <w:lang w:val="ro-RO"/>
        </w:rPr>
        <w:t>ru țara noastră</w:t>
      </w:r>
      <w:r w:rsidR="00DB4A05" w:rsidRPr="00A64892">
        <w:rPr>
          <w:rFonts w:ascii="Times New Roman" w:hAnsi="Times New Roman" w:cs="Times New Roman"/>
          <w:sz w:val="24"/>
          <w:szCs w:val="24"/>
          <w:lang w:val="ro-RO"/>
        </w:rPr>
        <w:t xml:space="preserve"> un trend descendent în ceea ce privește evoluția populației</w:t>
      </w:r>
      <w:r w:rsidR="00611BE3" w:rsidRPr="00A64892">
        <w:rPr>
          <w:rFonts w:ascii="Times New Roman" w:hAnsi="Times New Roman" w:cs="Times New Roman"/>
          <w:sz w:val="24"/>
          <w:szCs w:val="24"/>
          <w:lang w:val="ro-RO"/>
        </w:rPr>
        <w:t xml:space="preserve"> cu domiciliul în România</w:t>
      </w:r>
      <w:r>
        <w:rPr>
          <w:rFonts w:ascii="Times New Roman" w:hAnsi="Times New Roman" w:cs="Times New Roman"/>
          <w:sz w:val="24"/>
          <w:szCs w:val="24"/>
          <w:lang w:val="ro-RO"/>
        </w:rPr>
        <w:t>, du</w:t>
      </w:r>
      <w:r w:rsidR="00EB02E6">
        <w:rPr>
          <w:rFonts w:ascii="Times New Roman" w:hAnsi="Times New Roman" w:cs="Times New Roman"/>
          <w:sz w:val="24"/>
          <w:szCs w:val="24"/>
          <w:lang w:val="ro-RO"/>
        </w:rPr>
        <w:t>p</w:t>
      </w:r>
      <w:r>
        <w:rPr>
          <w:rFonts w:ascii="Times New Roman" w:hAnsi="Times New Roman" w:cs="Times New Roman"/>
          <w:sz w:val="24"/>
          <w:szCs w:val="24"/>
          <w:lang w:val="ro-RO"/>
        </w:rPr>
        <w:t>ă cum se poate observa</w:t>
      </w:r>
      <w:r w:rsidR="00063CE8" w:rsidRPr="00A64892">
        <w:rPr>
          <w:rFonts w:ascii="Times New Roman" w:hAnsi="Times New Roman" w:cs="Times New Roman"/>
          <w:sz w:val="24"/>
          <w:szCs w:val="24"/>
          <w:lang w:val="ro-RO"/>
        </w:rPr>
        <w:t xml:space="preserve"> în graficul de mai jos. </w:t>
      </w:r>
      <w:r>
        <w:rPr>
          <w:rFonts w:ascii="Times New Roman" w:hAnsi="Times New Roman" w:cs="Times New Roman"/>
          <w:sz w:val="24"/>
          <w:szCs w:val="24"/>
          <w:lang w:val="ro-RO"/>
        </w:rPr>
        <w:t xml:space="preserve">Cele trei scenarii avute în vedere de </w:t>
      </w:r>
      <w:r w:rsidR="00665ABD">
        <w:rPr>
          <w:rFonts w:ascii="Times New Roman" w:hAnsi="Times New Roman" w:cs="Times New Roman"/>
          <w:sz w:val="24"/>
          <w:szCs w:val="24"/>
          <w:lang w:val="ro-RO"/>
        </w:rPr>
        <w:t>Depart</w:t>
      </w:r>
      <w:r w:rsidRPr="00A64892">
        <w:rPr>
          <w:rFonts w:ascii="Times New Roman" w:hAnsi="Times New Roman" w:cs="Times New Roman"/>
          <w:sz w:val="24"/>
          <w:szCs w:val="24"/>
          <w:lang w:val="ro-RO"/>
        </w:rPr>
        <w:t>ment</w:t>
      </w:r>
      <w:r>
        <w:rPr>
          <w:rFonts w:ascii="Times New Roman" w:hAnsi="Times New Roman" w:cs="Times New Roman"/>
          <w:sz w:val="24"/>
          <w:szCs w:val="24"/>
          <w:lang w:val="ro-RO"/>
        </w:rPr>
        <w:t xml:space="preserve"> of Economic and Social Affairs arată că, în cea mai bună situație, în anul 2050, țara noastră va avea o populație rezidentă de aproximativ aceeași dimensiune ca în prezent, în timp ce scenariul pesimist </w:t>
      </w:r>
      <w:r w:rsidR="00555D5B">
        <w:rPr>
          <w:rFonts w:ascii="Times New Roman" w:hAnsi="Times New Roman" w:cs="Times New Roman"/>
          <w:sz w:val="24"/>
          <w:szCs w:val="24"/>
          <w:lang w:val="ro-RO"/>
        </w:rPr>
        <w:t>sugerează că populația va scădea sub 16 milioane de locuitori</w:t>
      </w:r>
      <w:r w:rsidR="007D1841">
        <w:rPr>
          <w:rFonts w:ascii="Times New Roman" w:hAnsi="Times New Roman" w:cs="Times New Roman"/>
          <w:sz w:val="24"/>
          <w:szCs w:val="24"/>
          <w:lang w:val="ro-RO"/>
        </w:rPr>
        <w:t xml:space="preserve"> (Fig. 2.1.)</w:t>
      </w:r>
      <w:r w:rsidR="00555D5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rsidR="00D21000" w:rsidRPr="00A64892" w:rsidRDefault="007D1841" w:rsidP="007D1841">
      <w:pPr>
        <w:spacing w:after="0" w:line="240" w:lineRule="auto"/>
        <w:ind w:firstLine="720"/>
        <w:jc w:val="center"/>
        <w:rPr>
          <w:rFonts w:ascii="Times New Roman" w:hAnsi="Times New Roman" w:cs="Times New Roman"/>
          <w:sz w:val="24"/>
          <w:szCs w:val="24"/>
          <w:lang w:val="ro-RO"/>
        </w:rPr>
      </w:pPr>
      <w:r>
        <w:rPr>
          <w:rFonts w:ascii="Times New Roman" w:hAnsi="Times New Roman" w:cs="Times New Roman"/>
          <w:noProof/>
          <w:sz w:val="24"/>
          <w:szCs w:val="24"/>
        </w:rPr>
        <w:lastRenderedPageBreak/>
        <w:drawing>
          <wp:inline distT="0" distB="0" distL="0" distR="0">
            <wp:extent cx="2801620" cy="220916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01620" cy="2209165"/>
                    </a:xfrm>
                    <a:prstGeom prst="rect">
                      <a:avLst/>
                    </a:prstGeom>
                    <a:noFill/>
                    <a:ln w="9525">
                      <a:noFill/>
                      <a:miter lim="800000"/>
                      <a:headEnd/>
                      <a:tailEnd/>
                    </a:ln>
                  </pic:spPr>
                </pic:pic>
              </a:graphicData>
            </a:graphic>
          </wp:inline>
        </w:drawing>
      </w:r>
    </w:p>
    <w:p w:rsidR="00DB1880" w:rsidRPr="00A64892" w:rsidRDefault="00DB1880" w:rsidP="00555D5B">
      <w:pPr>
        <w:spacing w:after="0" w:line="240" w:lineRule="auto"/>
        <w:jc w:val="center"/>
        <w:rPr>
          <w:rFonts w:ascii="Times New Roman" w:hAnsi="Times New Roman" w:cs="Times New Roman"/>
          <w:sz w:val="24"/>
          <w:szCs w:val="24"/>
          <w:lang w:val="ro-RO"/>
        </w:rPr>
      </w:pPr>
    </w:p>
    <w:p w:rsidR="00DB1880" w:rsidRDefault="00555D5B" w:rsidP="00555D5B">
      <w:pPr>
        <w:spacing w:after="0" w:line="240" w:lineRule="auto"/>
        <w:jc w:val="both"/>
        <w:rPr>
          <w:rFonts w:ascii="Times New Roman" w:hAnsi="Times New Roman" w:cs="Times New Roman"/>
          <w:sz w:val="20"/>
          <w:szCs w:val="20"/>
          <w:lang w:val="ro-RO"/>
        </w:rPr>
      </w:pPr>
      <w:r w:rsidRPr="00555D5B">
        <w:rPr>
          <w:rFonts w:ascii="Times New Roman" w:hAnsi="Times New Roman" w:cs="Times New Roman"/>
          <w:sz w:val="20"/>
          <w:szCs w:val="20"/>
          <w:lang w:val="ro-RO"/>
        </w:rPr>
        <w:t>S</w:t>
      </w:r>
      <w:r w:rsidR="00DB1880" w:rsidRPr="00555D5B">
        <w:rPr>
          <w:rFonts w:ascii="Times New Roman" w:hAnsi="Times New Roman" w:cs="Times New Roman"/>
          <w:sz w:val="20"/>
          <w:szCs w:val="20"/>
          <w:lang w:val="ro-RO"/>
        </w:rPr>
        <w:t>ur</w:t>
      </w:r>
      <w:r w:rsidRPr="00555D5B">
        <w:rPr>
          <w:rFonts w:ascii="Times New Roman" w:hAnsi="Times New Roman" w:cs="Times New Roman"/>
          <w:sz w:val="20"/>
          <w:szCs w:val="20"/>
          <w:lang w:val="ro-RO"/>
        </w:rPr>
        <w:t>sa:</w:t>
      </w:r>
      <w:r w:rsidR="00DB1880" w:rsidRPr="00555D5B">
        <w:rPr>
          <w:rFonts w:ascii="Times New Roman" w:hAnsi="Times New Roman" w:cs="Times New Roman"/>
          <w:sz w:val="20"/>
          <w:szCs w:val="20"/>
          <w:lang w:val="ro-RO"/>
        </w:rPr>
        <w:t xml:space="preserve"> </w:t>
      </w:r>
      <w:r w:rsidR="00611BE3" w:rsidRPr="00555D5B">
        <w:rPr>
          <w:rFonts w:ascii="Times New Roman" w:hAnsi="Times New Roman" w:cs="Times New Roman"/>
          <w:sz w:val="20"/>
          <w:szCs w:val="20"/>
          <w:lang w:val="ro-RO"/>
        </w:rPr>
        <w:t xml:space="preserve">United Nations, </w:t>
      </w:r>
      <w:r w:rsidR="0065225F" w:rsidRPr="00555D5B">
        <w:rPr>
          <w:rFonts w:ascii="Times New Roman" w:hAnsi="Times New Roman" w:cs="Times New Roman"/>
          <w:sz w:val="20"/>
          <w:szCs w:val="20"/>
          <w:lang w:val="ro-RO"/>
        </w:rPr>
        <w:t xml:space="preserve">Departament of Economic and Social Affairs, </w:t>
      </w:r>
      <w:r w:rsidR="00611BE3" w:rsidRPr="0087764A">
        <w:rPr>
          <w:rFonts w:ascii="Times New Roman" w:hAnsi="Times New Roman" w:cs="Times New Roman"/>
          <w:i/>
          <w:sz w:val="20"/>
          <w:szCs w:val="20"/>
          <w:lang w:val="ro-RO"/>
        </w:rPr>
        <w:t>World Populatio</w:t>
      </w:r>
      <w:r w:rsidR="0065225F" w:rsidRPr="0087764A">
        <w:rPr>
          <w:rFonts w:ascii="Times New Roman" w:hAnsi="Times New Roman" w:cs="Times New Roman"/>
          <w:i/>
          <w:sz w:val="20"/>
          <w:szCs w:val="20"/>
          <w:lang w:val="ro-RO"/>
        </w:rPr>
        <w:t>n Prospects. The 2012 Revision</w:t>
      </w:r>
      <w:r w:rsidR="0065225F" w:rsidRPr="00555D5B">
        <w:rPr>
          <w:rFonts w:ascii="Times New Roman" w:hAnsi="Times New Roman" w:cs="Times New Roman"/>
          <w:sz w:val="20"/>
          <w:szCs w:val="20"/>
          <w:lang w:val="ro-RO"/>
        </w:rPr>
        <w:t xml:space="preserve">, </w:t>
      </w:r>
      <w:hyperlink r:id="rId8" w:history="1">
        <w:r w:rsidR="00951660" w:rsidRPr="003141D5">
          <w:rPr>
            <w:rStyle w:val="Hyperlink"/>
            <w:rFonts w:ascii="Times New Roman" w:hAnsi="Times New Roman" w:cs="Times New Roman"/>
            <w:sz w:val="20"/>
            <w:szCs w:val="20"/>
            <w:lang w:val="ro-RO"/>
          </w:rPr>
          <w:t>http://esa.un.org/wpp/Demographic-Profiles/pdfs/642.pdf</w:t>
        </w:r>
      </w:hyperlink>
    </w:p>
    <w:p w:rsidR="00951660" w:rsidRPr="00555D5B" w:rsidRDefault="00951660" w:rsidP="00555D5B">
      <w:pPr>
        <w:spacing w:after="0" w:line="240" w:lineRule="auto"/>
        <w:jc w:val="both"/>
        <w:rPr>
          <w:rFonts w:ascii="Times New Roman" w:hAnsi="Times New Roman" w:cs="Times New Roman"/>
          <w:sz w:val="20"/>
          <w:szCs w:val="20"/>
          <w:lang w:val="ro-RO"/>
        </w:rPr>
      </w:pPr>
    </w:p>
    <w:p w:rsidR="00871D85" w:rsidRDefault="00077709" w:rsidP="00871D85">
      <w:pPr>
        <w:spacing w:after="0" w:line="240" w:lineRule="auto"/>
        <w:ind w:firstLine="720"/>
        <w:jc w:val="both"/>
        <w:rPr>
          <w:rFonts w:ascii="Times New Roman" w:hAnsi="Times New Roman" w:cs="Times New Roman"/>
          <w:sz w:val="24"/>
          <w:szCs w:val="24"/>
          <w:lang w:val="ro-RO"/>
        </w:rPr>
      </w:pPr>
      <w:r w:rsidRPr="00077709">
        <w:rPr>
          <w:rFonts w:ascii="Times New Roman" w:hAnsi="Times New Roman" w:cs="Times New Roman"/>
          <w:sz w:val="24"/>
          <w:szCs w:val="24"/>
          <w:lang w:val="ro-RO"/>
        </w:rPr>
        <w:t xml:space="preserve">După cum se observă, trendul </w:t>
      </w:r>
      <w:r>
        <w:rPr>
          <w:rFonts w:ascii="Times New Roman" w:hAnsi="Times New Roman" w:cs="Times New Roman"/>
          <w:sz w:val="24"/>
          <w:szCs w:val="24"/>
          <w:lang w:val="ro-RO"/>
        </w:rPr>
        <w:t xml:space="preserve">este de diminuare a populației României, aspect îngrijorător atât pentru </w:t>
      </w:r>
      <w:r w:rsidRPr="00871D85">
        <w:rPr>
          <w:rFonts w:ascii="Times New Roman" w:hAnsi="Times New Roman" w:cs="Times New Roman"/>
          <w:sz w:val="24"/>
          <w:szCs w:val="24"/>
          <w:lang w:val="ro-RO"/>
        </w:rPr>
        <w:t xml:space="preserve">evoluția pieței muncii, cât mai ales pentru implicațiile de natură economică, socială și politică. </w:t>
      </w:r>
      <w:r w:rsidR="00A51DB1" w:rsidRPr="00871D85">
        <w:rPr>
          <w:rFonts w:ascii="Times New Roman" w:hAnsi="Times New Roman" w:cs="Times New Roman"/>
          <w:sz w:val="24"/>
          <w:szCs w:val="24"/>
          <w:lang w:val="ro-RO"/>
        </w:rPr>
        <w:t>În plus, s</w:t>
      </w:r>
      <w:r w:rsidRPr="00871D85">
        <w:rPr>
          <w:rFonts w:ascii="Times New Roman" w:hAnsi="Times New Roman" w:cs="Times New Roman"/>
          <w:sz w:val="24"/>
          <w:szCs w:val="24"/>
          <w:lang w:val="ro-RO"/>
        </w:rPr>
        <w:t xml:space="preserve">tudiile realizate în ultimii ani arată o apetență a tinerilor români spre găsirea unui loc de </w:t>
      </w:r>
      <w:r w:rsidR="00A51DB1" w:rsidRPr="00871D85">
        <w:rPr>
          <w:rFonts w:ascii="Times New Roman" w:hAnsi="Times New Roman" w:cs="Times New Roman"/>
          <w:sz w:val="24"/>
          <w:szCs w:val="24"/>
          <w:lang w:val="ro-RO"/>
        </w:rPr>
        <w:t xml:space="preserve">muncă în afara țării. Conform unui studiu realizat de Institutul Român pentru Evaluare şi Strategii, 51,6% din tinerii cuprinşi cu vârste între 18 şi 35 de ani îşi </w:t>
      </w:r>
      <w:r w:rsidR="00871D85">
        <w:rPr>
          <w:rFonts w:ascii="Times New Roman" w:hAnsi="Times New Roman" w:cs="Times New Roman"/>
          <w:sz w:val="24"/>
          <w:szCs w:val="24"/>
          <w:lang w:val="ro-RO"/>
        </w:rPr>
        <w:t>d</w:t>
      </w:r>
      <w:r w:rsidR="00A51DB1" w:rsidRPr="00871D85">
        <w:rPr>
          <w:rFonts w:ascii="Times New Roman" w:hAnsi="Times New Roman" w:cs="Times New Roman"/>
          <w:sz w:val="24"/>
          <w:szCs w:val="24"/>
          <w:lang w:val="ro-RO"/>
        </w:rPr>
        <w:t>oresc să muncească în străinătate, iar 75% din respondenţii cu studii superioare din</w:t>
      </w:r>
      <w:r w:rsidR="00871D85">
        <w:rPr>
          <w:rFonts w:ascii="Times New Roman" w:hAnsi="Times New Roman" w:cs="Times New Roman"/>
          <w:sz w:val="24"/>
          <w:szCs w:val="24"/>
          <w:lang w:val="ro-RO"/>
        </w:rPr>
        <w:t xml:space="preserve"> </w:t>
      </w:r>
      <w:r w:rsidR="00A51DB1" w:rsidRPr="00871D85">
        <w:rPr>
          <w:rFonts w:ascii="Times New Roman" w:hAnsi="Times New Roman" w:cs="Times New Roman"/>
          <w:sz w:val="24"/>
          <w:szCs w:val="24"/>
          <w:lang w:val="ro-RO"/>
        </w:rPr>
        <w:t>toate categoriile de vârstă afirmă că și-ar dori să emigreze</w:t>
      </w:r>
      <w:r w:rsidR="00871D85" w:rsidRPr="00871D85">
        <w:rPr>
          <w:rFonts w:ascii="Times New Roman" w:hAnsi="Times New Roman" w:cs="Times New Roman"/>
          <w:sz w:val="24"/>
          <w:szCs w:val="24"/>
          <w:lang w:val="ro-RO"/>
        </w:rPr>
        <w:t xml:space="preserve"> (IRES, 2013)</w:t>
      </w:r>
      <w:r w:rsidR="00A51DB1" w:rsidRPr="00871D85">
        <w:rPr>
          <w:rFonts w:ascii="Times New Roman" w:hAnsi="Times New Roman" w:cs="Times New Roman"/>
          <w:sz w:val="24"/>
          <w:szCs w:val="24"/>
          <w:lang w:val="ro-RO"/>
        </w:rPr>
        <w:t>.</w:t>
      </w:r>
      <w:r w:rsidR="00871D85" w:rsidRPr="00871D85">
        <w:rPr>
          <w:rFonts w:ascii="Times New Roman" w:hAnsi="Times New Roman" w:cs="Times New Roman"/>
          <w:sz w:val="24"/>
          <w:szCs w:val="24"/>
          <w:lang w:val="ro-RO"/>
        </w:rPr>
        <w:t xml:space="preserve"> </w:t>
      </w:r>
      <w:r w:rsidR="00871D85">
        <w:rPr>
          <w:rFonts w:ascii="Times New Roman" w:hAnsi="Times New Roman" w:cs="Times New Roman"/>
          <w:sz w:val="24"/>
          <w:szCs w:val="24"/>
          <w:lang w:val="ro-RO"/>
        </w:rPr>
        <w:t>Conform datelor oferite de Institutul Național de Statistică, românii prefera</w:t>
      </w:r>
      <w:r w:rsidR="00131613">
        <w:rPr>
          <w:rFonts w:ascii="Times New Roman" w:hAnsi="Times New Roman" w:cs="Times New Roman"/>
          <w:sz w:val="24"/>
          <w:szCs w:val="24"/>
          <w:lang w:val="ro-RO"/>
        </w:rPr>
        <w:t>u în anul 2012 ca țări de desti</w:t>
      </w:r>
      <w:r w:rsidR="00871D85">
        <w:rPr>
          <w:rFonts w:ascii="Times New Roman" w:hAnsi="Times New Roman" w:cs="Times New Roman"/>
          <w:sz w:val="24"/>
          <w:szCs w:val="24"/>
          <w:lang w:val="ro-RO"/>
        </w:rPr>
        <w:t xml:space="preserve">nație: Italia, Spania, Germania, Marea Britanie etc. </w:t>
      </w:r>
      <w:r w:rsidR="00871D85" w:rsidRPr="00871D85">
        <w:rPr>
          <w:rFonts w:ascii="Times New Roman" w:hAnsi="Times New Roman" w:cs="Times New Roman"/>
          <w:sz w:val="24"/>
          <w:szCs w:val="24"/>
          <w:lang w:val="ro-RO"/>
        </w:rPr>
        <w:t>În ultimii ani, s-a</w:t>
      </w:r>
      <w:r w:rsidR="00871D85">
        <w:rPr>
          <w:rFonts w:ascii="Times New Roman" w:hAnsi="Times New Roman" w:cs="Times New Roman"/>
          <w:sz w:val="24"/>
          <w:szCs w:val="24"/>
          <w:lang w:val="ro-RO"/>
        </w:rPr>
        <w:t xml:space="preserve"> observat</w:t>
      </w:r>
      <w:r w:rsidR="00871D85" w:rsidRPr="00871D85">
        <w:rPr>
          <w:rFonts w:ascii="Times New Roman" w:hAnsi="Times New Roman" w:cs="Times New Roman"/>
          <w:sz w:val="24"/>
          <w:szCs w:val="24"/>
          <w:lang w:val="ro-RO"/>
        </w:rPr>
        <w:t xml:space="preserve"> așadar o tendință a celor cu studii superioare</w:t>
      </w:r>
      <w:r w:rsidR="00871D85">
        <w:rPr>
          <w:rFonts w:ascii="Times New Roman" w:hAnsi="Times New Roman" w:cs="Times New Roman"/>
          <w:sz w:val="24"/>
          <w:szCs w:val="24"/>
          <w:lang w:val="ro-RO"/>
        </w:rPr>
        <w:t xml:space="preserve"> de a părăsi țara, fenomenul de brain-drain căpătând amploare.</w:t>
      </w:r>
    </w:p>
    <w:p w:rsidR="00A51DB1" w:rsidRPr="00871D85" w:rsidRDefault="00871D85" w:rsidP="00871D85">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Pornind de la situația prezentată mai sus, lucrarea de față își propune identificarea intenției de a emigra în anul 2015 a tinerilor români cu studii superioare.   </w:t>
      </w:r>
      <w:r w:rsidRPr="00871D85">
        <w:rPr>
          <w:rFonts w:ascii="Times New Roman" w:hAnsi="Times New Roman" w:cs="Times New Roman"/>
          <w:sz w:val="24"/>
          <w:szCs w:val="24"/>
          <w:lang w:val="ro-RO"/>
        </w:rPr>
        <w:t xml:space="preserve"> </w:t>
      </w:r>
      <w:r w:rsidR="00A51DB1" w:rsidRPr="00871D85">
        <w:rPr>
          <w:rFonts w:ascii="Times New Roman" w:hAnsi="Times New Roman" w:cs="Times New Roman"/>
          <w:sz w:val="24"/>
          <w:szCs w:val="24"/>
          <w:lang w:val="ro-RO"/>
        </w:rPr>
        <w:t xml:space="preserve"> </w:t>
      </w:r>
    </w:p>
    <w:p w:rsidR="00555D5B" w:rsidRDefault="00555D5B" w:rsidP="004B7F11">
      <w:pPr>
        <w:spacing w:after="0" w:line="240" w:lineRule="auto"/>
        <w:ind w:firstLine="720"/>
        <w:jc w:val="both"/>
        <w:rPr>
          <w:rFonts w:ascii="Times New Roman" w:hAnsi="Times New Roman" w:cs="Times New Roman"/>
          <w:sz w:val="24"/>
          <w:szCs w:val="24"/>
          <w:lang w:val="ro-RO"/>
        </w:rPr>
      </w:pPr>
    </w:p>
    <w:p w:rsidR="003B70C0" w:rsidRPr="003B70C0" w:rsidRDefault="003B70C0" w:rsidP="004B7F11">
      <w:pPr>
        <w:spacing w:after="0" w:line="240" w:lineRule="auto"/>
        <w:ind w:firstLine="720"/>
        <w:jc w:val="both"/>
        <w:rPr>
          <w:rFonts w:ascii="Times New Roman" w:hAnsi="Times New Roman" w:cs="Times New Roman"/>
          <w:b/>
          <w:sz w:val="24"/>
          <w:szCs w:val="24"/>
          <w:lang w:val="ro-RO"/>
        </w:rPr>
      </w:pPr>
      <w:r w:rsidRPr="003B70C0">
        <w:rPr>
          <w:rFonts w:ascii="Times New Roman" w:hAnsi="Times New Roman" w:cs="Times New Roman"/>
          <w:b/>
          <w:sz w:val="24"/>
          <w:szCs w:val="24"/>
          <w:lang w:val="ro-RO"/>
        </w:rPr>
        <w:t xml:space="preserve">3. </w:t>
      </w:r>
      <w:r w:rsidR="00EF3D86">
        <w:rPr>
          <w:rFonts w:ascii="Times New Roman" w:hAnsi="Times New Roman" w:cs="Times New Roman"/>
          <w:b/>
          <w:sz w:val="24"/>
          <w:szCs w:val="24"/>
          <w:lang w:val="ro-RO"/>
        </w:rPr>
        <w:t>CERCETARE PRIVIND INTENȚIA DE EMIGRARE A TINERILOR ROMÂNI CU STUDII SUPERIOARE</w:t>
      </w:r>
    </w:p>
    <w:p w:rsidR="008B6D69" w:rsidRDefault="008B6D69" w:rsidP="00D21000">
      <w:pPr>
        <w:pStyle w:val="Default"/>
        <w:spacing w:line="276" w:lineRule="auto"/>
        <w:ind w:firstLine="720"/>
        <w:jc w:val="both"/>
        <w:rPr>
          <w:color w:val="auto"/>
          <w:lang w:val="ro-RO"/>
        </w:rPr>
      </w:pPr>
    </w:p>
    <w:p w:rsidR="004B7F11" w:rsidRPr="00A64892" w:rsidRDefault="008B6D69" w:rsidP="00D21000">
      <w:pPr>
        <w:pStyle w:val="Default"/>
        <w:spacing w:line="276" w:lineRule="auto"/>
        <w:ind w:firstLine="720"/>
        <w:jc w:val="both"/>
        <w:rPr>
          <w:lang w:val="ro-RO"/>
        </w:rPr>
      </w:pPr>
      <w:r>
        <w:rPr>
          <w:color w:val="auto"/>
          <w:lang w:val="ro-RO"/>
        </w:rPr>
        <w:t xml:space="preserve">Pornind </w:t>
      </w:r>
      <w:r w:rsidR="00502962">
        <w:rPr>
          <w:color w:val="auto"/>
          <w:lang w:val="ro-RO"/>
        </w:rPr>
        <w:t>de la necesitatea identificării</w:t>
      </w:r>
      <w:r w:rsidR="004B7F11" w:rsidRPr="00A64892">
        <w:rPr>
          <w:color w:val="auto"/>
          <w:lang w:val="ro-RO"/>
        </w:rPr>
        <w:t xml:space="preserve"> </w:t>
      </w:r>
      <w:r w:rsidR="00502962">
        <w:rPr>
          <w:color w:val="auto"/>
          <w:lang w:val="ro-RO"/>
        </w:rPr>
        <w:t xml:space="preserve">intenției </w:t>
      </w:r>
      <w:r w:rsidR="003B70C0">
        <w:rPr>
          <w:color w:val="auto"/>
          <w:lang w:val="ro-RO"/>
        </w:rPr>
        <w:t>d</w:t>
      </w:r>
      <w:r w:rsidR="00502962">
        <w:rPr>
          <w:color w:val="auto"/>
          <w:lang w:val="ro-RO"/>
        </w:rPr>
        <w:t>e emigrare a tinerilor români cu studii superioare</w:t>
      </w:r>
      <w:r>
        <w:rPr>
          <w:color w:val="auto"/>
          <w:lang w:val="ro-RO"/>
        </w:rPr>
        <w:t>, a fost realizat un sondaj-pilot</w:t>
      </w:r>
      <w:r w:rsidR="00502962">
        <w:rPr>
          <w:color w:val="auto"/>
          <w:lang w:val="ro-RO"/>
        </w:rPr>
        <w:t xml:space="preserve">. Astfel, în lunile martie – aprilie 2015 a fost distribuit un </w:t>
      </w:r>
      <w:r w:rsidR="004B7F11" w:rsidRPr="00A64892">
        <w:rPr>
          <w:color w:val="auto"/>
          <w:lang w:val="ro-RO"/>
        </w:rPr>
        <w:t xml:space="preserve">chestionar </w:t>
      </w:r>
      <w:r w:rsidR="00435F48" w:rsidRPr="00A64892">
        <w:rPr>
          <w:color w:val="auto"/>
          <w:lang w:val="ro-RO"/>
        </w:rPr>
        <w:t>conținând 18</w:t>
      </w:r>
      <w:r w:rsidR="004B7F11" w:rsidRPr="00A64892">
        <w:rPr>
          <w:color w:val="auto"/>
          <w:lang w:val="ro-RO"/>
        </w:rPr>
        <w:t xml:space="preserve"> întrebări </w:t>
      </w:r>
      <w:r w:rsidR="00502962">
        <w:rPr>
          <w:color w:val="auto"/>
          <w:lang w:val="ro-RO"/>
        </w:rPr>
        <w:t xml:space="preserve">privind </w:t>
      </w:r>
      <w:r w:rsidR="004B7F11" w:rsidRPr="00A64892">
        <w:rPr>
          <w:color w:val="auto"/>
          <w:lang w:val="ro-RO"/>
        </w:rPr>
        <w:t>intenți</w:t>
      </w:r>
      <w:r w:rsidR="00502962">
        <w:rPr>
          <w:color w:val="auto"/>
          <w:lang w:val="ro-RO"/>
        </w:rPr>
        <w:t>a</w:t>
      </w:r>
      <w:r w:rsidR="004B7F11" w:rsidRPr="00A64892">
        <w:rPr>
          <w:color w:val="auto"/>
          <w:lang w:val="ro-RO"/>
        </w:rPr>
        <w:t xml:space="preserve"> tinerilor români de a emigra pe</w:t>
      </w:r>
      <w:r w:rsidR="00435F48" w:rsidRPr="00A64892">
        <w:rPr>
          <w:color w:val="auto"/>
          <w:lang w:val="ro-RO"/>
        </w:rPr>
        <w:t xml:space="preserve"> termen scurt</w:t>
      </w:r>
      <w:r w:rsidR="004B7F11" w:rsidRPr="00A64892">
        <w:rPr>
          <w:color w:val="auto"/>
          <w:lang w:val="ro-RO"/>
        </w:rPr>
        <w:t xml:space="preserve">. </w:t>
      </w:r>
      <w:r w:rsidR="00502962">
        <w:rPr>
          <w:color w:val="auto"/>
          <w:lang w:val="ro-RO"/>
        </w:rPr>
        <w:t xml:space="preserve"> E</w:t>
      </w:r>
      <w:r w:rsidR="004B7F11" w:rsidRPr="00A64892">
        <w:rPr>
          <w:color w:val="auto"/>
          <w:lang w:val="ro-RO"/>
        </w:rPr>
        <w:t>șa</w:t>
      </w:r>
      <w:r w:rsidR="00435F48" w:rsidRPr="00A64892">
        <w:rPr>
          <w:color w:val="auto"/>
          <w:lang w:val="ro-RO"/>
        </w:rPr>
        <w:t>n</w:t>
      </w:r>
      <w:r w:rsidR="004B7F11" w:rsidRPr="00A64892">
        <w:rPr>
          <w:color w:val="auto"/>
          <w:lang w:val="ro-RO"/>
        </w:rPr>
        <w:t>tion</w:t>
      </w:r>
      <w:r w:rsidR="00502962">
        <w:rPr>
          <w:color w:val="auto"/>
          <w:lang w:val="ro-RO"/>
        </w:rPr>
        <w:t xml:space="preserve">ul a fost alcătuit din </w:t>
      </w:r>
      <w:r w:rsidR="004B7F11" w:rsidRPr="00A64892">
        <w:rPr>
          <w:color w:val="auto"/>
          <w:lang w:val="ro-RO"/>
        </w:rPr>
        <w:t>199 de re</w:t>
      </w:r>
      <w:r w:rsidR="00502962">
        <w:rPr>
          <w:color w:val="auto"/>
          <w:lang w:val="ro-RO"/>
        </w:rPr>
        <w:t>spondenți, având calitatea de studenți la un</w:t>
      </w:r>
      <w:r>
        <w:rPr>
          <w:color w:val="auto"/>
          <w:lang w:val="ro-RO"/>
        </w:rPr>
        <w:t>e</w:t>
      </w:r>
      <w:r w:rsidR="00502962">
        <w:rPr>
          <w:color w:val="auto"/>
          <w:lang w:val="ro-RO"/>
        </w:rPr>
        <w:t xml:space="preserve">le dintre cele mai prestigioase universități din țară:  </w:t>
      </w:r>
      <w:r w:rsidR="00435F48" w:rsidRPr="00A64892">
        <w:rPr>
          <w:color w:val="auto"/>
          <w:lang w:val="ro-RO"/>
        </w:rPr>
        <w:t>Universit</w:t>
      </w:r>
      <w:r w:rsidR="00502962">
        <w:rPr>
          <w:color w:val="auto"/>
          <w:lang w:val="ro-RO"/>
        </w:rPr>
        <w:t>atea</w:t>
      </w:r>
      <w:r w:rsidR="00435F48" w:rsidRPr="00A64892">
        <w:rPr>
          <w:color w:val="auto"/>
          <w:lang w:val="ro-RO"/>
        </w:rPr>
        <w:t xml:space="preserve"> Politehnica din București (cu un număr total de </w:t>
      </w:r>
      <w:r w:rsidR="00435F48" w:rsidRPr="00A64892">
        <w:rPr>
          <w:lang w:val="ro-RO"/>
        </w:rPr>
        <w:t>25.382 de studenți  conform datelor din anul universitar 2013-</w:t>
      </w:r>
      <w:r w:rsidR="00F0152D" w:rsidRPr="00A64892">
        <w:rPr>
          <w:lang w:val="ro-RO"/>
        </w:rPr>
        <w:t xml:space="preserve">2014) </w:t>
      </w:r>
      <w:r w:rsidR="00502962">
        <w:rPr>
          <w:lang w:val="ro-RO"/>
        </w:rPr>
        <w:t>și Academia</w:t>
      </w:r>
      <w:r w:rsidR="00435F48" w:rsidRPr="00A64892">
        <w:rPr>
          <w:lang w:val="ro-RO"/>
        </w:rPr>
        <w:t xml:space="preserve"> de Studii Economice din București (cu un număr total de 23.678 de studenți conform datelor din anul universitar 2013-2014).</w:t>
      </w:r>
      <w:r>
        <w:rPr>
          <w:lang w:val="ro-RO"/>
        </w:rPr>
        <w:t xml:space="preserve"> Într-o primă fază, s-a considerat necesară elaborarea unui sondaj-pilot care să urmărească tendințele tinerilor economiști și ingineri, astfel încât, pe baza răspunsurilor acestora să poată fi determinate anumite tendințe și elemente necesare extinderii cercetării și asupra altor categorii de tineri cu studii superioare. </w:t>
      </w:r>
    </w:p>
    <w:p w:rsidR="00E24DEE" w:rsidRPr="00A64892" w:rsidRDefault="008B6D69" w:rsidP="00FE3535">
      <w:pPr>
        <w:pStyle w:val="Default"/>
        <w:spacing w:line="276" w:lineRule="auto"/>
        <w:ind w:firstLine="720"/>
        <w:jc w:val="both"/>
        <w:rPr>
          <w:color w:val="auto"/>
          <w:lang w:val="ro-RO"/>
        </w:rPr>
      </w:pPr>
      <w:r w:rsidRPr="003B0A9E">
        <w:rPr>
          <w:color w:val="auto"/>
          <w:lang w:val="ro-RO"/>
        </w:rPr>
        <w:lastRenderedPageBreak/>
        <w:t>D</w:t>
      </w:r>
      <w:r w:rsidR="00FE3535" w:rsidRPr="003B0A9E">
        <w:rPr>
          <w:color w:val="auto"/>
          <w:lang w:val="ro-RO"/>
        </w:rPr>
        <w:t>in</w:t>
      </w:r>
      <w:r w:rsidR="00FE3535" w:rsidRPr="00A64892">
        <w:rPr>
          <w:color w:val="auto"/>
          <w:lang w:val="ro-RO"/>
        </w:rPr>
        <w:t xml:space="preserve"> totalul întrebărilor</w:t>
      </w:r>
      <w:r>
        <w:rPr>
          <w:color w:val="auto"/>
          <w:lang w:val="ro-RO"/>
        </w:rPr>
        <w:t xml:space="preserve"> cuprinse în chestionarul distribuit, </w:t>
      </w:r>
      <w:r w:rsidR="00FE3535" w:rsidRPr="00A64892">
        <w:rPr>
          <w:color w:val="auto"/>
          <w:lang w:val="ro-RO"/>
        </w:rPr>
        <w:t>au fos</w:t>
      </w:r>
      <w:r w:rsidR="00E46BD6" w:rsidRPr="00A64892">
        <w:rPr>
          <w:color w:val="auto"/>
          <w:lang w:val="ro-RO"/>
        </w:rPr>
        <w:t xml:space="preserve">t selectate </w:t>
      </w:r>
      <w:r>
        <w:rPr>
          <w:color w:val="auto"/>
          <w:lang w:val="ro-RO"/>
        </w:rPr>
        <w:t xml:space="preserve">doar câteva </w:t>
      </w:r>
      <w:r w:rsidR="008C6D45" w:rsidRPr="00A64892">
        <w:rPr>
          <w:color w:val="auto"/>
          <w:lang w:val="ro-RO"/>
        </w:rPr>
        <w:t xml:space="preserve"> </w:t>
      </w:r>
      <w:r>
        <w:rPr>
          <w:color w:val="auto"/>
          <w:lang w:val="ro-RO"/>
        </w:rPr>
        <w:t xml:space="preserve"> relevante </w:t>
      </w:r>
      <w:r w:rsidR="008C6D45" w:rsidRPr="00A64892">
        <w:rPr>
          <w:color w:val="auto"/>
          <w:lang w:val="ro-RO"/>
        </w:rPr>
        <w:t xml:space="preserve">pentru </w:t>
      </w:r>
      <w:r>
        <w:rPr>
          <w:color w:val="auto"/>
          <w:lang w:val="ro-RO"/>
        </w:rPr>
        <w:t>prezentarea aspectelor determinate</w:t>
      </w:r>
      <w:r w:rsidR="00FE3535" w:rsidRPr="00A64892">
        <w:rPr>
          <w:color w:val="auto"/>
          <w:lang w:val="ro-RO"/>
        </w:rPr>
        <w:t xml:space="preserve">. </w:t>
      </w:r>
    </w:p>
    <w:p w:rsidR="0054085C" w:rsidRDefault="00005C9B" w:rsidP="00FE3535">
      <w:pPr>
        <w:pStyle w:val="Default"/>
        <w:spacing w:line="276" w:lineRule="auto"/>
        <w:ind w:firstLine="720"/>
        <w:jc w:val="both"/>
        <w:rPr>
          <w:color w:val="auto"/>
          <w:lang w:val="ro-RO"/>
        </w:rPr>
      </w:pPr>
      <w:r>
        <w:rPr>
          <w:color w:val="auto"/>
          <w:lang w:val="ro-RO"/>
        </w:rPr>
        <w:t xml:space="preserve">Prima </w:t>
      </w:r>
      <w:r w:rsidR="00951660">
        <w:rPr>
          <w:color w:val="auto"/>
          <w:lang w:val="ro-RO"/>
        </w:rPr>
        <w:t xml:space="preserve">parte a chestionarului </w:t>
      </w:r>
      <w:r>
        <w:rPr>
          <w:color w:val="auto"/>
          <w:lang w:val="ro-RO"/>
        </w:rPr>
        <w:t xml:space="preserve">a </w:t>
      </w:r>
      <w:r w:rsidR="00FE3535" w:rsidRPr="00A64892">
        <w:rPr>
          <w:color w:val="auto"/>
          <w:lang w:val="ro-RO"/>
        </w:rPr>
        <w:t>viz</w:t>
      </w:r>
      <w:r>
        <w:rPr>
          <w:color w:val="auto"/>
          <w:lang w:val="ro-RO"/>
        </w:rPr>
        <w:t>at</w:t>
      </w:r>
      <w:r w:rsidR="00FE3535" w:rsidRPr="00A64892">
        <w:rPr>
          <w:color w:val="auto"/>
          <w:lang w:val="ro-RO"/>
        </w:rPr>
        <w:t xml:space="preserve"> </w:t>
      </w:r>
      <w:r w:rsidR="00951660">
        <w:rPr>
          <w:color w:val="auto"/>
          <w:lang w:val="ro-RO"/>
        </w:rPr>
        <w:t xml:space="preserve">opinia respondenților privind fenomenul migraționist. Astfel, la afirmația </w:t>
      </w:r>
      <w:r w:rsidR="00E16D91" w:rsidRPr="00A64892">
        <w:rPr>
          <w:color w:val="auto"/>
          <w:lang w:val="ro-RO"/>
        </w:rPr>
        <w:t xml:space="preserve">„Considerați libertatea de circulației a cetățenilor români în tot spațiul </w:t>
      </w:r>
      <w:r w:rsidR="00344577">
        <w:rPr>
          <w:color w:val="auto"/>
          <w:lang w:val="ro-RO"/>
        </w:rPr>
        <w:t>Uniunii Europene ca fiind c</w:t>
      </w:r>
      <w:r w:rsidR="00E16D91" w:rsidRPr="00A64892">
        <w:rPr>
          <w:color w:val="auto"/>
          <w:lang w:val="ro-RO"/>
        </w:rPr>
        <w:t xml:space="preserve">el mai mare </w:t>
      </w:r>
      <w:r w:rsidR="00344577">
        <w:rPr>
          <w:color w:val="auto"/>
          <w:lang w:val="ro-RO"/>
        </w:rPr>
        <w:t>câștig de după Revoluție</w:t>
      </w:r>
      <w:r w:rsidR="00951660">
        <w:rPr>
          <w:color w:val="auto"/>
          <w:lang w:val="ro-RO"/>
        </w:rPr>
        <w:t xml:space="preserve">”, majoritatea (51%) respondenților au afirmat că sunt în acord total sau foarte de acord. Doar un procent de 4% dintre respondenți s-a încadrat la dezacordul total, după cum se poate observa și în figura </w:t>
      </w:r>
      <w:r w:rsidR="007D1841">
        <w:rPr>
          <w:color w:val="auto"/>
          <w:lang w:val="ro-RO"/>
        </w:rPr>
        <w:t>3.</w:t>
      </w:r>
      <w:r w:rsidR="00951660">
        <w:rPr>
          <w:color w:val="auto"/>
          <w:lang w:val="ro-RO"/>
        </w:rPr>
        <w:t>1.</w:t>
      </w:r>
    </w:p>
    <w:p w:rsidR="00951660" w:rsidRPr="00A64892" w:rsidRDefault="00951660" w:rsidP="00FE3535">
      <w:pPr>
        <w:pStyle w:val="Default"/>
        <w:spacing w:line="276" w:lineRule="auto"/>
        <w:ind w:firstLine="720"/>
        <w:jc w:val="both"/>
        <w:rPr>
          <w:color w:val="auto"/>
          <w:lang w:val="ro-RO"/>
        </w:rPr>
      </w:pPr>
    </w:p>
    <w:p w:rsidR="00E24DEE" w:rsidRPr="00A64892" w:rsidRDefault="00E24DEE" w:rsidP="00E45DB3">
      <w:pPr>
        <w:pStyle w:val="Default"/>
        <w:spacing w:line="276" w:lineRule="auto"/>
        <w:jc w:val="center"/>
        <w:rPr>
          <w:b/>
          <w:color w:val="auto"/>
          <w:lang w:val="ro-RO"/>
        </w:rPr>
      </w:pPr>
      <w:r w:rsidRPr="00A64892">
        <w:rPr>
          <w:b/>
          <w:noProof/>
          <w:color w:val="auto"/>
        </w:rPr>
        <w:drawing>
          <wp:inline distT="0" distB="0" distL="0" distR="0">
            <wp:extent cx="4659783" cy="1514247"/>
            <wp:effectExtent l="19050" t="0" r="26517"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4DEE" w:rsidRPr="00A64892" w:rsidRDefault="00E45DB3" w:rsidP="00E24DEE">
      <w:pPr>
        <w:pStyle w:val="Default"/>
        <w:spacing w:line="276" w:lineRule="auto"/>
        <w:jc w:val="both"/>
        <w:rPr>
          <w:color w:val="auto"/>
          <w:sz w:val="20"/>
          <w:szCs w:val="20"/>
          <w:lang w:val="ro-RO"/>
        </w:rPr>
      </w:pPr>
      <w:r w:rsidRPr="00A64892">
        <w:rPr>
          <w:b/>
          <w:color w:val="auto"/>
          <w:lang w:val="ro-RO"/>
        </w:rPr>
        <w:t xml:space="preserve">               </w:t>
      </w:r>
      <w:r w:rsidR="00797973" w:rsidRPr="00A64892">
        <w:rPr>
          <w:color w:val="auto"/>
          <w:sz w:val="20"/>
          <w:szCs w:val="20"/>
          <w:lang w:val="ro-RO"/>
        </w:rPr>
        <w:t>Sursa:</w:t>
      </w:r>
      <w:r w:rsidR="00DA7575" w:rsidRPr="00A64892">
        <w:rPr>
          <w:color w:val="auto"/>
          <w:sz w:val="20"/>
          <w:szCs w:val="20"/>
          <w:lang w:val="ro-RO"/>
        </w:rPr>
        <w:t xml:space="preserve"> </w:t>
      </w:r>
      <w:r w:rsidR="00344577">
        <w:rPr>
          <w:color w:val="auto"/>
          <w:sz w:val="20"/>
          <w:szCs w:val="20"/>
          <w:lang w:val="ro-RO"/>
        </w:rPr>
        <w:t>prelucrări ale autorilor pe baza rezu</w:t>
      </w:r>
      <w:r w:rsidR="009448E1">
        <w:rPr>
          <w:color w:val="auto"/>
          <w:sz w:val="20"/>
          <w:szCs w:val="20"/>
          <w:lang w:val="ro-RO"/>
        </w:rPr>
        <w:t>l</w:t>
      </w:r>
      <w:r w:rsidR="00344577">
        <w:rPr>
          <w:color w:val="auto"/>
          <w:sz w:val="20"/>
          <w:szCs w:val="20"/>
          <w:lang w:val="ro-RO"/>
        </w:rPr>
        <w:t>tatelor cercetării derulate în perioada martie-aprilie 2015</w:t>
      </w:r>
    </w:p>
    <w:p w:rsidR="0054085C" w:rsidRPr="00A64892" w:rsidRDefault="0054085C" w:rsidP="00E24DEE">
      <w:pPr>
        <w:pStyle w:val="Default"/>
        <w:spacing w:line="276" w:lineRule="auto"/>
        <w:jc w:val="both"/>
        <w:rPr>
          <w:color w:val="auto"/>
          <w:sz w:val="20"/>
          <w:szCs w:val="20"/>
          <w:lang w:val="ro-RO"/>
        </w:rPr>
      </w:pPr>
    </w:p>
    <w:p w:rsidR="00E16D91" w:rsidRPr="00A64892" w:rsidRDefault="0054085C" w:rsidP="0054085C">
      <w:pPr>
        <w:pStyle w:val="Default"/>
        <w:spacing w:line="276" w:lineRule="auto"/>
        <w:ind w:firstLine="720"/>
        <w:jc w:val="both"/>
        <w:rPr>
          <w:color w:val="auto"/>
          <w:lang w:val="ro-RO"/>
        </w:rPr>
      </w:pPr>
      <w:r w:rsidRPr="00A554E4">
        <w:rPr>
          <w:color w:val="auto"/>
          <w:lang w:val="ro-RO"/>
        </w:rPr>
        <w:t xml:space="preserve">Ținând cont că </w:t>
      </w:r>
      <w:r w:rsidR="00951660" w:rsidRPr="00A554E4">
        <w:rPr>
          <w:color w:val="auto"/>
          <w:lang w:val="ro-RO"/>
        </w:rPr>
        <w:t xml:space="preserve">mare parte a </w:t>
      </w:r>
      <w:r w:rsidRPr="00A554E4">
        <w:rPr>
          <w:color w:val="auto"/>
          <w:lang w:val="ro-RO"/>
        </w:rPr>
        <w:t>respondenți</w:t>
      </w:r>
      <w:r w:rsidR="00951660" w:rsidRPr="00A554E4">
        <w:rPr>
          <w:color w:val="auto"/>
          <w:lang w:val="ro-RO"/>
        </w:rPr>
        <w:t>lor a fost reprezentată de</w:t>
      </w:r>
      <w:r w:rsidRPr="00A554E4">
        <w:rPr>
          <w:color w:val="auto"/>
          <w:lang w:val="ro-RO"/>
        </w:rPr>
        <w:t xml:space="preserve"> persoane n</w:t>
      </w:r>
      <w:r w:rsidR="00951660" w:rsidRPr="00A554E4">
        <w:rPr>
          <w:color w:val="auto"/>
          <w:lang w:val="ro-RO"/>
        </w:rPr>
        <w:t>ăscute după ’90, care nu au avut ocazia de a trăi în regimul comunist</w:t>
      </w:r>
      <w:r w:rsidRPr="00A554E4">
        <w:rPr>
          <w:color w:val="auto"/>
          <w:lang w:val="ro-RO"/>
        </w:rPr>
        <w:t>,</w:t>
      </w:r>
      <w:r w:rsidR="00951660" w:rsidRPr="00A554E4">
        <w:rPr>
          <w:color w:val="auto"/>
          <w:lang w:val="ro-RO"/>
        </w:rPr>
        <w:t xml:space="preserve"> dar cărora le</w:t>
      </w:r>
      <w:r w:rsidR="00C43AFA">
        <w:rPr>
          <w:color w:val="auto"/>
          <w:lang w:val="ro-RO"/>
        </w:rPr>
        <w:t>-a fost prezentată perioada comu</w:t>
      </w:r>
      <w:r w:rsidR="00951660" w:rsidRPr="00A554E4">
        <w:rPr>
          <w:color w:val="auto"/>
          <w:lang w:val="ro-RO"/>
        </w:rPr>
        <w:t>n</w:t>
      </w:r>
      <w:r w:rsidR="00C43AFA">
        <w:rPr>
          <w:color w:val="auto"/>
          <w:lang w:val="ro-RO"/>
        </w:rPr>
        <w:t>i</w:t>
      </w:r>
      <w:r w:rsidR="00951660" w:rsidRPr="00A554E4">
        <w:rPr>
          <w:color w:val="auto"/>
          <w:lang w:val="ro-RO"/>
        </w:rPr>
        <w:t xml:space="preserve">stă ca fiind privatoare de drepturi fundamentale ale cetățeanului, nu este surprinzător faptul că libertatea de mișcare în spațiul european este percepută ca </w:t>
      </w:r>
      <w:r w:rsidRPr="00A554E4">
        <w:rPr>
          <w:color w:val="auto"/>
          <w:lang w:val="ro-RO"/>
        </w:rPr>
        <w:t>un drept fundamental</w:t>
      </w:r>
      <w:r w:rsidR="00B86338" w:rsidRPr="00A554E4">
        <w:rPr>
          <w:color w:val="auto"/>
          <w:lang w:val="ro-RO"/>
        </w:rPr>
        <w:t>.</w:t>
      </w:r>
      <w:r w:rsidRPr="00A554E4">
        <w:rPr>
          <w:color w:val="auto"/>
          <w:lang w:val="ro-RO"/>
        </w:rPr>
        <w:t xml:space="preserve"> </w:t>
      </w:r>
      <w:r w:rsidR="00B86338">
        <w:rPr>
          <w:color w:val="auto"/>
          <w:lang w:val="ro-RO"/>
        </w:rPr>
        <w:t>Acest lucru este</w:t>
      </w:r>
      <w:r w:rsidR="00E16D91" w:rsidRPr="00A64892">
        <w:rPr>
          <w:color w:val="auto"/>
          <w:lang w:val="ro-RO"/>
        </w:rPr>
        <w:t xml:space="preserve"> întărit de </w:t>
      </w:r>
      <w:r w:rsidR="00491105">
        <w:rPr>
          <w:color w:val="auto"/>
          <w:lang w:val="ro-RO"/>
        </w:rPr>
        <w:t xml:space="preserve">rezultatele obținute în cazul celei </w:t>
      </w:r>
      <w:r w:rsidR="00E46BD6" w:rsidRPr="00A64892">
        <w:rPr>
          <w:color w:val="auto"/>
          <w:lang w:val="ro-RO"/>
        </w:rPr>
        <w:t xml:space="preserve">de-a doua </w:t>
      </w:r>
      <w:r w:rsidR="00951660">
        <w:rPr>
          <w:color w:val="auto"/>
          <w:lang w:val="ro-RO"/>
        </w:rPr>
        <w:t>afirmați</w:t>
      </w:r>
      <w:r w:rsidR="00491105">
        <w:rPr>
          <w:color w:val="auto"/>
          <w:lang w:val="ro-RO"/>
        </w:rPr>
        <w:t>i</w:t>
      </w:r>
      <w:r w:rsidR="00951660">
        <w:rPr>
          <w:color w:val="auto"/>
          <w:lang w:val="ro-RO"/>
        </w:rPr>
        <w:t>,</w:t>
      </w:r>
      <w:r w:rsidR="00E16D91" w:rsidRPr="00A64892">
        <w:rPr>
          <w:color w:val="auto"/>
          <w:lang w:val="ro-RO"/>
        </w:rPr>
        <w:t xml:space="preserve"> care urmărește să evidențieze măsura în care planul social și legislativ (delimitat de dreptul la liberă circulație)  este completat de posibil</w:t>
      </w:r>
      <w:r w:rsidR="00491105">
        <w:rPr>
          <w:color w:val="auto"/>
          <w:lang w:val="ro-RO"/>
        </w:rPr>
        <w:t>itățile de dezvoltare generate de ex</w:t>
      </w:r>
      <w:r w:rsidR="00605A9A">
        <w:rPr>
          <w:color w:val="auto"/>
          <w:lang w:val="ro-RO"/>
        </w:rPr>
        <w:t>is</w:t>
      </w:r>
      <w:r w:rsidR="00491105">
        <w:rPr>
          <w:color w:val="auto"/>
          <w:lang w:val="ro-RO"/>
        </w:rPr>
        <w:t>tența</w:t>
      </w:r>
      <w:r w:rsidR="00E16D91" w:rsidRPr="00A64892">
        <w:rPr>
          <w:color w:val="auto"/>
          <w:lang w:val="ro-RO"/>
        </w:rPr>
        <w:t xml:space="preserve"> acestui drept („Considerați libertatea de circulației a cetățenilor români în tot spațiul </w:t>
      </w:r>
      <w:r w:rsidR="00951660">
        <w:rPr>
          <w:color w:val="auto"/>
          <w:lang w:val="ro-RO"/>
        </w:rPr>
        <w:t>Uniunii Europene ca fiind o</w:t>
      </w:r>
      <w:r w:rsidR="00E16D91" w:rsidRPr="00A64892">
        <w:rPr>
          <w:color w:val="auto"/>
          <w:lang w:val="ro-RO"/>
        </w:rPr>
        <w:t xml:space="preserve"> șansă pentru d</w:t>
      </w:r>
      <w:r w:rsidR="00951660">
        <w:rPr>
          <w:color w:val="auto"/>
          <w:lang w:val="ro-RO"/>
        </w:rPr>
        <w:t>ezvoltarea societății românești</w:t>
      </w:r>
      <w:r w:rsidR="00491105">
        <w:rPr>
          <w:color w:val="auto"/>
          <w:lang w:val="ro-RO"/>
        </w:rPr>
        <w:t>”</w:t>
      </w:r>
      <w:r w:rsidR="00E16D91" w:rsidRPr="00A64892">
        <w:rPr>
          <w:color w:val="auto"/>
          <w:lang w:val="ro-RO"/>
        </w:rPr>
        <w:t>).</w:t>
      </w:r>
      <w:r w:rsidR="00D96EFD" w:rsidRPr="00A64892">
        <w:rPr>
          <w:color w:val="auto"/>
          <w:lang w:val="ro-RO"/>
        </w:rPr>
        <w:t xml:space="preserve"> </w:t>
      </w:r>
    </w:p>
    <w:p w:rsidR="00E24DEE" w:rsidRPr="00A64892" w:rsidRDefault="00E24DEE" w:rsidP="00E16D91">
      <w:pPr>
        <w:pStyle w:val="Default"/>
        <w:spacing w:line="276" w:lineRule="auto"/>
        <w:jc w:val="center"/>
        <w:rPr>
          <w:b/>
          <w:color w:val="auto"/>
          <w:lang w:val="ro-RO"/>
        </w:rPr>
      </w:pPr>
      <w:r w:rsidRPr="00A64892">
        <w:rPr>
          <w:b/>
          <w:noProof/>
          <w:color w:val="auto"/>
        </w:rPr>
        <w:drawing>
          <wp:inline distT="0" distB="0" distL="0" distR="0">
            <wp:extent cx="5076749" cy="1923898"/>
            <wp:effectExtent l="19050" t="0" r="9601" b="152"/>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6EFD" w:rsidRDefault="00491105" w:rsidP="00D96EFD">
      <w:pPr>
        <w:pStyle w:val="Default"/>
        <w:spacing w:line="276" w:lineRule="auto"/>
        <w:ind w:firstLine="720"/>
        <w:jc w:val="both"/>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rezutatelor cercetării derulate în perioada martie-aprilie 2015</w:t>
      </w:r>
    </w:p>
    <w:p w:rsidR="00491105" w:rsidRPr="00A64892" w:rsidRDefault="00491105" w:rsidP="00D96EFD">
      <w:pPr>
        <w:pStyle w:val="Default"/>
        <w:spacing w:line="276" w:lineRule="auto"/>
        <w:ind w:firstLine="720"/>
        <w:jc w:val="both"/>
        <w:rPr>
          <w:b/>
          <w:color w:val="auto"/>
          <w:lang w:val="ro-RO"/>
        </w:rPr>
      </w:pPr>
    </w:p>
    <w:p w:rsidR="00B86338" w:rsidRDefault="00D96EFD" w:rsidP="00B86338">
      <w:pPr>
        <w:pStyle w:val="Default"/>
        <w:spacing w:line="276" w:lineRule="auto"/>
        <w:ind w:firstLine="720"/>
        <w:jc w:val="both"/>
        <w:rPr>
          <w:color w:val="auto"/>
          <w:lang w:val="ro-RO"/>
        </w:rPr>
      </w:pPr>
      <w:r w:rsidRPr="00A64892">
        <w:rPr>
          <w:color w:val="auto"/>
          <w:lang w:val="ro-RO"/>
        </w:rPr>
        <w:t>Aproxima</w:t>
      </w:r>
      <w:r w:rsidR="001E7253">
        <w:rPr>
          <w:color w:val="auto"/>
          <w:lang w:val="ro-RO"/>
        </w:rPr>
        <w:t>tiv 58% dintre tinerii studenți</w:t>
      </w:r>
      <w:r w:rsidRPr="00A64892">
        <w:rPr>
          <w:color w:val="auto"/>
          <w:lang w:val="ro-RO"/>
        </w:rPr>
        <w:t xml:space="preserve"> intervievați consideră libera circulație a cetățenilor români în spațiul UE o șansă pentru dezvoltarea societății românești („Acord total” sau „Foarte de acord”</w:t>
      </w:r>
      <w:r w:rsidR="00DF7F36">
        <w:rPr>
          <w:color w:val="auto"/>
          <w:lang w:val="ro-RO"/>
        </w:rPr>
        <w:t>)</w:t>
      </w:r>
      <w:r w:rsidR="000C08F7" w:rsidRPr="00A64892">
        <w:rPr>
          <w:color w:val="auto"/>
          <w:lang w:val="ro-RO"/>
        </w:rPr>
        <w:t xml:space="preserve"> (Fig. </w:t>
      </w:r>
      <w:r w:rsidR="007D1841">
        <w:rPr>
          <w:color w:val="auto"/>
          <w:lang w:val="ro-RO"/>
        </w:rPr>
        <w:t>3.</w:t>
      </w:r>
      <w:r w:rsidR="000C08F7" w:rsidRPr="00A64892">
        <w:rPr>
          <w:color w:val="auto"/>
          <w:lang w:val="ro-RO"/>
        </w:rPr>
        <w:t>2)</w:t>
      </w:r>
      <w:r w:rsidRPr="00A64892">
        <w:rPr>
          <w:color w:val="auto"/>
          <w:lang w:val="ro-RO"/>
        </w:rPr>
        <w:t xml:space="preserve">. Aceștia iau în calcul posibilitățile de dezvoltare personală, </w:t>
      </w:r>
      <w:r w:rsidRPr="00A64892">
        <w:rPr>
          <w:color w:val="auto"/>
          <w:lang w:val="ro-RO"/>
        </w:rPr>
        <w:lastRenderedPageBreak/>
        <w:t>socială și pr</w:t>
      </w:r>
      <w:r w:rsidR="004E76CE" w:rsidRPr="00A64892">
        <w:rPr>
          <w:color w:val="auto"/>
          <w:lang w:val="ro-RO"/>
        </w:rPr>
        <w:t>ofesională pe care</w:t>
      </w:r>
      <w:r w:rsidR="00DF7F36">
        <w:rPr>
          <w:color w:val="auto"/>
          <w:lang w:val="ro-RO"/>
        </w:rPr>
        <w:t xml:space="preserve"> emigrația li le</w:t>
      </w:r>
      <w:r w:rsidR="00B86338">
        <w:rPr>
          <w:color w:val="auto"/>
          <w:lang w:val="ro-RO"/>
        </w:rPr>
        <w:t xml:space="preserve"> poate oferi</w:t>
      </w:r>
      <w:r w:rsidRPr="00A64892">
        <w:rPr>
          <w:color w:val="auto"/>
          <w:lang w:val="ro-RO"/>
        </w:rPr>
        <w:t xml:space="preserve">. </w:t>
      </w:r>
      <w:r w:rsidR="00782E62" w:rsidRPr="00A64892">
        <w:rPr>
          <w:color w:val="auto"/>
          <w:lang w:val="ro-RO"/>
        </w:rPr>
        <w:t>Dacă 58</w:t>
      </w:r>
      <w:r w:rsidR="00236C52" w:rsidRPr="00A64892">
        <w:rPr>
          <w:color w:val="auto"/>
          <w:lang w:val="ro-RO"/>
        </w:rPr>
        <w:t>% dintre studenți</w:t>
      </w:r>
      <w:r w:rsidR="00782E62" w:rsidRPr="00A64892">
        <w:rPr>
          <w:color w:val="auto"/>
          <w:lang w:val="ro-RO"/>
        </w:rPr>
        <w:t xml:space="preserve">i </w:t>
      </w:r>
      <w:r w:rsidR="00DF7F36">
        <w:rPr>
          <w:color w:val="auto"/>
          <w:lang w:val="ro-RO"/>
        </w:rPr>
        <w:t xml:space="preserve">respondenți </w:t>
      </w:r>
      <w:r w:rsidR="00782E62" w:rsidRPr="00A64892">
        <w:rPr>
          <w:color w:val="auto"/>
          <w:lang w:val="ro-RO"/>
        </w:rPr>
        <w:t xml:space="preserve">consideră libera circulație a cetățenilor români în spațiul comunitar ca fiind o șansă </w:t>
      </w:r>
      <w:r w:rsidR="00236C52" w:rsidRPr="00A64892">
        <w:rPr>
          <w:color w:val="auto"/>
          <w:lang w:val="ro-RO"/>
        </w:rPr>
        <w:t xml:space="preserve">mare </w:t>
      </w:r>
      <w:r w:rsidR="00782E62" w:rsidRPr="00A64892">
        <w:rPr>
          <w:color w:val="auto"/>
          <w:lang w:val="ro-RO"/>
        </w:rPr>
        <w:t xml:space="preserve">pentru dezvoltarea societății românești, se observă că un procent similar de persoane consideră acest drept ca fiind un mare câștig. </w:t>
      </w:r>
    </w:p>
    <w:p w:rsidR="000C08F7" w:rsidRPr="00A64892" w:rsidRDefault="00DF7F36" w:rsidP="00DF7F36">
      <w:pPr>
        <w:pStyle w:val="Default"/>
        <w:spacing w:line="276" w:lineRule="auto"/>
        <w:ind w:firstLine="720"/>
        <w:jc w:val="both"/>
        <w:rPr>
          <w:color w:val="auto"/>
          <w:lang w:val="ro-RO"/>
        </w:rPr>
      </w:pPr>
      <w:r>
        <w:rPr>
          <w:color w:val="auto"/>
          <w:lang w:val="ro-RO"/>
        </w:rPr>
        <w:t>Emigrația este, de regulă, asociată de către tineri cu așa- numita „rețetă a succesului”, iar succesul, de cele mai multe ori, este privit prin prisma existenței unui loc de muncă bine remunerat. Prin urmare, ori de câte ori se discută despre migrație, piața muncii nu poate fi privită altfel decât în strânsă conexiune cu fenomenul migraționist. La afirmația a treia</w:t>
      </w:r>
      <w:r w:rsidR="000C08F7" w:rsidRPr="00A64892">
        <w:rPr>
          <w:rFonts w:asciiTheme="minorHAnsi" w:hAnsiTheme="minorHAnsi" w:cstheme="minorBidi"/>
          <w:color w:val="auto"/>
          <w:sz w:val="22"/>
          <w:szCs w:val="22"/>
          <w:lang w:val="ro-RO"/>
        </w:rPr>
        <w:t xml:space="preserve"> </w:t>
      </w:r>
      <w:r>
        <w:rPr>
          <w:rFonts w:asciiTheme="minorHAnsi" w:hAnsiTheme="minorHAnsi" w:cstheme="minorBidi"/>
          <w:color w:val="auto"/>
          <w:sz w:val="22"/>
          <w:szCs w:val="22"/>
          <w:lang w:val="ro-RO"/>
        </w:rPr>
        <w:t>„</w:t>
      </w:r>
      <w:r w:rsidR="000C08F7" w:rsidRPr="00A64892">
        <w:rPr>
          <w:color w:val="auto"/>
          <w:lang w:val="ro-RO"/>
        </w:rPr>
        <w:t>În condițiile de mai sus, considerați e</w:t>
      </w:r>
      <w:r w:rsidR="004A64EB">
        <w:rPr>
          <w:color w:val="auto"/>
          <w:lang w:val="ro-RO"/>
        </w:rPr>
        <w:t>migrarea românilor în U.E. o</w:t>
      </w:r>
      <w:r w:rsidR="000C08F7" w:rsidRPr="00A64892">
        <w:rPr>
          <w:color w:val="auto"/>
          <w:lang w:val="ro-RO"/>
        </w:rPr>
        <w:t xml:space="preserve"> mișcare normală pe piața unic</w:t>
      </w:r>
      <w:r w:rsidR="00B86338">
        <w:rPr>
          <w:color w:val="auto"/>
          <w:lang w:val="ro-RO"/>
        </w:rPr>
        <w:t xml:space="preserve">ă a forței </w:t>
      </w:r>
      <w:r w:rsidR="004A64EB">
        <w:rPr>
          <w:color w:val="auto"/>
          <w:lang w:val="ro-RO"/>
        </w:rPr>
        <w:t>de muncă din U.E</w:t>
      </w:r>
      <w:r>
        <w:rPr>
          <w:color w:val="auto"/>
          <w:lang w:val="ro-RO"/>
        </w:rPr>
        <w:t xml:space="preserve">.”, </w:t>
      </w:r>
      <w:r w:rsidR="000C08F7" w:rsidRPr="00A64892">
        <w:rPr>
          <w:color w:val="auto"/>
          <w:lang w:val="ro-RO"/>
        </w:rPr>
        <w:t xml:space="preserve">52,76% dintre respondenți </w:t>
      </w:r>
      <w:r>
        <w:rPr>
          <w:color w:val="auto"/>
          <w:lang w:val="ro-RO"/>
        </w:rPr>
        <w:t xml:space="preserve">se declară ca fiind în acord total și foarte de acord, </w:t>
      </w:r>
      <w:r w:rsidR="000C08F7" w:rsidRPr="00A64892">
        <w:rPr>
          <w:color w:val="auto"/>
          <w:lang w:val="ro-RO"/>
        </w:rPr>
        <w:t>consider</w:t>
      </w:r>
      <w:r>
        <w:rPr>
          <w:color w:val="auto"/>
          <w:lang w:val="ro-RO"/>
        </w:rPr>
        <w:t>ând astfel</w:t>
      </w:r>
      <w:r w:rsidR="000C08F7" w:rsidRPr="00A64892">
        <w:rPr>
          <w:color w:val="auto"/>
          <w:lang w:val="ro-RO"/>
        </w:rPr>
        <w:t xml:space="preserve"> fluctuațiile generate pe piața muncii ca fiind normale (fig. 3</w:t>
      </w:r>
      <w:r w:rsidR="007D1841">
        <w:rPr>
          <w:color w:val="auto"/>
          <w:lang w:val="ro-RO"/>
        </w:rPr>
        <w:t>.3</w:t>
      </w:r>
      <w:r w:rsidR="000C08F7" w:rsidRPr="00A64892">
        <w:rPr>
          <w:color w:val="auto"/>
          <w:lang w:val="ro-RO"/>
        </w:rPr>
        <w:t xml:space="preserve">). </w:t>
      </w:r>
    </w:p>
    <w:p w:rsidR="00D96EFD" w:rsidRPr="00A64892" w:rsidRDefault="00D96EFD" w:rsidP="00D96EFD">
      <w:pPr>
        <w:pStyle w:val="Default"/>
        <w:spacing w:line="276" w:lineRule="auto"/>
        <w:ind w:firstLine="720"/>
        <w:jc w:val="both"/>
        <w:rPr>
          <w:b/>
          <w:color w:val="auto"/>
          <w:lang w:val="ro-RO"/>
        </w:rPr>
      </w:pPr>
    </w:p>
    <w:p w:rsidR="00E24DEE" w:rsidRPr="00A64892" w:rsidRDefault="00E24DEE" w:rsidP="00236C52">
      <w:pPr>
        <w:pStyle w:val="Default"/>
        <w:spacing w:line="276" w:lineRule="auto"/>
        <w:jc w:val="center"/>
        <w:rPr>
          <w:b/>
          <w:color w:val="auto"/>
          <w:lang w:val="ro-RO"/>
        </w:rPr>
      </w:pPr>
      <w:r w:rsidRPr="00A64892">
        <w:rPr>
          <w:b/>
          <w:noProof/>
          <w:color w:val="auto"/>
        </w:rPr>
        <w:drawing>
          <wp:inline distT="0" distB="0" distL="0" distR="0">
            <wp:extent cx="5163628" cy="2484408"/>
            <wp:effectExtent l="19050" t="0" r="17972"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08F7" w:rsidRDefault="00236C52" w:rsidP="00E24DEE">
      <w:pPr>
        <w:pStyle w:val="Default"/>
        <w:spacing w:line="276" w:lineRule="auto"/>
        <w:jc w:val="both"/>
        <w:rPr>
          <w:color w:val="auto"/>
          <w:sz w:val="20"/>
          <w:szCs w:val="20"/>
          <w:lang w:val="ro-RO"/>
        </w:rPr>
      </w:pPr>
      <w:r w:rsidRPr="00A64892">
        <w:rPr>
          <w:color w:val="auto"/>
          <w:sz w:val="20"/>
          <w:szCs w:val="20"/>
          <w:lang w:val="ro-RO"/>
        </w:rPr>
        <w:t xml:space="preserve">           </w:t>
      </w:r>
      <w:r w:rsidR="00491105" w:rsidRPr="00A64892">
        <w:rPr>
          <w:color w:val="auto"/>
          <w:sz w:val="20"/>
          <w:szCs w:val="20"/>
          <w:lang w:val="ro-RO"/>
        </w:rPr>
        <w:t xml:space="preserve">Sursa: </w:t>
      </w:r>
      <w:r w:rsidR="00491105">
        <w:rPr>
          <w:color w:val="auto"/>
          <w:sz w:val="20"/>
          <w:szCs w:val="20"/>
          <w:lang w:val="ro-RO"/>
        </w:rPr>
        <w:t>prelucrări ale autorilor pe baza rezu</w:t>
      </w:r>
      <w:r w:rsidR="00686D86">
        <w:rPr>
          <w:color w:val="auto"/>
          <w:sz w:val="20"/>
          <w:szCs w:val="20"/>
          <w:lang w:val="ro-RO"/>
        </w:rPr>
        <w:t>l</w:t>
      </w:r>
      <w:r w:rsidR="00491105">
        <w:rPr>
          <w:color w:val="auto"/>
          <w:sz w:val="20"/>
          <w:szCs w:val="20"/>
          <w:lang w:val="ro-RO"/>
        </w:rPr>
        <w:t>tatelor cercetării derulate în perioada martie-aprilie 2015</w:t>
      </w:r>
    </w:p>
    <w:p w:rsidR="00491105" w:rsidRPr="00A64892" w:rsidRDefault="00491105" w:rsidP="00E24DEE">
      <w:pPr>
        <w:pStyle w:val="Default"/>
        <w:spacing w:line="276" w:lineRule="auto"/>
        <w:jc w:val="both"/>
        <w:rPr>
          <w:color w:val="auto"/>
          <w:sz w:val="20"/>
          <w:szCs w:val="20"/>
          <w:lang w:val="ro-RO"/>
        </w:rPr>
      </w:pPr>
    </w:p>
    <w:p w:rsidR="000C08F7" w:rsidRPr="00A64892" w:rsidRDefault="000C08F7" w:rsidP="000C08F7">
      <w:pPr>
        <w:pStyle w:val="Default"/>
        <w:spacing w:line="276" w:lineRule="auto"/>
        <w:ind w:firstLine="720"/>
        <w:jc w:val="both"/>
        <w:rPr>
          <w:color w:val="auto"/>
          <w:lang w:val="ro-RO"/>
        </w:rPr>
      </w:pPr>
      <w:r w:rsidRPr="00A64892">
        <w:rPr>
          <w:color w:val="auto"/>
          <w:lang w:val="ro-RO"/>
        </w:rPr>
        <w:t xml:space="preserve">Fără îndoială obținerea dreptului de liberă circulație a provocat intensificarea fenomenului de emigrare într-o țară în care nevoia de manifestare a libertății și a celorlalte posibilități economice era atât de stringentă încât rezultatele s-au văzut clar în evoluția demografică. Problema </w:t>
      </w:r>
      <w:r w:rsidR="00DF7F36">
        <w:rPr>
          <w:color w:val="auto"/>
          <w:lang w:val="ro-RO"/>
        </w:rPr>
        <w:t>care apare într-o astfel de situație este legată de</w:t>
      </w:r>
      <w:r w:rsidRPr="00A64892">
        <w:rPr>
          <w:color w:val="auto"/>
          <w:lang w:val="ro-RO"/>
        </w:rPr>
        <w:t xml:space="preserve"> cum va reuși piața muncii </w:t>
      </w:r>
      <w:r w:rsidR="00DF7F36">
        <w:rPr>
          <w:color w:val="auto"/>
          <w:lang w:val="ro-RO"/>
        </w:rPr>
        <w:t xml:space="preserve">din România </w:t>
      </w:r>
      <w:r w:rsidRPr="00A64892">
        <w:rPr>
          <w:color w:val="auto"/>
          <w:lang w:val="ro-RO"/>
        </w:rPr>
        <w:t>să se reechil</w:t>
      </w:r>
      <w:r w:rsidR="00765999" w:rsidRPr="00A64892">
        <w:rPr>
          <w:color w:val="auto"/>
          <w:lang w:val="ro-RO"/>
        </w:rPr>
        <w:t>ibreze în condițiile reducerii ofert</w:t>
      </w:r>
      <w:r w:rsidR="00DF7F36">
        <w:rPr>
          <w:color w:val="auto"/>
          <w:lang w:val="ro-RO"/>
        </w:rPr>
        <w:t xml:space="preserve">ei de forță de muncă. </w:t>
      </w:r>
      <w:r w:rsidRPr="00A64892">
        <w:rPr>
          <w:color w:val="auto"/>
          <w:lang w:val="ro-RO"/>
        </w:rPr>
        <w:t xml:space="preserve">Modul în care aceasta se va stabiliza va impacta </w:t>
      </w:r>
      <w:r w:rsidR="00765999" w:rsidRPr="00A64892">
        <w:rPr>
          <w:color w:val="auto"/>
          <w:lang w:val="ro-RO"/>
        </w:rPr>
        <w:t>o serie de alte variabile macroeconomice care sunt in</w:t>
      </w:r>
      <w:r w:rsidR="004E76CE" w:rsidRPr="00A64892">
        <w:rPr>
          <w:color w:val="auto"/>
          <w:lang w:val="ro-RO"/>
        </w:rPr>
        <w:t>f</w:t>
      </w:r>
      <w:r w:rsidR="00765999" w:rsidRPr="00A64892">
        <w:rPr>
          <w:color w:val="auto"/>
          <w:lang w:val="ro-RO"/>
        </w:rPr>
        <w:t>luențate de piața muncii, cum ar fi bugetul de asigurări sociale, de șomaj, niv</w:t>
      </w:r>
      <w:r w:rsidR="00DF7F36">
        <w:rPr>
          <w:color w:val="auto"/>
          <w:lang w:val="ro-RO"/>
        </w:rPr>
        <w:t xml:space="preserve">elul consumului, investițiilor </w:t>
      </w:r>
      <w:r w:rsidR="00765999" w:rsidRPr="00A64892">
        <w:rPr>
          <w:color w:val="auto"/>
          <w:lang w:val="ro-RO"/>
        </w:rPr>
        <w:t>etc.</w:t>
      </w:r>
      <w:r w:rsidRPr="00A64892">
        <w:rPr>
          <w:color w:val="auto"/>
          <w:lang w:val="ro-RO"/>
        </w:rPr>
        <w:t xml:space="preserve"> </w:t>
      </w:r>
    </w:p>
    <w:p w:rsidR="00765999" w:rsidRPr="00A64892" w:rsidRDefault="00765999" w:rsidP="000C08F7">
      <w:pPr>
        <w:pStyle w:val="Default"/>
        <w:spacing w:line="276" w:lineRule="auto"/>
        <w:ind w:firstLine="720"/>
        <w:jc w:val="both"/>
        <w:rPr>
          <w:color w:val="auto"/>
          <w:lang w:val="ro-RO"/>
        </w:rPr>
      </w:pPr>
      <w:r w:rsidRPr="00A64892">
        <w:rPr>
          <w:color w:val="auto"/>
          <w:lang w:val="ro-RO"/>
        </w:rPr>
        <w:t xml:space="preserve">În condițiile în care cetățenii români care lucrează în străinătate au șansa de a-și îmbunătăți nivelul de trai și </w:t>
      </w:r>
      <w:r w:rsidR="006A2689" w:rsidRPr="00A64892">
        <w:rPr>
          <w:color w:val="auto"/>
          <w:lang w:val="ro-RO"/>
        </w:rPr>
        <w:t xml:space="preserve">recurg </w:t>
      </w:r>
      <w:r w:rsidR="00DF7F36">
        <w:rPr>
          <w:color w:val="auto"/>
          <w:lang w:val="ro-RO"/>
        </w:rPr>
        <w:t>frecvent</w:t>
      </w:r>
      <w:r w:rsidRPr="00A64892">
        <w:rPr>
          <w:color w:val="auto"/>
          <w:lang w:val="ro-RO"/>
        </w:rPr>
        <w:t xml:space="preserve"> la trimiterea unor </w:t>
      </w:r>
      <w:r w:rsidR="006A2689" w:rsidRPr="00A64892">
        <w:rPr>
          <w:color w:val="auto"/>
          <w:lang w:val="ro-RO"/>
        </w:rPr>
        <w:t xml:space="preserve"> </w:t>
      </w:r>
      <w:r w:rsidRPr="00A64892">
        <w:rPr>
          <w:color w:val="auto"/>
          <w:lang w:val="ro-RO"/>
        </w:rPr>
        <w:t xml:space="preserve">sume </w:t>
      </w:r>
      <w:r w:rsidR="006A2689" w:rsidRPr="00A64892">
        <w:rPr>
          <w:color w:val="auto"/>
          <w:lang w:val="ro-RO"/>
        </w:rPr>
        <w:t xml:space="preserve">de bani </w:t>
      </w:r>
      <w:r w:rsidRPr="00A64892">
        <w:rPr>
          <w:color w:val="auto"/>
          <w:lang w:val="ro-RO"/>
        </w:rPr>
        <w:t>semn</w:t>
      </w:r>
      <w:r w:rsidR="00DF7F36">
        <w:rPr>
          <w:color w:val="auto"/>
          <w:lang w:val="ro-RO"/>
        </w:rPr>
        <w:t>ificative rudelor din țară, s-a</w:t>
      </w:r>
      <w:r w:rsidRPr="00A64892">
        <w:rPr>
          <w:color w:val="auto"/>
          <w:lang w:val="ro-RO"/>
        </w:rPr>
        <w:t xml:space="preserve"> pus problema percepției emigrării ca un fenomen </w:t>
      </w:r>
      <w:r w:rsidR="00DF7F36">
        <w:rPr>
          <w:color w:val="auto"/>
          <w:lang w:val="ro-RO"/>
        </w:rPr>
        <w:t>care conduce la</w:t>
      </w:r>
      <w:r w:rsidRPr="00A64892">
        <w:rPr>
          <w:color w:val="auto"/>
          <w:lang w:val="ro-RO"/>
        </w:rPr>
        <w:t xml:space="preserve"> îmbunătăți</w:t>
      </w:r>
      <w:r w:rsidR="00DF7F36">
        <w:rPr>
          <w:color w:val="auto"/>
          <w:lang w:val="ro-RO"/>
        </w:rPr>
        <w:t>rea</w:t>
      </w:r>
      <w:r w:rsidRPr="00A64892">
        <w:rPr>
          <w:color w:val="auto"/>
          <w:lang w:val="ro-RO"/>
        </w:rPr>
        <w:t xml:space="preserve"> nivelul</w:t>
      </w:r>
      <w:r w:rsidR="00DF7F36">
        <w:rPr>
          <w:color w:val="auto"/>
          <w:lang w:val="ro-RO"/>
        </w:rPr>
        <w:t>ui</w:t>
      </w:r>
      <w:r w:rsidRPr="00A64892">
        <w:rPr>
          <w:color w:val="auto"/>
          <w:lang w:val="ro-RO"/>
        </w:rPr>
        <w:t xml:space="preserve"> de trai (</w:t>
      </w:r>
      <w:r w:rsidR="00B61C70">
        <w:rPr>
          <w:color w:val="auto"/>
          <w:lang w:val="ro-RO"/>
        </w:rPr>
        <w:t>„</w:t>
      </w:r>
      <w:r w:rsidRPr="00A64892">
        <w:rPr>
          <w:color w:val="auto"/>
          <w:lang w:val="ro-RO"/>
        </w:rPr>
        <w:t xml:space="preserve">În condițiile de mai sus, considerați </w:t>
      </w:r>
      <w:r w:rsidR="00B61C70">
        <w:rPr>
          <w:color w:val="auto"/>
          <w:lang w:val="ro-RO"/>
        </w:rPr>
        <w:t>emigrarea românilor în U.E. o</w:t>
      </w:r>
      <w:r w:rsidRPr="00A64892">
        <w:rPr>
          <w:color w:val="auto"/>
          <w:lang w:val="ro-RO"/>
        </w:rPr>
        <w:t xml:space="preserve"> șansă pentru cetățenii români de </w:t>
      </w:r>
      <w:r w:rsidR="00B61C70">
        <w:rPr>
          <w:color w:val="auto"/>
          <w:lang w:val="ro-RO"/>
        </w:rPr>
        <w:t>a-și îmbunătăți nivelul de trai”</w:t>
      </w:r>
      <w:r w:rsidRPr="00A64892">
        <w:rPr>
          <w:color w:val="auto"/>
          <w:lang w:val="ro-RO"/>
        </w:rPr>
        <w:t>).</w:t>
      </w:r>
    </w:p>
    <w:p w:rsidR="000C08F7" w:rsidRPr="00A64892" w:rsidRDefault="000C08F7" w:rsidP="00E24DEE">
      <w:pPr>
        <w:pStyle w:val="Default"/>
        <w:spacing w:line="276" w:lineRule="auto"/>
        <w:jc w:val="both"/>
        <w:rPr>
          <w:b/>
          <w:color w:val="auto"/>
          <w:lang w:val="ro-RO"/>
        </w:rPr>
      </w:pPr>
    </w:p>
    <w:p w:rsidR="00E24DEE" w:rsidRPr="00A64892" w:rsidRDefault="00E24DEE" w:rsidP="00765999">
      <w:pPr>
        <w:pStyle w:val="Default"/>
        <w:spacing w:line="276" w:lineRule="auto"/>
        <w:jc w:val="center"/>
        <w:rPr>
          <w:b/>
          <w:color w:val="auto"/>
          <w:lang w:val="ro-RO"/>
        </w:rPr>
      </w:pPr>
      <w:r w:rsidRPr="00A64892">
        <w:rPr>
          <w:b/>
          <w:noProof/>
          <w:color w:val="auto"/>
        </w:rPr>
        <w:lastRenderedPageBreak/>
        <w:drawing>
          <wp:inline distT="0" distB="0" distL="0" distR="0">
            <wp:extent cx="4996282" cy="2443277"/>
            <wp:effectExtent l="19050" t="0" r="13868"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1105" w:rsidRDefault="00491105" w:rsidP="00DF7F36">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w:t>
      </w:r>
      <w:r w:rsidR="00686D86">
        <w:rPr>
          <w:color w:val="auto"/>
          <w:sz w:val="20"/>
          <w:szCs w:val="20"/>
          <w:lang w:val="ro-RO"/>
        </w:rPr>
        <w:t>l</w:t>
      </w:r>
      <w:r>
        <w:rPr>
          <w:color w:val="auto"/>
          <w:sz w:val="20"/>
          <w:szCs w:val="20"/>
          <w:lang w:val="ro-RO"/>
        </w:rPr>
        <w:t>tatelor cercetării derulate în perioada martie-aprilie 2015</w:t>
      </w:r>
    </w:p>
    <w:p w:rsidR="00DF7F36" w:rsidRDefault="00DF7F36" w:rsidP="003515FD">
      <w:pPr>
        <w:pStyle w:val="Default"/>
        <w:spacing w:line="276" w:lineRule="auto"/>
        <w:ind w:firstLine="720"/>
        <w:jc w:val="both"/>
        <w:rPr>
          <w:color w:val="auto"/>
          <w:lang w:val="ro-RO"/>
        </w:rPr>
      </w:pPr>
    </w:p>
    <w:p w:rsidR="003515FD" w:rsidRPr="00A64892" w:rsidRDefault="008B7A54" w:rsidP="003515FD">
      <w:pPr>
        <w:pStyle w:val="Default"/>
        <w:spacing w:line="276" w:lineRule="auto"/>
        <w:ind w:firstLine="720"/>
        <w:jc w:val="both"/>
        <w:rPr>
          <w:color w:val="auto"/>
          <w:lang w:val="ro-RO"/>
        </w:rPr>
      </w:pPr>
      <w:r>
        <w:rPr>
          <w:color w:val="auto"/>
          <w:lang w:val="ro-RO"/>
        </w:rPr>
        <w:t xml:space="preserve">Comparativ cu doar 8% dintre respondenți, care au percepția conform căreia emigrarea nu conduce la îmbunătățirea nivelului de trai, 68% dintre respondenți susțin că plecarea într-o țară străină le va aduce un trai mai bun cu certitudine, în timp ce 24% se declară oarecum de acord cu afirmația conform căreia emigrarea va conduce la ridicarea nivelului de trai </w:t>
      </w:r>
      <w:r w:rsidR="00C91894" w:rsidRPr="00A64892">
        <w:rPr>
          <w:color w:val="auto"/>
          <w:lang w:val="ro-RO"/>
        </w:rPr>
        <w:t xml:space="preserve">(Fig. </w:t>
      </w:r>
      <w:r w:rsidR="007D1841">
        <w:rPr>
          <w:color w:val="auto"/>
          <w:lang w:val="ro-RO"/>
        </w:rPr>
        <w:t>3.</w:t>
      </w:r>
      <w:r w:rsidR="00C91894" w:rsidRPr="00A64892">
        <w:rPr>
          <w:color w:val="auto"/>
          <w:lang w:val="ro-RO"/>
        </w:rPr>
        <w:t>4)</w:t>
      </w:r>
      <w:r w:rsidR="006A2689" w:rsidRPr="00A64892">
        <w:rPr>
          <w:color w:val="auto"/>
          <w:lang w:val="ro-RO"/>
        </w:rPr>
        <w:t>. Perspectiva se referă atât la românii care au părăsit țara pentru a căuta un mediu favorabil dezvoltării personale și a nivelului de trai</w:t>
      </w:r>
      <w:r>
        <w:rPr>
          <w:color w:val="auto"/>
          <w:lang w:val="ro-RO"/>
        </w:rPr>
        <w:t>,</w:t>
      </w:r>
      <w:r w:rsidR="006A2689" w:rsidRPr="00A64892">
        <w:rPr>
          <w:color w:val="auto"/>
          <w:lang w:val="ro-RO"/>
        </w:rPr>
        <w:t xml:space="preserve"> dar și la românii care au rămas în țară și care primesc sprijin financiar</w:t>
      </w:r>
      <w:r>
        <w:rPr>
          <w:color w:val="auto"/>
          <w:lang w:val="ro-RO"/>
        </w:rPr>
        <w:t xml:space="preserve"> din exterior, pe care îl pot utiliza în diferite scopuri și care se reflectă atât la nivel microeconomic, cât și la nivel de a</w:t>
      </w:r>
      <w:r w:rsidR="00840312">
        <w:rPr>
          <w:color w:val="auto"/>
          <w:lang w:val="ro-RO"/>
        </w:rPr>
        <w:t>n</w:t>
      </w:r>
      <w:r>
        <w:rPr>
          <w:color w:val="auto"/>
          <w:lang w:val="ro-RO"/>
        </w:rPr>
        <w:t>samblu.</w:t>
      </w:r>
    </w:p>
    <w:p w:rsidR="00DF0F59" w:rsidRPr="00A64892" w:rsidRDefault="00DF0F59" w:rsidP="006A2689">
      <w:pPr>
        <w:pStyle w:val="Default"/>
        <w:spacing w:line="276" w:lineRule="auto"/>
        <w:ind w:firstLine="720"/>
        <w:jc w:val="both"/>
        <w:rPr>
          <w:color w:val="auto"/>
          <w:lang w:val="ro-RO"/>
        </w:rPr>
      </w:pPr>
      <w:r w:rsidRPr="00A64892">
        <w:rPr>
          <w:color w:val="auto"/>
          <w:lang w:val="ro-RO"/>
        </w:rPr>
        <w:t xml:space="preserve">Nu de puține ori un anumit tip de comportament atrage și alte comportamente de același tip. </w:t>
      </w:r>
      <w:r w:rsidR="0058393F">
        <w:rPr>
          <w:color w:val="auto"/>
          <w:lang w:val="ro-RO"/>
        </w:rPr>
        <w:t>Pornind de la realizările pe care prietenii, rudel</w:t>
      </w:r>
      <w:r w:rsidR="00DF3431">
        <w:rPr>
          <w:color w:val="auto"/>
          <w:lang w:val="ro-RO"/>
        </w:rPr>
        <w:t xml:space="preserve">e, cunoștințele emigrate le-au </w:t>
      </w:r>
      <w:r w:rsidR="0058393F">
        <w:rPr>
          <w:color w:val="auto"/>
          <w:lang w:val="ro-RO"/>
        </w:rPr>
        <w:t>obținut, mulți dintre cei rămași în țara de origine își pot pune problema imitării comportamentului celor care au luat decizia de a emigra. Pentru a observa dacă există stimulente care pot conduce la luarea mai rapidă a deciziei de a emigra, a fost formulată întrebarea „</w:t>
      </w:r>
      <w:r w:rsidR="00942B53" w:rsidRPr="00A64892">
        <w:rPr>
          <w:color w:val="auto"/>
          <w:lang w:val="ro-RO"/>
        </w:rPr>
        <w:t xml:space="preserve">Aveți rude/cunoștințe care s-au mutat </w:t>
      </w:r>
      <w:r w:rsidR="0058393F">
        <w:rPr>
          <w:color w:val="auto"/>
          <w:lang w:val="ro-RO"/>
        </w:rPr>
        <w:t>în altă țară și dacă da, unde?”</w:t>
      </w:r>
      <w:r w:rsidR="00942B53" w:rsidRPr="00A64892">
        <w:rPr>
          <w:color w:val="auto"/>
          <w:lang w:val="ro-RO"/>
        </w:rPr>
        <w:t>.</w:t>
      </w:r>
    </w:p>
    <w:p w:rsidR="006A2689" w:rsidRPr="00A64892" w:rsidRDefault="006A2689" w:rsidP="006A2689">
      <w:pPr>
        <w:pStyle w:val="Default"/>
        <w:spacing w:line="276" w:lineRule="auto"/>
        <w:ind w:firstLine="720"/>
        <w:jc w:val="both"/>
        <w:rPr>
          <w:b/>
          <w:color w:val="auto"/>
          <w:lang w:val="ro-RO"/>
        </w:rPr>
      </w:pPr>
    </w:p>
    <w:p w:rsidR="006F44B2" w:rsidRPr="00A64892" w:rsidRDefault="006F44B2" w:rsidP="003A5C7C">
      <w:pPr>
        <w:pStyle w:val="Default"/>
        <w:spacing w:line="276" w:lineRule="auto"/>
        <w:jc w:val="center"/>
        <w:rPr>
          <w:b/>
          <w:color w:val="auto"/>
          <w:lang w:val="ro-RO"/>
        </w:rPr>
      </w:pPr>
      <w:r w:rsidRPr="00A64892">
        <w:rPr>
          <w:b/>
          <w:noProof/>
          <w:color w:val="auto"/>
        </w:rPr>
        <w:drawing>
          <wp:inline distT="0" distB="0" distL="0" distR="0">
            <wp:extent cx="5464454" cy="2114093"/>
            <wp:effectExtent l="19050" t="0" r="21946" b="457"/>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1105" w:rsidRDefault="003A5C7C" w:rsidP="00491105">
      <w:pPr>
        <w:pStyle w:val="Default"/>
        <w:spacing w:line="276" w:lineRule="auto"/>
        <w:ind w:firstLine="720"/>
        <w:jc w:val="both"/>
        <w:rPr>
          <w:color w:val="auto"/>
          <w:sz w:val="20"/>
          <w:szCs w:val="20"/>
          <w:lang w:val="ro-RO"/>
        </w:rPr>
      </w:pPr>
      <w:r w:rsidRPr="00A64892">
        <w:rPr>
          <w:color w:val="auto"/>
          <w:sz w:val="20"/>
          <w:szCs w:val="20"/>
          <w:lang w:val="ro-RO"/>
        </w:rPr>
        <w:t xml:space="preserve">  </w:t>
      </w:r>
      <w:r w:rsidR="00491105" w:rsidRPr="00A64892">
        <w:rPr>
          <w:color w:val="auto"/>
          <w:sz w:val="20"/>
          <w:szCs w:val="20"/>
          <w:lang w:val="ro-RO"/>
        </w:rPr>
        <w:t xml:space="preserve">Sursa: </w:t>
      </w:r>
      <w:r w:rsidR="00491105">
        <w:rPr>
          <w:color w:val="auto"/>
          <w:sz w:val="20"/>
          <w:szCs w:val="20"/>
          <w:lang w:val="ro-RO"/>
        </w:rPr>
        <w:t>prelucrări ale autorilor pe baza rezu</w:t>
      </w:r>
      <w:r w:rsidR="00184B6A">
        <w:rPr>
          <w:color w:val="auto"/>
          <w:sz w:val="20"/>
          <w:szCs w:val="20"/>
          <w:lang w:val="ro-RO"/>
        </w:rPr>
        <w:t>l</w:t>
      </w:r>
      <w:r w:rsidR="00491105">
        <w:rPr>
          <w:color w:val="auto"/>
          <w:sz w:val="20"/>
          <w:szCs w:val="20"/>
          <w:lang w:val="ro-RO"/>
        </w:rPr>
        <w:t>tatelor cercetării derulate în perioada martie-aprilie 2015</w:t>
      </w:r>
    </w:p>
    <w:p w:rsidR="00992F49" w:rsidRPr="00A64892" w:rsidRDefault="00992F49" w:rsidP="00491105">
      <w:pPr>
        <w:pStyle w:val="Default"/>
        <w:spacing w:line="276" w:lineRule="auto"/>
        <w:jc w:val="both"/>
        <w:rPr>
          <w:color w:val="auto"/>
          <w:sz w:val="20"/>
          <w:szCs w:val="20"/>
          <w:lang w:val="ro-RO"/>
        </w:rPr>
      </w:pPr>
    </w:p>
    <w:p w:rsidR="00992F49" w:rsidRPr="00A64892" w:rsidRDefault="00992F49" w:rsidP="00992F49">
      <w:pPr>
        <w:pStyle w:val="Default"/>
        <w:spacing w:line="276" w:lineRule="auto"/>
        <w:ind w:firstLine="720"/>
        <w:jc w:val="both"/>
        <w:rPr>
          <w:color w:val="auto"/>
          <w:lang w:val="ro-RO"/>
        </w:rPr>
      </w:pPr>
      <w:r w:rsidRPr="00A64892">
        <w:rPr>
          <w:color w:val="auto"/>
          <w:lang w:val="ro-RO"/>
        </w:rPr>
        <w:t>În primul rând</w:t>
      </w:r>
      <w:r w:rsidR="0058393F">
        <w:rPr>
          <w:color w:val="auto"/>
          <w:lang w:val="ro-RO"/>
        </w:rPr>
        <w:t>,</w:t>
      </w:r>
      <w:r w:rsidRPr="00A64892">
        <w:rPr>
          <w:color w:val="auto"/>
          <w:lang w:val="ro-RO"/>
        </w:rPr>
        <w:t xml:space="preserve"> rezultatele atrag atenția prin ponderea ridicată a pe</w:t>
      </w:r>
      <w:r w:rsidR="00B85DA3" w:rsidRPr="00A64892">
        <w:rPr>
          <w:color w:val="auto"/>
          <w:lang w:val="ro-RO"/>
        </w:rPr>
        <w:t>rsoanelor care au rude plecate</w:t>
      </w:r>
      <w:r w:rsidR="0058393F">
        <w:rPr>
          <w:color w:val="auto"/>
          <w:lang w:val="ro-RO"/>
        </w:rPr>
        <w:t xml:space="preserve"> în altă țară (</w:t>
      </w:r>
      <w:r w:rsidRPr="00A64892">
        <w:rPr>
          <w:color w:val="auto"/>
          <w:lang w:val="ro-RO"/>
        </w:rPr>
        <w:t>84% dintre persoanele care au răspuns</w:t>
      </w:r>
      <w:r w:rsidR="0058393F">
        <w:rPr>
          <w:color w:val="auto"/>
          <w:lang w:val="ro-RO"/>
        </w:rPr>
        <w:t xml:space="preserve">), după cum se poate observa și in Fig. </w:t>
      </w:r>
      <w:r w:rsidR="00D0046F">
        <w:rPr>
          <w:color w:val="auto"/>
          <w:lang w:val="ro-RO"/>
        </w:rPr>
        <w:t>3.</w:t>
      </w:r>
      <w:r w:rsidR="0058393F">
        <w:rPr>
          <w:color w:val="auto"/>
          <w:lang w:val="ro-RO"/>
        </w:rPr>
        <w:t>5</w:t>
      </w:r>
      <w:r w:rsidRPr="00A64892">
        <w:rPr>
          <w:color w:val="auto"/>
          <w:lang w:val="ro-RO"/>
        </w:rPr>
        <w:t>. Dintre acestea, 36</w:t>
      </w:r>
      <w:r w:rsidR="0058393F">
        <w:rPr>
          <w:color w:val="auto"/>
          <w:lang w:val="ro-RO"/>
        </w:rPr>
        <w:t>% au rude în Italia, 34%</w:t>
      </w:r>
      <w:r w:rsidRPr="00A64892">
        <w:rPr>
          <w:color w:val="auto"/>
          <w:lang w:val="ro-RO"/>
        </w:rPr>
        <w:t xml:space="preserve"> în Spania, 31% în Marea Britanie, iar în Germania au rude sau cunoștințe 25% dintre indivizi. </w:t>
      </w:r>
      <w:r w:rsidR="0058393F">
        <w:rPr>
          <w:color w:val="auto"/>
          <w:lang w:val="ro-RO"/>
        </w:rPr>
        <w:t>A</w:t>
      </w:r>
      <w:r w:rsidRPr="00A64892">
        <w:rPr>
          <w:color w:val="auto"/>
          <w:lang w:val="ro-RO"/>
        </w:rPr>
        <w:t xml:space="preserve">cestea sunt țările cu care România are schimburi comerciale </w:t>
      </w:r>
      <w:r w:rsidR="0058393F">
        <w:rPr>
          <w:color w:val="auto"/>
          <w:lang w:val="ro-RO"/>
        </w:rPr>
        <w:t>intense</w:t>
      </w:r>
      <w:r w:rsidRPr="00A64892">
        <w:rPr>
          <w:color w:val="auto"/>
          <w:lang w:val="ro-RO"/>
        </w:rPr>
        <w:t>,</w:t>
      </w:r>
      <w:r w:rsidR="0058393F">
        <w:rPr>
          <w:color w:val="auto"/>
          <w:lang w:val="ro-RO"/>
        </w:rPr>
        <w:t xml:space="preserve"> iar în cazul Spaniei și Italiei, limba nu reprezintă un impediment, fiind de origine latină</w:t>
      </w:r>
      <w:r w:rsidR="00614B5B">
        <w:rPr>
          <w:color w:val="auto"/>
          <w:lang w:val="ro-RO"/>
        </w:rPr>
        <w:t xml:space="preserve"> ca și limba natală</w:t>
      </w:r>
      <w:r w:rsidRPr="00A64892">
        <w:rPr>
          <w:color w:val="auto"/>
          <w:lang w:val="ro-RO"/>
        </w:rPr>
        <w:t xml:space="preserve">. </w:t>
      </w:r>
      <w:r w:rsidR="002D335F" w:rsidRPr="00A64892">
        <w:rPr>
          <w:color w:val="auto"/>
          <w:lang w:val="ro-RO"/>
        </w:rPr>
        <w:t>Italia și Spania, țările de pe primele două locuri</w:t>
      </w:r>
      <w:r w:rsidR="00614B5B">
        <w:rPr>
          <w:color w:val="auto"/>
          <w:lang w:val="ro-RO"/>
        </w:rPr>
        <w:t>, prezintă similitudini culturale, ceea ce poate explica de ce</w:t>
      </w:r>
      <w:r w:rsidR="002D335F" w:rsidRPr="00A64892">
        <w:rPr>
          <w:color w:val="auto"/>
          <w:lang w:val="ro-RO"/>
        </w:rPr>
        <w:t xml:space="preserve"> </w:t>
      </w:r>
      <w:r w:rsidR="001827CA" w:rsidRPr="00A64892">
        <w:rPr>
          <w:color w:val="auto"/>
          <w:lang w:val="ro-RO"/>
        </w:rPr>
        <w:t>au atras</w:t>
      </w:r>
      <w:r w:rsidR="002D335F" w:rsidRPr="00A64892">
        <w:rPr>
          <w:color w:val="auto"/>
          <w:lang w:val="ro-RO"/>
        </w:rPr>
        <w:t xml:space="preserve"> </w:t>
      </w:r>
      <w:r w:rsidR="00D719E4" w:rsidRPr="00A64892">
        <w:rPr>
          <w:color w:val="auto"/>
          <w:lang w:val="ro-RO"/>
        </w:rPr>
        <w:t xml:space="preserve">un procent semnificativ </w:t>
      </w:r>
      <w:r w:rsidR="00614B5B">
        <w:rPr>
          <w:color w:val="auto"/>
          <w:lang w:val="ro-RO"/>
        </w:rPr>
        <w:t xml:space="preserve">de </w:t>
      </w:r>
      <w:r w:rsidR="00D719E4" w:rsidRPr="00A64892">
        <w:rPr>
          <w:color w:val="auto"/>
          <w:lang w:val="ro-RO"/>
        </w:rPr>
        <w:t>emigranți</w:t>
      </w:r>
      <w:r w:rsidR="00614B5B">
        <w:rPr>
          <w:color w:val="auto"/>
          <w:lang w:val="ro-RO"/>
        </w:rPr>
        <w:t xml:space="preserve"> provenind </w:t>
      </w:r>
      <w:r w:rsidR="00D719E4" w:rsidRPr="00A64892">
        <w:rPr>
          <w:color w:val="auto"/>
          <w:lang w:val="ro-RO"/>
        </w:rPr>
        <w:t xml:space="preserve">din </w:t>
      </w:r>
      <w:r w:rsidR="00614B5B">
        <w:rPr>
          <w:color w:val="auto"/>
          <w:lang w:val="ro-RO"/>
        </w:rPr>
        <w:t>România</w:t>
      </w:r>
      <w:r w:rsidR="00D719E4" w:rsidRPr="00A64892">
        <w:rPr>
          <w:color w:val="auto"/>
          <w:lang w:val="ro-RO"/>
        </w:rPr>
        <w:t>.</w:t>
      </w:r>
    </w:p>
    <w:p w:rsidR="001F39C9" w:rsidRPr="00A64892" w:rsidRDefault="005A06B3" w:rsidP="00A62999">
      <w:pPr>
        <w:pStyle w:val="Default"/>
        <w:spacing w:line="276" w:lineRule="auto"/>
        <w:ind w:firstLine="720"/>
        <w:jc w:val="both"/>
        <w:rPr>
          <w:lang w:val="ro-RO"/>
        </w:rPr>
      </w:pPr>
      <w:r>
        <w:rPr>
          <w:color w:val="auto"/>
          <w:lang w:val="ro-RO"/>
        </w:rPr>
        <w:t>Pornind de la mirajul pe care îl oferă meleagurile străine și de la experiența pozitivă a cunoștințelor sau rudelor care au căpătat statutul de imigrant, 76,38% dintre tinerii chestionați răspund afirmativ la întrebarea „</w:t>
      </w:r>
      <w:r w:rsidR="00A62999" w:rsidRPr="00A64892">
        <w:rPr>
          <w:bCs/>
          <w:lang w:val="ro-RO"/>
        </w:rPr>
        <w:t>V-ați gândit vreodată să emigrați?</w:t>
      </w:r>
      <w:r w:rsidR="00A62999" w:rsidRPr="00A64892">
        <w:rPr>
          <w:color w:val="auto"/>
          <w:lang w:val="ro-RO"/>
        </w:rPr>
        <w:t>”</w:t>
      </w:r>
      <w:r w:rsidR="001D4500">
        <w:rPr>
          <w:color w:val="auto"/>
          <w:lang w:val="ro-RO"/>
        </w:rPr>
        <w:t>. Doar 23,62% afi</w:t>
      </w:r>
      <w:r>
        <w:rPr>
          <w:color w:val="auto"/>
          <w:lang w:val="ro-RO"/>
        </w:rPr>
        <w:t xml:space="preserve">rmă că nu s-au gândit niciodată să emigreze, după cum se poate observa în Fig. </w:t>
      </w:r>
      <w:r w:rsidR="00D0046F">
        <w:rPr>
          <w:color w:val="auto"/>
          <w:lang w:val="ro-RO"/>
        </w:rPr>
        <w:t>3.</w:t>
      </w:r>
      <w:r>
        <w:rPr>
          <w:color w:val="auto"/>
          <w:lang w:val="ro-RO"/>
        </w:rPr>
        <w:t>6.</w:t>
      </w:r>
    </w:p>
    <w:p w:rsidR="00D96EFD" w:rsidRPr="00A64892" w:rsidRDefault="00D96EFD" w:rsidP="00E24DEE">
      <w:pPr>
        <w:pStyle w:val="Default"/>
        <w:spacing w:line="276" w:lineRule="auto"/>
        <w:jc w:val="both"/>
        <w:rPr>
          <w:b/>
          <w:color w:val="auto"/>
          <w:lang w:val="ro-RO"/>
        </w:rPr>
      </w:pPr>
    </w:p>
    <w:p w:rsidR="006F44B2" w:rsidRPr="00A64892" w:rsidRDefault="006F44B2" w:rsidP="00636DD1">
      <w:pPr>
        <w:pStyle w:val="Default"/>
        <w:spacing w:line="276" w:lineRule="auto"/>
        <w:jc w:val="center"/>
        <w:rPr>
          <w:b/>
          <w:color w:val="auto"/>
          <w:lang w:val="ro-RO"/>
        </w:rPr>
      </w:pPr>
      <w:r w:rsidRPr="00A64892">
        <w:rPr>
          <w:b/>
          <w:noProof/>
          <w:color w:val="auto"/>
        </w:rPr>
        <w:drawing>
          <wp:inline distT="0" distB="0" distL="0" distR="0">
            <wp:extent cx="3986784" cy="1755648"/>
            <wp:effectExtent l="19050" t="0" r="13716"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1105" w:rsidRDefault="00491105" w:rsidP="005A06B3">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w:t>
      </w:r>
      <w:r w:rsidR="001F4A3F">
        <w:rPr>
          <w:color w:val="auto"/>
          <w:sz w:val="20"/>
          <w:szCs w:val="20"/>
          <w:lang w:val="ro-RO"/>
        </w:rPr>
        <w:t>l</w:t>
      </w:r>
      <w:r>
        <w:rPr>
          <w:color w:val="auto"/>
          <w:sz w:val="20"/>
          <w:szCs w:val="20"/>
          <w:lang w:val="ro-RO"/>
        </w:rPr>
        <w:t>tatelor cercetării derulate în perioada martie-aprilie 2015</w:t>
      </w:r>
    </w:p>
    <w:p w:rsidR="00E16D91" w:rsidRPr="00A64892" w:rsidRDefault="00E16D91" w:rsidP="00E24DEE">
      <w:pPr>
        <w:pStyle w:val="Default"/>
        <w:spacing w:line="276" w:lineRule="auto"/>
        <w:jc w:val="both"/>
        <w:rPr>
          <w:color w:val="auto"/>
          <w:sz w:val="20"/>
          <w:szCs w:val="20"/>
          <w:lang w:val="ro-RO"/>
        </w:rPr>
      </w:pPr>
    </w:p>
    <w:p w:rsidR="00DF0F59" w:rsidRPr="00A64892" w:rsidRDefault="00DF0F59" w:rsidP="00E24DEE">
      <w:pPr>
        <w:pStyle w:val="Default"/>
        <w:spacing w:line="276" w:lineRule="auto"/>
        <w:jc w:val="both"/>
        <w:rPr>
          <w:color w:val="auto"/>
          <w:sz w:val="20"/>
          <w:szCs w:val="20"/>
          <w:lang w:val="ro-RO"/>
        </w:rPr>
      </w:pPr>
    </w:p>
    <w:p w:rsidR="00236C52" w:rsidRPr="00A64892" w:rsidRDefault="00236C52" w:rsidP="00236C52">
      <w:pPr>
        <w:pStyle w:val="Default"/>
        <w:spacing w:line="276" w:lineRule="auto"/>
        <w:ind w:firstLine="720"/>
        <w:jc w:val="both"/>
        <w:rPr>
          <w:color w:val="auto"/>
          <w:lang w:val="ro-RO"/>
        </w:rPr>
      </w:pPr>
      <w:r w:rsidRPr="00A64892">
        <w:rPr>
          <w:color w:val="auto"/>
          <w:lang w:val="ro-RO"/>
        </w:rPr>
        <w:t>Este interesantă observația că deși doar 58% dintre respondenți sunt în mare parte de acord că emigrarea constituie o șansă pentru dezvoltarea societății românești, o pondere covârșitoare de 76,38% dintre respondenți s-au gândit să emigreze. Aceste rezultate pot fi interpretate în sensul în care cei care vor să emigreze nu o fac neapărat crezând într-o dezvoltare a societății românești, ci mai degrabă ca o îmbunătățire a situației personale</w:t>
      </w:r>
      <w:r w:rsidR="001F39C9" w:rsidRPr="00A64892">
        <w:rPr>
          <w:color w:val="auto"/>
          <w:lang w:val="ro-RO"/>
        </w:rPr>
        <w:t xml:space="preserve"> și a nivelului de trai (68% dintre respondenți consideră emigrarea ca pe o șansă pentru îmbunătățirea nivelului de trai)</w:t>
      </w:r>
      <w:r w:rsidRPr="00A64892">
        <w:rPr>
          <w:color w:val="auto"/>
          <w:lang w:val="ro-RO"/>
        </w:rPr>
        <w:t>.</w:t>
      </w:r>
    </w:p>
    <w:p w:rsidR="00AB3F13" w:rsidRPr="00A64892" w:rsidRDefault="00AB3F13" w:rsidP="00AB3F13">
      <w:pPr>
        <w:pStyle w:val="Default"/>
        <w:spacing w:line="276" w:lineRule="auto"/>
        <w:jc w:val="center"/>
        <w:rPr>
          <w:b/>
          <w:color w:val="auto"/>
          <w:lang w:val="ro-RO"/>
        </w:rPr>
      </w:pPr>
      <w:r w:rsidRPr="00A64892">
        <w:rPr>
          <w:b/>
          <w:noProof/>
          <w:color w:val="auto"/>
        </w:rPr>
        <w:lastRenderedPageBreak/>
        <w:drawing>
          <wp:inline distT="0" distB="0" distL="0" distR="0">
            <wp:extent cx="5193792" cy="2421331"/>
            <wp:effectExtent l="19050" t="0" r="25908"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1105" w:rsidRDefault="00491105" w:rsidP="00491105">
      <w:pPr>
        <w:pStyle w:val="Default"/>
        <w:spacing w:line="276" w:lineRule="auto"/>
        <w:jc w:val="both"/>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w:t>
      </w:r>
      <w:r w:rsidR="001F4A3F">
        <w:rPr>
          <w:color w:val="auto"/>
          <w:sz w:val="20"/>
          <w:szCs w:val="20"/>
          <w:lang w:val="ro-RO"/>
        </w:rPr>
        <w:t>l</w:t>
      </w:r>
      <w:r>
        <w:rPr>
          <w:color w:val="auto"/>
          <w:sz w:val="20"/>
          <w:szCs w:val="20"/>
          <w:lang w:val="ro-RO"/>
        </w:rPr>
        <w:t>tatelor cercetării derulate în perioada martie-aprilie 2015</w:t>
      </w:r>
    </w:p>
    <w:p w:rsidR="00007574" w:rsidRPr="00A64892" w:rsidRDefault="00007574" w:rsidP="00AB3F13">
      <w:pPr>
        <w:pStyle w:val="Default"/>
        <w:spacing w:line="276" w:lineRule="auto"/>
        <w:jc w:val="both"/>
        <w:rPr>
          <w:color w:val="auto"/>
          <w:sz w:val="20"/>
          <w:szCs w:val="20"/>
          <w:lang w:val="ro-RO"/>
        </w:rPr>
      </w:pPr>
    </w:p>
    <w:p w:rsidR="00AB3F13" w:rsidRPr="00A64892" w:rsidRDefault="00AB3F13" w:rsidP="00007574">
      <w:pPr>
        <w:pStyle w:val="Default"/>
        <w:spacing w:line="276" w:lineRule="auto"/>
        <w:jc w:val="both"/>
        <w:rPr>
          <w:b/>
          <w:color w:val="auto"/>
          <w:lang w:val="ro-RO"/>
        </w:rPr>
      </w:pPr>
      <w:r w:rsidRPr="00A64892">
        <w:rPr>
          <w:color w:val="auto"/>
          <w:sz w:val="20"/>
          <w:szCs w:val="20"/>
          <w:lang w:val="ro-RO"/>
        </w:rPr>
        <w:tab/>
      </w:r>
      <w:r w:rsidRPr="00A64892">
        <w:rPr>
          <w:color w:val="auto"/>
          <w:lang w:val="ro-RO"/>
        </w:rPr>
        <w:t xml:space="preserve">Dintre respondenții care sunt </w:t>
      </w:r>
      <w:r w:rsidR="005A06B3">
        <w:rPr>
          <w:color w:val="auto"/>
          <w:lang w:val="ro-RO"/>
        </w:rPr>
        <w:tab/>
        <w:t>„</w:t>
      </w:r>
      <w:r w:rsidRPr="00A64892">
        <w:rPr>
          <w:color w:val="auto"/>
          <w:lang w:val="ro-RO"/>
        </w:rPr>
        <w:t>foarte de acord</w:t>
      </w:r>
      <w:r w:rsidR="00007574" w:rsidRPr="00A64892">
        <w:rPr>
          <w:color w:val="auto"/>
          <w:lang w:val="ro-RO"/>
        </w:rPr>
        <w:t>”</w:t>
      </w:r>
      <w:r w:rsidRPr="00A64892">
        <w:rPr>
          <w:color w:val="auto"/>
          <w:lang w:val="ro-RO"/>
        </w:rPr>
        <w:t xml:space="preserve"> că circulația liberă în UE este o șansă de dezvoltare a țării</w:t>
      </w:r>
      <w:r w:rsidR="00007574" w:rsidRPr="00A64892">
        <w:rPr>
          <w:color w:val="auto"/>
          <w:lang w:val="ro-RO"/>
        </w:rPr>
        <w:t xml:space="preserve"> (37%), o pondere majoritară (de 27%) este în „aco</w:t>
      </w:r>
      <w:r w:rsidR="005A06B3">
        <w:rPr>
          <w:color w:val="auto"/>
          <w:lang w:val="ro-RO"/>
        </w:rPr>
        <w:t>r</w:t>
      </w:r>
      <w:r w:rsidR="00007574" w:rsidRPr="00A64892">
        <w:rPr>
          <w:color w:val="auto"/>
          <w:lang w:val="ro-RO"/>
        </w:rPr>
        <w:t>d total” că libera circulație înseamnă îmbunătățirea nivelului de trai</w:t>
      </w:r>
      <w:r w:rsidR="00F31583" w:rsidRPr="00A64892">
        <w:rPr>
          <w:color w:val="auto"/>
          <w:lang w:val="ro-RO"/>
        </w:rPr>
        <w:t xml:space="preserve"> (Fig. </w:t>
      </w:r>
      <w:r w:rsidR="00D0046F">
        <w:rPr>
          <w:color w:val="auto"/>
          <w:lang w:val="ro-RO"/>
        </w:rPr>
        <w:t>3.</w:t>
      </w:r>
      <w:r w:rsidR="00F31583" w:rsidRPr="00A64892">
        <w:rPr>
          <w:color w:val="auto"/>
          <w:lang w:val="ro-RO"/>
        </w:rPr>
        <w:t>7)</w:t>
      </w:r>
      <w:r w:rsidR="00007574" w:rsidRPr="00A64892">
        <w:rPr>
          <w:color w:val="auto"/>
          <w:lang w:val="ro-RO"/>
        </w:rPr>
        <w:t>.</w:t>
      </w:r>
    </w:p>
    <w:p w:rsidR="00B85DA3" w:rsidRPr="00A64892" w:rsidRDefault="005A06B3" w:rsidP="00236C52">
      <w:pPr>
        <w:pStyle w:val="Default"/>
        <w:spacing w:line="276" w:lineRule="auto"/>
        <w:ind w:firstLine="720"/>
        <w:jc w:val="both"/>
        <w:rPr>
          <w:color w:val="auto"/>
          <w:lang w:val="ro-RO"/>
        </w:rPr>
      </w:pPr>
      <w:r>
        <w:rPr>
          <w:color w:val="auto"/>
          <w:lang w:val="ro-RO"/>
        </w:rPr>
        <w:t>Ultime</w:t>
      </w:r>
      <w:r w:rsidR="00B85DA3" w:rsidRPr="00A64892">
        <w:rPr>
          <w:color w:val="auto"/>
          <w:lang w:val="ro-RO"/>
        </w:rPr>
        <w:t>le două întrebări de mai sus au fost analizate și cu ajutorul unui grafic de corelare înt</w:t>
      </w:r>
      <w:r w:rsidR="00042E24" w:rsidRPr="00A64892">
        <w:rPr>
          <w:color w:val="auto"/>
          <w:lang w:val="ro-RO"/>
        </w:rPr>
        <w:t>re răspunsurile acestora (Fig.</w:t>
      </w:r>
      <w:r w:rsidR="009E283E">
        <w:rPr>
          <w:color w:val="auto"/>
          <w:lang w:val="ro-RO"/>
        </w:rPr>
        <w:t xml:space="preserve"> 3.</w:t>
      </w:r>
      <w:r w:rsidR="00042E24" w:rsidRPr="00A64892">
        <w:rPr>
          <w:color w:val="auto"/>
          <w:lang w:val="ro-RO"/>
        </w:rPr>
        <w:t>8</w:t>
      </w:r>
      <w:r w:rsidR="00B85DA3" w:rsidRPr="00A64892">
        <w:rPr>
          <w:color w:val="auto"/>
          <w:lang w:val="ro-RO"/>
        </w:rPr>
        <w:t>).</w:t>
      </w:r>
    </w:p>
    <w:p w:rsidR="009E283E" w:rsidRPr="00A64892" w:rsidRDefault="003D348A" w:rsidP="009E283E">
      <w:pPr>
        <w:pStyle w:val="Default"/>
        <w:spacing w:line="276" w:lineRule="auto"/>
        <w:jc w:val="center"/>
        <w:rPr>
          <w:b/>
          <w:color w:val="auto"/>
          <w:lang w:val="ro-RO"/>
        </w:rPr>
      </w:pPr>
      <w:r w:rsidRPr="00A64892">
        <w:rPr>
          <w:b/>
          <w:noProof/>
          <w:color w:val="auto"/>
        </w:rPr>
        <w:drawing>
          <wp:inline distT="0" distB="0" distL="0" distR="0">
            <wp:extent cx="4849977" cy="1645920"/>
            <wp:effectExtent l="19050" t="0" r="26823"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1105" w:rsidRDefault="00491105" w:rsidP="005A06B3">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rezutatelor cercetării derulate în perioada martie-aprilie 2015</w:t>
      </w:r>
    </w:p>
    <w:p w:rsidR="003D348A" w:rsidRPr="00A64892" w:rsidRDefault="003D348A" w:rsidP="00236C52">
      <w:pPr>
        <w:pStyle w:val="Default"/>
        <w:spacing w:line="276" w:lineRule="auto"/>
        <w:ind w:firstLine="720"/>
        <w:jc w:val="both"/>
        <w:rPr>
          <w:color w:val="auto"/>
          <w:lang w:val="ro-RO"/>
        </w:rPr>
      </w:pPr>
    </w:p>
    <w:p w:rsidR="003D348A" w:rsidRPr="00A64892" w:rsidRDefault="005A06B3" w:rsidP="00236C52">
      <w:pPr>
        <w:pStyle w:val="Default"/>
        <w:spacing w:line="276" w:lineRule="auto"/>
        <w:ind w:firstLine="720"/>
        <w:jc w:val="both"/>
        <w:rPr>
          <w:color w:val="auto"/>
          <w:lang w:val="ro-RO"/>
        </w:rPr>
      </w:pPr>
      <w:r>
        <w:rPr>
          <w:color w:val="auto"/>
          <w:lang w:val="ro-RO"/>
        </w:rPr>
        <w:t xml:space="preserve">Din totalul de 84% dintre </w:t>
      </w:r>
      <w:r w:rsidR="00B85DA3" w:rsidRPr="00A64892">
        <w:rPr>
          <w:color w:val="auto"/>
          <w:lang w:val="ro-RO"/>
        </w:rPr>
        <w:t>persoane</w:t>
      </w:r>
      <w:r>
        <w:rPr>
          <w:color w:val="auto"/>
          <w:lang w:val="ro-RO"/>
        </w:rPr>
        <w:t>le</w:t>
      </w:r>
      <w:r w:rsidR="00B85DA3" w:rsidRPr="00A64892">
        <w:rPr>
          <w:color w:val="auto"/>
          <w:lang w:val="ro-RO"/>
        </w:rPr>
        <w:t xml:space="preserve"> care au rude/cunoștințe plecate peste graniț</w:t>
      </w:r>
      <w:r>
        <w:rPr>
          <w:color w:val="auto"/>
          <w:lang w:val="ro-RO"/>
        </w:rPr>
        <w:t>ă, 67% s-au gândit să emigreze</w:t>
      </w:r>
      <w:r w:rsidR="00B85DA3" w:rsidRPr="00A64892">
        <w:rPr>
          <w:color w:val="auto"/>
          <w:lang w:val="ro-RO"/>
        </w:rPr>
        <w:t xml:space="preserve"> și numai 17% nu </w:t>
      </w:r>
      <w:r>
        <w:rPr>
          <w:color w:val="auto"/>
          <w:lang w:val="ro-RO"/>
        </w:rPr>
        <w:t>au luat în calcul această opțiune</w:t>
      </w:r>
      <w:r w:rsidR="00B85DA3" w:rsidRPr="00A64892">
        <w:rPr>
          <w:color w:val="auto"/>
          <w:lang w:val="ro-RO"/>
        </w:rPr>
        <w:t xml:space="preserve">. </w:t>
      </w:r>
      <w:r w:rsidR="007D5826" w:rsidRPr="00A64892">
        <w:rPr>
          <w:color w:val="auto"/>
          <w:lang w:val="ro-RO"/>
        </w:rPr>
        <w:t>Din cei 16% dintre respondenții care nu au rude care trăiesc în străin</w:t>
      </w:r>
      <w:r>
        <w:rPr>
          <w:color w:val="auto"/>
          <w:lang w:val="ro-RO"/>
        </w:rPr>
        <w:t>ătate, o pondere majoritară s-a</w:t>
      </w:r>
      <w:r w:rsidR="007D5826" w:rsidRPr="00A64892">
        <w:rPr>
          <w:color w:val="auto"/>
          <w:lang w:val="ro-RO"/>
        </w:rPr>
        <w:t xml:space="preserve"> gândit de asemenea să părăsească România. Rezultatul arată o dorință generală de a emigra printre tinerii din România</w:t>
      </w:r>
      <w:r>
        <w:rPr>
          <w:color w:val="auto"/>
          <w:lang w:val="ro-RO"/>
        </w:rPr>
        <w:t>,</w:t>
      </w:r>
      <w:r w:rsidR="007D5826" w:rsidRPr="00A64892">
        <w:rPr>
          <w:color w:val="auto"/>
          <w:lang w:val="ro-RO"/>
        </w:rPr>
        <w:t xml:space="preserve"> </w:t>
      </w:r>
      <w:r w:rsidR="00222A2F" w:rsidRPr="00A64892">
        <w:rPr>
          <w:color w:val="auto"/>
          <w:lang w:val="ro-RO"/>
        </w:rPr>
        <w:t>ce</w:t>
      </w:r>
      <w:r>
        <w:rPr>
          <w:color w:val="auto"/>
          <w:lang w:val="ro-RO"/>
        </w:rPr>
        <w:t>ea ce</w:t>
      </w:r>
      <w:r w:rsidR="007D5826" w:rsidRPr="00A64892">
        <w:rPr>
          <w:color w:val="auto"/>
          <w:lang w:val="ro-RO"/>
        </w:rPr>
        <w:t xml:space="preserve"> poate </w:t>
      </w:r>
      <w:r>
        <w:rPr>
          <w:color w:val="auto"/>
          <w:lang w:val="ro-RO"/>
        </w:rPr>
        <w:t>genera u</w:t>
      </w:r>
      <w:r w:rsidR="007D5826" w:rsidRPr="00A64892">
        <w:rPr>
          <w:color w:val="auto"/>
          <w:lang w:val="ro-RO"/>
        </w:rPr>
        <w:t xml:space="preserve">n dezechilibru de ansamblu la nivelul întregii societăți dacă </w:t>
      </w:r>
      <w:r>
        <w:rPr>
          <w:color w:val="auto"/>
          <w:lang w:val="ro-RO"/>
        </w:rPr>
        <w:t xml:space="preserve">subiectul </w:t>
      </w:r>
      <w:r w:rsidR="007D5826" w:rsidRPr="00A64892">
        <w:rPr>
          <w:color w:val="auto"/>
          <w:lang w:val="ro-RO"/>
        </w:rPr>
        <w:t>nu este tratat cu atenție</w:t>
      </w:r>
      <w:r>
        <w:rPr>
          <w:color w:val="auto"/>
          <w:lang w:val="ro-RO"/>
        </w:rPr>
        <w:t xml:space="preserve"> maximă</w:t>
      </w:r>
      <w:r w:rsidR="007D5826" w:rsidRPr="00A64892">
        <w:rPr>
          <w:color w:val="auto"/>
          <w:lang w:val="ro-RO"/>
        </w:rPr>
        <w:t>.</w:t>
      </w:r>
    </w:p>
    <w:p w:rsidR="00236C52" w:rsidRPr="00A64892" w:rsidRDefault="001C4947" w:rsidP="000F0191">
      <w:pPr>
        <w:pStyle w:val="Default"/>
        <w:spacing w:line="276" w:lineRule="auto"/>
        <w:ind w:firstLine="720"/>
        <w:jc w:val="both"/>
        <w:rPr>
          <w:b/>
          <w:color w:val="auto"/>
          <w:lang w:val="ro-RO"/>
        </w:rPr>
      </w:pPr>
      <w:r>
        <w:rPr>
          <w:color w:val="auto"/>
          <w:lang w:val="ro-RO"/>
        </w:rPr>
        <w:t xml:space="preserve">La întrebarea </w:t>
      </w:r>
      <w:r w:rsidR="000F0191" w:rsidRPr="00A64892">
        <w:rPr>
          <w:color w:val="auto"/>
          <w:lang w:val="ro-RO"/>
        </w:rPr>
        <w:t>„</w:t>
      </w:r>
      <w:r w:rsidR="000F0191" w:rsidRPr="00A64892">
        <w:rPr>
          <w:bCs/>
          <w:color w:val="auto"/>
          <w:lang w:val="ro-RO"/>
        </w:rPr>
        <w:t>În ce măsură credeți că ați avea un nivel de trai mai bun într-o altă ț</w:t>
      </w:r>
      <w:r>
        <w:rPr>
          <w:bCs/>
          <w:color w:val="auto"/>
          <w:lang w:val="ro-RO"/>
        </w:rPr>
        <w:t xml:space="preserve">ară ?”, 84% dintre respondenți consideră că emigrarea le-ar putea aduce un trai mai bun (Fig. </w:t>
      </w:r>
      <w:r w:rsidR="00D0046F">
        <w:rPr>
          <w:bCs/>
          <w:color w:val="auto"/>
          <w:lang w:val="ro-RO"/>
        </w:rPr>
        <w:t>3.</w:t>
      </w:r>
      <w:r>
        <w:rPr>
          <w:bCs/>
          <w:color w:val="auto"/>
          <w:lang w:val="ro-RO"/>
        </w:rPr>
        <w:t>9)</w:t>
      </w:r>
      <w:r w:rsidR="000F0191" w:rsidRPr="00A64892">
        <w:rPr>
          <w:color w:val="auto"/>
          <w:lang w:val="ro-RO"/>
        </w:rPr>
        <w:t xml:space="preserve">. </w:t>
      </w:r>
    </w:p>
    <w:p w:rsidR="006F44B2" w:rsidRPr="00A64892" w:rsidRDefault="006F44B2" w:rsidP="00E24DEE">
      <w:pPr>
        <w:pStyle w:val="Default"/>
        <w:spacing w:line="276" w:lineRule="auto"/>
        <w:jc w:val="both"/>
        <w:rPr>
          <w:b/>
          <w:color w:val="auto"/>
          <w:lang w:val="ro-RO"/>
        </w:rPr>
      </w:pPr>
    </w:p>
    <w:p w:rsidR="006F44B2" w:rsidRPr="00A64892" w:rsidRDefault="006F44B2" w:rsidP="000F0191">
      <w:pPr>
        <w:pStyle w:val="Default"/>
        <w:spacing w:line="276" w:lineRule="auto"/>
        <w:jc w:val="center"/>
        <w:rPr>
          <w:b/>
          <w:color w:val="auto"/>
          <w:lang w:val="ro-RO"/>
        </w:rPr>
      </w:pPr>
      <w:r w:rsidRPr="00A64892">
        <w:rPr>
          <w:b/>
          <w:noProof/>
          <w:color w:val="auto"/>
        </w:rPr>
        <w:lastRenderedPageBreak/>
        <w:drawing>
          <wp:inline distT="0" distB="0" distL="0" distR="0">
            <wp:extent cx="4520794" cy="1821485"/>
            <wp:effectExtent l="19050" t="0" r="13106" b="731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91105" w:rsidRDefault="00491105" w:rsidP="001C4947">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w:t>
      </w:r>
      <w:r w:rsidR="001235A6">
        <w:rPr>
          <w:color w:val="auto"/>
          <w:sz w:val="20"/>
          <w:szCs w:val="20"/>
          <w:lang w:val="ro-RO"/>
        </w:rPr>
        <w:t>l</w:t>
      </w:r>
      <w:r>
        <w:rPr>
          <w:color w:val="auto"/>
          <w:sz w:val="20"/>
          <w:szCs w:val="20"/>
          <w:lang w:val="ro-RO"/>
        </w:rPr>
        <w:t>tatelor cercetării derulate în perioada martie-aprilie 2015</w:t>
      </w:r>
    </w:p>
    <w:p w:rsidR="00E16D91" w:rsidRPr="00A64892" w:rsidRDefault="00E16D91" w:rsidP="00E24DEE">
      <w:pPr>
        <w:pStyle w:val="Default"/>
        <w:spacing w:line="276" w:lineRule="auto"/>
        <w:jc w:val="both"/>
        <w:rPr>
          <w:color w:val="auto"/>
          <w:sz w:val="20"/>
          <w:szCs w:val="20"/>
          <w:lang w:val="ro-RO"/>
        </w:rPr>
      </w:pPr>
    </w:p>
    <w:p w:rsidR="00E46D01" w:rsidRDefault="003140E6" w:rsidP="009A21D0">
      <w:pPr>
        <w:pStyle w:val="Default"/>
        <w:spacing w:line="276" w:lineRule="auto"/>
        <w:ind w:firstLine="720"/>
        <w:jc w:val="both"/>
        <w:rPr>
          <w:color w:val="auto"/>
          <w:lang w:val="ro-RO"/>
        </w:rPr>
      </w:pPr>
      <w:r w:rsidRPr="00A64892">
        <w:rPr>
          <w:color w:val="auto"/>
          <w:lang w:val="ro-RO"/>
        </w:rPr>
        <w:t>Există un procent covârșitor de persoane care s-au gândit să emigreze</w:t>
      </w:r>
      <w:r w:rsidR="003E5CEB" w:rsidRPr="00A64892">
        <w:rPr>
          <w:color w:val="auto"/>
          <w:lang w:val="ro-RO"/>
        </w:rPr>
        <w:t xml:space="preserve"> </w:t>
      </w:r>
      <w:r w:rsidRPr="00A64892">
        <w:rPr>
          <w:color w:val="auto"/>
          <w:lang w:val="ro-RO"/>
        </w:rPr>
        <w:t xml:space="preserve">(76%) și un procent și mai mare de persoane care consideră că ar putea avea un trai mai bun în altă țară </w:t>
      </w:r>
      <w:r w:rsidR="003E5CEB" w:rsidRPr="00A64892">
        <w:rPr>
          <w:color w:val="auto"/>
          <w:lang w:val="ro-RO"/>
        </w:rPr>
        <w:t xml:space="preserve">în mare măsură </w:t>
      </w:r>
      <w:r w:rsidRPr="00A64892">
        <w:rPr>
          <w:color w:val="auto"/>
          <w:lang w:val="ro-RO"/>
        </w:rPr>
        <w:t>(84</w:t>
      </w:r>
      <w:r w:rsidR="003E5CEB" w:rsidRPr="00A64892">
        <w:rPr>
          <w:color w:val="auto"/>
          <w:lang w:val="ro-RO"/>
        </w:rPr>
        <w:t>%</w:t>
      </w:r>
      <w:r w:rsidRPr="00A64892">
        <w:rPr>
          <w:color w:val="auto"/>
          <w:lang w:val="ro-RO"/>
        </w:rPr>
        <w:t>). Diferența este reprezentată de persoane</w:t>
      </w:r>
      <w:r w:rsidR="00E46D01">
        <w:rPr>
          <w:color w:val="auto"/>
          <w:lang w:val="ro-RO"/>
        </w:rPr>
        <w:t>,</w:t>
      </w:r>
      <w:r w:rsidRPr="00A64892">
        <w:rPr>
          <w:color w:val="auto"/>
          <w:lang w:val="ro-RO"/>
        </w:rPr>
        <w:t xml:space="preserve"> care deși sunt conștiente de șansele de a-și crește nivelul de trai </w:t>
      </w:r>
      <w:r w:rsidR="003E5CEB" w:rsidRPr="00A64892">
        <w:rPr>
          <w:color w:val="auto"/>
          <w:lang w:val="ro-RO"/>
        </w:rPr>
        <w:t>stabilindu-se în altă țară</w:t>
      </w:r>
      <w:r w:rsidR="00E46D01">
        <w:rPr>
          <w:color w:val="auto"/>
          <w:lang w:val="ro-RO"/>
        </w:rPr>
        <w:t>,</w:t>
      </w:r>
      <w:r w:rsidR="003E5CEB" w:rsidRPr="00A64892">
        <w:rPr>
          <w:color w:val="auto"/>
          <w:lang w:val="ro-RO"/>
        </w:rPr>
        <w:t xml:space="preserve"> nu s-au gândit să emigreze</w:t>
      </w:r>
      <w:r w:rsidRPr="00A64892">
        <w:rPr>
          <w:color w:val="auto"/>
          <w:lang w:val="ro-RO"/>
        </w:rPr>
        <w:t>.</w:t>
      </w:r>
      <w:r w:rsidR="003E5CEB" w:rsidRPr="00A64892">
        <w:rPr>
          <w:color w:val="auto"/>
          <w:lang w:val="ro-RO"/>
        </w:rPr>
        <w:t xml:space="preserve"> Aceasta din urmă </w:t>
      </w:r>
      <w:r w:rsidR="00E46D01">
        <w:rPr>
          <w:color w:val="auto"/>
          <w:lang w:val="ro-RO"/>
        </w:rPr>
        <w:t>reprezintă</w:t>
      </w:r>
      <w:r w:rsidR="003E5CEB" w:rsidRPr="00A64892">
        <w:rPr>
          <w:color w:val="auto"/>
          <w:lang w:val="ro-RO"/>
        </w:rPr>
        <w:t xml:space="preserve"> categoria cea mai stabilă din punct de v</w:t>
      </w:r>
      <w:r w:rsidR="00E46D01">
        <w:rPr>
          <w:color w:val="auto"/>
          <w:lang w:val="ro-RO"/>
        </w:rPr>
        <w:t>edere demografic</w:t>
      </w:r>
      <w:r w:rsidR="003E5CEB" w:rsidRPr="00A64892">
        <w:rPr>
          <w:color w:val="auto"/>
          <w:lang w:val="ro-RO"/>
        </w:rPr>
        <w:t xml:space="preserve">. </w:t>
      </w:r>
    </w:p>
    <w:p w:rsidR="003E5CEB" w:rsidRPr="00A64892" w:rsidRDefault="00725754" w:rsidP="009A21D0">
      <w:pPr>
        <w:pStyle w:val="Default"/>
        <w:spacing w:line="276" w:lineRule="auto"/>
        <w:ind w:firstLine="720"/>
        <w:jc w:val="both"/>
        <w:rPr>
          <w:color w:val="auto"/>
          <w:lang w:val="ro-RO"/>
        </w:rPr>
      </w:pPr>
      <w:r>
        <w:rPr>
          <w:color w:val="auto"/>
          <w:lang w:val="ro-RO"/>
        </w:rPr>
        <w:t xml:space="preserve">Dincolo de mirajul oferit de meleagurile străine, există și câțiva factori asupra cărora politicile publice s-ar putea concentra pentru a păstra tinerii în țară. La întrebarea </w:t>
      </w:r>
      <w:r w:rsidR="003E5CEB" w:rsidRPr="00A64892">
        <w:rPr>
          <w:color w:val="auto"/>
          <w:lang w:val="ro-RO"/>
        </w:rPr>
        <w:t xml:space="preserve">„Care ar fi motivele pentru care ați </w:t>
      </w:r>
      <w:r>
        <w:rPr>
          <w:color w:val="auto"/>
          <w:lang w:val="ro-RO"/>
        </w:rPr>
        <w:t xml:space="preserve">alege să rămâneți în România?”, </w:t>
      </w:r>
      <w:r w:rsidR="003140E6" w:rsidRPr="00A64892">
        <w:rPr>
          <w:color w:val="auto"/>
          <w:lang w:val="ro-RO"/>
        </w:rPr>
        <w:t xml:space="preserve"> </w:t>
      </w:r>
      <w:r>
        <w:rPr>
          <w:color w:val="auto"/>
          <w:lang w:val="ro-RO"/>
        </w:rPr>
        <w:t xml:space="preserve">92% dintre respondenți indică familia și prietenii, după cum se poate observa în Fig. </w:t>
      </w:r>
      <w:r w:rsidR="00D0046F">
        <w:rPr>
          <w:color w:val="auto"/>
          <w:lang w:val="ro-RO"/>
        </w:rPr>
        <w:t>3.</w:t>
      </w:r>
      <w:r>
        <w:rPr>
          <w:color w:val="auto"/>
          <w:lang w:val="ro-RO"/>
        </w:rPr>
        <w:t>10.</w:t>
      </w:r>
    </w:p>
    <w:p w:rsidR="003140E6" w:rsidRPr="00A64892" w:rsidRDefault="003140E6" w:rsidP="009A21D0">
      <w:pPr>
        <w:pStyle w:val="Default"/>
        <w:spacing w:line="276" w:lineRule="auto"/>
        <w:ind w:firstLine="720"/>
        <w:jc w:val="both"/>
        <w:rPr>
          <w:b/>
          <w:color w:val="auto"/>
          <w:lang w:val="ro-RO"/>
        </w:rPr>
      </w:pPr>
      <w:r w:rsidRPr="00A64892">
        <w:rPr>
          <w:noProof/>
          <w:color w:val="auto"/>
        </w:rPr>
        <w:drawing>
          <wp:inline distT="0" distB="0" distL="0" distR="0">
            <wp:extent cx="4828995" cy="2147977"/>
            <wp:effectExtent l="19050" t="0" r="9705" b="4673"/>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1105" w:rsidRDefault="00491105" w:rsidP="00725754">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rezutatelor cercetării derulate în perioada martie-aprilie 2015</w:t>
      </w:r>
    </w:p>
    <w:p w:rsidR="00491105" w:rsidRDefault="00491105" w:rsidP="001D4784">
      <w:pPr>
        <w:pStyle w:val="Default"/>
        <w:spacing w:line="276" w:lineRule="auto"/>
        <w:ind w:firstLine="720"/>
        <w:jc w:val="both"/>
        <w:rPr>
          <w:color w:val="auto"/>
          <w:lang w:val="ro-RO"/>
        </w:rPr>
      </w:pPr>
    </w:p>
    <w:p w:rsidR="00725754" w:rsidRDefault="00725754" w:rsidP="001D4784">
      <w:pPr>
        <w:pStyle w:val="Default"/>
        <w:spacing w:line="276" w:lineRule="auto"/>
        <w:ind w:firstLine="720"/>
        <w:jc w:val="both"/>
        <w:rPr>
          <w:color w:val="auto"/>
          <w:lang w:val="ro-RO"/>
        </w:rPr>
      </w:pPr>
      <w:r>
        <w:rPr>
          <w:color w:val="auto"/>
          <w:lang w:val="ro-RO"/>
        </w:rPr>
        <w:t xml:space="preserve">Pe locul al doilea se regăsește un procent de </w:t>
      </w:r>
      <w:r w:rsidR="001D4784" w:rsidRPr="00A64892">
        <w:rPr>
          <w:color w:val="auto"/>
          <w:lang w:val="ro-RO"/>
        </w:rPr>
        <w:t xml:space="preserve">16% </w:t>
      </w:r>
      <w:r>
        <w:rPr>
          <w:color w:val="auto"/>
          <w:lang w:val="ro-RO"/>
        </w:rPr>
        <w:t xml:space="preserve">care indică </w:t>
      </w:r>
      <w:r w:rsidR="001D4784" w:rsidRPr="00A64892">
        <w:rPr>
          <w:color w:val="auto"/>
          <w:lang w:val="ro-RO"/>
        </w:rPr>
        <w:t>patriotism</w:t>
      </w:r>
      <w:r>
        <w:rPr>
          <w:color w:val="auto"/>
          <w:lang w:val="ro-RO"/>
        </w:rPr>
        <w:t>ul drept motiv pentru nepărăsirea țării.</w:t>
      </w:r>
      <w:r w:rsidR="001D4784" w:rsidRPr="00A64892">
        <w:rPr>
          <w:color w:val="auto"/>
          <w:lang w:val="ro-RO"/>
        </w:rPr>
        <w:t xml:space="preserve"> 10% </w:t>
      </w:r>
      <w:r>
        <w:rPr>
          <w:color w:val="auto"/>
          <w:lang w:val="ro-RO"/>
        </w:rPr>
        <w:t>dintre respondenți au afirmat că nu ar emigra p</w:t>
      </w:r>
      <w:r w:rsidR="00222D1F">
        <w:rPr>
          <w:color w:val="auto"/>
          <w:lang w:val="ro-RO"/>
        </w:rPr>
        <w:t>e</w:t>
      </w:r>
      <w:r>
        <w:rPr>
          <w:color w:val="auto"/>
          <w:lang w:val="ro-RO"/>
        </w:rPr>
        <w:t xml:space="preserve">ntru că </w:t>
      </w:r>
      <w:r w:rsidR="001D4784" w:rsidRPr="00A64892">
        <w:rPr>
          <w:color w:val="auto"/>
          <w:lang w:val="ro-RO"/>
        </w:rPr>
        <w:t>nu stăpân</w:t>
      </w:r>
      <w:r>
        <w:rPr>
          <w:color w:val="auto"/>
          <w:lang w:val="ro-RO"/>
        </w:rPr>
        <w:t>esc bine o limbă străină, în timp ce</w:t>
      </w:r>
      <w:r w:rsidR="001D4784" w:rsidRPr="00A64892">
        <w:rPr>
          <w:color w:val="auto"/>
          <w:lang w:val="ro-RO"/>
        </w:rPr>
        <w:t xml:space="preserve"> 8% </w:t>
      </w:r>
      <w:r>
        <w:rPr>
          <w:color w:val="auto"/>
          <w:lang w:val="ro-RO"/>
        </w:rPr>
        <w:t xml:space="preserve">pornesc de la </w:t>
      </w:r>
      <w:r w:rsidR="001D4784" w:rsidRPr="00A64892">
        <w:rPr>
          <w:color w:val="auto"/>
          <w:lang w:val="ro-RO"/>
        </w:rPr>
        <w:t>experienț</w:t>
      </w:r>
      <w:r>
        <w:rPr>
          <w:color w:val="auto"/>
          <w:lang w:val="ro-RO"/>
        </w:rPr>
        <w:t>a</w:t>
      </w:r>
      <w:r w:rsidR="001D4784" w:rsidRPr="00A64892">
        <w:rPr>
          <w:color w:val="auto"/>
          <w:lang w:val="ro-RO"/>
        </w:rPr>
        <w:t xml:space="preserve"> nefericită a cunoscuților.</w:t>
      </w:r>
      <w:r w:rsidR="004D766E" w:rsidRPr="00A64892">
        <w:rPr>
          <w:color w:val="auto"/>
          <w:lang w:val="ro-RO"/>
        </w:rPr>
        <w:t xml:space="preserve"> Procentul ridicat al celor care decid să rămână în țară pentru familie și p</w:t>
      </w:r>
      <w:r w:rsidR="00E55B24" w:rsidRPr="00A64892">
        <w:rPr>
          <w:color w:val="auto"/>
          <w:lang w:val="ro-RO"/>
        </w:rPr>
        <w:t>rieteni evidențiază o cultură a unor</w:t>
      </w:r>
      <w:r w:rsidR="004D766E" w:rsidRPr="00A64892">
        <w:rPr>
          <w:color w:val="auto"/>
          <w:lang w:val="ro-RO"/>
        </w:rPr>
        <w:t xml:space="preserve"> oameni atașați celor din jur. </w:t>
      </w:r>
      <w:r w:rsidR="00914C2F" w:rsidRPr="00A64892">
        <w:rPr>
          <w:color w:val="auto"/>
          <w:lang w:val="ro-RO"/>
        </w:rPr>
        <w:t>Din acest punct de vedere, pentru  diminuarea  fenomenului migraționist</w:t>
      </w:r>
      <w:r w:rsidR="00E55B24" w:rsidRPr="00A64892">
        <w:rPr>
          <w:color w:val="auto"/>
          <w:lang w:val="ro-RO"/>
        </w:rPr>
        <w:t>,</w:t>
      </w:r>
      <w:r w:rsidR="00914C2F" w:rsidRPr="00A64892">
        <w:rPr>
          <w:color w:val="auto"/>
          <w:lang w:val="ro-RO"/>
        </w:rPr>
        <w:t xml:space="preserve"> statul ar trebui să dezvolte un set de politici care să pună accent pe importanța familiei în societate </w:t>
      </w:r>
      <w:r>
        <w:rPr>
          <w:color w:val="auto"/>
          <w:lang w:val="ro-RO"/>
        </w:rPr>
        <w:t xml:space="preserve">și pe ridicarea nivelului de trai al membrilor acestora. </w:t>
      </w:r>
    </w:p>
    <w:p w:rsidR="00D2024F" w:rsidRPr="00A64892" w:rsidRDefault="00D2024F" w:rsidP="001D4784">
      <w:pPr>
        <w:pStyle w:val="Default"/>
        <w:spacing w:line="276" w:lineRule="auto"/>
        <w:ind w:firstLine="720"/>
        <w:jc w:val="both"/>
        <w:rPr>
          <w:color w:val="auto"/>
          <w:lang w:val="ro-RO"/>
        </w:rPr>
      </w:pPr>
      <w:r w:rsidRPr="00A64892">
        <w:rPr>
          <w:color w:val="auto"/>
          <w:lang w:val="ro-RO"/>
        </w:rPr>
        <w:lastRenderedPageBreak/>
        <w:t>La întrebarea</w:t>
      </w:r>
      <w:r w:rsidR="00725754">
        <w:rPr>
          <w:color w:val="auto"/>
          <w:lang w:val="ro-RO"/>
        </w:rPr>
        <w:t xml:space="preserve"> </w:t>
      </w:r>
      <w:r w:rsidR="00725754" w:rsidRPr="00A64892">
        <w:rPr>
          <w:color w:val="auto"/>
          <w:lang w:val="ro-RO"/>
        </w:rPr>
        <w:t>„Ce țară ați alege în cazul în care ați lua decizia de a emigra?”</w:t>
      </w:r>
      <w:r w:rsidRPr="00A64892">
        <w:rPr>
          <w:color w:val="auto"/>
          <w:lang w:val="ro-RO"/>
        </w:rPr>
        <w:t>, tinerii au avut ma</w:t>
      </w:r>
      <w:r w:rsidR="00725754">
        <w:rPr>
          <w:color w:val="auto"/>
          <w:lang w:val="ro-RO"/>
        </w:rPr>
        <w:t xml:space="preserve">i multe posibilități de răspuns, care au </w:t>
      </w:r>
      <w:r w:rsidRPr="00A64892">
        <w:rPr>
          <w:color w:val="auto"/>
          <w:lang w:val="ro-RO"/>
        </w:rPr>
        <w:t>inclus țări din UE</w:t>
      </w:r>
      <w:r w:rsidR="00725754">
        <w:rPr>
          <w:color w:val="auto"/>
          <w:lang w:val="ro-RO"/>
        </w:rPr>
        <w:t xml:space="preserve">, </w:t>
      </w:r>
      <w:r w:rsidRPr="00A64892">
        <w:rPr>
          <w:color w:val="auto"/>
          <w:lang w:val="ro-RO"/>
        </w:rPr>
        <w:t xml:space="preserve"> dar și o variantă </w:t>
      </w:r>
      <w:r w:rsidR="009827E8" w:rsidRPr="00A64892">
        <w:rPr>
          <w:color w:val="auto"/>
          <w:lang w:val="ro-RO"/>
        </w:rPr>
        <w:t>suplimentară de răspuns pentru aceia care au alte preferințe decât UE.</w:t>
      </w:r>
    </w:p>
    <w:p w:rsidR="003515FD" w:rsidRPr="00A64892" w:rsidRDefault="003515FD" w:rsidP="009827E8">
      <w:pPr>
        <w:pStyle w:val="Default"/>
        <w:spacing w:line="276" w:lineRule="auto"/>
        <w:jc w:val="both"/>
        <w:rPr>
          <w:b/>
          <w:color w:val="auto"/>
          <w:lang w:val="ro-RO"/>
        </w:rPr>
      </w:pPr>
    </w:p>
    <w:p w:rsidR="006F44B2" w:rsidRPr="00A64892" w:rsidRDefault="006F44B2" w:rsidP="008919BF">
      <w:pPr>
        <w:pStyle w:val="Default"/>
        <w:spacing w:line="276" w:lineRule="auto"/>
        <w:jc w:val="center"/>
        <w:rPr>
          <w:b/>
          <w:color w:val="auto"/>
          <w:lang w:val="ro-RO"/>
        </w:rPr>
      </w:pPr>
      <w:r w:rsidRPr="00A64892">
        <w:rPr>
          <w:b/>
          <w:noProof/>
          <w:color w:val="auto"/>
        </w:rPr>
        <w:drawing>
          <wp:inline distT="0" distB="0" distL="0" distR="0">
            <wp:extent cx="4835825" cy="2208362"/>
            <wp:effectExtent l="19050" t="0" r="21925" b="1438"/>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91105" w:rsidRDefault="00491105" w:rsidP="00725754">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rezutatelor cercetării derulate în perioada martie-aprilie 2015</w:t>
      </w:r>
    </w:p>
    <w:p w:rsidR="00E55B24" w:rsidRPr="00A64892" w:rsidRDefault="00E55B24" w:rsidP="00E24DEE">
      <w:pPr>
        <w:pStyle w:val="Default"/>
        <w:spacing w:line="276" w:lineRule="auto"/>
        <w:jc w:val="both"/>
        <w:rPr>
          <w:color w:val="auto"/>
          <w:sz w:val="20"/>
          <w:szCs w:val="20"/>
          <w:lang w:val="ro-RO"/>
        </w:rPr>
      </w:pPr>
    </w:p>
    <w:p w:rsidR="00E55B24" w:rsidRPr="00A64892" w:rsidRDefault="009827E8" w:rsidP="00E55B24">
      <w:pPr>
        <w:pStyle w:val="Default"/>
        <w:spacing w:line="276" w:lineRule="auto"/>
        <w:ind w:firstLine="720"/>
        <w:jc w:val="both"/>
        <w:rPr>
          <w:color w:val="auto"/>
          <w:lang w:val="ro-RO"/>
        </w:rPr>
      </w:pPr>
      <w:r w:rsidRPr="00A64892">
        <w:rPr>
          <w:color w:val="auto"/>
          <w:lang w:val="ro-RO"/>
        </w:rPr>
        <w:t xml:space="preserve">Răspunsurile arată că </w:t>
      </w:r>
      <w:r w:rsidR="00725754">
        <w:rPr>
          <w:color w:val="auto"/>
          <w:lang w:val="ro-RO"/>
        </w:rPr>
        <w:t>studenții, viitori economiști și ingineri,</w:t>
      </w:r>
      <w:r w:rsidR="00E55B24" w:rsidRPr="00A64892">
        <w:rPr>
          <w:color w:val="auto"/>
          <w:lang w:val="ro-RO"/>
        </w:rPr>
        <w:t xml:space="preserve"> preferă țările vestice, în special UK și Germania</w:t>
      </w:r>
      <w:r w:rsidR="00E5268E" w:rsidRPr="00A64892">
        <w:rPr>
          <w:color w:val="auto"/>
          <w:lang w:val="ro-RO"/>
        </w:rPr>
        <w:t xml:space="preserve"> (Fig. </w:t>
      </w:r>
      <w:r w:rsidR="00D0046F">
        <w:rPr>
          <w:color w:val="auto"/>
          <w:lang w:val="ro-RO"/>
        </w:rPr>
        <w:t>3.</w:t>
      </w:r>
      <w:r w:rsidR="00E5268E" w:rsidRPr="00A64892">
        <w:rPr>
          <w:color w:val="auto"/>
          <w:lang w:val="ro-RO"/>
        </w:rPr>
        <w:t>11</w:t>
      </w:r>
      <w:r w:rsidR="00D0046F">
        <w:rPr>
          <w:color w:val="auto"/>
          <w:lang w:val="ro-RO"/>
        </w:rPr>
        <w:t>.</w:t>
      </w:r>
      <w:r w:rsidR="00E5268E" w:rsidRPr="00A64892">
        <w:rPr>
          <w:color w:val="auto"/>
          <w:lang w:val="ro-RO"/>
        </w:rPr>
        <w:t>)</w:t>
      </w:r>
      <w:r w:rsidR="00E55B24" w:rsidRPr="00A64892">
        <w:rPr>
          <w:color w:val="auto"/>
          <w:lang w:val="ro-RO"/>
        </w:rPr>
        <w:t>. Italia nu este în topul preferințelor tinerilor români cu studii superioare</w:t>
      </w:r>
      <w:r w:rsidR="005D75B1">
        <w:rPr>
          <w:color w:val="auto"/>
          <w:lang w:val="ro-RO"/>
        </w:rPr>
        <w:t>,</w:t>
      </w:r>
      <w:r w:rsidR="00E55B24" w:rsidRPr="00A64892">
        <w:rPr>
          <w:color w:val="auto"/>
          <w:lang w:val="ro-RO"/>
        </w:rPr>
        <w:t xml:space="preserve"> deși se află </w:t>
      </w:r>
      <w:r w:rsidR="00C11CCC" w:rsidRPr="00A64892">
        <w:rPr>
          <w:color w:val="auto"/>
          <w:lang w:val="ro-RO"/>
        </w:rPr>
        <w:t>în topul țărilor în care aceștia</w:t>
      </w:r>
      <w:r w:rsidR="00E55B24" w:rsidRPr="00A64892">
        <w:rPr>
          <w:color w:val="auto"/>
          <w:lang w:val="ro-RO"/>
        </w:rPr>
        <w:t xml:space="preserve"> au rude/cunoștințe</w:t>
      </w:r>
      <w:r w:rsidR="005D75B1">
        <w:rPr>
          <w:color w:val="auto"/>
          <w:lang w:val="ro-RO"/>
        </w:rPr>
        <w:t>,</w:t>
      </w:r>
      <w:r w:rsidR="00DD7EDF" w:rsidRPr="00A64892">
        <w:rPr>
          <w:color w:val="auto"/>
          <w:lang w:val="ro-RO"/>
        </w:rPr>
        <w:t xml:space="preserve"> ceea ce arată că  „efectul de bulgăre de zăpadă” nu se acționează în orice situație.</w:t>
      </w:r>
      <w:r w:rsidR="005D75B1">
        <w:rPr>
          <w:color w:val="auto"/>
          <w:lang w:val="ro-RO"/>
        </w:rPr>
        <w:t xml:space="preserve"> </w:t>
      </w:r>
    </w:p>
    <w:p w:rsidR="00D2024F" w:rsidRPr="00A64892" w:rsidRDefault="00D2024F" w:rsidP="00E55B24">
      <w:pPr>
        <w:pStyle w:val="Default"/>
        <w:spacing w:line="276" w:lineRule="auto"/>
        <w:ind w:firstLine="720"/>
        <w:jc w:val="both"/>
        <w:rPr>
          <w:b/>
          <w:color w:val="auto"/>
          <w:lang w:val="ro-RO"/>
        </w:rPr>
      </w:pPr>
    </w:p>
    <w:p w:rsidR="006F44B2" w:rsidRPr="00A64892" w:rsidRDefault="006F44B2" w:rsidP="00D2024F">
      <w:pPr>
        <w:pStyle w:val="Default"/>
        <w:spacing w:line="276" w:lineRule="auto"/>
        <w:jc w:val="center"/>
        <w:rPr>
          <w:b/>
          <w:color w:val="auto"/>
          <w:lang w:val="ro-RO"/>
        </w:rPr>
      </w:pPr>
      <w:r w:rsidRPr="00A64892">
        <w:rPr>
          <w:b/>
          <w:noProof/>
          <w:color w:val="auto"/>
        </w:rPr>
        <w:drawing>
          <wp:inline distT="0" distB="0" distL="0" distR="0">
            <wp:extent cx="4937065" cy="2303253"/>
            <wp:effectExtent l="19050" t="0" r="15935" b="1797"/>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91105" w:rsidRDefault="00491105" w:rsidP="005D75B1">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rezutatelor cercetării derulate în perioada martie-aprilie 2015</w:t>
      </w:r>
    </w:p>
    <w:p w:rsidR="00831E99" w:rsidRPr="00A64892" w:rsidRDefault="00831E99" w:rsidP="00831E99">
      <w:pPr>
        <w:pStyle w:val="Default"/>
        <w:spacing w:line="276" w:lineRule="auto"/>
        <w:ind w:firstLine="720"/>
        <w:jc w:val="both"/>
        <w:rPr>
          <w:color w:val="auto"/>
          <w:lang w:val="ro-RO"/>
        </w:rPr>
      </w:pPr>
    </w:p>
    <w:p w:rsidR="00E16D91" w:rsidRPr="00A64892" w:rsidRDefault="007377DA" w:rsidP="00117B15">
      <w:pPr>
        <w:pStyle w:val="Default"/>
        <w:spacing w:line="276" w:lineRule="auto"/>
        <w:ind w:firstLine="720"/>
        <w:jc w:val="both"/>
        <w:rPr>
          <w:color w:val="auto"/>
          <w:lang w:val="ro-RO"/>
        </w:rPr>
      </w:pPr>
      <w:r w:rsidRPr="00A64892">
        <w:rPr>
          <w:color w:val="auto"/>
          <w:lang w:val="ro-RO"/>
        </w:rPr>
        <w:t>Dintre motivele care i-ar determina pe studenții români să lucreze în străinătate, cele care primează sunt legate de venituri</w:t>
      </w:r>
      <w:r w:rsidR="005D75B1">
        <w:rPr>
          <w:color w:val="auto"/>
          <w:lang w:val="ro-RO"/>
        </w:rPr>
        <w:t>le salariale,</w:t>
      </w:r>
      <w:r w:rsidRPr="00A64892">
        <w:rPr>
          <w:color w:val="auto"/>
          <w:lang w:val="ro-RO"/>
        </w:rPr>
        <w:t xml:space="preserve"> </w:t>
      </w:r>
      <w:r w:rsidR="005D75B1">
        <w:rPr>
          <w:color w:val="auto"/>
          <w:lang w:val="ro-RO"/>
        </w:rPr>
        <w:t>concordanța dintre studiile absolvite și job-ul ocupat, un sistem sanitar și educațional mai bun și un mediu politic „mai curat”</w:t>
      </w:r>
      <w:r w:rsidRPr="00A64892">
        <w:rPr>
          <w:color w:val="auto"/>
          <w:lang w:val="ro-RO"/>
        </w:rPr>
        <w:t xml:space="preserve">.  </w:t>
      </w:r>
      <w:r w:rsidR="00831E99" w:rsidRPr="00A64892">
        <w:rPr>
          <w:color w:val="auto"/>
          <w:lang w:val="ro-RO"/>
        </w:rPr>
        <w:t>Majoritatea celor chestionați ar emigra pentru un salariu mai mare (74%) și pentru un job corespunzător pregătirii profesionale (50%)</w:t>
      </w:r>
      <w:r w:rsidR="00401FDA" w:rsidRPr="00A64892">
        <w:rPr>
          <w:color w:val="auto"/>
          <w:lang w:val="ro-RO"/>
        </w:rPr>
        <w:t xml:space="preserve"> (Fig. </w:t>
      </w:r>
      <w:r w:rsidR="00D0046F">
        <w:rPr>
          <w:color w:val="auto"/>
          <w:lang w:val="ro-RO"/>
        </w:rPr>
        <w:t>3.</w:t>
      </w:r>
      <w:r w:rsidR="00401FDA" w:rsidRPr="00A64892">
        <w:rPr>
          <w:color w:val="auto"/>
          <w:lang w:val="ro-RO"/>
        </w:rPr>
        <w:t>12)</w:t>
      </w:r>
      <w:r w:rsidR="00831E99" w:rsidRPr="00A64892">
        <w:rPr>
          <w:color w:val="auto"/>
          <w:lang w:val="ro-RO"/>
        </w:rPr>
        <w:t>. Aceste răspunsuri</w:t>
      </w:r>
      <w:r w:rsidR="005D75B1">
        <w:rPr>
          <w:color w:val="auto"/>
          <w:lang w:val="ro-RO"/>
        </w:rPr>
        <w:t xml:space="preserve"> nu fac altceva decât să readucă în prim-plan </w:t>
      </w:r>
      <w:r w:rsidR="005D75B1">
        <w:rPr>
          <w:color w:val="auto"/>
          <w:lang w:val="ro-RO"/>
        </w:rPr>
        <w:lastRenderedPageBreak/>
        <w:t>probleme cu care se confruntă economia românească</w:t>
      </w:r>
      <w:r w:rsidR="00831E99" w:rsidRPr="00A64892">
        <w:rPr>
          <w:color w:val="auto"/>
          <w:lang w:val="ro-RO"/>
        </w:rPr>
        <w:t>.</w:t>
      </w:r>
      <w:r w:rsidR="005D75B1">
        <w:rPr>
          <w:color w:val="auto"/>
          <w:lang w:val="ro-RO"/>
        </w:rPr>
        <w:t xml:space="preserve"> Aspirațiile tinerilor, văzute aici ca stimulente pentru părăsirea teritoriului natal, arată care sunt domeniile de care se declară, de fapt, nemulțumiți în România. Astfel, neconcordanța des evidențiată în literatura de specialitate din ultima vreme, di</w:t>
      </w:r>
      <w:r w:rsidR="00282EDB" w:rsidRPr="00A64892">
        <w:rPr>
          <w:color w:val="auto"/>
          <w:lang w:val="ro-RO"/>
        </w:rPr>
        <w:t>ntre sistemul educațional</w:t>
      </w:r>
      <w:r w:rsidR="005D75B1">
        <w:rPr>
          <w:color w:val="auto"/>
          <w:lang w:val="ro-RO"/>
        </w:rPr>
        <w:t xml:space="preserve"> românesc</w:t>
      </w:r>
      <w:r w:rsidR="00282EDB" w:rsidRPr="00A64892">
        <w:rPr>
          <w:color w:val="auto"/>
          <w:lang w:val="ro-RO"/>
        </w:rPr>
        <w:t xml:space="preserve"> și cerințele </w:t>
      </w:r>
      <w:r w:rsidR="005D75B1">
        <w:rPr>
          <w:color w:val="auto"/>
          <w:lang w:val="ro-RO"/>
        </w:rPr>
        <w:t>pie</w:t>
      </w:r>
      <w:r w:rsidR="00282EDB" w:rsidRPr="00A64892">
        <w:rPr>
          <w:color w:val="auto"/>
          <w:lang w:val="ro-RO"/>
        </w:rPr>
        <w:t>ț</w:t>
      </w:r>
      <w:r w:rsidR="005D75B1">
        <w:rPr>
          <w:color w:val="auto"/>
          <w:lang w:val="ro-RO"/>
        </w:rPr>
        <w:t>ei</w:t>
      </w:r>
      <w:r w:rsidR="00282EDB" w:rsidRPr="00A64892">
        <w:rPr>
          <w:color w:val="auto"/>
          <w:lang w:val="ro-RO"/>
        </w:rPr>
        <w:t xml:space="preserve"> muncii, </w:t>
      </w:r>
      <w:r w:rsidR="005D75B1">
        <w:rPr>
          <w:color w:val="auto"/>
          <w:lang w:val="ro-RO"/>
        </w:rPr>
        <w:t xml:space="preserve">deficiențele unui sistem sanitar deja considerat „bolnav”, salarii care nu oferă posibilitatea unui trai decent reprezintă doar câteva dintre problemele cărora orice individ ar trebui să le facă față. Prin urmare, </w:t>
      </w:r>
      <w:r w:rsidR="00282EDB" w:rsidRPr="00A64892">
        <w:rPr>
          <w:color w:val="auto"/>
          <w:lang w:val="ro-RO"/>
        </w:rPr>
        <w:t>cei care nu își gasesc un loc de muncă conf</w:t>
      </w:r>
      <w:r w:rsidR="00ED760E" w:rsidRPr="00A64892">
        <w:rPr>
          <w:color w:val="auto"/>
          <w:lang w:val="ro-RO"/>
        </w:rPr>
        <w:t>orm pregătirii profesionale au două posibilități</w:t>
      </w:r>
      <w:r w:rsidR="00A21CEC" w:rsidRPr="00A64892">
        <w:rPr>
          <w:color w:val="auto"/>
          <w:lang w:val="ro-RO"/>
        </w:rPr>
        <w:t xml:space="preserve"> vizând părăsirea țării de domiciliu</w:t>
      </w:r>
      <w:r w:rsidR="00ED760E" w:rsidRPr="00A64892">
        <w:rPr>
          <w:color w:val="auto"/>
          <w:lang w:val="ro-RO"/>
        </w:rPr>
        <w:t xml:space="preserve">: </w:t>
      </w:r>
      <w:r w:rsidR="005D75B1">
        <w:rPr>
          <w:color w:val="auto"/>
          <w:lang w:val="ro-RO"/>
        </w:rPr>
        <w:t>fie</w:t>
      </w:r>
      <w:r w:rsidR="00282EDB" w:rsidRPr="00A64892">
        <w:rPr>
          <w:color w:val="auto"/>
          <w:lang w:val="ro-RO"/>
        </w:rPr>
        <w:t xml:space="preserve"> </w:t>
      </w:r>
      <w:r w:rsidR="00A21CEC" w:rsidRPr="00A64892">
        <w:rPr>
          <w:color w:val="auto"/>
          <w:lang w:val="ro-RO"/>
        </w:rPr>
        <w:t>să caute</w:t>
      </w:r>
      <w:r w:rsidR="005D75B1">
        <w:rPr>
          <w:color w:val="auto"/>
          <w:lang w:val="ro-RO"/>
        </w:rPr>
        <w:t xml:space="preserve"> în străinătate un</w:t>
      </w:r>
      <w:r w:rsidR="00A21CEC" w:rsidRPr="00A64892">
        <w:rPr>
          <w:color w:val="auto"/>
          <w:lang w:val="ro-RO"/>
        </w:rPr>
        <w:t xml:space="preserve"> loc de muncă în domeniul </w:t>
      </w:r>
      <w:r w:rsidR="005D75B1">
        <w:rPr>
          <w:color w:val="auto"/>
          <w:lang w:val="ro-RO"/>
        </w:rPr>
        <w:t>pentru</w:t>
      </w:r>
      <w:r w:rsidR="00A21CEC" w:rsidRPr="00A64892">
        <w:rPr>
          <w:color w:val="auto"/>
          <w:lang w:val="ro-RO"/>
        </w:rPr>
        <w:t xml:space="preserve"> care s-au pregătit</w:t>
      </w:r>
      <w:r w:rsidR="005D75B1">
        <w:rPr>
          <w:color w:val="auto"/>
          <w:lang w:val="ro-RO"/>
        </w:rPr>
        <w:t xml:space="preserve">, </w:t>
      </w:r>
      <w:r w:rsidR="00401FDA" w:rsidRPr="00A64892">
        <w:rPr>
          <w:color w:val="auto"/>
          <w:lang w:val="ro-RO"/>
        </w:rPr>
        <w:t>fie să se mulțumească cu a lucra în alt domeniu</w:t>
      </w:r>
      <w:r w:rsidR="005D75B1">
        <w:rPr>
          <w:color w:val="auto"/>
          <w:lang w:val="ro-RO"/>
        </w:rPr>
        <w:t>,</w:t>
      </w:r>
      <w:r w:rsidR="00401FDA" w:rsidRPr="00A64892">
        <w:rPr>
          <w:color w:val="auto"/>
          <w:lang w:val="ro-RO"/>
        </w:rPr>
        <w:t xml:space="preserve"> dar fiind plătiți mai bine </w:t>
      </w:r>
      <w:r w:rsidR="005D75B1">
        <w:rPr>
          <w:color w:val="auto"/>
          <w:lang w:val="ro-RO"/>
        </w:rPr>
        <w:t>decât ar fi plătiți în România in</w:t>
      </w:r>
      <w:r w:rsidR="00401FDA" w:rsidRPr="00A64892">
        <w:rPr>
          <w:color w:val="auto"/>
          <w:lang w:val="ro-RO"/>
        </w:rPr>
        <w:t xml:space="preserve"> domeniul </w:t>
      </w:r>
      <w:r w:rsidR="005D75B1">
        <w:rPr>
          <w:color w:val="auto"/>
          <w:lang w:val="ro-RO"/>
        </w:rPr>
        <w:t>pentru</w:t>
      </w:r>
      <w:r w:rsidR="00401FDA" w:rsidRPr="00A64892">
        <w:rPr>
          <w:color w:val="auto"/>
          <w:lang w:val="ro-RO"/>
        </w:rPr>
        <w:t xml:space="preserve"> care s-au pregătit.</w:t>
      </w:r>
    </w:p>
    <w:p w:rsidR="006F44B2" w:rsidRPr="00A64892" w:rsidRDefault="006F44B2" w:rsidP="00A21CEC">
      <w:pPr>
        <w:pStyle w:val="Default"/>
        <w:spacing w:line="276" w:lineRule="auto"/>
        <w:jc w:val="center"/>
        <w:rPr>
          <w:b/>
          <w:color w:val="auto"/>
          <w:lang w:val="ro-RO"/>
        </w:rPr>
      </w:pPr>
      <w:r w:rsidRPr="00A64892">
        <w:rPr>
          <w:b/>
          <w:noProof/>
          <w:color w:val="auto"/>
        </w:rPr>
        <w:drawing>
          <wp:inline distT="0" distB="0" distL="0" distR="0">
            <wp:extent cx="4943475" cy="2390775"/>
            <wp:effectExtent l="19050" t="0" r="9525"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91105" w:rsidRDefault="00491105" w:rsidP="00333C47">
      <w:pPr>
        <w:pStyle w:val="Default"/>
        <w:spacing w:line="276" w:lineRule="auto"/>
        <w:jc w:val="center"/>
        <w:rPr>
          <w:color w:val="auto"/>
          <w:sz w:val="20"/>
          <w:szCs w:val="20"/>
          <w:lang w:val="ro-RO"/>
        </w:rPr>
      </w:pPr>
      <w:r w:rsidRPr="00A64892">
        <w:rPr>
          <w:color w:val="auto"/>
          <w:sz w:val="20"/>
          <w:szCs w:val="20"/>
          <w:lang w:val="ro-RO"/>
        </w:rPr>
        <w:t xml:space="preserve">Sursa: </w:t>
      </w:r>
      <w:r>
        <w:rPr>
          <w:color w:val="auto"/>
          <w:sz w:val="20"/>
          <w:szCs w:val="20"/>
          <w:lang w:val="ro-RO"/>
        </w:rPr>
        <w:t>prelucrări ale autorilor pe baza rezutatelor cercetării derulate în perioada martie-aprilie 2015</w:t>
      </w:r>
    </w:p>
    <w:p w:rsidR="003177A8" w:rsidRPr="00A64892" w:rsidRDefault="003177A8" w:rsidP="00E24DEE">
      <w:pPr>
        <w:pStyle w:val="Default"/>
        <w:spacing w:line="276" w:lineRule="auto"/>
        <w:jc w:val="both"/>
        <w:rPr>
          <w:color w:val="auto"/>
          <w:sz w:val="20"/>
          <w:szCs w:val="20"/>
          <w:lang w:val="ro-RO"/>
        </w:rPr>
      </w:pPr>
    </w:p>
    <w:p w:rsidR="003177A8" w:rsidRPr="00A64892" w:rsidRDefault="003177A8" w:rsidP="00005305">
      <w:pPr>
        <w:pStyle w:val="Default"/>
        <w:spacing w:line="276" w:lineRule="auto"/>
        <w:ind w:firstLine="720"/>
        <w:jc w:val="both"/>
        <w:rPr>
          <w:color w:val="auto"/>
          <w:lang w:val="ro-RO"/>
        </w:rPr>
      </w:pPr>
      <w:r w:rsidRPr="00A64892">
        <w:rPr>
          <w:color w:val="auto"/>
          <w:lang w:val="ro-RO"/>
        </w:rPr>
        <w:t>Motivele pentru care studenții</w:t>
      </w:r>
      <w:r w:rsidR="00333C47">
        <w:rPr>
          <w:color w:val="auto"/>
          <w:lang w:val="ro-RO"/>
        </w:rPr>
        <w:t>, în ipoteza în care ar decide să emigreze,</w:t>
      </w:r>
      <w:r w:rsidRPr="00A64892">
        <w:rPr>
          <w:color w:val="auto"/>
          <w:lang w:val="ro-RO"/>
        </w:rPr>
        <w:t xml:space="preserve"> s-ar întoarce în țară rămân în general motivele pentru care </w:t>
      </w:r>
      <w:r w:rsidR="00005305" w:rsidRPr="00A64892">
        <w:rPr>
          <w:color w:val="auto"/>
          <w:lang w:val="ro-RO"/>
        </w:rPr>
        <w:t xml:space="preserve">o parte dintre ei decid să rămână în țară. Este vorba despre familie și prieteni (80%), locuri și amintiri (42%), dorința de a contribui la modernizarea societății românești (32%) (Fig. </w:t>
      </w:r>
      <w:r w:rsidR="00D0046F">
        <w:rPr>
          <w:color w:val="auto"/>
          <w:lang w:val="ro-RO"/>
        </w:rPr>
        <w:t>3.</w:t>
      </w:r>
      <w:r w:rsidR="00005305" w:rsidRPr="00A64892">
        <w:rPr>
          <w:color w:val="auto"/>
          <w:lang w:val="ro-RO"/>
        </w:rPr>
        <w:t>13). Acestea sunt motive pe care generațiile viitoare de copii români născuți peste hotare nu le vor considera atât de puternice încât să-și dorească revenirea în țara de proveniență a păr</w:t>
      </w:r>
      <w:r w:rsidR="00656B66" w:rsidRPr="00A64892">
        <w:rPr>
          <w:color w:val="auto"/>
          <w:lang w:val="ro-RO"/>
        </w:rPr>
        <w:t>inților lor pentru că sentimentul de apartenență al generațiilor viitoare va fi din ce în ce mai redus</w:t>
      </w:r>
      <w:r w:rsidR="00B32FCE" w:rsidRPr="00A64892">
        <w:rPr>
          <w:color w:val="auto"/>
          <w:lang w:val="ro-RO"/>
        </w:rPr>
        <w:t>.</w:t>
      </w:r>
    </w:p>
    <w:p w:rsidR="00ED61B8" w:rsidRPr="00A64892" w:rsidRDefault="00ED61B8" w:rsidP="00005305">
      <w:pPr>
        <w:pStyle w:val="Default"/>
        <w:spacing w:line="276" w:lineRule="auto"/>
        <w:ind w:firstLine="720"/>
        <w:jc w:val="both"/>
        <w:rPr>
          <w:color w:val="auto"/>
          <w:lang w:val="ro-RO"/>
        </w:rPr>
      </w:pPr>
    </w:p>
    <w:p w:rsidR="00ED61B8" w:rsidRDefault="00025786" w:rsidP="00005305">
      <w:pPr>
        <w:pStyle w:val="Default"/>
        <w:spacing w:line="276" w:lineRule="auto"/>
        <w:ind w:firstLine="720"/>
        <w:jc w:val="both"/>
        <w:rPr>
          <w:b/>
          <w:color w:val="auto"/>
          <w:lang w:val="ro-RO"/>
        </w:rPr>
      </w:pPr>
      <w:r w:rsidRPr="00A64892">
        <w:rPr>
          <w:b/>
          <w:color w:val="auto"/>
          <w:lang w:val="ro-RO"/>
        </w:rPr>
        <w:t xml:space="preserve">4. </w:t>
      </w:r>
      <w:r w:rsidR="004D73E1">
        <w:rPr>
          <w:b/>
          <w:color w:val="auto"/>
          <w:lang w:val="ro-RO"/>
        </w:rPr>
        <w:t>ÎN LOC DE CONCLUZII</w:t>
      </w:r>
    </w:p>
    <w:p w:rsidR="00502962" w:rsidRPr="00A64892" w:rsidRDefault="00502962" w:rsidP="00005305">
      <w:pPr>
        <w:pStyle w:val="Default"/>
        <w:spacing w:line="276" w:lineRule="auto"/>
        <w:ind w:firstLine="720"/>
        <w:jc w:val="both"/>
        <w:rPr>
          <w:b/>
          <w:color w:val="auto"/>
          <w:lang w:val="ro-RO"/>
        </w:rPr>
      </w:pPr>
    </w:p>
    <w:p w:rsidR="008662C1" w:rsidRDefault="00D073A0" w:rsidP="00B71122">
      <w:pPr>
        <w:pStyle w:val="Default"/>
        <w:spacing w:line="276" w:lineRule="auto"/>
        <w:ind w:firstLine="720"/>
        <w:jc w:val="both"/>
        <w:rPr>
          <w:color w:val="auto"/>
          <w:lang w:val="ro-RO"/>
        </w:rPr>
      </w:pPr>
      <w:r w:rsidRPr="00B71122">
        <w:rPr>
          <w:color w:val="auto"/>
          <w:lang w:val="ro-RO"/>
        </w:rPr>
        <w:t xml:space="preserve">Rezultatele </w:t>
      </w:r>
      <w:r w:rsidR="00333C47" w:rsidRPr="00B71122">
        <w:rPr>
          <w:color w:val="auto"/>
          <w:lang w:val="ro-RO"/>
        </w:rPr>
        <w:t>sondajului-pilot pot fi considerate un semnal de alarmă. Ele</w:t>
      </w:r>
      <w:r w:rsidRPr="00B71122">
        <w:rPr>
          <w:color w:val="auto"/>
          <w:lang w:val="ro-RO"/>
        </w:rPr>
        <w:t xml:space="preserve"> arată în general </w:t>
      </w:r>
      <w:r w:rsidR="00333C47" w:rsidRPr="00B71122">
        <w:rPr>
          <w:color w:val="auto"/>
          <w:lang w:val="ro-RO"/>
        </w:rPr>
        <w:t xml:space="preserve">o intenție clară </w:t>
      </w:r>
      <w:r w:rsidRPr="00B71122">
        <w:rPr>
          <w:color w:val="auto"/>
          <w:lang w:val="ro-RO"/>
        </w:rPr>
        <w:t xml:space="preserve">a tinerilor români de a emigra. Cauzele sunt </w:t>
      </w:r>
      <w:r w:rsidR="00333C47" w:rsidRPr="00B71122">
        <w:rPr>
          <w:color w:val="auto"/>
          <w:lang w:val="ro-RO"/>
        </w:rPr>
        <w:t xml:space="preserve">multiple, pornind de la cele de natură </w:t>
      </w:r>
      <w:r w:rsidRPr="00B71122">
        <w:rPr>
          <w:color w:val="auto"/>
          <w:lang w:val="ro-RO"/>
        </w:rPr>
        <w:t xml:space="preserve"> personală, </w:t>
      </w:r>
      <w:r w:rsidR="00333C47" w:rsidRPr="00B71122">
        <w:rPr>
          <w:color w:val="auto"/>
          <w:lang w:val="ro-RO"/>
        </w:rPr>
        <w:t xml:space="preserve">legate cu precădere de nivelul de trai și ajungând la </w:t>
      </w:r>
      <w:r w:rsidRPr="00B71122">
        <w:rPr>
          <w:color w:val="auto"/>
          <w:lang w:val="ro-RO"/>
        </w:rPr>
        <w:t>deficiențe</w:t>
      </w:r>
      <w:r w:rsidR="00333C47" w:rsidRPr="00B71122">
        <w:rPr>
          <w:color w:val="auto"/>
          <w:lang w:val="ro-RO"/>
        </w:rPr>
        <w:t xml:space="preserve"> serioase</w:t>
      </w:r>
      <w:r w:rsidRPr="00B71122">
        <w:rPr>
          <w:color w:val="auto"/>
          <w:lang w:val="ro-RO"/>
        </w:rPr>
        <w:t xml:space="preserve"> ale sistemului s</w:t>
      </w:r>
      <w:r w:rsidR="00333C47" w:rsidRPr="00B71122">
        <w:rPr>
          <w:color w:val="auto"/>
          <w:lang w:val="ro-RO"/>
        </w:rPr>
        <w:t xml:space="preserve">anitar, educațional, legislativ, </w:t>
      </w:r>
      <w:r w:rsidR="00047918" w:rsidRPr="00B71122">
        <w:rPr>
          <w:color w:val="auto"/>
          <w:lang w:val="ro-RO"/>
        </w:rPr>
        <w:t>mediului politic etc</w:t>
      </w:r>
      <w:r w:rsidRPr="00B71122">
        <w:rPr>
          <w:color w:val="auto"/>
          <w:lang w:val="ro-RO"/>
        </w:rPr>
        <w:t xml:space="preserve">. </w:t>
      </w:r>
    </w:p>
    <w:p w:rsidR="00B71122" w:rsidRPr="00A64892" w:rsidRDefault="008662C1" w:rsidP="00B71122">
      <w:pPr>
        <w:pStyle w:val="Default"/>
        <w:spacing w:line="276" w:lineRule="auto"/>
        <w:ind w:firstLine="720"/>
        <w:jc w:val="both"/>
        <w:rPr>
          <w:color w:val="auto"/>
          <w:lang w:val="ro-RO"/>
        </w:rPr>
      </w:pPr>
      <w:r>
        <w:rPr>
          <w:color w:val="auto"/>
          <w:lang w:val="ro-RO"/>
        </w:rPr>
        <w:t xml:space="preserve">Prin urmare, cheltuielile pe care Statul Român le face cu educația și asigurarea sănătății tinerilor care părăsesc țara natală pot fi considerate pierderi. Pe de o parte sunt sume uneori nerecuperate, pe de altă parte, la nivelul pieței interne se poate crea un deficit de forță de muncă. </w:t>
      </w:r>
      <w:r>
        <w:rPr>
          <w:color w:val="auto"/>
          <w:lang w:val="ro-RO"/>
        </w:rPr>
        <w:lastRenderedPageBreak/>
        <w:t>Una dintre sursele</w:t>
      </w:r>
      <w:r w:rsidR="00B71122" w:rsidRPr="00A64892">
        <w:rPr>
          <w:color w:val="auto"/>
          <w:lang w:val="ro-RO"/>
        </w:rPr>
        <w:t xml:space="preserve"> de acoperire a pierderii populației cauzată de migrație este fluxul de imigranți din ce în ce mai mare ce vine către Uniunea Europeană, cu riscul apariției unor di</w:t>
      </w:r>
      <w:r w:rsidR="00B71122">
        <w:rPr>
          <w:color w:val="auto"/>
          <w:lang w:val="ro-RO"/>
        </w:rPr>
        <w:t>vergențe culturale și</w:t>
      </w:r>
      <w:r w:rsidR="00B71122" w:rsidRPr="00A64892">
        <w:rPr>
          <w:color w:val="auto"/>
          <w:lang w:val="ro-RO"/>
        </w:rPr>
        <w:t xml:space="preserve"> sociale. </w:t>
      </w:r>
      <w:r>
        <w:rPr>
          <w:color w:val="auto"/>
          <w:lang w:val="ro-RO"/>
        </w:rPr>
        <w:t>Se estimează că a</w:t>
      </w:r>
      <w:r w:rsidR="00B71122" w:rsidRPr="00A64892">
        <w:rPr>
          <w:color w:val="auto"/>
          <w:lang w:val="ro-RO"/>
        </w:rPr>
        <w:t>ceste fluxuri vor fi din ce în ce mai mari o dată cu dezvoltarea României</w:t>
      </w:r>
      <w:r w:rsidR="00B71122">
        <w:rPr>
          <w:color w:val="auto"/>
          <w:lang w:val="ro-RO"/>
        </w:rPr>
        <w:t>,</w:t>
      </w:r>
      <w:r w:rsidR="00B71122" w:rsidRPr="00A64892">
        <w:rPr>
          <w:color w:val="auto"/>
          <w:lang w:val="ro-RO"/>
        </w:rPr>
        <w:t xml:space="preserve"> deoarece țara noastră va deveni mai atractivă</w:t>
      </w:r>
      <w:r w:rsidR="00B71122">
        <w:rPr>
          <w:color w:val="auto"/>
          <w:lang w:val="ro-RO"/>
        </w:rPr>
        <w:t xml:space="preserve"> pentru</w:t>
      </w:r>
      <w:r w:rsidR="00B71122" w:rsidRPr="00A64892">
        <w:rPr>
          <w:color w:val="auto"/>
          <w:lang w:val="ro-RO"/>
        </w:rPr>
        <w:t xml:space="preserve"> străinii care caută o țară de adopție. </w:t>
      </w:r>
      <w:r w:rsidR="00B71122">
        <w:rPr>
          <w:color w:val="auto"/>
          <w:lang w:val="ro-RO"/>
        </w:rPr>
        <w:t>Trendul i</w:t>
      </w:r>
      <w:r w:rsidR="00B71122" w:rsidRPr="00A64892">
        <w:rPr>
          <w:color w:val="auto"/>
          <w:lang w:val="ro-RO"/>
        </w:rPr>
        <w:t>ntrăril</w:t>
      </w:r>
      <w:r w:rsidR="00B71122">
        <w:rPr>
          <w:color w:val="auto"/>
          <w:lang w:val="ro-RO"/>
        </w:rPr>
        <w:t>or</w:t>
      </w:r>
      <w:r w:rsidR="00B71122" w:rsidRPr="00A64892">
        <w:rPr>
          <w:color w:val="auto"/>
          <w:lang w:val="ro-RO"/>
        </w:rPr>
        <w:t xml:space="preserve"> nete de imigranți în UE </w:t>
      </w:r>
      <w:r w:rsidR="00B71122">
        <w:rPr>
          <w:color w:val="auto"/>
          <w:lang w:val="ro-RO"/>
        </w:rPr>
        <w:t xml:space="preserve">este unul de creștere - </w:t>
      </w:r>
      <w:r w:rsidR="00B71122" w:rsidRPr="00A64892">
        <w:rPr>
          <w:color w:val="auto"/>
          <w:lang w:val="ro-RO"/>
        </w:rPr>
        <w:t>de la 36 000 de persoane cât erau în 2013 la 1 360 000 de persoane în 2040 (European Commission, 201</w:t>
      </w:r>
      <w:r w:rsidR="00B71122">
        <w:rPr>
          <w:color w:val="auto"/>
          <w:lang w:val="ro-RO"/>
        </w:rPr>
        <w:t>4</w:t>
      </w:r>
      <w:r w:rsidR="00B71122" w:rsidRPr="00A64892">
        <w:rPr>
          <w:color w:val="auto"/>
          <w:lang w:val="ro-RO"/>
        </w:rPr>
        <w:t xml:space="preserve">). </w:t>
      </w:r>
    </w:p>
    <w:p w:rsidR="00B71122" w:rsidRPr="00A3188C" w:rsidRDefault="008662C1" w:rsidP="00B71122">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 toate acestea, în </w:t>
      </w:r>
      <w:r w:rsidR="00B71122" w:rsidRPr="00B71122">
        <w:rPr>
          <w:rFonts w:ascii="Times New Roman" w:hAnsi="Times New Roman" w:cs="Times New Roman"/>
          <w:sz w:val="24"/>
          <w:szCs w:val="24"/>
          <w:lang w:val="ro-RO"/>
        </w:rPr>
        <w:t>urma accentuării fenomenului de emigrare, efectele care apar la nivelul țării de origine sunt evidente.</w:t>
      </w:r>
      <w:r w:rsidR="00B71122">
        <w:rPr>
          <w:rFonts w:ascii="Times New Roman" w:hAnsi="Times New Roman" w:cs="Times New Roman"/>
          <w:sz w:val="24"/>
          <w:szCs w:val="24"/>
          <w:lang w:val="ro-RO"/>
        </w:rPr>
        <w:t xml:space="preserve"> Acestea pot fi </w:t>
      </w:r>
      <w:r w:rsidR="00B71122" w:rsidRPr="00B71122">
        <w:rPr>
          <w:rFonts w:ascii="Times New Roman" w:hAnsi="Times New Roman" w:cs="Times New Roman"/>
          <w:sz w:val="24"/>
          <w:szCs w:val="24"/>
          <w:lang w:val="ro-RO"/>
        </w:rPr>
        <w:t>pozitive, iar aici amintim doar remitențele și know-how-ul pe care cei plecați în străinătate le pot aduce la nivel național. Studiile</w:t>
      </w:r>
      <w:r w:rsidR="00B71122" w:rsidRPr="00A3188C">
        <w:rPr>
          <w:rFonts w:ascii="Times New Roman" w:hAnsi="Times New Roman" w:cs="Times New Roman"/>
          <w:sz w:val="24"/>
          <w:szCs w:val="24"/>
          <w:lang w:val="ro-RO"/>
        </w:rPr>
        <w:t xml:space="preserve"> efectuate de-a lungul timpului arată că migraţia</w:t>
      </w:r>
      <w:r w:rsidR="00B71122">
        <w:rPr>
          <w:rFonts w:ascii="Times New Roman" w:hAnsi="Times New Roman" w:cs="Times New Roman"/>
          <w:sz w:val="24"/>
          <w:szCs w:val="24"/>
          <w:lang w:val="ro-RO"/>
        </w:rPr>
        <w:t xml:space="preserve"> p</w:t>
      </w:r>
      <w:r w:rsidR="00B71122" w:rsidRPr="00A3188C">
        <w:rPr>
          <w:rFonts w:ascii="Times New Roman" w:hAnsi="Times New Roman" w:cs="Times New Roman"/>
          <w:sz w:val="24"/>
          <w:szCs w:val="24"/>
          <w:lang w:val="ro-RO"/>
        </w:rPr>
        <w:t>o</w:t>
      </w:r>
      <w:r w:rsidR="00B71122">
        <w:rPr>
          <w:rFonts w:ascii="Times New Roman" w:hAnsi="Times New Roman" w:cs="Times New Roman"/>
          <w:sz w:val="24"/>
          <w:szCs w:val="24"/>
          <w:lang w:val="ro-RO"/>
        </w:rPr>
        <w:t>a</w:t>
      </w:r>
      <w:r w:rsidR="00B71122" w:rsidRPr="00A3188C">
        <w:rPr>
          <w:rFonts w:ascii="Times New Roman" w:hAnsi="Times New Roman" w:cs="Times New Roman"/>
          <w:sz w:val="24"/>
          <w:szCs w:val="24"/>
          <w:lang w:val="ro-RO"/>
        </w:rPr>
        <w:t xml:space="preserve">te conduce la diminuarea tensiunii de pe piaţa muncii din ţările cu o rată înaltă a şomajului. În plus, de la migranţii care muncesc în ţările bogate, vin de multe ori, sume semnificative sub formă de remitenţe, care chiar dacă sunt direcţionate spre consum, pot induce un efect pozitiv de multiplicare. </w:t>
      </w:r>
    </w:p>
    <w:p w:rsidR="00B71122" w:rsidRPr="00A3188C" w:rsidRDefault="00B71122" w:rsidP="00B71122">
      <w:pPr>
        <w:spacing w:after="0"/>
        <w:ind w:firstLine="720"/>
        <w:jc w:val="both"/>
        <w:rPr>
          <w:rFonts w:ascii="Times New Roman" w:hAnsi="Times New Roman" w:cs="Times New Roman"/>
          <w:sz w:val="24"/>
          <w:szCs w:val="24"/>
          <w:lang w:val="ro-RO"/>
        </w:rPr>
      </w:pPr>
      <w:r w:rsidRPr="00A3188C">
        <w:rPr>
          <w:rFonts w:ascii="Times New Roman" w:hAnsi="Times New Roman" w:cs="Times New Roman"/>
          <w:sz w:val="24"/>
          <w:szCs w:val="24"/>
          <w:lang w:val="ro-RO"/>
        </w:rPr>
        <w:t xml:space="preserve">Ceea ce îngrijorează sunt, de fapt, efectele negative, printre acestea putând fi amintite: apariția unui deficit al forței de muncă în țara de origine, reducerea veniturilor la bugetul de stat al României, creșterea tensiunilor sociale și politice, potențiala intensificare a acțiunilor infracționale (intensificarea traficului de ființe umane, a traficului de droguri etc.) etc. </w:t>
      </w:r>
    </w:p>
    <w:p w:rsidR="00D073A0" w:rsidRPr="00A64892" w:rsidRDefault="00FA647E" w:rsidP="00B71122">
      <w:pPr>
        <w:autoSpaceDE w:val="0"/>
        <w:autoSpaceDN w:val="0"/>
        <w:adjustRightInd w:val="0"/>
        <w:spacing w:after="0" w:line="240" w:lineRule="auto"/>
        <w:ind w:firstLine="720"/>
        <w:jc w:val="both"/>
        <w:rPr>
          <w:lang w:val="ro-RO"/>
        </w:rPr>
      </w:pPr>
      <w:r>
        <w:rPr>
          <w:rFonts w:ascii="Times New Roman" w:hAnsi="Times New Roman" w:cs="Times New Roman"/>
          <w:sz w:val="24"/>
          <w:szCs w:val="24"/>
          <w:lang w:val="ro-RO"/>
        </w:rPr>
        <w:t>Așadar</w:t>
      </w:r>
      <w:bookmarkStart w:id="0" w:name="_GoBack"/>
      <w:bookmarkEnd w:id="0"/>
      <w:r w:rsidR="00B71122" w:rsidRPr="00A3188C">
        <w:rPr>
          <w:rFonts w:ascii="Times New Roman" w:hAnsi="Times New Roman" w:cs="Times New Roman"/>
          <w:sz w:val="24"/>
          <w:szCs w:val="24"/>
          <w:lang w:val="ro-RO"/>
        </w:rPr>
        <w:t>, pornind de la efectele negative ale emigrației și de la previziunile sumbre privind viitorul economic şi demografic al României, lipsa unor politici publice de susţinere a tinerilor absolvenţi care aleg să rămână şi să lucreze în ţară şi lipsa unor investiţii pentru păstrarea capitalului uman valoros, ne pot conduce la o situație critică, ce se va</w:t>
      </w:r>
      <w:r w:rsidR="00B71122">
        <w:rPr>
          <w:rFonts w:ascii="Times New Roman" w:hAnsi="Times New Roman" w:cs="Times New Roman"/>
          <w:sz w:val="24"/>
          <w:szCs w:val="24"/>
          <w:lang w:val="ro-RO"/>
        </w:rPr>
        <w:t xml:space="preserve"> </w:t>
      </w:r>
      <w:r w:rsidR="00B71122" w:rsidRPr="00B71122">
        <w:rPr>
          <w:rFonts w:ascii="Times New Roman" w:hAnsi="Times New Roman" w:cs="Times New Roman"/>
          <w:sz w:val="24"/>
          <w:szCs w:val="24"/>
          <w:lang w:val="ro-RO"/>
        </w:rPr>
        <w:t>reflecta evident în calitatea serviciilor publice, a sistemului medical, a celui de educaţie şi a</w:t>
      </w:r>
      <w:r w:rsidR="00B71122">
        <w:rPr>
          <w:rFonts w:ascii="Times New Roman" w:hAnsi="Times New Roman" w:cs="Times New Roman"/>
          <w:sz w:val="24"/>
          <w:szCs w:val="24"/>
          <w:lang w:val="ro-RO"/>
        </w:rPr>
        <w:t xml:space="preserve"> </w:t>
      </w:r>
      <w:r w:rsidR="00B71122" w:rsidRPr="00B71122">
        <w:rPr>
          <w:rFonts w:ascii="Times New Roman" w:hAnsi="Times New Roman" w:cs="Times New Roman"/>
          <w:sz w:val="24"/>
          <w:szCs w:val="24"/>
          <w:lang w:val="ro-RO"/>
        </w:rPr>
        <w:t>nivelului de trai în general.</w:t>
      </w:r>
    </w:p>
    <w:p w:rsidR="00656B66" w:rsidRPr="00A64892" w:rsidRDefault="00B71122" w:rsidP="00005305">
      <w:pPr>
        <w:pStyle w:val="Default"/>
        <w:spacing w:line="276" w:lineRule="auto"/>
        <w:ind w:firstLine="720"/>
        <w:jc w:val="both"/>
        <w:rPr>
          <w:color w:val="auto"/>
          <w:lang w:val="ro-RO"/>
        </w:rPr>
      </w:pPr>
      <w:r>
        <w:rPr>
          <w:color w:val="auto"/>
          <w:lang w:val="ro-RO"/>
        </w:rPr>
        <w:t>Prin urmare, a</w:t>
      </w:r>
      <w:r w:rsidR="00D073A0" w:rsidRPr="00A64892">
        <w:rPr>
          <w:color w:val="auto"/>
          <w:lang w:val="ro-RO"/>
        </w:rPr>
        <w:t xml:space="preserve">bordarea problemei se poate face din două </w:t>
      </w:r>
      <w:r>
        <w:rPr>
          <w:color w:val="auto"/>
          <w:lang w:val="ro-RO"/>
        </w:rPr>
        <w:t>perspective</w:t>
      </w:r>
      <w:r w:rsidR="00D073A0" w:rsidRPr="00A64892">
        <w:rPr>
          <w:color w:val="auto"/>
          <w:lang w:val="ro-RO"/>
        </w:rPr>
        <w:t xml:space="preserve">. </w:t>
      </w:r>
      <w:r w:rsidR="00EA3CFF" w:rsidRPr="00A64892">
        <w:rPr>
          <w:color w:val="auto"/>
          <w:lang w:val="ro-RO"/>
        </w:rPr>
        <w:t xml:space="preserve">O primă variantă </w:t>
      </w:r>
      <w:r>
        <w:rPr>
          <w:color w:val="auto"/>
          <w:lang w:val="ro-RO"/>
        </w:rPr>
        <w:t>ar consta în luarea unor măsuri sustenabile și eficiente destinate</w:t>
      </w:r>
      <w:r w:rsidR="00EA3CFF" w:rsidRPr="00A64892">
        <w:rPr>
          <w:color w:val="auto"/>
          <w:lang w:val="ro-RO"/>
        </w:rPr>
        <w:t xml:space="preserve"> stop</w:t>
      </w:r>
      <w:r>
        <w:rPr>
          <w:color w:val="auto"/>
          <w:lang w:val="ro-RO"/>
        </w:rPr>
        <w:t>ării</w:t>
      </w:r>
      <w:r w:rsidR="00EA3CFF" w:rsidRPr="00A64892">
        <w:rPr>
          <w:color w:val="auto"/>
          <w:lang w:val="ro-RO"/>
        </w:rPr>
        <w:t xml:space="preserve"> exodul</w:t>
      </w:r>
      <w:r>
        <w:rPr>
          <w:color w:val="auto"/>
          <w:lang w:val="ro-RO"/>
        </w:rPr>
        <w:t>ui</w:t>
      </w:r>
      <w:r w:rsidR="00EA3CFF" w:rsidRPr="00A64892">
        <w:rPr>
          <w:color w:val="auto"/>
          <w:lang w:val="ro-RO"/>
        </w:rPr>
        <w:t xml:space="preserve"> tinerilor. Soluția unei creșteri economice anuale de 4-5% mai mare decât în țările europene dezvoltate ar putea păstra în țară o parte din forța de muncă, dar chiar și așa îmbătrânirea populației europene și o creștere economică de 2-3% în țările dezvoltate tot va absorbi forță de muncă din țările est-europene, inclusiv România.</w:t>
      </w:r>
      <w:r w:rsidR="00025786" w:rsidRPr="00A64892">
        <w:rPr>
          <w:color w:val="auto"/>
          <w:lang w:val="ro-RO"/>
        </w:rPr>
        <w:t xml:space="preserve"> </w:t>
      </w:r>
      <w:r>
        <w:rPr>
          <w:color w:val="auto"/>
          <w:lang w:val="ro-RO"/>
        </w:rPr>
        <w:t>Prin urmare, oferirea posibilității de creare a unor locuri de muncă bine plătite, corespunzătoare nivelului de pregătire a tinerilor ar putea schimba mersul lucrurilor.</w:t>
      </w:r>
    </w:p>
    <w:p w:rsidR="00EA3CFF" w:rsidRDefault="00EA3CFF" w:rsidP="00005305">
      <w:pPr>
        <w:pStyle w:val="Default"/>
        <w:spacing w:line="276" w:lineRule="auto"/>
        <w:ind w:firstLine="720"/>
        <w:jc w:val="both"/>
        <w:rPr>
          <w:color w:val="auto"/>
          <w:lang w:val="ro-RO"/>
        </w:rPr>
      </w:pPr>
      <w:r w:rsidRPr="00A64892">
        <w:rPr>
          <w:color w:val="auto"/>
          <w:lang w:val="ro-RO"/>
        </w:rPr>
        <w:t xml:space="preserve">Cea de-a doua </w:t>
      </w:r>
      <w:r w:rsidR="00B71122">
        <w:rPr>
          <w:color w:val="auto"/>
          <w:lang w:val="ro-RO"/>
        </w:rPr>
        <w:t xml:space="preserve">variantă poate merge pe ideea conform căreia </w:t>
      </w:r>
      <w:r w:rsidRPr="00A64892">
        <w:rPr>
          <w:color w:val="auto"/>
          <w:lang w:val="ro-RO"/>
        </w:rPr>
        <w:t>migrația</w:t>
      </w:r>
      <w:r w:rsidR="00B71122">
        <w:rPr>
          <w:color w:val="auto"/>
          <w:lang w:val="ro-RO"/>
        </w:rPr>
        <w:t xml:space="preserve"> reprezintă</w:t>
      </w:r>
      <w:r w:rsidRPr="00A64892">
        <w:rPr>
          <w:color w:val="auto"/>
          <w:lang w:val="ro-RO"/>
        </w:rPr>
        <w:t xml:space="preserve"> un instrument de reglare</w:t>
      </w:r>
      <w:r w:rsidR="00175BA0">
        <w:rPr>
          <w:color w:val="auto"/>
          <w:lang w:val="ro-RO"/>
        </w:rPr>
        <w:t xml:space="preserve"> </w:t>
      </w:r>
      <w:r w:rsidRPr="00A64892">
        <w:rPr>
          <w:color w:val="auto"/>
          <w:lang w:val="ro-RO"/>
        </w:rPr>
        <w:t xml:space="preserve">a pieței muncii. </w:t>
      </w:r>
      <w:r w:rsidR="00B71122">
        <w:rPr>
          <w:color w:val="auto"/>
          <w:lang w:val="ro-RO"/>
        </w:rPr>
        <w:t xml:space="preserve">În acest caz, </w:t>
      </w:r>
      <w:r w:rsidR="0012170B" w:rsidRPr="00A64892">
        <w:rPr>
          <w:color w:val="auto"/>
          <w:lang w:val="ro-RO"/>
        </w:rPr>
        <w:t xml:space="preserve">prin tratate bilaterale </w:t>
      </w:r>
      <w:r w:rsidR="00B71122">
        <w:rPr>
          <w:color w:val="auto"/>
          <w:lang w:val="ro-RO"/>
        </w:rPr>
        <w:t xml:space="preserve">ar putea fi realizate </w:t>
      </w:r>
      <w:r w:rsidR="0012170B" w:rsidRPr="00A64892">
        <w:rPr>
          <w:color w:val="auto"/>
          <w:lang w:val="ro-RO"/>
        </w:rPr>
        <w:t>programe de migrare temporară între țara destinatară și țara de origine</w:t>
      </w:r>
      <w:r w:rsidR="00025786" w:rsidRPr="00A64892">
        <w:rPr>
          <w:color w:val="auto"/>
          <w:lang w:val="ro-RO"/>
        </w:rPr>
        <w:t xml:space="preserve"> (stat sau mediu privat)</w:t>
      </w:r>
      <w:r w:rsidR="0012170B" w:rsidRPr="00A64892">
        <w:rPr>
          <w:color w:val="auto"/>
          <w:lang w:val="ro-RO"/>
        </w:rPr>
        <w:t xml:space="preserve"> cu obligația transferului de cunoștințe în timp</w:t>
      </w:r>
      <w:r w:rsidR="000D1B58" w:rsidRPr="00A64892">
        <w:rPr>
          <w:color w:val="auto"/>
          <w:lang w:val="ro-RO"/>
        </w:rPr>
        <w:t>,</w:t>
      </w:r>
      <w:r w:rsidR="00B71122">
        <w:rPr>
          <w:color w:val="auto"/>
          <w:lang w:val="ro-RO"/>
        </w:rPr>
        <w:t xml:space="preserve"> astfel încât relația dintre țara de destinație și cea natală să se transforme într-una de tip win-win</w:t>
      </w:r>
      <w:r w:rsidR="00025786" w:rsidRPr="00A64892">
        <w:rPr>
          <w:color w:val="auto"/>
          <w:lang w:val="ro-RO"/>
        </w:rPr>
        <w:t>. În plus măsuri de facilitare a întoarcerii emigr</w:t>
      </w:r>
      <w:r w:rsidR="00175BA0">
        <w:rPr>
          <w:color w:val="auto"/>
          <w:lang w:val="ro-RO"/>
        </w:rPr>
        <w:t>anților calificați ar</w:t>
      </w:r>
      <w:r w:rsidR="00025786" w:rsidRPr="00A64892">
        <w:rPr>
          <w:color w:val="auto"/>
          <w:lang w:val="ro-RO"/>
        </w:rPr>
        <w:t xml:space="preserve"> avea un efect multiplicator semnificativ. Diaspora ar trebui încurajată să promoveze țara de origine prin participarea la rețele transnaționale de cunoaștere.</w:t>
      </w:r>
    </w:p>
    <w:p w:rsidR="008662C1" w:rsidRPr="00A64892" w:rsidRDefault="008662C1" w:rsidP="008662C1">
      <w:pPr>
        <w:pStyle w:val="Default"/>
        <w:spacing w:line="276" w:lineRule="auto"/>
        <w:ind w:firstLine="720"/>
        <w:jc w:val="both"/>
        <w:rPr>
          <w:color w:val="auto"/>
          <w:lang w:val="ro-RO"/>
        </w:rPr>
      </w:pPr>
      <w:r>
        <w:rPr>
          <w:color w:val="auto"/>
          <w:lang w:val="ro-RO"/>
        </w:rPr>
        <w:t xml:space="preserve">La nivel național pare că a sosit clipa luării unor măsuri serioase astfel încât stabilitatea economică, socială și politică să nu fie afectată în viitor. </w:t>
      </w:r>
    </w:p>
    <w:p w:rsidR="00FB41F7" w:rsidRPr="00A64892" w:rsidRDefault="00FB41F7" w:rsidP="00601396">
      <w:pPr>
        <w:pStyle w:val="Default"/>
        <w:spacing w:line="276" w:lineRule="auto"/>
        <w:jc w:val="both"/>
        <w:rPr>
          <w:b/>
          <w:color w:val="auto"/>
          <w:lang w:val="ro-RO"/>
        </w:rPr>
      </w:pPr>
    </w:p>
    <w:p w:rsidR="009E283E" w:rsidRDefault="009E283E" w:rsidP="00601396">
      <w:pPr>
        <w:pStyle w:val="Default"/>
        <w:spacing w:line="276" w:lineRule="auto"/>
        <w:jc w:val="both"/>
        <w:rPr>
          <w:b/>
          <w:color w:val="auto"/>
          <w:lang w:val="ro-RO"/>
        </w:rPr>
      </w:pPr>
    </w:p>
    <w:p w:rsidR="009E283E" w:rsidRDefault="009E283E" w:rsidP="00601396">
      <w:pPr>
        <w:pStyle w:val="Default"/>
        <w:spacing w:line="276" w:lineRule="auto"/>
        <w:jc w:val="both"/>
        <w:rPr>
          <w:b/>
          <w:color w:val="auto"/>
          <w:lang w:val="ro-RO"/>
        </w:rPr>
      </w:pPr>
    </w:p>
    <w:p w:rsidR="00DE6AF2" w:rsidRPr="00A64892" w:rsidRDefault="00DE6AF2" w:rsidP="00601396">
      <w:pPr>
        <w:pStyle w:val="Default"/>
        <w:spacing w:line="276" w:lineRule="auto"/>
        <w:jc w:val="both"/>
        <w:rPr>
          <w:b/>
          <w:color w:val="auto"/>
          <w:lang w:val="ro-RO"/>
        </w:rPr>
      </w:pPr>
      <w:r w:rsidRPr="00A64892">
        <w:rPr>
          <w:b/>
          <w:color w:val="auto"/>
          <w:lang w:val="ro-RO"/>
        </w:rPr>
        <w:lastRenderedPageBreak/>
        <w:t>Repere bibliografice</w:t>
      </w:r>
    </w:p>
    <w:p w:rsidR="002047A4" w:rsidRPr="00A64892" w:rsidRDefault="002047A4" w:rsidP="00601396">
      <w:pPr>
        <w:pStyle w:val="Default"/>
        <w:spacing w:line="276" w:lineRule="auto"/>
        <w:jc w:val="both"/>
        <w:rPr>
          <w:color w:val="auto"/>
          <w:lang w:val="ro-RO"/>
        </w:rPr>
      </w:pPr>
    </w:p>
    <w:p w:rsidR="00CB2364" w:rsidRDefault="00CB2364" w:rsidP="00CB2364">
      <w:pPr>
        <w:pStyle w:val="Default"/>
        <w:numPr>
          <w:ilvl w:val="0"/>
          <w:numId w:val="2"/>
        </w:numPr>
        <w:spacing w:line="276" w:lineRule="auto"/>
        <w:jc w:val="both"/>
        <w:rPr>
          <w:color w:val="auto"/>
        </w:rPr>
      </w:pPr>
      <w:proofErr w:type="spellStart"/>
      <w:r w:rsidRPr="000A658E">
        <w:rPr>
          <w:color w:val="auto"/>
        </w:rPr>
        <w:t>Beine</w:t>
      </w:r>
      <w:proofErr w:type="spellEnd"/>
      <w:r w:rsidRPr="000A658E">
        <w:rPr>
          <w:color w:val="auto"/>
        </w:rPr>
        <w:t xml:space="preserve">, M., F. </w:t>
      </w:r>
      <w:proofErr w:type="spellStart"/>
      <w:r w:rsidRPr="000A658E">
        <w:rPr>
          <w:color w:val="auto"/>
        </w:rPr>
        <w:t>Docquier</w:t>
      </w:r>
      <w:proofErr w:type="spellEnd"/>
      <w:r w:rsidRPr="000A658E">
        <w:rPr>
          <w:color w:val="auto"/>
        </w:rPr>
        <w:t xml:space="preserve"> and H. </w:t>
      </w:r>
      <w:proofErr w:type="spellStart"/>
      <w:r w:rsidRPr="000A658E">
        <w:rPr>
          <w:color w:val="auto"/>
        </w:rPr>
        <w:t>Rapoport</w:t>
      </w:r>
      <w:proofErr w:type="spellEnd"/>
      <w:r w:rsidRPr="000A658E">
        <w:rPr>
          <w:color w:val="auto"/>
        </w:rPr>
        <w:t xml:space="preserve"> (2001), </w:t>
      </w:r>
      <w:r w:rsidRPr="000A658E">
        <w:rPr>
          <w:i/>
          <w:color w:val="auto"/>
        </w:rPr>
        <w:t>Brain Drain and economic growth: theory and evidence</w:t>
      </w:r>
      <w:r w:rsidRPr="000A658E">
        <w:rPr>
          <w:color w:val="auto"/>
        </w:rPr>
        <w:t xml:space="preserve">, Journal of Development Economics, 64(1), pp. 275–289. </w:t>
      </w:r>
    </w:p>
    <w:p w:rsidR="00CB2364" w:rsidRDefault="00CB2364" w:rsidP="00CB2364">
      <w:pPr>
        <w:pStyle w:val="Default"/>
        <w:numPr>
          <w:ilvl w:val="0"/>
          <w:numId w:val="2"/>
        </w:numPr>
        <w:spacing w:line="276" w:lineRule="auto"/>
        <w:jc w:val="both"/>
        <w:rPr>
          <w:color w:val="auto"/>
        </w:rPr>
      </w:pPr>
      <w:proofErr w:type="spellStart"/>
      <w:r w:rsidRPr="00946619">
        <w:rPr>
          <w:color w:val="auto"/>
        </w:rPr>
        <w:t>Bhagwati</w:t>
      </w:r>
      <w:proofErr w:type="spellEnd"/>
      <w:r w:rsidRPr="00946619">
        <w:rPr>
          <w:color w:val="auto"/>
        </w:rPr>
        <w:t>, J. and J. D. Wilson (</w:t>
      </w:r>
      <w:proofErr w:type="spellStart"/>
      <w:proofErr w:type="gramStart"/>
      <w:r w:rsidRPr="00946619">
        <w:rPr>
          <w:color w:val="auto"/>
        </w:rPr>
        <w:t>ed</w:t>
      </w:r>
      <w:proofErr w:type="spellEnd"/>
      <w:proofErr w:type="gramEnd"/>
      <w:r w:rsidRPr="00946619">
        <w:rPr>
          <w:color w:val="auto"/>
        </w:rPr>
        <w:t xml:space="preserve">) (1989), </w:t>
      </w:r>
      <w:r w:rsidRPr="00946619">
        <w:rPr>
          <w:i/>
          <w:color w:val="auto"/>
        </w:rPr>
        <w:t>Income Taxation and International Mobility</w:t>
      </w:r>
      <w:r w:rsidRPr="00946619">
        <w:rPr>
          <w:color w:val="auto"/>
        </w:rPr>
        <w:t xml:space="preserve">, Cambridge, MA Mitt Pres. </w:t>
      </w:r>
    </w:p>
    <w:p w:rsidR="00CB2364" w:rsidRDefault="00CB2364" w:rsidP="00CB2364">
      <w:pPr>
        <w:pStyle w:val="Default"/>
        <w:numPr>
          <w:ilvl w:val="0"/>
          <w:numId w:val="2"/>
        </w:numPr>
        <w:spacing w:line="276" w:lineRule="auto"/>
        <w:jc w:val="both"/>
        <w:rPr>
          <w:color w:val="auto"/>
        </w:rPr>
      </w:pPr>
      <w:proofErr w:type="spellStart"/>
      <w:r w:rsidRPr="00946619">
        <w:rPr>
          <w:color w:val="auto"/>
        </w:rPr>
        <w:t>Cinar</w:t>
      </w:r>
      <w:proofErr w:type="spellEnd"/>
      <w:r w:rsidRPr="00946619">
        <w:rPr>
          <w:color w:val="auto"/>
        </w:rPr>
        <w:t xml:space="preserve">, D and F. </w:t>
      </w:r>
      <w:proofErr w:type="spellStart"/>
      <w:r w:rsidRPr="00946619">
        <w:rPr>
          <w:color w:val="auto"/>
        </w:rPr>
        <w:t>Docquier</w:t>
      </w:r>
      <w:proofErr w:type="spellEnd"/>
      <w:r w:rsidRPr="00946619">
        <w:rPr>
          <w:color w:val="auto"/>
        </w:rPr>
        <w:t xml:space="preserve"> (2004), </w:t>
      </w:r>
      <w:r w:rsidRPr="00946619">
        <w:rPr>
          <w:i/>
          <w:color w:val="auto"/>
        </w:rPr>
        <w:t>Brain drain and Remittances: implications for the source country</w:t>
      </w:r>
      <w:r w:rsidRPr="00946619">
        <w:rPr>
          <w:color w:val="auto"/>
        </w:rPr>
        <w:t xml:space="preserve">, Brussels Economic Review, Vol. 47, Issue 1, pp. 103-118 </w:t>
      </w:r>
    </w:p>
    <w:p w:rsidR="00CB2364" w:rsidRDefault="00CB2364" w:rsidP="00CB2364">
      <w:pPr>
        <w:pStyle w:val="Default"/>
        <w:numPr>
          <w:ilvl w:val="0"/>
          <w:numId w:val="2"/>
        </w:numPr>
        <w:spacing w:line="276" w:lineRule="auto"/>
        <w:jc w:val="both"/>
        <w:rPr>
          <w:color w:val="auto"/>
        </w:rPr>
      </w:pPr>
      <w:proofErr w:type="gramStart"/>
      <w:r w:rsidRPr="00946619">
        <w:rPr>
          <w:color w:val="auto"/>
        </w:rPr>
        <w:t>Constantinescu  M</w:t>
      </w:r>
      <w:proofErr w:type="gramEnd"/>
      <w:r w:rsidRPr="00946619">
        <w:rPr>
          <w:color w:val="auto"/>
        </w:rPr>
        <w:t xml:space="preserve">. (2002), </w:t>
      </w:r>
      <w:proofErr w:type="spellStart"/>
      <w:r w:rsidRPr="00946619">
        <w:rPr>
          <w:i/>
          <w:color w:val="auto"/>
        </w:rPr>
        <w:t>Teorii</w:t>
      </w:r>
      <w:proofErr w:type="spellEnd"/>
      <w:r w:rsidRPr="00946619">
        <w:rPr>
          <w:i/>
          <w:color w:val="auto"/>
        </w:rPr>
        <w:t xml:space="preserve"> ale </w:t>
      </w:r>
      <w:proofErr w:type="spellStart"/>
      <w:r w:rsidRPr="00946619">
        <w:rPr>
          <w:i/>
          <w:color w:val="auto"/>
        </w:rPr>
        <w:t>migraţiei</w:t>
      </w:r>
      <w:proofErr w:type="spellEnd"/>
      <w:r w:rsidRPr="00946619">
        <w:rPr>
          <w:i/>
          <w:color w:val="auto"/>
        </w:rPr>
        <w:t xml:space="preserve"> </w:t>
      </w:r>
      <w:proofErr w:type="spellStart"/>
      <w:r w:rsidRPr="00946619">
        <w:rPr>
          <w:i/>
          <w:color w:val="auto"/>
        </w:rPr>
        <w:t>internaţionale</w:t>
      </w:r>
      <w:proofErr w:type="spellEnd"/>
      <w:r w:rsidRPr="00946619">
        <w:rPr>
          <w:color w:val="auto"/>
        </w:rPr>
        <w:t xml:space="preserve">, </w:t>
      </w:r>
      <w:proofErr w:type="spellStart"/>
      <w:r w:rsidRPr="00946619">
        <w:rPr>
          <w:color w:val="auto"/>
        </w:rPr>
        <w:t>Sociologie</w:t>
      </w:r>
      <w:proofErr w:type="spellEnd"/>
      <w:r w:rsidRPr="00946619">
        <w:rPr>
          <w:color w:val="auto"/>
        </w:rPr>
        <w:t xml:space="preserve"> </w:t>
      </w:r>
      <w:proofErr w:type="spellStart"/>
      <w:r w:rsidRPr="00946619">
        <w:rPr>
          <w:color w:val="auto"/>
        </w:rPr>
        <w:t>Românească</w:t>
      </w:r>
      <w:proofErr w:type="spellEnd"/>
      <w:r w:rsidRPr="00946619">
        <w:rPr>
          <w:color w:val="auto"/>
        </w:rPr>
        <w:t xml:space="preserve">, nr. 3-4. </w:t>
      </w:r>
      <w:proofErr w:type="spellStart"/>
      <w:r w:rsidRPr="00946619">
        <w:rPr>
          <w:color w:val="auto"/>
        </w:rPr>
        <w:t>Polirom</w:t>
      </w:r>
      <w:proofErr w:type="spellEnd"/>
      <w:r w:rsidRPr="00946619">
        <w:rPr>
          <w:color w:val="auto"/>
        </w:rPr>
        <w:t xml:space="preserve">, pp. 93-114. </w:t>
      </w:r>
    </w:p>
    <w:p w:rsidR="00CB2364" w:rsidRDefault="00CB2364" w:rsidP="00CB2364">
      <w:pPr>
        <w:pStyle w:val="Default"/>
        <w:numPr>
          <w:ilvl w:val="0"/>
          <w:numId w:val="2"/>
        </w:numPr>
        <w:spacing w:line="276" w:lineRule="auto"/>
        <w:jc w:val="both"/>
        <w:rPr>
          <w:color w:val="auto"/>
        </w:rPr>
      </w:pPr>
      <w:proofErr w:type="spellStart"/>
      <w:r w:rsidRPr="00946619">
        <w:rPr>
          <w:color w:val="auto"/>
        </w:rPr>
        <w:t>Docquier</w:t>
      </w:r>
      <w:proofErr w:type="spellEnd"/>
      <w:r w:rsidRPr="00946619">
        <w:rPr>
          <w:color w:val="auto"/>
        </w:rPr>
        <w:t xml:space="preserve">, F. and </w:t>
      </w:r>
      <w:proofErr w:type="spellStart"/>
      <w:r w:rsidRPr="00946619">
        <w:rPr>
          <w:color w:val="auto"/>
        </w:rPr>
        <w:t>Rapoport</w:t>
      </w:r>
      <w:proofErr w:type="spellEnd"/>
      <w:r w:rsidRPr="00946619">
        <w:rPr>
          <w:color w:val="auto"/>
        </w:rPr>
        <w:t xml:space="preserve">, H. (2004), </w:t>
      </w:r>
      <w:r w:rsidRPr="00946619">
        <w:rPr>
          <w:i/>
          <w:color w:val="auto"/>
        </w:rPr>
        <w:t>Skilled migration: the perspective of developing countries</w:t>
      </w:r>
      <w:r w:rsidRPr="00946619">
        <w:rPr>
          <w:color w:val="auto"/>
        </w:rPr>
        <w:t xml:space="preserve">, Policy Research Working Paper Series 3382 </w:t>
      </w:r>
    </w:p>
    <w:p w:rsidR="00CB2364" w:rsidRDefault="00CB2364" w:rsidP="00CB2364">
      <w:pPr>
        <w:pStyle w:val="Default"/>
        <w:numPr>
          <w:ilvl w:val="0"/>
          <w:numId w:val="2"/>
        </w:numPr>
        <w:spacing w:line="276" w:lineRule="auto"/>
        <w:jc w:val="both"/>
        <w:rPr>
          <w:color w:val="auto"/>
        </w:rPr>
      </w:pPr>
      <w:r w:rsidRPr="00946619">
        <w:rPr>
          <w:color w:val="auto"/>
        </w:rPr>
        <w:t xml:space="preserve">Dos Santos, M.D, </w:t>
      </w:r>
      <w:proofErr w:type="spellStart"/>
      <w:r w:rsidRPr="00946619">
        <w:rPr>
          <w:color w:val="auto"/>
        </w:rPr>
        <w:t>Postel-Vinay</w:t>
      </w:r>
      <w:proofErr w:type="spellEnd"/>
      <w:r w:rsidRPr="00946619">
        <w:rPr>
          <w:color w:val="auto"/>
        </w:rPr>
        <w:t xml:space="preserve">, F. (2003), </w:t>
      </w:r>
      <w:r w:rsidRPr="00946619">
        <w:rPr>
          <w:i/>
          <w:color w:val="auto"/>
        </w:rPr>
        <w:t>Migration as a source of growth: The perspective of a developing country</w:t>
      </w:r>
      <w:r w:rsidRPr="00946619">
        <w:rPr>
          <w:color w:val="auto"/>
        </w:rPr>
        <w:t xml:space="preserve">, Journal of Population Economics, Springer, vol. 16(1), pp. 161-175. </w:t>
      </w:r>
    </w:p>
    <w:p w:rsidR="00CB2364" w:rsidRDefault="00CB2364" w:rsidP="00CB2364">
      <w:pPr>
        <w:pStyle w:val="Default"/>
        <w:numPr>
          <w:ilvl w:val="0"/>
          <w:numId w:val="2"/>
        </w:numPr>
        <w:spacing w:line="276" w:lineRule="auto"/>
        <w:jc w:val="both"/>
        <w:rPr>
          <w:color w:val="auto"/>
        </w:rPr>
      </w:pPr>
      <w:r w:rsidRPr="00946619">
        <w:rPr>
          <w:color w:val="auto"/>
        </w:rPr>
        <w:t xml:space="preserve">European Commission (2014), </w:t>
      </w:r>
      <w:proofErr w:type="gramStart"/>
      <w:r w:rsidRPr="00946619">
        <w:rPr>
          <w:i/>
          <w:color w:val="auto"/>
        </w:rPr>
        <w:t>The</w:t>
      </w:r>
      <w:proofErr w:type="gramEnd"/>
      <w:r w:rsidRPr="00946619">
        <w:rPr>
          <w:i/>
          <w:color w:val="auto"/>
        </w:rPr>
        <w:t xml:space="preserve"> 2015 Ageing Report. </w:t>
      </w:r>
      <w:r w:rsidRPr="00946619">
        <w:rPr>
          <w:i/>
        </w:rPr>
        <w:t>Underlying Assumptions and Projection Methodologies</w:t>
      </w:r>
      <w:r w:rsidRPr="000A658E">
        <w:t xml:space="preserve">, Brussels, Belgium, </w:t>
      </w:r>
      <w:r w:rsidRPr="00946619">
        <w:rPr>
          <w:color w:val="auto"/>
        </w:rPr>
        <w:t xml:space="preserve"> </w:t>
      </w:r>
      <w:hyperlink r:id="rId22" w:history="1">
        <w:r w:rsidRPr="001839FB">
          <w:rPr>
            <w:rStyle w:val="Hyperlink"/>
          </w:rPr>
          <w:t>http://ec.europa.eu/economy_finance/publications/european_economy/2014/pdf/ee8_en.pdF</w:t>
        </w:r>
      </w:hyperlink>
      <w:r>
        <w:t>, [</w:t>
      </w:r>
      <w:proofErr w:type="spellStart"/>
      <w:r w:rsidR="005E33C6" w:rsidRPr="003A34C1">
        <w:t>accesat</w:t>
      </w:r>
      <w:proofErr w:type="spellEnd"/>
      <w:r w:rsidR="005E33C6" w:rsidRPr="003A34C1">
        <w:t xml:space="preserve"> la</w:t>
      </w:r>
      <w:r w:rsidRPr="003A34C1">
        <w:rPr>
          <w:color w:val="auto"/>
        </w:rPr>
        <w:t xml:space="preserve"> 20 </w:t>
      </w:r>
      <w:proofErr w:type="spellStart"/>
      <w:r w:rsidRPr="003A34C1">
        <w:rPr>
          <w:color w:val="auto"/>
        </w:rPr>
        <w:t>martie</w:t>
      </w:r>
      <w:proofErr w:type="spellEnd"/>
      <w:r>
        <w:t xml:space="preserve"> 2015]</w:t>
      </w:r>
    </w:p>
    <w:p w:rsidR="00CB2364" w:rsidRPr="00AB2618" w:rsidRDefault="00CB2364" w:rsidP="00CB2364">
      <w:pPr>
        <w:pStyle w:val="Default"/>
        <w:numPr>
          <w:ilvl w:val="0"/>
          <w:numId w:val="2"/>
        </w:numPr>
        <w:spacing w:line="276" w:lineRule="auto"/>
        <w:jc w:val="both"/>
        <w:rPr>
          <w:color w:val="auto"/>
        </w:rPr>
      </w:pPr>
      <w:proofErr w:type="spellStart"/>
      <w:r w:rsidRPr="000A658E">
        <w:t>Institutul</w:t>
      </w:r>
      <w:proofErr w:type="spellEnd"/>
      <w:r w:rsidRPr="000A658E">
        <w:t xml:space="preserve"> </w:t>
      </w:r>
      <w:proofErr w:type="spellStart"/>
      <w:r w:rsidRPr="000A658E">
        <w:t>Național</w:t>
      </w:r>
      <w:proofErr w:type="spellEnd"/>
      <w:r w:rsidRPr="000A658E">
        <w:t xml:space="preserve"> de </w:t>
      </w:r>
      <w:proofErr w:type="spellStart"/>
      <w:r w:rsidRPr="000A658E">
        <w:t>Statistică</w:t>
      </w:r>
      <w:proofErr w:type="spellEnd"/>
      <w:r w:rsidRPr="000A658E">
        <w:t xml:space="preserve"> (2014), </w:t>
      </w:r>
      <w:proofErr w:type="spellStart"/>
      <w:r w:rsidRPr="00946619">
        <w:rPr>
          <w:i/>
        </w:rPr>
        <w:t>Migrația</w:t>
      </w:r>
      <w:proofErr w:type="spellEnd"/>
      <w:r w:rsidRPr="00946619">
        <w:rPr>
          <w:i/>
        </w:rPr>
        <w:t xml:space="preserve"> </w:t>
      </w:r>
      <w:proofErr w:type="spellStart"/>
      <w:r w:rsidRPr="00946619">
        <w:rPr>
          <w:i/>
        </w:rPr>
        <w:t>internațională</w:t>
      </w:r>
      <w:proofErr w:type="spellEnd"/>
      <w:r w:rsidRPr="00946619">
        <w:rPr>
          <w:i/>
        </w:rPr>
        <w:t xml:space="preserve"> a </w:t>
      </w:r>
      <w:proofErr w:type="spellStart"/>
      <w:r w:rsidRPr="00946619">
        <w:rPr>
          <w:i/>
        </w:rPr>
        <w:t>României</w:t>
      </w:r>
      <w:proofErr w:type="spellEnd"/>
      <w:r w:rsidRPr="000A658E">
        <w:t xml:space="preserve">, </w:t>
      </w:r>
      <w:proofErr w:type="spellStart"/>
      <w:r w:rsidRPr="000A658E">
        <w:t>București</w:t>
      </w:r>
      <w:proofErr w:type="spellEnd"/>
      <w:r w:rsidRPr="000A658E">
        <w:t xml:space="preserve">, </w:t>
      </w:r>
      <w:hyperlink r:id="rId23" w:history="1">
        <w:r w:rsidRPr="001839FB">
          <w:rPr>
            <w:rStyle w:val="Hyperlink"/>
          </w:rPr>
          <w:t>http://www.insse.ro/cms/files/publicatii/pliante%20statistice/Migratia%20internationala%20a%20Romaniei.pdf</w:t>
        </w:r>
      </w:hyperlink>
      <w:r>
        <w:t>, [</w:t>
      </w:r>
      <w:proofErr w:type="spellStart"/>
      <w:r>
        <w:t>accesat</w:t>
      </w:r>
      <w:proofErr w:type="spellEnd"/>
      <w:r>
        <w:t xml:space="preserve"> la 14 </w:t>
      </w:r>
      <w:proofErr w:type="spellStart"/>
      <w:r>
        <w:t>februarie</w:t>
      </w:r>
      <w:proofErr w:type="spellEnd"/>
      <w:r>
        <w:t xml:space="preserve"> 2015]</w:t>
      </w:r>
    </w:p>
    <w:p w:rsidR="00AB2618" w:rsidRPr="00AB2618" w:rsidRDefault="00AB2618" w:rsidP="00AB2618">
      <w:pPr>
        <w:pStyle w:val="Default"/>
        <w:numPr>
          <w:ilvl w:val="0"/>
          <w:numId w:val="2"/>
        </w:numPr>
        <w:spacing w:line="276" w:lineRule="auto"/>
        <w:jc w:val="both"/>
        <w:rPr>
          <w:color w:val="auto"/>
        </w:rPr>
      </w:pPr>
      <w:proofErr w:type="spellStart"/>
      <w:r>
        <w:t>Institutul</w:t>
      </w:r>
      <w:proofErr w:type="spellEnd"/>
      <w:r>
        <w:t xml:space="preserve"> Rom</w:t>
      </w:r>
      <w:r>
        <w:rPr>
          <w:lang w:val="ro-RO"/>
        </w:rPr>
        <w:t>ân pentru Evaluare și Strategie</w:t>
      </w:r>
      <w:r>
        <w:t xml:space="preserve"> (IRES). (2013), </w:t>
      </w:r>
      <w:r w:rsidRPr="00AA519B">
        <w:rPr>
          <w:i/>
        </w:rPr>
        <w:t>Perceptions and attitudes of the Romanian population regarding working abroad</w:t>
      </w:r>
      <w:r>
        <w:t xml:space="preserve">, Research Report, </w:t>
      </w:r>
      <w:hyperlink r:id="rId24" w:history="1">
        <w:r w:rsidRPr="008602A5">
          <w:rPr>
            <w:rStyle w:val="Hyperlink"/>
          </w:rPr>
          <w:t>http://www.ires.com.ro/articol/221/perceptions-and-attitudes-of-the-romanian-population-regarding-working-abroad</w:t>
        </w:r>
      </w:hyperlink>
      <w:r>
        <w:t>, [</w:t>
      </w:r>
      <w:proofErr w:type="spellStart"/>
      <w:r w:rsidR="00F228D6">
        <w:t>accesat</w:t>
      </w:r>
      <w:proofErr w:type="spellEnd"/>
      <w:r w:rsidR="00F228D6">
        <w:t xml:space="preserve"> la </w:t>
      </w:r>
      <w:r>
        <w:t>16</w:t>
      </w:r>
      <w:r w:rsidR="00F228D6">
        <w:t xml:space="preserve"> martie</w:t>
      </w:r>
      <w:r>
        <w:t>, 2015 ]</w:t>
      </w:r>
    </w:p>
    <w:p w:rsidR="00CB2364" w:rsidRPr="00946619" w:rsidRDefault="00CB2364" w:rsidP="00CB2364">
      <w:pPr>
        <w:pStyle w:val="Default"/>
        <w:numPr>
          <w:ilvl w:val="0"/>
          <w:numId w:val="2"/>
        </w:numPr>
        <w:spacing w:line="276" w:lineRule="auto"/>
        <w:jc w:val="both"/>
        <w:rPr>
          <w:color w:val="auto"/>
        </w:rPr>
      </w:pPr>
      <w:r w:rsidRPr="00946619">
        <w:t xml:space="preserve">Lee, E.S. (1966), </w:t>
      </w:r>
      <w:r w:rsidRPr="00946619">
        <w:rPr>
          <w:i/>
        </w:rPr>
        <w:t>A Theory of Migration,</w:t>
      </w:r>
      <w:r w:rsidRPr="00946619">
        <w:t xml:space="preserve"> </w:t>
      </w:r>
      <w:r w:rsidRPr="00946619">
        <w:rPr>
          <w:iCs/>
        </w:rPr>
        <w:t>Demography</w:t>
      </w:r>
      <w:r w:rsidRPr="00946619">
        <w:t xml:space="preserve">, 3(1), pp. 47-57, </w:t>
      </w:r>
      <w:hyperlink r:id="rId25" w:history="1">
        <w:r w:rsidRPr="001839FB">
          <w:rPr>
            <w:rStyle w:val="Hyperlink"/>
          </w:rPr>
          <w:t>http://links.jstor.org/sici?sici=0070-3370%281966%293%3A1%3C47%3AATOM%3E2.0.CO%3B2-B</w:t>
        </w:r>
      </w:hyperlink>
      <w:r>
        <w:t>, [</w:t>
      </w:r>
      <w:proofErr w:type="spellStart"/>
      <w:r>
        <w:t>accesat</w:t>
      </w:r>
      <w:proofErr w:type="spellEnd"/>
      <w:r>
        <w:t xml:space="preserve"> la 15 </w:t>
      </w:r>
      <w:proofErr w:type="spellStart"/>
      <w:r>
        <w:t>martie</w:t>
      </w:r>
      <w:proofErr w:type="spellEnd"/>
      <w:r>
        <w:t xml:space="preserve"> 2015]</w:t>
      </w:r>
    </w:p>
    <w:p w:rsidR="00CB2364" w:rsidRPr="00946619" w:rsidRDefault="00CB2364" w:rsidP="00CB2364">
      <w:pPr>
        <w:pStyle w:val="Default"/>
        <w:numPr>
          <w:ilvl w:val="0"/>
          <w:numId w:val="2"/>
        </w:numPr>
        <w:spacing w:line="276" w:lineRule="auto"/>
        <w:jc w:val="both"/>
        <w:rPr>
          <w:color w:val="auto"/>
        </w:rPr>
      </w:pPr>
      <w:r w:rsidRPr="00946619">
        <w:t xml:space="preserve">Marx, K. (2009), </w:t>
      </w:r>
      <w:proofErr w:type="spellStart"/>
      <w:r w:rsidRPr="00946619">
        <w:rPr>
          <w:i/>
        </w:rPr>
        <w:t>Critica</w:t>
      </w:r>
      <w:proofErr w:type="spellEnd"/>
      <w:r w:rsidRPr="00946619">
        <w:rPr>
          <w:i/>
        </w:rPr>
        <w:t xml:space="preserve"> </w:t>
      </w:r>
      <w:proofErr w:type="spellStart"/>
      <w:r w:rsidRPr="00946619">
        <w:rPr>
          <w:i/>
        </w:rPr>
        <w:t>economiei</w:t>
      </w:r>
      <w:proofErr w:type="spellEnd"/>
      <w:r w:rsidRPr="00946619">
        <w:rPr>
          <w:i/>
        </w:rPr>
        <w:t xml:space="preserve"> </w:t>
      </w:r>
      <w:proofErr w:type="spellStart"/>
      <w:r w:rsidRPr="00946619">
        <w:rPr>
          <w:i/>
        </w:rPr>
        <w:t>politice</w:t>
      </w:r>
      <w:proofErr w:type="spellEnd"/>
      <w:r w:rsidRPr="00946619">
        <w:rPr>
          <w:i/>
        </w:rPr>
        <w:t xml:space="preserve">. </w:t>
      </w:r>
      <w:proofErr w:type="spellStart"/>
      <w:r w:rsidRPr="00946619">
        <w:rPr>
          <w:i/>
        </w:rPr>
        <w:t>Procesul</w:t>
      </w:r>
      <w:proofErr w:type="spellEnd"/>
      <w:r w:rsidRPr="00946619">
        <w:rPr>
          <w:i/>
        </w:rPr>
        <w:t xml:space="preserve"> de </w:t>
      </w:r>
      <w:proofErr w:type="spellStart"/>
      <w:r w:rsidRPr="00946619">
        <w:rPr>
          <w:i/>
        </w:rPr>
        <w:t>producţie</w:t>
      </w:r>
      <w:proofErr w:type="spellEnd"/>
      <w:r w:rsidRPr="00946619">
        <w:rPr>
          <w:i/>
        </w:rPr>
        <w:t xml:space="preserve"> al </w:t>
      </w:r>
      <w:proofErr w:type="spellStart"/>
      <w:r w:rsidRPr="00946619">
        <w:rPr>
          <w:i/>
        </w:rPr>
        <w:t>capitalului</w:t>
      </w:r>
      <w:proofErr w:type="spellEnd"/>
      <w:r w:rsidRPr="00946619">
        <w:rPr>
          <w:i/>
        </w:rPr>
        <w:t xml:space="preserve">, </w:t>
      </w:r>
      <w:proofErr w:type="spellStart"/>
      <w:r w:rsidRPr="00946619">
        <w:t>vol.I</w:t>
      </w:r>
      <w:proofErr w:type="spellEnd"/>
      <w:r w:rsidRPr="00946619">
        <w:t>,</w:t>
      </w:r>
      <w:r w:rsidRPr="00946619">
        <w:rPr>
          <w:i/>
        </w:rPr>
        <w:t xml:space="preserve"> </w:t>
      </w:r>
      <w:r w:rsidRPr="00946619">
        <w:t xml:space="preserve">Alexandria Publishing House, </w:t>
      </w:r>
      <w:proofErr w:type="spellStart"/>
      <w:r w:rsidRPr="00946619">
        <w:t>Suceava</w:t>
      </w:r>
      <w:proofErr w:type="spellEnd"/>
      <w:r w:rsidRPr="00946619">
        <w:t xml:space="preserve"> </w:t>
      </w:r>
    </w:p>
    <w:p w:rsidR="00CB2364" w:rsidRPr="00814AEC" w:rsidRDefault="00CB2364" w:rsidP="00CB2364">
      <w:pPr>
        <w:pStyle w:val="Default"/>
        <w:numPr>
          <w:ilvl w:val="0"/>
          <w:numId w:val="2"/>
        </w:numPr>
        <w:spacing w:line="276" w:lineRule="auto"/>
        <w:jc w:val="both"/>
        <w:rPr>
          <w:color w:val="auto"/>
        </w:rPr>
      </w:pPr>
      <w:r w:rsidRPr="00946619">
        <w:t xml:space="preserve">Massey, D. et all (1987), </w:t>
      </w:r>
      <w:r w:rsidRPr="00946619">
        <w:rPr>
          <w:i/>
        </w:rPr>
        <w:t xml:space="preserve">Return to </w:t>
      </w:r>
      <w:proofErr w:type="spellStart"/>
      <w:r w:rsidRPr="00946619">
        <w:rPr>
          <w:i/>
        </w:rPr>
        <w:t>Atzlan</w:t>
      </w:r>
      <w:proofErr w:type="spellEnd"/>
      <w:r w:rsidRPr="00946619">
        <w:rPr>
          <w:i/>
        </w:rPr>
        <w:t>: The Social Process of International Migration from Western Mexico,</w:t>
      </w:r>
      <w:r w:rsidRPr="00946619">
        <w:t xml:space="preserve"> University of California Press, Berkeley, US</w:t>
      </w:r>
    </w:p>
    <w:p w:rsidR="00CB2364" w:rsidRDefault="00CB2364" w:rsidP="00CB2364">
      <w:pPr>
        <w:pStyle w:val="Default"/>
        <w:numPr>
          <w:ilvl w:val="0"/>
          <w:numId w:val="2"/>
        </w:numPr>
        <w:spacing w:line="276" w:lineRule="auto"/>
        <w:jc w:val="both"/>
        <w:rPr>
          <w:color w:val="auto"/>
        </w:rPr>
      </w:pPr>
      <w:r w:rsidRPr="00814AEC">
        <w:t xml:space="preserve">Massey, D. (1990), </w:t>
      </w:r>
      <w:r w:rsidRPr="00814AEC">
        <w:rPr>
          <w:i/>
        </w:rPr>
        <w:t>The Social and Economic Origins of Immigration</w:t>
      </w:r>
      <w:r w:rsidRPr="00814AEC">
        <w:t xml:space="preserve">, Annals of the American Academy of Political and Social Science, Vol. 510, pp. 60-72, http://www.jstor.org/pss/1046794 </w:t>
      </w:r>
    </w:p>
    <w:p w:rsidR="00CB2364" w:rsidRDefault="00CB2364" w:rsidP="00CB2364">
      <w:pPr>
        <w:pStyle w:val="Default"/>
        <w:numPr>
          <w:ilvl w:val="0"/>
          <w:numId w:val="2"/>
        </w:numPr>
        <w:spacing w:line="276" w:lineRule="auto"/>
        <w:jc w:val="both"/>
        <w:rPr>
          <w:color w:val="auto"/>
        </w:rPr>
      </w:pPr>
      <w:proofErr w:type="spellStart"/>
      <w:r w:rsidRPr="00814AEC">
        <w:rPr>
          <w:color w:val="auto"/>
        </w:rPr>
        <w:t>Mesnard</w:t>
      </w:r>
      <w:proofErr w:type="spellEnd"/>
      <w:r w:rsidRPr="00814AEC">
        <w:rPr>
          <w:color w:val="auto"/>
        </w:rPr>
        <w:t xml:space="preserve">, A., </w:t>
      </w:r>
      <w:proofErr w:type="spellStart"/>
      <w:r w:rsidRPr="00814AEC">
        <w:rPr>
          <w:color w:val="auto"/>
        </w:rPr>
        <w:t>Ravallion</w:t>
      </w:r>
      <w:proofErr w:type="spellEnd"/>
      <w:r w:rsidRPr="00814AEC">
        <w:rPr>
          <w:color w:val="auto"/>
        </w:rPr>
        <w:t xml:space="preserve">, M. (2001), </w:t>
      </w:r>
      <w:proofErr w:type="gramStart"/>
      <w:r w:rsidRPr="00814AEC">
        <w:rPr>
          <w:i/>
          <w:color w:val="auto"/>
        </w:rPr>
        <w:t>Is</w:t>
      </w:r>
      <w:proofErr w:type="gramEnd"/>
      <w:r w:rsidRPr="00814AEC">
        <w:rPr>
          <w:i/>
          <w:color w:val="auto"/>
        </w:rPr>
        <w:t xml:space="preserve"> inequality bad for business: a non-linear microeconomic model of wealth effects on self-employment</w:t>
      </w:r>
      <w:r w:rsidRPr="00814AEC">
        <w:rPr>
          <w:color w:val="auto"/>
        </w:rPr>
        <w:t xml:space="preserve">, Research working paper, WPS no.2527. </w:t>
      </w:r>
    </w:p>
    <w:p w:rsidR="00CB2364" w:rsidRPr="00814AEC" w:rsidRDefault="00CB2364" w:rsidP="00CB2364">
      <w:pPr>
        <w:pStyle w:val="Default"/>
        <w:numPr>
          <w:ilvl w:val="0"/>
          <w:numId w:val="2"/>
        </w:numPr>
        <w:spacing w:line="276" w:lineRule="auto"/>
        <w:jc w:val="both"/>
        <w:rPr>
          <w:color w:val="auto"/>
        </w:rPr>
      </w:pPr>
      <w:proofErr w:type="spellStart"/>
      <w:r w:rsidRPr="00814AEC">
        <w:lastRenderedPageBreak/>
        <w:t>Piore</w:t>
      </w:r>
      <w:proofErr w:type="spellEnd"/>
      <w:r w:rsidRPr="00814AEC">
        <w:t xml:space="preserve">, M. J. (1979), </w:t>
      </w:r>
      <w:r w:rsidRPr="00814AEC">
        <w:rPr>
          <w:i/>
        </w:rPr>
        <w:t xml:space="preserve">Birds of Passage: Migrant </w:t>
      </w:r>
      <w:proofErr w:type="spellStart"/>
      <w:r w:rsidRPr="00814AEC">
        <w:rPr>
          <w:i/>
        </w:rPr>
        <w:t>Labour</w:t>
      </w:r>
      <w:proofErr w:type="spellEnd"/>
      <w:r w:rsidRPr="00814AEC">
        <w:rPr>
          <w:i/>
        </w:rPr>
        <w:t xml:space="preserve"> and Industrial Society</w:t>
      </w:r>
      <w:r w:rsidRPr="00814AEC">
        <w:t>, Cambridge, UK: Cambridge University Press</w:t>
      </w:r>
    </w:p>
    <w:p w:rsidR="00CB2364" w:rsidRPr="00814AEC" w:rsidRDefault="00CB2364" w:rsidP="00CB2364">
      <w:pPr>
        <w:pStyle w:val="Default"/>
        <w:numPr>
          <w:ilvl w:val="0"/>
          <w:numId w:val="2"/>
        </w:numPr>
        <w:spacing w:line="276" w:lineRule="auto"/>
        <w:jc w:val="both"/>
        <w:rPr>
          <w:color w:val="auto"/>
        </w:rPr>
      </w:pPr>
      <w:proofErr w:type="spellStart"/>
      <w:r w:rsidRPr="00814AEC">
        <w:t>Sjaastad</w:t>
      </w:r>
      <w:proofErr w:type="spellEnd"/>
      <w:r w:rsidRPr="00814AEC">
        <w:t xml:space="preserve">, L.A. (1962), </w:t>
      </w:r>
      <w:r w:rsidRPr="00814AEC">
        <w:rPr>
          <w:i/>
        </w:rPr>
        <w:t>The Costs and Returns of Human Migration</w:t>
      </w:r>
      <w:r w:rsidRPr="00814AEC">
        <w:t>, The Journal of Political Economy, no.5, Vol. 70, pp. 80-93. http://webkuliah.unimedia.ac.id /</w:t>
      </w:r>
      <w:proofErr w:type="spellStart"/>
      <w:r w:rsidRPr="00814AEC">
        <w:t>ebook</w:t>
      </w:r>
      <w:proofErr w:type="spellEnd"/>
      <w:r w:rsidRPr="00814AEC">
        <w:t xml:space="preserve">/files/human%20capital%204.pdf </w:t>
      </w:r>
    </w:p>
    <w:p w:rsidR="00CB2364" w:rsidRPr="00814AEC" w:rsidRDefault="00CB2364" w:rsidP="00CB2364">
      <w:pPr>
        <w:pStyle w:val="Default"/>
        <w:numPr>
          <w:ilvl w:val="0"/>
          <w:numId w:val="2"/>
        </w:numPr>
        <w:spacing w:line="276" w:lineRule="auto"/>
        <w:jc w:val="both"/>
        <w:rPr>
          <w:color w:val="auto"/>
        </w:rPr>
      </w:pPr>
      <w:r w:rsidRPr="00814AEC">
        <w:t xml:space="preserve">Smith, A. (1992), </w:t>
      </w:r>
      <w:proofErr w:type="spellStart"/>
      <w:r w:rsidRPr="00814AEC">
        <w:rPr>
          <w:i/>
        </w:rPr>
        <w:t>Avuţia</w:t>
      </w:r>
      <w:proofErr w:type="spellEnd"/>
      <w:r w:rsidRPr="00814AEC">
        <w:rPr>
          <w:i/>
        </w:rPr>
        <w:t xml:space="preserve"> </w:t>
      </w:r>
      <w:proofErr w:type="spellStart"/>
      <w:r w:rsidRPr="00814AEC">
        <w:rPr>
          <w:i/>
        </w:rPr>
        <w:t>naţiunilor</w:t>
      </w:r>
      <w:proofErr w:type="spellEnd"/>
      <w:r w:rsidRPr="00814AEC">
        <w:rPr>
          <w:i/>
        </w:rPr>
        <w:t xml:space="preserve"> </w:t>
      </w:r>
      <w:proofErr w:type="spellStart"/>
      <w:r w:rsidRPr="00814AEC">
        <w:rPr>
          <w:i/>
        </w:rPr>
        <w:t>cercetare</w:t>
      </w:r>
      <w:proofErr w:type="spellEnd"/>
      <w:r w:rsidRPr="00814AEC">
        <w:rPr>
          <w:i/>
        </w:rPr>
        <w:t xml:space="preserve"> </w:t>
      </w:r>
      <w:proofErr w:type="spellStart"/>
      <w:r w:rsidRPr="00814AEC">
        <w:rPr>
          <w:i/>
        </w:rPr>
        <w:t>asupra</w:t>
      </w:r>
      <w:proofErr w:type="spellEnd"/>
      <w:r w:rsidRPr="00814AEC">
        <w:rPr>
          <w:i/>
        </w:rPr>
        <w:t xml:space="preserve"> </w:t>
      </w:r>
      <w:proofErr w:type="spellStart"/>
      <w:r w:rsidRPr="00814AEC">
        <w:rPr>
          <w:i/>
        </w:rPr>
        <w:t>naturii</w:t>
      </w:r>
      <w:proofErr w:type="spellEnd"/>
      <w:r w:rsidRPr="00814AEC">
        <w:rPr>
          <w:i/>
        </w:rPr>
        <w:t xml:space="preserve"> </w:t>
      </w:r>
      <w:proofErr w:type="spellStart"/>
      <w:r w:rsidRPr="00814AEC">
        <w:rPr>
          <w:i/>
        </w:rPr>
        <w:t>şi</w:t>
      </w:r>
      <w:proofErr w:type="spellEnd"/>
      <w:r w:rsidRPr="00814AEC">
        <w:rPr>
          <w:i/>
        </w:rPr>
        <w:t xml:space="preserve"> </w:t>
      </w:r>
      <w:proofErr w:type="spellStart"/>
      <w:r w:rsidRPr="00814AEC">
        <w:rPr>
          <w:i/>
        </w:rPr>
        <w:t>cauzelor</w:t>
      </w:r>
      <w:proofErr w:type="spellEnd"/>
      <w:r w:rsidRPr="00814AEC">
        <w:rPr>
          <w:i/>
        </w:rPr>
        <w:t xml:space="preserve"> </w:t>
      </w:r>
      <w:proofErr w:type="spellStart"/>
      <w:r w:rsidRPr="00814AEC">
        <w:rPr>
          <w:i/>
        </w:rPr>
        <w:t>ei</w:t>
      </w:r>
      <w:proofErr w:type="spellEnd"/>
      <w:r w:rsidRPr="00814AEC">
        <w:t xml:space="preserve">, </w:t>
      </w:r>
      <w:proofErr w:type="spellStart"/>
      <w:r w:rsidRPr="00814AEC">
        <w:t>Editura</w:t>
      </w:r>
      <w:proofErr w:type="spellEnd"/>
      <w:r w:rsidRPr="00814AEC">
        <w:t xml:space="preserve"> </w:t>
      </w:r>
      <w:proofErr w:type="spellStart"/>
      <w:r w:rsidRPr="00814AEC">
        <w:t>Universitas</w:t>
      </w:r>
      <w:proofErr w:type="spellEnd"/>
      <w:r w:rsidRPr="00814AEC">
        <w:t xml:space="preserve">, </w:t>
      </w:r>
      <w:proofErr w:type="spellStart"/>
      <w:r w:rsidRPr="00814AEC">
        <w:t>Chișinău</w:t>
      </w:r>
      <w:proofErr w:type="spellEnd"/>
    </w:p>
    <w:p w:rsidR="00CB2364" w:rsidRDefault="00CB2364" w:rsidP="00CB2364">
      <w:pPr>
        <w:pStyle w:val="Default"/>
        <w:numPr>
          <w:ilvl w:val="0"/>
          <w:numId w:val="2"/>
        </w:numPr>
        <w:spacing w:line="276" w:lineRule="auto"/>
        <w:jc w:val="both"/>
        <w:rPr>
          <w:color w:val="auto"/>
        </w:rPr>
      </w:pPr>
      <w:r w:rsidRPr="00814AEC">
        <w:t xml:space="preserve">Stark, O., Taylor, E. (1989), </w:t>
      </w:r>
      <w:r w:rsidRPr="00814AEC">
        <w:rPr>
          <w:i/>
        </w:rPr>
        <w:t>Relative deprivation and international migration,</w:t>
      </w:r>
      <w:r w:rsidRPr="00814AEC">
        <w:t xml:space="preserve"> Demography, no. 1, vol. 26, pp. 1-14. </w:t>
      </w:r>
    </w:p>
    <w:p w:rsidR="00CB2364" w:rsidRDefault="00CB2364" w:rsidP="00CB2364">
      <w:pPr>
        <w:pStyle w:val="Default"/>
        <w:numPr>
          <w:ilvl w:val="0"/>
          <w:numId w:val="2"/>
        </w:numPr>
        <w:spacing w:line="276" w:lineRule="auto"/>
        <w:jc w:val="both"/>
        <w:rPr>
          <w:color w:val="auto"/>
        </w:rPr>
      </w:pPr>
      <w:r w:rsidRPr="000A658E">
        <w:t xml:space="preserve">United Nations, </w:t>
      </w:r>
      <w:proofErr w:type="spellStart"/>
      <w:r w:rsidRPr="000A658E">
        <w:t>Departament</w:t>
      </w:r>
      <w:proofErr w:type="spellEnd"/>
      <w:r w:rsidRPr="000A658E">
        <w:t xml:space="preserve"> of Economic and Social Affairs, </w:t>
      </w:r>
      <w:r w:rsidRPr="00814AEC">
        <w:rPr>
          <w:i/>
        </w:rPr>
        <w:t>World Population Prospects. The 2012 Revision</w:t>
      </w:r>
      <w:r w:rsidRPr="000A658E">
        <w:t xml:space="preserve">, </w:t>
      </w:r>
      <w:hyperlink r:id="rId26" w:history="1">
        <w:r w:rsidRPr="000A658E">
          <w:rPr>
            <w:rStyle w:val="Hyperlink"/>
          </w:rPr>
          <w:t>http://esa.un.org/wpp/Demographic-Profiles/pdfs/642.pdf</w:t>
        </w:r>
      </w:hyperlink>
      <w:r>
        <w:t>, [</w:t>
      </w:r>
      <w:proofErr w:type="spellStart"/>
      <w:r>
        <w:t>accesat</w:t>
      </w:r>
      <w:proofErr w:type="spellEnd"/>
      <w:r>
        <w:t xml:space="preserve"> la 24 </w:t>
      </w:r>
      <w:proofErr w:type="spellStart"/>
      <w:r>
        <w:t>martie</w:t>
      </w:r>
      <w:proofErr w:type="spellEnd"/>
      <w:r>
        <w:t xml:space="preserve"> 2015]</w:t>
      </w:r>
    </w:p>
    <w:p w:rsidR="00CB2364" w:rsidRPr="00814AEC" w:rsidRDefault="00CB2364" w:rsidP="00CB2364">
      <w:pPr>
        <w:pStyle w:val="Default"/>
        <w:numPr>
          <w:ilvl w:val="0"/>
          <w:numId w:val="2"/>
        </w:numPr>
        <w:spacing w:line="276" w:lineRule="auto"/>
        <w:jc w:val="both"/>
        <w:rPr>
          <w:color w:val="auto"/>
        </w:rPr>
      </w:pPr>
      <w:r w:rsidRPr="00814AEC">
        <w:rPr>
          <w:color w:val="auto"/>
        </w:rPr>
        <w:t xml:space="preserve">Wong, K., C. K. Yip (1999), </w:t>
      </w:r>
      <w:r w:rsidRPr="00814AEC">
        <w:rPr>
          <w:i/>
          <w:color w:val="auto"/>
        </w:rPr>
        <w:t>Education, Economic Growth and Brain Drain</w:t>
      </w:r>
      <w:r w:rsidRPr="00814AEC">
        <w:rPr>
          <w:color w:val="auto"/>
        </w:rPr>
        <w:t xml:space="preserve">, Journal of Economic Dynamics Control, vol. 23 (5-6), pp. 699-796. </w:t>
      </w:r>
    </w:p>
    <w:p w:rsidR="00CB2364" w:rsidRPr="000A658E" w:rsidRDefault="00CB2364" w:rsidP="00CB2364">
      <w:pPr>
        <w:pStyle w:val="Default"/>
        <w:spacing w:line="276" w:lineRule="auto"/>
        <w:ind w:left="851" w:hanging="851"/>
        <w:jc w:val="both"/>
        <w:rPr>
          <w:color w:val="auto"/>
        </w:rPr>
      </w:pPr>
    </w:p>
    <w:p w:rsidR="00CB2364" w:rsidRPr="000A658E" w:rsidRDefault="00CB2364" w:rsidP="00CB2364">
      <w:pPr>
        <w:jc w:val="both"/>
        <w:rPr>
          <w:rFonts w:ascii="Times New Roman" w:hAnsi="Times New Roman" w:cs="Times New Roman"/>
          <w:sz w:val="24"/>
          <w:szCs w:val="24"/>
        </w:rPr>
      </w:pPr>
    </w:p>
    <w:p w:rsidR="00CB2364" w:rsidRPr="000A658E" w:rsidRDefault="00CB2364" w:rsidP="00CB2364">
      <w:pPr>
        <w:spacing w:after="0"/>
        <w:rPr>
          <w:rFonts w:ascii="Times New Roman" w:hAnsi="Times New Roman" w:cs="Times New Roman"/>
          <w:b/>
          <w:sz w:val="24"/>
          <w:szCs w:val="24"/>
        </w:rPr>
      </w:pPr>
    </w:p>
    <w:p w:rsidR="000D1B58" w:rsidRPr="0087764A" w:rsidRDefault="000D1B58" w:rsidP="00601396">
      <w:pPr>
        <w:pStyle w:val="Default"/>
        <w:spacing w:line="276" w:lineRule="auto"/>
        <w:ind w:left="851" w:hanging="851"/>
        <w:jc w:val="both"/>
        <w:rPr>
          <w:color w:val="auto"/>
          <w:lang w:val="ro-RO"/>
        </w:rPr>
      </w:pPr>
    </w:p>
    <w:p w:rsidR="002E62F2" w:rsidRPr="00A64892" w:rsidRDefault="002E62F2" w:rsidP="00601396">
      <w:pPr>
        <w:jc w:val="both"/>
        <w:rPr>
          <w:rFonts w:ascii="Times New Roman" w:hAnsi="Times New Roman" w:cs="Times New Roman"/>
          <w:sz w:val="24"/>
          <w:szCs w:val="24"/>
          <w:lang w:val="ro-RO"/>
        </w:rPr>
      </w:pPr>
    </w:p>
    <w:p w:rsidR="002E62F2" w:rsidRPr="00A64892" w:rsidRDefault="002E62F2" w:rsidP="00601396">
      <w:pPr>
        <w:jc w:val="both"/>
        <w:rPr>
          <w:rFonts w:ascii="Times New Roman" w:hAnsi="Times New Roman" w:cs="Times New Roman"/>
          <w:sz w:val="24"/>
          <w:szCs w:val="24"/>
          <w:lang w:val="ro-RO"/>
        </w:rPr>
      </w:pPr>
    </w:p>
    <w:p w:rsidR="002E62F2" w:rsidRPr="00A64892" w:rsidRDefault="002E62F2" w:rsidP="00601396">
      <w:pPr>
        <w:jc w:val="both"/>
        <w:rPr>
          <w:rFonts w:ascii="Times New Roman" w:hAnsi="Times New Roman" w:cs="Times New Roman"/>
          <w:sz w:val="24"/>
          <w:szCs w:val="24"/>
          <w:lang w:val="ro-RO"/>
        </w:rPr>
      </w:pPr>
    </w:p>
    <w:p w:rsidR="002E62F2" w:rsidRPr="00A64892" w:rsidRDefault="002E62F2" w:rsidP="00601396">
      <w:pPr>
        <w:pStyle w:val="Default"/>
        <w:spacing w:line="276" w:lineRule="auto"/>
        <w:jc w:val="both"/>
        <w:rPr>
          <w:color w:val="auto"/>
          <w:lang w:val="ro-RO"/>
        </w:rPr>
      </w:pPr>
    </w:p>
    <w:p w:rsidR="002E62F2" w:rsidRPr="00A64892" w:rsidRDefault="002E62F2" w:rsidP="00601396">
      <w:pPr>
        <w:jc w:val="both"/>
        <w:rPr>
          <w:rFonts w:ascii="Times New Roman" w:hAnsi="Times New Roman" w:cs="Times New Roman"/>
          <w:sz w:val="24"/>
          <w:szCs w:val="24"/>
          <w:lang w:val="ro-RO"/>
        </w:rPr>
      </w:pPr>
    </w:p>
    <w:sectPr w:rsidR="002E62F2" w:rsidRPr="00A64892" w:rsidSect="00D3791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207" w:rsidRDefault="007A6207" w:rsidP="0069314B">
      <w:pPr>
        <w:spacing w:after="0" w:line="240" w:lineRule="auto"/>
      </w:pPr>
      <w:r>
        <w:separator/>
      </w:r>
    </w:p>
  </w:endnote>
  <w:endnote w:type="continuationSeparator" w:id="0">
    <w:p w:rsidR="007A6207" w:rsidRDefault="007A6207" w:rsidP="00693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4B" w:rsidRDefault="006931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4B" w:rsidRDefault="006931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4B" w:rsidRDefault="00693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207" w:rsidRDefault="007A6207" w:rsidP="0069314B">
      <w:pPr>
        <w:spacing w:after="0" w:line="240" w:lineRule="auto"/>
      </w:pPr>
      <w:r>
        <w:separator/>
      </w:r>
    </w:p>
  </w:footnote>
  <w:footnote w:type="continuationSeparator" w:id="0">
    <w:p w:rsidR="007A6207" w:rsidRDefault="007A6207" w:rsidP="006931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4B" w:rsidRDefault="006931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4B" w:rsidRDefault="006931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4B" w:rsidRDefault="006931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A2B90"/>
    <w:multiLevelType w:val="hybridMultilevel"/>
    <w:tmpl w:val="E17A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53C82"/>
    <w:multiLevelType w:val="hybridMultilevel"/>
    <w:tmpl w:val="00E22AA0"/>
    <w:lvl w:ilvl="0" w:tplc="BCD6DCF0">
      <w:start w:val="1"/>
      <w:numFmt w:val="bullet"/>
      <w:lvlText w:val="•"/>
      <w:lvlJc w:val="left"/>
      <w:pPr>
        <w:tabs>
          <w:tab w:val="num" w:pos="720"/>
        </w:tabs>
        <w:ind w:left="720" w:hanging="360"/>
      </w:pPr>
      <w:rPr>
        <w:rFonts w:ascii="Times New Roman" w:hAnsi="Times New Roman" w:hint="default"/>
      </w:rPr>
    </w:lvl>
    <w:lvl w:ilvl="1" w:tplc="8CFC3842" w:tentative="1">
      <w:start w:val="1"/>
      <w:numFmt w:val="bullet"/>
      <w:lvlText w:val="•"/>
      <w:lvlJc w:val="left"/>
      <w:pPr>
        <w:tabs>
          <w:tab w:val="num" w:pos="1440"/>
        </w:tabs>
        <w:ind w:left="1440" w:hanging="360"/>
      </w:pPr>
      <w:rPr>
        <w:rFonts w:ascii="Times New Roman" w:hAnsi="Times New Roman" w:hint="default"/>
      </w:rPr>
    </w:lvl>
    <w:lvl w:ilvl="2" w:tplc="85AECCDC" w:tentative="1">
      <w:start w:val="1"/>
      <w:numFmt w:val="bullet"/>
      <w:lvlText w:val="•"/>
      <w:lvlJc w:val="left"/>
      <w:pPr>
        <w:tabs>
          <w:tab w:val="num" w:pos="2160"/>
        </w:tabs>
        <w:ind w:left="2160" w:hanging="360"/>
      </w:pPr>
      <w:rPr>
        <w:rFonts w:ascii="Times New Roman" w:hAnsi="Times New Roman" w:hint="default"/>
      </w:rPr>
    </w:lvl>
    <w:lvl w:ilvl="3" w:tplc="C31CAE72" w:tentative="1">
      <w:start w:val="1"/>
      <w:numFmt w:val="bullet"/>
      <w:lvlText w:val="•"/>
      <w:lvlJc w:val="left"/>
      <w:pPr>
        <w:tabs>
          <w:tab w:val="num" w:pos="2880"/>
        </w:tabs>
        <w:ind w:left="2880" w:hanging="360"/>
      </w:pPr>
      <w:rPr>
        <w:rFonts w:ascii="Times New Roman" w:hAnsi="Times New Roman" w:hint="default"/>
      </w:rPr>
    </w:lvl>
    <w:lvl w:ilvl="4" w:tplc="E4226DB6" w:tentative="1">
      <w:start w:val="1"/>
      <w:numFmt w:val="bullet"/>
      <w:lvlText w:val="•"/>
      <w:lvlJc w:val="left"/>
      <w:pPr>
        <w:tabs>
          <w:tab w:val="num" w:pos="3600"/>
        </w:tabs>
        <w:ind w:left="3600" w:hanging="360"/>
      </w:pPr>
      <w:rPr>
        <w:rFonts w:ascii="Times New Roman" w:hAnsi="Times New Roman" w:hint="default"/>
      </w:rPr>
    </w:lvl>
    <w:lvl w:ilvl="5" w:tplc="530C730E" w:tentative="1">
      <w:start w:val="1"/>
      <w:numFmt w:val="bullet"/>
      <w:lvlText w:val="•"/>
      <w:lvlJc w:val="left"/>
      <w:pPr>
        <w:tabs>
          <w:tab w:val="num" w:pos="4320"/>
        </w:tabs>
        <w:ind w:left="4320" w:hanging="360"/>
      </w:pPr>
      <w:rPr>
        <w:rFonts w:ascii="Times New Roman" w:hAnsi="Times New Roman" w:hint="default"/>
      </w:rPr>
    </w:lvl>
    <w:lvl w:ilvl="6" w:tplc="70BC64DE" w:tentative="1">
      <w:start w:val="1"/>
      <w:numFmt w:val="bullet"/>
      <w:lvlText w:val="•"/>
      <w:lvlJc w:val="left"/>
      <w:pPr>
        <w:tabs>
          <w:tab w:val="num" w:pos="5040"/>
        </w:tabs>
        <w:ind w:left="5040" w:hanging="360"/>
      </w:pPr>
      <w:rPr>
        <w:rFonts w:ascii="Times New Roman" w:hAnsi="Times New Roman" w:hint="default"/>
      </w:rPr>
    </w:lvl>
    <w:lvl w:ilvl="7" w:tplc="19506AFC" w:tentative="1">
      <w:start w:val="1"/>
      <w:numFmt w:val="bullet"/>
      <w:lvlText w:val="•"/>
      <w:lvlJc w:val="left"/>
      <w:pPr>
        <w:tabs>
          <w:tab w:val="num" w:pos="5760"/>
        </w:tabs>
        <w:ind w:left="5760" w:hanging="360"/>
      </w:pPr>
      <w:rPr>
        <w:rFonts w:ascii="Times New Roman" w:hAnsi="Times New Roman" w:hint="default"/>
      </w:rPr>
    </w:lvl>
    <w:lvl w:ilvl="8" w:tplc="D62E5A7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2F1FCF"/>
    <w:rsid w:val="00005305"/>
    <w:rsid w:val="00005C9B"/>
    <w:rsid w:val="00007574"/>
    <w:rsid w:val="000241E9"/>
    <w:rsid w:val="00025786"/>
    <w:rsid w:val="00042E24"/>
    <w:rsid w:val="00047918"/>
    <w:rsid w:val="00063CE8"/>
    <w:rsid w:val="00077709"/>
    <w:rsid w:val="00090B47"/>
    <w:rsid w:val="000B41E9"/>
    <w:rsid w:val="000C0001"/>
    <w:rsid w:val="000C08F7"/>
    <w:rsid w:val="000D1B58"/>
    <w:rsid w:val="000E6579"/>
    <w:rsid w:val="000F0191"/>
    <w:rsid w:val="000F4788"/>
    <w:rsid w:val="00102EB9"/>
    <w:rsid w:val="00110F88"/>
    <w:rsid w:val="00117B15"/>
    <w:rsid w:val="0012170B"/>
    <w:rsid w:val="00122932"/>
    <w:rsid w:val="001235A6"/>
    <w:rsid w:val="00131613"/>
    <w:rsid w:val="00141786"/>
    <w:rsid w:val="001642D8"/>
    <w:rsid w:val="00166D2A"/>
    <w:rsid w:val="001736AE"/>
    <w:rsid w:val="00175BA0"/>
    <w:rsid w:val="001827CA"/>
    <w:rsid w:val="00184B6A"/>
    <w:rsid w:val="001C4947"/>
    <w:rsid w:val="001D4500"/>
    <w:rsid w:val="001D4784"/>
    <w:rsid w:val="001E7253"/>
    <w:rsid w:val="001F39C9"/>
    <w:rsid w:val="001F4A3F"/>
    <w:rsid w:val="002047A4"/>
    <w:rsid w:val="00222A2F"/>
    <w:rsid w:val="00222D1F"/>
    <w:rsid w:val="00236C52"/>
    <w:rsid w:val="00282EDB"/>
    <w:rsid w:val="002870D3"/>
    <w:rsid w:val="00292546"/>
    <w:rsid w:val="002D092E"/>
    <w:rsid w:val="002D335F"/>
    <w:rsid w:val="002D6D45"/>
    <w:rsid w:val="002E62F2"/>
    <w:rsid w:val="002F1FCF"/>
    <w:rsid w:val="003140E6"/>
    <w:rsid w:val="00315CF7"/>
    <w:rsid w:val="003177A8"/>
    <w:rsid w:val="00324BA9"/>
    <w:rsid w:val="003320D1"/>
    <w:rsid w:val="00333C47"/>
    <w:rsid w:val="00344577"/>
    <w:rsid w:val="003503FC"/>
    <w:rsid w:val="003515FD"/>
    <w:rsid w:val="003A34C1"/>
    <w:rsid w:val="003A5C7C"/>
    <w:rsid w:val="003B0A9E"/>
    <w:rsid w:val="003B70C0"/>
    <w:rsid w:val="003C5F7C"/>
    <w:rsid w:val="003D348A"/>
    <w:rsid w:val="003E5CEB"/>
    <w:rsid w:val="00401FDA"/>
    <w:rsid w:val="004236C9"/>
    <w:rsid w:val="004237D3"/>
    <w:rsid w:val="00435F48"/>
    <w:rsid w:val="00460DAF"/>
    <w:rsid w:val="00491105"/>
    <w:rsid w:val="00497DBD"/>
    <w:rsid w:val="004A64EB"/>
    <w:rsid w:val="004B7F11"/>
    <w:rsid w:val="004D268E"/>
    <w:rsid w:val="004D4452"/>
    <w:rsid w:val="004D73E1"/>
    <w:rsid w:val="004D766E"/>
    <w:rsid w:val="004E76CE"/>
    <w:rsid w:val="004E7EA1"/>
    <w:rsid w:val="00502962"/>
    <w:rsid w:val="0053123D"/>
    <w:rsid w:val="00531CED"/>
    <w:rsid w:val="00533822"/>
    <w:rsid w:val="0054085C"/>
    <w:rsid w:val="00555D5B"/>
    <w:rsid w:val="00580701"/>
    <w:rsid w:val="0058393F"/>
    <w:rsid w:val="005A06B3"/>
    <w:rsid w:val="005B50C5"/>
    <w:rsid w:val="005C62AA"/>
    <w:rsid w:val="005C728A"/>
    <w:rsid w:val="005D75B1"/>
    <w:rsid w:val="005E33C6"/>
    <w:rsid w:val="005F1FC0"/>
    <w:rsid w:val="005F5929"/>
    <w:rsid w:val="00601396"/>
    <w:rsid w:val="00605A9A"/>
    <w:rsid w:val="00611BE3"/>
    <w:rsid w:val="00614B5B"/>
    <w:rsid w:val="006151F6"/>
    <w:rsid w:val="00636DD1"/>
    <w:rsid w:val="006413D0"/>
    <w:rsid w:val="0065225F"/>
    <w:rsid w:val="00656B66"/>
    <w:rsid w:val="00665ABD"/>
    <w:rsid w:val="00686D86"/>
    <w:rsid w:val="0069314B"/>
    <w:rsid w:val="006A2689"/>
    <w:rsid w:val="006C652E"/>
    <w:rsid w:val="006C730C"/>
    <w:rsid w:val="006F44B2"/>
    <w:rsid w:val="00711054"/>
    <w:rsid w:val="00722E30"/>
    <w:rsid w:val="00725754"/>
    <w:rsid w:val="007377DA"/>
    <w:rsid w:val="00765999"/>
    <w:rsid w:val="00782E62"/>
    <w:rsid w:val="0078474A"/>
    <w:rsid w:val="0079795A"/>
    <w:rsid w:val="00797973"/>
    <w:rsid w:val="007A6207"/>
    <w:rsid w:val="007C29A6"/>
    <w:rsid w:val="007D1841"/>
    <w:rsid w:val="007D5826"/>
    <w:rsid w:val="00813492"/>
    <w:rsid w:val="00831E99"/>
    <w:rsid w:val="00840312"/>
    <w:rsid w:val="00844061"/>
    <w:rsid w:val="0085458A"/>
    <w:rsid w:val="008662C1"/>
    <w:rsid w:val="00871D85"/>
    <w:rsid w:val="0087764A"/>
    <w:rsid w:val="008919BF"/>
    <w:rsid w:val="008A06C9"/>
    <w:rsid w:val="008B6D69"/>
    <w:rsid w:val="008B7A54"/>
    <w:rsid w:val="008C5D84"/>
    <w:rsid w:val="008C6D45"/>
    <w:rsid w:val="00914C2F"/>
    <w:rsid w:val="00925BA4"/>
    <w:rsid w:val="00930095"/>
    <w:rsid w:val="00942B53"/>
    <w:rsid w:val="009448E1"/>
    <w:rsid w:val="00951660"/>
    <w:rsid w:val="00973566"/>
    <w:rsid w:val="009827E8"/>
    <w:rsid w:val="00990DE9"/>
    <w:rsid w:val="00992F49"/>
    <w:rsid w:val="009A21D0"/>
    <w:rsid w:val="009E283E"/>
    <w:rsid w:val="009E4113"/>
    <w:rsid w:val="00A152CD"/>
    <w:rsid w:val="00A159B1"/>
    <w:rsid w:val="00A21CEC"/>
    <w:rsid w:val="00A235B8"/>
    <w:rsid w:val="00A3146F"/>
    <w:rsid w:val="00A364AE"/>
    <w:rsid w:val="00A51DB1"/>
    <w:rsid w:val="00A554E4"/>
    <w:rsid w:val="00A62999"/>
    <w:rsid w:val="00A64892"/>
    <w:rsid w:val="00A72A86"/>
    <w:rsid w:val="00AB2618"/>
    <w:rsid w:val="00AB3F13"/>
    <w:rsid w:val="00AF7CAF"/>
    <w:rsid w:val="00B27FB4"/>
    <w:rsid w:val="00B32FCE"/>
    <w:rsid w:val="00B53025"/>
    <w:rsid w:val="00B61C70"/>
    <w:rsid w:val="00B71122"/>
    <w:rsid w:val="00B85DA3"/>
    <w:rsid w:val="00B86338"/>
    <w:rsid w:val="00BB05EF"/>
    <w:rsid w:val="00BD7D91"/>
    <w:rsid w:val="00C00CD4"/>
    <w:rsid w:val="00C11CCC"/>
    <w:rsid w:val="00C43AFA"/>
    <w:rsid w:val="00C75AA5"/>
    <w:rsid w:val="00C87B6F"/>
    <w:rsid w:val="00C91894"/>
    <w:rsid w:val="00CA0CA7"/>
    <w:rsid w:val="00CA2D81"/>
    <w:rsid w:val="00CB2364"/>
    <w:rsid w:val="00CC3826"/>
    <w:rsid w:val="00CE0342"/>
    <w:rsid w:val="00D0046F"/>
    <w:rsid w:val="00D073A0"/>
    <w:rsid w:val="00D10A1C"/>
    <w:rsid w:val="00D10B34"/>
    <w:rsid w:val="00D2024F"/>
    <w:rsid w:val="00D21000"/>
    <w:rsid w:val="00D25915"/>
    <w:rsid w:val="00D37912"/>
    <w:rsid w:val="00D719E4"/>
    <w:rsid w:val="00D80B5D"/>
    <w:rsid w:val="00D83405"/>
    <w:rsid w:val="00D96EFD"/>
    <w:rsid w:val="00D97856"/>
    <w:rsid w:val="00DA7575"/>
    <w:rsid w:val="00DB1880"/>
    <w:rsid w:val="00DB4A05"/>
    <w:rsid w:val="00DC19B9"/>
    <w:rsid w:val="00DD7EDF"/>
    <w:rsid w:val="00DE6AF2"/>
    <w:rsid w:val="00DF0F59"/>
    <w:rsid w:val="00DF3431"/>
    <w:rsid w:val="00DF7F36"/>
    <w:rsid w:val="00E16D91"/>
    <w:rsid w:val="00E24DEE"/>
    <w:rsid w:val="00E45DB3"/>
    <w:rsid w:val="00E46BD6"/>
    <w:rsid w:val="00E46D01"/>
    <w:rsid w:val="00E5268E"/>
    <w:rsid w:val="00E55B24"/>
    <w:rsid w:val="00E7623E"/>
    <w:rsid w:val="00E820C3"/>
    <w:rsid w:val="00EA3CFF"/>
    <w:rsid w:val="00EB02E6"/>
    <w:rsid w:val="00ED61B8"/>
    <w:rsid w:val="00ED760E"/>
    <w:rsid w:val="00EE1758"/>
    <w:rsid w:val="00EF0FE2"/>
    <w:rsid w:val="00EF1BF5"/>
    <w:rsid w:val="00EF3D86"/>
    <w:rsid w:val="00F0152D"/>
    <w:rsid w:val="00F228D6"/>
    <w:rsid w:val="00F31583"/>
    <w:rsid w:val="00F9530F"/>
    <w:rsid w:val="00FA182C"/>
    <w:rsid w:val="00FA3B1A"/>
    <w:rsid w:val="00FA647E"/>
    <w:rsid w:val="00FB41F7"/>
    <w:rsid w:val="00FD355A"/>
    <w:rsid w:val="00FE3535"/>
    <w:rsid w:val="00FE4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62F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04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047A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2047A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601396"/>
    <w:pPr>
      <w:ind w:left="720"/>
      <w:contextualSpacing/>
    </w:pPr>
  </w:style>
  <w:style w:type="paragraph" w:styleId="BalloonText">
    <w:name w:val="Balloon Text"/>
    <w:basedOn w:val="Normal"/>
    <w:link w:val="BalloonTextChar"/>
    <w:uiPriority w:val="99"/>
    <w:semiHidden/>
    <w:unhideWhenUsed/>
    <w:rsid w:val="00E24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EE"/>
    <w:rPr>
      <w:rFonts w:ascii="Tahoma" w:hAnsi="Tahoma" w:cs="Tahoma"/>
      <w:sz w:val="16"/>
      <w:szCs w:val="16"/>
    </w:rPr>
  </w:style>
  <w:style w:type="paragraph" w:styleId="NormalWeb">
    <w:name w:val="Normal (Web)"/>
    <w:basedOn w:val="Normal"/>
    <w:uiPriority w:val="99"/>
    <w:semiHidden/>
    <w:unhideWhenUsed/>
    <w:rsid w:val="00A629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660"/>
    <w:rPr>
      <w:color w:val="0000FF" w:themeColor="hyperlink"/>
      <w:u w:val="single"/>
    </w:rPr>
  </w:style>
  <w:style w:type="character" w:customStyle="1" w:styleId="apple-converted-space">
    <w:name w:val="apple-converted-space"/>
    <w:basedOn w:val="DefaultParagraphFont"/>
    <w:rsid w:val="005E33C6"/>
  </w:style>
  <w:style w:type="paragraph" w:styleId="Header">
    <w:name w:val="header"/>
    <w:basedOn w:val="Normal"/>
    <w:link w:val="HeaderChar"/>
    <w:uiPriority w:val="99"/>
    <w:semiHidden/>
    <w:unhideWhenUsed/>
    <w:rsid w:val="006931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14B"/>
  </w:style>
  <w:style w:type="paragraph" w:styleId="Footer">
    <w:name w:val="footer"/>
    <w:basedOn w:val="Normal"/>
    <w:link w:val="FooterChar"/>
    <w:uiPriority w:val="99"/>
    <w:semiHidden/>
    <w:unhideWhenUsed/>
    <w:rsid w:val="006931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3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62F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04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047A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2047A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601396"/>
    <w:pPr>
      <w:ind w:left="720"/>
      <w:contextualSpacing/>
    </w:pPr>
  </w:style>
  <w:style w:type="paragraph" w:styleId="BalloonText">
    <w:name w:val="Balloon Text"/>
    <w:basedOn w:val="Normal"/>
    <w:link w:val="BalloonTextChar"/>
    <w:uiPriority w:val="99"/>
    <w:semiHidden/>
    <w:unhideWhenUsed/>
    <w:rsid w:val="00E24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EE"/>
    <w:rPr>
      <w:rFonts w:ascii="Tahoma" w:hAnsi="Tahoma" w:cs="Tahoma"/>
      <w:sz w:val="16"/>
      <w:szCs w:val="16"/>
    </w:rPr>
  </w:style>
  <w:style w:type="paragraph" w:styleId="NormalWeb">
    <w:name w:val="Normal (Web)"/>
    <w:basedOn w:val="Normal"/>
    <w:uiPriority w:val="99"/>
    <w:semiHidden/>
    <w:unhideWhenUsed/>
    <w:rsid w:val="00A629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6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8390514">
      <w:bodyDiv w:val="1"/>
      <w:marLeft w:val="0"/>
      <w:marRight w:val="0"/>
      <w:marTop w:val="0"/>
      <w:marBottom w:val="0"/>
      <w:divBdr>
        <w:top w:val="none" w:sz="0" w:space="0" w:color="auto"/>
        <w:left w:val="none" w:sz="0" w:space="0" w:color="auto"/>
        <w:bottom w:val="none" w:sz="0" w:space="0" w:color="auto"/>
        <w:right w:val="none" w:sz="0" w:space="0" w:color="auto"/>
      </w:divBdr>
    </w:div>
    <w:div w:id="979381676">
      <w:bodyDiv w:val="1"/>
      <w:marLeft w:val="0"/>
      <w:marRight w:val="0"/>
      <w:marTop w:val="0"/>
      <w:marBottom w:val="0"/>
      <w:divBdr>
        <w:top w:val="none" w:sz="0" w:space="0" w:color="auto"/>
        <w:left w:val="none" w:sz="0" w:space="0" w:color="auto"/>
        <w:bottom w:val="none" w:sz="0" w:space="0" w:color="auto"/>
        <w:right w:val="none" w:sz="0" w:space="0" w:color="auto"/>
      </w:divBdr>
      <w:divsChild>
        <w:div w:id="1690642686">
          <w:marLeft w:val="547"/>
          <w:marRight w:val="0"/>
          <w:marTop w:val="0"/>
          <w:marBottom w:val="0"/>
          <w:divBdr>
            <w:top w:val="none" w:sz="0" w:space="0" w:color="auto"/>
            <w:left w:val="none" w:sz="0" w:space="0" w:color="auto"/>
            <w:bottom w:val="none" w:sz="0" w:space="0" w:color="auto"/>
            <w:right w:val="none" w:sz="0" w:space="0" w:color="auto"/>
          </w:divBdr>
        </w:div>
      </w:divsChild>
    </w:div>
    <w:div w:id="1782725816">
      <w:bodyDiv w:val="1"/>
      <w:marLeft w:val="0"/>
      <w:marRight w:val="0"/>
      <w:marTop w:val="0"/>
      <w:marBottom w:val="0"/>
      <w:divBdr>
        <w:top w:val="none" w:sz="0" w:space="0" w:color="auto"/>
        <w:left w:val="none" w:sz="0" w:space="0" w:color="auto"/>
        <w:bottom w:val="none" w:sz="0" w:space="0" w:color="auto"/>
        <w:right w:val="none" w:sz="0" w:space="0" w:color="auto"/>
      </w:divBdr>
      <w:divsChild>
        <w:div w:id="3175435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a.un.org/wpp/Demographic-Profiles/pdfs/642.pdf"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esa.un.org/wpp/Demographic-Profiles/pdfs/642.pdf" TargetMode="External"/><Relationship Id="rId3" Type="http://schemas.openxmlformats.org/officeDocument/2006/relationships/settings" Target="settings.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links.jstor.org/sici?sici=0070-3370%281966%293%3A1%3C47%3AATOM%3E2.0.CO%3B2-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www.ires.com.ro/articol/221/perceptions-and-attitudes-of-the-romanian-population-regarding-working-abroad"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www.insse.ro/cms/files/publicatii/pliante%20statistice/Migratia%20internationala%20a%20Romaniei.pdf" TargetMode="Externa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ec.europa.eu/economy_finance/publications/european_economy/2014/pdf/ee8_en.pdF"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ristina\Desktop\articol%20Suceava\Chestionar%20-%20Percep%20ia%20tinerilor%20din%20Rom&#226;nia%20cu%20privire%20%20%20la%20procesul%20migra%20ionist%20(Response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pivotSource>
    <c:name>[Chestionar - Percep ia tinerilor din România cu privire   la procesul migra ionist (Responses) (1).xlsx]1.a!PivotTable1</c:name>
    <c:fmtId val="-1"/>
  </c:pivotSource>
  <c:chart>
    <c:title>
      <c:tx>
        <c:rich>
          <a:bodyPr/>
          <a:lstStyle/>
          <a:p>
            <a:pPr>
              <a:defRPr/>
            </a:pPr>
            <a:r>
              <a:rPr lang="ro-RO" sz="1000" b="1">
                <a:latin typeface="Times New Roman" pitchFamily="18" charset="0"/>
                <a:cs typeface="Times New Roman" pitchFamily="18" charset="0"/>
              </a:rPr>
              <a:t>Fig. </a:t>
            </a:r>
            <a:r>
              <a:rPr lang="en-US" sz="1000" b="1">
                <a:latin typeface="Times New Roman" pitchFamily="18" charset="0"/>
                <a:cs typeface="Times New Roman" pitchFamily="18" charset="0"/>
              </a:rPr>
              <a:t>3.</a:t>
            </a:r>
            <a:r>
              <a:rPr lang="ro-RO" sz="1000" b="1">
                <a:latin typeface="Times New Roman" pitchFamily="18" charset="0"/>
                <a:cs typeface="Times New Roman" pitchFamily="18" charset="0"/>
              </a:rPr>
              <a:t>1. </a:t>
            </a:r>
            <a:r>
              <a:rPr lang="vi-VN" sz="1000" b="1">
                <a:latin typeface="Times New Roman" pitchFamily="18" charset="0"/>
                <a:cs typeface="Times New Roman" pitchFamily="18" charset="0"/>
              </a:rPr>
              <a:t>Considerați libertatea de circulației a cetățenilor români în</a:t>
            </a:r>
            <a:r>
              <a:rPr lang="en-US" sz="1000" b="1" baseline="0">
                <a:latin typeface="Times New Roman" pitchFamily="18" charset="0"/>
                <a:cs typeface="Times New Roman" pitchFamily="18" charset="0"/>
              </a:rPr>
              <a:t> </a:t>
            </a:r>
            <a:r>
              <a:rPr lang="vi-VN" sz="1000" b="1">
                <a:latin typeface="Times New Roman" pitchFamily="18" charset="0"/>
                <a:cs typeface="Times New Roman" pitchFamily="18" charset="0"/>
              </a:rPr>
              <a:t>tot spațiul Uniunii Europene ca fiind</a:t>
            </a:r>
            <a:r>
              <a:rPr lang="ro-RO" sz="1000" b="1">
                <a:latin typeface="Times New Roman" pitchFamily="18" charset="0"/>
                <a:cs typeface="Times New Roman" pitchFamily="18" charset="0"/>
              </a:rPr>
              <a:t> c</a:t>
            </a:r>
            <a:r>
              <a:rPr lang="vi-VN" sz="1000" b="1">
                <a:latin typeface="Times New Roman" pitchFamily="18" charset="0"/>
                <a:cs typeface="Times New Roman" pitchFamily="18" charset="0"/>
              </a:rPr>
              <a:t>el mai mare</a:t>
            </a:r>
            <a:r>
              <a:rPr lang="en-US" sz="1000" b="1" baseline="0">
                <a:latin typeface="Times New Roman" pitchFamily="18" charset="0"/>
                <a:cs typeface="Times New Roman" pitchFamily="18" charset="0"/>
              </a:rPr>
              <a:t> </a:t>
            </a:r>
            <a:r>
              <a:rPr lang="vi-VN" sz="1000" b="1">
                <a:latin typeface="Times New Roman" pitchFamily="18" charset="0"/>
                <a:cs typeface="Times New Roman" pitchFamily="18" charset="0"/>
              </a:rPr>
              <a:t>câștig de după Revoluție</a:t>
            </a:r>
            <a:endParaRPr lang="en-US" sz="1000" b="1">
              <a:latin typeface="Times New Roman" pitchFamily="18" charset="0"/>
              <a:cs typeface="Times New Roman" pitchFamily="18" charset="0"/>
            </a:endParaRPr>
          </a:p>
        </c:rich>
      </c:tx>
      <c:layout>
        <c:manualLayout>
          <c:xMode val="edge"/>
          <c:yMode val="edge"/>
          <c:x val="0.13468107902407517"/>
          <c:y val="4.2370841630506462E-3"/>
        </c:manualLayout>
      </c:layout>
    </c:title>
    <c:pivotFmts>
      <c:pivotFmt>
        <c:idx val="0"/>
        <c:marker>
          <c:symbol val="none"/>
        </c:marker>
        <c:dLbl>
          <c:idx val="0"/>
          <c:spPr/>
          <c:txPr>
            <a:bodyPr/>
            <a:lstStyle/>
            <a:p>
              <a:pPr>
                <a:defRPr/>
              </a:pPr>
              <a:endParaRPr lang="en-US"/>
            </a:p>
          </c:txPr>
          <c:showVal val="1"/>
        </c:dLbl>
      </c:pivotFmt>
      <c:pivotFmt>
        <c:idx val="1"/>
        <c:marker>
          <c:symbol val="none"/>
        </c:marker>
        <c:dLbl>
          <c:idx val="0"/>
          <c:spPr/>
          <c:txPr>
            <a:bodyPr/>
            <a:lstStyle/>
            <a:p>
              <a:pPr>
                <a:defRPr/>
              </a:pPr>
              <a:endParaRPr lang="en-US"/>
            </a:p>
          </c:txPr>
          <c:showVal val="1"/>
        </c:dLbl>
      </c:pivotFmt>
    </c:pivotFmts>
    <c:plotArea>
      <c:layout>
        <c:manualLayout>
          <c:layoutTarget val="inner"/>
          <c:xMode val="edge"/>
          <c:yMode val="edge"/>
          <c:x val="0.25251618547681542"/>
          <c:y val="0.28793999708369838"/>
          <c:w val="0.70681014873140857"/>
          <c:h val="0.59976049868766357"/>
        </c:manualLayout>
      </c:layout>
      <c:barChart>
        <c:barDir val="bar"/>
        <c:grouping val="clustered"/>
        <c:ser>
          <c:idx val="0"/>
          <c:order val="0"/>
          <c:tx>
            <c:strRef>
              <c:f>'1.a'!$E$3</c:f>
              <c:strCache>
                <c:ptCount val="1"/>
                <c:pt idx="0">
                  <c:v>Total</c:v>
                </c:pt>
              </c:strCache>
            </c:strRef>
          </c:tx>
          <c:dLbls>
            <c:txPr>
              <a:bodyPr/>
              <a:lstStyle/>
              <a:p>
                <a:pPr>
                  <a:defRPr/>
                </a:pPr>
                <a:endParaRPr lang="en-US"/>
              </a:p>
            </c:txPr>
            <c:showVal val="1"/>
          </c:dLbls>
          <c:cat>
            <c:strRef>
              <c:f>'1.a'!$D$4:$D$9</c:f>
              <c:strCache>
                <c:ptCount val="5"/>
                <c:pt idx="0">
                  <c:v>Acord total</c:v>
                </c:pt>
                <c:pt idx="1">
                  <c:v>Foarte de acord</c:v>
                </c:pt>
                <c:pt idx="2">
                  <c:v>Oarecum de acord</c:v>
                </c:pt>
                <c:pt idx="3">
                  <c:v>Dezacord parțial</c:v>
                </c:pt>
                <c:pt idx="4">
                  <c:v>Total dezacord</c:v>
                </c:pt>
              </c:strCache>
            </c:strRef>
          </c:cat>
          <c:val>
            <c:numRef>
              <c:f>'1.a'!$E$4:$E$9</c:f>
              <c:numCache>
                <c:formatCode>0%</c:formatCode>
                <c:ptCount val="5"/>
                <c:pt idx="0">
                  <c:v>0.23618090452261306</c:v>
                </c:pt>
                <c:pt idx="1">
                  <c:v>0.27135678391960183</c:v>
                </c:pt>
                <c:pt idx="2">
                  <c:v>0.31658291457286797</c:v>
                </c:pt>
                <c:pt idx="3">
                  <c:v>0.135678391959799</c:v>
                </c:pt>
                <c:pt idx="4">
                  <c:v>4.0201005025125684E-2</c:v>
                </c:pt>
              </c:numCache>
            </c:numRef>
          </c:val>
        </c:ser>
        <c:gapWidth val="75"/>
        <c:axId val="71717248"/>
        <c:axId val="71718784"/>
      </c:barChart>
      <c:catAx>
        <c:axId val="71717248"/>
        <c:scaling>
          <c:orientation val="minMax"/>
        </c:scaling>
        <c:axPos val="l"/>
        <c:tickLblPos val="nextTo"/>
        <c:crossAx val="71718784"/>
        <c:crosses val="autoZero"/>
        <c:auto val="1"/>
        <c:lblAlgn val="ctr"/>
        <c:lblOffset val="100"/>
      </c:catAx>
      <c:valAx>
        <c:axId val="71718784"/>
        <c:scaling>
          <c:orientation val="minMax"/>
        </c:scaling>
        <c:axPos val="b"/>
        <c:title>
          <c:tx>
            <c:rich>
              <a:bodyPr/>
              <a:lstStyle/>
              <a:p>
                <a:pPr>
                  <a:defRPr/>
                </a:pPr>
                <a:r>
                  <a:rPr lang="en-US"/>
                  <a:t>%</a:t>
                </a:r>
                <a:r>
                  <a:rPr lang="en-US" baseline="0"/>
                  <a:t> r</a:t>
                </a:r>
                <a:r>
                  <a:rPr lang="ro-RO" baseline="0"/>
                  <a:t>ăspunsuri</a:t>
                </a:r>
                <a:endParaRPr lang="en-US"/>
              </a:p>
            </c:rich>
          </c:tx>
          <c:layout>
            <c:manualLayout>
              <c:xMode val="edge"/>
              <c:yMode val="edge"/>
              <c:x val="0.8076990376203057"/>
              <c:y val="0.77682852143482439"/>
            </c:manualLayout>
          </c:layout>
        </c:title>
        <c:numFmt formatCode="0%" sourceLinked="0"/>
        <c:tickLblPos val="nextTo"/>
        <c:crossAx val="71717248"/>
        <c:crosses val="autoZero"/>
        <c:crossBetween val="between"/>
      </c:valAx>
      <c:spPr>
        <a:noFill/>
        <a:ln>
          <a:solidFill>
            <a:schemeClr val="accent1"/>
          </a:solidFill>
        </a:ln>
      </c:spPr>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mj-lt"/>
              </a:defRPr>
            </a:pPr>
            <a:r>
              <a:rPr lang="ro-RO" sz="1000" b="1">
                <a:latin typeface="+mj-lt"/>
              </a:rPr>
              <a:t>Fig.</a:t>
            </a:r>
            <a:r>
              <a:rPr lang="ro-RO" sz="1000" b="1" baseline="0">
                <a:latin typeface="+mj-lt"/>
              </a:rPr>
              <a:t> </a:t>
            </a:r>
            <a:r>
              <a:rPr lang="en-US" sz="1000" b="1" baseline="0">
                <a:latin typeface="+mj-lt"/>
              </a:rPr>
              <a:t>3.</a:t>
            </a:r>
            <a:r>
              <a:rPr lang="ro-RO" sz="1000" b="1" baseline="0">
                <a:latin typeface="+mj-lt"/>
              </a:rPr>
              <a:t>10</a:t>
            </a:r>
            <a:r>
              <a:rPr lang="ro-RO" sz="1000" b="1">
                <a:latin typeface="+mj-lt"/>
              </a:rPr>
              <a:t>. </a:t>
            </a:r>
            <a:r>
              <a:rPr lang="vi-VN" sz="1000" b="1">
                <a:latin typeface="+mj-lt"/>
              </a:rPr>
              <a:t>Care ar fi motivele pentru care ați alege să rămâneți în România?</a:t>
            </a:r>
          </a:p>
        </c:rich>
      </c:tx>
    </c:title>
    <c:plotArea>
      <c:layout>
        <c:manualLayout>
          <c:layoutTarget val="inner"/>
          <c:xMode val="edge"/>
          <c:yMode val="edge"/>
          <c:x val="0.46532174103237284"/>
          <c:y val="0.22054056735968858"/>
          <c:w val="0.48696303587051631"/>
          <c:h val="0.68655600724239252"/>
        </c:manualLayout>
      </c:layout>
      <c:barChart>
        <c:barDir val="bar"/>
        <c:grouping val="clustered"/>
        <c:ser>
          <c:idx val="0"/>
          <c:order val="0"/>
          <c:tx>
            <c:strRef>
              <c:f>'9'!$E$45</c:f>
              <c:strCache>
                <c:ptCount val="1"/>
                <c:pt idx="0">
                  <c:v>Care ar fi motivele pentru care ați alege să rămâneți în România?</c:v>
                </c:pt>
              </c:strCache>
            </c:strRef>
          </c:tx>
          <c:dLbls>
            <c:dLbl>
              <c:idx val="5"/>
              <c:layout>
                <c:manualLayout>
                  <c:x val="-1.6666666666666583E-2"/>
                  <c:y val="0"/>
                </c:manualLayout>
              </c:layout>
              <c:showVal val="1"/>
            </c:dLbl>
            <c:txPr>
              <a:bodyPr/>
              <a:lstStyle/>
              <a:p>
                <a:pPr>
                  <a:defRPr sz="1100"/>
                </a:pPr>
                <a:endParaRPr lang="en-US"/>
              </a:p>
            </c:txPr>
            <c:showVal val="1"/>
          </c:dLbls>
          <c:cat>
            <c:strRef>
              <c:f>'9'!$D$46:$D$51</c:f>
              <c:strCache>
                <c:ptCount val="6"/>
                <c:pt idx="0">
                  <c:v>altele</c:v>
                </c:pt>
                <c:pt idx="1">
                  <c:v>vârsta;</c:v>
                </c:pt>
                <c:pt idx="2">
                  <c:v>experiența cunoscuților care sunt imigranți sau au căpătat deja o cetățenie străină;</c:v>
                </c:pt>
                <c:pt idx="3">
                  <c:v>nu stăpânesc bine o limbă străină;</c:v>
                </c:pt>
                <c:pt idx="4">
                  <c:v>patriotismul;</c:v>
                </c:pt>
                <c:pt idx="5">
                  <c:v>familia și prietenii;</c:v>
                </c:pt>
              </c:strCache>
            </c:strRef>
          </c:cat>
          <c:val>
            <c:numRef>
              <c:f>'9'!$E$46:$E$51</c:f>
              <c:numCache>
                <c:formatCode>0%</c:formatCode>
                <c:ptCount val="6"/>
                <c:pt idx="0">
                  <c:v>2.5125628140703519E-2</c:v>
                </c:pt>
                <c:pt idx="1">
                  <c:v>5.0251256281406975E-2</c:v>
                </c:pt>
                <c:pt idx="2">
                  <c:v>7.5376884422110824E-2</c:v>
                </c:pt>
                <c:pt idx="3">
                  <c:v>9.5477386934673364E-2</c:v>
                </c:pt>
                <c:pt idx="4">
                  <c:v>0.15577889447236351</c:v>
                </c:pt>
                <c:pt idx="5">
                  <c:v>0.9246231155778929</c:v>
                </c:pt>
              </c:numCache>
            </c:numRef>
          </c:val>
        </c:ser>
        <c:gapWidth val="55"/>
        <c:axId val="75092352"/>
        <c:axId val="75093888"/>
      </c:barChart>
      <c:catAx>
        <c:axId val="75092352"/>
        <c:scaling>
          <c:orientation val="minMax"/>
        </c:scaling>
        <c:axPos val="l"/>
        <c:tickLblPos val="nextTo"/>
        <c:txPr>
          <a:bodyPr/>
          <a:lstStyle/>
          <a:p>
            <a:pPr>
              <a:defRPr sz="900">
                <a:latin typeface="Times New Roman" pitchFamily="18" charset="0"/>
                <a:cs typeface="Times New Roman" pitchFamily="18" charset="0"/>
              </a:defRPr>
            </a:pPr>
            <a:endParaRPr lang="en-US"/>
          </a:p>
        </c:txPr>
        <c:crossAx val="75093888"/>
        <c:crosses val="autoZero"/>
        <c:auto val="1"/>
        <c:lblAlgn val="ctr"/>
        <c:lblOffset val="100"/>
      </c:catAx>
      <c:valAx>
        <c:axId val="75093888"/>
        <c:scaling>
          <c:orientation val="minMax"/>
        </c:scaling>
        <c:axPos val="b"/>
        <c:title>
          <c:tx>
            <c:rich>
              <a:bodyPr/>
              <a:lstStyle/>
              <a:p>
                <a:pPr>
                  <a:defRPr/>
                </a:pPr>
                <a:r>
                  <a:rPr lang="ro-RO"/>
                  <a:t>%</a:t>
                </a:r>
                <a:r>
                  <a:rPr lang="ro-RO" baseline="0"/>
                  <a:t> </a:t>
                </a:r>
                <a:r>
                  <a:rPr lang="ro-RO" b="0" baseline="0"/>
                  <a:t>răsp</a:t>
                </a:r>
                <a:r>
                  <a:rPr lang="ro-RO" baseline="0"/>
                  <a:t>.</a:t>
                </a:r>
                <a:endParaRPr lang="en-US"/>
              </a:p>
            </c:rich>
          </c:tx>
          <c:layout>
            <c:manualLayout>
              <c:xMode val="edge"/>
              <c:yMode val="edge"/>
              <c:x val="0.82395115339734271"/>
              <c:y val="0.76178841765996919"/>
            </c:manualLayout>
          </c:layout>
        </c:title>
        <c:numFmt formatCode="0%" sourceLinked="1"/>
        <c:tickLblPos val="nextTo"/>
        <c:crossAx val="75092352"/>
        <c:crosses val="autoZero"/>
        <c:crossBetween val="between"/>
      </c:valAx>
      <c:spPr>
        <a:ln>
          <a:solidFill>
            <a:sysClr val="windowText" lastClr="000000"/>
          </a:solidFill>
        </a:ln>
      </c:spPr>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latin typeface="+mj-lt"/>
              </a:defRPr>
            </a:pPr>
            <a:r>
              <a:rPr lang="ro-RO" sz="1000">
                <a:latin typeface="Times New Roman" pitchFamily="18" charset="0"/>
                <a:cs typeface="Times New Roman" pitchFamily="18" charset="0"/>
              </a:rPr>
              <a:t>Fig</a:t>
            </a:r>
            <a:r>
              <a:rPr lang="ro-RO" sz="1000" baseline="0">
                <a:latin typeface="Times New Roman" pitchFamily="18" charset="0"/>
                <a:cs typeface="Times New Roman" pitchFamily="18" charset="0"/>
              </a:rPr>
              <a:t> </a:t>
            </a:r>
            <a:r>
              <a:rPr lang="en-US" sz="1000" baseline="0">
                <a:latin typeface="Times New Roman" pitchFamily="18" charset="0"/>
                <a:cs typeface="Times New Roman" pitchFamily="18" charset="0"/>
              </a:rPr>
              <a:t>3.</a:t>
            </a:r>
            <a:r>
              <a:rPr lang="ro-RO" sz="1000" baseline="0">
                <a:latin typeface="Times New Roman" pitchFamily="18" charset="0"/>
                <a:cs typeface="Times New Roman" pitchFamily="18" charset="0"/>
              </a:rPr>
              <a:t>11</a:t>
            </a:r>
            <a:r>
              <a:rPr lang="en-US" sz="1000">
                <a:latin typeface="Times New Roman" pitchFamily="18" charset="0"/>
                <a:cs typeface="Times New Roman" pitchFamily="18" charset="0"/>
              </a:rPr>
              <a:t>. </a:t>
            </a:r>
            <a:r>
              <a:rPr lang="vi-VN" sz="1000">
                <a:latin typeface="Times New Roman" pitchFamily="18" charset="0"/>
                <a:cs typeface="Times New Roman" pitchFamily="18" charset="0"/>
              </a:rPr>
              <a:t>Ce țară ați alege în cazul în care ați lua decizia de a emigra?</a:t>
            </a:r>
          </a:p>
        </c:rich>
      </c:tx>
    </c:title>
    <c:plotArea>
      <c:layout>
        <c:manualLayout>
          <c:layoutTarget val="inner"/>
          <c:xMode val="edge"/>
          <c:yMode val="edge"/>
          <c:x val="8.6786946907227228E-2"/>
          <c:y val="0.18495827806470441"/>
          <c:w val="0.88434166201665731"/>
          <c:h val="0.58907910704710298"/>
        </c:manualLayout>
      </c:layout>
      <c:barChart>
        <c:barDir val="col"/>
        <c:grouping val="clustered"/>
        <c:ser>
          <c:idx val="0"/>
          <c:order val="0"/>
          <c:tx>
            <c:strRef>
              <c:f>'6'!$F$38</c:f>
              <c:strCache>
                <c:ptCount val="1"/>
                <c:pt idx="0">
                  <c:v>Ce țară ați alege în cazul în care ați lua decizia de a emigra?</c:v>
                </c:pt>
              </c:strCache>
            </c:strRef>
          </c:tx>
          <c:dPt>
            <c:idx val="0"/>
            <c:spPr>
              <a:solidFill>
                <a:srgbClr val="00B050"/>
              </a:solidFill>
            </c:spPr>
          </c:dPt>
          <c:dLbls>
            <c:dLbl>
              <c:idx val="0"/>
              <c:spPr>
                <a:solidFill>
                  <a:srgbClr val="00B050"/>
                </a:solidFill>
                <a:ln>
                  <a:solidFill>
                    <a:sysClr val="windowText" lastClr="000000"/>
                  </a:solidFill>
                </a:ln>
              </c:spPr>
              <c:txPr>
                <a:bodyPr/>
                <a:lstStyle/>
                <a:p>
                  <a:pPr>
                    <a:defRPr/>
                  </a:pPr>
                  <a:endParaRPr lang="en-US"/>
                </a:p>
              </c:txPr>
            </c:dLbl>
            <c:showVal val="1"/>
          </c:dLbls>
          <c:cat>
            <c:strRef>
              <c:f>'6'!$E$39:$E$53</c:f>
              <c:strCache>
                <c:ptCount val="15"/>
                <c:pt idx="0">
                  <c:v>UK</c:v>
                </c:pt>
                <c:pt idx="1">
                  <c:v>DE</c:v>
                </c:pt>
                <c:pt idx="2">
                  <c:v>Altele</c:v>
                </c:pt>
                <c:pt idx="3">
                  <c:v>ES</c:v>
                </c:pt>
                <c:pt idx="4">
                  <c:v>FR</c:v>
                </c:pt>
                <c:pt idx="5">
                  <c:v>SE</c:v>
                </c:pt>
                <c:pt idx="6">
                  <c:v>DK</c:v>
                </c:pt>
                <c:pt idx="7">
                  <c:v>Norvegia</c:v>
                </c:pt>
                <c:pt idx="8">
                  <c:v>AT</c:v>
                </c:pt>
                <c:pt idx="9">
                  <c:v>NL</c:v>
                </c:pt>
                <c:pt idx="10">
                  <c:v>BE</c:v>
                </c:pt>
                <c:pt idx="11">
                  <c:v>IT</c:v>
                </c:pt>
                <c:pt idx="12">
                  <c:v>PT</c:v>
                </c:pt>
                <c:pt idx="13">
                  <c:v>IE</c:v>
                </c:pt>
                <c:pt idx="14">
                  <c:v>EL</c:v>
                </c:pt>
              </c:strCache>
            </c:strRef>
          </c:cat>
          <c:val>
            <c:numRef>
              <c:f>'6'!$F$39:$F$53</c:f>
              <c:numCache>
                <c:formatCode>0%</c:formatCode>
                <c:ptCount val="15"/>
                <c:pt idx="0">
                  <c:v>0.49748743718593164</c:v>
                </c:pt>
                <c:pt idx="1">
                  <c:v>0.34673366834170855</c:v>
                </c:pt>
                <c:pt idx="2">
                  <c:v>0.16080402010050238</c:v>
                </c:pt>
                <c:pt idx="3">
                  <c:v>0.14070351758794042</c:v>
                </c:pt>
                <c:pt idx="4">
                  <c:v>0.135678391959799</c:v>
                </c:pt>
                <c:pt idx="5">
                  <c:v>0.13065326633165758</c:v>
                </c:pt>
                <c:pt idx="6">
                  <c:v>0.11557788944723618</c:v>
                </c:pt>
                <c:pt idx="7">
                  <c:v>0.11055276381909535</c:v>
                </c:pt>
                <c:pt idx="8">
                  <c:v>0.10050251256281409</c:v>
                </c:pt>
                <c:pt idx="9">
                  <c:v>9.0452261306532666E-2</c:v>
                </c:pt>
                <c:pt idx="10">
                  <c:v>8.0402010050251188E-2</c:v>
                </c:pt>
                <c:pt idx="11">
                  <c:v>4.5226130653266333E-2</c:v>
                </c:pt>
                <c:pt idx="12">
                  <c:v>3.5175879396984931E-2</c:v>
                </c:pt>
                <c:pt idx="13">
                  <c:v>3.5175879396984931E-2</c:v>
                </c:pt>
                <c:pt idx="14">
                  <c:v>2.5125628140703519E-2</c:v>
                </c:pt>
              </c:numCache>
            </c:numRef>
          </c:val>
        </c:ser>
        <c:gapWidth val="60"/>
        <c:axId val="75147904"/>
        <c:axId val="75166080"/>
      </c:barChart>
      <c:catAx>
        <c:axId val="75147904"/>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75166080"/>
        <c:crosses val="autoZero"/>
        <c:auto val="1"/>
        <c:lblAlgn val="ctr"/>
        <c:lblOffset val="100"/>
      </c:catAx>
      <c:valAx>
        <c:axId val="75166080"/>
        <c:scaling>
          <c:orientation val="minMax"/>
        </c:scaling>
        <c:axPos val="l"/>
        <c:title>
          <c:tx>
            <c:rich>
              <a:bodyPr rot="0" vert="horz"/>
              <a:lstStyle/>
              <a:p>
                <a:pPr algn="ctr">
                  <a:defRPr/>
                </a:pPr>
                <a:r>
                  <a:rPr lang="en-US" b="0"/>
                  <a:t>%</a:t>
                </a:r>
                <a:r>
                  <a:rPr lang="en-US" b="0" baseline="0"/>
                  <a:t> r</a:t>
                </a:r>
                <a:r>
                  <a:rPr lang="ro-RO" b="0" baseline="0"/>
                  <a:t>ăsp.</a:t>
                </a:r>
                <a:endParaRPr lang="en-US" b="0"/>
              </a:p>
            </c:rich>
          </c:tx>
          <c:layout>
            <c:manualLayout>
              <c:xMode val="edge"/>
              <c:yMode val="edge"/>
              <c:x val="1.0498687664041988E-2"/>
              <c:y val="8.4742471707165631E-2"/>
            </c:manualLayout>
          </c:layout>
        </c:title>
        <c:numFmt formatCode="0%" sourceLinked="1"/>
        <c:tickLblPos val="nextTo"/>
        <c:txPr>
          <a:bodyPr/>
          <a:lstStyle/>
          <a:p>
            <a:pPr>
              <a:defRPr sz="900">
                <a:latin typeface="Times New Roman" pitchFamily="18" charset="0"/>
                <a:cs typeface="Times New Roman" pitchFamily="18" charset="0"/>
              </a:defRPr>
            </a:pPr>
            <a:endParaRPr lang="en-US"/>
          </a:p>
        </c:txPr>
        <c:crossAx val="75147904"/>
        <c:crosses val="autoZero"/>
        <c:crossBetween val="between"/>
      </c:valAx>
      <c:spPr>
        <a:ln>
          <a:solidFill>
            <a:sysClr val="windowText" lastClr="000000"/>
          </a:solidFill>
        </a:ln>
      </c:spPr>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mj-lt"/>
              </a:defRPr>
            </a:pPr>
            <a:r>
              <a:rPr lang="ro-RO" sz="1000">
                <a:latin typeface="Times New Roman" pitchFamily="18" charset="0"/>
                <a:cs typeface="Times New Roman" pitchFamily="18" charset="0"/>
              </a:rPr>
              <a:t>Fig</a:t>
            </a:r>
            <a:r>
              <a:rPr lang="ro-RO" sz="1000" baseline="0">
                <a:latin typeface="Times New Roman" pitchFamily="18" charset="0"/>
                <a:cs typeface="Times New Roman" pitchFamily="18" charset="0"/>
              </a:rPr>
              <a:t>  </a:t>
            </a:r>
            <a:r>
              <a:rPr lang="en-US" sz="1000" baseline="0">
                <a:latin typeface="Times New Roman" pitchFamily="18" charset="0"/>
                <a:cs typeface="Times New Roman" pitchFamily="18" charset="0"/>
              </a:rPr>
              <a:t>3.</a:t>
            </a:r>
            <a:r>
              <a:rPr lang="ro-RO" sz="1000" baseline="0">
                <a:latin typeface="Times New Roman" pitchFamily="18" charset="0"/>
                <a:cs typeface="Times New Roman" pitchFamily="18" charset="0"/>
              </a:rPr>
              <a:t>12</a:t>
            </a:r>
            <a:r>
              <a:rPr lang="ro-RO" sz="1000">
                <a:latin typeface="Times New Roman" pitchFamily="18" charset="0"/>
                <a:cs typeface="Times New Roman" pitchFamily="18" charset="0"/>
              </a:rPr>
              <a:t>. </a:t>
            </a:r>
            <a:r>
              <a:rPr lang="vi-VN" sz="1000">
                <a:latin typeface="Times New Roman" pitchFamily="18" charset="0"/>
                <a:cs typeface="Times New Roman" pitchFamily="18" charset="0"/>
              </a:rPr>
              <a:t>Care sunt motivele pentru care ați alege să emigrați?</a:t>
            </a:r>
          </a:p>
        </c:rich>
      </c:tx>
      <c:layout>
        <c:manualLayout>
          <c:xMode val="edge"/>
          <c:yMode val="edge"/>
          <c:x val="0.16143547681893999"/>
          <c:y val="0"/>
        </c:manualLayout>
      </c:layout>
    </c:title>
    <c:plotArea>
      <c:layout>
        <c:manualLayout>
          <c:layoutTarget val="inner"/>
          <c:xMode val="edge"/>
          <c:yMode val="edge"/>
          <c:x val="0.44717093979071831"/>
          <c:y val="0.19509379509379521"/>
          <c:w val="0.51606190469129209"/>
          <c:h val="0.68339593914397412"/>
        </c:manualLayout>
      </c:layout>
      <c:barChart>
        <c:barDir val="bar"/>
        <c:grouping val="clustered"/>
        <c:ser>
          <c:idx val="0"/>
          <c:order val="0"/>
          <c:tx>
            <c:strRef>
              <c:f>'8'!$D$34</c:f>
              <c:strCache>
                <c:ptCount val="1"/>
                <c:pt idx="0">
                  <c:v>Care sunt motivele pentru care ați alege să emigrați?</c:v>
                </c:pt>
              </c:strCache>
            </c:strRef>
          </c:tx>
          <c:dLbls>
            <c:dLbl>
              <c:idx val="9"/>
              <c:layout>
                <c:manualLayout>
                  <c:x val="-7.5329566854990971E-3"/>
                  <c:y val="5.7715512833623689E-3"/>
                </c:manualLayout>
              </c:layout>
              <c:showVal val="1"/>
            </c:dLbl>
            <c:showVal val="1"/>
          </c:dLbls>
          <c:cat>
            <c:strRef>
              <c:f>'8'!$C$35:$C$44</c:f>
              <c:strCache>
                <c:ptCount val="10"/>
                <c:pt idx="0">
                  <c:v>educatie.</c:v>
                </c:pt>
                <c:pt idx="1">
                  <c:v>civilizatie</c:v>
                </c:pt>
                <c:pt idx="2">
                  <c:v>nu aș părăsi țara natală indiferent de motive;</c:v>
                </c:pt>
                <c:pt idx="3">
                  <c:v>posibilitatea de a fi susținut mai mult în deschiderea propriei afaceri;</c:v>
                </c:pt>
                <c:pt idx="4">
                  <c:v>cunoașterea unei noi culturi;</c:v>
                </c:pt>
                <c:pt idx="5">
                  <c:v>un sistem de învățământ mai bun;</c:v>
                </c:pt>
                <c:pt idx="6">
                  <c:v>un mediu politic „mai curat”;</c:v>
                </c:pt>
                <c:pt idx="7">
                  <c:v>un sistem sanitar mai bun;</c:v>
                </c:pt>
                <c:pt idx="8">
                  <c:v>un job corespunzător pregătirii profesionale;</c:v>
                </c:pt>
                <c:pt idx="9">
                  <c:v>un salariu mai mare;</c:v>
                </c:pt>
              </c:strCache>
            </c:strRef>
          </c:cat>
          <c:val>
            <c:numRef>
              <c:f>'8'!$D$35:$D$44</c:f>
              <c:numCache>
                <c:formatCode>0%</c:formatCode>
                <c:ptCount val="10"/>
                <c:pt idx="0">
                  <c:v>5.0251256281406975E-3</c:v>
                </c:pt>
                <c:pt idx="1">
                  <c:v>5.0251256281406975E-3</c:v>
                </c:pt>
                <c:pt idx="2">
                  <c:v>9.0452261306532666E-2</c:v>
                </c:pt>
                <c:pt idx="3">
                  <c:v>0.26633165829145727</c:v>
                </c:pt>
                <c:pt idx="4">
                  <c:v>0.34673366834170855</c:v>
                </c:pt>
                <c:pt idx="5">
                  <c:v>0.35678391959799038</c:v>
                </c:pt>
                <c:pt idx="6">
                  <c:v>0.38693467336683729</c:v>
                </c:pt>
                <c:pt idx="7">
                  <c:v>0.40703517587939697</c:v>
                </c:pt>
                <c:pt idx="8">
                  <c:v>0.49748743718593164</c:v>
                </c:pt>
                <c:pt idx="9">
                  <c:v>0.74371859296482723</c:v>
                </c:pt>
              </c:numCache>
            </c:numRef>
          </c:val>
        </c:ser>
        <c:gapWidth val="29"/>
        <c:axId val="83448192"/>
        <c:axId val="83449728"/>
      </c:barChart>
      <c:catAx>
        <c:axId val="83448192"/>
        <c:scaling>
          <c:orientation val="minMax"/>
        </c:scaling>
        <c:axPos val="l"/>
        <c:tickLblPos val="nextTo"/>
        <c:txPr>
          <a:bodyPr/>
          <a:lstStyle/>
          <a:p>
            <a:pPr>
              <a:defRPr sz="800">
                <a:latin typeface="Times New Roman" pitchFamily="18" charset="0"/>
                <a:cs typeface="Times New Roman" pitchFamily="18" charset="0"/>
              </a:defRPr>
            </a:pPr>
            <a:endParaRPr lang="en-US"/>
          </a:p>
        </c:txPr>
        <c:crossAx val="83449728"/>
        <c:crosses val="autoZero"/>
        <c:auto val="1"/>
        <c:lblAlgn val="ctr"/>
        <c:lblOffset val="100"/>
      </c:catAx>
      <c:valAx>
        <c:axId val="83449728"/>
        <c:scaling>
          <c:orientation val="minMax"/>
        </c:scaling>
        <c:axPos val="b"/>
        <c:majorGridlines/>
        <c:title>
          <c:tx>
            <c:rich>
              <a:bodyPr/>
              <a:lstStyle/>
              <a:p>
                <a:pPr>
                  <a:defRPr/>
                </a:pPr>
                <a:r>
                  <a:rPr lang="ro-RO"/>
                  <a:t>%</a:t>
                </a:r>
                <a:r>
                  <a:rPr lang="ro-RO" baseline="0"/>
                  <a:t> răsp.</a:t>
                </a:r>
                <a:endParaRPr lang="en-US"/>
              </a:p>
            </c:rich>
          </c:tx>
          <c:layout>
            <c:manualLayout>
              <c:xMode val="edge"/>
              <c:yMode val="edge"/>
              <c:x val="0.88383330614746558"/>
              <c:y val="0.80124187898565913"/>
            </c:manualLayout>
          </c:layout>
        </c:title>
        <c:numFmt formatCode="0%" sourceLinked="1"/>
        <c:tickLblPos val="nextTo"/>
        <c:crossAx val="83448192"/>
        <c:crosses val="autoZero"/>
        <c:crossBetween val="between"/>
      </c:valAx>
      <c:spPr>
        <a:ln>
          <a:solidFill>
            <a:sysClr val="windowText" lastClr="000000"/>
          </a:solidFill>
        </a:ln>
      </c:spPr>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latin typeface="+mj-lt"/>
              </a:defRPr>
            </a:pPr>
            <a:r>
              <a:rPr lang="ro-RO" sz="1000">
                <a:latin typeface="Times New Roman" pitchFamily="18" charset="0"/>
                <a:cs typeface="Times New Roman" pitchFamily="18" charset="0"/>
              </a:rPr>
              <a:t>Fig</a:t>
            </a:r>
            <a:r>
              <a:rPr lang="ro-RO" sz="1000" baseline="0">
                <a:latin typeface="Times New Roman" pitchFamily="18" charset="0"/>
                <a:cs typeface="Times New Roman" pitchFamily="18" charset="0"/>
              </a:rPr>
              <a:t> </a:t>
            </a:r>
            <a:r>
              <a:rPr lang="en-US" sz="1000" baseline="0">
                <a:latin typeface="Times New Roman" pitchFamily="18" charset="0"/>
                <a:cs typeface="Times New Roman" pitchFamily="18" charset="0"/>
              </a:rPr>
              <a:t>3.</a:t>
            </a:r>
            <a:r>
              <a:rPr lang="ro-RO" sz="1000" baseline="0">
                <a:latin typeface="Times New Roman" pitchFamily="18" charset="0"/>
                <a:cs typeface="Times New Roman" pitchFamily="18" charset="0"/>
              </a:rPr>
              <a:t>13</a:t>
            </a:r>
            <a:r>
              <a:rPr lang="ro-RO" sz="1000">
                <a:latin typeface="Times New Roman" pitchFamily="18" charset="0"/>
                <a:cs typeface="Times New Roman" pitchFamily="18" charset="0"/>
              </a:rPr>
              <a:t>. </a:t>
            </a:r>
            <a:r>
              <a:rPr lang="vi-VN" sz="1000">
                <a:latin typeface="Times New Roman" pitchFamily="18" charset="0"/>
                <a:cs typeface="Times New Roman" pitchFamily="18" charset="0"/>
              </a:rPr>
              <a:t>Care sunt motivele pentru care v-ați întoarce în țară?</a:t>
            </a:r>
          </a:p>
        </c:rich>
      </c:tx>
    </c:title>
    <c:plotArea>
      <c:layout>
        <c:manualLayout>
          <c:layoutTarget val="inner"/>
          <c:xMode val="edge"/>
          <c:yMode val="edge"/>
          <c:x val="0.40332174103237267"/>
          <c:y val="0.15660227851463143"/>
          <c:w val="0.5489630358705162"/>
          <c:h val="0.75049432998040189"/>
        </c:manualLayout>
      </c:layout>
      <c:barChart>
        <c:barDir val="bar"/>
        <c:grouping val="clustered"/>
        <c:ser>
          <c:idx val="0"/>
          <c:order val="0"/>
          <c:tx>
            <c:strRef>
              <c:f>'12'!$G$31</c:f>
              <c:strCache>
                <c:ptCount val="1"/>
                <c:pt idx="0">
                  <c:v>Care sunt motivele pentru care v-ați întoarce în țară?</c:v>
                </c:pt>
              </c:strCache>
            </c:strRef>
          </c:tx>
          <c:dLbls>
            <c:txPr>
              <a:bodyPr/>
              <a:lstStyle/>
              <a:p>
                <a:pPr>
                  <a:defRPr sz="900">
                    <a:latin typeface="Times New Roman" pitchFamily="18" charset="0"/>
                    <a:cs typeface="Times New Roman" pitchFamily="18" charset="0"/>
                  </a:defRPr>
                </a:pPr>
                <a:endParaRPr lang="en-US"/>
              </a:p>
            </c:txPr>
            <c:showVal val="1"/>
          </c:dLbls>
          <c:cat>
            <c:strRef>
              <c:f>'12'!$F$32:$F$37</c:f>
              <c:strCache>
                <c:ptCount val="6"/>
                <c:pt idx="0">
                  <c:v>altele</c:v>
                </c:pt>
                <c:pt idx="1">
                  <c:v>posibilitățile de dezvoltare profesională și personală;</c:v>
                </c:pt>
                <c:pt idx="2">
                  <c:v>nu m-aș întoarce decât în vizite;</c:v>
                </c:pt>
                <c:pt idx="3">
                  <c:v>dorința de a contribui la modernizarea societății românești;</c:v>
                </c:pt>
                <c:pt idx="4">
                  <c:v>locurile și amintirile;</c:v>
                </c:pt>
                <c:pt idx="5">
                  <c:v>familie și prieteni;</c:v>
                </c:pt>
              </c:strCache>
            </c:strRef>
          </c:cat>
          <c:val>
            <c:numRef>
              <c:f>'12'!$G$32:$G$37</c:f>
              <c:numCache>
                <c:formatCode>0%</c:formatCode>
                <c:ptCount val="6"/>
                <c:pt idx="0">
                  <c:v>1.5075376884422113E-2</c:v>
                </c:pt>
                <c:pt idx="1">
                  <c:v>0.16582914572864318</c:v>
                </c:pt>
                <c:pt idx="2">
                  <c:v>0.17587939698492491</c:v>
                </c:pt>
                <c:pt idx="3">
                  <c:v>0.31658291457286747</c:v>
                </c:pt>
                <c:pt idx="4">
                  <c:v>0.42211055276381931</c:v>
                </c:pt>
                <c:pt idx="5">
                  <c:v>0.79899497487437265</c:v>
                </c:pt>
              </c:numCache>
            </c:numRef>
          </c:val>
        </c:ser>
        <c:gapWidth val="65"/>
        <c:axId val="87373696"/>
        <c:axId val="87375232"/>
      </c:barChart>
      <c:catAx>
        <c:axId val="87373696"/>
        <c:scaling>
          <c:orientation val="minMax"/>
        </c:scaling>
        <c:axPos val="l"/>
        <c:tickLblPos val="nextTo"/>
        <c:txPr>
          <a:bodyPr/>
          <a:lstStyle/>
          <a:p>
            <a:pPr>
              <a:defRPr sz="1000">
                <a:latin typeface="Times New Roman" pitchFamily="18" charset="0"/>
                <a:cs typeface="Times New Roman" pitchFamily="18" charset="0"/>
              </a:defRPr>
            </a:pPr>
            <a:endParaRPr lang="en-US"/>
          </a:p>
        </c:txPr>
        <c:crossAx val="87375232"/>
        <c:crosses val="autoZero"/>
        <c:auto val="1"/>
        <c:lblAlgn val="ctr"/>
        <c:lblOffset val="100"/>
      </c:catAx>
      <c:valAx>
        <c:axId val="87375232"/>
        <c:scaling>
          <c:orientation val="minMax"/>
        </c:scaling>
        <c:axPos val="b"/>
        <c:title>
          <c:tx>
            <c:rich>
              <a:bodyPr/>
              <a:lstStyle/>
              <a:p>
                <a:pPr>
                  <a:defRPr/>
                </a:pPr>
                <a:r>
                  <a:rPr lang="ro-RO" b="0">
                    <a:latin typeface="Times New Roman" pitchFamily="18" charset="0"/>
                    <a:cs typeface="Times New Roman" pitchFamily="18" charset="0"/>
                  </a:rPr>
                  <a:t>%</a:t>
                </a:r>
                <a:r>
                  <a:rPr lang="ro-RO" b="0" baseline="0">
                    <a:latin typeface="Times New Roman" pitchFamily="18" charset="0"/>
                    <a:cs typeface="Times New Roman" pitchFamily="18" charset="0"/>
                  </a:rPr>
                  <a:t> răspunsuri</a:t>
                </a:r>
                <a:endParaRPr lang="en-US" b="0">
                  <a:latin typeface="Times New Roman" pitchFamily="18" charset="0"/>
                  <a:cs typeface="Times New Roman" pitchFamily="18" charset="0"/>
                </a:endParaRPr>
              </a:p>
            </c:rich>
          </c:tx>
          <c:layout>
            <c:manualLayout>
              <c:xMode val="edge"/>
              <c:yMode val="edge"/>
              <c:x val="0.79902537182852162"/>
              <c:y val="0.80908866711125949"/>
            </c:manualLayout>
          </c:layout>
        </c:title>
        <c:numFmt formatCode="0%" sourceLinked="1"/>
        <c:tickLblPos val="nextTo"/>
        <c:txPr>
          <a:bodyPr/>
          <a:lstStyle/>
          <a:p>
            <a:pPr>
              <a:defRPr sz="900">
                <a:latin typeface="Times New Roman" pitchFamily="18" charset="0"/>
                <a:cs typeface="Times New Roman" pitchFamily="18" charset="0"/>
              </a:defRPr>
            </a:pPr>
            <a:endParaRPr lang="en-US"/>
          </a:p>
        </c:txPr>
        <c:crossAx val="87373696"/>
        <c:crosses val="autoZero"/>
        <c:crossBetween val="between"/>
      </c:valAx>
      <c:spPr>
        <a:ln>
          <a:solidFill>
            <a:sysClr val="windowText" lastClr="000000"/>
          </a:solidFill>
        </a:ln>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pivotSource>
    <c:name>[Chestionar - Percep ia tinerilor din România cu privire   la procesul migra ionist (Responses) (1).xlsx]1.b!PivotTable1</c:name>
    <c:fmtId val="-1"/>
  </c:pivotSource>
  <c:chart>
    <c:title>
      <c:tx>
        <c:rich>
          <a:bodyPr/>
          <a:lstStyle/>
          <a:p>
            <a:pPr>
              <a:defRPr/>
            </a:pPr>
            <a:r>
              <a:rPr lang="ro-RO" sz="1000" b="1">
                <a:latin typeface="Times New Roman" pitchFamily="18" charset="0"/>
                <a:cs typeface="Times New Roman" pitchFamily="18" charset="0"/>
              </a:rPr>
              <a:t>Fig.</a:t>
            </a:r>
            <a:r>
              <a:rPr lang="ro-RO" sz="1000" b="1" baseline="0">
                <a:latin typeface="Times New Roman" pitchFamily="18" charset="0"/>
                <a:cs typeface="Times New Roman" pitchFamily="18" charset="0"/>
              </a:rPr>
              <a:t> </a:t>
            </a:r>
            <a:r>
              <a:rPr lang="en-US" sz="1000" b="1" baseline="0">
                <a:latin typeface="Times New Roman" pitchFamily="18" charset="0"/>
                <a:cs typeface="Times New Roman" pitchFamily="18" charset="0"/>
              </a:rPr>
              <a:t>3.</a:t>
            </a:r>
            <a:r>
              <a:rPr lang="ro-RO" sz="1000" b="1" baseline="0">
                <a:latin typeface="Times New Roman" pitchFamily="18" charset="0"/>
                <a:cs typeface="Times New Roman" pitchFamily="18" charset="0"/>
              </a:rPr>
              <a:t>2</a:t>
            </a:r>
            <a:r>
              <a:rPr lang="ro-RO" sz="1000" b="1">
                <a:latin typeface="Times New Roman" pitchFamily="18" charset="0"/>
                <a:cs typeface="Times New Roman" pitchFamily="18" charset="0"/>
              </a:rPr>
              <a:t>. </a:t>
            </a:r>
            <a:r>
              <a:rPr lang="vi-VN" sz="1000" b="1">
                <a:latin typeface="Times New Roman" pitchFamily="18" charset="0"/>
                <a:cs typeface="Times New Roman" pitchFamily="18" charset="0"/>
              </a:rPr>
              <a:t>Considerați libertatea de circulației a cetățenilor români în</a:t>
            </a:r>
            <a:r>
              <a:rPr lang="en-US" sz="1000" b="1" baseline="0">
                <a:latin typeface="Times New Roman" pitchFamily="18" charset="0"/>
                <a:cs typeface="Times New Roman" pitchFamily="18" charset="0"/>
              </a:rPr>
              <a:t> </a:t>
            </a:r>
            <a:r>
              <a:rPr lang="vi-VN" sz="1000" b="1">
                <a:latin typeface="Times New Roman" pitchFamily="18" charset="0"/>
                <a:cs typeface="Times New Roman" pitchFamily="18" charset="0"/>
              </a:rPr>
              <a:t>tot spațiul Uniunii Europene</a:t>
            </a:r>
            <a:r>
              <a:rPr lang="ro-RO" sz="1000" b="1" baseline="0">
                <a:latin typeface="Times New Roman" pitchFamily="18" charset="0"/>
                <a:cs typeface="Times New Roman" pitchFamily="18" charset="0"/>
              </a:rPr>
              <a:t> </a:t>
            </a:r>
            <a:r>
              <a:rPr lang="vi-VN" sz="1000" b="1">
                <a:latin typeface="Times New Roman" pitchFamily="18" charset="0"/>
                <a:cs typeface="Times New Roman" pitchFamily="18" charset="0"/>
              </a:rPr>
              <a:t>ca fiind</a:t>
            </a:r>
            <a:r>
              <a:rPr lang="ro-RO" sz="1000" b="1">
                <a:latin typeface="Times New Roman" pitchFamily="18" charset="0"/>
                <a:cs typeface="Times New Roman" pitchFamily="18" charset="0"/>
              </a:rPr>
              <a:t> o</a:t>
            </a:r>
            <a:r>
              <a:rPr lang="vi-VN" sz="1000" b="1">
                <a:latin typeface="Times New Roman" pitchFamily="18" charset="0"/>
                <a:cs typeface="Times New Roman" pitchFamily="18" charset="0"/>
              </a:rPr>
              <a:t> șansă</a:t>
            </a:r>
            <a:r>
              <a:rPr lang="en-US" sz="1000" b="1" baseline="0">
                <a:latin typeface="Times New Roman" pitchFamily="18" charset="0"/>
                <a:cs typeface="Times New Roman" pitchFamily="18" charset="0"/>
              </a:rPr>
              <a:t> </a:t>
            </a:r>
            <a:r>
              <a:rPr lang="vi-VN" sz="1000" b="1">
                <a:latin typeface="Times New Roman" pitchFamily="18" charset="0"/>
                <a:cs typeface="Times New Roman" pitchFamily="18" charset="0"/>
              </a:rPr>
              <a:t>pentru</a:t>
            </a:r>
            <a:r>
              <a:rPr lang="en-US" sz="1000" b="1" baseline="0">
                <a:latin typeface="Times New Roman" pitchFamily="18" charset="0"/>
                <a:cs typeface="Times New Roman" pitchFamily="18" charset="0"/>
              </a:rPr>
              <a:t> </a:t>
            </a:r>
            <a:r>
              <a:rPr lang="vi-VN" sz="1000" b="1">
                <a:latin typeface="Times New Roman" pitchFamily="18" charset="0"/>
                <a:cs typeface="Times New Roman" pitchFamily="18" charset="0"/>
              </a:rPr>
              <a:t>dezvoltarea societății românești</a:t>
            </a:r>
            <a:endParaRPr lang="en-US" sz="1000" b="1">
              <a:latin typeface="Times New Roman" pitchFamily="18" charset="0"/>
              <a:cs typeface="Times New Roman" pitchFamily="18" charset="0"/>
            </a:endParaRPr>
          </a:p>
        </c:rich>
      </c:tx>
      <c:layout>
        <c:manualLayout>
          <c:xMode val="edge"/>
          <c:yMode val="edge"/>
          <c:x val="0.1456860236087181"/>
          <c:y val="4.6296750107079612E-3"/>
        </c:manualLayout>
      </c:layout>
    </c:title>
    <c:pivotFmts>
      <c:pivotFmt>
        <c:idx val="0"/>
        <c:marker>
          <c:symbol val="none"/>
        </c:marker>
      </c:pivotFmt>
      <c:pivotFmt>
        <c:idx val="1"/>
        <c:marker>
          <c:symbol val="none"/>
        </c:marker>
      </c:pivotFmt>
      <c:pivotFmt>
        <c:idx val="2"/>
        <c:marker>
          <c:symbol val="none"/>
        </c:marker>
        <c:dLbl>
          <c:idx val="0"/>
          <c:spPr/>
          <c:txPr>
            <a:bodyPr/>
            <a:lstStyle/>
            <a:p>
              <a:pPr>
                <a:defRPr/>
              </a:pPr>
              <a:endParaRPr lang="en-US"/>
            </a:p>
          </c:txPr>
          <c:showVal val="1"/>
        </c:dLbl>
      </c:pivotFmt>
      <c:pivotFmt>
        <c:idx val="3"/>
        <c:marker>
          <c:symbol val="none"/>
        </c:marker>
        <c:dLbl>
          <c:idx val="0"/>
          <c:spPr/>
          <c:txPr>
            <a:bodyPr/>
            <a:lstStyle/>
            <a:p>
              <a:pPr>
                <a:defRPr/>
              </a:pPr>
              <a:endParaRPr lang="en-US"/>
            </a:p>
          </c:txPr>
          <c:showVal val="1"/>
        </c:dLbl>
      </c:pivotFmt>
    </c:pivotFmts>
    <c:plotArea>
      <c:layout>
        <c:manualLayout>
          <c:layoutTarget val="inner"/>
          <c:xMode val="edge"/>
          <c:yMode val="edge"/>
          <c:x val="0.25251618547681542"/>
          <c:y val="0.20923629337999608"/>
          <c:w val="0.70681014873140857"/>
          <c:h val="0.67478382910470081"/>
        </c:manualLayout>
      </c:layout>
      <c:barChart>
        <c:barDir val="bar"/>
        <c:grouping val="clustered"/>
        <c:ser>
          <c:idx val="0"/>
          <c:order val="0"/>
          <c:tx>
            <c:strRef>
              <c:f>'1.b'!$B$1</c:f>
              <c:strCache>
                <c:ptCount val="1"/>
                <c:pt idx="0">
                  <c:v>Total</c:v>
                </c:pt>
              </c:strCache>
            </c:strRef>
          </c:tx>
          <c:dLbls>
            <c:txPr>
              <a:bodyPr/>
              <a:lstStyle/>
              <a:p>
                <a:pPr>
                  <a:defRPr sz="900">
                    <a:latin typeface="Times New Roman" pitchFamily="18" charset="0"/>
                    <a:cs typeface="Times New Roman" pitchFamily="18" charset="0"/>
                  </a:defRPr>
                </a:pPr>
                <a:endParaRPr lang="en-US"/>
              </a:p>
            </c:txPr>
            <c:showVal val="1"/>
          </c:dLbls>
          <c:cat>
            <c:strRef>
              <c:f>'1.b'!$A$2:$A$7</c:f>
              <c:strCache>
                <c:ptCount val="5"/>
                <c:pt idx="0">
                  <c:v>Acord total</c:v>
                </c:pt>
                <c:pt idx="1">
                  <c:v>Foarte de acord</c:v>
                </c:pt>
                <c:pt idx="2">
                  <c:v>Oarecum de acord</c:v>
                </c:pt>
                <c:pt idx="3">
                  <c:v>Dezacord parțial</c:v>
                </c:pt>
                <c:pt idx="4">
                  <c:v>Total dezacord</c:v>
                </c:pt>
              </c:strCache>
            </c:strRef>
          </c:cat>
          <c:val>
            <c:numRef>
              <c:f>'1.b'!$B$2:$B$7</c:f>
              <c:numCache>
                <c:formatCode>0.00%</c:formatCode>
                <c:ptCount val="5"/>
                <c:pt idx="0">
                  <c:v>0.22613065326633169</c:v>
                </c:pt>
                <c:pt idx="1">
                  <c:v>0.35678391959799038</c:v>
                </c:pt>
                <c:pt idx="2">
                  <c:v>0.30653266331658507</c:v>
                </c:pt>
                <c:pt idx="3">
                  <c:v>7.0351758793969849E-2</c:v>
                </c:pt>
                <c:pt idx="4">
                  <c:v>4.0201005025125629E-2</c:v>
                </c:pt>
              </c:numCache>
            </c:numRef>
          </c:val>
        </c:ser>
        <c:gapWidth val="72"/>
        <c:overlap val="10"/>
        <c:axId val="74831744"/>
        <c:axId val="74833280"/>
      </c:barChart>
      <c:catAx>
        <c:axId val="74831744"/>
        <c:scaling>
          <c:orientation val="minMax"/>
        </c:scaling>
        <c:axPos val="l"/>
        <c:tickLblPos val="nextTo"/>
        <c:txPr>
          <a:bodyPr/>
          <a:lstStyle/>
          <a:p>
            <a:pPr>
              <a:defRPr sz="900">
                <a:latin typeface="Times New Roman" pitchFamily="18" charset="0"/>
                <a:cs typeface="Times New Roman" pitchFamily="18" charset="0"/>
              </a:defRPr>
            </a:pPr>
            <a:endParaRPr lang="en-US"/>
          </a:p>
        </c:txPr>
        <c:crossAx val="74833280"/>
        <c:crosses val="autoZero"/>
        <c:auto val="1"/>
        <c:lblAlgn val="ctr"/>
        <c:lblOffset val="100"/>
      </c:catAx>
      <c:valAx>
        <c:axId val="74833280"/>
        <c:scaling>
          <c:orientation val="minMax"/>
        </c:scaling>
        <c:axPos val="b"/>
        <c:title>
          <c:tx>
            <c:rich>
              <a:bodyPr/>
              <a:lstStyle/>
              <a:p>
                <a:pPr>
                  <a:defRPr sz="800">
                    <a:latin typeface="Times New Roman" pitchFamily="18" charset="0"/>
                    <a:cs typeface="Times New Roman" pitchFamily="18" charset="0"/>
                  </a:defRPr>
                </a:pPr>
                <a:r>
                  <a:rPr lang="ro-RO" sz="800">
                    <a:latin typeface="Times New Roman" pitchFamily="18" charset="0"/>
                    <a:cs typeface="Times New Roman" pitchFamily="18" charset="0"/>
                  </a:rPr>
                  <a:t>%</a:t>
                </a:r>
                <a:r>
                  <a:rPr lang="ro-RO" sz="800" baseline="0">
                    <a:latin typeface="Times New Roman" pitchFamily="18" charset="0"/>
                    <a:cs typeface="Times New Roman" pitchFamily="18" charset="0"/>
                  </a:rPr>
                  <a:t> răspunsuri</a:t>
                </a:r>
                <a:endParaRPr lang="en-US" sz="800">
                  <a:latin typeface="Times New Roman" pitchFamily="18" charset="0"/>
                  <a:cs typeface="Times New Roman" pitchFamily="18" charset="0"/>
                </a:endParaRPr>
              </a:p>
            </c:rich>
          </c:tx>
          <c:layout>
            <c:manualLayout>
              <c:xMode val="edge"/>
              <c:yMode val="edge"/>
              <c:x val="0.80353237095362595"/>
              <c:y val="0.7907174103237139"/>
            </c:manualLayout>
          </c:layout>
        </c:title>
        <c:numFmt formatCode="0%" sourceLinked="0"/>
        <c:tickLblPos val="nextTo"/>
        <c:txPr>
          <a:bodyPr/>
          <a:lstStyle/>
          <a:p>
            <a:pPr>
              <a:defRPr sz="900">
                <a:latin typeface="Times New Roman" pitchFamily="18" charset="0"/>
                <a:cs typeface="Times New Roman" pitchFamily="18" charset="0"/>
              </a:defRPr>
            </a:pPr>
            <a:endParaRPr lang="en-US"/>
          </a:p>
        </c:txPr>
        <c:crossAx val="74831744"/>
        <c:crosses val="autoZero"/>
        <c:crossBetween val="between"/>
      </c:valAx>
      <c:spPr>
        <a:noFill/>
        <a:ln>
          <a:noFill/>
        </a:ln>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pivotSource>
    <c:name>[Chestionar - Percep ia tinerilor din România cu privire   la procesul migra ionist (Responses) (1).xlsx]2.1!PivotTable1</c:name>
    <c:fmtId val="-1"/>
  </c:pivotSource>
  <c:chart>
    <c:title>
      <c:tx>
        <c:rich>
          <a:bodyPr rot="0" vert="horz" anchor="t" anchorCtr="0"/>
          <a:lstStyle/>
          <a:p>
            <a:pPr>
              <a:defRPr>
                <a:latin typeface="+mj-lt"/>
              </a:defRPr>
            </a:pPr>
            <a:r>
              <a:rPr lang="ro-RO" sz="1000" b="1">
                <a:latin typeface="Times New Roman" pitchFamily="18" charset="0"/>
                <a:cs typeface="Times New Roman" pitchFamily="18" charset="0"/>
              </a:rPr>
              <a:t>Fig.</a:t>
            </a:r>
            <a:r>
              <a:rPr lang="ro-RO" sz="1000" b="1" baseline="0">
                <a:latin typeface="Times New Roman" pitchFamily="18" charset="0"/>
                <a:cs typeface="Times New Roman" pitchFamily="18" charset="0"/>
              </a:rPr>
              <a:t> 3.</a:t>
            </a:r>
            <a:r>
              <a:rPr lang="en-US" sz="1000" b="1" baseline="0">
                <a:latin typeface="Times New Roman" pitchFamily="18" charset="0"/>
                <a:cs typeface="Times New Roman" pitchFamily="18" charset="0"/>
              </a:rPr>
              <a:t>3.</a:t>
            </a:r>
            <a:r>
              <a:rPr lang="ro-RO" sz="1000" b="1" baseline="0">
                <a:latin typeface="Times New Roman" pitchFamily="18" charset="0"/>
                <a:cs typeface="Times New Roman" pitchFamily="18" charset="0"/>
              </a:rPr>
              <a:t> </a:t>
            </a:r>
            <a:r>
              <a:rPr lang="vi-VN" sz="1000" b="1">
                <a:latin typeface="Times New Roman" pitchFamily="18" charset="0"/>
                <a:cs typeface="Times New Roman" pitchFamily="18" charset="0"/>
              </a:rPr>
              <a:t>În condițiile de mai sus, considerați emigrarea românilor în</a:t>
            </a:r>
            <a:r>
              <a:rPr lang="en-US" sz="1000" b="1" baseline="0">
                <a:latin typeface="Times New Roman" pitchFamily="18" charset="0"/>
                <a:cs typeface="Times New Roman" pitchFamily="18" charset="0"/>
              </a:rPr>
              <a:t> </a:t>
            </a:r>
            <a:r>
              <a:rPr lang="vi-VN" sz="1000" b="1">
                <a:latin typeface="Times New Roman" pitchFamily="18" charset="0"/>
                <a:cs typeface="Times New Roman" pitchFamily="18" charset="0"/>
              </a:rPr>
              <a:t>U.E.</a:t>
            </a:r>
            <a:r>
              <a:rPr lang="ro-RO" sz="1000" b="1">
                <a:latin typeface="Times New Roman" pitchFamily="18" charset="0"/>
                <a:cs typeface="Times New Roman" pitchFamily="18" charset="0"/>
              </a:rPr>
              <a:t> o</a:t>
            </a:r>
            <a:r>
              <a:rPr lang="vi-VN" sz="1000" b="1">
                <a:latin typeface="Times New Roman" pitchFamily="18" charset="0"/>
                <a:cs typeface="Times New Roman" pitchFamily="18" charset="0"/>
              </a:rPr>
              <a:t> mișcare normală pe piața unică a forței</a:t>
            </a:r>
            <a:r>
              <a:rPr lang="en-US" sz="1000" b="1">
                <a:latin typeface="Times New Roman" pitchFamily="18" charset="0"/>
                <a:cs typeface="Times New Roman" pitchFamily="18" charset="0"/>
              </a:rPr>
              <a:t> </a:t>
            </a:r>
            <a:r>
              <a:rPr lang="vi-VN" sz="1000" b="1">
                <a:latin typeface="Times New Roman" pitchFamily="18" charset="0"/>
                <a:cs typeface="Times New Roman" pitchFamily="18" charset="0"/>
              </a:rPr>
              <a:t>de muncă din U.E.</a:t>
            </a:r>
            <a:endParaRPr lang="en-US" sz="1000" b="1">
              <a:latin typeface="Times New Roman" pitchFamily="18" charset="0"/>
              <a:cs typeface="Times New Roman" pitchFamily="18" charset="0"/>
            </a:endParaRPr>
          </a:p>
        </c:rich>
      </c:tx>
      <c:spPr>
        <a:ln w="3175"/>
      </c:spPr>
    </c:title>
    <c:pivotFmts>
      <c:pivotFmt>
        <c:idx val="0"/>
        <c:marker>
          <c:symbol val="none"/>
        </c:marker>
        <c:dLbl>
          <c:idx val="0"/>
          <c:spPr/>
          <c:txPr>
            <a:bodyPr/>
            <a:lstStyle/>
            <a:p>
              <a:pPr>
                <a:defRPr/>
              </a:pPr>
              <a:endParaRPr lang="en-US"/>
            </a:p>
          </c:txPr>
          <c:showVal val="1"/>
        </c:dLbl>
      </c:pivotFmt>
      <c:pivotFmt>
        <c:idx val="1"/>
        <c:marker>
          <c:symbol val="none"/>
        </c:marker>
        <c:dLbl>
          <c:idx val="0"/>
          <c:spPr>
            <a:ln>
              <a:solidFill>
                <a:sysClr val="windowText" lastClr="000000"/>
              </a:solidFill>
            </a:ln>
          </c:spPr>
          <c:txPr>
            <a:bodyPr/>
            <a:lstStyle/>
            <a:p>
              <a:pPr>
                <a:defRPr/>
              </a:pPr>
              <a:endParaRPr lang="en-US"/>
            </a:p>
          </c:txPr>
          <c:showVal val="1"/>
        </c:dLbl>
      </c:pivotFmt>
      <c:pivotFmt>
        <c:idx val="2"/>
        <c:marker>
          <c:symbol val="none"/>
        </c:marker>
        <c:dLbl>
          <c:idx val="0"/>
          <c:spPr>
            <a:ln>
              <a:solidFill>
                <a:sysClr val="windowText" lastClr="000000"/>
              </a:solidFill>
            </a:ln>
          </c:spPr>
          <c:txPr>
            <a:bodyPr/>
            <a:lstStyle/>
            <a:p>
              <a:pPr>
                <a:defRPr/>
              </a:pPr>
              <a:endParaRPr lang="en-US"/>
            </a:p>
          </c:txPr>
          <c:showVal val="1"/>
        </c:dLbl>
      </c:pivotFmt>
    </c:pivotFmts>
    <c:plotArea>
      <c:layout>
        <c:manualLayout>
          <c:layoutTarget val="inner"/>
          <c:xMode val="edge"/>
          <c:yMode val="edge"/>
          <c:x val="0.10991863011343236"/>
          <c:y val="0.27233905597865848"/>
          <c:w val="0.86182189654040042"/>
          <c:h val="0.56479049954821714"/>
        </c:manualLayout>
      </c:layout>
      <c:barChart>
        <c:barDir val="col"/>
        <c:grouping val="clustered"/>
        <c:ser>
          <c:idx val="0"/>
          <c:order val="0"/>
          <c:tx>
            <c:strRef>
              <c:f>'2.1'!$E$14</c:f>
              <c:strCache>
                <c:ptCount val="1"/>
                <c:pt idx="0">
                  <c:v>Total</c:v>
                </c:pt>
              </c:strCache>
            </c:strRef>
          </c:tx>
          <c:dLbls>
            <c:spPr>
              <a:ln>
                <a:solidFill>
                  <a:sysClr val="windowText" lastClr="000000"/>
                </a:solidFill>
              </a:ln>
            </c:spPr>
            <c:txPr>
              <a:bodyPr/>
              <a:lstStyle/>
              <a:p>
                <a:pPr>
                  <a:defRPr/>
                </a:pPr>
                <a:endParaRPr lang="en-US"/>
              </a:p>
            </c:txPr>
            <c:showVal val="1"/>
          </c:dLbls>
          <c:cat>
            <c:strRef>
              <c:f>'2.1'!$D$15:$D$20</c:f>
              <c:strCache>
                <c:ptCount val="5"/>
                <c:pt idx="0">
                  <c:v>Acord total</c:v>
                </c:pt>
                <c:pt idx="1">
                  <c:v>Foarte de acord</c:v>
                </c:pt>
                <c:pt idx="2">
                  <c:v>Oarecum de acord</c:v>
                </c:pt>
                <c:pt idx="3">
                  <c:v>Dezacord parțial</c:v>
                </c:pt>
                <c:pt idx="4">
                  <c:v>Dezacord total</c:v>
                </c:pt>
              </c:strCache>
            </c:strRef>
          </c:cat>
          <c:val>
            <c:numRef>
              <c:f>'2.1'!$E$15:$E$20</c:f>
              <c:numCache>
                <c:formatCode>0.00%</c:formatCode>
                <c:ptCount val="5"/>
                <c:pt idx="0">
                  <c:v>0.22613065326633169</c:v>
                </c:pt>
                <c:pt idx="1">
                  <c:v>0.3015075376884444</c:v>
                </c:pt>
                <c:pt idx="2">
                  <c:v>0.36180904522613067</c:v>
                </c:pt>
                <c:pt idx="3">
                  <c:v>7.5376884422110824E-2</c:v>
                </c:pt>
                <c:pt idx="4">
                  <c:v>3.5175879396984931E-2</c:v>
                </c:pt>
              </c:numCache>
            </c:numRef>
          </c:val>
        </c:ser>
        <c:gapWidth val="89"/>
        <c:overlap val="-78"/>
        <c:axId val="75300224"/>
        <c:axId val="78787712"/>
      </c:barChart>
      <c:catAx>
        <c:axId val="75300224"/>
        <c:scaling>
          <c:orientation val="minMax"/>
        </c:scaling>
        <c:axPos val="b"/>
        <c:tickLblPos val="nextTo"/>
        <c:txPr>
          <a:bodyPr/>
          <a:lstStyle/>
          <a:p>
            <a:pPr>
              <a:defRPr sz="900">
                <a:latin typeface="Times New Roman" pitchFamily="18" charset="0"/>
                <a:cs typeface="Times New Roman" pitchFamily="18" charset="0"/>
              </a:defRPr>
            </a:pPr>
            <a:endParaRPr lang="en-US"/>
          </a:p>
        </c:txPr>
        <c:crossAx val="78787712"/>
        <c:crosses val="autoZero"/>
        <c:auto val="1"/>
        <c:lblAlgn val="ctr"/>
        <c:lblOffset val="100"/>
      </c:catAx>
      <c:valAx>
        <c:axId val="78787712"/>
        <c:scaling>
          <c:orientation val="minMax"/>
        </c:scaling>
        <c:axPos val="l"/>
        <c:title>
          <c:tx>
            <c:rich>
              <a:bodyPr rot="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a:t>
                </a:r>
                <a:r>
                  <a:rPr lang="en-US" sz="900" baseline="0">
                    <a:latin typeface="Times New Roman" pitchFamily="18" charset="0"/>
                    <a:cs typeface="Times New Roman" pitchFamily="18" charset="0"/>
                  </a:rPr>
                  <a:t> r</a:t>
                </a:r>
                <a:r>
                  <a:rPr lang="ro-RO" sz="900" baseline="0">
                    <a:latin typeface="Times New Roman" pitchFamily="18" charset="0"/>
                    <a:cs typeface="Times New Roman" pitchFamily="18" charset="0"/>
                  </a:rPr>
                  <a:t>ăspunsuri</a:t>
                </a:r>
                <a:endParaRPr lang="en-US" sz="900">
                  <a:latin typeface="Times New Roman" pitchFamily="18" charset="0"/>
                  <a:cs typeface="Times New Roman" pitchFamily="18" charset="0"/>
                </a:endParaRPr>
              </a:p>
            </c:rich>
          </c:tx>
          <c:layout>
            <c:manualLayout>
              <c:xMode val="edge"/>
              <c:yMode val="edge"/>
              <c:x val="2.3121387283236993E-2"/>
              <c:y val="0.17177229895443399"/>
            </c:manualLayout>
          </c:layout>
        </c:title>
        <c:numFmt formatCode="0%" sourceLinked="0"/>
        <c:tickLblPos val="nextTo"/>
        <c:crossAx val="7530022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pivotSource>
    <c:name>[Chestionar - Percep ia tinerilor din România cu privire   la procesul migra ionist (Responses) (1).xlsx]2.3!PivotTable2</c:name>
    <c:fmtId val="-1"/>
  </c:pivotSource>
  <c:chart>
    <c:title>
      <c:tx>
        <c:rich>
          <a:bodyPr/>
          <a:lstStyle/>
          <a:p>
            <a:pPr>
              <a:defRPr/>
            </a:pPr>
            <a:r>
              <a:rPr lang="ro-RO" sz="1000" b="1">
                <a:latin typeface="Times New Roman" pitchFamily="18" charset="0"/>
                <a:cs typeface="Times New Roman" pitchFamily="18" charset="0"/>
              </a:rPr>
              <a:t>Fig.</a:t>
            </a:r>
            <a:r>
              <a:rPr lang="ro-RO" sz="1000" b="1" baseline="0">
                <a:latin typeface="Times New Roman" pitchFamily="18" charset="0"/>
                <a:cs typeface="Times New Roman" pitchFamily="18" charset="0"/>
              </a:rPr>
              <a:t> </a:t>
            </a:r>
            <a:r>
              <a:rPr lang="en-US" sz="1000" b="1" baseline="0">
                <a:latin typeface="Times New Roman" pitchFamily="18" charset="0"/>
                <a:cs typeface="Times New Roman" pitchFamily="18" charset="0"/>
              </a:rPr>
              <a:t>3.</a:t>
            </a:r>
            <a:r>
              <a:rPr lang="ro-RO" sz="1000" b="1" baseline="0">
                <a:latin typeface="Times New Roman" pitchFamily="18" charset="0"/>
                <a:cs typeface="Times New Roman" pitchFamily="18" charset="0"/>
              </a:rPr>
              <a:t>4. </a:t>
            </a:r>
            <a:r>
              <a:rPr lang="ro-RO" sz="1000" b="1">
                <a:latin typeface="Times New Roman" pitchFamily="18" charset="0"/>
                <a:cs typeface="Times New Roman" pitchFamily="18" charset="0"/>
              </a:rPr>
              <a:t> </a:t>
            </a:r>
            <a:r>
              <a:rPr lang="vi-VN" sz="1000" b="1">
                <a:latin typeface="Times New Roman" pitchFamily="18" charset="0"/>
                <a:cs typeface="Times New Roman" pitchFamily="18" charset="0"/>
              </a:rPr>
              <a:t>În condițiile de mai sus, considerați emigrarea românilor în U.E.</a:t>
            </a:r>
            <a:r>
              <a:rPr lang="ro-RO" sz="1000" b="1" baseline="0">
                <a:latin typeface="Times New Roman" pitchFamily="18" charset="0"/>
                <a:cs typeface="Times New Roman" pitchFamily="18" charset="0"/>
              </a:rPr>
              <a:t> o </a:t>
            </a:r>
            <a:r>
              <a:rPr lang="vi-VN" sz="1000" b="1">
                <a:latin typeface="Times New Roman" pitchFamily="18" charset="0"/>
                <a:cs typeface="Times New Roman" pitchFamily="18" charset="0"/>
              </a:rPr>
              <a:t>șansă pentru cetățenii români de a-și îmbunătăți nivelul de trai</a:t>
            </a:r>
            <a:endParaRPr lang="en-US" sz="1000" b="1">
              <a:latin typeface="Times New Roman" pitchFamily="18" charset="0"/>
              <a:cs typeface="Times New Roman" pitchFamily="18" charset="0"/>
            </a:endParaRPr>
          </a:p>
        </c:rich>
      </c:tx>
    </c:title>
    <c:pivotFmts>
      <c:pivotFmt>
        <c:idx val="0"/>
        <c:marker>
          <c:symbol val="none"/>
        </c:marker>
        <c:dLbl>
          <c:idx val="0"/>
          <c:spPr>
            <a:ln>
              <a:solidFill>
                <a:sysClr val="windowText" lastClr="000000"/>
              </a:solidFill>
            </a:ln>
          </c:spPr>
          <c:txPr>
            <a:bodyPr/>
            <a:lstStyle/>
            <a:p>
              <a:pPr>
                <a:defRPr/>
              </a:pPr>
              <a:endParaRPr lang="en-US"/>
            </a:p>
          </c:txPr>
          <c:showVal val="1"/>
        </c:dLbl>
      </c:pivotFmt>
      <c:pivotFmt>
        <c:idx val="1"/>
        <c:marker>
          <c:symbol val="none"/>
        </c:marker>
        <c:dLbl>
          <c:idx val="0"/>
          <c:spPr>
            <a:ln>
              <a:solidFill>
                <a:sysClr val="windowText" lastClr="000000"/>
              </a:solidFill>
            </a:ln>
          </c:spPr>
          <c:txPr>
            <a:bodyPr/>
            <a:lstStyle/>
            <a:p>
              <a:pPr>
                <a:defRPr/>
              </a:pPr>
              <a:endParaRPr lang="en-US"/>
            </a:p>
          </c:txPr>
          <c:showVal val="1"/>
        </c:dLbl>
      </c:pivotFmt>
    </c:pivotFmts>
    <c:plotArea>
      <c:layout>
        <c:manualLayout>
          <c:layoutTarget val="inner"/>
          <c:xMode val="edge"/>
          <c:yMode val="edge"/>
          <c:x val="0.11051618547681612"/>
          <c:y val="0.28740939256490988"/>
          <c:w val="0.85892825896762903"/>
          <c:h val="0.53997306903877063"/>
        </c:manualLayout>
      </c:layout>
      <c:barChart>
        <c:barDir val="col"/>
        <c:grouping val="clustered"/>
        <c:ser>
          <c:idx val="0"/>
          <c:order val="0"/>
          <c:tx>
            <c:strRef>
              <c:f>'2.3'!$D$3</c:f>
              <c:strCache>
                <c:ptCount val="1"/>
                <c:pt idx="0">
                  <c:v>Total</c:v>
                </c:pt>
              </c:strCache>
            </c:strRef>
          </c:tx>
          <c:dLbls>
            <c:spPr>
              <a:ln>
                <a:solidFill>
                  <a:sysClr val="windowText" lastClr="000000"/>
                </a:solidFill>
              </a:ln>
            </c:spPr>
            <c:txPr>
              <a:bodyPr/>
              <a:lstStyle/>
              <a:p>
                <a:pPr>
                  <a:defRPr/>
                </a:pPr>
                <a:endParaRPr lang="en-US"/>
              </a:p>
            </c:txPr>
            <c:showVal val="1"/>
          </c:dLbls>
          <c:cat>
            <c:strRef>
              <c:f>'2.3'!$C$4:$C$9</c:f>
              <c:strCache>
                <c:ptCount val="5"/>
                <c:pt idx="0">
                  <c:v>Acord total</c:v>
                </c:pt>
                <c:pt idx="1">
                  <c:v>Foarte de acord</c:v>
                </c:pt>
                <c:pt idx="2">
                  <c:v>Oarecum de acord</c:v>
                </c:pt>
                <c:pt idx="3">
                  <c:v>Dezacord parțial</c:v>
                </c:pt>
                <c:pt idx="4">
                  <c:v>Dezacord total</c:v>
                </c:pt>
              </c:strCache>
            </c:strRef>
          </c:cat>
          <c:val>
            <c:numRef>
              <c:f>'2.3'!$D$4:$D$9</c:f>
              <c:numCache>
                <c:formatCode>0%</c:formatCode>
                <c:ptCount val="5"/>
                <c:pt idx="0">
                  <c:v>0.34170854271356776</c:v>
                </c:pt>
                <c:pt idx="1">
                  <c:v>0.34170854271356776</c:v>
                </c:pt>
                <c:pt idx="2">
                  <c:v>0.23618090452261306</c:v>
                </c:pt>
                <c:pt idx="3">
                  <c:v>4.0201005025125629E-2</c:v>
                </c:pt>
                <c:pt idx="4">
                  <c:v>4.0201005025125629E-2</c:v>
                </c:pt>
              </c:numCache>
            </c:numRef>
          </c:val>
        </c:ser>
        <c:gapWidth val="108"/>
        <c:axId val="108316544"/>
        <c:axId val="108318080"/>
      </c:barChart>
      <c:catAx>
        <c:axId val="108316544"/>
        <c:scaling>
          <c:orientation val="minMax"/>
        </c:scaling>
        <c:axPos val="b"/>
        <c:tickLblPos val="nextTo"/>
        <c:txPr>
          <a:bodyPr/>
          <a:lstStyle/>
          <a:p>
            <a:pPr>
              <a:defRPr>
                <a:latin typeface="Times New Roman" pitchFamily="18" charset="0"/>
                <a:cs typeface="Times New Roman" pitchFamily="18" charset="0"/>
              </a:defRPr>
            </a:pPr>
            <a:endParaRPr lang="en-US"/>
          </a:p>
        </c:txPr>
        <c:crossAx val="108318080"/>
        <c:crosses val="autoZero"/>
        <c:auto val="1"/>
        <c:lblAlgn val="ctr"/>
        <c:lblOffset val="100"/>
      </c:catAx>
      <c:valAx>
        <c:axId val="108318080"/>
        <c:scaling>
          <c:orientation val="minMax"/>
        </c:scaling>
        <c:axPos val="l"/>
        <c:title>
          <c:tx>
            <c:rich>
              <a:bodyPr rot="0" vert="horz"/>
              <a:lstStyle/>
              <a:p>
                <a:pPr>
                  <a:defRPr/>
                </a:pPr>
                <a:r>
                  <a:rPr lang="ro-RO"/>
                  <a:t>%</a:t>
                </a:r>
                <a:r>
                  <a:rPr lang="ro-RO" baseline="0"/>
                  <a:t> răspunsuri</a:t>
                </a:r>
                <a:endParaRPr lang="en-US"/>
              </a:p>
            </c:rich>
          </c:tx>
          <c:layout>
            <c:manualLayout>
              <c:xMode val="edge"/>
              <c:yMode val="edge"/>
              <c:x val="5.8333333333333931E-2"/>
              <c:y val="0.17931452641164095"/>
            </c:manualLayout>
          </c:layout>
        </c:title>
        <c:numFmt formatCode="0%" sourceLinked="1"/>
        <c:tickLblPos val="nextTo"/>
        <c:crossAx val="108316544"/>
        <c:crosses val="autoZero"/>
        <c:crossBetween val="between"/>
      </c:valAx>
      <c:spPr>
        <a:noFill/>
        <a:ln>
          <a:solidFill>
            <a:sysClr val="windowText" lastClr="000000"/>
          </a:solidFill>
        </a:ln>
      </c:spPr>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sz="1000">
                <a:latin typeface="Times New Roman" pitchFamily="18" charset="0"/>
                <a:cs typeface="Times New Roman" pitchFamily="18" charset="0"/>
              </a:rPr>
              <a:t>Fig.</a:t>
            </a:r>
            <a:r>
              <a:rPr lang="ro-RO" sz="1000" baseline="0">
                <a:latin typeface="Times New Roman" pitchFamily="18" charset="0"/>
                <a:cs typeface="Times New Roman" pitchFamily="18" charset="0"/>
              </a:rPr>
              <a:t> </a:t>
            </a:r>
            <a:r>
              <a:rPr lang="en-US" sz="1000" baseline="0">
                <a:latin typeface="Times New Roman" pitchFamily="18" charset="0"/>
                <a:cs typeface="Times New Roman" pitchFamily="18" charset="0"/>
              </a:rPr>
              <a:t>3.</a:t>
            </a:r>
            <a:r>
              <a:rPr lang="ro-RO" sz="1000" baseline="0">
                <a:latin typeface="Times New Roman" pitchFamily="18" charset="0"/>
                <a:cs typeface="Times New Roman" pitchFamily="18" charset="0"/>
              </a:rPr>
              <a:t>5</a:t>
            </a:r>
            <a:r>
              <a:rPr lang="en-US" sz="1000">
                <a:latin typeface="Times New Roman" pitchFamily="18" charset="0"/>
                <a:cs typeface="Times New Roman" pitchFamily="18" charset="0"/>
              </a:rPr>
              <a:t>. </a:t>
            </a:r>
            <a:r>
              <a:rPr lang="vi-VN" sz="1000">
                <a:latin typeface="Times New Roman" pitchFamily="18" charset="0"/>
                <a:cs typeface="Times New Roman" pitchFamily="18" charset="0"/>
              </a:rPr>
              <a:t>Aveți rude/cunoștințe care s-au mutat în altă țară și dacă da, unde?</a:t>
            </a:r>
          </a:p>
        </c:rich>
      </c:tx>
      <c:layout>
        <c:manualLayout>
          <c:xMode val="edge"/>
          <c:yMode val="edge"/>
          <c:x val="0.12102777777777779"/>
          <c:y val="5.5555555555555455E-2"/>
        </c:manualLayout>
      </c:layout>
    </c:title>
    <c:plotArea>
      <c:layout>
        <c:manualLayout>
          <c:layoutTarget val="inner"/>
          <c:xMode val="edge"/>
          <c:yMode val="edge"/>
          <c:x val="9.1849518810148481E-2"/>
          <c:y val="0.2115857392825897"/>
          <c:w val="0.88870603674540694"/>
          <c:h val="0.50304498396033759"/>
        </c:manualLayout>
      </c:layout>
      <c:barChart>
        <c:barDir val="col"/>
        <c:grouping val="clustered"/>
        <c:ser>
          <c:idx val="0"/>
          <c:order val="0"/>
          <c:tx>
            <c:strRef>
              <c:f>'3'!$G$42</c:f>
              <c:strCache>
                <c:ptCount val="1"/>
                <c:pt idx="0">
                  <c:v>Aveți rude/cunoștințe care s-au mutat în altă țară și dacă da, unde?</c:v>
                </c:pt>
              </c:strCache>
            </c:strRef>
          </c:tx>
          <c:dPt>
            <c:idx val="4"/>
            <c:spPr>
              <a:solidFill>
                <a:srgbClr val="FF0000"/>
              </a:solidFill>
            </c:spPr>
          </c:dPt>
          <c:dLbls>
            <c:dLbl>
              <c:idx val="0"/>
              <c:layout>
                <c:manualLayout>
                  <c:x val="0"/>
                  <c:y val="2.7777777777778099E-2"/>
                </c:manualLayout>
              </c:layout>
              <c:showVal val="1"/>
            </c:dLbl>
            <c:txPr>
              <a:bodyPr/>
              <a:lstStyle/>
              <a:p>
                <a:pPr>
                  <a:defRPr sz="900">
                    <a:latin typeface="Times New Roman" pitchFamily="18" charset="0"/>
                    <a:cs typeface="Times New Roman" pitchFamily="18" charset="0"/>
                  </a:defRPr>
                </a:pPr>
                <a:endParaRPr lang="en-US"/>
              </a:p>
            </c:txPr>
            <c:showVal val="1"/>
          </c:dLbls>
          <c:cat>
            <c:strRef>
              <c:f>'3'!$F$43:$F$58</c:f>
              <c:strCache>
                <c:ptCount val="16"/>
                <c:pt idx="0">
                  <c:v>IT</c:v>
                </c:pt>
                <c:pt idx="1">
                  <c:v>ES</c:v>
                </c:pt>
                <c:pt idx="2">
                  <c:v>UK</c:v>
                </c:pt>
                <c:pt idx="3">
                  <c:v>DE</c:v>
                </c:pt>
                <c:pt idx="4">
                  <c:v>Nu am astfel de cunoștințe</c:v>
                </c:pt>
                <c:pt idx="5">
                  <c:v>FR</c:v>
                </c:pt>
                <c:pt idx="6">
                  <c:v>Altele</c:v>
                </c:pt>
                <c:pt idx="7">
                  <c:v>BE</c:v>
                </c:pt>
                <c:pt idx="8">
                  <c:v>EL</c:v>
                </c:pt>
                <c:pt idx="9">
                  <c:v>SE</c:v>
                </c:pt>
                <c:pt idx="10">
                  <c:v>DK</c:v>
                </c:pt>
                <c:pt idx="11">
                  <c:v>NL</c:v>
                </c:pt>
                <c:pt idx="12">
                  <c:v>Norvegia</c:v>
                </c:pt>
                <c:pt idx="13">
                  <c:v>IE</c:v>
                </c:pt>
                <c:pt idx="14">
                  <c:v>AT</c:v>
                </c:pt>
                <c:pt idx="15">
                  <c:v>PT</c:v>
                </c:pt>
              </c:strCache>
            </c:strRef>
          </c:cat>
          <c:val>
            <c:numRef>
              <c:f>'3'!$G$43:$G$58</c:f>
              <c:numCache>
                <c:formatCode>0%</c:formatCode>
                <c:ptCount val="16"/>
                <c:pt idx="0">
                  <c:v>0.36180904522613067</c:v>
                </c:pt>
                <c:pt idx="1">
                  <c:v>0.34170854271356776</c:v>
                </c:pt>
                <c:pt idx="2">
                  <c:v>0.31155778894472547</c:v>
                </c:pt>
                <c:pt idx="3">
                  <c:v>0.24623115577889546</c:v>
                </c:pt>
                <c:pt idx="4">
                  <c:v>0.16080402010050238</c:v>
                </c:pt>
                <c:pt idx="5">
                  <c:v>0.1557788944723634</c:v>
                </c:pt>
                <c:pt idx="6">
                  <c:v>0.11557788944723618</c:v>
                </c:pt>
                <c:pt idx="7">
                  <c:v>8.5427135678391955E-2</c:v>
                </c:pt>
                <c:pt idx="8">
                  <c:v>7.0351758793969849E-2</c:v>
                </c:pt>
                <c:pt idx="9">
                  <c:v>4.5226130653266333E-2</c:v>
                </c:pt>
                <c:pt idx="10">
                  <c:v>4.5226130653266333E-2</c:v>
                </c:pt>
                <c:pt idx="11">
                  <c:v>4.5226130653266333E-2</c:v>
                </c:pt>
                <c:pt idx="12">
                  <c:v>4.0201005025125629E-2</c:v>
                </c:pt>
                <c:pt idx="13">
                  <c:v>3.5175879396984931E-2</c:v>
                </c:pt>
                <c:pt idx="14">
                  <c:v>3.015075376884423E-2</c:v>
                </c:pt>
                <c:pt idx="15">
                  <c:v>3.015075376884423E-2</c:v>
                </c:pt>
              </c:numCache>
            </c:numRef>
          </c:val>
        </c:ser>
        <c:gapWidth val="24"/>
        <c:axId val="72582656"/>
        <c:axId val="72584192"/>
      </c:barChart>
      <c:catAx>
        <c:axId val="72582656"/>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72584192"/>
        <c:crosses val="autoZero"/>
        <c:auto val="1"/>
        <c:lblAlgn val="ctr"/>
        <c:lblOffset val="100"/>
      </c:catAx>
      <c:valAx>
        <c:axId val="72584192"/>
        <c:scaling>
          <c:orientation val="minMax"/>
        </c:scaling>
        <c:axPos val="l"/>
        <c:numFmt formatCode="0%" sourceLinked="1"/>
        <c:tickLblPos val="nextTo"/>
        <c:txPr>
          <a:bodyPr/>
          <a:lstStyle/>
          <a:p>
            <a:pPr>
              <a:defRPr sz="900">
                <a:latin typeface="Times New Roman" pitchFamily="18" charset="0"/>
                <a:cs typeface="Times New Roman" pitchFamily="18" charset="0"/>
              </a:defRPr>
            </a:pPr>
            <a:endParaRPr lang="en-US"/>
          </a:p>
        </c:txPr>
        <c:crossAx val="72582656"/>
        <c:crosses val="autoZero"/>
        <c:crossBetween val="between"/>
      </c:valAx>
      <c:spPr>
        <a:ln>
          <a:solidFill>
            <a:sysClr val="windowText" lastClr="000000"/>
          </a:solidFill>
        </a:ln>
      </c:spPr>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pivotSource>
    <c:name>[Chestionar - Percep ia tinerilor din România cu privire   la procesul migra ionist (Responses) (1).xlsx]4!PivotTable6</c:name>
    <c:fmtId val="-1"/>
  </c:pivotSource>
  <c:chart>
    <c:title>
      <c:tx>
        <c:rich>
          <a:bodyPr/>
          <a:lstStyle/>
          <a:p>
            <a:pPr>
              <a:defRPr b="1"/>
            </a:pPr>
            <a:r>
              <a:rPr lang="ro-RO" sz="1000" b="1">
                <a:latin typeface="Times New Roman" pitchFamily="18" charset="0"/>
                <a:cs typeface="Times New Roman" pitchFamily="18" charset="0"/>
              </a:rPr>
              <a:t>Fig.</a:t>
            </a:r>
            <a:r>
              <a:rPr lang="ro-RO" sz="1000" b="1" baseline="0">
                <a:latin typeface="Times New Roman" pitchFamily="18" charset="0"/>
                <a:cs typeface="Times New Roman" pitchFamily="18" charset="0"/>
              </a:rPr>
              <a:t> </a:t>
            </a:r>
            <a:r>
              <a:rPr lang="en-US" sz="1000" b="1" baseline="0">
                <a:latin typeface="Times New Roman" pitchFamily="18" charset="0"/>
                <a:cs typeface="Times New Roman" pitchFamily="18" charset="0"/>
              </a:rPr>
              <a:t>3.</a:t>
            </a:r>
            <a:r>
              <a:rPr lang="ro-RO" sz="1000" b="1" baseline="0">
                <a:latin typeface="Times New Roman" pitchFamily="18" charset="0"/>
                <a:cs typeface="Times New Roman" pitchFamily="18" charset="0"/>
              </a:rPr>
              <a:t>6</a:t>
            </a:r>
            <a:r>
              <a:rPr lang="ro-RO" sz="1000" b="1">
                <a:latin typeface="Times New Roman" pitchFamily="18" charset="0"/>
                <a:cs typeface="Times New Roman" pitchFamily="18" charset="0"/>
              </a:rPr>
              <a:t>. </a:t>
            </a:r>
            <a:r>
              <a:rPr lang="vi-VN" sz="1000" b="1">
                <a:latin typeface="Times New Roman" pitchFamily="18" charset="0"/>
                <a:cs typeface="Times New Roman" pitchFamily="18" charset="0"/>
              </a:rPr>
              <a:t>V-ați gândit vreodată să emigrați?</a:t>
            </a:r>
            <a:endParaRPr lang="en-US" sz="1000" b="1">
              <a:latin typeface="Times New Roman" pitchFamily="18" charset="0"/>
              <a:cs typeface="Times New Roman" pitchFamily="18" charset="0"/>
            </a:endParaRPr>
          </a:p>
        </c:rich>
      </c:tx>
    </c:title>
    <c:pivotFmts>
      <c:pivotFmt>
        <c:idx val="0"/>
        <c:marker>
          <c:symbol val="none"/>
        </c:marker>
        <c:dLbl>
          <c:idx val="0"/>
          <c:spPr>
            <a:solidFill>
              <a:schemeClr val="bg1"/>
            </a:solidFill>
          </c:spPr>
          <c:txPr>
            <a:bodyPr/>
            <a:lstStyle/>
            <a:p>
              <a:pPr>
                <a:defRPr/>
              </a:pPr>
              <a:endParaRPr lang="en-US"/>
            </a:p>
          </c:txPr>
          <c:dLblPos val="outEnd"/>
          <c:showVal val="1"/>
        </c:dLbl>
      </c:pivotFmt>
      <c:pivotFmt>
        <c:idx val="1"/>
        <c:dLbl>
          <c:idx val="0"/>
          <c:spPr>
            <a:solidFill>
              <a:schemeClr val="accent1"/>
            </a:solidFill>
          </c:spPr>
          <c:txPr>
            <a:bodyPr/>
            <a:lstStyle/>
            <a:p>
              <a:pPr>
                <a:defRPr/>
              </a:pPr>
              <a:endParaRPr lang="en-US"/>
            </a:p>
          </c:txPr>
          <c:showLegendKey val="1"/>
          <c:showVal val="1"/>
          <c:showCatName val="1"/>
          <c:showSerName val="1"/>
          <c:showPercent val="1"/>
          <c:showBubbleSize val="1"/>
        </c:dLbl>
      </c:pivotFmt>
      <c:pivotFmt>
        <c:idx val="2"/>
        <c:dLbl>
          <c:idx val="0"/>
          <c:spPr>
            <a:solidFill>
              <a:schemeClr val="accent2"/>
            </a:solidFill>
            <a:ln>
              <a:solidFill>
                <a:schemeClr val="accent2"/>
              </a:solidFill>
            </a:ln>
          </c:spPr>
          <c:txPr>
            <a:bodyPr/>
            <a:lstStyle/>
            <a:p>
              <a:pPr>
                <a:defRPr/>
              </a:pPr>
              <a:endParaRPr lang="en-US"/>
            </a:p>
          </c:txPr>
          <c:showLegendKey val="1"/>
          <c:showVal val="1"/>
          <c:showCatName val="1"/>
          <c:showSerName val="1"/>
          <c:showPercent val="1"/>
          <c:showBubbleSize val="1"/>
        </c:dLbl>
      </c:pivotFmt>
      <c:pivotFmt>
        <c:idx val="3"/>
        <c:marker>
          <c:symbol val="none"/>
        </c:marker>
        <c:dLbl>
          <c:idx val="0"/>
          <c:spPr>
            <a:solidFill>
              <a:schemeClr val="bg1"/>
            </a:solidFill>
          </c:spPr>
          <c:txPr>
            <a:bodyPr/>
            <a:lstStyle/>
            <a:p>
              <a:pPr>
                <a:defRPr/>
              </a:pPr>
              <a:endParaRPr lang="en-US"/>
            </a:p>
          </c:txPr>
          <c:dLblPos val="outEnd"/>
          <c:showVal val="1"/>
        </c:dLbl>
      </c:pivotFmt>
      <c:pivotFmt>
        <c:idx val="4"/>
        <c:dLbl>
          <c:idx val="0"/>
          <c:spPr>
            <a:solidFill>
              <a:schemeClr val="accent1"/>
            </a:solidFill>
          </c:spPr>
          <c:txPr>
            <a:bodyPr/>
            <a:lstStyle/>
            <a:p>
              <a:pPr>
                <a:defRPr/>
              </a:pPr>
              <a:endParaRPr lang="en-US"/>
            </a:p>
          </c:txPr>
          <c:showLegendKey val="1"/>
          <c:showVal val="1"/>
          <c:showCatName val="1"/>
          <c:showSerName val="1"/>
          <c:showPercent val="1"/>
          <c:showBubbleSize val="1"/>
        </c:dLbl>
      </c:pivotFmt>
      <c:pivotFmt>
        <c:idx val="5"/>
        <c:dLbl>
          <c:idx val="0"/>
          <c:spPr>
            <a:solidFill>
              <a:schemeClr val="accent2"/>
            </a:solidFill>
            <a:ln>
              <a:solidFill>
                <a:schemeClr val="accent2"/>
              </a:solidFill>
            </a:ln>
          </c:spPr>
          <c:txPr>
            <a:bodyPr/>
            <a:lstStyle/>
            <a:p>
              <a:pPr>
                <a:defRPr/>
              </a:pPr>
              <a:endParaRPr lang="en-US"/>
            </a:p>
          </c:txPr>
          <c:showLegendKey val="1"/>
          <c:showVal val="1"/>
          <c:showCatName val="1"/>
          <c:showSerName val="1"/>
          <c:showPercent val="1"/>
          <c:showBubbleSize val="1"/>
        </c:dLbl>
      </c:pivotFmt>
    </c:pivotFmts>
    <c:view3D>
      <c:rotX val="75"/>
      <c:perspective val="30"/>
    </c:view3D>
    <c:sideWall>
      <c:spPr>
        <a:ln>
          <a:solidFill>
            <a:sysClr val="windowText" lastClr="000000"/>
          </a:solidFill>
        </a:ln>
      </c:spPr>
    </c:sideWall>
    <c:backWall>
      <c:spPr>
        <a:ln>
          <a:solidFill>
            <a:sysClr val="windowText" lastClr="000000"/>
          </a:solidFill>
        </a:ln>
      </c:spPr>
    </c:backWall>
    <c:plotArea>
      <c:layout>
        <c:manualLayout>
          <c:layoutTarget val="inner"/>
          <c:xMode val="edge"/>
          <c:yMode val="edge"/>
          <c:x val="0.24169177671688682"/>
          <c:y val="0.16710611173603299"/>
          <c:w val="0.50490131646930458"/>
          <c:h val="0.83289388826396704"/>
        </c:manualLayout>
      </c:layout>
      <c:pie3DChart>
        <c:varyColors val="1"/>
        <c:ser>
          <c:idx val="0"/>
          <c:order val="0"/>
          <c:tx>
            <c:strRef>
              <c:f>'4'!$E$3</c:f>
              <c:strCache>
                <c:ptCount val="1"/>
                <c:pt idx="0">
                  <c:v>Total</c:v>
                </c:pt>
              </c:strCache>
            </c:strRef>
          </c:tx>
          <c:dLbls>
            <c:dLbl>
              <c:idx val="0"/>
              <c:spPr>
                <a:solidFill>
                  <a:schemeClr val="accent1"/>
                </a:solidFill>
              </c:spPr>
              <c:txPr>
                <a:bodyPr/>
                <a:lstStyle/>
                <a:p>
                  <a:pPr>
                    <a:defRPr/>
                  </a:pPr>
                  <a:endParaRPr lang="en-US"/>
                </a:p>
              </c:txPr>
            </c:dLbl>
            <c:dLbl>
              <c:idx val="1"/>
              <c:spPr>
                <a:solidFill>
                  <a:schemeClr val="accent2"/>
                </a:solidFill>
                <a:ln>
                  <a:solidFill>
                    <a:schemeClr val="accent2"/>
                  </a:solidFill>
                </a:ln>
              </c:spPr>
              <c:txPr>
                <a:bodyPr/>
                <a:lstStyle/>
                <a:p>
                  <a:pPr>
                    <a:defRPr/>
                  </a:pPr>
                  <a:endParaRPr lang="en-US"/>
                </a:p>
              </c:txPr>
            </c:dLbl>
            <c:spPr>
              <a:solidFill>
                <a:schemeClr val="bg1"/>
              </a:solidFill>
            </c:spPr>
            <c:txPr>
              <a:bodyPr/>
              <a:lstStyle/>
              <a:p>
                <a:pPr>
                  <a:defRPr/>
                </a:pPr>
                <a:endParaRPr lang="en-US"/>
              </a:p>
            </c:txPr>
            <c:dLblPos val="outEnd"/>
            <c:showVal val="1"/>
            <c:showLeaderLines val="1"/>
          </c:dLbls>
          <c:cat>
            <c:strRef>
              <c:f>'4'!$D$4:$D$6</c:f>
              <c:strCache>
                <c:ptCount val="2"/>
                <c:pt idx="0">
                  <c:v>da</c:v>
                </c:pt>
                <c:pt idx="1">
                  <c:v>nu</c:v>
                </c:pt>
              </c:strCache>
            </c:strRef>
          </c:cat>
          <c:val>
            <c:numRef>
              <c:f>'4'!$E$4:$E$6</c:f>
              <c:numCache>
                <c:formatCode>0.00%</c:formatCode>
                <c:ptCount val="2"/>
                <c:pt idx="0">
                  <c:v>0.76381909547739091</c:v>
                </c:pt>
                <c:pt idx="1">
                  <c:v>0.23618090452261306</c:v>
                </c:pt>
              </c:numCache>
            </c:numRef>
          </c:val>
        </c:ser>
      </c:pie3DChart>
    </c:plotArea>
    <c:legend>
      <c:legendPos val="r"/>
      <c:layout>
        <c:manualLayout>
          <c:xMode val="edge"/>
          <c:yMode val="edge"/>
          <c:x val="0.87708392059584461"/>
          <c:y val="0.42031496062992568"/>
          <c:w val="0.10716804790809321"/>
          <c:h val="0.26771953505811774"/>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ro-RO" sz="1000" b="1">
                <a:latin typeface="Times New Roman" pitchFamily="18" charset="0"/>
                <a:cs typeface="Times New Roman" pitchFamily="18" charset="0"/>
              </a:rPr>
              <a:t>Fig. </a:t>
            </a:r>
            <a:r>
              <a:rPr lang="en-US" sz="1000" b="1">
                <a:latin typeface="Times New Roman" pitchFamily="18" charset="0"/>
                <a:cs typeface="Times New Roman" pitchFamily="18" charset="0"/>
              </a:rPr>
              <a:t>3.</a:t>
            </a:r>
            <a:r>
              <a:rPr lang="ro-RO" sz="1000" b="1">
                <a:latin typeface="Times New Roman" pitchFamily="18" charset="0"/>
                <a:cs typeface="Times New Roman" pitchFamily="18" charset="0"/>
              </a:rPr>
              <a:t>7. În</a:t>
            </a:r>
            <a:r>
              <a:rPr lang="ro-RO" sz="1000" b="1" baseline="0">
                <a:latin typeface="Times New Roman" pitchFamily="18" charset="0"/>
                <a:cs typeface="Times New Roman" pitchFamily="18" charset="0"/>
              </a:rPr>
              <a:t> ce măsură se consideră că emigrarea o șansă de dezvoltare a societății și de îmbunătățire a nivelului de trai</a:t>
            </a:r>
            <a:endParaRPr lang="en-US" sz="1000" b="1">
              <a:latin typeface="Times New Roman" pitchFamily="18" charset="0"/>
              <a:cs typeface="Times New Roman" pitchFamily="18" charset="0"/>
            </a:endParaRPr>
          </a:p>
        </c:rich>
      </c:tx>
    </c:title>
    <c:pivotFmts>
      <c:pivotFmt>
        <c:idx val="0"/>
        <c:marker>
          <c:symbol val="none"/>
        </c:marker>
        <c:dLbl>
          <c:idx val="0"/>
          <c:spPr>
            <a:ln>
              <a:solidFill>
                <a:sysClr val="windowText" lastClr="000000"/>
              </a:solidFill>
            </a:ln>
          </c:spPr>
          <c:txPr>
            <a:bodyPr/>
            <a:lstStyle/>
            <a:p>
              <a:pPr>
                <a:defRPr/>
              </a:pPr>
              <a:endParaRPr lang="en-US"/>
            </a:p>
          </c:txPr>
          <c:showVal val="1"/>
        </c:dLbl>
      </c:pivotFmt>
      <c:pivotFmt>
        <c:idx val="1"/>
        <c:marker>
          <c:symbol val="none"/>
        </c:marker>
        <c:dLbl>
          <c:idx val="0"/>
          <c:delete val="1"/>
        </c:dLbl>
      </c:pivotFmt>
      <c:pivotFmt>
        <c:idx val="2"/>
        <c:marker>
          <c:symbol val="none"/>
        </c:marker>
      </c:pivotFmt>
      <c:pivotFmt>
        <c:idx val="3"/>
        <c:marker>
          <c:symbol val="none"/>
        </c:marker>
        <c:dLbl>
          <c:idx val="0"/>
          <c:delete val="1"/>
        </c:dLbl>
      </c:pivotFmt>
      <c:pivotFmt>
        <c:idx val="4"/>
        <c:marker>
          <c:symbol val="none"/>
        </c:marker>
        <c:dLbl>
          <c:idx val="0"/>
          <c:delete val="1"/>
        </c:dLbl>
      </c:pivotFmt>
      <c:pivotFmt>
        <c:idx val="5"/>
      </c:pivotFmt>
      <c:pivotFmt>
        <c:idx val="6"/>
      </c:pivotFmt>
      <c:pivotFmt>
        <c:idx val="7"/>
      </c:pivotFmt>
      <c:pivotFmt>
        <c:idx val="8"/>
      </c:pivotFmt>
      <c:pivotFmt>
        <c:idx val="9"/>
      </c:pivotFmt>
      <c:pivotFmt>
        <c:idx val="10"/>
        <c:dLbl>
          <c:idx val="0"/>
          <c:showVal val="1"/>
        </c:dLbl>
      </c:pivotFmt>
      <c:pivotFmt>
        <c:idx val="11"/>
        <c:dLbl>
          <c:idx val="0"/>
          <c:showVal val="1"/>
        </c:dLbl>
      </c:pivotFmt>
      <c:pivotFmt>
        <c:idx val="12"/>
        <c:dLbl>
          <c:idx val="0"/>
          <c:showVal val="1"/>
        </c:dLbl>
      </c:pivotFmt>
      <c:pivotFmt>
        <c:idx val="13"/>
        <c:marker>
          <c:symbol val="none"/>
        </c:marker>
        <c:dLbl>
          <c:idx val="0"/>
          <c:spPr>
            <a:ln>
              <a:solidFill>
                <a:sysClr val="windowText" lastClr="000000"/>
              </a:solidFill>
            </a:ln>
          </c:spPr>
          <c:txPr>
            <a:bodyPr/>
            <a:lstStyle/>
            <a:p>
              <a:pPr>
                <a:defRPr/>
              </a:pPr>
              <a:endParaRPr lang="en-US"/>
            </a:p>
          </c:txPr>
          <c:showVal val="1"/>
        </c:dLbl>
      </c:pivotFmt>
      <c:pivotFmt>
        <c:idx val="14"/>
        <c:marker>
          <c:symbol val="none"/>
        </c:marker>
        <c:dLbl>
          <c:idx val="0"/>
          <c:delete val="1"/>
        </c:dLbl>
      </c:pivotFmt>
      <c:pivotFmt>
        <c:idx val="15"/>
        <c:dLbl>
          <c:idx val="0"/>
          <c:showVal val="1"/>
        </c:dLbl>
      </c:pivotFmt>
      <c:pivotFmt>
        <c:idx val="16"/>
        <c:marker>
          <c:symbol val="none"/>
        </c:marker>
      </c:pivotFmt>
      <c:pivotFmt>
        <c:idx val="17"/>
        <c:marker>
          <c:symbol val="none"/>
        </c:marker>
        <c:dLbl>
          <c:idx val="0"/>
          <c:delete val="1"/>
        </c:dLbl>
      </c:pivotFmt>
      <c:pivotFmt>
        <c:idx val="18"/>
        <c:dLbl>
          <c:idx val="0"/>
          <c:showVal val="1"/>
        </c:dLbl>
      </c:pivotFmt>
      <c:pivotFmt>
        <c:idx val="19"/>
        <c:marker>
          <c:symbol val="none"/>
        </c:marker>
        <c:dLbl>
          <c:idx val="0"/>
          <c:delete val="1"/>
        </c:dLbl>
      </c:pivotFmt>
      <c:pivotFmt>
        <c:idx val="20"/>
        <c:dLbl>
          <c:idx val="0"/>
          <c:showVal val="1"/>
        </c:dLbl>
      </c:pivotFmt>
    </c:pivotFmts>
    <c:plotArea>
      <c:layout>
        <c:manualLayout>
          <c:layoutTarget val="inner"/>
          <c:xMode val="edge"/>
          <c:yMode val="edge"/>
          <c:x val="7.7233971001740245E-2"/>
          <c:y val="0.21781972458922258"/>
          <c:w val="0.8968531951711235"/>
          <c:h val="0.44636033509509948"/>
        </c:manualLayout>
      </c:layout>
      <c:barChart>
        <c:barDir val="col"/>
        <c:grouping val="clustered"/>
        <c:ser>
          <c:idx val="0"/>
          <c:order val="0"/>
          <c:tx>
            <c:v>Acord total</c:v>
          </c:tx>
          <c:dLbls>
            <c:numFmt formatCode="0%" sourceLinked="0"/>
            <c:spPr>
              <a:ln>
                <a:solidFill>
                  <a:sysClr val="windowText" lastClr="000000"/>
                </a:solidFill>
              </a:ln>
            </c:spPr>
            <c:txPr>
              <a:bodyPr/>
              <a:lstStyle/>
              <a:p>
                <a:pPr>
                  <a:defRPr/>
                </a:pPr>
                <a:endParaRPr lang="en-US"/>
              </a:p>
            </c:txPr>
            <c:showVal val="1"/>
          </c:dLbls>
          <c:cat>
            <c:strLit>
              <c:ptCount val="5"/>
              <c:pt idx="0">
                <c:v>Acord total</c:v>
              </c:pt>
              <c:pt idx="1">
                <c:v>Foarte de acord</c:v>
              </c:pt>
              <c:pt idx="2">
                <c:v>Oarecum de acord</c:v>
              </c:pt>
              <c:pt idx="3">
                <c:v>Dezacord partial</c:v>
              </c:pt>
              <c:pt idx="4">
                <c:v>Total dezacord</c:v>
              </c:pt>
            </c:strLit>
          </c:cat>
          <c:val>
            <c:numLit>
              <c:formatCode>General</c:formatCode>
              <c:ptCount val="5"/>
              <c:pt idx="0">
                <c:v>0.13065326633165703</c:v>
              </c:pt>
              <c:pt idx="1">
                <c:v>0.135678391959799</c:v>
              </c:pt>
              <c:pt idx="2">
                <c:v>6.532663316582972E-2</c:v>
              </c:pt>
              <c:pt idx="3">
                <c:v>1.00502512562814E-2</c:v>
              </c:pt>
              <c:pt idx="4">
                <c:v>0</c:v>
              </c:pt>
            </c:numLit>
          </c:val>
        </c:ser>
        <c:ser>
          <c:idx val="1"/>
          <c:order val="1"/>
          <c:tx>
            <c:v>Dezacord partial</c:v>
          </c:tx>
          <c:dLbls>
            <c:dLbl>
              <c:idx val="1"/>
              <c:showVal val="1"/>
            </c:dLbl>
            <c:delete val="1"/>
            <c:numFmt formatCode="0%" sourceLinked="0"/>
            <c:txPr>
              <a:bodyPr/>
              <a:lstStyle/>
              <a:p>
                <a:pPr>
                  <a:defRPr/>
                </a:pPr>
                <a:endParaRPr lang="en-US"/>
              </a:p>
            </c:txPr>
          </c:dLbls>
          <c:cat>
            <c:strLit>
              <c:ptCount val="5"/>
              <c:pt idx="0">
                <c:v>Acord total</c:v>
              </c:pt>
              <c:pt idx="1">
                <c:v>Foarte de acord</c:v>
              </c:pt>
              <c:pt idx="2">
                <c:v>Oarecum de acord</c:v>
              </c:pt>
              <c:pt idx="3">
                <c:v>Dezacord partial</c:v>
              </c:pt>
              <c:pt idx="4">
                <c:v>Total dezacord</c:v>
              </c:pt>
            </c:strLit>
          </c:cat>
          <c:val>
            <c:numLit>
              <c:formatCode>General</c:formatCode>
              <c:ptCount val="5"/>
              <c:pt idx="0">
                <c:v>0</c:v>
              </c:pt>
              <c:pt idx="1">
                <c:v>5.0251256281406975E-3</c:v>
              </c:pt>
              <c:pt idx="2">
                <c:v>1.5075376884422099E-2</c:v>
              </c:pt>
              <c:pt idx="3">
                <c:v>1.5075376884422099E-2</c:v>
              </c:pt>
              <c:pt idx="4">
                <c:v>5.0251256281406975E-3</c:v>
              </c:pt>
            </c:numLit>
          </c:val>
        </c:ser>
        <c:ser>
          <c:idx val="2"/>
          <c:order val="2"/>
          <c:tx>
            <c:v>Dezacord total</c:v>
          </c:tx>
          <c:cat>
            <c:strLit>
              <c:ptCount val="5"/>
              <c:pt idx="0">
                <c:v>Acord total</c:v>
              </c:pt>
              <c:pt idx="1">
                <c:v>Foarte de acord</c:v>
              </c:pt>
              <c:pt idx="2">
                <c:v>Oarecum de acord</c:v>
              </c:pt>
              <c:pt idx="3">
                <c:v>Dezacord partial</c:v>
              </c:pt>
              <c:pt idx="4">
                <c:v>Total dezacord</c:v>
              </c:pt>
            </c:strLit>
          </c:cat>
          <c:val>
            <c:numLit>
              <c:formatCode>General</c:formatCode>
              <c:ptCount val="5"/>
              <c:pt idx="0">
                <c:v>0</c:v>
              </c:pt>
              <c:pt idx="1">
                <c:v>0</c:v>
              </c:pt>
              <c:pt idx="2">
                <c:v>5.0251256281406975E-3</c:v>
              </c:pt>
              <c:pt idx="3">
                <c:v>1.00502512562814E-2</c:v>
              </c:pt>
              <c:pt idx="4">
                <c:v>2.5125628140703501E-2</c:v>
              </c:pt>
            </c:numLit>
          </c:val>
        </c:ser>
        <c:ser>
          <c:idx val="3"/>
          <c:order val="3"/>
          <c:tx>
            <c:v>Foarte de acord</c:v>
          </c:tx>
          <c:dLbls>
            <c:dLbl>
              <c:idx val="1"/>
              <c:showVal val="1"/>
            </c:dLbl>
            <c:delete val="1"/>
            <c:numFmt formatCode="0%" sourceLinked="0"/>
            <c:txPr>
              <a:bodyPr/>
              <a:lstStyle/>
              <a:p>
                <a:pPr>
                  <a:defRPr/>
                </a:pPr>
                <a:endParaRPr lang="en-US"/>
              </a:p>
            </c:txPr>
          </c:dLbls>
          <c:cat>
            <c:strLit>
              <c:ptCount val="5"/>
              <c:pt idx="0">
                <c:v>Acord total</c:v>
              </c:pt>
              <c:pt idx="1">
                <c:v>Foarte de acord</c:v>
              </c:pt>
              <c:pt idx="2">
                <c:v>Oarecum de acord</c:v>
              </c:pt>
              <c:pt idx="3">
                <c:v>Dezacord partial</c:v>
              </c:pt>
              <c:pt idx="4">
                <c:v>Total dezacord</c:v>
              </c:pt>
            </c:strLit>
          </c:cat>
          <c:val>
            <c:numLit>
              <c:formatCode>General</c:formatCode>
              <c:ptCount val="5"/>
              <c:pt idx="0">
                <c:v>7.0351758793969765E-2</c:v>
              </c:pt>
              <c:pt idx="1">
                <c:v>0.120603015075377</c:v>
              </c:pt>
              <c:pt idx="2">
                <c:v>0.12562814070351686</c:v>
              </c:pt>
              <c:pt idx="3">
                <c:v>2.01005025125628E-2</c:v>
              </c:pt>
              <c:pt idx="4">
                <c:v>5.0251256281406975E-3</c:v>
              </c:pt>
            </c:numLit>
          </c:val>
        </c:ser>
        <c:ser>
          <c:idx val="4"/>
          <c:order val="4"/>
          <c:tx>
            <c:v>Oarecum de acord</c:v>
          </c:tx>
          <c:dLbls>
            <c:dLbl>
              <c:idx val="1"/>
              <c:showVal val="1"/>
            </c:dLbl>
            <c:delete val="1"/>
            <c:numFmt formatCode="0%" sourceLinked="0"/>
            <c:txPr>
              <a:bodyPr/>
              <a:lstStyle/>
              <a:p>
                <a:pPr>
                  <a:defRPr/>
                </a:pPr>
                <a:endParaRPr lang="en-US"/>
              </a:p>
            </c:txPr>
          </c:dLbls>
          <c:cat>
            <c:strLit>
              <c:ptCount val="5"/>
              <c:pt idx="0">
                <c:v>Acord total</c:v>
              </c:pt>
              <c:pt idx="1">
                <c:v>Foarte de acord</c:v>
              </c:pt>
              <c:pt idx="2">
                <c:v>Oarecum de acord</c:v>
              </c:pt>
              <c:pt idx="3">
                <c:v>Dezacord partial</c:v>
              </c:pt>
              <c:pt idx="4">
                <c:v>Total dezacord</c:v>
              </c:pt>
            </c:strLit>
          </c:cat>
          <c:val>
            <c:numLit>
              <c:formatCode>General</c:formatCode>
              <c:ptCount val="5"/>
              <c:pt idx="0">
                <c:v>2.5125628140703501E-2</c:v>
              </c:pt>
              <c:pt idx="1">
                <c:v>9.5477386934673544E-2</c:v>
              </c:pt>
              <c:pt idx="2">
                <c:v>9.5477386934673544E-2</c:v>
              </c:pt>
              <c:pt idx="3">
                <c:v>1.5075376884422099E-2</c:v>
              </c:pt>
              <c:pt idx="4">
                <c:v>5.0251256281406975E-3</c:v>
              </c:pt>
            </c:numLit>
          </c:val>
        </c:ser>
        <c:axId val="73315840"/>
        <c:axId val="73317760"/>
      </c:barChart>
      <c:catAx>
        <c:axId val="73315840"/>
        <c:scaling>
          <c:orientation val="minMax"/>
        </c:scaling>
        <c:axPos val="b"/>
        <c:title>
          <c:tx>
            <c:rich>
              <a:bodyPr/>
              <a:lstStyle/>
              <a:p>
                <a:pPr>
                  <a:defRPr sz="900">
                    <a:latin typeface="Times New Roman" pitchFamily="18" charset="0"/>
                    <a:cs typeface="Times New Roman" pitchFamily="18" charset="0"/>
                  </a:defRPr>
                </a:pPr>
                <a:r>
                  <a:rPr lang="ro-RO" sz="900">
                    <a:latin typeface="Times New Roman" pitchFamily="18" charset="0"/>
                    <a:cs typeface="Times New Roman" pitchFamily="18" charset="0"/>
                  </a:rPr>
                  <a:t>Circulație</a:t>
                </a:r>
                <a:r>
                  <a:rPr lang="ro-RO" sz="900" baseline="0">
                    <a:latin typeface="Times New Roman" pitchFamily="18" charset="0"/>
                    <a:cs typeface="Times New Roman" pitchFamily="18" charset="0"/>
                  </a:rPr>
                  <a:t> liberă UE, șansă de dezv.</a:t>
                </a:r>
                <a:endParaRPr lang="en-US" sz="900">
                  <a:latin typeface="Times New Roman" pitchFamily="18" charset="0"/>
                  <a:cs typeface="Times New Roman" pitchFamily="18" charset="0"/>
                </a:endParaRPr>
              </a:p>
            </c:rich>
          </c:tx>
          <c:layout>
            <c:manualLayout>
              <c:xMode val="edge"/>
              <c:yMode val="edge"/>
              <c:x val="0.66924150334502552"/>
              <c:y val="0.77539567827994604"/>
            </c:manualLayout>
          </c:layout>
        </c:title>
        <c:tickLblPos val="nextTo"/>
        <c:txPr>
          <a:bodyPr/>
          <a:lstStyle/>
          <a:p>
            <a:pPr>
              <a:defRPr sz="900">
                <a:latin typeface="Times New Roman" pitchFamily="18" charset="0"/>
                <a:cs typeface="Times New Roman" pitchFamily="18" charset="0"/>
              </a:defRPr>
            </a:pPr>
            <a:endParaRPr lang="en-US"/>
          </a:p>
        </c:txPr>
        <c:crossAx val="73317760"/>
        <c:crosses val="autoZero"/>
        <c:auto val="1"/>
        <c:lblAlgn val="ctr"/>
        <c:lblOffset val="100"/>
      </c:catAx>
      <c:valAx>
        <c:axId val="73317760"/>
        <c:scaling>
          <c:orientation val="minMax"/>
        </c:scaling>
        <c:axPos val="l"/>
        <c:title>
          <c:tx>
            <c:rich>
              <a:bodyPr rot="0" vert="horz"/>
              <a:lstStyle/>
              <a:p>
                <a:pPr>
                  <a:defRPr/>
                </a:pPr>
                <a:r>
                  <a:rPr lang="ro-RO" sz="800">
                    <a:latin typeface="Times New Roman" pitchFamily="18" charset="0"/>
                    <a:cs typeface="Times New Roman" pitchFamily="18" charset="0"/>
                  </a:rPr>
                  <a:t>Îmbunătățire</a:t>
                </a:r>
                <a:r>
                  <a:rPr lang="ro-RO" sz="800" baseline="0">
                    <a:latin typeface="Times New Roman" pitchFamily="18" charset="0"/>
                    <a:cs typeface="Times New Roman" pitchFamily="18" charset="0"/>
                  </a:rPr>
                  <a:t> </a:t>
                </a:r>
                <a:r>
                  <a:rPr lang="ro-RO" sz="800">
                    <a:latin typeface="Times New Roman" pitchFamily="18" charset="0"/>
                    <a:cs typeface="Times New Roman" pitchFamily="18" charset="0"/>
                  </a:rPr>
                  <a:t>nivel</a:t>
                </a:r>
                <a:r>
                  <a:rPr lang="ro-RO" sz="800" baseline="0">
                    <a:latin typeface="Times New Roman" pitchFamily="18" charset="0"/>
                    <a:cs typeface="Times New Roman" pitchFamily="18" charset="0"/>
                  </a:rPr>
                  <a:t> de trai</a:t>
                </a:r>
                <a:endParaRPr lang="en-US" sz="800">
                  <a:latin typeface="Times New Roman" pitchFamily="18" charset="0"/>
                  <a:cs typeface="Times New Roman" pitchFamily="18" charset="0"/>
                </a:endParaRPr>
              </a:p>
            </c:rich>
          </c:tx>
          <c:layout>
            <c:manualLayout>
              <c:xMode val="edge"/>
              <c:yMode val="edge"/>
              <c:x val="9.3332578586127566E-3"/>
              <c:y val="8.6462490222005153E-2"/>
            </c:manualLayout>
          </c:layout>
        </c:title>
        <c:numFmt formatCode="0%" sourceLinked="0"/>
        <c:tickLblPos val="nextTo"/>
        <c:crossAx val="73315840"/>
        <c:crosses val="autoZero"/>
        <c:crossBetween val="between"/>
      </c:valAx>
      <c:spPr>
        <a:ln>
          <a:solidFill>
            <a:sysClr val="windowText" lastClr="000000"/>
          </a:solidFill>
        </a:ln>
      </c:spPr>
    </c:plotArea>
    <c:legend>
      <c:legendPos val="b"/>
      <c:layout>
        <c:manualLayout>
          <c:xMode val="edge"/>
          <c:yMode val="edge"/>
          <c:x val="2.1745191182088154E-2"/>
          <c:y val="0.85642012221997321"/>
          <c:w val="0.94817629046369634"/>
          <c:h val="8.4787609743807626E-2"/>
        </c:manualLayout>
      </c:layout>
      <c:txPr>
        <a:bodyPr/>
        <a:lstStyle/>
        <a:p>
          <a:pPr>
            <a:defRPr sz="900">
              <a:latin typeface="Times New Roman" pitchFamily="18" charset="0"/>
              <a:cs typeface="Times New Roman" pitchFamily="18" charset="0"/>
            </a:defRPr>
          </a:pPr>
          <a:endParaRPr lang="en-US"/>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sz="1000" b="1" baseline="0">
                <a:latin typeface="Times New Roman" pitchFamily="18" charset="0"/>
                <a:cs typeface="Times New Roman" pitchFamily="18" charset="0"/>
              </a:rPr>
              <a:t>Fig. </a:t>
            </a:r>
            <a:r>
              <a:rPr lang="en-US" sz="1000" b="1" baseline="0">
                <a:latin typeface="Times New Roman" pitchFamily="18" charset="0"/>
                <a:cs typeface="Times New Roman" pitchFamily="18" charset="0"/>
              </a:rPr>
              <a:t>3.</a:t>
            </a:r>
            <a:r>
              <a:rPr lang="ro-RO" sz="1000" b="1" baseline="0">
                <a:latin typeface="Times New Roman" pitchFamily="18" charset="0"/>
                <a:cs typeface="Times New Roman" pitchFamily="18" charset="0"/>
              </a:rPr>
              <a:t>8. Procentajul persoanelor care s-au gândit să emigreze în funcție dacă au rude plecate în afară sau nu</a:t>
            </a:r>
            <a:endParaRPr lang="en-US" sz="1000" b="1">
              <a:latin typeface="Times New Roman" pitchFamily="18" charset="0"/>
              <a:cs typeface="Times New Roman" pitchFamily="18" charset="0"/>
            </a:endParaRPr>
          </a:p>
        </c:rich>
      </c:tx>
    </c:title>
    <c:pivotFmts>
      <c:pivotFmt>
        <c:idx val="0"/>
        <c:marker>
          <c:symbol val="none"/>
        </c:marker>
        <c:dLbl>
          <c:idx val="0"/>
          <c:spPr/>
          <c:txPr>
            <a:bodyPr/>
            <a:lstStyle/>
            <a:p>
              <a:pPr>
                <a:defRPr/>
              </a:pPr>
              <a:endParaRPr lang="en-US"/>
            </a:p>
          </c:txPr>
          <c:showVal val="1"/>
        </c:dLbl>
      </c:pivotFmt>
      <c:pivotFmt>
        <c:idx val="1"/>
        <c:marker>
          <c:symbol val="none"/>
        </c:marker>
        <c:dLbl>
          <c:idx val="0"/>
          <c:spPr/>
          <c:txPr>
            <a:bodyPr/>
            <a:lstStyle/>
            <a:p>
              <a:pPr>
                <a:defRPr/>
              </a:pPr>
              <a:endParaRPr lang="en-US"/>
            </a:p>
          </c:txPr>
          <c:showVal val="1"/>
        </c:dLbl>
      </c:pivotFmt>
      <c:pivotFmt>
        <c:idx val="2"/>
        <c:marker>
          <c:symbol val="none"/>
        </c:marker>
        <c:dLbl>
          <c:idx val="0"/>
          <c:spPr/>
          <c:txPr>
            <a:bodyPr/>
            <a:lstStyle/>
            <a:p>
              <a:pPr>
                <a:defRPr/>
              </a:pPr>
              <a:endParaRPr lang="en-US"/>
            </a:p>
          </c:txPr>
          <c:showVal val="1"/>
        </c:dLbl>
      </c:pivotFmt>
      <c:pivotFmt>
        <c:idx val="3"/>
        <c:marker>
          <c:symbol val="none"/>
        </c:marker>
        <c:dLbl>
          <c:idx val="0"/>
          <c:spPr/>
          <c:txPr>
            <a:bodyPr/>
            <a:lstStyle/>
            <a:p>
              <a:pPr>
                <a:defRPr/>
              </a:pPr>
              <a:endParaRPr lang="en-US"/>
            </a:p>
          </c:txPr>
          <c:showVal val="1"/>
        </c:dLbl>
      </c:pivotFmt>
    </c:pivotFmts>
    <c:plotArea>
      <c:layout/>
      <c:barChart>
        <c:barDir val="col"/>
        <c:grouping val="clustered"/>
        <c:ser>
          <c:idx val="0"/>
          <c:order val="0"/>
          <c:tx>
            <c:v>Am rude</c:v>
          </c:tx>
          <c:dLbls>
            <c:numFmt formatCode="0%" sourceLinked="0"/>
            <c:txPr>
              <a:bodyPr/>
              <a:lstStyle/>
              <a:p>
                <a:pPr>
                  <a:defRPr/>
                </a:pPr>
                <a:endParaRPr lang="en-US"/>
              </a:p>
            </c:txPr>
            <c:showVal val="1"/>
          </c:dLbls>
          <c:cat>
            <c:strLit>
              <c:ptCount val="2"/>
              <c:pt idx="0">
                <c:v>da</c:v>
              </c:pt>
              <c:pt idx="1">
                <c:v>nu</c:v>
              </c:pt>
            </c:strLit>
          </c:cat>
          <c:val>
            <c:numLit>
              <c:formatCode>General</c:formatCode>
              <c:ptCount val="2"/>
              <c:pt idx="0">
                <c:v>0.67336683417085463</c:v>
              </c:pt>
              <c:pt idx="1">
                <c:v>0.16582914572864288</c:v>
              </c:pt>
            </c:numLit>
          </c:val>
        </c:ser>
        <c:ser>
          <c:idx val="1"/>
          <c:order val="1"/>
          <c:tx>
            <c:v>Nu am rude</c:v>
          </c:tx>
          <c:dLbls>
            <c:numFmt formatCode="0%" sourceLinked="0"/>
            <c:txPr>
              <a:bodyPr/>
              <a:lstStyle/>
              <a:p>
                <a:pPr>
                  <a:defRPr/>
                </a:pPr>
                <a:endParaRPr lang="en-US"/>
              </a:p>
            </c:txPr>
            <c:showVal val="1"/>
          </c:dLbls>
          <c:cat>
            <c:strLit>
              <c:ptCount val="2"/>
              <c:pt idx="0">
                <c:v>da</c:v>
              </c:pt>
              <c:pt idx="1">
                <c:v>nu</c:v>
              </c:pt>
            </c:strLit>
          </c:cat>
          <c:val>
            <c:numLit>
              <c:formatCode>General</c:formatCode>
              <c:ptCount val="2"/>
              <c:pt idx="0">
                <c:v>9.0452261306532694E-2</c:v>
              </c:pt>
              <c:pt idx="1">
                <c:v>7.0351758793969765E-2</c:v>
              </c:pt>
            </c:numLit>
          </c:val>
        </c:ser>
        <c:axId val="73419392"/>
        <c:axId val="73433472"/>
      </c:barChart>
      <c:catAx>
        <c:axId val="73419392"/>
        <c:scaling>
          <c:orientation val="minMax"/>
        </c:scaling>
        <c:axPos val="b"/>
        <c:tickLblPos val="nextTo"/>
        <c:crossAx val="73433472"/>
        <c:crosses val="autoZero"/>
        <c:auto val="1"/>
        <c:lblAlgn val="ctr"/>
        <c:lblOffset val="100"/>
      </c:catAx>
      <c:valAx>
        <c:axId val="73433472"/>
        <c:scaling>
          <c:orientation val="minMax"/>
        </c:scaling>
        <c:axPos val="l"/>
        <c:numFmt formatCode="0%" sourceLinked="0"/>
        <c:tickLblPos val="nextTo"/>
        <c:crossAx val="73419392"/>
        <c:crosses val="autoZero"/>
        <c:crossBetween val="between"/>
      </c:valAx>
      <c:spPr>
        <a:ln>
          <a:solidFill>
            <a:schemeClr val="accent1"/>
          </a:solidFill>
        </a:ln>
      </c:spPr>
    </c:plotArea>
    <c:legend>
      <c:legendPos val="r"/>
      <c:txPr>
        <a:bodyPr/>
        <a:lstStyle/>
        <a:p>
          <a:pPr>
            <a:defRPr sz="1000">
              <a:latin typeface="Times New Roman" pitchFamily="18" charset="0"/>
              <a:cs typeface="Times New Roman" pitchFamily="18" charset="0"/>
            </a:defRPr>
          </a:pPr>
          <a:endParaRPr lang="en-US"/>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pivotSource>
    <c:name>[Chestionar - Percep ia tinerilor din România cu privire   la procesul migra ionist (Responses) (1).xlsx]5!PivotTable8</c:name>
    <c:fmtId val="-1"/>
  </c:pivotSource>
  <c:chart>
    <c:title>
      <c:tx>
        <c:rich>
          <a:bodyPr/>
          <a:lstStyle/>
          <a:p>
            <a:pPr>
              <a:defRPr b="1"/>
            </a:pPr>
            <a:r>
              <a:rPr lang="ro-RO" sz="1000" b="0">
                <a:latin typeface="Times New Roman" pitchFamily="18" charset="0"/>
                <a:cs typeface="Times New Roman" pitchFamily="18" charset="0"/>
              </a:rPr>
              <a:t>Fig</a:t>
            </a:r>
            <a:r>
              <a:rPr lang="ro-RO" sz="1000" b="0" baseline="0">
                <a:latin typeface="Times New Roman" pitchFamily="18" charset="0"/>
                <a:cs typeface="Times New Roman" pitchFamily="18" charset="0"/>
              </a:rPr>
              <a:t> </a:t>
            </a:r>
            <a:r>
              <a:rPr lang="en-US" sz="1000" b="0" baseline="0">
                <a:latin typeface="Times New Roman" pitchFamily="18" charset="0"/>
                <a:cs typeface="Times New Roman" pitchFamily="18" charset="0"/>
              </a:rPr>
              <a:t>3.</a:t>
            </a:r>
            <a:r>
              <a:rPr lang="ro-RO" sz="1000" b="0" baseline="0">
                <a:latin typeface="Times New Roman" pitchFamily="18" charset="0"/>
                <a:cs typeface="Times New Roman" pitchFamily="18" charset="0"/>
              </a:rPr>
              <a:t>9</a:t>
            </a:r>
            <a:r>
              <a:rPr lang="ro-RO" sz="1000" b="0">
                <a:latin typeface="Times New Roman" pitchFamily="18" charset="0"/>
                <a:cs typeface="Times New Roman" pitchFamily="18" charset="0"/>
              </a:rPr>
              <a:t>. </a:t>
            </a:r>
            <a:r>
              <a:rPr lang="vi-VN" sz="1000" b="0">
                <a:latin typeface="Times New Roman" pitchFamily="18" charset="0"/>
                <a:cs typeface="Times New Roman" pitchFamily="18" charset="0"/>
              </a:rPr>
              <a:t>În ce măsură credeți că ați avea un nivel de trai mai bun într-o altă țară ?</a:t>
            </a:r>
            <a:endParaRPr lang="en-US" sz="1000" b="0">
              <a:latin typeface="Times New Roman" pitchFamily="18" charset="0"/>
              <a:cs typeface="Times New Roman" pitchFamily="18" charset="0"/>
            </a:endParaRPr>
          </a:p>
        </c:rich>
      </c:tx>
      <c:layout>
        <c:manualLayout>
          <c:xMode val="edge"/>
          <c:yMode val="edge"/>
          <c:x val="0.11844199475065617"/>
          <c:y val="1.0928961748633921E-2"/>
        </c:manualLayout>
      </c:layout>
    </c:title>
    <c:pivotFmts>
      <c:pivotFmt>
        <c:idx val="0"/>
        <c:spPr>
          <a:ln>
            <a:solidFill>
              <a:schemeClr val="tx1"/>
            </a:solidFill>
          </a:ln>
        </c:spPr>
        <c:marker>
          <c:symbol val="none"/>
        </c:marker>
        <c:dLbl>
          <c:idx val="0"/>
          <c:spPr>
            <a:ln>
              <a:noFill/>
            </a:ln>
          </c:spPr>
          <c:txPr>
            <a:bodyPr anchor="t" anchorCtr="0"/>
            <a:lstStyle/>
            <a:p>
              <a:pPr>
                <a:defRPr/>
              </a:pPr>
              <a:endParaRPr lang="en-US"/>
            </a:p>
          </c:txPr>
          <c:showVal val="1"/>
        </c:dLbl>
      </c:pivotFmt>
      <c:pivotFmt>
        <c:idx val="1"/>
        <c:dLbl>
          <c:idx val="0"/>
          <c:layout>
            <c:manualLayout>
              <c:x val="-5.0526315789473676E-2"/>
              <c:y val="-0.11475409836065574"/>
            </c:manualLayout>
          </c:layout>
          <c:showVal val="1"/>
        </c:dLbl>
      </c:pivotFmt>
      <c:pivotFmt>
        <c:idx val="2"/>
        <c:dLbl>
          <c:idx val="0"/>
          <c:layout>
            <c:manualLayout>
              <c:x val="-1.9649122807017753E-2"/>
              <c:y val="-1.6393442622950821E-2"/>
            </c:manualLayout>
          </c:layout>
          <c:showVal val="1"/>
        </c:dLbl>
      </c:pivotFmt>
      <c:pivotFmt>
        <c:idx val="3"/>
        <c:dLbl>
          <c:idx val="0"/>
          <c:layout>
            <c:manualLayout>
              <c:x val="-5.6140350877192866E-3"/>
              <c:y val="-6.5573770491803282E-2"/>
            </c:manualLayout>
          </c:layout>
          <c:showVal val="1"/>
        </c:dLbl>
      </c:pivotFmt>
      <c:pivotFmt>
        <c:idx val="4"/>
        <c:spPr>
          <a:ln>
            <a:solidFill>
              <a:schemeClr val="tx1"/>
            </a:solidFill>
          </a:ln>
        </c:spPr>
        <c:marker>
          <c:symbol val="none"/>
        </c:marker>
        <c:dLbl>
          <c:idx val="0"/>
          <c:spPr>
            <a:ln>
              <a:noFill/>
            </a:ln>
          </c:spPr>
          <c:txPr>
            <a:bodyPr anchor="t" anchorCtr="0"/>
            <a:lstStyle/>
            <a:p>
              <a:pPr>
                <a:defRPr/>
              </a:pPr>
              <a:endParaRPr lang="en-US"/>
            </a:p>
          </c:txPr>
          <c:showVal val="1"/>
        </c:dLbl>
      </c:pivotFmt>
      <c:pivotFmt>
        <c:idx val="5"/>
        <c:dLbl>
          <c:idx val="0"/>
          <c:layout>
            <c:manualLayout>
              <c:x val="-1.9649122807017753E-2"/>
              <c:y val="-1.6393442622950821E-2"/>
            </c:manualLayout>
          </c:layout>
          <c:showVal val="1"/>
        </c:dLbl>
      </c:pivotFmt>
      <c:pivotFmt>
        <c:idx val="6"/>
        <c:dLbl>
          <c:idx val="0"/>
          <c:layout>
            <c:manualLayout>
              <c:x val="-5.0526315789473676E-2"/>
              <c:y val="-0.11475409836065574"/>
            </c:manualLayout>
          </c:layout>
          <c:showVal val="1"/>
        </c:dLbl>
      </c:pivotFmt>
      <c:pivotFmt>
        <c:idx val="7"/>
        <c:dLbl>
          <c:idx val="0"/>
          <c:layout>
            <c:manualLayout>
              <c:x val="-5.6140350877192866E-3"/>
              <c:y val="-6.5573770491803282E-2"/>
            </c:manualLayout>
          </c:layout>
          <c:showVal val="1"/>
        </c:dLbl>
      </c:pivotFmt>
    </c:pivotFmts>
    <c:plotArea>
      <c:layout>
        <c:manualLayout>
          <c:layoutTarget val="inner"/>
          <c:xMode val="edge"/>
          <c:yMode val="edge"/>
          <c:x val="0.13211439195100624"/>
          <c:y val="0.17620807815689843"/>
          <c:w val="0.48261986001750012"/>
          <c:h val="0.80436643336249669"/>
        </c:manualLayout>
      </c:layout>
      <c:doughnutChart>
        <c:varyColors val="1"/>
        <c:ser>
          <c:idx val="0"/>
          <c:order val="0"/>
          <c:tx>
            <c:strRef>
              <c:f>'5'!$D$3</c:f>
              <c:strCache>
                <c:ptCount val="1"/>
                <c:pt idx="0">
                  <c:v>Total</c:v>
                </c:pt>
              </c:strCache>
            </c:strRef>
          </c:tx>
          <c:spPr>
            <a:ln>
              <a:solidFill>
                <a:schemeClr val="tx1"/>
              </a:solidFill>
            </a:ln>
          </c:spPr>
          <c:dLbls>
            <c:dLbl>
              <c:idx val="2"/>
              <c:layout>
                <c:manualLayout>
                  <c:x val="-1.9649122807017753E-2"/>
                  <c:y val="-1.6393442622950821E-2"/>
                </c:manualLayout>
              </c:layout>
              <c:showVal val="1"/>
            </c:dLbl>
            <c:dLbl>
              <c:idx val="3"/>
              <c:layout>
                <c:manualLayout>
                  <c:x val="-5.0526315789473676E-2"/>
                  <c:y val="-0.11475409836065574"/>
                </c:manualLayout>
              </c:layout>
              <c:showVal val="1"/>
            </c:dLbl>
            <c:dLbl>
              <c:idx val="4"/>
              <c:layout>
                <c:manualLayout>
                  <c:x val="-5.6140350877192866E-3"/>
                  <c:y val="-6.5573770491803282E-2"/>
                </c:manualLayout>
              </c:layout>
              <c:showVal val="1"/>
            </c:dLbl>
            <c:spPr>
              <a:ln>
                <a:noFill/>
              </a:ln>
            </c:spPr>
            <c:txPr>
              <a:bodyPr anchor="t" anchorCtr="0"/>
              <a:lstStyle/>
              <a:p>
                <a:pPr>
                  <a:defRPr/>
                </a:pPr>
                <a:endParaRPr lang="en-US"/>
              </a:p>
            </c:txPr>
            <c:showVal val="1"/>
            <c:showLeaderLines val="1"/>
          </c:dLbls>
          <c:cat>
            <c:strRef>
              <c:f>'5'!$C$4:$C$9</c:f>
              <c:strCache>
                <c:ptCount val="5"/>
                <c:pt idx="0">
                  <c:v>în foarte mare măsură;</c:v>
                </c:pt>
                <c:pt idx="1">
                  <c:v>în mare măsură;</c:v>
                </c:pt>
                <c:pt idx="2">
                  <c:v>în mică măsură;</c:v>
                </c:pt>
                <c:pt idx="3">
                  <c:v>în foarte mică măsură;</c:v>
                </c:pt>
                <c:pt idx="4">
                  <c:v>nu știu, nu răspund.</c:v>
                </c:pt>
              </c:strCache>
            </c:strRef>
          </c:cat>
          <c:val>
            <c:numRef>
              <c:f>'5'!$D$4:$D$9</c:f>
              <c:numCache>
                <c:formatCode>0%</c:formatCode>
                <c:ptCount val="5"/>
                <c:pt idx="0">
                  <c:v>0.30653266331658507</c:v>
                </c:pt>
                <c:pt idx="1">
                  <c:v>0.52763819095477382</c:v>
                </c:pt>
                <c:pt idx="2">
                  <c:v>6.5326633165829623E-2</c:v>
                </c:pt>
                <c:pt idx="3">
                  <c:v>5.0251256281406975E-3</c:v>
                </c:pt>
                <c:pt idx="4">
                  <c:v>9.5477386934673364E-2</c:v>
                </c:pt>
              </c:numCache>
            </c:numRef>
          </c:val>
        </c:ser>
        <c:firstSliceAng val="0"/>
        <c:holeSize val="50"/>
      </c:doughnutChart>
    </c:plotArea>
    <c:legend>
      <c:legendPos val="r"/>
      <c:layout>
        <c:manualLayout>
          <c:xMode val="edge"/>
          <c:yMode val="edge"/>
          <c:x val="0.64846706131710496"/>
          <c:y val="0.32122427201733311"/>
          <c:w val="0.33186825146202276"/>
          <c:h val="0.53210079407446953"/>
        </c:manualLayout>
      </c:layout>
      <c:txPr>
        <a:bodyPr/>
        <a:lstStyle/>
        <a:p>
          <a:pPr>
            <a:defRPr sz="1000">
              <a:latin typeface="Times New Roman" pitchFamily="18" charset="0"/>
              <a:cs typeface="Times New Roman" pitchFamily="18" charset="0"/>
            </a:defRPr>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4888</Words>
  <Characters>27863</Characters>
  <Application>Microsoft Office Word</Application>
  <DocSecurity>0</DocSecurity>
  <Lines>232</Lines>
  <Paragraphs>65</Paragraphs>
  <ScaleCrop>false</ScaleCrop>
  <Company/>
  <LinksUpToDate>false</LinksUpToDate>
  <CharactersWithSpaces>32686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2015-07-03T10:44:00Z</dcterms:created>
  <dcterms:modified xsi:type="dcterms:W3CDTF">2015-07-03T11:29:00Z</dcterms:modified>
</cp:coreProperties>
</file>