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CE0F5" w14:textId="071329E7" w:rsidR="00156A61" w:rsidRPr="00207A79" w:rsidRDefault="00753D8A" w:rsidP="00753D8A">
      <w:pPr>
        <w:ind w:firstLine="0"/>
        <w:jc w:val="center"/>
        <w:rPr>
          <w:b/>
          <w:lang w:val="en-US"/>
        </w:rPr>
      </w:pPr>
      <w:proofErr w:type="spellStart"/>
      <w:r w:rsidRPr="00207A79">
        <w:rPr>
          <w:b/>
          <w:sz w:val="28"/>
          <w:szCs w:val="28"/>
          <w:lang w:val="en-US"/>
        </w:rPr>
        <w:t>Modelarea</w:t>
      </w:r>
      <w:proofErr w:type="spellEnd"/>
      <w:r w:rsidRPr="00207A79">
        <w:rPr>
          <w:b/>
          <w:sz w:val="28"/>
          <w:szCs w:val="28"/>
          <w:lang w:val="en-US"/>
        </w:rPr>
        <w:t xml:space="preserve"> </w:t>
      </w:r>
      <w:proofErr w:type="spellStart"/>
      <w:r w:rsidRPr="00207A79">
        <w:rPr>
          <w:b/>
          <w:sz w:val="28"/>
          <w:szCs w:val="28"/>
          <w:lang w:val="en-US"/>
        </w:rPr>
        <w:t>relatiei</w:t>
      </w:r>
      <w:proofErr w:type="spellEnd"/>
      <w:r w:rsidRPr="00207A79">
        <w:rPr>
          <w:b/>
          <w:sz w:val="28"/>
          <w:szCs w:val="28"/>
          <w:lang w:val="en-US"/>
        </w:rPr>
        <w:t xml:space="preserve"> </w:t>
      </w:r>
      <w:proofErr w:type="spellStart"/>
      <w:r w:rsidRPr="00207A79">
        <w:rPr>
          <w:b/>
          <w:sz w:val="28"/>
          <w:szCs w:val="28"/>
          <w:lang w:val="en-US"/>
        </w:rPr>
        <w:t>dintre</w:t>
      </w:r>
      <w:proofErr w:type="spellEnd"/>
      <w:r w:rsidRPr="00207A79">
        <w:rPr>
          <w:b/>
          <w:sz w:val="28"/>
          <w:szCs w:val="28"/>
          <w:lang w:val="en-US"/>
        </w:rPr>
        <w:t xml:space="preserve"> </w:t>
      </w:r>
      <w:proofErr w:type="spellStart"/>
      <w:r w:rsidRPr="00207A79">
        <w:rPr>
          <w:b/>
          <w:sz w:val="28"/>
          <w:szCs w:val="28"/>
          <w:lang w:val="en-US"/>
        </w:rPr>
        <w:t>nivelul</w:t>
      </w:r>
      <w:proofErr w:type="spellEnd"/>
      <w:r w:rsidRPr="00207A79">
        <w:rPr>
          <w:b/>
          <w:sz w:val="28"/>
          <w:szCs w:val="28"/>
          <w:lang w:val="en-US"/>
        </w:rPr>
        <w:t xml:space="preserve"> </w:t>
      </w:r>
      <w:proofErr w:type="spellStart"/>
      <w:r w:rsidRPr="00207A79">
        <w:rPr>
          <w:b/>
          <w:sz w:val="28"/>
          <w:szCs w:val="28"/>
          <w:lang w:val="en-US"/>
        </w:rPr>
        <w:t>accizelor</w:t>
      </w:r>
      <w:proofErr w:type="spellEnd"/>
      <w:r w:rsidRPr="00207A79">
        <w:rPr>
          <w:b/>
          <w:sz w:val="28"/>
          <w:szCs w:val="28"/>
          <w:lang w:val="en-US"/>
        </w:rPr>
        <w:t xml:space="preserve"> </w:t>
      </w:r>
      <w:proofErr w:type="spellStart"/>
      <w:r w:rsidRPr="00207A79">
        <w:rPr>
          <w:b/>
          <w:sz w:val="28"/>
          <w:szCs w:val="28"/>
          <w:lang w:val="en-US"/>
        </w:rPr>
        <w:t>şi</w:t>
      </w:r>
      <w:proofErr w:type="spellEnd"/>
      <w:r w:rsidRPr="00207A79">
        <w:rPr>
          <w:b/>
          <w:sz w:val="28"/>
          <w:szCs w:val="28"/>
          <w:lang w:val="en-US"/>
        </w:rPr>
        <w:t xml:space="preserve"> </w:t>
      </w:r>
      <w:proofErr w:type="spellStart"/>
      <w:r w:rsidRPr="00207A79">
        <w:rPr>
          <w:b/>
          <w:sz w:val="28"/>
          <w:szCs w:val="28"/>
          <w:lang w:val="en-US"/>
        </w:rPr>
        <w:t>produsele</w:t>
      </w:r>
      <w:proofErr w:type="spellEnd"/>
      <w:r w:rsidRPr="00207A79">
        <w:rPr>
          <w:b/>
          <w:sz w:val="28"/>
          <w:szCs w:val="28"/>
          <w:lang w:val="en-US"/>
        </w:rPr>
        <w:t xml:space="preserve"> </w:t>
      </w:r>
      <w:proofErr w:type="spellStart"/>
      <w:r w:rsidRPr="00207A79">
        <w:rPr>
          <w:b/>
          <w:sz w:val="28"/>
          <w:szCs w:val="28"/>
          <w:lang w:val="en-US"/>
        </w:rPr>
        <w:t>daunatoare</w:t>
      </w:r>
      <w:proofErr w:type="spellEnd"/>
      <w:r w:rsidRPr="00207A79">
        <w:rPr>
          <w:b/>
          <w:sz w:val="28"/>
          <w:szCs w:val="28"/>
          <w:lang w:val="en-US"/>
        </w:rPr>
        <w:t xml:space="preserve"> </w:t>
      </w:r>
      <w:proofErr w:type="spellStart"/>
      <w:r w:rsidRPr="00207A79">
        <w:rPr>
          <w:b/>
          <w:sz w:val="28"/>
          <w:szCs w:val="28"/>
          <w:lang w:val="en-US"/>
        </w:rPr>
        <w:t>sanatatii</w:t>
      </w:r>
      <w:proofErr w:type="spellEnd"/>
      <w:r w:rsidRPr="00207A79">
        <w:rPr>
          <w:b/>
          <w:sz w:val="28"/>
          <w:szCs w:val="28"/>
          <w:lang w:val="en-US"/>
        </w:rPr>
        <w:t xml:space="preserve">. </w:t>
      </w:r>
      <w:proofErr w:type="spellStart"/>
      <w:r w:rsidRPr="00207A79">
        <w:rPr>
          <w:b/>
          <w:sz w:val="28"/>
          <w:szCs w:val="28"/>
          <w:lang w:val="en-US"/>
        </w:rPr>
        <w:t>Studiu</w:t>
      </w:r>
      <w:proofErr w:type="spellEnd"/>
      <w:r w:rsidRPr="00207A79">
        <w:rPr>
          <w:b/>
          <w:sz w:val="28"/>
          <w:szCs w:val="28"/>
          <w:lang w:val="en-US"/>
        </w:rPr>
        <w:t xml:space="preserve"> de </w:t>
      </w:r>
      <w:proofErr w:type="spellStart"/>
      <w:r w:rsidRPr="00207A79">
        <w:rPr>
          <w:b/>
          <w:sz w:val="28"/>
          <w:szCs w:val="28"/>
          <w:lang w:val="en-US"/>
        </w:rPr>
        <w:t>caz</w:t>
      </w:r>
      <w:proofErr w:type="spellEnd"/>
      <w:r w:rsidRPr="00207A79">
        <w:rPr>
          <w:b/>
          <w:sz w:val="28"/>
          <w:szCs w:val="28"/>
          <w:lang w:val="en-US"/>
        </w:rPr>
        <w:t xml:space="preserve"> </w:t>
      </w:r>
      <w:proofErr w:type="spellStart"/>
      <w:r w:rsidRPr="00207A79">
        <w:rPr>
          <w:b/>
          <w:sz w:val="28"/>
          <w:szCs w:val="28"/>
          <w:lang w:val="en-US"/>
        </w:rPr>
        <w:t>tarile</w:t>
      </w:r>
      <w:proofErr w:type="spellEnd"/>
      <w:r w:rsidRPr="00207A79">
        <w:rPr>
          <w:b/>
          <w:sz w:val="28"/>
          <w:szCs w:val="28"/>
          <w:lang w:val="en-US"/>
        </w:rPr>
        <w:t xml:space="preserve"> </w:t>
      </w:r>
      <w:proofErr w:type="spellStart"/>
      <w:r w:rsidRPr="00207A79">
        <w:rPr>
          <w:b/>
          <w:sz w:val="28"/>
          <w:szCs w:val="28"/>
          <w:lang w:val="en-US"/>
        </w:rPr>
        <w:t>Uniunii</w:t>
      </w:r>
      <w:proofErr w:type="spellEnd"/>
      <w:r w:rsidRPr="00207A79">
        <w:rPr>
          <w:b/>
          <w:sz w:val="28"/>
          <w:szCs w:val="28"/>
          <w:lang w:val="en-US"/>
        </w:rPr>
        <w:t xml:space="preserve"> </w:t>
      </w:r>
      <w:proofErr w:type="spellStart"/>
      <w:r w:rsidRPr="00207A79">
        <w:rPr>
          <w:b/>
          <w:sz w:val="28"/>
          <w:szCs w:val="28"/>
          <w:lang w:val="en-US"/>
        </w:rPr>
        <w:t>Europene</w:t>
      </w:r>
      <w:proofErr w:type="spellEnd"/>
    </w:p>
    <w:p w14:paraId="3AFEE06F" w14:textId="77777777" w:rsidR="0064307E" w:rsidRPr="00207A79" w:rsidRDefault="0064307E" w:rsidP="00A768AE">
      <w:pPr>
        <w:pStyle w:val="Title"/>
        <w:ind w:firstLine="708"/>
        <w:rPr>
          <w:rFonts w:ascii="Times New Roman" w:hAnsi="Times New Roman" w:cs="Times New Roman"/>
          <w:b/>
          <w:sz w:val="20"/>
          <w:szCs w:val="20"/>
          <w:lang w:val="en-US"/>
        </w:rPr>
      </w:pPr>
      <w:r w:rsidRPr="00207A79">
        <w:rPr>
          <w:rFonts w:ascii="Times New Roman" w:hAnsi="Times New Roman" w:cs="Times New Roman"/>
          <w:b/>
          <w:sz w:val="20"/>
          <w:szCs w:val="20"/>
          <w:lang w:val="en-US"/>
        </w:rPr>
        <w:t>Abstract</w:t>
      </w:r>
    </w:p>
    <w:p w14:paraId="58DEF435" w14:textId="77777777" w:rsidR="00DB6571" w:rsidRPr="00207A79" w:rsidRDefault="00DB6571" w:rsidP="00DB6571">
      <w:pPr>
        <w:ind w:firstLine="708"/>
        <w:rPr>
          <w:bCs/>
          <w:i/>
          <w:sz w:val="20"/>
          <w:szCs w:val="20"/>
          <w:lang w:val="en-US"/>
        </w:rPr>
      </w:pPr>
      <w:proofErr w:type="spellStart"/>
      <w:r w:rsidRPr="00207A79">
        <w:rPr>
          <w:bCs/>
          <w:i/>
          <w:sz w:val="20"/>
          <w:szCs w:val="20"/>
          <w:lang w:val="en-US"/>
        </w:rPr>
        <w:t>Creșterea</w:t>
      </w:r>
      <w:proofErr w:type="spellEnd"/>
      <w:r w:rsidRPr="00207A79">
        <w:rPr>
          <w:bCs/>
          <w:i/>
          <w:sz w:val="20"/>
          <w:szCs w:val="20"/>
          <w:lang w:val="en-US"/>
        </w:rPr>
        <w:t xml:space="preserve"> </w:t>
      </w:r>
      <w:proofErr w:type="spellStart"/>
      <w:r w:rsidRPr="00207A79">
        <w:rPr>
          <w:bCs/>
          <w:i/>
          <w:sz w:val="20"/>
          <w:szCs w:val="20"/>
          <w:lang w:val="en-US"/>
        </w:rPr>
        <w:t>substanțială</w:t>
      </w:r>
      <w:proofErr w:type="spellEnd"/>
      <w:r w:rsidRPr="00207A79">
        <w:rPr>
          <w:bCs/>
          <w:i/>
          <w:sz w:val="20"/>
          <w:szCs w:val="20"/>
          <w:lang w:val="en-US"/>
        </w:rPr>
        <w:t xml:space="preserve"> a </w:t>
      </w:r>
      <w:proofErr w:type="spellStart"/>
      <w:r w:rsidRPr="00207A79">
        <w:rPr>
          <w:bCs/>
          <w:i/>
          <w:sz w:val="20"/>
          <w:szCs w:val="20"/>
          <w:lang w:val="en-US"/>
        </w:rPr>
        <w:t>consumului</w:t>
      </w:r>
      <w:proofErr w:type="spellEnd"/>
      <w:r w:rsidRPr="00207A79">
        <w:rPr>
          <w:bCs/>
          <w:i/>
          <w:sz w:val="20"/>
          <w:szCs w:val="20"/>
          <w:lang w:val="en-US"/>
        </w:rPr>
        <w:t xml:space="preserve"> </w:t>
      </w:r>
      <w:proofErr w:type="spellStart"/>
      <w:r w:rsidRPr="00207A79">
        <w:rPr>
          <w:bCs/>
          <w:i/>
          <w:sz w:val="20"/>
          <w:szCs w:val="20"/>
          <w:lang w:val="en-US"/>
        </w:rPr>
        <w:t>aferent</w:t>
      </w:r>
      <w:proofErr w:type="spellEnd"/>
      <w:r w:rsidRPr="00207A79">
        <w:rPr>
          <w:bCs/>
          <w:i/>
          <w:sz w:val="20"/>
          <w:szCs w:val="20"/>
          <w:lang w:val="en-US"/>
        </w:rPr>
        <w:t xml:space="preserve"> </w:t>
      </w:r>
      <w:proofErr w:type="spellStart"/>
      <w:r w:rsidRPr="00207A79">
        <w:rPr>
          <w:bCs/>
          <w:i/>
          <w:sz w:val="20"/>
          <w:szCs w:val="20"/>
          <w:lang w:val="en-US"/>
        </w:rPr>
        <w:t>anumitor</w:t>
      </w:r>
      <w:proofErr w:type="spellEnd"/>
      <w:r w:rsidRPr="00207A79">
        <w:rPr>
          <w:bCs/>
          <w:i/>
          <w:sz w:val="20"/>
          <w:szCs w:val="20"/>
          <w:lang w:val="en-US"/>
        </w:rPr>
        <w:t xml:space="preserve"> </w:t>
      </w:r>
      <w:proofErr w:type="spellStart"/>
      <w:r w:rsidRPr="00207A79">
        <w:rPr>
          <w:bCs/>
          <w:i/>
          <w:sz w:val="20"/>
          <w:szCs w:val="20"/>
          <w:lang w:val="en-US"/>
        </w:rPr>
        <w:t>produse</w:t>
      </w:r>
      <w:proofErr w:type="spellEnd"/>
      <w:r w:rsidRPr="00207A79">
        <w:rPr>
          <w:bCs/>
          <w:i/>
          <w:sz w:val="20"/>
          <w:szCs w:val="20"/>
          <w:lang w:val="en-US"/>
        </w:rPr>
        <w:t xml:space="preserve"> </w:t>
      </w:r>
      <w:proofErr w:type="spellStart"/>
      <w:r w:rsidRPr="00207A79">
        <w:rPr>
          <w:bCs/>
          <w:i/>
          <w:sz w:val="20"/>
          <w:szCs w:val="20"/>
          <w:lang w:val="en-US"/>
        </w:rPr>
        <w:t>cunoscute</w:t>
      </w:r>
      <w:proofErr w:type="spellEnd"/>
      <w:r w:rsidRPr="00207A79">
        <w:rPr>
          <w:bCs/>
          <w:i/>
          <w:sz w:val="20"/>
          <w:szCs w:val="20"/>
          <w:lang w:val="en-US"/>
        </w:rPr>
        <w:t xml:space="preserve"> </w:t>
      </w:r>
      <w:proofErr w:type="spellStart"/>
      <w:r w:rsidRPr="00207A79">
        <w:rPr>
          <w:bCs/>
          <w:i/>
          <w:sz w:val="20"/>
          <w:szCs w:val="20"/>
          <w:lang w:val="en-US"/>
        </w:rPr>
        <w:t>prin</w:t>
      </w:r>
      <w:proofErr w:type="spellEnd"/>
      <w:r w:rsidRPr="00207A79">
        <w:rPr>
          <w:bCs/>
          <w:i/>
          <w:sz w:val="20"/>
          <w:szCs w:val="20"/>
          <w:lang w:val="en-US"/>
        </w:rPr>
        <w:t xml:space="preserve"> </w:t>
      </w:r>
      <w:proofErr w:type="spellStart"/>
      <w:r w:rsidRPr="00207A79">
        <w:rPr>
          <w:bCs/>
          <w:i/>
          <w:sz w:val="20"/>
          <w:szCs w:val="20"/>
          <w:lang w:val="en-US"/>
        </w:rPr>
        <w:t>repercursiunile</w:t>
      </w:r>
      <w:proofErr w:type="spellEnd"/>
      <w:r w:rsidRPr="00207A79">
        <w:rPr>
          <w:bCs/>
          <w:i/>
          <w:sz w:val="20"/>
          <w:szCs w:val="20"/>
          <w:lang w:val="en-US"/>
        </w:rPr>
        <w:t xml:space="preserve"> </w:t>
      </w:r>
      <w:proofErr w:type="spellStart"/>
      <w:r w:rsidRPr="00207A79">
        <w:rPr>
          <w:bCs/>
          <w:i/>
          <w:sz w:val="20"/>
          <w:szCs w:val="20"/>
          <w:lang w:val="en-US"/>
        </w:rPr>
        <w:t>asupra</w:t>
      </w:r>
      <w:proofErr w:type="spellEnd"/>
      <w:r w:rsidRPr="00207A79">
        <w:rPr>
          <w:bCs/>
          <w:i/>
          <w:sz w:val="20"/>
          <w:szCs w:val="20"/>
          <w:lang w:val="en-US"/>
        </w:rPr>
        <w:t xml:space="preserve"> </w:t>
      </w:r>
      <w:proofErr w:type="spellStart"/>
      <w:r w:rsidRPr="00207A79">
        <w:rPr>
          <w:bCs/>
          <w:i/>
          <w:sz w:val="20"/>
          <w:szCs w:val="20"/>
          <w:lang w:val="en-US"/>
        </w:rPr>
        <w:t>stării</w:t>
      </w:r>
      <w:proofErr w:type="spellEnd"/>
      <w:r w:rsidRPr="00207A79">
        <w:rPr>
          <w:bCs/>
          <w:i/>
          <w:sz w:val="20"/>
          <w:szCs w:val="20"/>
          <w:lang w:val="en-US"/>
        </w:rPr>
        <w:t xml:space="preserve"> de </w:t>
      </w:r>
      <w:proofErr w:type="spellStart"/>
      <w:r w:rsidRPr="00207A79">
        <w:rPr>
          <w:bCs/>
          <w:i/>
          <w:sz w:val="20"/>
          <w:szCs w:val="20"/>
          <w:lang w:val="en-US"/>
        </w:rPr>
        <w:t>sănătate</w:t>
      </w:r>
      <w:proofErr w:type="spellEnd"/>
      <w:r w:rsidRPr="00207A79">
        <w:rPr>
          <w:bCs/>
          <w:i/>
          <w:sz w:val="20"/>
          <w:szCs w:val="20"/>
          <w:lang w:val="en-US"/>
        </w:rPr>
        <w:t xml:space="preserve"> a </w:t>
      </w:r>
      <w:proofErr w:type="spellStart"/>
      <w:r w:rsidRPr="00207A79">
        <w:rPr>
          <w:bCs/>
          <w:i/>
          <w:sz w:val="20"/>
          <w:szCs w:val="20"/>
          <w:lang w:val="en-US"/>
        </w:rPr>
        <w:t>persoanelor</w:t>
      </w:r>
      <w:proofErr w:type="spellEnd"/>
      <w:r w:rsidRPr="00207A79">
        <w:rPr>
          <w:bCs/>
          <w:i/>
          <w:sz w:val="20"/>
          <w:szCs w:val="20"/>
          <w:lang w:val="en-US"/>
        </w:rPr>
        <w:t xml:space="preserve"> </w:t>
      </w:r>
      <w:proofErr w:type="spellStart"/>
      <w:r w:rsidRPr="00207A79">
        <w:rPr>
          <w:bCs/>
          <w:i/>
          <w:sz w:val="20"/>
          <w:szCs w:val="20"/>
          <w:lang w:val="en-US"/>
        </w:rPr>
        <w:t>consumatoare</w:t>
      </w:r>
      <w:proofErr w:type="spellEnd"/>
      <w:r w:rsidRPr="00207A79">
        <w:rPr>
          <w:bCs/>
          <w:i/>
          <w:sz w:val="20"/>
          <w:szCs w:val="20"/>
          <w:lang w:val="en-US"/>
        </w:rPr>
        <w:t xml:space="preserve"> a </w:t>
      </w:r>
      <w:proofErr w:type="spellStart"/>
      <w:r w:rsidRPr="00207A79">
        <w:rPr>
          <w:bCs/>
          <w:i/>
          <w:sz w:val="20"/>
          <w:szCs w:val="20"/>
          <w:lang w:val="en-US"/>
        </w:rPr>
        <w:t>determinat</w:t>
      </w:r>
      <w:proofErr w:type="spellEnd"/>
      <w:r w:rsidRPr="00207A79">
        <w:rPr>
          <w:bCs/>
          <w:i/>
          <w:sz w:val="20"/>
          <w:szCs w:val="20"/>
          <w:lang w:val="en-US"/>
        </w:rPr>
        <w:t xml:space="preserve"> </w:t>
      </w:r>
      <w:proofErr w:type="spellStart"/>
      <w:r w:rsidRPr="00207A79">
        <w:rPr>
          <w:bCs/>
          <w:i/>
          <w:sz w:val="20"/>
          <w:szCs w:val="20"/>
          <w:lang w:val="en-US"/>
        </w:rPr>
        <w:t>stabilirea</w:t>
      </w:r>
      <w:proofErr w:type="spellEnd"/>
      <w:r w:rsidRPr="00207A79">
        <w:rPr>
          <w:bCs/>
          <w:i/>
          <w:sz w:val="20"/>
          <w:szCs w:val="20"/>
          <w:lang w:val="en-US"/>
        </w:rPr>
        <w:t xml:space="preserve"> </w:t>
      </w:r>
      <w:proofErr w:type="spellStart"/>
      <w:r w:rsidRPr="00207A79">
        <w:rPr>
          <w:bCs/>
          <w:i/>
          <w:sz w:val="20"/>
          <w:szCs w:val="20"/>
          <w:lang w:val="en-US"/>
        </w:rPr>
        <w:t>unor</w:t>
      </w:r>
      <w:proofErr w:type="spellEnd"/>
      <w:r w:rsidRPr="00207A79">
        <w:rPr>
          <w:bCs/>
          <w:i/>
          <w:sz w:val="20"/>
          <w:szCs w:val="20"/>
          <w:lang w:val="en-US"/>
        </w:rPr>
        <w:t xml:space="preserve"> </w:t>
      </w:r>
      <w:proofErr w:type="spellStart"/>
      <w:r w:rsidRPr="00207A79">
        <w:rPr>
          <w:bCs/>
          <w:i/>
          <w:sz w:val="20"/>
          <w:szCs w:val="20"/>
          <w:lang w:val="en-US"/>
        </w:rPr>
        <w:t>măsuri</w:t>
      </w:r>
      <w:proofErr w:type="spellEnd"/>
      <w:r w:rsidRPr="00207A79">
        <w:rPr>
          <w:bCs/>
          <w:i/>
          <w:sz w:val="20"/>
          <w:szCs w:val="20"/>
          <w:lang w:val="en-US"/>
        </w:rPr>
        <w:t xml:space="preserve"> care </w:t>
      </w:r>
      <w:proofErr w:type="spellStart"/>
      <w:r w:rsidRPr="00207A79">
        <w:rPr>
          <w:bCs/>
          <w:i/>
          <w:sz w:val="20"/>
          <w:szCs w:val="20"/>
          <w:lang w:val="en-US"/>
        </w:rPr>
        <w:t>să</w:t>
      </w:r>
      <w:proofErr w:type="spellEnd"/>
      <w:r w:rsidRPr="00207A79">
        <w:rPr>
          <w:bCs/>
          <w:i/>
          <w:sz w:val="20"/>
          <w:szCs w:val="20"/>
          <w:lang w:val="en-US"/>
        </w:rPr>
        <w:t xml:space="preserve"> </w:t>
      </w:r>
      <w:proofErr w:type="spellStart"/>
      <w:r w:rsidRPr="00207A79">
        <w:rPr>
          <w:bCs/>
          <w:i/>
          <w:sz w:val="20"/>
          <w:szCs w:val="20"/>
          <w:lang w:val="en-US"/>
        </w:rPr>
        <w:t>contribuie</w:t>
      </w:r>
      <w:proofErr w:type="spellEnd"/>
      <w:r w:rsidRPr="00207A79">
        <w:rPr>
          <w:bCs/>
          <w:i/>
          <w:sz w:val="20"/>
          <w:szCs w:val="20"/>
          <w:lang w:val="en-US"/>
        </w:rPr>
        <w:t xml:space="preserve"> la </w:t>
      </w:r>
      <w:proofErr w:type="spellStart"/>
      <w:r w:rsidRPr="00207A79">
        <w:rPr>
          <w:bCs/>
          <w:i/>
          <w:sz w:val="20"/>
          <w:szCs w:val="20"/>
          <w:lang w:val="en-US"/>
        </w:rPr>
        <w:t>descurajarea</w:t>
      </w:r>
      <w:proofErr w:type="spellEnd"/>
      <w:r w:rsidRPr="00207A79">
        <w:rPr>
          <w:bCs/>
          <w:i/>
          <w:sz w:val="20"/>
          <w:szCs w:val="20"/>
          <w:lang w:val="en-US"/>
        </w:rPr>
        <w:t xml:space="preserve"> </w:t>
      </w:r>
      <w:proofErr w:type="spellStart"/>
      <w:r w:rsidRPr="00207A79">
        <w:rPr>
          <w:bCs/>
          <w:i/>
          <w:sz w:val="20"/>
          <w:szCs w:val="20"/>
          <w:lang w:val="en-US"/>
        </w:rPr>
        <w:t>populației</w:t>
      </w:r>
      <w:proofErr w:type="spellEnd"/>
      <w:r w:rsidRPr="00207A79">
        <w:rPr>
          <w:bCs/>
          <w:i/>
          <w:sz w:val="20"/>
          <w:szCs w:val="20"/>
          <w:lang w:val="en-US"/>
        </w:rPr>
        <w:t xml:space="preserve">, </w:t>
      </w:r>
      <w:proofErr w:type="spellStart"/>
      <w:r w:rsidRPr="00207A79">
        <w:rPr>
          <w:bCs/>
          <w:i/>
          <w:sz w:val="20"/>
          <w:szCs w:val="20"/>
          <w:lang w:val="en-US"/>
        </w:rPr>
        <w:t>dar</w:t>
      </w:r>
      <w:proofErr w:type="spellEnd"/>
      <w:r w:rsidRPr="00207A79">
        <w:rPr>
          <w:bCs/>
          <w:i/>
          <w:sz w:val="20"/>
          <w:szCs w:val="20"/>
          <w:lang w:val="en-US"/>
        </w:rPr>
        <w:t xml:space="preserve"> </w:t>
      </w:r>
      <w:proofErr w:type="spellStart"/>
      <w:r w:rsidRPr="00207A79">
        <w:rPr>
          <w:bCs/>
          <w:i/>
          <w:sz w:val="20"/>
          <w:szCs w:val="20"/>
          <w:lang w:val="en-US"/>
        </w:rPr>
        <w:t>și</w:t>
      </w:r>
      <w:proofErr w:type="spellEnd"/>
      <w:r w:rsidRPr="00207A79">
        <w:rPr>
          <w:bCs/>
          <w:i/>
          <w:sz w:val="20"/>
          <w:szCs w:val="20"/>
          <w:lang w:val="en-US"/>
        </w:rPr>
        <w:t xml:space="preserve"> la </w:t>
      </w:r>
      <w:proofErr w:type="spellStart"/>
      <w:r w:rsidRPr="00207A79">
        <w:rPr>
          <w:bCs/>
          <w:i/>
          <w:sz w:val="20"/>
          <w:szCs w:val="20"/>
          <w:lang w:val="en-US"/>
        </w:rPr>
        <w:t>creșterea</w:t>
      </w:r>
      <w:proofErr w:type="spellEnd"/>
      <w:r w:rsidRPr="00207A79">
        <w:rPr>
          <w:bCs/>
          <w:i/>
          <w:sz w:val="20"/>
          <w:szCs w:val="20"/>
          <w:lang w:val="en-US"/>
        </w:rPr>
        <w:t xml:space="preserve"> </w:t>
      </w:r>
      <w:proofErr w:type="spellStart"/>
      <w:r w:rsidRPr="00207A79">
        <w:rPr>
          <w:bCs/>
          <w:i/>
          <w:sz w:val="20"/>
          <w:szCs w:val="20"/>
          <w:lang w:val="en-US"/>
        </w:rPr>
        <w:t>gradului</w:t>
      </w:r>
      <w:proofErr w:type="spellEnd"/>
      <w:r w:rsidRPr="00207A79">
        <w:rPr>
          <w:bCs/>
          <w:i/>
          <w:sz w:val="20"/>
          <w:szCs w:val="20"/>
          <w:lang w:val="en-US"/>
        </w:rPr>
        <w:t xml:space="preserve"> de </w:t>
      </w:r>
      <w:proofErr w:type="spellStart"/>
      <w:r w:rsidRPr="00207A79">
        <w:rPr>
          <w:bCs/>
          <w:i/>
          <w:sz w:val="20"/>
          <w:szCs w:val="20"/>
          <w:lang w:val="en-US"/>
        </w:rPr>
        <w:t>conștientizare</w:t>
      </w:r>
      <w:proofErr w:type="spellEnd"/>
      <w:r w:rsidRPr="00207A79">
        <w:rPr>
          <w:bCs/>
          <w:i/>
          <w:sz w:val="20"/>
          <w:szCs w:val="20"/>
          <w:lang w:val="en-US"/>
        </w:rPr>
        <w:t xml:space="preserve"> </w:t>
      </w:r>
      <w:proofErr w:type="gramStart"/>
      <w:r w:rsidRPr="00207A79">
        <w:rPr>
          <w:bCs/>
          <w:i/>
          <w:sz w:val="20"/>
          <w:szCs w:val="20"/>
          <w:lang w:val="en-US"/>
        </w:rPr>
        <w:t>a</w:t>
      </w:r>
      <w:proofErr w:type="gramEnd"/>
      <w:r w:rsidRPr="00207A79">
        <w:rPr>
          <w:bCs/>
          <w:i/>
          <w:sz w:val="20"/>
          <w:szCs w:val="20"/>
          <w:lang w:val="en-US"/>
        </w:rPr>
        <w:t xml:space="preserve"> </w:t>
      </w:r>
      <w:proofErr w:type="spellStart"/>
      <w:r w:rsidRPr="00207A79">
        <w:rPr>
          <w:bCs/>
          <w:i/>
          <w:sz w:val="20"/>
          <w:szCs w:val="20"/>
          <w:lang w:val="en-US"/>
        </w:rPr>
        <w:t>aspectelor</w:t>
      </w:r>
      <w:proofErr w:type="spellEnd"/>
      <w:r w:rsidRPr="00207A79">
        <w:rPr>
          <w:bCs/>
          <w:i/>
          <w:sz w:val="20"/>
          <w:szCs w:val="20"/>
          <w:lang w:val="en-US"/>
        </w:rPr>
        <w:t xml:space="preserve"> </w:t>
      </w:r>
      <w:proofErr w:type="spellStart"/>
      <w:r w:rsidRPr="00207A79">
        <w:rPr>
          <w:bCs/>
          <w:i/>
          <w:sz w:val="20"/>
          <w:szCs w:val="20"/>
          <w:lang w:val="en-US"/>
        </w:rPr>
        <w:t>ce</w:t>
      </w:r>
      <w:proofErr w:type="spellEnd"/>
      <w:r w:rsidRPr="00207A79">
        <w:rPr>
          <w:bCs/>
          <w:i/>
          <w:sz w:val="20"/>
          <w:szCs w:val="20"/>
          <w:lang w:val="en-US"/>
        </w:rPr>
        <w:t xml:space="preserve"> </w:t>
      </w:r>
      <w:proofErr w:type="spellStart"/>
      <w:r w:rsidRPr="00207A79">
        <w:rPr>
          <w:bCs/>
          <w:i/>
          <w:sz w:val="20"/>
          <w:szCs w:val="20"/>
          <w:lang w:val="en-US"/>
        </w:rPr>
        <w:t>țin</w:t>
      </w:r>
      <w:proofErr w:type="spellEnd"/>
      <w:r w:rsidRPr="00207A79">
        <w:rPr>
          <w:bCs/>
          <w:i/>
          <w:sz w:val="20"/>
          <w:szCs w:val="20"/>
          <w:lang w:val="en-US"/>
        </w:rPr>
        <w:t xml:space="preserve"> de </w:t>
      </w:r>
      <w:proofErr w:type="spellStart"/>
      <w:r w:rsidRPr="00207A79">
        <w:rPr>
          <w:bCs/>
          <w:i/>
          <w:sz w:val="20"/>
          <w:szCs w:val="20"/>
          <w:lang w:val="en-US"/>
        </w:rPr>
        <w:t>sănătate</w:t>
      </w:r>
      <w:proofErr w:type="spellEnd"/>
      <w:r w:rsidRPr="00207A79">
        <w:rPr>
          <w:bCs/>
          <w:i/>
          <w:sz w:val="20"/>
          <w:szCs w:val="20"/>
          <w:lang w:val="en-US"/>
        </w:rPr>
        <w:t xml:space="preserve">. </w:t>
      </w:r>
    </w:p>
    <w:p w14:paraId="11D80231" w14:textId="05F2FB60" w:rsidR="00794471" w:rsidRPr="00207A79" w:rsidRDefault="00DB6571" w:rsidP="00DB6571">
      <w:pPr>
        <w:ind w:firstLine="708"/>
        <w:rPr>
          <w:bCs/>
          <w:i/>
          <w:sz w:val="20"/>
          <w:szCs w:val="20"/>
          <w:lang w:val="en-US"/>
        </w:rPr>
      </w:pPr>
      <w:proofErr w:type="spellStart"/>
      <w:r w:rsidRPr="00207A79">
        <w:rPr>
          <w:bCs/>
          <w:i/>
          <w:sz w:val="20"/>
          <w:szCs w:val="20"/>
          <w:lang w:val="en-US"/>
        </w:rPr>
        <w:t>Scopul</w:t>
      </w:r>
      <w:proofErr w:type="spellEnd"/>
      <w:r w:rsidRPr="00207A79">
        <w:rPr>
          <w:bCs/>
          <w:i/>
          <w:sz w:val="20"/>
          <w:szCs w:val="20"/>
          <w:lang w:val="en-US"/>
        </w:rPr>
        <w:t xml:space="preserve"> </w:t>
      </w:r>
      <w:proofErr w:type="spellStart"/>
      <w:r w:rsidRPr="00207A79">
        <w:rPr>
          <w:bCs/>
          <w:i/>
          <w:sz w:val="20"/>
          <w:szCs w:val="20"/>
          <w:lang w:val="en-US"/>
        </w:rPr>
        <w:t>lucrării</w:t>
      </w:r>
      <w:proofErr w:type="spellEnd"/>
      <w:r w:rsidRPr="00207A79">
        <w:rPr>
          <w:bCs/>
          <w:i/>
          <w:sz w:val="20"/>
          <w:szCs w:val="20"/>
          <w:lang w:val="en-US"/>
        </w:rPr>
        <w:t xml:space="preserve"> </w:t>
      </w:r>
      <w:proofErr w:type="spellStart"/>
      <w:r w:rsidRPr="00207A79">
        <w:rPr>
          <w:bCs/>
          <w:i/>
          <w:sz w:val="20"/>
          <w:szCs w:val="20"/>
          <w:lang w:val="en-US"/>
        </w:rPr>
        <w:t>noastre</w:t>
      </w:r>
      <w:proofErr w:type="spellEnd"/>
      <w:r w:rsidRPr="00207A79">
        <w:rPr>
          <w:bCs/>
          <w:i/>
          <w:sz w:val="20"/>
          <w:szCs w:val="20"/>
          <w:lang w:val="en-US"/>
        </w:rPr>
        <w:t xml:space="preserve"> </w:t>
      </w:r>
      <w:proofErr w:type="spellStart"/>
      <w:r w:rsidRPr="00207A79">
        <w:rPr>
          <w:bCs/>
          <w:i/>
          <w:sz w:val="20"/>
          <w:szCs w:val="20"/>
          <w:lang w:val="en-US"/>
        </w:rPr>
        <w:t>este</w:t>
      </w:r>
      <w:proofErr w:type="spellEnd"/>
      <w:r w:rsidRPr="00207A79">
        <w:rPr>
          <w:bCs/>
          <w:i/>
          <w:sz w:val="20"/>
          <w:szCs w:val="20"/>
          <w:lang w:val="en-US"/>
        </w:rPr>
        <w:t xml:space="preserve"> de </w:t>
      </w:r>
      <w:proofErr w:type="gramStart"/>
      <w:r w:rsidRPr="00207A79">
        <w:rPr>
          <w:bCs/>
          <w:i/>
          <w:sz w:val="20"/>
          <w:szCs w:val="20"/>
          <w:lang w:val="en-US"/>
        </w:rPr>
        <w:t>a</w:t>
      </w:r>
      <w:proofErr w:type="gramEnd"/>
      <w:r w:rsidRPr="00207A79">
        <w:rPr>
          <w:bCs/>
          <w:i/>
          <w:sz w:val="20"/>
          <w:szCs w:val="20"/>
          <w:lang w:val="en-US"/>
        </w:rPr>
        <w:t xml:space="preserve"> </w:t>
      </w:r>
      <w:proofErr w:type="spellStart"/>
      <w:r w:rsidRPr="00207A79">
        <w:rPr>
          <w:bCs/>
          <w:i/>
          <w:sz w:val="20"/>
          <w:szCs w:val="20"/>
          <w:lang w:val="en-US"/>
        </w:rPr>
        <w:t>evidenția</w:t>
      </w:r>
      <w:proofErr w:type="spellEnd"/>
      <w:r w:rsidRPr="00207A79">
        <w:rPr>
          <w:bCs/>
          <w:i/>
          <w:sz w:val="20"/>
          <w:szCs w:val="20"/>
          <w:lang w:val="en-US"/>
        </w:rPr>
        <w:t xml:space="preserve"> </w:t>
      </w:r>
      <w:proofErr w:type="spellStart"/>
      <w:r w:rsidR="00521779" w:rsidRPr="00207A79">
        <w:rPr>
          <w:bCs/>
          <w:i/>
          <w:sz w:val="20"/>
          <w:szCs w:val="20"/>
          <w:lang w:val="en-US"/>
        </w:rPr>
        <w:t>corelaţia</w:t>
      </w:r>
      <w:proofErr w:type="spellEnd"/>
      <w:r w:rsidR="00521779" w:rsidRPr="00207A79">
        <w:rPr>
          <w:bCs/>
          <w:i/>
          <w:sz w:val="20"/>
          <w:szCs w:val="20"/>
          <w:lang w:val="en-US"/>
        </w:rPr>
        <w:t xml:space="preserve"> </w:t>
      </w:r>
      <w:proofErr w:type="spellStart"/>
      <w:r w:rsidR="00521779" w:rsidRPr="00207A79">
        <w:rPr>
          <w:bCs/>
          <w:i/>
          <w:sz w:val="20"/>
          <w:szCs w:val="20"/>
          <w:lang w:val="en-US"/>
        </w:rPr>
        <w:t>dintre</w:t>
      </w:r>
      <w:proofErr w:type="spellEnd"/>
      <w:r w:rsidR="00521779" w:rsidRPr="00207A79">
        <w:rPr>
          <w:bCs/>
          <w:i/>
          <w:sz w:val="20"/>
          <w:szCs w:val="20"/>
          <w:lang w:val="en-US"/>
        </w:rPr>
        <w:t xml:space="preserve"> </w:t>
      </w:r>
      <w:proofErr w:type="spellStart"/>
      <w:r w:rsidR="00521779" w:rsidRPr="00207A79">
        <w:rPr>
          <w:bCs/>
          <w:i/>
          <w:sz w:val="20"/>
          <w:szCs w:val="20"/>
          <w:lang w:val="en-US"/>
        </w:rPr>
        <w:t>accize</w:t>
      </w:r>
      <w:proofErr w:type="spellEnd"/>
      <w:r w:rsidR="00521779" w:rsidRPr="00207A79">
        <w:rPr>
          <w:bCs/>
          <w:i/>
          <w:sz w:val="20"/>
          <w:szCs w:val="20"/>
          <w:lang w:val="en-US"/>
        </w:rPr>
        <w:t xml:space="preserve"> </w:t>
      </w:r>
      <w:proofErr w:type="spellStart"/>
      <w:r w:rsidR="00521779" w:rsidRPr="00207A79">
        <w:rPr>
          <w:bCs/>
          <w:i/>
          <w:sz w:val="20"/>
          <w:szCs w:val="20"/>
          <w:lang w:val="en-US"/>
        </w:rPr>
        <w:t>şi</w:t>
      </w:r>
      <w:proofErr w:type="spellEnd"/>
      <w:r w:rsidR="00521779" w:rsidRPr="00207A79">
        <w:rPr>
          <w:bCs/>
          <w:i/>
          <w:sz w:val="20"/>
          <w:szCs w:val="20"/>
          <w:lang w:val="en-US"/>
        </w:rPr>
        <w:t xml:space="preserve"> </w:t>
      </w:r>
      <w:proofErr w:type="spellStart"/>
      <w:r w:rsidR="00521779" w:rsidRPr="00207A79">
        <w:rPr>
          <w:bCs/>
          <w:i/>
          <w:sz w:val="20"/>
          <w:szCs w:val="20"/>
          <w:lang w:val="en-US"/>
        </w:rPr>
        <w:t>consum</w:t>
      </w:r>
      <w:proofErr w:type="spellEnd"/>
      <w:r w:rsidR="00521779" w:rsidRPr="00207A79">
        <w:rPr>
          <w:bCs/>
          <w:i/>
          <w:sz w:val="20"/>
          <w:szCs w:val="20"/>
          <w:lang w:val="en-US"/>
        </w:rPr>
        <w:t xml:space="preserve"> la </w:t>
      </w:r>
      <w:proofErr w:type="spellStart"/>
      <w:r w:rsidR="00521779" w:rsidRPr="00207A79">
        <w:rPr>
          <w:bCs/>
          <w:i/>
          <w:sz w:val="20"/>
          <w:szCs w:val="20"/>
          <w:lang w:val="en-US"/>
        </w:rPr>
        <w:t>nivelul</w:t>
      </w:r>
      <w:proofErr w:type="spellEnd"/>
      <w:r w:rsidR="00521779" w:rsidRPr="00207A79">
        <w:rPr>
          <w:bCs/>
          <w:i/>
          <w:sz w:val="20"/>
          <w:szCs w:val="20"/>
          <w:lang w:val="en-US"/>
        </w:rPr>
        <w:t xml:space="preserve"> UE,</w:t>
      </w:r>
      <w:r w:rsidRPr="00207A79">
        <w:rPr>
          <w:bCs/>
          <w:i/>
          <w:sz w:val="20"/>
          <w:szCs w:val="20"/>
          <w:lang w:val="en-US"/>
        </w:rPr>
        <w:t xml:space="preserve"> </w:t>
      </w:r>
      <w:proofErr w:type="spellStart"/>
      <w:r w:rsidRPr="00207A79">
        <w:rPr>
          <w:bCs/>
          <w:i/>
          <w:sz w:val="20"/>
          <w:szCs w:val="20"/>
          <w:lang w:val="en-US"/>
        </w:rPr>
        <w:t>aplicarea</w:t>
      </w:r>
      <w:proofErr w:type="spellEnd"/>
      <w:r w:rsidRPr="00207A79">
        <w:rPr>
          <w:bCs/>
          <w:i/>
          <w:sz w:val="20"/>
          <w:szCs w:val="20"/>
          <w:lang w:val="en-US"/>
        </w:rPr>
        <w:t xml:space="preserve"> </w:t>
      </w:r>
      <w:proofErr w:type="spellStart"/>
      <w:r w:rsidRPr="00207A79">
        <w:rPr>
          <w:bCs/>
          <w:i/>
          <w:sz w:val="20"/>
          <w:szCs w:val="20"/>
          <w:lang w:val="en-US"/>
        </w:rPr>
        <w:t>accizelor</w:t>
      </w:r>
      <w:proofErr w:type="spellEnd"/>
      <w:r w:rsidRPr="00207A79">
        <w:rPr>
          <w:bCs/>
          <w:i/>
          <w:sz w:val="20"/>
          <w:szCs w:val="20"/>
          <w:lang w:val="en-US"/>
        </w:rPr>
        <w:t xml:space="preserve"> </w:t>
      </w:r>
      <w:proofErr w:type="spellStart"/>
      <w:r w:rsidRPr="00207A79">
        <w:rPr>
          <w:bCs/>
          <w:i/>
          <w:sz w:val="20"/>
          <w:szCs w:val="20"/>
          <w:lang w:val="en-US"/>
        </w:rPr>
        <w:t>a</w:t>
      </w:r>
      <w:r w:rsidR="00521779" w:rsidRPr="00207A79">
        <w:rPr>
          <w:bCs/>
          <w:i/>
          <w:sz w:val="20"/>
          <w:szCs w:val="20"/>
          <w:lang w:val="en-US"/>
        </w:rPr>
        <w:t>vand</w:t>
      </w:r>
      <w:proofErr w:type="spellEnd"/>
      <w:r w:rsidRPr="00207A79">
        <w:rPr>
          <w:bCs/>
          <w:i/>
          <w:sz w:val="20"/>
          <w:szCs w:val="20"/>
          <w:lang w:val="en-US"/>
        </w:rPr>
        <w:t xml:space="preserve"> </w:t>
      </w:r>
      <w:proofErr w:type="spellStart"/>
      <w:r w:rsidRPr="00207A79">
        <w:rPr>
          <w:bCs/>
          <w:i/>
          <w:sz w:val="20"/>
          <w:szCs w:val="20"/>
          <w:lang w:val="en-US"/>
        </w:rPr>
        <w:t>efectele</w:t>
      </w:r>
      <w:proofErr w:type="spellEnd"/>
      <w:r w:rsidRPr="00207A79">
        <w:rPr>
          <w:bCs/>
          <w:i/>
          <w:sz w:val="20"/>
          <w:szCs w:val="20"/>
          <w:lang w:val="en-US"/>
        </w:rPr>
        <w:t xml:space="preserve"> </w:t>
      </w:r>
      <w:proofErr w:type="spellStart"/>
      <w:r w:rsidRPr="00207A79">
        <w:rPr>
          <w:bCs/>
          <w:i/>
          <w:sz w:val="20"/>
          <w:szCs w:val="20"/>
          <w:lang w:val="en-US"/>
        </w:rPr>
        <w:t>scontate</w:t>
      </w:r>
      <w:proofErr w:type="spellEnd"/>
      <w:r w:rsidRPr="00207A79">
        <w:rPr>
          <w:bCs/>
          <w:i/>
          <w:sz w:val="20"/>
          <w:szCs w:val="20"/>
          <w:lang w:val="en-US"/>
        </w:rPr>
        <w:t xml:space="preserve"> </w:t>
      </w:r>
      <w:proofErr w:type="spellStart"/>
      <w:r w:rsidRPr="00207A79">
        <w:rPr>
          <w:bCs/>
          <w:i/>
          <w:sz w:val="20"/>
          <w:szCs w:val="20"/>
          <w:lang w:val="en-US"/>
        </w:rPr>
        <w:t>în</w:t>
      </w:r>
      <w:proofErr w:type="spellEnd"/>
      <w:r w:rsidRPr="00207A79">
        <w:rPr>
          <w:bCs/>
          <w:i/>
          <w:sz w:val="20"/>
          <w:szCs w:val="20"/>
          <w:lang w:val="en-US"/>
        </w:rPr>
        <w:t xml:space="preserve"> </w:t>
      </w:r>
      <w:proofErr w:type="spellStart"/>
      <w:r w:rsidRPr="00207A79">
        <w:rPr>
          <w:bCs/>
          <w:i/>
          <w:sz w:val="20"/>
          <w:szCs w:val="20"/>
          <w:lang w:val="en-US"/>
        </w:rPr>
        <w:t>raport</w:t>
      </w:r>
      <w:proofErr w:type="spellEnd"/>
      <w:r w:rsidRPr="00207A79">
        <w:rPr>
          <w:bCs/>
          <w:i/>
          <w:sz w:val="20"/>
          <w:szCs w:val="20"/>
          <w:lang w:val="en-US"/>
        </w:rPr>
        <w:t xml:space="preserve"> cu </w:t>
      </w:r>
      <w:proofErr w:type="spellStart"/>
      <w:r w:rsidRPr="00207A79">
        <w:rPr>
          <w:bCs/>
          <w:i/>
          <w:sz w:val="20"/>
          <w:szCs w:val="20"/>
          <w:lang w:val="en-US"/>
        </w:rPr>
        <w:t>consumului</w:t>
      </w:r>
      <w:proofErr w:type="spellEnd"/>
      <w:r w:rsidRPr="00207A79">
        <w:rPr>
          <w:bCs/>
          <w:i/>
          <w:sz w:val="20"/>
          <w:szCs w:val="20"/>
          <w:lang w:val="en-US"/>
        </w:rPr>
        <w:t xml:space="preserve"> </w:t>
      </w:r>
      <w:proofErr w:type="spellStart"/>
      <w:r w:rsidRPr="00207A79">
        <w:rPr>
          <w:bCs/>
          <w:i/>
          <w:sz w:val="20"/>
          <w:szCs w:val="20"/>
          <w:lang w:val="en-US"/>
        </w:rPr>
        <w:t>îngrijorător</w:t>
      </w:r>
      <w:proofErr w:type="spellEnd"/>
      <w:r w:rsidRPr="00207A79">
        <w:rPr>
          <w:bCs/>
          <w:i/>
          <w:sz w:val="20"/>
          <w:szCs w:val="20"/>
          <w:lang w:val="en-US"/>
        </w:rPr>
        <w:t xml:space="preserve"> de </w:t>
      </w:r>
      <w:proofErr w:type="spellStart"/>
      <w:r w:rsidRPr="00207A79">
        <w:rPr>
          <w:bCs/>
          <w:i/>
          <w:sz w:val="20"/>
          <w:szCs w:val="20"/>
          <w:lang w:val="en-US"/>
        </w:rPr>
        <w:t>produse</w:t>
      </w:r>
      <w:proofErr w:type="spellEnd"/>
      <w:r w:rsidRPr="00207A79">
        <w:rPr>
          <w:bCs/>
          <w:i/>
          <w:sz w:val="20"/>
          <w:szCs w:val="20"/>
          <w:lang w:val="en-US"/>
        </w:rPr>
        <w:t xml:space="preserve"> </w:t>
      </w:r>
      <w:proofErr w:type="spellStart"/>
      <w:r w:rsidRPr="00207A79">
        <w:rPr>
          <w:bCs/>
          <w:i/>
          <w:sz w:val="20"/>
          <w:szCs w:val="20"/>
          <w:lang w:val="en-US"/>
        </w:rPr>
        <w:t>alcoolice</w:t>
      </w:r>
      <w:proofErr w:type="spellEnd"/>
      <w:r w:rsidRPr="00207A79">
        <w:rPr>
          <w:bCs/>
          <w:i/>
          <w:sz w:val="20"/>
          <w:szCs w:val="20"/>
          <w:lang w:val="en-US"/>
        </w:rPr>
        <w:t xml:space="preserve"> </w:t>
      </w:r>
      <w:proofErr w:type="spellStart"/>
      <w:r w:rsidRPr="00207A79">
        <w:rPr>
          <w:bCs/>
          <w:i/>
          <w:sz w:val="20"/>
          <w:szCs w:val="20"/>
          <w:lang w:val="en-US"/>
        </w:rPr>
        <w:t>și</w:t>
      </w:r>
      <w:proofErr w:type="spellEnd"/>
      <w:r w:rsidRPr="00207A79">
        <w:rPr>
          <w:bCs/>
          <w:i/>
          <w:sz w:val="20"/>
          <w:szCs w:val="20"/>
          <w:lang w:val="en-US"/>
        </w:rPr>
        <w:t xml:space="preserve"> </w:t>
      </w:r>
      <w:proofErr w:type="spellStart"/>
      <w:r w:rsidRPr="00207A79">
        <w:rPr>
          <w:bCs/>
          <w:i/>
          <w:sz w:val="20"/>
          <w:szCs w:val="20"/>
          <w:lang w:val="en-US"/>
        </w:rPr>
        <w:t>tutun</w:t>
      </w:r>
      <w:proofErr w:type="spellEnd"/>
      <w:r w:rsidRPr="00207A79">
        <w:rPr>
          <w:bCs/>
          <w:i/>
          <w:sz w:val="20"/>
          <w:szCs w:val="20"/>
          <w:lang w:val="en-US"/>
        </w:rPr>
        <w:t>.</w:t>
      </w:r>
      <w:r w:rsidR="00E01127" w:rsidRPr="00207A79">
        <w:rPr>
          <w:bCs/>
          <w:i/>
          <w:sz w:val="20"/>
          <w:szCs w:val="20"/>
          <w:lang w:val="en-US"/>
        </w:rPr>
        <w:t xml:space="preserve"> </w:t>
      </w:r>
      <w:proofErr w:type="spellStart"/>
      <w:r w:rsidRPr="00207A79">
        <w:rPr>
          <w:bCs/>
          <w:i/>
          <w:sz w:val="20"/>
          <w:szCs w:val="20"/>
          <w:lang w:val="en-US"/>
        </w:rPr>
        <w:t>Pentru</w:t>
      </w:r>
      <w:proofErr w:type="spellEnd"/>
      <w:r w:rsidRPr="00207A79">
        <w:rPr>
          <w:bCs/>
          <w:i/>
          <w:sz w:val="20"/>
          <w:szCs w:val="20"/>
          <w:lang w:val="en-US"/>
        </w:rPr>
        <w:t xml:space="preserve"> </w:t>
      </w:r>
      <w:proofErr w:type="spellStart"/>
      <w:r w:rsidRPr="00207A79">
        <w:rPr>
          <w:bCs/>
          <w:i/>
          <w:sz w:val="20"/>
          <w:szCs w:val="20"/>
          <w:lang w:val="en-US"/>
        </w:rPr>
        <w:t>aceasta</w:t>
      </w:r>
      <w:proofErr w:type="spellEnd"/>
      <w:r w:rsidRPr="00207A79">
        <w:rPr>
          <w:bCs/>
          <w:i/>
          <w:sz w:val="20"/>
          <w:szCs w:val="20"/>
          <w:lang w:val="en-US"/>
        </w:rPr>
        <w:t xml:space="preserve"> </w:t>
      </w:r>
      <w:proofErr w:type="spellStart"/>
      <w:r w:rsidRPr="00207A79">
        <w:rPr>
          <w:bCs/>
          <w:i/>
          <w:sz w:val="20"/>
          <w:szCs w:val="20"/>
          <w:lang w:val="en-US"/>
        </w:rPr>
        <w:t>cercetare</w:t>
      </w:r>
      <w:proofErr w:type="spellEnd"/>
      <w:r w:rsidRPr="00207A79">
        <w:rPr>
          <w:bCs/>
          <w:i/>
          <w:sz w:val="20"/>
          <w:szCs w:val="20"/>
          <w:lang w:val="en-US"/>
        </w:rPr>
        <w:t xml:space="preserve"> am </w:t>
      </w:r>
      <w:proofErr w:type="spellStart"/>
      <w:r w:rsidRPr="00207A79">
        <w:rPr>
          <w:bCs/>
          <w:i/>
          <w:sz w:val="20"/>
          <w:szCs w:val="20"/>
          <w:lang w:val="en-US"/>
        </w:rPr>
        <w:t>utilizat</w:t>
      </w:r>
      <w:proofErr w:type="spellEnd"/>
      <w:r w:rsidRPr="00207A79">
        <w:rPr>
          <w:bCs/>
          <w:i/>
          <w:sz w:val="20"/>
          <w:szCs w:val="20"/>
          <w:lang w:val="en-US"/>
        </w:rPr>
        <w:t xml:space="preserve"> software de </w:t>
      </w:r>
      <w:proofErr w:type="spellStart"/>
      <w:r w:rsidRPr="00207A79">
        <w:rPr>
          <w:bCs/>
          <w:i/>
          <w:sz w:val="20"/>
          <w:szCs w:val="20"/>
          <w:lang w:val="en-US"/>
        </w:rPr>
        <w:t>statistica</w:t>
      </w:r>
      <w:proofErr w:type="spellEnd"/>
      <w:r w:rsidRPr="00207A79">
        <w:rPr>
          <w:bCs/>
          <w:i/>
          <w:sz w:val="20"/>
          <w:szCs w:val="20"/>
          <w:lang w:val="en-US"/>
        </w:rPr>
        <w:t xml:space="preserve"> SPSS</w:t>
      </w:r>
      <w:r w:rsidR="00521779" w:rsidRPr="00207A79">
        <w:rPr>
          <w:bCs/>
          <w:i/>
          <w:sz w:val="20"/>
          <w:szCs w:val="20"/>
          <w:lang w:val="en-US"/>
        </w:rPr>
        <w:t xml:space="preserve">, </w:t>
      </w:r>
      <w:proofErr w:type="spellStart"/>
      <w:r w:rsidR="00521779" w:rsidRPr="00207A79">
        <w:rPr>
          <w:bCs/>
          <w:i/>
          <w:sz w:val="20"/>
          <w:szCs w:val="20"/>
          <w:lang w:val="en-US"/>
        </w:rPr>
        <w:t>corelația</w:t>
      </w:r>
      <w:proofErr w:type="spellEnd"/>
      <w:r w:rsidR="00521779" w:rsidRPr="00207A79">
        <w:rPr>
          <w:bCs/>
          <w:i/>
          <w:sz w:val="20"/>
          <w:szCs w:val="20"/>
          <w:lang w:val="en-US"/>
        </w:rPr>
        <w:t xml:space="preserve"> </w:t>
      </w:r>
      <w:proofErr w:type="spellStart"/>
      <w:r w:rsidR="00521779" w:rsidRPr="00207A79">
        <w:rPr>
          <w:bCs/>
          <w:i/>
          <w:sz w:val="20"/>
          <w:szCs w:val="20"/>
          <w:lang w:val="en-US"/>
        </w:rPr>
        <w:t>fiind</w:t>
      </w:r>
      <w:proofErr w:type="spellEnd"/>
      <w:r w:rsidR="00521779" w:rsidRPr="00207A79">
        <w:rPr>
          <w:bCs/>
          <w:i/>
          <w:sz w:val="20"/>
          <w:szCs w:val="20"/>
          <w:lang w:val="en-US"/>
        </w:rPr>
        <w:t xml:space="preserve"> </w:t>
      </w:r>
      <w:proofErr w:type="spellStart"/>
      <w:r w:rsidR="00521779" w:rsidRPr="00207A79">
        <w:rPr>
          <w:bCs/>
          <w:i/>
          <w:sz w:val="20"/>
          <w:szCs w:val="20"/>
          <w:lang w:val="en-US"/>
        </w:rPr>
        <w:t>determina</w:t>
      </w:r>
      <w:proofErr w:type="spellEnd"/>
      <w:r w:rsidR="00521779" w:rsidRPr="00207A79">
        <w:rPr>
          <w:bCs/>
          <w:i/>
          <w:sz w:val="20"/>
          <w:szCs w:val="20"/>
          <w:lang w:val="en-US"/>
        </w:rPr>
        <w:t xml:space="preserve"> </w:t>
      </w:r>
      <w:proofErr w:type="spellStart"/>
      <w:r w:rsidR="00521779" w:rsidRPr="00207A79">
        <w:rPr>
          <w:bCs/>
          <w:i/>
          <w:sz w:val="20"/>
          <w:szCs w:val="20"/>
          <w:lang w:val="en-US"/>
        </w:rPr>
        <w:t>în</w:t>
      </w:r>
      <w:proofErr w:type="spellEnd"/>
      <w:r w:rsidR="00521779" w:rsidRPr="00207A79">
        <w:rPr>
          <w:bCs/>
          <w:i/>
          <w:sz w:val="20"/>
          <w:szCs w:val="20"/>
          <w:lang w:val="en-US"/>
        </w:rPr>
        <w:t xml:space="preserve"> </w:t>
      </w:r>
      <w:proofErr w:type="spellStart"/>
      <w:r w:rsidR="00521779" w:rsidRPr="00207A79">
        <w:rPr>
          <w:bCs/>
          <w:i/>
          <w:sz w:val="20"/>
          <w:szCs w:val="20"/>
          <w:lang w:val="en-US"/>
        </w:rPr>
        <w:t>baza</w:t>
      </w:r>
      <w:proofErr w:type="spellEnd"/>
      <w:r w:rsidR="00521779" w:rsidRPr="00207A79">
        <w:rPr>
          <w:bCs/>
          <w:i/>
          <w:sz w:val="20"/>
          <w:szCs w:val="20"/>
          <w:lang w:val="en-US"/>
        </w:rPr>
        <w:t xml:space="preserve"> </w:t>
      </w:r>
      <w:proofErr w:type="spellStart"/>
      <w:r w:rsidR="00521779" w:rsidRPr="00207A79">
        <w:rPr>
          <w:bCs/>
          <w:i/>
          <w:sz w:val="20"/>
          <w:szCs w:val="20"/>
          <w:lang w:val="en-US"/>
        </w:rPr>
        <w:t>unui</w:t>
      </w:r>
      <w:proofErr w:type="spellEnd"/>
      <w:r w:rsidR="00521779" w:rsidRPr="00207A79">
        <w:rPr>
          <w:bCs/>
          <w:i/>
          <w:sz w:val="20"/>
          <w:szCs w:val="20"/>
          <w:lang w:val="en-US"/>
        </w:rPr>
        <w:t xml:space="preserve"> model econometric care are ca </w:t>
      </w:r>
      <w:proofErr w:type="spellStart"/>
      <w:r w:rsidR="00521779" w:rsidRPr="00207A79">
        <w:rPr>
          <w:bCs/>
          <w:i/>
          <w:sz w:val="20"/>
          <w:szCs w:val="20"/>
          <w:lang w:val="en-US"/>
        </w:rPr>
        <w:t>variabilă</w:t>
      </w:r>
      <w:proofErr w:type="spellEnd"/>
      <w:r w:rsidR="00521779" w:rsidRPr="00207A79">
        <w:rPr>
          <w:bCs/>
          <w:i/>
          <w:sz w:val="20"/>
          <w:szCs w:val="20"/>
          <w:lang w:val="en-US"/>
        </w:rPr>
        <w:t xml:space="preserve"> </w:t>
      </w:r>
      <w:proofErr w:type="spellStart"/>
      <w:r w:rsidR="00521779" w:rsidRPr="00207A79">
        <w:rPr>
          <w:bCs/>
          <w:i/>
          <w:sz w:val="20"/>
          <w:szCs w:val="20"/>
          <w:lang w:val="en-US"/>
        </w:rPr>
        <w:t>dependentă</w:t>
      </w:r>
      <w:proofErr w:type="spellEnd"/>
      <w:r w:rsidR="00521779" w:rsidRPr="00207A79">
        <w:rPr>
          <w:bCs/>
          <w:i/>
          <w:sz w:val="20"/>
          <w:szCs w:val="20"/>
          <w:lang w:val="en-US"/>
        </w:rPr>
        <w:t xml:space="preserve"> </w:t>
      </w:r>
      <w:proofErr w:type="spellStart"/>
      <w:r w:rsidR="00521779" w:rsidRPr="00207A79">
        <w:rPr>
          <w:bCs/>
          <w:i/>
          <w:sz w:val="20"/>
          <w:szCs w:val="20"/>
          <w:lang w:val="en-US"/>
        </w:rPr>
        <w:t>nivelul</w:t>
      </w:r>
      <w:proofErr w:type="spellEnd"/>
      <w:r w:rsidR="00521779" w:rsidRPr="00207A79">
        <w:rPr>
          <w:bCs/>
          <w:i/>
          <w:sz w:val="20"/>
          <w:szCs w:val="20"/>
          <w:lang w:val="en-US"/>
        </w:rPr>
        <w:t xml:space="preserve"> </w:t>
      </w:r>
      <w:proofErr w:type="spellStart"/>
      <w:r w:rsidR="00521779" w:rsidRPr="00207A79">
        <w:rPr>
          <w:bCs/>
          <w:i/>
          <w:sz w:val="20"/>
          <w:szCs w:val="20"/>
          <w:lang w:val="en-US"/>
        </w:rPr>
        <w:t>accizei</w:t>
      </w:r>
      <w:proofErr w:type="spellEnd"/>
      <w:r w:rsidR="00521779" w:rsidRPr="00207A79">
        <w:rPr>
          <w:bCs/>
          <w:i/>
          <w:sz w:val="20"/>
          <w:szCs w:val="20"/>
          <w:lang w:val="en-US"/>
        </w:rPr>
        <w:t xml:space="preserve">, </w:t>
      </w:r>
      <w:proofErr w:type="spellStart"/>
      <w:r w:rsidR="00521779" w:rsidRPr="00207A79">
        <w:rPr>
          <w:bCs/>
          <w:i/>
          <w:sz w:val="20"/>
          <w:szCs w:val="20"/>
          <w:lang w:val="en-US"/>
        </w:rPr>
        <w:t>iar</w:t>
      </w:r>
      <w:proofErr w:type="spellEnd"/>
      <w:r w:rsidR="00521779" w:rsidRPr="00207A79">
        <w:rPr>
          <w:bCs/>
          <w:i/>
          <w:sz w:val="20"/>
          <w:szCs w:val="20"/>
          <w:lang w:val="en-US"/>
        </w:rPr>
        <w:t xml:space="preserve"> </w:t>
      </w:r>
      <w:proofErr w:type="spellStart"/>
      <w:r w:rsidR="00521779" w:rsidRPr="00207A79">
        <w:rPr>
          <w:bCs/>
          <w:i/>
          <w:sz w:val="20"/>
          <w:szCs w:val="20"/>
          <w:lang w:val="en-US"/>
        </w:rPr>
        <w:t>variabilele</w:t>
      </w:r>
      <w:proofErr w:type="spellEnd"/>
      <w:r w:rsidR="00521779" w:rsidRPr="00207A79">
        <w:rPr>
          <w:bCs/>
          <w:i/>
          <w:sz w:val="20"/>
          <w:szCs w:val="20"/>
          <w:lang w:val="en-US"/>
        </w:rPr>
        <w:t xml:space="preserve"> </w:t>
      </w:r>
      <w:proofErr w:type="spellStart"/>
      <w:r w:rsidR="00521779" w:rsidRPr="00207A79">
        <w:rPr>
          <w:bCs/>
          <w:i/>
          <w:sz w:val="20"/>
          <w:szCs w:val="20"/>
          <w:lang w:val="en-US"/>
        </w:rPr>
        <w:t>independente</w:t>
      </w:r>
      <w:proofErr w:type="spellEnd"/>
      <w:r w:rsidR="00521779" w:rsidRPr="00207A79">
        <w:rPr>
          <w:bCs/>
          <w:i/>
          <w:sz w:val="20"/>
          <w:szCs w:val="20"/>
          <w:lang w:val="en-US"/>
        </w:rPr>
        <w:t xml:space="preserve"> sunt </w:t>
      </w:r>
      <w:proofErr w:type="spellStart"/>
      <w:r w:rsidR="00521779" w:rsidRPr="00207A79">
        <w:rPr>
          <w:bCs/>
          <w:i/>
          <w:sz w:val="20"/>
          <w:szCs w:val="20"/>
          <w:lang w:val="en-US"/>
        </w:rPr>
        <w:t>consumurile</w:t>
      </w:r>
      <w:proofErr w:type="spellEnd"/>
      <w:r w:rsidR="00521779" w:rsidRPr="00207A79">
        <w:rPr>
          <w:bCs/>
          <w:i/>
          <w:sz w:val="20"/>
          <w:szCs w:val="20"/>
          <w:lang w:val="en-US"/>
        </w:rPr>
        <w:t xml:space="preserve"> de </w:t>
      </w:r>
      <w:proofErr w:type="spellStart"/>
      <w:r w:rsidR="00521779" w:rsidRPr="00207A79">
        <w:rPr>
          <w:bCs/>
          <w:i/>
          <w:sz w:val="20"/>
          <w:szCs w:val="20"/>
          <w:lang w:val="en-US"/>
        </w:rPr>
        <w:t>alcool</w:t>
      </w:r>
      <w:proofErr w:type="spellEnd"/>
      <w:r w:rsidR="00521779" w:rsidRPr="00207A79">
        <w:rPr>
          <w:bCs/>
          <w:i/>
          <w:sz w:val="20"/>
          <w:szCs w:val="20"/>
          <w:lang w:val="en-US"/>
        </w:rPr>
        <w:t xml:space="preserve"> </w:t>
      </w:r>
      <w:proofErr w:type="spellStart"/>
      <w:r w:rsidR="00521779" w:rsidRPr="00207A79">
        <w:rPr>
          <w:bCs/>
          <w:i/>
          <w:sz w:val="20"/>
          <w:szCs w:val="20"/>
          <w:lang w:val="en-US"/>
        </w:rPr>
        <w:t>și</w:t>
      </w:r>
      <w:proofErr w:type="spellEnd"/>
      <w:r w:rsidR="00521779" w:rsidRPr="00207A79">
        <w:rPr>
          <w:bCs/>
          <w:i/>
          <w:sz w:val="20"/>
          <w:szCs w:val="20"/>
          <w:lang w:val="en-US"/>
        </w:rPr>
        <w:t xml:space="preserve"> </w:t>
      </w:r>
      <w:proofErr w:type="spellStart"/>
      <w:r w:rsidR="00521779" w:rsidRPr="00207A79">
        <w:rPr>
          <w:bCs/>
          <w:i/>
          <w:sz w:val="20"/>
          <w:szCs w:val="20"/>
          <w:lang w:val="en-US"/>
        </w:rPr>
        <w:t>respeciv</w:t>
      </w:r>
      <w:proofErr w:type="spellEnd"/>
      <w:r w:rsidR="00521779" w:rsidRPr="00207A79">
        <w:rPr>
          <w:bCs/>
          <w:i/>
          <w:sz w:val="20"/>
          <w:szCs w:val="20"/>
          <w:lang w:val="en-US"/>
        </w:rPr>
        <w:t xml:space="preserve"> </w:t>
      </w:r>
      <w:proofErr w:type="spellStart"/>
      <w:r w:rsidR="00521779" w:rsidRPr="00207A79">
        <w:rPr>
          <w:bCs/>
          <w:i/>
          <w:sz w:val="20"/>
          <w:szCs w:val="20"/>
          <w:lang w:val="en-US"/>
        </w:rPr>
        <w:t>țigări</w:t>
      </w:r>
      <w:proofErr w:type="spellEnd"/>
      <w:r w:rsidR="00521779" w:rsidRPr="00207A79">
        <w:rPr>
          <w:bCs/>
          <w:i/>
          <w:sz w:val="20"/>
          <w:szCs w:val="20"/>
          <w:lang w:val="en-US"/>
        </w:rPr>
        <w:t xml:space="preserve"> </w:t>
      </w:r>
    </w:p>
    <w:p w14:paraId="5EF4DC76" w14:textId="13CB6C58" w:rsidR="0095030E" w:rsidRPr="00207A79" w:rsidRDefault="00521779" w:rsidP="00521779">
      <w:pPr>
        <w:ind w:firstLine="708"/>
        <w:rPr>
          <w:bCs/>
          <w:i/>
          <w:sz w:val="20"/>
          <w:szCs w:val="20"/>
          <w:lang w:val="en-US"/>
        </w:rPr>
      </w:pPr>
      <w:proofErr w:type="spellStart"/>
      <w:r w:rsidRPr="00207A79">
        <w:rPr>
          <w:bCs/>
          <w:i/>
          <w:sz w:val="20"/>
          <w:szCs w:val="20"/>
          <w:lang w:val="en-US"/>
        </w:rPr>
        <w:t>Rezultatele</w:t>
      </w:r>
      <w:proofErr w:type="spellEnd"/>
      <w:r w:rsidRPr="00207A79">
        <w:rPr>
          <w:bCs/>
          <w:i/>
          <w:sz w:val="20"/>
          <w:szCs w:val="20"/>
          <w:lang w:val="en-US"/>
        </w:rPr>
        <w:t xml:space="preserve"> </w:t>
      </w:r>
      <w:proofErr w:type="spellStart"/>
      <w:r w:rsidRPr="00207A79">
        <w:rPr>
          <w:bCs/>
          <w:i/>
          <w:sz w:val="20"/>
          <w:szCs w:val="20"/>
          <w:lang w:val="en-US"/>
        </w:rPr>
        <w:t>cercetarii</w:t>
      </w:r>
      <w:proofErr w:type="spellEnd"/>
      <w:r w:rsidRPr="00207A79">
        <w:rPr>
          <w:bCs/>
          <w:i/>
          <w:sz w:val="20"/>
          <w:szCs w:val="20"/>
          <w:lang w:val="en-US"/>
        </w:rPr>
        <w:t xml:space="preserve"> </w:t>
      </w:r>
      <w:proofErr w:type="spellStart"/>
      <w:r w:rsidRPr="00207A79">
        <w:rPr>
          <w:bCs/>
          <w:i/>
          <w:sz w:val="20"/>
          <w:szCs w:val="20"/>
          <w:lang w:val="en-GB"/>
        </w:rPr>
        <w:t>evidentiaza</w:t>
      </w:r>
      <w:proofErr w:type="spellEnd"/>
      <w:r w:rsidRPr="00207A79">
        <w:rPr>
          <w:bCs/>
          <w:i/>
          <w:sz w:val="20"/>
          <w:szCs w:val="20"/>
          <w:lang w:val="en-GB"/>
        </w:rPr>
        <w:t xml:space="preserve"> </w:t>
      </w:r>
      <w:proofErr w:type="spellStart"/>
      <w:r w:rsidRPr="00207A79">
        <w:rPr>
          <w:bCs/>
          <w:i/>
          <w:sz w:val="20"/>
          <w:szCs w:val="20"/>
          <w:lang w:val="en-GB"/>
        </w:rPr>
        <w:t>faptul</w:t>
      </w:r>
      <w:proofErr w:type="spellEnd"/>
      <w:r w:rsidRPr="00207A79">
        <w:rPr>
          <w:bCs/>
          <w:i/>
          <w:sz w:val="20"/>
          <w:szCs w:val="20"/>
          <w:lang w:val="en-GB"/>
        </w:rPr>
        <w:t xml:space="preserve"> ca</w:t>
      </w:r>
      <w:r w:rsidRPr="00207A79">
        <w:rPr>
          <w:bCs/>
          <w:i/>
          <w:sz w:val="20"/>
          <w:szCs w:val="20"/>
          <w:lang w:val="en-US"/>
        </w:rPr>
        <w:t xml:space="preserve"> </w:t>
      </w:r>
      <w:proofErr w:type="spellStart"/>
      <w:r w:rsidRPr="00207A79">
        <w:rPr>
          <w:bCs/>
          <w:i/>
          <w:sz w:val="20"/>
          <w:szCs w:val="20"/>
          <w:lang w:val="en-US"/>
        </w:rPr>
        <w:t>daca</w:t>
      </w:r>
      <w:proofErr w:type="spellEnd"/>
      <w:r w:rsidRPr="00207A79">
        <w:rPr>
          <w:bCs/>
          <w:i/>
          <w:sz w:val="20"/>
          <w:szCs w:val="20"/>
          <w:lang w:val="en-US"/>
        </w:rPr>
        <w:t xml:space="preserve"> </w:t>
      </w:r>
      <w:proofErr w:type="spellStart"/>
      <w:r w:rsidRPr="00207A79">
        <w:rPr>
          <w:bCs/>
          <w:i/>
          <w:sz w:val="20"/>
          <w:szCs w:val="20"/>
          <w:lang w:val="en-US"/>
        </w:rPr>
        <w:t>consumul</w:t>
      </w:r>
      <w:proofErr w:type="spellEnd"/>
      <w:r w:rsidRPr="00207A79">
        <w:rPr>
          <w:bCs/>
          <w:i/>
          <w:sz w:val="20"/>
          <w:szCs w:val="20"/>
          <w:lang w:val="en-US"/>
        </w:rPr>
        <w:t xml:space="preserve"> de </w:t>
      </w:r>
      <w:proofErr w:type="spellStart"/>
      <w:r w:rsidRPr="00207A79">
        <w:rPr>
          <w:bCs/>
          <w:i/>
          <w:sz w:val="20"/>
          <w:szCs w:val="20"/>
          <w:lang w:val="en-US"/>
        </w:rPr>
        <w:t>alcool</w:t>
      </w:r>
      <w:proofErr w:type="spellEnd"/>
      <w:r w:rsidRPr="00207A79">
        <w:rPr>
          <w:bCs/>
          <w:i/>
          <w:sz w:val="20"/>
          <w:szCs w:val="20"/>
          <w:lang w:val="en-US"/>
        </w:rPr>
        <w:t xml:space="preserve"> </w:t>
      </w:r>
      <w:proofErr w:type="spellStart"/>
      <w:r w:rsidRPr="00207A79">
        <w:rPr>
          <w:bCs/>
          <w:i/>
          <w:sz w:val="20"/>
          <w:szCs w:val="20"/>
          <w:lang w:val="en-US"/>
        </w:rPr>
        <w:t>înregistrat</w:t>
      </w:r>
      <w:proofErr w:type="spellEnd"/>
      <w:r w:rsidRPr="00207A79">
        <w:rPr>
          <w:bCs/>
          <w:i/>
          <w:sz w:val="20"/>
          <w:szCs w:val="20"/>
          <w:lang w:val="en-US"/>
        </w:rPr>
        <w:t xml:space="preserve"> pe cap de </w:t>
      </w:r>
      <w:proofErr w:type="spellStart"/>
      <w:r w:rsidRPr="00207A79">
        <w:rPr>
          <w:bCs/>
          <w:i/>
          <w:sz w:val="20"/>
          <w:szCs w:val="20"/>
          <w:lang w:val="en-US"/>
        </w:rPr>
        <w:t>locuitor</w:t>
      </w:r>
      <w:proofErr w:type="spellEnd"/>
      <w:r w:rsidRPr="00207A79">
        <w:rPr>
          <w:bCs/>
          <w:i/>
          <w:sz w:val="20"/>
          <w:szCs w:val="20"/>
          <w:lang w:val="en-US"/>
        </w:rPr>
        <w:t xml:space="preserve"> </w:t>
      </w:r>
      <w:proofErr w:type="spellStart"/>
      <w:r w:rsidRPr="00207A79">
        <w:rPr>
          <w:bCs/>
          <w:i/>
          <w:sz w:val="20"/>
          <w:szCs w:val="20"/>
          <w:lang w:val="en-US"/>
        </w:rPr>
        <w:t>scade</w:t>
      </w:r>
      <w:proofErr w:type="spellEnd"/>
      <w:r w:rsidRPr="00207A79">
        <w:rPr>
          <w:bCs/>
          <w:i/>
          <w:sz w:val="20"/>
          <w:szCs w:val="20"/>
          <w:lang w:val="en-US"/>
        </w:rPr>
        <w:t xml:space="preserve"> cu o </w:t>
      </w:r>
      <w:proofErr w:type="spellStart"/>
      <w:r w:rsidRPr="00207A79">
        <w:rPr>
          <w:bCs/>
          <w:i/>
          <w:sz w:val="20"/>
          <w:szCs w:val="20"/>
          <w:lang w:val="en-US"/>
        </w:rPr>
        <w:t>unitate</w:t>
      </w:r>
      <w:proofErr w:type="spellEnd"/>
      <w:r w:rsidRPr="00207A79">
        <w:rPr>
          <w:bCs/>
          <w:i/>
          <w:sz w:val="20"/>
          <w:szCs w:val="20"/>
          <w:lang w:val="en-US"/>
        </w:rPr>
        <w:t xml:space="preserve">, </w:t>
      </w:r>
      <w:proofErr w:type="spellStart"/>
      <w:r w:rsidRPr="00207A79">
        <w:rPr>
          <w:bCs/>
          <w:i/>
          <w:sz w:val="20"/>
          <w:szCs w:val="20"/>
          <w:lang w:val="en-US"/>
        </w:rPr>
        <w:t>iar</w:t>
      </w:r>
      <w:proofErr w:type="spellEnd"/>
      <w:r w:rsidRPr="00207A79">
        <w:rPr>
          <w:bCs/>
          <w:i/>
          <w:sz w:val="20"/>
          <w:szCs w:val="20"/>
          <w:lang w:val="en-US"/>
        </w:rPr>
        <w:t xml:space="preserve"> </w:t>
      </w:r>
      <w:proofErr w:type="spellStart"/>
      <w:r w:rsidRPr="00207A79">
        <w:rPr>
          <w:bCs/>
          <w:i/>
          <w:sz w:val="20"/>
          <w:szCs w:val="20"/>
          <w:lang w:val="en-US"/>
        </w:rPr>
        <w:t>consulul</w:t>
      </w:r>
      <w:proofErr w:type="spellEnd"/>
      <w:r w:rsidRPr="00207A79">
        <w:rPr>
          <w:bCs/>
          <w:i/>
          <w:sz w:val="20"/>
          <w:szCs w:val="20"/>
          <w:lang w:val="en-US"/>
        </w:rPr>
        <w:t xml:space="preserve"> la </w:t>
      </w:r>
      <w:proofErr w:type="spellStart"/>
      <w:r w:rsidRPr="00207A79">
        <w:rPr>
          <w:bCs/>
          <w:i/>
          <w:sz w:val="20"/>
          <w:szCs w:val="20"/>
          <w:lang w:val="en-US"/>
        </w:rPr>
        <w:t>tigari</w:t>
      </w:r>
      <w:proofErr w:type="spellEnd"/>
      <w:r w:rsidRPr="00207A79">
        <w:rPr>
          <w:bCs/>
          <w:i/>
          <w:sz w:val="20"/>
          <w:szCs w:val="20"/>
          <w:lang w:val="en-US"/>
        </w:rPr>
        <w:t xml:space="preserve"> </w:t>
      </w:r>
      <w:proofErr w:type="spellStart"/>
      <w:r w:rsidRPr="00207A79">
        <w:rPr>
          <w:bCs/>
          <w:i/>
          <w:sz w:val="20"/>
          <w:szCs w:val="20"/>
          <w:lang w:val="en-US"/>
        </w:rPr>
        <w:t>înregistrat</w:t>
      </w:r>
      <w:proofErr w:type="spellEnd"/>
      <w:r w:rsidRPr="00207A79">
        <w:rPr>
          <w:bCs/>
          <w:i/>
          <w:sz w:val="20"/>
          <w:szCs w:val="20"/>
          <w:lang w:val="en-US"/>
        </w:rPr>
        <w:t xml:space="preserve"> la </w:t>
      </w:r>
      <w:proofErr w:type="spellStart"/>
      <w:r w:rsidRPr="00207A79">
        <w:rPr>
          <w:bCs/>
          <w:i/>
          <w:sz w:val="20"/>
          <w:szCs w:val="20"/>
          <w:lang w:val="en-US"/>
        </w:rPr>
        <w:t>nivelul</w:t>
      </w:r>
      <w:proofErr w:type="spellEnd"/>
      <w:r w:rsidRPr="00207A79">
        <w:rPr>
          <w:bCs/>
          <w:i/>
          <w:sz w:val="20"/>
          <w:szCs w:val="20"/>
          <w:lang w:val="en-US"/>
        </w:rPr>
        <w:t xml:space="preserve"> </w:t>
      </w:r>
      <w:proofErr w:type="spellStart"/>
      <w:r w:rsidRPr="00207A79">
        <w:rPr>
          <w:bCs/>
          <w:i/>
          <w:sz w:val="20"/>
          <w:szCs w:val="20"/>
          <w:lang w:val="en-US"/>
        </w:rPr>
        <w:t>consumatorilor</w:t>
      </w:r>
      <w:proofErr w:type="spellEnd"/>
      <w:r w:rsidRPr="00207A79">
        <w:rPr>
          <w:bCs/>
          <w:i/>
          <w:sz w:val="20"/>
          <w:szCs w:val="20"/>
          <w:lang w:val="en-US"/>
        </w:rPr>
        <w:t xml:space="preserve"> </w:t>
      </w:r>
      <w:proofErr w:type="spellStart"/>
      <w:r w:rsidRPr="00207A79">
        <w:rPr>
          <w:bCs/>
          <w:i/>
          <w:sz w:val="20"/>
          <w:szCs w:val="20"/>
          <w:lang w:val="en-US"/>
        </w:rPr>
        <w:t>zilnici</w:t>
      </w:r>
      <w:proofErr w:type="spellEnd"/>
      <w:r w:rsidRPr="00207A79">
        <w:rPr>
          <w:bCs/>
          <w:i/>
          <w:sz w:val="20"/>
          <w:szCs w:val="20"/>
          <w:lang w:val="en-US"/>
        </w:rPr>
        <w:t xml:space="preserve"> </w:t>
      </w:r>
      <w:proofErr w:type="spellStart"/>
      <w:r w:rsidRPr="00207A79">
        <w:rPr>
          <w:bCs/>
          <w:i/>
          <w:sz w:val="20"/>
          <w:szCs w:val="20"/>
          <w:lang w:val="en-US"/>
        </w:rPr>
        <w:t>rămâne</w:t>
      </w:r>
      <w:proofErr w:type="spellEnd"/>
      <w:r w:rsidRPr="00207A79">
        <w:rPr>
          <w:bCs/>
          <w:i/>
          <w:sz w:val="20"/>
          <w:szCs w:val="20"/>
          <w:lang w:val="en-US"/>
        </w:rPr>
        <w:t xml:space="preserve"> constant, </w:t>
      </w:r>
      <w:proofErr w:type="spellStart"/>
      <w:r w:rsidRPr="00207A79">
        <w:rPr>
          <w:bCs/>
          <w:i/>
          <w:sz w:val="20"/>
          <w:szCs w:val="20"/>
          <w:lang w:val="en-US"/>
        </w:rPr>
        <w:t>atunci</w:t>
      </w:r>
      <w:proofErr w:type="spellEnd"/>
      <w:r w:rsidRPr="00207A79">
        <w:rPr>
          <w:bCs/>
          <w:i/>
          <w:sz w:val="20"/>
          <w:szCs w:val="20"/>
          <w:lang w:val="en-US"/>
        </w:rPr>
        <w:t xml:space="preserve"> </w:t>
      </w:r>
      <w:proofErr w:type="spellStart"/>
      <w:r w:rsidRPr="00207A79">
        <w:rPr>
          <w:bCs/>
          <w:i/>
          <w:sz w:val="20"/>
          <w:szCs w:val="20"/>
          <w:lang w:val="en-US"/>
        </w:rPr>
        <w:t>nivelul</w:t>
      </w:r>
      <w:proofErr w:type="spellEnd"/>
      <w:r w:rsidRPr="00207A79">
        <w:rPr>
          <w:bCs/>
          <w:i/>
          <w:sz w:val="20"/>
          <w:szCs w:val="20"/>
          <w:lang w:val="en-US"/>
        </w:rPr>
        <w:t xml:space="preserve"> </w:t>
      </w:r>
      <w:proofErr w:type="spellStart"/>
      <w:r w:rsidRPr="00207A79">
        <w:rPr>
          <w:bCs/>
          <w:i/>
          <w:sz w:val="20"/>
          <w:szCs w:val="20"/>
          <w:lang w:val="en-US"/>
        </w:rPr>
        <w:t>accizei</w:t>
      </w:r>
      <w:proofErr w:type="spellEnd"/>
      <w:r w:rsidRPr="00207A79">
        <w:rPr>
          <w:bCs/>
          <w:i/>
          <w:sz w:val="20"/>
          <w:szCs w:val="20"/>
          <w:lang w:val="en-US"/>
        </w:rPr>
        <w:t xml:space="preserve"> </w:t>
      </w:r>
      <w:proofErr w:type="spellStart"/>
      <w:proofErr w:type="gramStart"/>
      <w:r w:rsidRPr="00207A79">
        <w:rPr>
          <w:bCs/>
          <w:i/>
          <w:sz w:val="20"/>
          <w:szCs w:val="20"/>
          <w:lang w:val="en-US"/>
        </w:rPr>
        <w:t>creşte</w:t>
      </w:r>
      <w:proofErr w:type="spellEnd"/>
      <w:r w:rsidRPr="00207A79">
        <w:rPr>
          <w:bCs/>
          <w:i/>
          <w:sz w:val="20"/>
          <w:szCs w:val="20"/>
          <w:lang w:val="en-US"/>
        </w:rPr>
        <w:t xml:space="preserve">  </w:t>
      </w:r>
      <w:proofErr w:type="spellStart"/>
      <w:r w:rsidRPr="00207A79">
        <w:rPr>
          <w:bCs/>
          <w:i/>
          <w:sz w:val="20"/>
          <w:szCs w:val="20"/>
          <w:lang w:val="en-US"/>
        </w:rPr>
        <w:t>în</w:t>
      </w:r>
      <w:proofErr w:type="spellEnd"/>
      <w:proofErr w:type="gramEnd"/>
      <w:r w:rsidRPr="00207A79">
        <w:rPr>
          <w:bCs/>
          <w:i/>
          <w:sz w:val="20"/>
          <w:szCs w:val="20"/>
          <w:lang w:val="en-US"/>
        </w:rPr>
        <w:t xml:space="preserve"> </w:t>
      </w:r>
      <w:proofErr w:type="spellStart"/>
      <w:r w:rsidRPr="00207A79">
        <w:rPr>
          <w:bCs/>
          <w:i/>
          <w:sz w:val="20"/>
          <w:szCs w:val="20"/>
          <w:lang w:val="en-US"/>
        </w:rPr>
        <w:t>medie</w:t>
      </w:r>
      <w:proofErr w:type="spellEnd"/>
      <w:r w:rsidRPr="00207A79">
        <w:rPr>
          <w:bCs/>
          <w:i/>
          <w:sz w:val="20"/>
          <w:szCs w:val="20"/>
          <w:lang w:val="en-US"/>
        </w:rPr>
        <w:t xml:space="preserve"> cu 0.782 </w:t>
      </w:r>
      <w:proofErr w:type="spellStart"/>
      <w:r w:rsidRPr="00207A79">
        <w:rPr>
          <w:bCs/>
          <w:i/>
          <w:sz w:val="20"/>
          <w:szCs w:val="20"/>
          <w:lang w:val="en-US"/>
        </w:rPr>
        <w:t>unități</w:t>
      </w:r>
      <w:proofErr w:type="spellEnd"/>
      <w:r w:rsidRPr="00207A79">
        <w:rPr>
          <w:bCs/>
          <w:i/>
          <w:sz w:val="20"/>
          <w:szCs w:val="20"/>
          <w:lang w:val="en-US"/>
        </w:rPr>
        <w:t xml:space="preserve">, </w:t>
      </w:r>
      <w:proofErr w:type="spellStart"/>
      <w:r w:rsidRPr="00207A79">
        <w:rPr>
          <w:bCs/>
          <w:i/>
          <w:sz w:val="20"/>
          <w:szCs w:val="20"/>
          <w:lang w:val="en-US"/>
        </w:rPr>
        <w:t>iar</w:t>
      </w:r>
      <w:proofErr w:type="spellEnd"/>
      <w:r w:rsidRPr="00207A79">
        <w:rPr>
          <w:bCs/>
          <w:i/>
          <w:sz w:val="20"/>
          <w:szCs w:val="20"/>
          <w:lang w:val="en-US"/>
        </w:rPr>
        <w:t xml:space="preserve"> </w:t>
      </w:r>
      <w:proofErr w:type="spellStart"/>
      <w:r w:rsidRPr="00207A79">
        <w:rPr>
          <w:bCs/>
          <w:i/>
          <w:sz w:val="20"/>
          <w:szCs w:val="20"/>
          <w:lang w:val="en-US"/>
        </w:rPr>
        <w:t>daca</w:t>
      </w:r>
      <w:proofErr w:type="spellEnd"/>
      <w:r w:rsidRPr="00207A79">
        <w:rPr>
          <w:bCs/>
          <w:i/>
          <w:sz w:val="20"/>
          <w:szCs w:val="20"/>
          <w:lang w:val="en-US"/>
        </w:rPr>
        <w:t xml:space="preserve"> </w:t>
      </w:r>
      <w:proofErr w:type="spellStart"/>
      <w:r w:rsidRPr="00207A79">
        <w:rPr>
          <w:bCs/>
          <w:i/>
          <w:sz w:val="20"/>
          <w:szCs w:val="20"/>
          <w:lang w:val="en-US"/>
        </w:rPr>
        <w:t>consumul</w:t>
      </w:r>
      <w:proofErr w:type="spellEnd"/>
      <w:r w:rsidRPr="00207A79">
        <w:rPr>
          <w:bCs/>
          <w:i/>
          <w:sz w:val="20"/>
          <w:szCs w:val="20"/>
          <w:lang w:val="en-US"/>
        </w:rPr>
        <w:t xml:space="preserve"> de </w:t>
      </w:r>
      <w:proofErr w:type="spellStart"/>
      <w:r w:rsidRPr="00207A79">
        <w:rPr>
          <w:bCs/>
          <w:i/>
          <w:sz w:val="20"/>
          <w:szCs w:val="20"/>
          <w:lang w:val="en-US"/>
        </w:rPr>
        <w:t>tigari</w:t>
      </w:r>
      <w:proofErr w:type="spellEnd"/>
      <w:r w:rsidRPr="00207A79">
        <w:rPr>
          <w:bCs/>
          <w:i/>
          <w:sz w:val="20"/>
          <w:szCs w:val="20"/>
          <w:lang w:val="en-US"/>
        </w:rPr>
        <w:t xml:space="preserve"> </w:t>
      </w:r>
      <w:proofErr w:type="spellStart"/>
      <w:r w:rsidRPr="00207A79">
        <w:rPr>
          <w:bCs/>
          <w:i/>
          <w:sz w:val="20"/>
          <w:szCs w:val="20"/>
          <w:lang w:val="en-US"/>
        </w:rPr>
        <w:t>înregistrat</w:t>
      </w:r>
      <w:proofErr w:type="spellEnd"/>
      <w:r w:rsidRPr="00207A79">
        <w:rPr>
          <w:bCs/>
          <w:i/>
          <w:sz w:val="20"/>
          <w:szCs w:val="20"/>
          <w:lang w:val="en-US"/>
        </w:rPr>
        <w:t xml:space="preserve">  la </w:t>
      </w:r>
      <w:proofErr w:type="spellStart"/>
      <w:r w:rsidRPr="00207A79">
        <w:rPr>
          <w:bCs/>
          <w:i/>
          <w:sz w:val="20"/>
          <w:szCs w:val="20"/>
          <w:lang w:val="en-US"/>
        </w:rPr>
        <w:t>nivelul</w:t>
      </w:r>
      <w:proofErr w:type="spellEnd"/>
      <w:r w:rsidRPr="00207A79">
        <w:rPr>
          <w:bCs/>
          <w:i/>
          <w:sz w:val="20"/>
          <w:szCs w:val="20"/>
          <w:lang w:val="en-US"/>
        </w:rPr>
        <w:t xml:space="preserve"> </w:t>
      </w:r>
      <w:proofErr w:type="spellStart"/>
      <w:r w:rsidRPr="00207A79">
        <w:rPr>
          <w:bCs/>
          <w:i/>
          <w:sz w:val="20"/>
          <w:szCs w:val="20"/>
          <w:lang w:val="en-US"/>
        </w:rPr>
        <w:t>consumatorilor</w:t>
      </w:r>
      <w:proofErr w:type="spellEnd"/>
      <w:r w:rsidRPr="00207A79">
        <w:rPr>
          <w:bCs/>
          <w:i/>
          <w:sz w:val="20"/>
          <w:szCs w:val="20"/>
          <w:lang w:val="en-US"/>
        </w:rPr>
        <w:t xml:space="preserve"> </w:t>
      </w:r>
      <w:proofErr w:type="spellStart"/>
      <w:r w:rsidRPr="00207A79">
        <w:rPr>
          <w:bCs/>
          <w:i/>
          <w:sz w:val="20"/>
          <w:szCs w:val="20"/>
          <w:lang w:val="en-US"/>
        </w:rPr>
        <w:t>zilnici</w:t>
      </w:r>
      <w:proofErr w:type="spellEnd"/>
      <w:r w:rsidRPr="00207A79">
        <w:rPr>
          <w:bCs/>
          <w:i/>
          <w:sz w:val="20"/>
          <w:szCs w:val="20"/>
          <w:lang w:val="en-US"/>
        </w:rPr>
        <w:t xml:space="preserve"> </w:t>
      </w:r>
      <w:proofErr w:type="spellStart"/>
      <w:r w:rsidRPr="00207A79">
        <w:rPr>
          <w:bCs/>
          <w:i/>
          <w:sz w:val="20"/>
          <w:szCs w:val="20"/>
          <w:lang w:val="en-US"/>
        </w:rPr>
        <w:t>scade</w:t>
      </w:r>
      <w:proofErr w:type="spellEnd"/>
      <w:r w:rsidRPr="00207A79">
        <w:rPr>
          <w:bCs/>
          <w:i/>
          <w:sz w:val="20"/>
          <w:szCs w:val="20"/>
          <w:lang w:val="en-US"/>
        </w:rPr>
        <w:t xml:space="preserve"> cu o </w:t>
      </w:r>
      <w:proofErr w:type="spellStart"/>
      <w:r w:rsidRPr="00207A79">
        <w:rPr>
          <w:bCs/>
          <w:i/>
          <w:sz w:val="20"/>
          <w:szCs w:val="20"/>
          <w:lang w:val="en-US"/>
        </w:rPr>
        <w:t>unitate</w:t>
      </w:r>
      <w:proofErr w:type="spellEnd"/>
      <w:r w:rsidRPr="00207A79">
        <w:rPr>
          <w:bCs/>
          <w:i/>
          <w:sz w:val="20"/>
          <w:szCs w:val="20"/>
          <w:lang w:val="en-US"/>
        </w:rPr>
        <w:t xml:space="preserve">, </w:t>
      </w:r>
      <w:proofErr w:type="spellStart"/>
      <w:r w:rsidRPr="00207A79">
        <w:rPr>
          <w:bCs/>
          <w:i/>
          <w:sz w:val="20"/>
          <w:szCs w:val="20"/>
          <w:lang w:val="en-US"/>
        </w:rPr>
        <w:t>iar</w:t>
      </w:r>
      <w:proofErr w:type="spellEnd"/>
      <w:r w:rsidRPr="00207A79">
        <w:rPr>
          <w:bCs/>
          <w:i/>
          <w:sz w:val="20"/>
          <w:szCs w:val="20"/>
          <w:lang w:val="en-US"/>
        </w:rPr>
        <w:t xml:space="preserve"> </w:t>
      </w:r>
      <w:proofErr w:type="spellStart"/>
      <w:r w:rsidRPr="00207A79">
        <w:rPr>
          <w:bCs/>
          <w:i/>
          <w:sz w:val="20"/>
          <w:szCs w:val="20"/>
          <w:lang w:val="en-US"/>
        </w:rPr>
        <w:t>consumul</w:t>
      </w:r>
      <w:proofErr w:type="spellEnd"/>
      <w:r w:rsidR="000B3475" w:rsidRPr="00207A79">
        <w:rPr>
          <w:bCs/>
          <w:i/>
          <w:sz w:val="20"/>
          <w:szCs w:val="20"/>
          <w:lang w:val="en-US"/>
        </w:rPr>
        <w:t xml:space="preserve"> de </w:t>
      </w:r>
      <w:proofErr w:type="spellStart"/>
      <w:r w:rsidR="000B3475" w:rsidRPr="00207A79">
        <w:rPr>
          <w:bCs/>
          <w:i/>
          <w:sz w:val="20"/>
          <w:szCs w:val="20"/>
          <w:lang w:val="en-US"/>
        </w:rPr>
        <w:t>alcool</w:t>
      </w:r>
      <w:proofErr w:type="spellEnd"/>
      <w:r w:rsidRPr="00207A79">
        <w:rPr>
          <w:bCs/>
          <w:i/>
          <w:sz w:val="20"/>
          <w:szCs w:val="20"/>
          <w:lang w:val="en-US"/>
        </w:rPr>
        <w:t xml:space="preserve"> </w:t>
      </w:r>
      <w:proofErr w:type="spellStart"/>
      <w:r w:rsidRPr="00207A79">
        <w:rPr>
          <w:bCs/>
          <w:i/>
          <w:sz w:val="20"/>
          <w:szCs w:val="20"/>
          <w:lang w:val="en-US"/>
        </w:rPr>
        <w:t>înregistrat</w:t>
      </w:r>
      <w:proofErr w:type="spellEnd"/>
      <w:r w:rsidRPr="00207A79">
        <w:rPr>
          <w:bCs/>
          <w:i/>
          <w:sz w:val="20"/>
          <w:szCs w:val="20"/>
          <w:lang w:val="en-US"/>
        </w:rPr>
        <w:t xml:space="preserve"> pe cap de </w:t>
      </w:r>
      <w:proofErr w:type="spellStart"/>
      <w:r w:rsidRPr="00207A79">
        <w:rPr>
          <w:bCs/>
          <w:i/>
          <w:sz w:val="20"/>
          <w:szCs w:val="20"/>
          <w:lang w:val="en-US"/>
        </w:rPr>
        <w:t>locuitor</w:t>
      </w:r>
      <w:proofErr w:type="spellEnd"/>
      <w:r w:rsidRPr="00207A79">
        <w:rPr>
          <w:bCs/>
          <w:i/>
          <w:sz w:val="20"/>
          <w:szCs w:val="20"/>
          <w:lang w:val="en-US"/>
        </w:rPr>
        <w:t xml:space="preserve"> constant, </w:t>
      </w:r>
      <w:proofErr w:type="spellStart"/>
      <w:r w:rsidRPr="00207A79">
        <w:rPr>
          <w:bCs/>
          <w:i/>
          <w:sz w:val="20"/>
          <w:szCs w:val="20"/>
          <w:lang w:val="en-US"/>
        </w:rPr>
        <w:t>atunci</w:t>
      </w:r>
      <w:proofErr w:type="spellEnd"/>
      <w:r w:rsidRPr="00207A79">
        <w:rPr>
          <w:bCs/>
          <w:i/>
          <w:sz w:val="20"/>
          <w:szCs w:val="20"/>
          <w:lang w:val="en-US"/>
        </w:rPr>
        <w:t xml:space="preserve"> </w:t>
      </w:r>
      <w:proofErr w:type="spellStart"/>
      <w:r w:rsidRPr="00207A79">
        <w:rPr>
          <w:bCs/>
          <w:i/>
          <w:sz w:val="20"/>
          <w:szCs w:val="20"/>
          <w:lang w:val="en-US"/>
        </w:rPr>
        <w:t>nivelul</w:t>
      </w:r>
      <w:proofErr w:type="spellEnd"/>
      <w:r w:rsidRPr="00207A79">
        <w:rPr>
          <w:bCs/>
          <w:i/>
          <w:sz w:val="20"/>
          <w:szCs w:val="20"/>
          <w:lang w:val="en-US"/>
        </w:rPr>
        <w:t xml:space="preserve"> </w:t>
      </w:r>
      <w:proofErr w:type="spellStart"/>
      <w:r w:rsidRPr="00207A79">
        <w:rPr>
          <w:bCs/>
          <w:i/>
          <w:sz w:val="20"/>
          <w:szCs w:val="20"/>
          <w:lang w:val="en-US"/>
        </w:rPr>
        <w:t>accizei</w:t>
      </w:r>
      <w:proofErr w:type="spellEnd"/>
      <w:r w:rsidRPr="00207A79">
        <w:rPr>
          <w:bCs/>
          <w:i/>
          <w:sz w:val="20"/>
          <w:szCs w:val="20"/>
          <w:lang w:val="en-US"/>
        </w:rPr>
        <w:t xml:space="preserve"> </w:t>
      </w:r>
      <w:proofErr w:type="spellStart"/>
      <w:r w:rsidRPr="00207A79">
        <w:rPr>
          <w:bCs/>
          <w:i/>
          <w:sz w:val="20"/>
          <w:szCs w:val="20"/>
          <w:lang w:val="en-US"/>
        </w:rPr>
        <w:t>creste</w:t>
      </w:r>
      <w:proofErr w:type="spellEnd"/>
      <w:r w:rsidRPr="00207A79">
        <w:rPr>
          <w:bCs/>
          <w:i/>
          <w:sz w:val="20"/>
          <w:szCs w:val="20"/>
          <w:lang w:val="en-US"/>
        </w:rPr>
        <w:t xml:space="preserve"> </w:t>
      </w:r>
      <w:proofErr w:type="spellStart"/>
      <w:r w:rsidRPr="00207A79">
        <w:rPr>
          <w:bCs/>
          <w:i/>
          <w:sz w:val="20"/>
          <w:szCs w:val="20"/>
          <w:lang w:val="en-US"/>
        </w:rPr>
        <w:t>în</w:t>
      </w:r>
      <w:proofErr w:type="spellEnd"/>
      <w:r w:rsidRPr="00207A79">
        <w:rPr>
          <w:bCs/>
          <w:i/>
          <w:sz w:val="20"/>
          <w:szCs w:val="20"/>
          <w:lang w:val="en-US"/>
        </w:rPr>
        <w:t xml:space="preserve"> </w:t>
      </w:r>
      <w:proofErr w:type="spellStart"/>
      <w:r w:rsidRPr="00207A79">
        <w:rPr>
          <w:bCs/>
          <w:i/>
          <w:sz w:val="20"/>
          <w:szCs w:val="20"/>
          <w:lang w:val="en-US"/>
        </w:rPr>
        <w:t>medie</w:t>
      </w:r>
      <w:proofErr w:type="spellEnd"/>
      <w:r w:rsidRPr="00207A79">
        <w:rPr>
          <w:bCs/>
          <w:i/>
          <w:sz w:val="20"/>
          <w:szCs w:val="20"/>
          <w:lang w:val="en-US"/>
        </w:rPr>
        <w:t xml:space="preserve"> cu 1.638 </w:t>
      </w:r>
      <w:proofErr w:type="spellStart"/>
      <w:r w:rsidRPr="00207A79">
        <w:rPr>
          <w:bCs/>
          <w:i/>
          <w:sz w:val="20"/>
          <w:szCs w:val="20"/>
          <w:lang w:val="en-US"/>
        </w:rPr>
        <w:t>unități</w:t>
      </w:r>
      <w:proofErr w:type="spellEnd"/>
      <w:r w:rsidR="000B3475" w:rsidRPr="00207A79">
        <w:rPr>
          <w:bCs/>
          <w:i/>
          <w:sz w:val="20"/>
          <w:szCs w:val="20"/>
          <w:lang w:val="en-US"/>
        </w:rPr>
        <w:t xml:space="preserve">. Prin </w:t>
      </w:r>
      <w:proofErr w:type="spellStart"/>
      <w:r w:rsidR="000B3475" w:rsidRPr="00207A79">
        <w:rPr>
          <w:bCs/>
          <w:i/>
          <w:sz w:val="20"/>
          <w:szCs w:val="20"/>
          <w:lang w:val="en-US"/>
        </w:rPr>
        <w:t>urmare</w:t>
      </w:r>
      <w:proofErr w:type="spellEnd"/>
      <w:r w:rsidR="000B3475" w:rsidRPr="00207A79">
        <w:rPr>
          <w:bCs/>
          <w:i/>
          <w:sz w:val="20"/>
          <w:szCs w:val="20"/>
          <w:lang w:val="en-US"/>
        </w:rPr>
        <w:t xml:space="preserve">, </w:t>
      </w:r>
      <w:proofErr w:type="spellStart"/>
      <w:r w:rsidR="000B3475" w:rsidRPr="00207A79">
        <w:rPr>
          <w:bCs/>
          <w:i/>
          <w:sz w:val="20"/>
          <w:szCs w:val="20"/>
          <w:lang w:val="en-US"/>
        </w:rPr>
        <w:t>această</w:t>
      </w:r>
      <w:proofErr w:type="spellEnd"/>
      <w:r w:rsidR="000B3475" w:rsidRPr="00207A79">
        <w:rPr>
          <w:bCs/>
          <w:i/>
          <w:sz w:val="20"/>
          <w:szCs w:val="20"/>
          <w:lang w:val="en-US"/>
        </w:rPr>
        <w:t xml:space="preserve"> </w:t>
      </w:r>
      <w:proofErr w:type="spellStart"/>
      <w:r w:rsidR="000B3475" w:rsidRPr="00207A79">
        <w:rPr>
          <w:bCs/>
          <w:i/>
          <w:sz w:val="20"/>
          <w:szCs w:val="20"/>
          <w:lang w:val="en-US"/>
        </w:rPr>
        <w:t>corelație</w:t>
      </w:r>
      <w:proofErr w:type="spellEnd"/>
      <w:r w:rsidR="000B3475" w:rsidRPr="00207A79">
        <w:rPr>
          <w:bCs/>
          <w:i/>
          <w:sz w:val="20"/>
          <w:szCs w:val="20"/>
          <w:lang w:val="en-US"/>
        </w:rPr>
        <w:t xml:space="preserve"> </w:t>
      </w:r>
      <w:proofErr w:type="spellStart"/>
      <w:r w:rsidR="000B3475" w:rsidRPr="00207A79">
        <w:rPr>
          <w:bCs/>
          <w:i/>
          <w:sz w:val="20"/>
          <w:szCs w:val="20"/>
          <w:lang w:val="en-US"/>
        </w:rPr>
        <w:t>scoate</w:t>
      </w:r>
      <w:proofErr w:type="spellEnd"/>
      <w:r w:rsidR="000B3475" w:rsidRPr="00207A79">
        <w:rPr>
          <w:bCs/>
          <w:i/>
          <w:sz w:val="20"/>
          <w:szCs w:val="20"/>
          <w:lang w:val="en-US"/>
        </w:rPr>
        <w:t xml:space="preserve"> </w:t>
      </w:r>
      <w:proofErr w:type="spellStart"/>
      <w:r w:rsidR="000B3475" w:rsidRPr="00207A79">
        <w:rPr>
          <w:bCs/>
          <w:i/>
          <w:sz w:val="20"/>
          <w:szCs w:val="20"/>
          <w:lang w:val="en-US"/>
        </w:rPr>
        <w:t>în</w:t>
      </w:r>
      <w:proofErr w:type="spellEnd"/>
      <w:r w:rsidR="000B3475" w:rsidRPr="00207A79">
        <w:rPr>
          <w:bCs/>
          <w:i/>
          <w:sz w:val="20"/>
          <w:szCs w:val="20"/>
          <w:lang w:val="en-US"/>
        </w:rPr>
        <w:t xml:space="preserve"> </w:t>
      </w:r>
      <w:proofErr w:type="spellStart"/>
      <w:r w:rsidR="000B3475" w:rsidRPr="00207A79">
        <w:rPr>
          <w:bCs/>
          <w:i/>
          <w:sz w:val="20"/>
          <w:szCs w:val="20"/>
          <w:lang w:val="en-US"/>
        </w:rPr>
        <w:t>atenție</w:t>
      </w:r>
      <w:proofErr w:type="spellEnd"/>
      <w:r w:rsidR="000B3475" w:rsidRPr="00207A79">
        <w:rPr>
          <w:bCs/>
          <w:i/>
          <w:sz w:val="20"/>
          <w:szCs w:val="20"/>
          <w:lang w:val="en-US"/>
        </w:rPr>
        <w:t xml:space="preserve"> </w:t>
      </w:r>
      <w:proofErr w:type="spellStart"/>
      <w:r w:rsidR="000B3475" w:rsidRPr="00207A79">
        <w:rPr>
          <w:bCs/>
          <w:i/>
          <w:sz w:val="20"/>
          <w:szCs w:val="20"/>
          <w:lang w:val="en-US"/>
        </w:rPr>
        <w:t>consumul</w:t>
      </w:r>
      <w:proofErr w:type="spellEnd"/>
      <w:r w:rsidR="000B3475" w:rsidRPr="00207A79">
        <w:rPr>
          <w:bCs/>
          <w:i/>
          <w:sz w:val="20"/>
          <w:szCs w:val="20"/>
          <w:lang w:val="en-US"/>
        </w:rPr>
        <w:t xml:space="preserve"> ca factor de </w:t>
      </w:r>
      <w:proofErr w:type="spellStart"/>
      <w:r w:rsidR="000B3475" w:rsidRPr="00207A79">
        <w:rPr>
          <w:bCs/>
          <w:i/>
          <w:sz w:val="20"/>
          <w:szCs w:val="20"/>
          <w:lang w:val="en-US"/>
        </w:rPr>
        <w:t>generare</w:t>
      </w:r>
      <w:proofErr w:type="spellEnd"/>
      <w:r w:rsidR="000B3475" w:rsidRPr="00207A79">
        <w:rPr>
          <w:bCs/>
          <w:i/>
          <w:sz w:val="20"/>
          <w:szCs w:val="20"/>
          <w:lang w:val="en-US"/>
        </w:rPr>
        <w:t xml:space="preserve"> a </w:t>
      </w:r>
      <w:proofErr w:type="spellStart"/>
      <w:r w:rsidR="000B3475" w:rsidRPr="00207A79">
        <w:rPr>
          <w:bCs/>
          <w:i/>
          <w:sz w:val="20"/>
          <w:szCs w:val="20"/>
          <w:lang w:val="en-US"/>
        </w:rPr>
        <w:t>unor</w:t>
      </w:r>
      <w:proofErr w:type="spellEnd"/>
      <w:r w:rsidR="000B3475" w:rsidRPr="00207A79">
        <w:rPr>
          <w:bCs/>
          <w:i/>
          <w:sz w:val="20"/>
          <w:szCs w:val="20"/>
          <w:lang w:val="en-US"/>
        </w:rPr>
        <w:t xml:space="preserve"> </w:t>
      </w:r>
      <w:proofErr w:type="spellStart"/>
      <w:r w:rsidR="000B3475" w:rsidRPr="00207A79">
        <w:rPr>
          <w:bCs/>
          <w:i/>
          <w:sz w:val="20"/>
          <w:szCs w:val="20"/>
          <w:lang w:val="en-US"/>
        </w:rPr>
        <w:t>probleme</w:t>
      </w:r>
      <w:proofErr w:type="spellEnd"/>
      <w:r w:rsidR="000B3475" w:rsidRPr="00207A79">
        <w:rPr>
          <w:bCs/>
          <w:i/>
          <w:sz w:val="20"/>
          <w:szCs w:val="20"/>
          <w:lang w:val="en-US"/>
        </w:rPr>
        <w:t xml:space="preserve"> de </w:t>
      </w:r>
      <w:proofErr w:type="spellStart"/>
      <w:r w:rsidR="000B3475" w:rsidRPr="00207A79">
        <w:rPr>
          <w:bCs/>
          <w:i/>
          <w:sz w:val="20"/>
          <w:szCs w:val="20"/>
          <w:lang w:val="en-US"/>
        </w:rPr>
        <w:t>sănătate</w:t>
      </w:r>
      <w:proofErr w:type="spellEnd"/>
      <w:r w:rsidR="000B3475" w:rsidRPr="00207A79">
        <w:rPr>
          <w:bCs/>
          <w:i/>
          <w:sz w:val="20"/>
          <w:szCs w:val="20"/>
          <w:lang w:val="en-US"/>
        </w:rPr>
        <w:t xml:space="preserve"> la </w:t>
      </w:r>
      <w:proofErr w:type="spellStart"/>
      <w:r w:rsidR="000B3475" w:rsidRPr="00207A79">
        <w:rPr>
          <w:bCs/>
          <w:i/>
          <w:sz w:val="20"/>
          <w:szCs w:val="20"/>
          <w:lang w:val="en-US"/>
        </w:rPr>
        <w:t>nivel</w:t>
      </w:r>
      <w:proofErr w:type="spellEnd"/>
      <w:r w:rsidR="000B3475" w:rsidRPr="00207A79">
        <w:rPr>
          <w:bCs/>
          <w:i/>
          <w:sz w:val="20"/>
          <w:szCs w:val="20"/>
          <w:lang w:val="en-US"/>
        </w:rPr>
        <w:t xml:space="preserve"> </w:t>
      </w:r>
      <w:proofErr w:type="spellStart"/>
      <w:r w:rsidR="000B3475" w:rsidRPr="00207A79">
        <w:rPr>
          <w:bCs/>
          <w:i/>
          <w:sz w:val="20"/>
          <w:szCs w:val="20"/>
          <w:lang w:val="en-US"/>
        </w:rPr>
        <w:t>naționa</w:t>
      </w:r>
      <w:proofErr w:type="spellEnd"/>
      <w:r w:rsidR="000B3475" w:rsidRPr="00207A79">
        <w:rPr>
          <w:bCs/>
          <w:i/>
          <w:sz w:val="20"/>
          <w:szCs w:val="20"/>
          <w:lang w:val="en-US"/>
        </w:rPr>
        <w:t xml:space="preserve"> </w:t>
      </w:r>
      <w:proofErr w:type="spellStart"/>
      <w:r w:rsidR="000B3475" w:rsidRPr="00207A79">
        <w:rPr>
          <w:bCs/>
          <w:i/>
          <w:sz w:val="20"/>
          <w:szCs w:val="20"/>
          <w:lang w:val="en-US"/>
        </w:rPr>
        <w:t>si</w:t>
      </w:r>
      <w:proofErr w:type="spellEnd"/>
      <w:r w:rsidR="000B3475" w:rsidRPr="00207A79">
        <w:rPr>
          <w:bCs/>
          <w:i/>
          <w:sz w:val="20"/>
          <w:szCs w:val="20"/>
          <w:lang w:val="en-US"/>
        </w:rPr>
        <w:t xml:space="preserve"> international.</w:t>
      </w:r>
    </w:p>
    <w:p w14:paraId="72BA8869" w14:textId="77777777" w:rsidR="00F1742F" w:rsidRPr="00207A79" w:rsidRDefault="00F1742F" w:rsidP="0064307E">
      <w:pPr>
        <w:ind w:firstLine="0"/>
        <w:rPr>
          <w:i/>
          <w:sz w:val="20"/>
          <w:szCs w:val="20"/>
          <w:lang w:val="en-US"/>
        </w:rPr>
      </w:pPr>
    </w:p>
    <w:p w14:paraId="79101369" w14:textId="7136432A" w:rsidR="0064307E" w:rsidRPr="00207A79" w:rsidRDefault="0064307E" w:rsidP="000B1AF7">
      <w:pPr>
        <w:ind w:firstLine="708"/>
        <w:rPr>
          <w:sz w:val="20"/>
          <w:szCs w:val="20"/>
          <w:lang w:val="en-US"/>
        </w:rPr>
      </w:pPr>
      <w:r w:rsidRPr="00207A79">
        <w:rPr>
          <w:b/>
          <w:sz w:val="20"/>
          <w:szCs w:val="20"/>
          <w:lang w:val="en-US"/>
        </w:rPr>
        <w:t>Keywords</w:t>
      </w:r>
      <w:r w:rsidRPr="00207A79">
        <w:rPr>
          <w:sz w:val="20"/>
          <w:szCs w:val="20"/>
          <w:lang w:val="en-US"/>
        </w:rPr>
        <w:t>:</w:t>
      </w:r>
      <w:r w:rsidRPr="00207A79">
        <w:rPr>
          <w:b/>
          <w:sz w:val="20"/>
          <w:szCs w:val="20"/>
          <w:lang w:val="en-US"/>
        </w:rPr>
        <w:t xml:space="preserve"> </w:t>
      </w:r>
      <w:r w:rsidR="00CD12D5" w:rsidRPr="00207A79">
        <w:rPr>
          <w:bCs/>
          <w:sz w:val="20"/>
          <w:szCs w:val="20"/>
          <w:lang w:val="en-US"/>
        </w:rPr>
        <w:t>excise duties</w:t>
      </w:r>
      <w:r w:rsidR="000B3475" w:rsidRPr="00207A79">
        <w:rPr>
          <w:bCs/>
          <w:sz w:val="20"/>
          <w:szCs w:val="20"/>
          <w:lang w:val="en-US"/>
        </w:rPr>
        <w:t>, products harmful to health, econometric model</w:t>
      </w:r>
      <w:r w:rsidRPr="00207A79">
        <w:rPr>
          <w:bCs/>
          <w:sz w:val="20"/>
          <w:szCs w:val="20"/>
          <w:lang w:val="en-US"/>
        </w:rPr>
        <w:t xml:space="preserve">, </w:t>
      </w:r>
      <w:r w:rsidR="000F4386" w:rsidRPr="00207A79">
        <w:rPr>
          <w:bCs/>
          <w:sz w:val="20"/>
          <w:szCs w:val="20"/>
          <w:lang w:val="en-US"/>
        </w:rPr>
        <w:t>regression</w:t>
      </w:r>
      <w:r w:rsidRPr="00207A79">
        <w:rPr>
          <w:bCs/>
          <w:sz w:val="20"/>
          <w:szCs w:val="20"/>
          <w:lang w:val="en-US"/>
        </w:rPr>
        <w:t xml:space="preserve"> analysis</w:t>
      </w:r>
    </w:p>
    <w:p w14:paraId="78C5994E" w14:textId="77777777" w:rsidR="008A46A0" w:rsidRPr="00207A79" w:rsidRDefault="008A46A0" w:rsidP="0064307E">
      <w:pPr>
        <w:ind w:firstLine="0"/>
        <w:rPr>
          <w:sz w:val="20"/>
          <w:szCs w:val="20"/>
          <w:lang w:val="en-US"/>
        </w:rPr>
      </w:pPr>
    </w:p>
    <w:p w14:paraId="4F973068" w14:textId="2597D13C" w:rsidR="0064307E" w:rsidRPr="00207A79" w:rsidRDefault="008A46A0" w:rsidP="000B1AF7">
      <w:pPr>
        <w:ind w:firstLine="708"/>
        <w:rPr>
          <w:sz w:val="20"/>
          <w:szCs w:val="20"/>
          <w:lang w:val="en-US"/>
        </w:rPr>
      </w:pPr>
      <w:r w:rsidRPr="00207A79">
        <w:rPr>
          <w:b/>
          <w:sz w:val="20"/>
          <w:szCs w:val="20"/>
          <w:lang w:val="en-US"/>
        </w:rPr>
        <w:t xml:space="preserve">JEL classification: </w:t>
      </w:r>
      <w:r w:rsidR="00207A79" w:rsidRPr="00207A79">
        <w:rPr>
          <w:bCs/>
          <w:sz w:val="20"/>
          <w:szCs w:val="20"/>
          <w:lang w:val="en-US"/>
        </w:rPr>
        <w:t>H2, O2</w:t>
      </w:r>
    </w:p>
    <w:p w14:paraId="7628F559" w14:textId="77777777" w:rsidR="00165284" w:rsidRPr="00207A79" w:rsidRDefault="00165284" w:rsidP="000B1AF7">
      <w:pPr>
        <w:ind w:firstLine="708"/>
        <w:rPr>
          <w:sz w:val="20"/>
          <w:szCs w:val="20"/>
          <w:lang w:val="en-US"/>
        </w:rPr>
      </w:pPr>
    </w:p>
    <w:p w14:paraId="1C5942EE" w14:textId="77777777" w:rsidR="00165284" w:rsidRPr="00207A79" w:rsidRDefault="00165284" w:rsidP="000B1AF7">
      <w:pPr>
        <w:ind w:firstLine="708"/>
        <w:rPr>
          <w:sz w:val="20"/>
          <w:szCs w:val="20"/>
          <w:lang w:val="en-US"/>
        </w:rPr>
      </w:pPr>
    </w:p>
    <w:p w14:paraId="27697802" w14:textId="77777777" w:rsidR="008A46A0" w:rsidRPr="00207A79" w:rsidRDefault="008A46A0" w:rsidP="00A768AE">
      <w:pPr>
        <w:pStyle w:val="Heading4"/>
        <w:numPr>
          <w:ilvl w:val="0"/>
          <w:numId w:val="7"/>
        </w:numPr>
        <w:shd w:val="clear" w:color="auto" w:fill="FFFFFF"/>
        <w:tabs>
          <w:tab w:val="clear" w:pos="1636"/>
          <w:tab w:val="left" w:pos="993"/>
        </w:tabs>
        <w:ind w:left="284" w:firstLine="425"/>
        <w:rPr>
          <w:b/>
          <w:lang w:val="en-US"/>
        </w:rPr>
      </w:pPr>
      <w:r w:rsidRPr="00207A79">
        <w:rPr>
          <w:b/>
          <w:lang w:val="en-US"/>
        </w:rPr>
        <w:t>INTRODUCTION</w:t>
      </w:r>
    </w:p>
    <w:p w14:paraId="142DAC83" w14:textId="77777777" w:rsidR="000F4386" w:rsidRPr="00207A79" w:rsidRDefault="000F4386" w:rsidP="00156A61">
      <w:pPr>
        <w:pStyle w:val="ListParagraph"/>
        <w:ind w:left="0" w:firstLine="0"/>
        <w:rPr>
          <w:rFonts w:eastAsia="Times New Roman"/>
          <w:sz w:val="20"/>
          <w:szCs w:val="20"/>
          <w:lang w:val="en-US"/>
        </w:rPr>
      </w:pPr>
    </w:p>
    <w:p w14:paraId="2976D6D4" w14:textId="2412D6A3" w:rsidR="000B3475" w:rsidRPr="00207A79" w:rsidRDefault="000B3475" w:rsidP="000B3475">
      <w:pPr>
        <w:ind w:firstLine="567"/>
      </w:pPr>
      <w:r w:rsidRPr="00207A79">
        <w:t>Impunerea taxelor de consum asupra bunurilor și serviciilor specifice nu este doar o practică veche, ci și una considerată sau asociată ca fiind una cu impact asupra componentelor socio-economice și de mediu. Despre accize se poate spune că contribuie la finanțarea guvernamentală și poate fi integrată în atingerea altor obiective sociale importante, în special reducerea externalităților prin scumpirea bunurilor impozitate. Avantajele prezentate de accize în sensul materializării unor obiective de ordin social, economic sau de mediu, fac această practică o opțiune atractivă</w:t>
      </w:r>
      <w:r w:rsidR="008C4E79" w:rsidRPr="00207A79">
        <w:t xml:space="preserve"> (Hájek si colab., 2021). </w:t>
      </w:r>
    </w:p>
    <w:p w14:paraId="4F1C50A4" w14:textId="51DCB26B" w:rsidR="000B3475" w:rsidRPr="00207A79" w:rsidRDefault="000B3475" w:rsidP="000B3475">
      <w:pPr>
        <w:ind w:firstLine="567"/>
      </w:pPr>
      <w:r w:rsidRPr="00207A79">
        <w:t>Putem spune că accizele ne permit să reducem activitățile considerate social nedorite, cum ar fi poluarea mediului, creșterea consumului de tutun, ca factor de poluare și care afectează starea de sănătate a populației, creșterea consumului de alcool și droguri ca practici negative cu impact major asupra calității sănătății, jocurile de noroc și impactul acestora asupra sănătății mintale a populației și a bunăstătii familiilor sau alte aspecte cu impact asupra mediului cum ar fi creșterea numărului de mijloace de transport și aglomerația rutieră</w:t>
      </w:r>
      <w:r w:rsidR="00B77CC7" w:rsidRPr="00207A79">
        <w:t xml:space="preserve"> (Best si colab. 2020). </w:t>
      </w:r>
    </w:p>
    <w:p w14:paraId="26558A13" w14:textId="77777777" w:rsidR="007932AA" w:rsidRPr="00207A79" w:rsidRDefault="007932AA" w:rsidP="000F4386">
      <w:pPr>
        <w:pStyle w:val="ListParagraph"/>
        <w:ind w:left="0" w:firstLine="0"/>
        <w:rPr>
          <w:rFonts w:eastAsia="Times New Roman"/>
          <w:sz w:val="20"/>
          <w:szCs w:val="20"/>
        </w:rPr>
      </w:pPr>
    </w:p>
    <w:p w14:paraId="78173E0C" w14:textId="47A83571" w:rsidR="00026A9A" w:rsidRPr="00207A79" w:rsidRDefault="005112B8" w:rsidP="00026A9A">
      <w:pPr>
        <w:pStyle w:val="Heading4"/>
        <w:numPr>
          <w:ilvl w:val="0"/>
          <w:numId w:val="7"/>
        </w:numPr>
        <w:shd w:val="clear" w:color="auto" w:fill="FFFFFF"/>
        <w:tabs>
          <w:tab w:val="left" w:pos="567"/>
          <w:tab w:val="left" w:pos="709"/>
          <w:tab w:val="left" w:pos="851"/>
          <w:tab w:val="left" w:pos="993"/>
        </w:tabs>
        <w:rPr>
          <w:b/>
          <w:lang w:val="en-US"/>
        </w:rPr>
      </w:pPr>
      <w:r w:rsidRPr="00207A79">
        <w:rPr>
          <w:b/>
          <w:lang w:val="en-US"/>
        </w:rPr>
        <w:t>LITERATURE REVIEW</w:t>
      </w:r>
      <w:r w:rsidR="00026A9A" w:rsidRPr="00207A79">
        <w:rPr>
          <w:b/>
          <w:lang w:val="en-US"/>
        </w:rPr>
        <w:t xml:space="preserve"> AND DEFINITION OF WORKING HYPOTHESES </w:t>
      </w:r>
    </w:p>
    <w:p w14:paraId="768E7A25" w14:textId="77777777" w:rsidR="00335BC6" w:rsidRPr="00207A79" w:rsidRDefault="00335BC6" w:rsidP="00335BC6">
      <w:pPr>
        <w:rPr>
          <w:lang w:val="en-US"/>
        </w:rPr>
      </w:pPr>
    </w:p>
    <w:p w14:paraId="3D748397" w14:textId="2C166AD3" w:rsidR="000B3475" w:rsidRPr="00207A79" w:rsidRDefault="000B3475" w:rsidP="000B3475">
      <w:pPr>
        <w:ind w:firstLine="567"/>
      </w:pPr>
      <w:r w:rsidRPr="00207A79">
        <w:t>Predicția teoretică privind efectul indus de prețul relativ funcționează și este susținută de dovezi empirice multiple. Teoria economică extinsă a impozitării aplicată accizelor produce perspective importante care sunt departe de a fi banale. Dar această teorie se concentrează doar pe un număr limitat de aspecte considerate în mod tradițional cu impact asupra aspectelor economice, astfel, unele componente la fel de importante tind să fie ignorate</w:t>
      </w:r>
      <w:r w:rsidR="008C4E79" w:rsidRPr="00207A79">
        <w:t xml:space="preserve"> (Aklilu, (2020).</w:t>
      </w:r>
      <w:r w:rsidRPr="00207A79">
        <w:t xml:space="preserve"> Desigur, în literatura de specialitate, identificăm surse bibliografice care au documentat subiectul accizelor și au constatat că în anumite circumstanțe și condiții identificabile, aplicarea accizelor poate duce la rezultate nedorite și chiar contraproductive. Însă aceste studii nu contestă și partea bună a accizelor, însă sugerează ca avantajele și dezavantajele relative ale accizelor să fie evaluate cu atenție prin raportarea și la alte metode de impozitare și a politicilor economice și sociale în general.</w:t>
      </w:r>
    </w:p>
    <w:p w14:paraId="39E8FFA3" w14:textId="21E98AC5" w:rsidR="000B3475" w:rsidRPr="00207A79" w:rsidRDefault="000B3475" w:rsidP="000B3475">
      <w:pPr>
        <w:ind w:firstLine="567"/>
      </w:pPr>
      <w:r w:rsidRPr="00207A79">
        <w:t>Revizuind studiile de specialitate constatăm că despre accize se spune că o perioadă lungă de timp au fost tratate ca fiind copiii vitregi ai politicii fiscale. În acest sens putem menționa cazul țărilor puritane anglo-saxone, unde percepția asupra accizelor era asociată cu o taxă pe care o achită consumatorii anumitor produse, fiind asociată cu o pedeapsă a oamenilor pentru vicii precum fumatul și băutura</w:t>
      </w:r>
      <w:r w:rsidR="00B77CC7" w:rsidRPr="00207A79">
        <w:t xml:space="preserve"> (Papageorgiou si colab., 2021). </w:t>
      </w:r>
      <w:r w:rsidRPr="00207A79">
        <w:t xml:space="preserve">În ultimele decenii, totuși, accizele au ieșit în prim-plan, în </w:t>
      </w:r>
      <w:r w:rsidRPr="00207A79">
        <w:lastRenderedPageBreak/>
        <w:t>special în economiile dezvoltate, ca instrumente adecvate pentru corectarea deficiențelor pieței, dar și de control a consumului pentru anumite produse sau servicii considerate mai puțin benefice. În aceste economii, prin impunerea accizelor care țin cont de costul social sau extern de producție și consum, producătorii și consumatorii se raportează la prețul real al produsului sau serviciului pe care îl produc sau îl cumpără</w:t>
      </w:r>
      <w:r w:rsidR="00B77CC7" w:rsidRPr="00207A79">
        <w:t xml:space="preserve"> (Horáková si colab., 2020). </w:t>
      </w:r>
    </w:p>
    <w:p w14:paraId="23806534" w14:textId="08F2922B" w:rsidR="008C4E79" w:rsidRPr="00207A79" w:rsidRDefault="008C4E79" w:rsidP="008C4E79">
      <w:pPr>
        <w:autoSpaceDE w:val="0"/>
        <w:autoSpaceDN w:val="0"/>
        <w:adjustRightInd w:val="0"/>
        <w:ind w:firstLine="567"/>
        <w:rPr>
          <w:bCs/>
          <w:szCs w:val="18"/>
        </w:rPr>
      </w:pPr>
      <w:r w:rsidRPr="00207A79">
        <w:rPr>
          <w:bCs/>
          <w:szCs w:val="18"/>
        </w:rPr>
        <w:t>Majoritatea guvernelor impun accize pe produsele din tutun în principal pentru a obține un venit, deși unele guverne au crescut recent accizele pentru a descuraja consumul de tutun și pentru a promova sănătatea publică. Impozitarea agresivă a viciilor a fost explicată din ipoteză că un schimb voluntar între două persoane poate avea efecte negative asupra unui terţ. Prin urmare, scopul legitim al guvernării este de a forța indivizii să suporte costul integral al deciziilor lor prin impozite și reglementări „pentru a corecta erorile de piață”</w:t>
      </w:r>
      <w:r w:rsidR="00656B8D" w:rsidRPr="00207A79">
        <w:rPr>
          <w:bCs/>
          <w:szCs w:val="18"/>
        </w:rPr>
        <w:t xml:space="preserve"> (Sepulveda, 2023). </w:t>
      </w:r>
    </w:p>
    <w:p w14:paraId="034D478E" w14:textId="5AF6F27C" w:rsidR="008C4E79" w:rsidRPr="00207A79" w:rsidRDefault="008C4E79" w:rsidP="008C4E79">
      <w:pPr>
        <w:autoSpaceDE w:val="0"/>
        <w:autoSpaceDN w:val="0"/>
        <w:adjustRightInd w:val="0"/>
        <w:ind w:firstLine="567"/>
        <w:rPr>
          <w:bCs/>
          <w:szCs w:val="18"/>
        </w:rPr>
      </w:pPr>
      <w:r w:rsidRPr="00207A79">
        <w:rPr>
          <w:bCs/>
          <w:szCs w:val="18"/>
        </w:rPr>
        <w:t xml:space="preserve">La nivelul Uniunii Europene identificăm așa-numita zonă euro formată din 17 țări cu o politică monetară comună coordonată de Banca Centrală Europeană, care folosește euro ca monedă unică și unde politicile macroeconomice sunt relativ autonome. Cele 27 de politici fiscale au fost armonizate de acquis-ul comunitar pentru a îndeplini cele patru libertăți fundamentale consacrate în Tratatul UE: libera circulație a mărfurilor, persoanelor, serviciilor și capitalurilor. Un astfel de tratament se aplică în mod egal tuturor țărilor, indiferent de categoria de impozitare (directă sau indirectă). </w:t>
      </w:r>
    </w:p>
    <w:p w14:paraId="7AB64DB7" w14:textId="77777777" w:rsidR="008C4E79" w:rsidRPr="00207A79" w:rsidRDefault="008C4E79" w:rsidP="008C4E79">
      <w:pPr>
        <w:autoSpaceDE w:val="0"/>
        <w:autoSpaceDN w:val="0"/>
        <w:adjustRightInd w:val="0"/>
        <w:ind w:firstLine="567"/>
        <w:rPr>
          <w:bCs/>
          <w:szCs w:val="18"/>
        </w:rPr>
      </w:pPr>
      <w:r w:rsidRPr="00207A79">
        <w:rPr>
          <w:bCs/>
          <w:szCs w:val="18"/>
        </w:rPr>
        <w:t>În România, procesul de armonizare a accizelor a început să aibă efecte asupra pieței economice din 2007, atunci când țara noastră a aderat la Uniunea Europeană și ca urmare a acestui nou statut de membră a UE și țara noastră a trebuit să se alinieze regulilor ca și celelalte țări din Uniune. Însă această perioadă a fost una care a corespuns cu începutul crizei economicei, iar situația în sine nu a fost favorabilă procesului de armonizare a accizelor, iar o îmbunătățire a situației a fost observată abia după anul 2012, când România și alte țări europene au început să transmită unele semne pozitive privind redresare după criză.</w:t>
      </w:r>
    </w:p>
    <w:p w14:paraId="3ED05BDE" w14:textId="059BD435" w:rsidR="008C4E79" w:rsidRPr="00207A79" w:rsidRDefault="008C4E79" w:rsidP="008C4E79">
      <w:pPr>
        <w:autoSpaceDE w:val="0"/>
        <w:autoSpaceDN w:val="0"/>
        <w:adjustRightInd w:val="0"/>
        <w:ind w:firstLine="567"/>
        <w:rPr>
          <w:bCs/>
          <w:szCs w:val="18"/>
        </w:rPr>
      </w:pPr>
      <w:r w:rsidRPr="00207A79">
        <w:rPr>
          <w:bCs/>
          <w:szCs w:val="18"/>
        </w:rPr>
        <w:t xml:space="preserve">Este evident că după 2007, când România a devenit membră a Uniunii Europene, iar în acest context sistemul său fiscal suferise schimbări substanțiale, iar țara noastră a trebuit să dezvolte mecanismele care să eficientizeze instrumentele utilizate pentru colectarea veniturilor bugetare. </w:t>
      </w:r>
    </w:p>
    <w:p w14:paraId="0D5831E9" w14:textId="5A612D30" w:rsidR="000B3475" w:rsidRPr="00207A79" w:rsidRDefault="008C4E79" w:rsidP="008C4E79">
      <w:pPr>
        <w:pStyle w:val="ListParagraph"/>
        <w:tabs>
          <w:tab w:val="left" w:pos="567"/>
        </w:tabs>
        <w:ind w:left="0"/>
        <w:rPr>
          <w:bCs/>
          <w:szCs w:val="18"/>
        </w:rPr>
      </w:pPr>
      <w:r w:rsidRPr="00207A79">
        <w:rPr>
          <w:bCs/>
          <w:szCs w:val="18"/>
        </w:rPr>
        <w:t>Schimbările în colectarea accizelor au cunoscut o dinamică evidență și probabil vor continua să se producă până când România va ajunge să aibă o politică fiscală optimă care să aducă suficiente venituri bugetare și să încurajeze întreprinderile să producă bunuri pentru consum optim într-o economie de piață.</w:t>
      </w:r>
    </w:p>
    <w:p w14:paraId="45205852" w14:textId="77777777" w:rsidR="00026A9A" w:rsidRPr="00207A79" w:rsidRDefault="00026A9A" w:rsidP="00026A9A">
      <w:pPr>
        <w:ind w:firstLine="567"/>
      </w:pPr>
      <w:r w:rsidRPr="00207A79">
        <w:t xml:space="preserve">Ne-am propus în acest context să evidențiem corelația dintre nivelul accizelor practicate pentru două dintre categoriile de produse considerate cu risc crescut în raport cu sănătatea umană și anume produsele alcoolice și țigările. </w:t>
      </w:r>
    </w:p>
    <w:p w14:paraId="04E90959" w14:textId="77777777" w:rsidR="00026A9A" w:rsidRPr="00207A79" w:rsidRDefault="00026A9A" w:rsidP="00026A9A">
      <w:pPr>
        <w:ind w:firstLine="567"/>
      </w:pPr>
      <w:r w:rsidRPr="00207A79">
        <w:t>Corelația o vom determina în baza unui model econometric care are ca variabilă dependentă nivelul accizei, iar variabilele independente sunt consumurile de alcool și respeciv țigări, iar ipotezele de la care pornim sunt:</w:t>
      </w:r>
    </w:p>
    <w:p w14:paraId="7B1860B6" w14:textId="77777777" w:rsidR="00026A9A" w:rsidRPr="00207A79" w:rsidRDefault="00026A9A" w:rsidP="00026A9A">
      <w:pPr>
        <w:ind w:firstLine="567"/>
      </w:pPr>
      <w:r w:rsidRPr="00207A79">
        <w:t>H</w:t>
      </w:r>
      <w:r w:rsidRPr="00207A79">
        <w:rPr>
          <w:vertAlign w:val="subscript"/>
        </w:rPr>
        <w:t>0</w:t>
      </w:r>
      <w:r w:rsidRPr="00207A79">
        <w:t>: Nivelul accizei pentru băuturile alcoolice și țigări este influențat semnificativ de consumul acestora.</w:t>
      </w:r>
    </w:p>
    <w:p w14:paraId="71432DF6" w14:textId="77777777" w:rsidR="00026A9A" w:rsidRPr="00207A79" w:rsidRDefault="00026A9A" w:rsidP="00026A9A">
      <w:pPr>
        <w:ind w:firstLine="567"/>
      </w:pPr>
      <w:r w:rsidRPr="00207A79">
        <w:t>H</w:t>
      </w:r>
      <w:r w:rsidRPr="00207A79">
        <w:rPr>
          <w:vertAlign w:val="subscript"/>
        </w:rPr>
        <w:t>1</w:t>
      </w:r>
      <w:r w:rsidRPr="00207A79">
        <w:t>: Nivelul accizei pentru băuturile alcoolice și țigări nu este influențat semnificativ de consumul acestora.</w:t>
      </w:r>
    </w:p>
    <w:p w14:paraId="6144A4CD" w14:textId="77777777" w:rsidR="00784061" w:rsidRPr="00207A79" w:rsidRDefault="00784061" w:rsidP="00156A61">
      <w:pPr>
        <w:ind w:firstLine="0"/>
        <w:rPr>
          <w:b/>
          <w:lang w:val="en-US"/>
        </w:rPr>
      </w:pPr>
    </w:p>
    <w:p w14:paraId="2173499B" w14:textId="7D7D344F" w:rsidR="006024C8" w:rsidRPr="00207A79" w:rsidRDefault="00CD12D5" w:rsidP="00A8014F">
      <w:pPr>
        <w:pStyle w:val="Heading4"/>
        <w:numPr>
          <w:ilvl w:val="0"/>
          <w:numId w:val="7"/>
        </w:numPr>
        <w:shd w:val="clear" w:color="auto" w:fill="FFFFFF"/>
        <w:tabs>
          <w:tab w:val="clear" w:pos="1636"/>
          <w:tab w:val="left" w:pos="993"/>
        </w:tabs>
        <w:ind w:left="284" w:firstLine="425"/>
        <w:rPr>
          <w:b/>
        </w:rPr>
      </w:pPr>
      <w:r w:rsidRPr="00207A79">
        <w:rPr>
          <w:b/>
        </w:rPr>
        <w:t>RESEARCH METHODOLOGY</w:t>
      </w:r>
    </w:p>
    <w:p w14:paraId="025A1244" w14:textId="547B7153" w:rsidR="00CD12D5" w:rsidRPr="00207A79" w:rsidRDefault="00CD12D5" w:rsidP="00CD12D5">
      <w:pPr>
        <w:rPr>
          <w:szCs w:val="16"/>
        </w:rPr>
      </w:pPr>
      <w:r w:rsidRPr="00207A79">
        <w:rPr>
          <w:szCs w:val="16"/>
        </w:rPr>
        <w:t>Metodologia cercetarii inglobeaza atat o cercetare de tip calitativ, cat si una de tip cantitativ.</w:t>
      </w:r>
    </w:p>
    <w:p w14:paraId="50AA6D92" w14:textId="77777777" w:rsidR="00026A9A" w:rsidRPr="00207A79" w:rsidRDefault="00CD12D5" w:rsidP="00CD12D5">
      <w:pPr>
        <w:ind w:firstLine="708"/>
        <w:rPr>
          <w:szCs w:val="16"/>
        </w:rPr>
      </w:pPr>
      <w:r w:rsidRPr="00207A79">
        <w:rPr>
          <w:szCs w:val="16"/>
        </w:rPr>
        <w:t xml:space="preserve">Astfel, in prima parte a lucrarii, a fost analizata literatura de specialitate pe topicul studiat, pentru a realiza un stadiu actual al cunoasterii si pentru a fundamenta ipotezele de cercetare testate in a doua parte a lucrarii, cea dedicata cercetarii cantitative. </w:t>
      </w:r>
    </w:p>
    <w:p w14:paraId="4C7EB52A" w14:textId="58FD61A3" w:rsidR="00CD12D5" w:rsidRPr="00207A79" w:rsidRDefault="00026A9A" w:rsidP="00CD12D5">
      <w:pPr>
        <w:ind w:firstLine="708"/>
        <w:rPr>
          <w:lang w:val="en-US"/>
        </w:rPr>
      </w:pPr>
      <w:r w:rsidRPr="00207A79">
        <w:rPr>
          <w:szCs w:val="16"/>
        </w:rPr>
        <w:t>Asadar</w:t>
      </w:r>
      <w:r w:rsidR="00CD12D5" w:rsidRPr="00207A79">
        <w:rPr>
          <w:szCs w:val="16"/>
        </w:rPr>
        <w:t xml:space="preserve">, in partea a doua a lucrarii, cercetarea a vizat o analiza econometrica a </w:t>
      </w:r>
      <w:proofErr w:type="spellStart"/>
      <w:r w:rsidR="00CD12D5" w:rsidRPr="00207A79">
        <w:rPr>
          <w:lang w:val="en-US"/>
        </w:rPr>
        <w:t>corelatiei</w:t>
      </w:r>
      <w:proofErr w:type="spellEnd"/>
      <w:r w:rsidR="00CD12D5" w:rsidRPr="00207A79">
        <w:rPr>
          <w:lang w:val="en-US"/>
        </w:rPr>
        <w:t xml:space="preserve"> </w:t>
      </w:r>
      <w:proofErr w:type="spellStart"/>
      <w:r w:rsidR="00CD12D5" w:rsidRPr="00207A79">
        <w:rPr>
          <w:lang w:val="en-US"/>
        </w:rPr>
        <w:t>dintre</w:t>
      </w:r>
      <w:proofErr w:type="spellEnd"/>
      <w:r w:rsidR="00CD12D5" w:rsidRPr="00207A79">
        <w:rPr>
          <w:lang w:val="en-US"/>
        </w:rPr>
        <w:t xml:space="preserve"> </w:t>
      </w:r>
      <w:proofErr w:type="spellStart"/>
      <w:r w:rsidRPr="00207A79">
        <w:rPr>
          <w:lang w:val="en-US"/>
        </w:rPr>
        <w:t>nivelul</w:t>
      </w:r>
      <w:proofErr w:type="spellEnd"/>
      <w:r w:rsidRPr="00207A79">
        <w:rPr>
          <w:lang w:val="en-US"/>
        </w:rPr>
        <w:t xml:space="preserve"> </w:t>
      </w:r>
      <w:proofErr w:type="spellStart"/>
      <w:r w:rsidR="00CD12D5" w:rsidRPr="00207A79">
        <w:rPr>
          <w:lang w:val="en-US"/>
        </w:rPr>
        <w:t>accize</w:t>
      </w:r>
      <w:r w:rsidRPr="00207A79">
        <w:rPr>
          <w:lang w:val="en-US"/>
        </w:rPr>
        <w:t>lor</w:t>
      </w:r>
      <w:proofErr w:type="spellEnd"/>
      <w:r w:rsidR="00CD12D5" w:rsidRPr="00207A79">
        <w:rPr>
          <w:lang w:val="en-US"/>
        </w:rPr>
        <w:t xml:space="preserve"> </w:t>
      </w:r>
      <w:proofErr w:type="spellStart"/>
      <w:r w:rsidR="00CD12D5" w:rsidRPr="00207A79">
        <w:rPr>
          <w:lang w:val="en-US"/>
        </w:rPr>
        <w:t>si</w:t>
      </w:r>
      <w:proofErr w:type="spellEnd"/>
      <w:r w:rsidR="00CD12D5" w:rsidRPr="00207A79">
        <w:rPr>
          <w:lang w:val="en-US"/>
        </w:rPr>
        <w:t xml:space="preserve"> </w:t>
      </w:r>
      <w:proofErr w:type="spellStart"/>
      <w:r w:rsidR="00CD12D5" w:rsidRPr="00207A79">
        <w:rPr>
          <w:lang w:val="en-US"/>
        </w:rPr>
        <w:t>consum</w:t>
      </w:r>
      <w:proofErr w:type="spellEnd"/>
      <w:r w:rsidR="00CD12D5" w:rsidRPr="00207A79">
        <w:rPr>
          <w:lang w:val="en-US"/>
        </w:rPr>
        <w:t xml:space="preserve"> la </w:t>
      </w:r>
      <w:proofErr w:type="spellStart"/>
      <w:r w:rsidR="00CD12D5" w:rsidRPr="00207A79">
        <w:rPr>
          <w:lang w:val="en-US"/>
        </w:rPr>
        <w:t>nivelul</w:t>
      </w:r>
      <w:proofErr w:type="spellEnd"/>
      <w:r w:rsidR="00CD12D5" w:rsidRPr="00207A79">
        <w:rPr>
          <w:lang w:val="en-US"/>
        </w:rPr>
        <w:t xml:space="preserve"> </w:t>
      </w:r>
      <w:proofErr w:type="spellStart"/>
      <w:r w:rsidR="00CD12D5" w:rsidRPr="00207A79">
        <w:rPr>
          <w:lang w:val="en-US"/>
        </w:rPr>
        <w:t>U</w:t>
      </w:r>
      <w:r w:rsidRPr="00207A79">
        <w:rPr>
          <w:lang w:val="en-US"/>
        </w:rPr>
        <w:t>niunii</w:t>
      </w:r>
      <w:proofErr w:type="spellEnd"/>
      <w:r w:rsidRPr="00207A79">
        <w:rPr>
          <w:lang w:val="en-US"/>
        </w:rPr>
        <w:t xml:space="preserve"> </w:t>
      </w:r>
      <w:proofErr w:type="spellStart"/>
      <w:r w:rsidR="00CD12D5" w:rsidRPr="00207A79">
        <w:rPr>
          <w:lang w:val="en-US"/>
        </w:rPr>
        <w:t>E</w:t>
      </w:r>
      <w:r w:rsidRPr="00207A79">
        <w:rPr>
          <w:lang w:val="en-US"/>
        </w:rPr>
        <w:t>uropene</w:t>
      </w:r>
      <w:proofErr w:type="spellEnd"/>
      <w:r w:rsidR="00CD12D5" w:rsidRPr="00207A79">
        <w:rPr>
          <w:lang w:val="en-US"/>
        </w:rPr>
        <w:t xml:space="preserve"> </w:t>
      </w:r>
      <w:proofErr w:type="spellStart"/>
      <w:r w:rsidR="00CD12D5" w:rsidRPr="00207A79">
        <w:rPr>
          <w:lang w:val="en-US"/>
        </w:rPr>
        <w:t>si</w:t>
      </w:r>
      <w:proofErr w:type="spellEnd"/>
      <w:r w:rsidR="00CD12D5" w:rsidRPr="00207A79">
        <w:rPr>
          <w:lang w:val="en-US"/>
        </w:rPr>
        <w:t xml:space="preserve"> al </w:t>
      </w:r>
      <w:proofErr w:type="spellStart"/>
      <w:r w:rsidR="00CD12D5" w:rsidRPr="00207A79">
        <w:rPr>
          <w:lang w:val="en-US"/>
        </w:rPr>
        <w:t>Romaniei</w:t>
      </w:r>
      <w:proofErr w:type="spellEnd"/>
      <w:r w:rsidR="00CD12D5" w:rsidRPr="00207A79">
        <w:rPr>
          <w:lang w:val="en-US"/>
        </w:rPr>
        <w:t>.</w:t>
      </w:r>
    </w:p>
    <w:p w14:paraId="09A4BFEC" w14:textId="33F8E63F" w:rsidR="00CD12D5" w:rsidRPr="00207A79" w:rsidRDefault="00CD12D5" w:rsidP="00CD12D5"/>
    <w:p w14:paraId="5071442E" w14:textId="77777777" w:rsidR="00CD12D5" w:rsidRPr="00207A79" w:rsidRDefault="00CD12D5" w:rsidP="00CD12D5"/>
    <w:p w14:paraId="52C26FF1" w14:textId="5DF76DCE" w:rsidR="00026A9A" w:rsidRPr="00207A79" w:rsidRDefault="00026A9A" w:rsidP="00026A9A">
      <w:pPr>
        <w:pStyle w:val="Heading4"/>
        <w:numPr>
          <w:ilvl w:val="0"/>
          <w:numId w:val="7"/>
        </w:numPr>
        <w:shd w:val="clear" w:color="auto" w:fill="FFFFFF"/>
        <w:tabs>
          <w:tab w:val="clear" w:pos="1636"/>
          <w:tab w:val="left" w:pos="993"/>
          <w:tab w:val="num" w:pos="1276"/>
        </w:tabs>
        <w:ind w:left="0" w:firstLine="709"/>
        <w:rPr>
          <w:b/>
          <w:lang w:val="en-US"/>
        </w:rPr>
      </w:pPr>
      <w:r w:rsidRPr="00207A79">
        <w:rPr>
          <w:b/>
          <w:lang w:val="en-US"/>
        </w:rPr>
        <w:t>RESEARCH RESULTS AND DISCUSSIONS</w:t>
      </w:r>
    </w:p>
    <w:p w14:paraId="6CDC2B1A" w14:textId="2969A1A3" w:rsidR="00CD12D5" w:rsidRPr="00207A79" w:rsidRDefault="00CD12D5" w:rsidP="00026A9A">
      <w:pPr>
        <w:pStyle w:val="Heading4"/>
        <w:numPr>
          <w:ilvl w:val="1"/>
          <w:numId w:val="7"/>
        </w:numPr>
        <w:shd w:val="clear" w:color="auto" w:fill="FFFFFF"/>
        <w:tabs>
          <w:tab w:val="clear" w:pos="1696"/>
          <w:tab w:val="left" w:pos="851"/>
          <w:tab w:val="left" w:pos="993"/>
          <w:tab w:val="num" w:pos="1276"/>
        </w:tabs>
        <w:ind w:left="0" w:firstLine="709"/>
        <w:rPr>
          <w:b/>
          <w:lang w:val="en-US"/>
        </w:rPr>
      </w:pPr>
      <w:r w:rsidRPr="00207A79">
        <w:rPr>
          <w:b/>
        </w:rPr>
        <w:t>ANALYSIS OF THE CORRELATION BETWEEN EXCISE DUTIES AND CONSUMPTION</w:t>
      </w:r>
    </w:p>
    <w:p w14:paraId="25C38431" w14:textId="49E67319" w:rsidR="00A93D73" w:rsidRPr="00207A79" w:rsidRDefault="00026A9A" w:rsidP="00026A9A">
      <w:pPr>
        <w:pStyle w:val="Heading4"/>
        <w:numPr>
          <w:ilvl w:val="2"/>
          <w:numId w:val="7"/>
        </w:numPr>
        <w:shd w:val="clear" w:color="auto" w:fill="FFFFFF"/>
        <w:tabs>
          <w:tab w:val="left" w:pos="993"/>
          <w:tab w:val="left" w:pos="1276"/>
          <w:tab w:val="left" w:pos="1560"/>
        </w:tabs>
        <w:ind w:hanging="1287"/>
        <w:rPr>
          <w:b/>
          <w:lang w:val="en-US"/>
        </w:rPr>
      </w:pPr>
      <w:bookmarkStart w:id="0" w:name="_Toc72149774"/>
      <w:bookmarkStart w:id="1" w:name="_Toc72149870"/>
      <w:bookmarkStart w:id="2" w:name="_Toc72497735"/>
      <w:r w:rsidRPr="00207A79">
        <w:rPr>
          <w:b/>
          <w:lang w:val="en-US"/>
        </w:rPr>
        <w:t xml:space="preserve"> </w:t>
      </w:r>
      <w:r w:rsidR="00656B8D" w:rsidRPr="00207A79">
        <w:rPr>
          <w:b/>
          <w:lang w:val="en-US"/>
        </w:rPr>
        <w:t>CONSUMUL DE BĂUTURI ALCOOLICE</w:t>
      </w:r>
    </w:p>
    <w:p w14:paraId="079AE58A" w14:textId="77777777" w:rsidR="00656B8D" w:rsidRPr="00207A79" w:rsidRDefault="00656B8D" w:rsidP="00656B8D">
      <w:pPr>
        <w:ind w:firstLine="0"/>
        <w:rPr>
          <w:lang w:val="en-US"/>
        </w:rPr>
      </w:pPr>
    </w:p>
    <w:p w14:paraId="4B9AF294" w14:textId="0C0E805D" w:rsidR="00656B8D" w:rsidRPr="00207A79" w:rsidRDefault="00656B8D" w:rsidP="00656B8D">
      <w:pPr>
        <w:ind w:firstLine="567"/>
        <w:rPr>
          <w:szCs w:val="16"/>
        </w:rPr>
      </w:pPr>
      <w:r w:rsidRPr="00207A79">
        <w:rPr>
          <w:szCs w:val="16"/>
        </w:rPr>
        <w:t xml:space="preserve">Consumul de produse alcoolice mai ales în cantități excesive și cu frecvența crescută poate fi considerat o problemă socială serioasă la nivelul populației globale. Atât țara noastră, cât și prin situațiile statistice prezentate la nivelul țărilor membre UE, constatăm că suntem caracterizați ca regiune geografică regiune cu cel mai ridicat nivel al consumului de alcool din lume încă din perioada anilor 2012-2013 (David si colab., 2020). Prin urmare, de-a lungul timpului au fost depuse eforturi în vederea stabilirii și utilizării accizelor ca mecanism de reglementare și de contol asupra consumului. </w:t>
      </w:r>
    </w:p>
    <w:p w14:paraId="1258E638" w14:textId="73E51BEF" w:rsidR="00656B8D" w:rsidRPr="00207A79" w:rsidRDefault="00656B8D" w:rsidP="00656B8D">
      <w:pPr>
        <w:ind w:firstLine="567"/>
        <w:rPr>
          <w:szCs w:val="16"/>
        </w:rPr>
      </w:pPr>
      <w:r w:rsidRPr="00207A79">
        <w:rPr>
          <w:szCs w:val="16"/>
        </w:rPr>
        <w:t xml:space="preserve">Consumul excesiv de alcool se spune că poate determina declanșarea a peste 230 de afecțiuni de sănătate </w:t>
      </w:r>
      <w:r w:rsidRPr="00207A79">
        <w:t>conform codului de Clasificarea Internațională a Bolilor (ICD), conform celei de-a zecea revizuiri</w:t>
      </w:r>
      <w:r w:rsidR="00E339BF" w:rsidRPr="00207A79">
        <w:t xml:space="preserve"> a World Health </w:t>
      </w:r>
      <w:r w:rsidR="00E339BF" w:rsidRPr="00207A79">
        <w:rPr>
          <w:i/>
        </w:rPr>
        <w:t>Organization.</w:t>
      </w:r>
      <w:r w:rsidR="00E339BF" w:rsidRPr="00207A79">
        <w:rPr>
          <w:i/>
          <w:sz w:val="20"/>
          <w:szCs w:val="20"/>
        </w:rPr>
        <w:t xml:space="preserve"> </w:t>
      </w:r>
      <w:r w:rsidRPr="00207A79">
        <w:rPr>
          <w:szCs w:val="16"/>
        </w:rPr>
        <w:t>Astfel gradul de impact a consumului de alcool asupra stării de sănătate la nivelul populației consumatoare este extrem de ridicat. În plus, consumul de alcool este considerat ca fiind al cincilea cel mai important factor de risc care determină apariția unor probleme de sănătate la nivel mondial</w:t>
      </w:r>
      <w:r w:rsidR="00E339BF" w:rsidRPr="00207A79">
        <w:rPr>
          <w:szCs w:val="16"/>
        </w:rPr>
        <w:t xml:space="preserve"> (Monteiro si colab., 2017).</w:t>
      </w:r>
    </w:p>
    <w:p w14:paraId="7784ACA3" w14:textId="77777777" w:rsidR="00656B8D" w:rsidRPr="00207A79" w:rsidRDefault="00656B8D" w:rsidP="00656B8D">
      <w:pPr>
        <w:ind w:firstLine="567"/>
        <w:rPr>
          <w:szCs w:val="16"/>
        </w:rPr>
      </w:pPr>
      <w:r w:rsidRPr="00207A79">
        <w:rPr>
          <w:szCs w:val="16"/>
        </w:rPr>
        <w:t>Consumul general de alcool de cele mai multe ori este corelat cu aspectele referitoare la afectarea gradului de mortalitatea pe fondul consumurilor excesive și cu frecvențe înalte și cu dizabilitățile specifice consumurilor exagerate și a dependenței instalate, prin urmare, schimbările ce intervin la nivelul consumului generează modificări și la nivelul gamei de afecțiuni bolii specifice alcoolului de către populație.</w:t>
      </w:r>
    </w:p>
    <w:p w14:paraId="37DFCF31" w14:textId="77777777" w:rsidR="00656B8D" w:rsidRPr="00207A79" w:rsidRDefault="00656B8D" w:rsidP="00656B8D">
      <w:pPr>
        <w:ind w:firstLine="567"/>
        <w:rPr>
          <w:szCs w:val="16"/>
        </w:rPr>
      </w:pPr>
      <w:r w:rsidRPr="00207A79">
        <w:rPr>
          <w:szCs w:val="16"/>
        </w:rPr>
        <w:t>Mortalitatea și morbiditatea nu sunt singurele probleme care sunt cauzate de consumul de alcool, putem spune că acest obicei este o problemă socială majoră prin faptul că implică segmente sociale semnificative din punct de vedere a ponderii, dar și o povară economică, prin faptul că generează costuri corelate cu reducerea productivității, costurile ce țin de acordarea asistenței medicale. Cu toate acestea, consecințele problemelor cauzate de consumul de alcool pot fi evitate sau reduse considerabil prin aplicarea unor politici eficiente de sănătate publică</w:t>
      </w:r>
    </w:p>
    <w:p w14:paraId="201C6CE2" w14:textId="77777777" w:rsidR="00656B8D" w:rsidRPr="00207A79" w:rsidRDefault="00656B8D" w:rsidP="00656B8D">
      <w:pPr>
        <w:ind w:firstLine="567"/>
        <w:rPr>
          <w:szCs w:val="16"/>
        </w:rPr>
      </w:pPr>
      <w:r w:rsidRPr="00207A79">
        <w:rPr>
          <w:szCs w:val="16"/>
        </w:rPr>
        <w:t>Conform strategiei globale a Organizației Mondiale a Sănătății care urmărește reducea consumului dăunător de alcool, tendințele internaționale în consumul de alcool pot fi corelate cu starea de sănătate a populației și servesc ca instrumente de monitorizare a schimbărilor de politică la nivel național, regional și global. Așadar, este extrem de important ca datele referitoare la consumul de alcool și modelele de consum ar trebui colectate într-o manieră sistematică și riguroasă, astfel încât să facă posibilă comparabilitatea pe segmente de timp.</w:t>
      </w:r>
    </w:p>
    <w:p w14:paraId="7D89EB05" w14:textId="367B50E6" w:rsidR="00656B8D" w:rsidRPr="00207A79" w:rsidRDefault="00656B8D" w:rsidP="00656B8D">
      <w:pPr>
        <w:ind w:firstLine="567"/>
        <w:rPr>
          <w:szCs w:val="16"/>
        </w:rPr>
      </w:pPr>
      <w:r w:rsidRPr="00207A79">
        <w:rPr>
          <w:szCs w:val="16"/>
        </w:rPr>
        <w:t xml:space="preserve">În continuare prezentăm consumul de alcool la nivelul țărilor UE, comparația este pentru anii 2010 și 2019, astfel încât analiza este una relevantă și bazată pe criteriul de sex, după cum vedem în tabelul </w:t>
      </w:r>
      <w:r w:rsidR="00E339BF" w:rsidRPr="00207A79">
        <w:rPr>
          <w:szCs w:val="16"/>
        </w:rPr>
        <w:t>nr.</w:t>
      </w:r>
      <w:r w:rsidRPr="00207A79">
        <w:rPr>
          <w:szCs w:val="16"/>
        </w:rPr>
        <w:t>1:</w:t>
      </w:r>
    </w:p>
    <w:p w14:paraId="34D0A184" w14:textId="5D64E98C" w:rsidR="00E339BF" w:rsidRPr="00207A79" w:rsidRDefault="00547076" w:rsidP="00E339BF">
      <w:pPr>
        <w:pStyle w:val="Heading3"/>
        <w:numPr>
          <w:ilvl w:val="0"/>
          <w:numId w:val="0"/>
        </w:numPr>
        <w:ind w:left="1134" w:hanging="397"/>
        <w:rPr>
          <w:b/>
          <w:bCs w:val="0"/>
          <w:i w:val="0"/>
          <w:iCs/>
        </w:rPr>
      </w:pPr>
      <w:r w:rsidRPr="00207A79">
        <w:rPr>
          <w:b/>
          <w:bCs w:val="0"/>
          <w:i w:val="0"/>
          <w:iCs/>
        </w:rPr>
        <w:t>Table no. 1. Alcohol consumption in EU countries. Comparison for 2010 and 2019</w:t>
      </w:r>
    </w:p>
    <w:tbl>
      <w:tblPr>
        <w:tblStyle w:val="LightGrid-Accent5"/>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1963"/>
        <w:gridCol w:w="1652"/>
        <w:gridCol w:w="1652"/>
        <w:gridCol w:w="1730"/>
        <w:gridCol w:w="1730"/>
      </w:tblGrid>
      <w:tr w:rsidR="00547076" w:rsidRPr="00207A79" w14:paraId="444966A3" w14:textId="77777777" w:rsidTr="00547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42D10D8F" w14:textId="1BCAE634" w:rsidR="00E339BF" w:rsidRPr="00207A79" w:rsidRDefault="00547076" w:rsidP="00547076">
            <w:pPr>
              <w:autoSpaceDE w:val="0"/>
              <w:autoSpaceDN w:val="0"/>
              <w:adjustRightInd w:val="0"/>
              <w:ind w:firstLine="0"/>
              <w:jc w:val="center"/>
              <w:rPr>
                <w:rFonts w:ascii="Times New Roman" w:hAnsi="Times New Roman"/>
                <w:bCs w:val="0"/>
                <w:sz w:val="20"/>
                <w:szCs w:val="20"/>
                <w:lang w:val="ro-RO"/>
              </w:rPr>
            </w:pPr>
            <w:bookmarkStart w:id="3" w:name="_Hlk183432118"/>
            <w:r w:rsidRPr="00207A79">
              <w:rPr>
                <w:rFonts w:ascii="Times New Roman" w:hAnsi="Times New Roman"/>
                <w:bCs w:val="0"/>
                <w:sz w:val="20"/>
                <w:szCs w:val="20"/>
                <w:lang w:val="ro-RO"/>
              </w:rPr>
              <w:t>No. crt</w:t>
            </w:r>
          </w:p>
        </w:tc>
        <w:tc>
          <w:tcPr>
            <w:tcW w:w="1963" w:type="dxa"/>
          </w:tcPr>
          <w:p w14:paraId="69020129" w14:textId="1F49C5F6" w:rsidR="00E339BF" w:rsidRPr="00207A79" w:rsidRDefault="00547076" w:rsidP="0054707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lang w:val="ro-RO"/>
              </w:rPr>
            </w:pPr>
            <w:r w:rsidRPr="00207A79">
              <w:rPr>
                <w:rFonts w:ascii="Times New Roman" w:hAnsi="Times New Roman"/>
                <w:bCs w:val="0"/>
                <w:sz w:val="20"/>
                <w:szCs w:val="20"/>
                <w:lang w:val="ro-RO"/>
              </w:rPr>
              <w:t>Country</w:t>
            </w:r>
          </w:p>
        </w:tc>
        <w:tc>
          <w:tcPr>
            <w:tcW w:w="1652" w:type="dxa"/>
          </w:tcPr>
          <w:p w14:paraId="0CF37669" w14:textId="5DBBF3F1" w:rsidR="00E339BF" w:rsidRPr="00207A79" w:rsidRDefault="00547076" w:rsidP="0054707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lang w:val="ro-RO"/>
              </w:rPr>
            </w:pPr>
            <w:r w:rsidRPr="00207A79">
              <w:rPr>
                <w:rFonts w:ascii="Times New Roman" w:hAnsi="Times New Roman"/>
                <w:bCs w:val="0"/>
                <w:sz w:val="20"/>
                <w:szCs w:val="20"/>
                <w:lang w:val="ro-RO"/>
              </w:rPr>
              <w:t>Male consumption, liters of pure alcohol</w:t>
            </w:r>
            <w:r w:rsidR="00E339BF" w:rsidRPr="00207A79">
              <w:rPr>
                <w:rFonts w:ascii="Times New Roman" w:hAnsi="Times New Roman"/>
                <w:bCs w:val="0"/>
                <w:sz w:val="20"/>
                <w:szCs w:val="20"/>
                <w:lang w:val="ro-RO"/>
              </w:rPr>
              <w:t>, 2010</w:t>
            </w:r>
          </w:p>
        </w:tc>
        <w:tc>
          <w:tcPr>
            <w:tcW w:w="1652" w:type="dxa"/>
          </w:tcPr>
          <w:p w14:paraId="73125EED" w14:textId="32ED9312" w:rsidR="00E339BF" w:rsidRPr="00207A79" w:rsidRDefault="00547076" w:rsidP="0054707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lang w:val="ro-RO"/>
              </w:rPr>
            </w:pPr>
            <w:r w:rsidRPr="00207A79">
              <w:rPr>
                <w:rFonts w:ascii="Times New Roman" w:hAnsi="Times New Roman"/>
                <w:bCs w:val="0"/>
                <w:sz w:val="20"/>
                <w:szCs w:val="20"/>
                <w:lang w:val="ro-RO"/>
              </w:rPr>
              <w:t>Male consumption, liters of pure alcohol,</w:t>
            </w:r>
            <w:r w:rsidR="00E339BF" w:rsidRPr="00207A79">
              <w:rPr>
                <w:rFonts w:ascii="Times New Roman" w:hAnsi="Times New Roman"/>
                <w:bCs w:val="0"/>
                <w:sz w:val="20"/>
                <w:szCs w:val="20"/>
                <w:lang w:val="ro-RO"/>
              </w:rPr>
              <w:t xml:space="preserve"> 2019</w:t>
            </w:r>
          </w:p>
        </w:tc>
        <w:tc>
          <w:tcPr>
            <w:tcW w:w="1730" w:type="dxa"/>
          </w:tcPr>
          <w:p w14:paraId="38AC6E88" w14:textId="541D76C7" w:rsidR="00E339BF" w:rsidRPr="00207A79" w:rsidRDefault="00547076" w:rsidP="0054707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lang w:val="ro-RO"/>
              </w:rPr>
            </w:pPr>
            <w:r w:rsidRPr="00207A79">
              <w:rPr>
                <w:rFonts w:ascii="Times New Roman" w:hAnsi="Times New Roman"/>
                <w:bCs w:val="0"/>
                <w:sz w:val="20"/>
                <w:szCs w:val="20"/>
                <w:lang w:val="ro-RO"/>
              </w:rPr>
              <w:t>Female consumption, liters of pure alcohol</w:t>
            </w:r>
            <w:r w:rsidR="00E339BF" w:rsidRPr="00207A79">
              <w:rPr>
                <w:rFonts w:ascii="Times New Roman" w:hAnsi="Times New Roman"/>
                <w:bCs w:val="0"/>
                <w:sz w:val="20"/>
                <w:szCs w:val="20"/>
                <w:lang w:val="ro-RO"/>
              </w:rPr>
              <w:t>, 2010</w:t>
            </w:r>
          </w:p>
        </w:tc>
        <w:tc>
          <w:tcPr>
            <w:tcW w:w="1730" w:type="dxa"/>
          </w:tcPr>
          <w:p w14:paraId="4A19366A" w14:textId="13044B63" w:rsidR="00E339BF" w:rsidRPr="00207A79" w:rsidRDefault="00547076" w:rsidP="0054707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lang w:val="ro-RO"/>
              </w:rPr>
            </w:pPr>
            <w:r w:rsidRPr="00207A79">
              <w:rPr>
                <w:rFonts w:ascii="Times New Roman" w:hAnsi="Times New Roman"/>
                <w:bCs w:val="0"/>
                <w:sz w:val="20"/>
                <w:szCs w:val="20"/>
                <w:lang w:val="ro-RO"/>
              </w:rPr>
              <w:t>Female consumption, liters of pure alcohol,</w:t>
            </w:r>
            <w:r w:rsidR="00E339BF" w:rsidRPr="00207A79">
              <w:rPr>
                <w:rFonts w:ascii="Times New Roman" w:hAnsi="Times New Roman"/>
                <w:bCs w:val="0"/>
                <w:sz w:val="20"/>
                <w:szCs w:val="20"/>
                <w:lang w:val="ro-RO"/>
              </w:rPr>
              <w:t xml:space="preserve"> 2019</w:t>
            </w:r>
          </w:p>
        </w:tc>
      </w:tr>
      <w:bookmarkEnd w:id="3"/>
      <w:tr w:rsidR="00547076" w:rsidRPr="00207A79" w14:paraId="1A6694D7" w14:textId="77777777" w:rsidTr="00B2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4EF344CB"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1</w:t>
            </w:r>
          </w:p>
        </w:tc>
        <w:tc>
          <w:tcPr>
            <w:tcW w:w="1963" w:type="dxa"/>
          </w:tcPr>
          <w:p w14:paraId="65A307D2" w14:textId="3EC58FCA" w:rsidR="00547076" w:rsidRPr="00207A79" w:rsidRDefault="00547076" w:rsidP="00547076">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Austria – [AT]</w:t>
            </w:r>
          </w:p>
        </w:tc>
        <w:tc>
          <w:tcPr>
            <w:tcW w:w="1652" w:type="dxa"/>
          </w:tcPr>
          <w:p w14:paraId="3A6FE898"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19,36</w:t>
            </w:r>
          </w:p>
        </w:tc>
        <w:tc>
          <w:tcPr>
            <w:tcW w:w="1652" w:type="dxa"/>
          </w:tcPr>
          <w:p w14:paraId="723AD8DF"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18,81</w:t>
            </w:r>
          </w:p>
        </w:tc>
        <w:tc>
          <w:tcPr>
            <w:tcW w:w="1730" w:type="dxa"/>
          </w:tcPr>
          <w:p w14:paraId="569ED20E"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5,58</w:t>
            </w:r>
          </w:p>
        </w:tc>
        <w:tc>
          <w:tcPr>
            <w:tcW w:w="1730" w:type="dxa"/>
          </w:tcPr>
          <w:p w14:paraId="25ED446B"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5,46</w:t>
            </w:r>
          </w:p>
        </w:tc>
      </w:tr>
      <w:tr w:rsidR="00547076" w:rsidRPr="00207A79" w14:paraId="35E1A50A" w14:textId="77777777" w:rsidTr="00B20B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6C68B905"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2</w:t>
            </w:r>
          </w:p>
        </w:tc>
        <w:tc>
          <w:tcPr>
            <w:tcW w:w="1963" w:type="dxa"/>
          </w:tcPr>
          <w:p w14:paraId="088EE882" w14:textId="31F369F2" w:rsidR="00547076" w:rsidRPr="00207A79" w:rsidRDefault="00547076" w:rsidP="00547076">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Belgium – [BE]</w:t>
            </w:r>
          </w:p>
        </w:tc>
        <w:tc>
          <w:tcPr>
            <w:tcW w:w="1652" w:type="dxa"/>
          </w:tcPr>
          <w:p w14:paraId="6D7A8815"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17,90</w:t>
            </w:r>
          </w:p>
        </w:tc>
        <w:tc>
          <w:tcPr>
            <w:tcW w:w="1652" w:type="dxa"/>
          </w:tcPr>
          <w:p w14:paraId="10C38B10"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16,16</w:t>
            </w:r>
          </w:p>
        </w:tc>
        <w:tc>
          <w:tcPr>
            <w:tcW w:w="1730" w:type="dxa"/>
          </w:tcPr>
          <w:p w14:paraId="38BA9AFD"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5,13</w:t>
            </w:r>
          </w:p>
        </w:tc>
        <w:tc>
          <w:tcPr>
            <w:tcW w:w="1730" w:type="dxa"/>
          </w:tcPr>
          <w:p w14:paraId="69D89BE6"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4,65</w:t>
            </w:r>
          </w:p>
        </w:tc>
      </w:tr>
      <w:tr w:rsidR="00547076" w:rsidRPr="00207A79" w14:paraId="733D61EC" w14:textId="77777777" w:rsidTr="00B2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2C854C59"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3</w:t>
            </w:r>
          </w:p>
        </w:tc>
        <w:tc>
          <w:tcPr>
            <w:tcW w:w="1963" w:type="dxa"/>
          </w:tcPr>
          <w:p w14:paraId="10CEB266" w14:textId="073CF6F5" w:rsidR="00547076" w:rsidRPr="00207A79" w:rsidRDefault="00547076" w:rsidP="00547076">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Bulgaria – [BG]</w:t>
            </w:r>
          </w:p>
        </w:tc>
        <w:tc>
          <w:tcPr>
            <w:tcW w:w="1652" w:type="dxa"/>
          </w:tcPr>
          <w:p w14:paraId="649EB224"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17,43</w:t>
            </w:r>
          </w:p>
        </w:tc>
        <w:tc>
          <w:tcPr>
            <w:tcW w:w="1652" w:type="dxa"/>
          </w:tcPr>
          <w:p w14:paraId="37250D09"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19,51</w:t>
            </w:r>
          </w:p>
        </w:tc>
        <w:tc>
          <w:tcPr>
            <w:tcW w:w="1730" w:type="dxa"/>
          </w:tcPr>
          <w:p w14:paraId="2371D2B6"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4,43</w:t>
            </w:r>
          </w:p>
        </w:tc>
        <w:tc>
          <w:tcPr>
            <w:tcW w:w="1730" w:type="dxa"/>
          </w:tcPr>
          <w:p w14:paraId="60AD4BAF"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4,91</w:t>
            </w:r>
          </w:p>
        </w:tc>
      </w:tr>
      <w:tr w:rsidR="00547076" w:rsidRPr="00207A79" w14:paraId="6379BC17" w14:textId="77777777" w:rsidTr="00B20B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14E2836A"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4</w:t>
            </w:r>
          </w:p>
        </w:tc>
        <w:tc>
          <w:tcPr>
            <w:tcW w:w="1963" w:type="dxa"/>
          </w:tcPr>
          <w:p w14:paraId="50D8238B" w14:textId="0B94D082" w:rsidR="00547076" w:rsidRPr="00207A79" w:rsidRDefault="00547076" w:rsidP="00547076">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Croatia – [HR]</w:t>
            </w:r>
          </w:p>
        </w:tc>
        <w:tc>
          <w:tcPr>
            <w:tcW w:w="1652" w:type="dxa"/>
          </w:tcPr>
          <w:p w14:paraId="0ED86184"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15,36</w:t>
            </w:r>
          </w:p>
        </w:tc>
        <w:tc>
          <w:tcPr>
            <w:tcW w:w="1652" w:type="dxa"/>
          </w:tcPr>
          <w:p w14:paraId="1E21CC83"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13,79</w:t>
            </w:r>
          </w:p>
        </w:tc>
        <w:tc>
          <w:tcPr>
            <w:tcW w:w="1730" w:type="dxa"/>
          </w:tcPr>
          <w:p w14:paraId="11AF82FA"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4,13</w:t>
            </w:r>
          </w:p>
        </w:tc>
        <w:tc>
          <w:tcPr>
            <w:tcW w:w="1730" w:type="dxa"/>
          </w:tcPr>
          <w:p w14:paraId="15406BF1"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3,68</w:t>
            </w:r>
          </w:p>
        </w:tc>
      </w:tr>
      <w:tr w:rsidR="00547076" w:rsidRPr="00207A79" w14:paraId="67998799" w14:textId="77777777" w:rsidTr="00B2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50319965"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5</w:t>
            </w:r>
          </w:p>
        </w:tc>
        <w:tc>
          <w:tcPr>
            <w:tcW w:w="1963" w:type="dxa"/>
          </w:tcPr>
          <w:p w14:paraId="19D685C5" w14:textId="60AC813A" w:rsidR="00547076" w:rsidRPr="00207A79" w:rsidRDefault="00547076" w:rsidP="00547076">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Cyprus – [CY]</w:t>
            </w:r>
          </w:p>
        </w:tc>
        <w:tc>
          <w:tcPr>
            <w:tcW w:w="1652" w:type="dxa"/>
          </w:tcPr>
          <w:p w14:paraId="55D69462"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14,26</w:t>
            </w:r>
          </w:p>
        </w:tc>
        <w:tc>
          <w:tcPr>
            <w:tcW w:w="1652" w:type="dxa"/>
          </w:tcPr>
          <w:p w14:paraId="240747D3"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12,70</w:t>
            </w:r>
          </w:p>
        </w:tc>
        <w:tc>
          <w:tcPr>
            <w:tcW w:w="1730" w:type="dxa"/>
          </w:tcPr>
          <w:p w14:paraId="465B236C"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3,99</w:t>
            </w:r>
          </w:p>
        </w:tc>
        <w:tc>
          <w:tcPr>
            <w:tcW w:w="1730" w:type="dxa"/>
          </w:tcPr>
          <w:p w14:paraId="316AC1CC"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3,43</w:t>
            </w:r>
          </w:p>
        </w:tc>
      </w:tr>
      <w:tr w:rsidR="00547076" w:rsidRPr="00207A79" w14:paraId="58313DB9" w14:textId="77777777" w:rsidTr="00B20B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07F3E648"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6</w:t>
            </w:r>
          </w:p>
        </w:tc>
        <w:tc>
          <w:tcPr>
            <w:tcW w:w="1963" w:type="dxa"/>
          </w:tcPr>
          <w:p w14:paraId="32D608A3" w14:textId="28916BC6" w:rsidR="00547076" w:rsidRPr="00207A79" w:rsidRDefault="00547076" w:rsidP="00547076">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Czech Republic – [CZ]</w:t>
            </w:r>
          </w:p>
        </w:tc>
        <w:tc>
          <w:tcPr>
            <w:tcW w:w="1652" w:type="dxa"/>
          </w:tcPr>
          <w:p w14:paraId="58161CB2"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21,15</w:t>
            </w:r>
          </w:p>
        </w:tc>
        <w:tc>
          <w:tcPr>
            <w:tcW w:w="1652" w:type="dxa"/>
          </w:tcPr>
          <w:p w14:paraId="6357BD71"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21,09</w:t>
            </w:r>
          </w:p>
        </w:tc>
        <w:tc>
          <w:tcPr>
            <w:tcW w:w="1730" w:type="dxa"/>
          </w:tcPr>
          <w:p w14:paraId="380B7DA8"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5,91</w:t>
            </w:r>
          </w:p>
        </w:tc>
        <w:tc>
          <w:tcPr>
            <w:tcW w:w="1730" w:type="dxa"/>
          </w:tcPr>
          <w:p w14:paraId="2BE05533"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5,48</w:t>
            </w:r>
          </w:p>
        </w:tc>
      </w:tr>
      <w:tr w:rsidR="00547076" w:rsidRPr="00207A79" w14:paraId="68ECB7A4" w14:textId="77777777" w:rsidTr="00B2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7419C4E2"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7</w:t>
            </w:r>
          </w:p>
        </w:tc>
        <w:tc>
          <w:tcPr>
            <w:tcW w:w="1963" w:type="dxa"/>
          </w:tcPr>
          <w:p w14:paraId="1BA31AC6" w14:textId="4F650657" w:rsidR="00547076" w:rsidRPr="00207A79" w:rsidRDefault="00547076" w:rsidP="00547076">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Denmark – [DK]</w:t>
            </w:r>
          </w:p>
        </w:tc>
        <w:tc>
          <w:tcPr>
            <w:tcW w:w="1652" w:type="dxa"/>
          </w:tcPr>
          <w:p w14:paraId="5B46DD65"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16,24</w:t>
            </w:r>
          </w:p>
        </w:tc>
        <w:tc>
          <w:tcPr>
            <w:tcW w:w="1652" w:type="dxa"/>
          </w:tcPr>
          <w:p w14:paraId="48A83FC3"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14,64</w:t>
            </w:r>
          </w:p>
        </w:tc>
        <w:tc>
          <w:tcPr>
            <w:tcW w:w="1730" w:type="dxa"/>
          </w:tcPr>
          <w:p w14:paraId="79A2EE08"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4,72</w:t>
            </w:r>
          </w:p>
        </w:tc>
        <w:tc>
          <w:tcPr>
            <w:tcW w:w="1730" w:type="dxa"/>
          </w:tcPr>
          <w:p w14:paraId="7A92B312"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4,29</w:t>
            </w:r>
          </w:p>
        </w:tc>
      </w:tr>
      <w:tr w:rsidR="00547076" w:rsidRPr="00207A79" w14:paraId="150AE274" w14:textId="77777777" w:rsidTr="00B20B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5C4E0364"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8</w:t>
            </w:r>
          </w:p>
        </w:tc>
        <w:tc>
          <w:tcPr>
            <w:tcW w:w="1963" w:type="dxa"/>
          </w:tcPr>
          <w:p w14:paraId="37E4F3FD" w14:textId="316FCEA8" w:rsidR="00547076" w:rsidRPr="00207A79" w:rsidRDefault="00547076" w:rsidP="00547076">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Estonia – [EE]</w:t>
            </w:r>
          </w:p>
        </w:tc>
        <w:tc>
          <w:tcPr>
            <w:tcW w:w="1652" w:type="dxa"/>
          </w:tcPr>
          <w:p w14:paraId="6570F086"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23,30</w:t>
            </w:r>
          </w:p>
        </w:tc>
        <w:tc>
          <w:tcPr>
            <w:tcW w:w="1652" w:type="dxa"/>
          </w:tcPr>
          <w:p w14:paraId="38C826B0"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18,40</w:t>
            </w:r>
          </w:p>
        </w:tc>
        <w:tc>
          <w:tcPr>
            <w:tcW w:w="1730" w:type="dxa"/>
          </w:tcPr>
          <w:p w14:paraId="7180F7E4"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6,59</w:t>
            </w:r>
          </w:p>
        </w:tc>
        <w:tc>
          <w:tcPr>
            <w:tcW w:w="1730" w:type="dxa"/>
          </w:tcPr>
          <w:p w14:paraId="7BB2CA61"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5,11</w:t>
            </w:r>
          </w:p>
        </w:tc>
      </w:tr>
      <w:tr w:rsidR="00547076" w:rsidRPr="00207A79" w14:paraId="0FB90E10" w14:textId="77777777" w:rsidTr="00B2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5D9E2F51"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9</w:t>
            </w:r>
          </w:p>
        </w:tc>
        <w:tc>
          <w:tcPr>
            <w:tcW w:w="1963" w:type="dxa"/>
          </w:tcPr>
          <w:p w14:paraId="188A1297" w14:textId="27BECB58" w:rsidR="00547076" w:rsidRPr="00207A79" w:rsidRDefault="00547076" w:rsidP="00547076">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Finland – FI</w:t>
            </w:r>
          </w:p>
        </w:tc>
        <w:tc>
          <w:tcPr>
            <w:tcW w:w="1652" w:type="dxa"/>
          </w:tcPr>
          <w:p w14:paraId="03F7EE5F"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16,90</w:t>
            </w:r>
          </w:p>
        </w:tc>
        <w:tc>
          <w:tcPr>
            <w:tcW w:w="1652" w:type="dxa"/>
          </w:tcPr>
          <w:p w14:paraId="598058E0"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14,38</w:t>
            </w:r>
          </w:p>
        </w:tc>
        <w:tc>
          <w:tcPr>
            <w:tcW w:w="1730" w:type="dxa"/>
          </w:tcPr>
          <w:p w14:paraId="2BDE6337"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4,89</w:t>
            </w:r>
          </w:p>
        </w:tc>
        <w:tc>
          <w:tcPr>
            <w:tcW w:w="1730" w:type="dxa"/>
          </w:tcPr>
          <w:p w14:paraId="0D9106A8"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4,14</w:t>
            </w:r>
          </w:p>
        </w:tc>
      </w:tr>
      <w:tr w:rsidR="00547076" w:rsidRPr="00207A79" w14:paraId="103A6E9C" w14:textId="77777777" w:rsidTr="00B20B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495D23AD"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10</w:t>
            </w:r>
          </w:p>
        </w:tc>
        <w:tc>
          <w:tcPr>
            <w:tcW w:w="1963" w:type="dxa"/>
          </w:tcPr>
          <w:p w14:paraId="152E6F9A" w14:textId="555BCD9D" w:rsidR="00547076" w:rsidRPr="00207A79" w:rsidRDefault="00547076" w:rsidP="00547076">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France – [FR]</w:t>
            </w:r>
          </w:p>
        </w:tc>
        <w:tc>
          <w:tcPr>
            <w:tcW w:w="1652" w:type="dxa"/>
          </w:tcPr>
          <w:p w14:paraId="317C32EC"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19,55</w:t>
            </w:r>
          </w:p>
        </w:tc>
        <w:tc>
          <w:tcPr>
            <w:tcW w:w="1652" w:type="dxa"/>
          </w:tcPr>
          <w:p w14:paraId="04BA689F"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18,04</w:t>
            </w:r>
          </w:p>
        </w:tc>
        <w:tc>
          <w:tcPr>
            <w:tcW w:w="1730" w:type="dxa"/>
          </w:tcPr>
          <w:p w14:paraId="7E4C49EA"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5,57</w:t>
            </w:r>
          </w:p>
        </w:tc>
        <w:tc>
          <w:tcPr>
            <w:tcW w:w="1730" w:type="dxa"/>
          </w:tcPr>
          <w:p w14:paraId="4FBC9203"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5,14</w:t>
            </w:r>
          </w:p>
        </w:tc>
      </w:tr>
      <w:tr w:rsidR="00547076" w:rsidRPr="00207A79" w14:paraId="6BE634A1" w14:textId="77777777" w:rsidTr="00B2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2CB21144"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11</w:t>
            </w:r>
          </w:p>
        </w:tc>
        <w:tc>
          <w:tcPr>
            <w:tcW w:w="1963" w:type="dxa"/>
          </w:tcPr>
          <w:p w14:paraId="464D3931" w14:textId="1D6B2888" w:rsidR="00547076" w:rsidRPr="00207A79" w:rsidRDefault="00547076" w:rsidP="00547076">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Germany – [DE]</w:t>
            </w:r>
          </w:p>
        </w:tc>
        <w:tc>
          <w:tcPr>
            <w:tcW w:w="1652" w:type="dxa"/>
          </w:tcPr>
          <w:p w14:paraId="1B97DE53"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19,66</w:t>
            </w:r>
          </w:p>
        </w:tc>
        <w:tc>
          <w:tcPr>
            <w:tcW w:w="1652" w:type="dxa"/>
          </w:tcPr>
          <w:p w14:paraId="2C38E19B"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19,22</w:t>
            </w:r>
          </w:p>
        </w:tc>
        <w:tc>
          <w:tcPr>
            <w:tcW w:w="1730" w:type="dxa"/>
          </w:tcPr>
          <w:p w14:paraId="1D33CDC7"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5,57</w:t>
            </w:r>
          </w:p>
        </w:tc>
        <w:tc>
          <w:tcPr>
            <w:tcW w:w="1730" w:type="dxa"/>
          </w:tcPr>
          <w:p w14:paraId="676A164B"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5,49</w:t>
            </w:r>
          </w:p>
        </w:tc>
      </w:tr>
      <w:tr w:rsidR="00547076" w:rsidRPr="00207A79" w14:paraId="086C7D52" w14:textId="77777777" w:rsidTr="00B20B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797DE837"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12</w:t>
            </w:r>
          </w:p>
        </w:tc>
        <w:tc>
          <w:tcPr>
            <w:tcW w:w="1963" w:type="dxa"/>
          </w:tcPr>
          <w:p w14:paraId="6E427D30" w14:textId="6D65154E" w:rsidR="00547076" w:rsidRPr="00207A79" w:rsidRDefault="00547076" w:rsidP="00547076">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Greece – [GR]</w:t>
            </w:r>
          </w:p>
        </w:tc>
        <w:tc>
          <w:tcPr>
            <w:tcW w:w="1652" w:type="dxa"/>
          </w:tcPr>
          <w:p w14:paraId="07C99A58"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13,76</w:t>
            </w:r>
          </w:p>
        </w:tc>
        <w:tc>
          <w:tcPr>
            <w:tcW w:w="1652" w:type="dxa"/>
          </w:tcPr>
          <w:p w14:paraId="5C32D7D7"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11,34</w:t>
            </w:r>
          </w:p>
        </w:tc>
        <w:tc>
          <w:tcPr>
            <w:tcW w:w="1730" w:type="dxa"/>
          </w:tcPr>
          <w:p w14:paraId="258F43F3"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3,86</w:t>
            </w:r>
          </w:p>
        </w:tc>
        <w:tc>
          <w:tcPr>
            <w:tcW w:w="1730" w:type="dxa"/>
          </w:tcPr>
          <w:p w14:paraId="042E89E3"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3,12</w:t>
            </w:r>
          </w:p>
        </w:tc>
      </w:tr>
      <w:tr w:rsidR="00547076" w:rsidRPr="00207A79" w14:paraId="0E360CAA" w14:textId="77777777" w:rsidTr="00B2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45105A93"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13</w:t>
            </w:r>
          </w:p>
        </w:tc>
        <w:tc>
          <w:tcPr>
            <w:tcW w:w="1963" w:type="dxa"/>
          </w:tcPr>
          <w:p w14:paraId="1F6FA48D" w14:textId="4AE4863A" w:rsidR="00547076" w:rsidRPr="00207A79" w:rsidRDefault="00547076" w:rsidP="00547076">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Hungary – [HU]</w:t>
            </w:r>
          </w:p>
        </w:tc>
        <w:tc>
          <w:tcPr>
            <w:tcW w:w="1652" w:type="dxa"/>
          </w:tcPr>
          <w:p w14:paraId="19088553"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17,66</w:t>
            </w:r>
          </w:p>
        </w:tc>
        <w:tc>
          <w:tcPr>
            <w:tcW w:w="1652" w:type="dxa"/>
          </w:tcPr>
          <w:p w14:paraId="76EF7B4B"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17,22</w:t>
            </w:r>
          </w:p>
        </w:tc>
        <w:tc>
          <w:tcPr>
            <w:tcW w:w="1730" w:type="dxa"/>
          </w:tcPr>
          <w:p w14:paraId="5C59EAA6"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4,82</w:t>
            </w:r>
          </w:p>
        </w:tc>
        <w:tc>
          <w:tcPr>
            <w:tcW w:w="1730" w:type="dxa"/>
          </w:tcPr>
          <w:p w14:paraId="008BCCA2"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4,68</w:t>
            </w:r>
          </w:p>
        </w:tc>
      </w:tr>
      <w:tr w:rsidR="00547076" w:rsidRPr="00207A79" w14:paraId="665E7DAB" w14:textId="77777777" w:rsidTr="00B20B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4A9096DF"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14</w:t>
            </w:r>
          </w:p>
        </w:tc>
        <w:tc>
          <w:tcPr>
            <w:tcW w:w="1963" w:type="dxa"/>
          </w:tcPr>
          <w:p w14:paraId="27F8C86F" w14:textId="2424A572" w:rsidR="00547076" w:rsidRPr="00207A79" w:rsidRDefault="00547076" w:rsidP="00547076">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Ireland – [IE]</w:t>
            </w:r>
          </w:p>
        </w:tc>
        <w:tc>
          <w:tcPr>
            <w:tcW w:w="1652" w:type="dxa"/>
          </w:tcPr>
          <w:p w14:paraId="0E2E1D33"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18,88</w:t>
            </w:r>
          </w:p>
        </w:tc>
        <w:tc>
          <w:tcPr>
            <w:tcW w:w="1652" w:type="dxa"/>
          </w:tcPr>
          <w:p w14:paraId="1A22DCF6"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18,06</w:t>
            </w:r>
          </w:p>
        </w:tc>
        <w:tc>
          <w:tcPr>
            <w:tcW w:w="1730" w:type="dxa"/>
          </w:tcPr>
          <w:p w14:paraId="46837C05"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5,75</w:t>
            </w:r>
          </w:p>
        </w:tc>
        <w:tc>
          <w:tcPr>
            <w:tcW w:w="1730" w:type="dxa"/>
          </w:tcPr>
          <w:p w14:paraId="3D399D90"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5,58</w:t>
            </w:r>
          </w:p>
        </w:tc>
      </w:tr>
      <w:tr w:rsidR="00547076" w:rsidRPr="00207A79" w14:paraId="3B48C0EB" w14:textId="77777777" w:rsidTr="00B2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5207F996"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15</w:t>
            </w:r>
          </w:p>
        </w:tc>
        <w:tc>
          <w:tcPr>
            <w:tcW w:w="1963" w:type="dxa"/>
          </w:tcPr>
          <w:p w14:paraId="16FEE1FC" w14:textId="6DED6777" w:rsidR="00547076" w:rsidRPr="00207A79" w:rsidRDefault="00547076" w:rsidP="00547076">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Italy – [IT]</w:t>
            </w:r>
          </w:p>
        </w:tc>
        <w:tc>
          <w:tcPr>
            <w:tcW w:w="1652" w:type="dxa"/>
          </w:tcPr>
          <w:p w14:paraId="4B304901"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11,57</w:t>
            </w:r>
          </w:p>
        </w:tc>
        <w:tc>
          <w:tcPr>
            <w:tcW w:w="1652" w:type="dxa"/>
          </w:tcPr>
          <w:p w14:paraId="166D77A5"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12,72</w:t>
            </w:r>
          </w:p>
        </w:tc>
        <w:tc>
          <w:tcPr>
            <w:tcW w:w="1730" w:type="dxa"/>
          </w:tcPr>
          <w:p w14:paraId="0093A4FA"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3,22</w:t>
            </w:r>
          </w:p>
        </w:tc>
        <w:tc>
          <w:tcPr>
            <w:tcW w:w="1730" w:type="dxa"/>
          </w:tcPr>
          <w:p w14:paraId="3B2CA87E"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3,54</w:t>
            </w:r>
          </w:p>
        </w:tc>
      </w:tr>
      <w:tr w:rsidR="00547076" w:rsidRPr="00207A79" w14:paraId="2D39E16D" w14:textId="77777777" w:rsidTr="00B20B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711DBFD3"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16</w:t>
            </w:r>
          </w:p>
        </w:tc>
        <w:tc>
          <w:tcPr>
            <w:tcW w:w="1963" w:type="dxa"/>
          </w:tcPr>
          <w:p w14:paraId="1D54F44C" w14:textId="76CFCF19" w:rsidR="00547076" w:rsidRPr="00207A79" w:rsidRDefault="00547076" w:rsidP="00547076">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Latvia – [LV]</w:t>
            </w:r>
          </w:p>
        </w:tc>
        <w:tc>
          <w:tcPr>
            <w:tcW w:w="1652" w:type="dxa"/>
          </w:tcPr>
          <w:p w14:paraId="5F2CB7C9"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18,25</w:t>
            </w:r>
          </w:p>
        </w:tc>
        <w:tc>
          <w:tcPr>
            <w:tcW w:w="1652" w:type="dxa"/>
          </w:tcPr>
          <w:p w14:paraId="5193925B"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21,73</w:t>
            </w:r>
          </w:p>
        </w:tc>
        <w:tc>
          <w:tcPr>
            <w:tcW w:w="1730" w:type="dxa"/>
          </w:tcPr>
          <w:p w14:paraId="25627BF6"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5,12</w:t>
            </w:r>
          </w:p>
        </w:tc>
        <w:tc>
          <w:tcPr>
            <w:tcW w:w="1730" w:type="dxa"/>
          </w:tcPr>
          <w:p w14:paraId="4E3A4A1C"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5,99</w:t>
            </w:r>
          </w:p>
        </w:tc>
      </w:tr>
      <w:tr w:rsidR="00547076" w:rsidRPr="00207A79" w14:paraId="2A5A2592" w14:textId="77777777" w:rsidTr="00B2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2089D07E"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17</w:t>
            </w:r>
          </w:p>
        </w:tc>
        <w:tc>
          <w:tcPr>
            <w:tcW w:w="1963" w:type="dxa"/>
          </w:tcPr>
          <w:p w14:paraId="62102699" w14:textId="1372419C" w:rsidR="00547076" w:rsidRPr="00207A79" w:rsidRDefault="00547076" w:rsidP="00547076">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Lithuania – [LT]</w:t>
            </w:r>
          </w:p>
        </w:tc>
        <w:tc>
          <w:tcPr>
            <w:tcW w:w="1652" w:type="dxa"/>
          </w:tcPr>
          <w:p w14:paraId="20A59799"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23,12</w:t>
            </w:r>
          </w:p>
        </w:tc>
        <w:tc>
          <w:tcPr>
            <w:tcW w:w="1652" w:type="dxa"/>
          </w:tcPr>
          <w:p w14:paraId="0BB57E29"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19,34</w:t>
            </w:r>
          </w:p>
        </w:tc>
        <w:tc>
          <w:tcPr>
            <w:tcW w:w="1730" w:type="dxa"/>
          </w:tcPr>
          <w:p w14:paraId="4CB59980"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6,60</w:t>
            </w:r>
          </w:p>
        </w:tc>
        <w:tc>
          <w:tcPr>
            <w:tcW w:w="1730" w:type="dxa"/>
          </w:tcPr>
          <w:p w14:paraId="6DCE9C96"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5,39</w:t>
            </w:r>
          </w:p>
        </w:tc>
      </w:tr>
      <w:tr w:rsidR="00547076" w:rsidRPr="00207A79" w14:paraId="1A5E0609" w14:textId="77777777" w:rsidTr="00B20B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5F602E46"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18</w:t>
            </w:r>
          </w:p>
        </w:tc>
        <w:tc>
          <w:tcPr>
            <w:tcW w:w="1963" w:type="dxa"/>
          </w:tcPr>
          <w:p w14:paraId="07DC2447" w14:textId="7258D3A2" w:rsidR="00547076" w:rsidRPr="00207A79" w:rsidRDefault="00547076" w:rsidP="00547076">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Luxembourg – [LU]</w:t>
            </w:r>
          </w:p>
        </w:tc>
        <w:tc>
          <w:tcPr>
            <w:tcW w:w="1652" w:type="dxa"/>
          </w:tcPr>
          <w:p w14:paraId="23685A0A"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18,71</w:t>
            </w:r>
          </w:p>
        </w:tc>
        <w:tc>
          <w:tcPr>
            <w:tcW w:w="1652" w:type="dxa"/>
          </w:tcPr>
          <w:p w14:paraId="7552E57B"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17,60</w:t>
            </w:r>
          </w:p>
        </w:tc>
        <w:tc>
          <w:tcPr>
            <w:tcW w:w="1730" w:type="dxa"/>
          </w:tcPr>
          <w:p w14:paraId="083A9433"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5,71</w:t>
            </w:r>
          </w:p>
        </w:tc>
        <w:tc>
          <w:tcPr>
            <w:tcW w:w="1730" w:type="dxa"/>
          </w:tcPr>
          <w:p w14:paraId="4A542D63"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5,44</w:t>
            </w:r>
          </w:p>
        </w:tc>
      </w:tr>
      <w:tr w:rsidR="00547076" w:rsidRPr="00207A79" w14:paraId="141A7A27" w14:textId="77777777" w:rsidTr="00B2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241A3D4B"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19</w:t>
            </w:r>
          </w:p>
        </w:tc>
        <w:tc>
          <w:tcPr>
            <w:tcW w:w="1963" w:type="dxa"/>
          </w:tcPr>
          <w:p w14:paraId="1DAE3EAA" w14:textId="48D93E8F" w:rsidR="00547076" w:rsidRPr="00207A79" w:rsidRDefault="00547076" w:rsidP="00547076">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Malta – [MT]</w:t>
            </w:r>
          </w:p>
        </w:tc>
        <w:tc>
          <w:tcPr>
            <w:tcW w:w="1652" w:type="dxa"/>
          </w:tcPr>
          <w:p w14:paraId="40A6C01F"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10,82</w:t>
            </w:r>
          </w:p>
        </w:tc>
        <w:tc>
          <w:tcPr>
            <w:tcW w:w="1652" w:type="dxa"/>
          </w:tcPr>
          <w:p w14:paraId="58254039"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13,03</w:t>
            </w:r>
          </w:p>
        </w:tc>
        <w:tc>
          <w:tcPr>
            <w:tcW w:w="1730" w:type="dxa"/>
          </w:tcPr>
          <w:p w14:paraId="281DB82E"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3,08</w:t>
            </w:r>
          </w:p>
        </w:tc>
        <w:tc>
          <w:tcPr>
            <w:tcW w:w="1730" w:type="dxa"/>
          </w:tcPr>
          <w:p w14:paraId="172F7EA7"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3,79</w:t>
            </w:r>
          </w:p>
        </w:tc>
      </w:tr>
      <w:tr w:rsidR="00547076" w:rsidRPr="00207A79" w14:paraId="38421198" w14:textId="77777777" w:rsidTr="00B20B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56CCE775"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20</w:t>
            </w:r>
          </w:p>
        </w:tc>
        <w:tc>
          <w:tcPr>
            <w:tcW w:w="1963" w:type="dxa"/>
          </w:tcPr>
          <w:p w14:paraId="0DD863AD" w14:textId="656F2552" w:rsidR="00547076" w:rsidRPr="00207A79" w:rsidRDefault="00547076" w:rsidP="00547076">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Netherlands – [NL]</w:t>
            </w:r>
          </w:p>
        </w:tc>
        <w:tc>
          <w:tcPr>
            <w:tcW w:w="1652" w:type="dxa"/>
          </w:tcPr>
          <w:p w14:paraId="4174941A"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15,96</w:t>
            </w:r>
          </w:p>
        </w:tc>
        <w:tc>
          <w:tcPr>
            <w:tcW w:w="1652" w:type="dxa"/>
          </w:tcPr>
          <w:p w14:paraId="30628263"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14,51</w:t>
            </w:r>
          </w:p>
        </w:tc>
        <w:tc>
          <w:tcPr>
            <w:tcW w:w="1730" w:type="dxa"/>
          </w:tcPr>
          <w:p w14:paraId="4E30DABE"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4,62</w:t>
            </w:r>
          </w:p>
        </w:tc>
        <w:tc>
          <w:tcPr>
            <w:tcW w:w="1730" w:type="dxa"/>
          </w:tcPr>
          <w:p w14:paraId="43448F81"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4,23</w:t>
            </w:r>
          </w:p>
        </w:tc>
      </w:tr>
      <w:tr w:rsidR="00547076" w:rsidRPr="00207A79" w14:paraId="039942B5" w14:textId="77777777" w:rsidTr="00B2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59A9C3DE"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21</w:t>
            </w:r>
          </w:p>
        </w:tc>
        <w:tc>
          <w:tcPr>
            <w:tcW w:w="1963" w:type="dxa"/>
          </w:tcPr>
          <w:p w14:paraId="60CBF8B5" w14:textId="7C78115F" w:rsidR="00547076" w:rsidRPr="00207A79" w:rsidRDefault="00547076" w:rsidP="00547076">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Poland – [PL]</w:t>
            </w:r>
          </w:p>
        </w:tc>
        <w:tc>
          <w:tcPr>
            <w:tcW w:w="1652" w:type="dxa"/>
          </w:tcPr>
          <w:p w14:paraId="0C112886"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18,10</w:t>
            </w:r>
          </w:p>
        </w:tc>
        <w:tc>
          <w:tcPr>
            <w:tcW w:w="1652" w:type="dxa"/>
          </w:tcPr>
          <w:p w14:paraId="094C5E52"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18,67</w:t>
            </w:r>
          </w:p>
        </w:tc>
        <w:tc>
          <w:tcPr>
            <w:tcW w:w="1730" w:type="dxa"/>
          </w:tcPr>
          <w:p w14:paraId="51CB27C2"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5,05</w:t>
            </w:r>
          </w:p>
        </w:tc>
        <w:tc>
          <w:tcPr>
            <w:tcW w:w="1730" w:type="dxa"/>
          </w:tcPr>
          <w:p w14:paraId="79C1319D"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5,15</w:t>
            </w:r>
          </w:p>
        </w:tc>
      </w:tr>
      <w:tr w:rsidR="00547076" w:rsidRPr="00207A79" w14:paraId="38C3998F" w14:textId="77777777" w:rsidTr="00B20B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29A0D82C"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22</w:t>
            </w:r>
          </w:p>
        </w:tc>
        <w:tc>
          <w:tcPr>
            <w:tcW w:w="1963" w:type="dxa"/>
          </w:tcPr>
          <w:p w14:paraId="1A91CF3A" w14:textId="0CDE6232" w:rsidR="00547076" w:rsidRPr="00207A79" w:rsidRDefault="00547076" w:rsidP="00547076">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Portugal – [PT]</w:t>
            </w:r>
          </w:p>
        </w:tc>
        <w:tc>
          <w:tcPr>
            <w:tcW w:w="1652" w:type="dxa"/>
          </w:tcPr>
          <w:p w14:paraId="66C7A33C"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18,29</w:t>
            </w:r>
          </w:p>
        </w:tc>
        <w:tc>
          <w:tcPr>
            <w:tcW w:w="1652" w:type="dxa"/>
          </w:tcPr>
          <w:p w14:paraId="13CE135C"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16,89</w:t>
            </w:r>
          </w:p>
        </w:tc>
        <w:tc>
          <w:tcPr>
            <w:tcW w:w="1730" w:type="dxa"/>
          </w:tcPr>
          <w:p w14:paraId="63C96CBD"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5,24</w:t>
            </w:r>
          </w:p>
        </w:tc>
        <w:tc>
          <w:tcPr>
            <w:tcW w:w="1730" w:type="dxa"/>
          </w:tcPr>
          <w:p w14:paraId="415D70F7"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4,81</w:t>
            </w:r>
          </w:p>
        </w:tc>
      </w:tr>
      <w:tr w:rsidR="00547076" w:rsidRPr="00207A79" w14:paraId="6F7CABD1" w14:textId="77777777" w:rsidTr="00B2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42E6D705"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23</w:t>
            </w:r>
          </w:p>
        </w:tc>
        <w:tc>
          <w:tcPr>
            <w:tcW w:w="1963" w:type="dxa"/>
          </w:tcPr>
          <w:p w14:paraId="2CD3AD04" w14:textId="597F2FB0" w:rsidR="00547076" w:rsidRPr="00207A79" w:rsidRDefault="00547076" w:rsidP="00547076">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Romania – [RO]</w:t>
            </w:r>
          </w:p>
        </w:tc>
        <w:tc>
          <w:tcPr>
            <w:tcW w:w="1652" w:type="dxa"/>
          </w:tcPr>
          <w:p w14:paraId="4FA12FE5"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28,25</w:t>
            </w:r>
          </w:p>
        </w:tc>
        <w:tc>
          <w:tcPr>
            <w:tcW w:w="1652" w:type="dxa"/>
          </w:tcPr>
          <w:p w14:paraId="75B73BEE"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27,30</w:t>
            </w:r>
          </w:p>
        </w:tc>
        <w:tc>
          <w:tcPr>
            <w:tcW w:w="1730" w:type="dxa"/>
          </w:tcPr>
          <w:p w14:paraId="11830E34"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7,82</w:t>
            </w:r>
          </w:p>
        </w:tc>
        <w:tc>
          <w:tcPr>
            <w:tcW w:w="1730" w:type="dxa"/>
          </w:tcPr>
          <w:p w14:paraId="6BC4945D"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7,51</w:t>
            </w:r>
          </w:p>
        </w:tc>
      </w:tr>
      <w:tr w:rsidR="00547076" w:rsidRPr="00207A79" w14:paraId="471926D5" w14:textId="77777777" w:rsidTr="00B20B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1CD870D5"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24</w:t>
            </w:r>
          </w:p>
        </w:tc>
        <w:tc>
          <w:tcPr>
            <w:tcW w:w="1963" w:type="dxa"/>
          </w:tcPr>
          <w:p w14:paraId="366D5141" w14:textId="05E8260C" w:rsidR="00547076" w:rsidRPr="00207A79" w:rsidRDefault="00547076" w:rsidP="00547076">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Slovakia – [SK]</w:t>
            </w:r>
          </w:p>
        </w:tc>
        <w:tc>
          <w:tcPr>
            <w:tcW w:w="1652" w:type="dxa"/>
          </w:tcPr>
          <w:p w14:paraId="1AD2F518"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16,81</w:t>
            </w:r>
          </w:p>
        </w:tc>
        <w:tc>
          <w:tcPr>
            <w:tcW w:w="1652" w:type="dxa"/>
          </w:tcPr>
          <w:p w14:paraId="2A116253"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16,74</w:t>
            </w:r>
          </w:p>
        </w:tc>
        <w:tc>
          <w:tcPr>
            <w:tcW w:w="1730" w:type="dxa"/>
          </w:tcPr>
          <w:p w14:paraId="77F5E45D"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4,72</w:t>
            </w:r>
          </w:p>
        </w:tc>
        <w:tc>
          <w:tcPr>
            <w:tcW w:w="1730" w:type="dxa"/>
          </w:tcPr>
          <w:p w14:paraId="2F46B84D"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4,61</w:t>
            </w:r>
          </w:p>
        </w:tc>
      </w:tr>
      <w:tr w:rsidR="00547076" w:rsidRPr="00207A79" w14:paraId="1757E2D2" w14:textId="77777777" w:rsidTr="00B2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2AF39072"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25</w:t>
            </w:r>
          </w:p>
        </w:tc>
        <w:tc>
          <w:tcPr>
            <w:tcW w:w="1963" w:type="dxa"/>
          </w:tcPr>
          <w:p w14:paraId="5CF941CD" w14:textId="77D859D3" w:rsidR="00547076" w:rsidRPr="00207A79" w:rsidRDefault="00547076" w:rsidP="00547076">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Slovenia – [SI]</w:t>
            </w:r>
          </w:p>
        </w:tc>
        <w:tc>
          <w:tcPr>
            <w:tcW w:w="1652" w:type="dxa"/>
          </w:tcPr>
          <w:p w14:paraId="615E2DE3"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17,71</w:t>
            </w:r>
          </w:p>
        </w:tc>
        <w:tc>
          <w:tcPr>
            <w:tcW w:w="1652" w:type="dxa"/>
          </w:tcPr>
          <w:p w14:paraId="75134430"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17,33</w:t>
            </w:r>
          </w:p>
        </w:tc>
        <w:tc>
          <w:tcPr>
            <w:tcW w:w="1730" w:type="dxa"/>
          </w:tcPr>
          <w:p w14:paraId="7F2BE6C3"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4,81</w:t>
            </w:r>
          </w:p>
        </w:tc>
        <w:tc>
          <w:tcPr>
            <w:tcW w:w="1730" w:type="dxa"/>
          </w:tcPr>
          <w:p w14:paraId="5240B476"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4,69</w:t>
            </w:r>
          </w:p>
        </w:tc>
      </w:tr>
      <w:tr w:rsidR="00547076" w:rsidRPr="00207A79" w14:paraId="099D4968" w14:textId="77777777" w:rsidTr="00B20B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21A53E80"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26</w:t>
            </w:r>
          </w:p>
        </w:tc>
        <w:tc>
          <w:tcPr>
            <w:tcW w:w="1963" w:type="dxa"/>
          </w:tcPr>
          <w:p w14:paraId="5B5B6E6B" w14:textId="527E34E9" w:rsidR="00547076" w:rsidRPr="00207A79" w:rsidRDefault="00547076" w:rsidP="00547076">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Spain – [ES]</w:t>
            </w:r>
          </w:p>
        </w:tc>
        <w:tc>
          <w:tcPr>
            <w:tcW w:w="1652" w:type="dxa"/>
          </w:tcPr>
          <w:p w14:paraId="5DA7E85E"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14,92</w:t>
            </w:r>
          </w:p>
        </w:tc>
        <w:tc>
          <w:tcPr>
            <w:tcW w:w="1652" w:type="dxa"/>
          </w:tcPr>
          <w:p w14:paraId="0D8A54C3"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17,26</w:t>
            </w:r>
          </w:p>
        </w:tc>
        <w:tc>
          <w:tcPr>
            <w:tcW w:w="1730" w:type="dxa"/>
          </w:tcPr>
          <w:p w14:paraId="0EE284ED"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4,26</w:t>
            </w:r>
          </w:p>
        </w:tc>
        <w:tc>
          <w:tcPr>
            <w:tcW w:w="1730" w:type="dxa"/>
          </w:tcPr>
          <w:p w14:paraId="23122189" w14:textId="77777777" w:rsidR="00547076" w:rsidRPr="00207A79" w:rsidRDefault="00547076" w:rsidP="0054707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4,92</w:t>
            </w:r>
          </w:p>
        </w:tc>
      </w:tr>
      <w:tr w:rsidR="00547076" w:rsidRPr="00207A79" w14:paraId="10F899B5" w14:textId="77777777" w:rsidTr="00B20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Pr>
          <w:p w14:paraId="7215DCF1" w14:textId="77777777" w:rsidR="00547076" w:rsidRPr="00207A79" w:rsidRDefault="00547076" w:rsidP="00547076">
            <w:pPr>
              <w:autoSpaceDE w:val="0"/>
              <w:autoSpaceDN w:val="0"/>
              <w:adjustRightInd w:val="0"/>
              <w:jc w:val="center"/>
              <w:rPr>
                <w:rFonts w:ascii="Times New Roman" w:hAnsi="Times New Roman"/>
                <w:bCs w:val="0"/>
                <w:sz w:val="20"/>
                <w:szCs w:val="20"/>
                <w:lang w:val="ro-RO"/>
              </w:rPr>
            </w:pPr>
            <w:r w:rsidRPr="00207A79">
              <w:rPr>
                <w:rFonts w:ascii="Times New Roman" w:hAnsi="Times New Roman"/>
                <w:bCs w:val="0"/>
                <w:sz w:val="20"/>
                <w:szCs w:val="20"/>
                <w:lang w:val="ro-RO"/>
              </w:rPr>
              <w:t>27</w:t>
            </w:r>
          </w:p>
        </w:tc>
        <w:tc>
          <w:tcPr>
            <w:tcW w:w="1963" w:type="dxa"/>
          </w:tcPr>
          <w:p w14:paraId="4BC9F24D" w14:textId="4FECD024" w:rsidR="00547076" w:rsidRPr="00207A79" w:rsidRDefault="00547076" w:rsidP="00547076">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207A79">
              <w:rPr>
                <w:rFonts w:ascii="Times New Roman" w:hAnsi="Times New Roman"/>
                <w:b/>
                <w:bCs/>
                <w:sz w:val="20"/>
                <w:szCs w:val="20"/>
              </w:rPr>
              <w:t>Sweden – [SE]</w:t>
            </w:r>
          </w:p>
        </w:tc>
        <w:tc>
          <w:tcPr>
            <w:tcW w:w="1652" w:type="dxa"/>
          </w:tcPr>
          <w:p w14:paraId="1D614B6B"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15,27</w:t>
            </w:r>
          </w:p>
        </w:tc>
        <w:tc>
          <w:tcPr>
            <w:tcW w:w="1652" w:type="dxa"/>
          </w:tcPr>
          <w:p w14:paraId="3896FA60"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14,42</w:t>
            </w:r>
          </w:p>
        </w:tc>
        <w:tc>
          <w:tcPr>
            <w:tcW w:w="1730" w:type="dxa"/>
          </w:tcPr>
          <w:p w14:paraId="130FF8B0"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4,42</w:t>
            </w:r>
          </w:p>
        </w:tc>
        <w:tc>
          <w:tcPr>
            <w:tcW w:w="1730" w:type="dxa"/>
          </w:tcPr>
          <w:p w14:paraId="66C43A2C" w14:textId="77777777" w:rsidR="00547076" w:rsidRPr="00207A79" w:rsidRDefault="00547076" w:rsidP="005470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ro-RO"/>
              </w:rPr>
            </w:pPr>
            <w:r w:rsidRPr="00207A79">
              <w:rPr>
                <w:rFonts w:ascii="Times New Roman" w:hAnsi="Times New Roman"/>
                <w:bCs/>
                <w:sz w:val="20"/>
                <w:szCs w:val="20"/>
                <w:lang w:val="ro-RO"/>
              </w:rPr>
              <w:t>4,18</w:t>
            </w:r>
          </w:p>
        </w:tc>
      </w:tr>
    </w:tbl>
    <w:p w14:paraId="7A167BDE" w14:textId="2C8DB040" w:rsidR="00656B8D" w:rsidRPr="00207A79" w:rsidRDefault="00547076" w:rsidP="00547076">
      <w:pPr>
        <w:ind w:firstLine="0"/>
        <w:jc w:val="center"/>
        <w:rPr>
          <w:lang w:val="en-US"/>
        </w:rPr>
      </w:pPr>
      <w:r w:rsidRPr="00207A79">
        <w:rPr>
          <w:sz w:val="20"/>
        </w:rPr>
        <w:t>Source: Own processing based on data provided by https://www.who.int/</w:t>
      </w:r>
    </w:p>
    <w:p w14:paraId="2D745DCC" w14:textId="2194F532" w:rsidR="00547076" w:rsidRPr="00207A79" w:rsidRDefault="00547076" w:rsidP="00547076">
      <w:pPr>
        <w:ind w:firstLine="567"/>
        <w:rPr>
          <w:szCs w:val="16"/>
        </w:rPr>
      </w:pPr>
      <w:r w:rsidRPr="00207A79">
        <w:rPr>
          <w:szCs w:val="16"/>
        </w:rPr>
        <w:t>Observăm că în țările unde politica de accize a fost mai eficientă s-a mai reușit reducerea nivelului de consum, însă vedem și cazuri precum cele ale Letoniei sau a Spaniei, unde consumul în rândul bărbaților din 2019 l-a devansat pe cel din 2010. Cu toate acestea, în literatura de specialitate identificăm opinii conform cărota consumului de alcool în societate a fost adesea neglijat în comparație cu fumatul și obezitatea. Cu toate acestea, din cauza efectelor sale majore asupra sănătății, factorii de decizie la nivel local, național și global ar trebui să conlucreze în vederea reducerii consumului, deoarece determină apariția a diverse probleme de sănătate care, în lipsa unor măsuri eficiente de prevenire, duc la procente tot mai îngrijorătoare privind pierderea unei vieți sănătoase, astfel încât a ajuns o problemă majoră de sănătate publică. Cu toate acestea, vedem că consumul din 2019 față de 2010 a avut tendinței asemenănătoare, după cum vedem în figura nr. 1:</w:t>
      </w:r>
    </w:p>
    <w:p w14:paraId="01B10CE7" w14:textId="77777777" w:rsidR="005A62AC" w:rsidRPr="00207A79" w:rsidRDefault="005A62AC" w:rsidP="00547076">
      <w:pPr>
        <w:ind w:firstLine="567"/>
        <w:rPr>
          <w:szCs w:val="16"/>
        </w:rPr>
      </w:pPr>
    </w:p>
    <w:p w14:paraId="1AA98D37" w14:textId="6BE85ABD" w:rsidR="00656B8D" w:rsidRPr="00207A79" w:rsidRDefault="005A62AC" w:rsidP="005A62AC">
      <w:pPr>
        <w:ind w:firstLine="0"/>
        <w:rPr>
          <w:lang w:val="en-US"/>
        </w:rPr>
      </w:pPr>
      <w:r w:rsidRPr="00207A79">
        <w:rPr>
          <w:noProof/>
          <w:lang w:val="en-US"/>
        </w:rPr>
        <w:drawing>
          <wp:inline distT="0" distB="0" distL="0" distR="0" wp14:anchorId="17D6EB12" wp14:editId="7E4D05E7">
            <wp:extent cx="6116955" cy="4419600"/>
            <wp:effectExtent l="0" t="0" r="0" b="0"/>
            <wp:docPr id="1510974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6955" cy="4419600"/>
                    </a:xfrm>
                    <a:prstGeom prst="rect">
                      <a:avLst/>
                    </a:prstGeom>
                    <a:noFill/>
                    <a:ln>
                      <a:noFill/>
                    </a:ln>
                  </pic:spPr>
                </pic:pic>
              </a:graphicData>
            </a:graphic>
          </wp:inline>
        </w:drawing>
      </w:r>
    </w:p>
    <w:p w14:paraId="0E384CAE" w14:textId="20E26E74" w:rsidR="005A62AC" w:rsidRPr="00207A79" w:rsidRDefault="005A62AC" w:rsidP="005A62AC">
      <w:pPr>
        <w:jc w:val="center"/>
      </w:pPr>
      <w:r w:rsidRPr="00207A79">
        <w:rPr>
          <w:b/>
          <w:bCs/>
        </w:rPr>
        <w:t>Figure no. 1. Alcohol consumption by gender in EU countries, a comparison for the years 2010-2019</w:t>
      </w:r>
    </w:p>
    <w:p w14:paraId="2DE65E75" w14:textId="1461FD1F" w:rsidR="005A62AC" w:rsidRPr="00207A79" w:rsidRDefault="005A62AC" w:rsidP="00656B8D">
      <w:pPr>
        <w:rPr>
          <w:sz w:val="20"/>
          <w:szCs w:val="20"/>
        </w:rPr>
      </w:pPr>
      <w:r w:rsidRPr="00207A79">
        <w:rPr>
          <w:sz w:val="20"/>
          <w:szCs w:val="20"/>
        </w:rPr>
        <w:t xml:space="preserve">Source: Own processing based on data provided by </w:t>
      </w:r>
      <w:r w:rsidRPr="00207A79">
        <w:rPr>
          <w:sz w:val="20"/>
          <w:szCs w:val="20"/>
        </w:rPr>
        <w:fldChar w:fldCharType="begin"/>
      </w:r>
      <w:r w:rsidRPr="00207A79">
        <w:rPr>
          <w:sz w:val="20"/>
          <w:szCs w:val="20"/>
        </w:rPr>
        <w:instrText>HYPERLINK "https://www.who.int/"</w:instrText>
      </w:r>
      <w:r w:rsidRPr="00207A79">
        <w:rPr>
          <w:sz w:val="20"/>
          <w:szCs w:val="20"/>
        </w:rPr>
      </w:r>
      <w:r w:rsidRPr="00207A79">
        <w:rPr>
          <w:sz w:val="20"/>
          <w:szCs w:val="20"/>
        </w:rPr>
        <w:fldChar w:fldCharType="separate"/>
      </w:r>
      <w:r w:rsidRPr="00207A79">
        <w:rPr>
          <w:rStyle w:val="Hyperlink"/>
          <w:sz w:val="20"/>
          <w:szCs w:val="20"/>
        </w:rPr>
        <w:t>https://www.who.int/</w:t>
      </w:r>
      <w:r w:rsidRPr="00207A79">
        <w:rPr>
          <w:sz w:val="20"/>
          <w:szCs w:val="20"/>
        </w:rPr>
        <w:fldChar w:fldCharType="end"/>
      </w:r>
    </w:p>
    <w:p w14:paraId="2AC1A0A5" w14:textId="77777777" w:rsidR="005A62AC" w:rsidRPr="00207A79" w:rsidRDefault="005A62AC" w:rsidP="00656B8D"/>
    <w:p w14:paraId="39C47A33" w14:textId="77777777" w:rsidR="005A62AC" w:rsidRPr="00207A79" w:rsidRDefault="005A62AC" w:rsidP="005A62AC">
      <w:pPr>
        <w:ind w:firstLine="567"/>
        <w:rPr>
          <w:szCs w:val="16"/>
        </w:rPr>
      </w:pPr>
      <w:r w:rsidRPr="00207A79">
        <w:rPr>
          <w:szCs w:val="16"/>
        </w:rPr>
        <w:t xml:space="preserve">Astfel în următorul subcapitol vom discuta mai în detaliu aspectele referitoare la accizarea băuturilor alcoolice ca posibilă soluție de ameliorare a impactului asupra stării de sănănătate a populației consumatoare. </w:t>
      </w:r>
    </w:p>
    <w:p w14:paraId="4D7FC564" w14:textId="77777777" w:rsidR="005A62AC" w:rsidRPr="00207A79" w:rsidRDefault="005A62AC" w:rsidP="00656B8D"/>
    <w:p w14:paraId="10E6DCFE" w14:textId="77777777" w:rsidR="005A62AC" w:rsidRPr="00207A79" w:rsidRDefault="005A62AC" w:rsidP="00656B8D">
      <w:pPr>
        <w:rPr>
          <w:lang w:val="en-US"/>
        </w:rPr>
      </w:pPr>
    </w:p>
    <w:p w14:paraId="1D503E20" w14:textId="7792D4AE" w:rsidR="00656B8D" w:rsidRPr="00207A79" w:rsidRDefault="005A62AC" w:rsidP="00026A9A">
      <w:pPr>
        <w:pStyle w:val="Heading4"/>
        <w:numPr>
          <w:ilvl w:val="2"/>
          <w:numId w:val="7"/>
        </w:numPr>
        <w:shd w:val="clear" w:color="auto" w:fill="FFFFFF"/>
        <w:tabs>
          <w:tab w:val="left" w:pos="993"/>
        </w:tabs>
        <w:rPr>
          <w:lang w:val="en-US"/>
        </w:rPr>
      </w:pPr>
      <w:r w:rsidRPr="00207A79">
        <w:rPr>
          <w:b/>
          <w:lang w:val="en-US"/>
        </w:rPr>
        <w:t>ACCIZAREA BĂUTURILOR ALCOOLICE – O POSIBILĂ SOLUȚIE</w:t>
      </w:r>
    </w:p>
    <w:p w14:paraId="58B30AAA" w14:textId="77777777" w:rsidR="00A93D73" w:rsidRPr="00207A79" w:rsidRDefault="00A93D73" w:rsidP="006F1378">
      <w:pPr>
        <w:ind w:firstLine="0"/>
        <w:rPr>
          <w:i/>
          <w:lang w:val="en-US"/>
        </w:rPr>
      </w:pPr>
    </w:p>
    <w:p w14:paraId="71440749" w14:textId="12860507" w:rsidR="005A62AC" w:rsidRPr="00207A79" w:rsidRDefault="005A62AC" w:rsidP="005A62AC">
      <w:pPr>
        <w:ind w:firstLine="567"/>
      </w:pPr>
      <w:r w:rsidRPr="00207A79">
        <w:t>Consumul de alcool este o cauză principală de deces și dizabilitate la nivel mondial, în special în rândul celor de vârstă activă. Consumul mare de alcool este un factor de risc major pentru bolile de inima si accidentele vasculare cerebrale, ciroza hepatica si anumite tipuri de cancer, dar chiar si consumul scazut si moderat de alcool creste riscul pe termen lung al acestor boli. Consumul de alcool a condus, de asemenea, la creșterea frecvenței de producere a  accidentelor rutiere, a diverselor crime, sinucideri și tulburări de sănătate mintală decât orice altă substanță psihoactivă, în special în rândul tinerilor. Afacțiunile provocate de consumul alcoolului în exces implică costuri ridicate pentru societate. Conform datelor prezentate la nivelul țărilor OECD, în medie, 2,4% din cheltuielile cu sănătatea sunt alocate în vederea acoperii costurilor generate de consumul de alcool, iar cifra ajunge până la 4% în unele țări (OECD).</w:t>
      </w:r>
    </w:p>
    <w:p w14:paraId="59D86E3C" w14:textId="6C14DB7F" w:rsidR="005A62AC" w:rsidRPr="00207A79" w:rsidRDefault="005A62AC" w:rsidP="005A62AC">
      <w:pPr>
        <w:ind w:firstLine="567"/>
      </w:pPr>
      <w:r w:rsidRPr="00207A79">
        <w:t>În timp ce datele naționale privind consumul total pe cap de locuitor facilitează evaluarea tendințelor pe termen lung, ele nu identifică modele de consum nociv, cum ar fi consumul episodic intens (numit și consumul excesiv de alcool). Aproape unul din cinci adulți (19%) a raportat consumul episodic de alcool cel puțin o dată pe lună, în medie în 29 de țări OCDE în 2019. În toate țările, bărbații se consideră a fi mai predispuși decât femeile să raporteze consumul episodic de alcool. În medie, în țările OECD, 26% dintre bărbați au raportat că au consumat în mod episodic cel puțin o dată pe lună, comparativ cu 12% dintre femei.</w:t>
      </w:r>
    </w:p>
    <w:p w14:paraId="5F09D13B" w14:textId="77777777" w:rsidR="005A62AC" w:rsidRPr="00207A79" w:rsidRDefault="005A62AC" w:rsidP="005A62AC">
      <w:pPr>
        <w:ind w:firstLine="567"/>
      </w:pPr>
      <w:r w:rsidRPr="00207A79">
        <w:t xml:space="preserve">Politicile de combatere a consumului dăunător de alcool includ strategii ample și cele care vizează consumatorii intensi de alcool. Pachetele de politici ample construite în baza unei strategii de stabilire a prețurilor în vederea reducerii sau limitării accesibilității alcoolului ieftin, de a combate consumul alcoolului la volan, de a asigura consiliere bazată pe asistență medicală primară pentru persoanele cu modele dăunătoare de consum de alcool și protejarea copiilor de promovarea alcoolului – toate aceste aspecte sunt extrem de importante. Aceste abordări strategice sunt gândite în termeni care să justifice raportul dintre cost și eficiență în vederea combaterii consumului dăunător de alcool. </w:t>
      </w:r>
    </w:p>
    <w:p w14:paraId="3A2BF47F" w14:textId="16ACB1AF" w:rsidR="0008671A" w:rsidRPr="00207A79" w:rsidRDefault="005A62AC" w:rsidP="005A62AC">
      <w:pPr>
        <w:ind w:firstLine="708"/>
      </w:pPr>
      <w:r w:rsidRPr="00207A79">
        <w:t>Două schimbări inovatoare recente apar în peisajul politicii privind reducerea consumului de alcoolul. Una ține de utilizarea prețului minim unitar, prin care se stabilește un preț minim sub care alcoolul nu poate fi vândut în mod legal. Această măsură vizează anume alcoolul ieftin care este consumat de o categorie destul de largă de persoane. Măsura a fost introdusă în unele țări precum Irlanda în 2022, fiind implementată și în Scoția și Țara Galilor și în unele regiuni din Australia și Canada. A doua măsură inivative ține de abordarea legislativă care impune etichetarea produselor alcoolice. Deși în unele țări există deja etichete de avertizare despre pericolele consumului de alcool în timpul sarcinii, Irlanda a devenit prima țară la nivel global care a impus etichete cu avertismente de sănătate la nivel de populație pe produsele alcoolice (cum ar fi riscul de cancer și boli hepatice asociat alcoolului).</w:t>
      </w:r>
    </w:p>
    <w:p w14:paraId="25C5ECBF" w14:textId="77777777" w:rsidR="00A93D73" w:rsidRPr="00207A79" w:rsidRDefault="00A93D73" w:rsidP="00A93D73">
      <w:pPr>
        <w:ind w:firstLine="0"/>
        <w:rPr>
          <w:i/>
          <w:sz w:val="20"/>
          <w:szCs w:val="20"/>
          <w:lang w:val="en-US"/>
        </w:rPr>
      </w:pPr>
    </w:p>
    <w:p w14:paraId="351831DB" w14:textId="77777777" w:rsidR="00094878" w:rsidRPr="00207A79" w:rsidRDefault="00094878" w:rsidP="00A93D73">
      <w:pPr>
        <w:ind w:firstLine="0"/>
        <w:rPr>
          <w:i/>
          <w:lang w:val="en-US"/>
        </w:rPr>
      </w:pPr>
    </w:p>
    <w:p w14:paraId="7C3D698F" w14:textId="6FE2E974" w:rsidR="00A93D73" w:rsidRPr="00207A79" w:rsidRDefault="005A62AC" w:rsidP="00026A9A">
      <w:pPr>
        <w:pStyle w:val="Heading4"/>
        <w:numPr>
          <w:ilvl w:val="2"/>
          <w:numId w:val="7"/>
        </w:numPr>
        <w:shd w:val="clear" w:color="auto" w:fill="FFFFFF"/>
        <w:tabs>
          <w:tab w:val="left" w:pos="993"/>
        </w:tabs>
        <w:rPr>
          <w:b/>
          <w:lang w:val="en-US"/>
        </w:rPr>
      </w:pPr>
      <w:r w:rsidRPr="00207A79">
        <w:rPr>
          <w:b/>
          <w:lang w:val="en-US"/>
        </w:rPr>
        <w:t>SCOPUL TAXĂRII CONSUMULUI DE TUTUN ŞI ŢIGĂRI</w:t>
      </w:r>
    </w:p>
    <w:p w14:paraId="6D80CD70" w14:textId="77777777" w:rsidR="005A62AC" w:rsidRPr="00207A79" w:rsidRDefault="005A62AC" w:rsidP="005A62AC">
      <w:pPr>
        <w:pStyle w:val="Heading4"/>
        <w:numPr>
          <w:ilvl w:val="0"/>
          <w:numId w:val="0"/>
        </w:numPr>
        <w:shd w:val="clear" w:color="auto" w:fill="FFFFFF"/>
        <w:tabs>
          <w:tab w:val="left" w:pos="993"/>
        </w:tabs>
        <w:ind w:left="864" w:hanging="144"/>
        <w:rPr>
          <w:b/>
          <w:lang w:val="en-US"/>
        </w:rPr>
      </w:pPr>
    </w:p>
    <w:p w14:paraId="3531A7DD" w14:textId="09483CDB" w:rsidR="005A62AC" w:rsidRPr="00207A79" w:rsidRDefault="005A62AC" w:rsidP="005A62AC">
      <w:pPr>
        <w:ind w:firstLine="567"/>
      </w:pPr>
      <w:r w:rsidRPr="00207A79">
        <w:t>În anul 2020, 2,7 milioane de oameni din Uniunea Europeană au fost diagnosticați cu cancer, iar alte 1,3 milioane de oameni și-au pierdut viața din cauza acestuia, inclusiv peste 2.000 de tineri. Dacă nu luăm măsuri decisive acum, numărul cazurilor de cancer va crește cu 24% până în 2035, devenind principala cauză de deces în UE. Cu toate acestea, cifrele și statisticile au aceleași tendințe ca și consumul sau procentul fumătorilor, care este și el în creștere, mai ales în rândul tinerilor. Astfel prezentăm în continuare procentul persoanelor fumătoare la nivelul anului 2023 din țările membre UE. Conform datelor, țara noastră se poziționează undeva în zona mediană a clasamentului, iar pe primul loc este Bulgaria, care prezintă un procent ce depășește 28%, la polul opus se află Suedia, care are cel mai mic procent al fumătorilor la nivelul UE, după, cum putem vedea în figura de mai jos:</w:t>
      </w:r>
    </w:p>
    <w:p w14:paraId="7B51B189" w14:textId="14B40012" w:rsidR="005A62AC" w:rsidRPr="00207A79" w:rsidRDefault="008458AF" w:rsidP="008458AF">
      <w:pPr>
        <w:ind w:firstLine="0"/>
        <w:rPr>
          <w:lang w:val="en-US"/>
        </w:rPr>
      </w:pPr>
      <w:r w:rsidRPr="00207A79">
        <w:rPr>
          <w:noProof/>
          <w:lang w:val="en-US"/>
        </w:rPr>
        <w:drawing>
          <wp:inline distT="0" distB="0" distL="0" distR="0" wp14:anchorId="2CF0B399" wp14:editId="69E4212E">
            <wp:extent cx="6089015" cy="4800600"/>
            <wp:effectExtent l="0" t="0" r="6985" b="0"/>
            <wp:docPr id="782933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9015" cy="4800600"/>
                    </a:xfrm>
                    <a:prstGeom prst="rect">
                      <a:avLst/>
                    </a:prstGeom>
                    <a:noFill/>
                    <a:ln>
                      <a:noFill/>
                    </a:ln>
                  </pic:spPr>
                </pic:pic>
              </a:graphicData>
            </a:graphic>
          </wp:inline>
        </w:drawing>
      </w:r>
    </w:p>
    <w:p w14:paraId="3D4DDADB" w14:textId="31F1C4D2" w:rsidR="008458AF" w:rsidRPr="00207A79" w:rsidRDefault="008458AF" w:rsidP="008458AF">
      <w:pPr>
        <w:jc w:val="center"/>
        <w:rPr>
          <w:b/>
          <w:bCs/>
        </w:rPr>
      </w:pPr>
      <w:r w:rsidRPr="00207A79">
        <w:rPr>
          <w:b/>
          <w:bCs/>
        </w:rPr>
        <w:t>Figure</w:t>
      </w:r>
      <w:r w:rsidR="00CE3F92" w:rsidRPr="00207A79">
        <w:rPr>
          <w:b/>
          <w:bCs/>
        </w:rPr>
        <w:t xml:space="preserve"> no.</w:t>
      </w:r>
      <w:r w:rsidRPr="00207A79">
        <w:rPr>
          <w:b/>
          <w:bCs/>
        </w:rPr>
        <w:t xml:space="preserve"> 2. Percentage of daily smokers among people over 15 years of age, EU, 2023 </w:t>
      </w:r>
    </w:p>
    <w:p w14:paraId="1F164A6B" w14:textId="11171358" w:rsidR="005A62AC" w:rsidRPr="00207A79" w:rsidRDefault="008458AF" w:rsidP="008458AF">
      <w:pPr>
        <w:jc w:val="center"/>
      </w:pPr>
      <w:r w:rsidRPr="00207A79">
        <w:rPr>
          <w:sz w:val="20"/>
          <w:szCs w:val="20"/>
        </w:rPr>
        <w:t xml:space="preserve">Source: Own processing based on data provided by: </w:t>
      </w:r>
      <w:r w:rsidRPr="00207A79">
        <w:rPr>
          <w:sz w:val="20"/>
          <w:szCs w:val="20"/>
        </w:rPr>
        <w:fldChar w:fldCharType="begin"/>
      </w:r>
      <w:r w:rsidRPr="00207A79">
        <w:rPr>
          <w:sz w:val="20"/>
          <w:szCs w:val="20"/>
        </w:rPr>
        <w:instrText>HYPERLINK "https://ec.europa.eu/"</w:instrText>
      </w:r>
      <w:r w:rsidRPr="00207A79">
        <w:rPr>
          <w:sz w:val="20"/>
          <w:szCs w:val="20"/>
        </w:rPr>
      </w:r>
      <w:r w:rsidRPr="00207A79">
        <w:rPr>
          <w:sz w:val="20"/>
          <w:szCs w:val="20"/>
        </w:rPr>
        <w:fldChar w:fldCharType="separate"/>
      </w:r>
      <w:r w:rsidRPr="00207A79">
        <w:rPr>
          <w:rStyle w:val="Hyperlink"/>
          <w:sz w:val="20"/>
          <w:szCs w:val="20"/>
        </w:rPr>
        <w:t>https://ec.europa.eu/</w:t>
      </w:r>
      <w:r w:rsidRPr="00207A79">
        <w:rPr>
          <w:sz w:val="20"/>
          <w:szCs w:val="20"/>
        </w:rPr>
        <w:fldChar w:fldCharType="end"/>
      </w:r>
    </w:p>
    <w:p w14:paraId="6AEAB96E" w14:textId="77777777" w:rsidR="008458AF" w:rsidRPr="00207A79" w:rsidRDefault="008458AF" w:rsidP="008458AF">
      <w:pPr>
        <w:ind w:firstLine="567"/>
      </w:pPr>
    </w:p>
    <w:p w14:paraId="5519DC3B" w14:textId="47678F21" w:rsidR="008458AF" w:rsidRPr="00207A79" w:rsidRDefault="008458AF" w:rsidP="008458AF">
      <w:pPr>
        <w:ind w:firstLine="567"/>
      </w:pPr>
      <w:r w:rsidRPr="00207A79">
        <w:t>Observăm că procentul cel mai mare al fumătorilor activi îl prezintă Bulgaria – 28,7% dintre cetățenii bulgari de peste 15 ani sunt fumători ce se încadrează în una dintre cele două categorii din punct de vedere al consumului pe zi. La polul opus este Suedia cu un procent total de 6,3% raportat la populația sa.</w:t>
      </w:r>
    </w:p>
    <w:p w14:paraId="47733DF0" w14:textId="77777777" w:rsidR="008458AF" w:rsidRPr="00207A79" w:rsidRDefault="008458AF" w:rsidP="005A62AC">
      <w:pPr>
        <w:rPr>
          <w:lang w:val="en-US"/>
        </w:rPr>
      </w:pPr>
    </w:p>
    <w:p w14:paraId="40BFB8F2" w14:textId="77777777" w:rsidR="00A94265" w:rsidRPr="00207A79" w:rsidRDefault="00A94265" w:rsidP="006561A3">
      <w:pPr>
        <w:ind w:firstLine="708"/>
        <w:rPr>
          <w:bCs/>
        </w:rPr>
      </w:pPr>
    </w:p>
    <w:p w14:paraId="4F967438" w14:textId="77777777" w:rsidR="004F6B39" w:rsidRPr="00207A79" w:rsidRDefault="004F6B39" w:rsidP="006561A3">
      <w:pPr>
        <w:ind w:firstLine="708"/>
        <w:rPr>
          <w:lang w:val="en-US"/>
        </w:rPr>
      </w:pPr>
    </w:p>
    <w:p w14:paraId="69BB9D3A" w14:textId="77777777" w:rsidR="006C07D5" w:rsidRPr="00207A79" w:rsidRDefault="006C07D5" w:rsidP="006561A3">
      <w:pPr>
        <w:ind w:firstLine="708"/>
        <w:rPr>
          <w:lang w:val="en-US"/>
        </w:rPr>
      </w:pPr>
    </w:p>
    <w:bookmarkEnd w:id="0"/>
    <w:bookmarkEnd w:id="1"/>
    <w:bookmarkEnd w:id="2"/>
    <w:p w14:paraId="7A3CAD50" w14:textId="679E5F44" w:rsidR="00050375" w:rsidRPr="00207A79" w:rsidRDefault="00026A9A" w:rsidP="00026A9A">
      <w:pPr>
        <w:pStyle w:val="Heading4"/>
        <w:numPr>
          <w:ilvl w:val="1"/>
          <w:numId w:val="7"/>
        </w:numPr>
        <w:shd w:val="clear" w:color="auto" w:fill="FFFFFF"/>
        <w:tabs>
          <w:tab w:val="left" w:pos="567"/>
          <w:tab w:val="left" w:pos="709"/>
          <w:tab w:val="left" w:pos="851"/>
          <w:tab w:val="left" w:pos="993"/>
        </w:tabs>
        <w:ind w:left="0" w:firstLine="709"/>
        <w:rPr>
          <w:b/>
          <w:lang w:val="en-US"/>
        </w:rPr>
      </w:pPr>
      <w:r w:rsidRPr="00207A79">
        <w:rPr>
          <w:b/>
          <w:lang w:val="en-US"/>
        </w:rPr>
        <w:t xml:space="preserve">REZULTATELE ANALIZEI ECONOMETRICE PRIVIND </w:t>
      </w:r>
      <w:r w:rsidR="006C07D5" w:rsidRPr="00207A79">
        <w:rPr>
          <w:b/>
          <w:lang w:val="en-US"/>
        </w:rPr>
        <w:t>ANALIZA CORELAŢIEI ACCIZE –CONSUM ÎN UE</w:t>
      </w:r>
    </w:p>
    <w:p w14:paraId="36EF694C" w14:textId="77777777" w:rsidR="006024C8" w:rsidRPr="00207A79" w:rsidRDefault="006024C8" w:rsidP="006024C8">
      <w:pPr>
        <w:ind w:firstLine="0"/>
        <w:rPr>
          <w:i/>
          <w:lang w:val="en-US"/>
        </w:rPr>
      </w:pPr>
    </w:p>
    <w:p w14:paraId="1D1A565C" w14:textId="6C1ACE59" w:rsidR="006C07D5" w:rsidRPr="00207A79" w:rsidRDefault="006C07D5" w:rsidP="004F6B39">
      <w:pPr>
        <w:spacing w:line="276" w:lineRule="auto"/>
        <w:ind w:firstLine="708"/>
      </w:pPr>
      <w:r w:rsidRPr="00207A79">
        <w:t>Din punct de vedere istoric, alcoolul și produsele din tutun au avut și continuă să dețină un rol important în angajamentul social cu impact în domeniului economic, social. Consumul în exces a produselor pe bază de alcool sau tutun generează o serie de consecințe negative, reprezentând un factor de risc în apariția diverselor boli și având efecte asupra sănătății publice.</w:t>
      </w:r>
    </w:p>
    <w:p w14:paraId="5B139C2E" w14:textId="14C763B6" w:rsidR="006C07D5" w:rsidRPr="00207A79" w:rsidRDefault="006C07D5" w:rsidP="006C07D5">
      <w:pPr>
        <w:ind w:firstLine="567"/>
      </w:pPr>
      <w:r w:rsidRPr="00207A79">
        <w:t>Cercetarea noastră s-a bazat pe datele privind nivelul accizelor pentru băuturile alcoolice și țigări dar și a consumurilor aferente acestor categorii de produse la nivelul țărilor UE. După cum putem vedea în tabelul 3.2 numărul înregistrărilor este 27, adică cercetarea s-a bazat pe înregistrări din toate cele 27 de țări membre ale Uniunii Europene, iar valorile sunt aferente anului 2023. Tabelul, de asemenea prezintă valorile maxime şi medii pentru reperele analizate.</w:t>
      </w:r>
    </w:p>
    <w:p w14:paraId="2F69EFAF" w14:textId="77777777" w:rsidR="00DC3E96" w:rsidRPr="00207A79" w:rsidRDefault="00DC3E96" w:rsidP="00A93D73">
      <w:pPr>
        <w:spacing w:line="276" w:lineRule="auto"/>
        <w:ind w:firstLine="0"/>
        <w:jc w:val="center"/>
        <w:rPr>
          <w:b/>
          <w:lang w:val="en-US"/>
        </w:rPr>
      </w:pPr>
      <w:bookmarkStart w:id="4" w:name="_Toc72492480"/>
    </w:p>
    <w:p w14:paraId="0596D55E" w14:textId="7FC59AAF" w:rsidR="006C07D5" w:rsidRPr="00207A79" w:rsidRDefault="00ED2CDE" w:rsidP="006C07D5">
      <w:pPr>
        <w:spacing w:line="276" w:lineRule="auto"/>
        <w:ind w:firstLine="0"/>
        <w:jc w:val="center"/>
        <w:rPr>
          <w:b/>
        </w:rPr>
      </w:pPr>
      <w:r w:rsidRPr="00207A79">
        <w:rPr>
          <w:b/>
          <w:lang w:val="en-US"/>
        </w:rPr>
        <w:t>Table no.</w:t>
      </w:r>
      <w:r w:rsidRPr="00207A79">
        <w:rPr>
          <w:b/>
          <w:lang w:val="en-US"/>
        </w:rPr>
        <w:fldChar w:fldCharType="begin"/>
      </w:r>
      <w:r w:rsidRPr="00207A79">
        <w:rPr>
          <w:b/>
          <w:lang w:val="en-US"/>
        </w:rPr>
        <w:instrText>SEQ Tabel \* ARABIC</w:instrText>
      </w:r>
      <w:r w:rsidRPr="00207A79">
        <w:rPr>
          <w:b/>
          <w:lang w:val="en-US"/>
        </w:rPr>
        <w:fldChar w:fldCharType="separate"/>
      </w:r>
      <w:r w:rsidRPr="00207A79">
        <w:rPr>
          <w:b/>
          <w:lang w:val="en-US"/>
        </w:rPr>
        <w:t xml:space="preserve"> </w:t>
      </w:r>
      <w:r w:rsidR="006C07D5" w:rsidRPr="00207A79">
        <w:rPr>
          <w:b/>
          <w:lang w:val="en-US"/>
        </w:rPr>
        <w:t>2</w:t>
      </w:r>
      <w:r w:rsidRPr="00207A79">
        <w:rPr>
          <w:lang w:val="en-US"/>
        </w:rPr>
        <w:fldChar w:fldCharType="end"/>
      </w:r>
      <w:r w:rsidRPr="00207A79">
        <w:rPr>
          <w:b/>
          <w:lang w:val="en-US"/>
        </w:rPr>
        <w:t>.</w:t>
      </w:r>
      <w:r w:rsidR="00A93D73" w:rsidRPr="00207A79">
        <w:rPr>
          <w:bCs/>
          <w:sz w:val="20"/>
          <w:szCs w:val="20"/>
        </w:rPr>
        <w:t xml:space="preserve"> </w:t>
      </w:r>
      <w:bookmarkEnd w:id="4"/>
      <w:r w:rsidRPr="00207A79">
        <w:rPr>
          <w:b/>
        </w:rPr>
        <w:t xml:space="preserve">Descriptive statistics </w:t>
      </w:r>
    </w:p>
    <w:tbl>
      <w:tblPr>
        <w:tblW w:w="6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66"/>
        <w:gridCol w:w="1025"/>
        <w:gridCol w:w="1438"/>
        <w:gridCol w:w="1025"/>
      </w:tblGrid>
      <w:tr w:rsidR="006C07D5" w:rsidRPr="00207A79" w14:paraId="526657AB" w14:textId="77777777" w:rsidTr="00F65890">
        <w:trPr>
          <w:cantSplit/>
          <w:jc w:val="center"/>
        </w:trPr>
        <w:tc>
          <w:tcPr>
            <w:tcW w:w="3166" w:type="dxa"/>
            <w:shd w:val="clear" w:color="auto" w:fill="FFFFFF"/>
            <w:vAlign w:val="bottom"/>
          </w:tcPr>
          <w:p w14:paraId="06843C29" w14:textId="77777777" w:rsidR="006C07D5" w:rsidRPr="00207A79" w:rsidRDefault="006C07D5" w:rsidP="00F65890">
            <w:pPr>
              <w:autoSpaceDE w:val="0"/>
              <w:autoSpaceDN w:val="0"/>
              <w:adjustRightInd w:val="0"/>
            </w:pPr>
          </w:p>
        </w:tc>
        <w:tc>
          <w:tcPr>
            <w:tcW w:w="1025" w:type="dxa"/>
            <w:shd w:val="clear" w:color="auto" w:fill="FFFFFF"/>
            <w:vAlign w:val="bottom"/>
          </w:tcPr>
          <w:p w14:paraId="1A04AF8A" w14:textId="77777777" w:rsidR="006C07D5" w:rsidRPr="00207A79" w:rsidRDefault="006C07D5" w:rsidP="006C07D5">
            <w:pPr>
              <w:autoSpaceDE w:val="0"/>
              <w:autoSpaceDN w:val="0"/>
              <w:adjustRightInd w:val="0"/>
              <w:ind w:left="60" w:right="60" w:firstLine="0"/>
              <w:jc w:val="center"/>
              <w:rPr>
                <w:sz w:val="18"/>
                <w:szCs w:val="18"/>
              </w:rPr>
            </w:pPr>
            <w:r w:rsidRPr="00207A79">
              <w:rPr>
                <w:sz w:val="18"/>
                <w:szCs w:val="18"/>
              </w:rPr>
              <w:t>Mean</w:t>
            </w:r>
          </w:p>
        </w:tc>
        <w:tc>
          <w:tcPr>
            <w:tcW w:w="1438" w:type="dxa"/>
            <w:shd w:val="clear" w:color="auto" w:fill="FFFFFF"/>
            <w:vAlign w:val="bottom"/>
          </w:tcPr>
          <w:p w14:paraId="40CEEEEA" w14:textId="77777777" w:rsidR="006C07D5" w:rsidRPr="00207A79" w:rsidRDefault="006C07D5" w:rsidP="006C07D5">
            <w:pPr>
              <w:autoSpaceDE w:val="0"/>
              <w:autoSpaceDN w:val="0"/>
              <w:adjustRightInd w:val="0"/>
              <w:ind w:left="60" w:right="60" w:firstLine="0"/>
              <w:jc w:val="center"/>
              <w:rPr>
                <w:sz w:val="18"/>
                <w:szCs w:val="18"/>
              </w:rPr>
            </w:pPr>
            <w:r w:rsidRPr="00207A79">
              <w:rPr>
                <w:sz w:val="18"/>
                <w:szCs w:val="18"/>
              </w:rPr>
              <w:t>Std. Deviation</w:t>
            </w:r>
          </w:p>
        </w:tc>
        <w:tc>
          <w:tcPr>
            <w:tcW w:w="1025" w:type="dxa"/>
            <w:shd w:val="clear" w:color="auto" w:fill="FFFFFF"/>
            <w:vAlign w:val="bottom"/>
          </w:tcPr>
          <w:p w14:paraId="5DB0602C" w14:textId="77777777" w:rsidR="006C07D5" w:rsidRPr="00207A79" w:rsidRDefault="006C07D5" w:rsidP="006C07D5">
            <w:pPr>
              <w:autoSpaceDE w:val="0"/>
              <w:autoSpaceDN w:val="0"/>
              <w:adjustRightInd w:val="0"/>
              <w:ind w:left="60" w:right="60" w:hanging="19"/>
              <w:jc w:val="center"/>
              <w:rPr>
                <w:sz w:val="18"/>
                <w:szCs w:val="18"/>
              </w:rPr>
            </w:pPr>
            <w:r w:rsidRPr="00207A79">
              <w:rPr>
                <w:sz w:val="18"/>
                <w:szCs w:val="18"/>
              </w:rPr>
              <w:t>N</w:t>
            </w:r>
          </w:p>
        </w:tc>
      </w:tr>
      <w:tr w:rsidR="006C07D5" w:rsidRPr="00207A79" w14:paraId="09BF0C0D" w14:textId="77777777" w:rsidTr="00F65890">
        <w:trPr>
          <w:cantSplit/>
          <w:jc w:val="center"/>
        </w:trPr>
        <w:tc>
          <w:tcPr>
            <w:tcW w:w="3166" w:type="dxa"/>
            <w:shd w:val="clear" w:color="auto" w:fill="E0E0E0"/>
          </w:tcPr>
          <w:p w14:paraId="3B3E133D" w14:textId="32A3415D" w:rsidR="006C07D5" w:rsidRPr="00207A79" w:rsidRDefault="006C07D5" w:rsidP="00F65890">
            <w:pPr>
              <w:autoSpaceDE w:val="0"/>
              <w:autoSpaceDN w:val="0"/>
              <w:adjustRightInd w:val="0"/>
              <w:ind w:left="60" w:right="60"/>
              <w:rPr>
                <w:sz w:val="18"/>
                <w:szCs w:val="18"/>
              </w:rPr>
            </w:pPr>
            <w:r w:rsidRPr="00207A79">
              <w:rPr>
                <w:sz w:val="18"/>
                <w:szCs w:val="18"/>
              </w:rPr>
              <w:t>Excise duties</w:t>
            </w:r>
          </w:p>
        </w:tc>
        <w:tc>
          <w:tcPr>
            <w:tcW w:w="1025" w:type="dxa"/>
            <w:shd w:val="clear" w:color="auto" w:fill="FFFFFF"/>
            <w:vAlign w:val="center"/>
          </w:tcPr>
          <w:p w14:paraId="5774D603" w14:textId="77777777" w:rsidR="006C07D5" w:rsidRPr="00207A79" w:rsidRDefault="006C07D5" w:rsidP="006C07D5">
            <w:pPr>
              <w:autoSpaceDE w:val="0"/>
              <w:autoSpaceDN w:val="0"/>
              <w:adjustRightInd w:val="0"/>
              <w:ind w:left="60" w:right="60" w:firstLine="0"/>
              <w:jc w:val="center"/>
              <w:rPr>
                <w:sz w:val="18"/>
                <w:szCs w:val="18"/>
              </w:rPr>
            </w:pPr>
            <w:r w:rsidRPr="00207A79">
              <w:rPr>
                <w:sz w:val="18"/>
                <w:szCs w:val="18"/>
              </w:rPr>
              <w:t>21.2352</w:t>
            </w:r>
          </w:p>
        </w:tc>
        <w:tc>
          <w:tcPr>
            <w:tcW w:w="1438" w:type="dxa"/>
            <w:shd w:val="clear" w:color="auto" w:fill="FFFFFF"/>
            <w:vAlign w:val="center"/>
          </w:tcPr>
          <w:p w14:paraId="38431C8A" w14:textId="77777777" w:rsidR="006C07D5" w:rsidRPr="00207A79" w:rsidRDefault="006C07D5" w:rsidP="006C07D5">
            <w:pPr>
              <w:autoSpaceDE w:val="0"/>
              <w:autoSpaceDN w:val="0"/>
              <w:adjustRightInd w:val="0"/>
              <w:ind w:left="60" w:right="60" w:firstLine="0"/>
              <w:jc w:val="center"/>
              <w:rPr>
                <w:sz w:val="18"/>
                <w:szCs w:val="18"/>
              </w:rPr>
            </w:pPr>
            <w:r w:rsidRPr="00207A79">
              <w:rPr>
                <w:sz w:val="18"/>
                <w:szCs w:val="18"/>
              </w:rPr>
              <w:t>13.10425</w:t>
            </w:r>
          </w:p>
        </w:tc>
        <w:tc>
          <w:tcPr>
            <w:tcW w:w="1025" w:type="dxa"/>
            <w:shd w:val="clear" w:color="auto" w:fill="FFFFFF"/>
            <w:vAlign w:val="center"/>
          </w:tcPr>
          <w:p w14:paraId="01AA9FBF" w14:textId="77777777" w:rsidR="006C07D5" w:rsidRPr="00207A79" w:rsidRDefault="006C07D5" w:rsidP="006C07D5">
            <w:pPr>
              <w:autoSpaceDE w:val="0"/>
              <w:autoSpaceDN w:val="0"/>
              <w:adjustRightInd w:val="0"/>
              <w:ind w:left="60" w:right="60" w:hanging="19"/>
              <w:jc w:val="center"/>
              <w:rPr>
                <w:sz w:val="18"/>
                <w:szCs w:val="18"/>
              </w:rPr>
            </w:pPr>
            <w:r w:rsidRPr="00207A79">
              <w:rPr>
                <w:sz w:val="18"/>
                <w:szCs w:val="18"/>
              </w:rPr>
              <w:t>27</w:t>
            </w:r>
          </w:p>
        </w:tc>
      </w:tr>
      <w:tr w:rsidR="006C07D5" w:rsidRPr="00207A79" w14:paraId="4A060E47" w14:textId="77777777" w:rsidTr="00F65890">
        <w:trPr>
          <w:cantSplit/>
          <w:jc w:val="center"/>
        </w:trPr>
        <w:tc>
          <w:tcPr>
            <w:tcW w:w="3166" w:type="dxa"/>
            <w:shd w:val="clear" w:color="auto" w:fill="E0E0E0"/>
          </w:tcPr>
          <w:p w14:paraId="013E01E8" w14:textId="1FB56285" w:rsidR="006C07D5" w:rsidRPr="00207A79" w:rsidRDefault="006C07D5" w:rsidP="006C07D5">
            <w:pPr>
              <w:autoSpaceDE w:val="0"/>
              <w:autoSpaceDN w:val="0"/>
              <w:adjustRightInd w:val="0"/>
              <w:ind w:left="60" w:right="60"/>
              <w:rPr>
                <w:sz w:val="18"/>
                <w:szCs w:val="18"/>
              </w:rPr>
            </w:pPr>
            <w:r w:rsidRPr="00207A79">
              <w:rPr>
                <w:sz w:val="18"/>
                <w:szCs w:val="18"/>
              </w:rPr>
              <w:t>Alcohol, consumption recorded per capita (in liters of pure alcohol)</w:t>
            </w:r>
          </w:p>
        </w:tc>
        <w:tc>
          <w:tcPr>
            <w:tcW w:w="1025" w:type="dxa"/>
            <w:shd w:val="clear" w:color="auto" w:fill="FFFFFF"/>
            <w:vAlign w:val="center"/>
          </w:tcPr>
          <w:p w14:paraId="42DBC7B6" w14:textId="77777777" w:rsidR="006C07D5" w:rsidRPr="00207A79" w:rsidRDefault="006C07D5" w:rsidP="006C07D5">
            <w:pPr>
              <w:autoSpaceDE w:val="0"/>
              <w:autoSpaceDN w:val="0"/>
              <w:adjustRightInd w:val="0"/>
              <w:ind w:left="60" w:right="60" w:firstLine="0"/>
              <w:jc w:val="center"/>
              <w:rPr>
                <w:sz w:val="18"/>
                <w:szCs w:val="18"/>
              </w:rPr>
            </w:pPr>
            <w:r w:rsidRPr="00207A79">
              <w:rPr>
                <w:sz w:val="18"/>
                <w:szCs w:val="18"/>
              </w:rPr>
              <w:t>9.6241</w:t>
            </w:r>
          </w:p>
        </w:tc>
        <w:tc>
          <w:tcPr>
            <w:tcW w:w="1438" w:type="dxa"/>
            <w:shd w:val="clear" w:color="auto" w:fill="FFFFFF"/>
            <w:vAlign w:val="center"/>
          </w:tcPr>
          <w:p w14:paraId="048962AC" w14:textId="77777777" w:rsidR="006C07D5" w:rsidRPr="00207A79" w:rsidRDefault="006C07D5" w:rsidP="006C07D5">
            <w:pPr>
              <w:autoSpaceDE w:val="0"/>
              <w:autoSpaceDN w:val="0"/>
              <w:adjustRightInd w:val="0"/>
              <w:ind w:right="60" w:firstLine="0"/>
              <w:jc w:val="center"/>
              <w:rPr>
                <w:sz w:val="18"/>
                <w:szCs w:val="18"/>
              </w:rPr>
            </w:pPr>
            <w:r w:rsidRPr="00207A79">
              <w:rPr>
                <w:sz w:val="18"/>
                <w:szCs w:val="18"/>
              </w:rPr>
              <w:t>2.55438</w:t>
            </w:r>
          </w:p>
        </w:tc>
        <w:tc>
          <w:tcPr>
            <w:tcW w:w="1025" w:type="dxa"/>
            <w:shd w:val="clear" w:color="auto" w:fill="FFFFFF"/>
            <w:vAlign w:val="center"/>
          </w:tcPr>
          <w:p w14:paraId="259B1875" w14:textId="77777777" w:rsidR="006C07D5" w:rsidRPr="00207A79" w:rsidRDefault="006C07D5" w:rsidP="006C07D5">
            <w:pPr>
              <w:autoSpaceDE w:val="0"/>
              <w:autoSpaceDN w:val="0"/>
              <w:adjustRightInd w:val="0"/>
              <w:ind w:left="60" w:right="60" w:hanging="19"/>
              <w:jc w:val="center"/>
              <w:rPr>
                <w:sz w:val="18"/>
                <w:szCs w:val="18"/>
              </w:rPr>
            </w:pPr>
            <w:r w:rsidRPr="00207A79">
              <w:rPr>
                <w:sz w:val="18"/>
                <w:szCs w:val="18"/>
              </w:rPr>
              <w:t>27</w:t>
            </w:r>
          </w:p>
        </w:tc>
      </w:tr>
      <w:tr w:rsidR="006C07D5" w:rsidRPr="00207A79" w14:paraId="17DDC469" w14:textId="77777777" w:rsidTr="006C07D5">
        <w:trPr>
          <w:cantSplit/>
          <w:trHeight w:val="286"/>
          <w:jc w:val="center"/>
        </w:trPr>
        <w:tc>
          <w:tcPr>
            <w:tcW w:w="3166" w:type="dxa"/>
            <w:shd w:val="clear" w:color="auto" w:fill="E0E0E0"/>
          </w:tcPr>
          <w:p w14:paraId="655EA876" w14:textId="68478ED2" w:rsidR="006C07D5" w:rsidRPr="00207A79" w:rsidRDefault="006C07D5" w:rsidP="00F65890">
            <w:pPr>
              <w:autoSpaceDE w:val="0"/>
              <w:autoSpaceDN w:val="0"/>
              <w:adjustRightInd w:val="0"/>
              <w:ind w:left="60" w:right="60"/>
              <w:rPr>
                <w:sz w:val="18"/>
                <w:szCs w:val="18"/>
              </w:rPr>
            </w:pPr>
            <w:r w:rsidRPr="00207A79">
              <w:rPr>
                <w:sz w:val="18"/>
                <w:szCs w:val="18"/>
              </w:rPr>
              <w:t>Cigarettes, consumption recorded by daily consumers</w:t>
            </w:r>
          </w:p>
        </w:tc>
        <w:tc>
          <w:tcPr>
            <w:tcW w:w="1025" w:type="dxa"/>
            <w:shd w:val="clear" w:color="auto" w:fill="FFFFFF"/>
            <w:vAlign w:val="center"/>
          </w:tcPr>
          <w:p w14:paraId="7B719B91" w14:textId="77777777" w:rsidR="006C07D5" w:rsidRPr="00207A79" w:rsidRDefault="006C07D5" w:rsidP="006C07D5">
            <w:pPr>
              <w:autoSpaceDE w:val="0"/>
              <w:autoSpaceDN w:val="0"/>
              <w:adjustRightInd w:val="0"/>
              <w:ind w:left="60" w:right="60" w:firstLine="0"/>
              <w:jc w:val="center"/>
              <w:rPr>
                <w:sz w:val="18"/>
                <w:szCs w:val="18"/>
              </w:rPr>
            </w:pPr>
            <w:r w:rsidRPr="00207A79">
              <w:rPr>
                <w:sz w:val="18"/>
                <w:szCs w:val="18"/>
              </w:rPr>
              <w:t>17.626</w:t>
            </w:r>
          </w:p>
        </w:tc>
        <w:tc>
          <w:tcPr>
            <w:tcW w:w="1438" w:type="dxa"/>
            <w:shd w:val="clear" w:color="auto" w:fill="FFFFFF"/>
            <w:vAlign w:val="center"/>
          </w:tcPr>
          <w:p w14:paraId="506A0EAC" w14:textId="77777777" w:rsidR="006C07D5" w:rsidRPr="00207A79" w:rsidRDefault="006C07D5" w:rsidP="006C07D5">
            <w:pPr>
              <w:autoSpaceDE w:val="0"/>
              <w:autoSpaceDN w:val="0"/>
              <w:adjustRightInd w:val="0"/>
              <w:ind w:right="60" w:firstLine="0"/>
              <w:jc w:val="center"/>
              <w:rPr>
                <w:sz w:val="18"/>
                <w:szCs w:val="18"/>
              </w:rPr>
            </w:pPr>
            <w:r w:rsidRPr="00207A79">
              <w:rPr>
                <w:sz w:val="18"/>
                <w:szCs w:val="18"/>
              </w:rPr>
              <w:t>4.8142</w:t>
            </w:r>
          </w:p>
        </w:tc>
        <w:tc>
          <w:tcPr>
            <w:tcW w:w="1025" w:type="dxa"/>
            <w:shd w:val="clear" w:color="auto" w:fill="FFFFFF"/>
            <w:vAlign w:val="center"/>
          </w:tcPr>
          <w:p w14:paraId="0FC1C636" w14:textId="77777777" w:rsidR="006C07D5" w:rsidRPr="00207A79" w:rsidRDefault="006C07D5" w:rsidP="006C07D5">
            <w:pPr>
              <w:autoSpaceDE w:val="0"/>
              <w:autoSpaceDN w:val="0"/>
              <w:adjustRightInd w:val="0"/>
              <w:ind w:left="60" w:right="60" w:hanging="19"/>
              <w:jc w:val="center"/>
              <w:rPr>
                <w:sz w:val="18"/>
                <w:szCs w:val="18"/>
              </w:rPr>
            </w:pPr>
            <w:r w:rsidRPr="00207A79">
              <w:rPr>
                <w:sz w:val="18"/>
                <w:szCs w:val="18"/>
              </w:rPr>
              <w:t>27</w:t>
            </w:r>
          </w:p>
        </w:tc>
      </w:tr>
    </w:tbl>
    <w:p w14:paraId="31C4ABDD" w14:textId="0EE5F82F" w:rsidR="006C07D5" w:rsidRPr="00207A79" w:rsidRDefault="006C07D5" w:rsidP="006C07D5">
      <w:pPr>
        <w:autoSpaceDE w:val="0"/>
        <w:autoSpaceDN w:val="0"/>
        <w:adjustRightInd w:val="0"/>
        <w:jc w:val="center"/>
        <w:rPr>
          <w:sz w:val="20"/>
        </w:rPr>
      </w:pPr>
      <w:r w:rsidRPr="00207A79">
        <w:rPr>
          <w:sz w:val="20"/>
        </w:rPr>
        <w:t>Source: own elaboration in SPSS</w:t>
      </w:r>
    </w:p>
    <w:p w14:paraId="61020E35" w14:textId="77777777" w:rsidR="006C07D5" w:rsidRPr="00207A79" w:rsidRDefault="006C07D5" w:rsidP="006C07D5">
      <w:pPr>
        <w:autoSpaceDE w:val="0"/>
        <w:autoSpaceDN w:val="0"/>
        <w:adjustRightInd w:val="0"/>
        <w:jc w:val="center"/>
        <w:rPr>
          <w:sz w:val="20"/>
        </w:rPr>
      </w:pPr>
    </w:p>
    <w:p w14:paraId="26E7E7B0" w14:textId="7C8ED5DA" w:rsidR="006C07D5" w:rsidRPr="00207A79" w:rsidRDefault="006C07D5" w:rsidP="006C07D5">
      <w:pPr>
        <w:ind w:firstLine="567"/>
        <w:rPr>
          <w:szCs w:val="20"/>
        </w:rPr>
      </w:pPr>
      <w:r w:rsidRPr="00207A79">
        <w:rPr>
          <w:szCs w:val="20"/>
        </w:rPr>
        <w:t>Modelul elaborat, analizează corelația de dependență dintre accize și variabile independente adică consumul de produse alcoolice și țigări. Din tabelul nr. 3 putem observa că modelul a acceptat toate variabilele stabilite, astfel nici una dintre acestea nu au fost excluse:</w:t>
      </w:r>
    </w:p>
    <w:p w14:paraId="59825F15" w14:textId="77777777" w:rsidR="00CE3F92" w:rsidRPr="00207A79" w:rsidRDefault="00CE3F92" w:rsidP="006C07D5">
      <w:pPr>
        <w:ind w:firstLine="567"/>
        <w:rPr>
          <w:szCs w:val="20"/>
        </w:rPr>
      </w:pPr>
    </w:p>
    <w:p w14:paraId="29B01C03" w14:textId="0D681EB0" w:rsidR="006C07D5" w:rsidRPr="00207A79" w:rsidRDefault="00CE3F92" w:rsidP="00CE3F92">
      <w:pPr>
        <w:spacing w:line="276" w:lineRule="auto"/>
        <w:ind w:firstLine="0"/>
        <w:jc w:val="center"/>
        <w:rPr>
          <w:b/>
        </w:rPr>
      </w:pPr>
      <w:bookmarkStart w:id="5" w:name="_Toc169940684"/>
      <w:r w:rsidRPr="00207A79">
        <w:rPr>
          <w:b/>
          <w:lang w:val="en-US"/>
        </w:rPr>
        <w:t>Table no.</w:t>
      </w:r>
      <w:r w:rsidRPr="00207A79">
        <w:rPr>
          <w:b/>
          <w:lang w:val="en-US"/>
        </w:rPr>
        <w:fldChar w:fldCharType="begin"/>
      </w:r>
      <w:r w:rsidRPr="00207A79">
        <w:rPr>
          <w:b/>
          <w:lang w:val="en-US"/>
        </w:rPr>
        <w:instrText>SEQ Tabel \* ARABIC</w:instrText>
      </w:r>
      <w:r w:rsidRPr="00207A79">
        <w:rPr>
          <w:b/>
          <w:lang w:val="en-US"/>
        </w:rPr>
        <w:fldChar w:fldCharType="separate"/>
      </w:r>
      <w:r w:rsidRPr="00207A79">
        <w:rPr>
          <w:b/>
          <w:lang w:val="en-US"/>
        </w:rPr>
        <w:t xml:space="preserve"> 3</w:t>
      </w:r>
      <w:r w:rsidRPr="00207A79">
        <w:rPr>
          <w:lang w:val="en-US"/>
        </w:rPr>
        <w:fldChar w:fldCharType="end"/>
      </w:r>
      <w:r w:rsidRPr="00207A79">
        <w:rPr>
          <w:b/>
          <w:lang w:val="en-US"/>
        </w:rPr>
        <w:t>.</w:t>
      </w:r>
      <w:r w:rsidRPr="00207A79">
        <w:rPr>
          <w:bCs/>
          <w:sz w:val="20"/>
          <w:szCs w:val="20"/>
        </w:rPr>
        <w:t xml:space="preserve"> </w:t>
      </w:r>
      <w:bookmarkEnd w:id="5"/>
      <w:r w:rsidRPr="00207A79">
        <w:rPr>
          <w:b/>
        </w:rPr>
        <w:t>Variables Entered</w:t>
      </w:r>
    </w:p>
    <w:tbl>
      <w:tblPr>
        <w:tblW w:w="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469"/>
        <w:gridCol w:w="1469"/>
        <w:gridCol w:w="1024"/>
      </w:tblGrid>
      <w:tr w:rsidR="006C07D5" w:rsidRPr="00207A79" w14:paraId="3FF5912F" w14:textId="77777777" w:rsidTr="00F65890">
        <w:trPr>
          <w:cantSplit/>
          <w:jc w:val="center"/>
        </w:trPr>
        <w:tc>
          <w:tcPr>
            <w:tcW w:w="795" w:type="dxa"/>
            <w:shd w:val="clear" w:color="auto" w:fill="FFFFFF"/>
            <w:vAlign w:val="bottom"/>
          </w:tcPr>
          <w:p w14:paraId="642F6718" w14:textId="2AD3CC34" w:rsidR="006C07D5" w:rsidRPr="00207A79" w:rsidRDefault="006C07D5" w:rsidP="00CE3F92">
            <w:pPr>
              <w:autoSpaceDE w:val="0"/>
              <w:autoSpaceDN w:val="0"/>
              <w:adjustRightInd w:val="0"/>
              <w:ind w:left="60" w:right="60"/>
              <w:jc w:val="center"/>
              <w:rPr>
                <w:sz w:val="18"/>
                <w:szCs w:val="18"/>
              </w:rPr>
            </w:pPr>
            <w:r w:rsidRPr="00207A79">
              <w:rPr>
                <w:sz w:val="18"/>
                <w:szCs w:val="18"/>
              </w:rPr>
              <w:t>M</w:t>
            </w:r>
            <w:r w:rsidR="00CE3F92" w:rsidRPr="00207A79">
              <w:rPr>
                <w:sz w:val="18"/>
                <w:szCs w:val="18"/>
              </w:rPr>
              <w:t>M</w:t>
            </w:r>
            <w:r w:rsidRPr="00207A79">
              <w:rPr>
                <w:sz w:val="18"/>
                <w:szCs w:val="18"/>
              </w:rPr>
              <w:t>odel</w:t>
            </w:r>
          </w:p>
        </w:tc>
        <w:tc>
          <w:tcPr>
            <w:tcW w:w="1469" w:type="dxa"/>
            <w:shd w:val="clear" w:color="auto" w:fill="FFFFFF"/>
            <w:vAlign w:val="bottom"/>
          </w:tcPr>
          <w:p w14:paraId="0992F2EA"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Variables Entered</w:t>
            </w:r>
          </w:p>
        </w:tc>
        <w:tc>
          <w:tcPr>
            <w:tcW w:w="1469" w:type="dxa"/>
            <w:shd w:val="clear" w:color="auto" w:fill="FFFFFF"/>
            <w:vAlign w:val="bottom"/>
          </w:tcPr>
          <w:p w14:paraId="657DC3C3"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Variables Removed</w:t>
            </w:r>
          </w:p>
        </w:tc>
        <w:tc>
          <w:tcPr>
            <w:tcW w:w="1024" w:type="dxa"/>
            <w:shd w:val="clear" w:color="auto" w:fill="FFFFFF"/>
            <w:vAlign w:val="bottom"/>
          </w:tcPr>
          <w:p w14:paraId="24CBF7FE"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Method</w:t>
            </w:r>
          </w:p>
        </w:tc>
      </w:tr>
      <w:tr w:rsidR="006C07D5" w:rsidRPr="00207A79" w14:paraId="557B97BD" w14:textId="77777777" w:rsidTr="00F65890">
        <w:trPr>
          <w:cantSplit/>
          <w:jc w:val="center"/>
        </w:trPr>
        <w:tc>
          <w:tcPr>
            <w:tcW w:w="795" w:type="dxa"/>
            <w:shd w:val="clear" w:color="auto" w:fill="E0E0E0"/>
          </w:tcPr>
          <w:p w14:paraId="4ACF7D9B" w14:textId="77777777" w:rsidR="006C07D5" w:rsidRPr="00207A79" w:rsidRDefault="006C07D5" w:rsidP="00F65890">
            <w:pPr>
              <w:autoSpaceDE w:val="0"/>
              <w:autoSpaceDN w:val="0"/>
              <w:adjustRightInd w:val="0"/>
              <w:ind w:left="60" w:right="60"/>
              <w:rPr>
                <w:sz w:val="18"/>
                <w:szCs w:val="18"/>
              </w:rPr>
            </w:pPr>
            <w:r w:rsidRPr="00207A79">
              <w:rPr>
                <w:sz w:val="18"/>
                <w:szCs w:val="18"/>
              </w:rPr>
              <w:t>1</w:t>
            </w:r>
          </w:p>
        </w:tc>
        <w:tc>
          <w:tcPr>
            <w:tcW w:w="1469" w:type="dxa"/>
            <w:shd w:val="clear" w:color="auto" w:fill="FFFFFF"/>
          </w:tcPr>
          <w:p w14:paraId="151292BB" w14:textId="5175F218" w:rsidR="006C07D5" w:rsidRPr="00207A79" w:rsidRDefault="00CE3F92" w:rsidP="00CE3F92">
            <w:pPr>
              <w:autoSpaceDE w:val="0"/>
              <w:autoSpaceDN w:val="0"/>
              <w:adjustRightInd w:val="0"/>
              <w:ind w:left="60" w:right="60" w:hanging="5"/>
              <w:rPr>
                <w:sz w:val="18"/>
                <w:szCs w:val="18"/>
              </w:rPr>
            </w:pPr>
            <w:r w:rsidRPr="00207A79">
              <w:rPr>
                <w:sz w:val="18"/>
                <w:szCs w:val="18"/>
              </w:rPr>
              <w:t xml:space="preserve">Cigarettes, consumption recorded at the level of daily consumers, Alcohol, consumption recorded per capita (in liters of pure alcohol) </w:t>
            </w:r>
            <w:r w:rsidR="006C07D5" w:rsidRPr="00207A79">
              <w:rPr>
                <w:sz w:val="18"/>
                <w:szCs w:val="18"/>
                <w:vertAlign w:val="superscript"/>
              </w:rPr>
              <w:t>b</w:t>
            </w:r>
          </w:p>
        </w:tc>
        <w:tc>
          <w:tcPr>
            <w:tcW w:w="1469" w:type="dxa"/>
            <w:shd w:val="clear" w:color="auto" w:fill="FFFFFF"/>
          </w:tcPr>
          <w:p w14:paraId="0493C73C" w14:textId="77777777" w:rsidR="006C07D5" w:rsidRPr="00207A79" w:rsidRDefault="006C07D5" w:rsidP="00F65890">
            <w:pPr>
              <w:autoSpaceDE w:val="0"/>
              <w:autoSpaceDN w:val="0"/>
              <w:adjustRightInd w:val="0"/>
              <w:ind w:left="60" w:right="60"/>
              <w:jc w:val="right"/>
              <w:rPr>
                <w:sz w:val="18"/>
                <w:szCs w:val="18"/>
              </w:rPr>
            </w:pPr>
            <w:r w:rsidRPr="00207A79">
              <w:rPr>
                <w:sz w:val="18"/>
                <w:szCs w:val="18"/>
              </w:rPr>
              <w:t>.</w:t>
            </w:r>
          </w:p>
        </w:tc>
        <w:tc>
          <w:tcPr>
            <w:tcW w:w="1024" w:type="dxa"/>
            <w:shd w:val="clear" w:color="auto" w:fill="FFFFFF"/>
          </w:tcPr>
          <w:p w14:paraId="344EFE39" w14:textId="77777777" w:rsidR="006C07D5" w:rsidRPr="00207A79" w:rsidRDefault="006C07D5" w:rsidP="00CE3F92">
            <w:pPr>
              <w:autoSpaceDE w:val="0"/>
              <w:autoSpaceDN w:val="0"/>
              <w:adjustRightInd w:val="0"/>
              <w:ind w:left="60" w:right="60" w:firstLine="0"/>
              <w:rPr>
                <w:sz w:val="18"/>
                <w:szCs w:val="18"/>
              </w:rPr>
            </w:pPr>
            <w:r w:rsidRPr="00207A79">
              <w:rPr>
                <w:sz w:val="18"/>
                <w:szCs w:val="18"/>
              </w:rPr>
              <w:t>Enter</w:t>
            </w:r>
          </w:p>
        </w:tc>
      </w:tr>
      <w:tr w:rsidR="006C07D5" w:rsidRPr="00207A79" w14:paraId="1C40FE3E" w14:textId="77777777" w:rsidTr="00F65890">
        <w:trPr>
          <w:cantSplit/>
          <w:jc w:val="center"/>
        </w:trPr>
        <w:tc>
          <w:tcPr>
            <w:tcW w:w="4757" w:type="dxa"/>
            <w:gridSpan w:val="4"/>
            <w:shd w:val="clear" w:color="auto" w:fill="FFFFFF"/>
          </w:tcPr>
          <w:p w14:paraId="01790EFF" w14:textId="5D94A6E7" w:rsidR="006C07D5" w:rsidRPr="00207A79" w:rsidRDefault="006C07D5" w:rsidP="00F65890">
            <w:pPr>
              <w:autoSpaceDE w:val="0"/>
              <w:autoSpaceDN w:val="0"/>
              <w:adjustRightInd w:val="0"/>
              <w:ind w:left="60" w:right="60"/>
              <w:rPr>
                <w:sz w:val="18"/>
                <w:szCs w:val="18"/>
              </w:rPr>
            </w:pPr>
            <w:r w:rsidRPr="00207A79">
              <w:rPr>
                <w:sz w:val="18"/>
                <w:szCs w:val="18"/>
              </w:rPr>
              <w:t xml:space="preserve">a. Dependent Variable: </w:t>
            </w:r>
            <w:r w:rsidR="00CE3F92" w:rsidRPr="00207A79">
              <w:rPr>
                <w:sz w:val="18"/>
                <w:szCs w:val="18"/>
              </w:rPr>
              <w:t>Excise duties</w:t>
            </w:r>
          </w:p>
        </w:tc>
      </w:tr>
      <w:tr w:rsidR="006C07D5" w:rsidRPr="00207A79" w14:paraId="63B5C0E0" w14:textId="77777777" w:rsidTr="00F65890">
        <w:trPr>
          <w:cantSplit/>
          <w:jc w:val="center"/>
        </w:trPr>
        <w:tc>
          <w:tcPr>
            <w:tcW w:w="4757" w:type="dxa"/>
            <w:gridSpan w:val="4"/>
            <w:shd w:val="clear" w:color="auto" w:fill="FFFFFF"/>
          </w:tcPr>
          <w:p w14:paraId="04664D72" w14:textId="77777777" w:rsidR="006C07D5" w:rsidRPr="00207A79" w:rsidRDefault="006C07D5" w:rsidP="00F65890">
            <w:pPr>
              <w:autoSpaceDE w:val="0"/>
              <w:autoSpaceDN w:val="0"/>
              <w:adjustRightInd w:val="0"/>
              <w:ind w:left="60" w:right="60"/>
              <w:rPr>
                <w:sz w:val="18"/>
                <w:szCs w:val="18"/>
              </w:rPr>
            </w:pPr>
            <w:r w:rsidRPr="00207A79">
              <w:rPr>
                <w:sz w:val="18"/>
                <w:szCs w:val="18"/>
              </w:rPr>
              <w:t>b. All requested variables entered.</w:t>
            </w:r>
          </w:p>
        </w:tc>
      </w:tr>
    </w:tbl>
    <w:p w14:paraId="515899D4" w14:textId="77777777" w:rsidR="00CE3F92" w:rsidRPr="00207A79" w:rsidRDefault="00CE3F92" w:rsidP="00CE3F92">
      <w:pPr>
        <w:autoSpaceDE w:val="0"/>
        <w:autoSpaceDN w:val="0"/>
        <w:adjustRightInd w:val="0"/>
        <w:jc w:val="center"/>
        <w:rPr>
          <w:sz w:val="20"/>
        </w:rPr>
      </w:pPr>
      <w:r w:rsidRPr="00207A79">
        <w:rPr>
          <w:sz w:val="20"/>
        </w:rPr>
        <w:t>Source: own elaboration in SPSS</w:t>
      </w:r>
    </w:p>
    <w:p w14:paraId="1C148768" w14:textId="77777777" w:rsidR="006C07D5" w:rsidRPr="00207A79" w:rsidRDefault="006C07D5" w:rsidP="006C07D5">
      <w:pPr>
        <w:autoSpaceDE w:val="0"/>
        <w:autoSpaceDN w:val="0"/>
        <w:adjustRightInd w:val="0"/>
        <w:jc w:val="center"/>
        <w:rPr>
          <w:sz w:val="20"/>
        </w:rPr>
      </w:pPr>
    </w:p>
    <w:p w14:paraId="5A9B5A40" w14:textId="41DC9EBB" w:rsidR="006C07D5" w:rsidRPr="00207A79" w:rsidRDefault="006C07D5" w:rsidP="006C07D5">
      <w:pPr>
        <w:autoSpaceDE w:val="0"/>
        <w:autoSpaceDN w:val="0"/>
        <w:adjustRightInd w:val="0"/>
        <w:ind w:firstLine="567"/>
      </w:pPr>
      <w:r w:rsidRPr="00207A79">
        <w:t xml:space="preserve">În tabelul </w:t>
      </w:r>
      <w:r w:rsidR="00CE3F92" w:rsidRPr="00207A79">
        <w:rPr>
          <w:iCs/>
        </w:rPr>
        <w:t>nr. 4</w:t>
      </w:r>
      <w:r w:rsidRPr="00207A79">
        <w:rPr>
          <w:iCs/>
        </w:rPr>
        <w:t xml:space="preserve"> </w:t>
      </w:r>
      <w:r w:rsidRPr="00207A79">
        <w:t>avem determinați: coeficientul determinație (R), raporul de determinație (R Square), valoarea ajustată a lui R, eroarea standard a estimației și coeficientul Durbin-Watson.</w:t>
      </w:r>
    </w:p>
    <w:p w14:paraId="53D4332C" w14:textId="77777777" w:rsidR="00CE3F92" w:rsidRPr="00207A79" w:rsidRDefault="00CE3F92" w:rsidP="006C07D5">
      <w:pPr>
        <w:autoSpaceDE w:val="0"/>
        <w:autoSpaceDN w:val="0"/>
        <w:adjustRightInd w:val="0"/>
        <w:ind w:firstLine="567"/>
      </w:pPr>
    </w:p>
    <w:p w14:paraId="14E22F4E" w14:textId="78F3599F" w:rsidR="006C07D5" w:rsidRPr="00207A79" w:rsidRDefault="00CE3F92" w:rsidP="00CE3F92">
      <w:pPr>
        <w:spacing w:line="276" w:lineRule="auto"/>
        <w:ind w:firstLine="0"/>
        <w:jc w:val="center"/>
        <w:rPr>
          <w:b/>
        </w:rPr>
      </w:pPr>
      <w:bookmarkStart w:id="6" w:name="_Toc169940685"/>
      <w:r w:rsidRPr="00207A79">
        <w:rPr>
          <w:b/>
          <w:lang w:val="en-US"/>
        </w:rPr>
        <w:t>Table no. 4.</w:t>
      </w:r>
      <w:r w:rsidRPr="00207A79">
        <w:rPr>
          <w:bCs/>
          <w:sz w:val="20"/>
          <w:szCs w:val="20"/>
        </w:rPr>
        <w:t xml:space="preserve"> </w:t>
      </w:r>
      <w:r w:rsidRPr="00207A79">
        <w:rPr>
          <w:b/>
        </w:rPr>
        <w:t>Model Summary</w:t>
      </w:r>
      <w:r w:rsidRPr="00207A79">
        <w:rPr>
          <w:b/>
          <w:vertAlign w:val="superscript"/>
        </w:rPr>
        <w:t>b</w:t>
      </w:r>
      <w:bookmarkEnd w:id="6"/>
    </w:p>
    <w:tbl>
      <w:tblPr>
        <w:tblW w:w="7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6C07D5" w:rsidRPr="00207A79" w14:paraId="5ECF21A1" w14:textId="77777777" w:rsidTr="00F65890">
        <w:trPr>
          <w:cantSplit/>
          <w:jc w:val="center"/>
        </w:trPr>
        <w:tc>
          <w:tcPr>
            <w:tcW w:w="795" w:type="dxa"/>
            <w:shd w:val="clear" w:color="auto" w:fill="FFFFFF"/>
            <w:vAlign w:val="bottom"/>
          </w:tcPr>
          <w:p w14:paraId="443D85F2" w14:textId="0EBC0D82" w:rsidR="006C07D5" w:rsidRPr="00207A79" w:rsidRDefault="006C07D5" w:rsidP="00CE3F92">
            <w:pPr>
              <w:autoSpaceDE w:val="0"/>
              <w:autoSpaceDN w:val="0"/>
              <w:adjustRightInd w:val="0"/>
              <w:ind w:left="60" w:right="60"/>
              <w:jc w:val="center"/>
              <w:rPr>
                <w:sz w:val="18"/>
                <w:szCs w:val="18"/>
              </w:rPr>
            </w:pPr>
            <w:r w:rsidRPr="00207A79">
              <w:rPr>
                <w:sz w:val="18"/>
                <w:szCs w:val="18"/>
              </w:rPr>
              <w:t>M</w:t>
            </w:r>
            <w:r w:rsidR="00CE3F92" w:rsidRPr="00207A79">
              <w:rPr>
                <w:sz w:val="18"/>
                <w:szCs w:val="18"/>
              </w:rPr>
              <w:t>M</w:t>
            </w:r>
            <w:r w:rsidRPr="00207A79">
              <w:rPr>
                <w:sz w:val="18"/>
                <w:szCs w:val="18"/>
              </w:rPr>
              <w:t>odel</w:t>
            </w:r>
          </w:p>
        </w:tc>
        <w:tc>
          <w:tcPr>
            <w:tcW w:w="1024" w:type="dxa"/>
            <w:shd w:val="clear" w:color="auto" w:fill="FFFFFF"/>
            <w:vAlign w:val="center"/>
          </w:tcPr>
          <w:p w14:paraId="0748811D" w14:textId="77777777" w:rsidR="006C07D5" w:rsidRPr="00207A79" w:rsidRDefault="006C07D5" w:rsidP="00CE3F92">
            <w:pPr>
              <w:autoSpaceDE w:val="0"/>
              <w:autoSpaceDN w:val="0"/>
              <w:adjustRightInd w:val="0"/>
              <w:ind w:right="60" w:firstLine="0"/>
              <w:jc w:val="center"/>
              <w:rPr>
                <w:sz w:val="18"/>
                <w:szCs w:val="18"/>
              </w:rPr>
            </w:pPr>
            <w:r w:rsidRPr="00207A79">
              <w:rPr>
                <w:sz w:val="18"/>
                <w:szCs w:val="18"/>
              </w:rPr>
              <w:t>R</w:t>
            </w:r>
          </w:p>
        </w:tc>
        <w:tc>
          <w:tcPr>
            <w:tcW w:w="1086" w:type="dxa"/>
            <w:shd w:val="clear" w:color="auto" w:fill="FFFFFF"/>
            <w:vAlign w:val="center"/>
          </w:tcPr>
          <w:p w14:paraId="038DF41B"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R Square</w:t>
            </w:r>
          </w:p>
        </w:tc>
        <w:tc>
          <w:tcPr>
            <w:tcW w:w="1469" w:type="dxa"/>
            <w:shd w:val="clear" w:color="auto" w:fill="FFFFFF"/>
            <w:vAlign w:val="center"/>
          </w:tcPr>
          <w:p w14:paraId="77DA569E"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Adjusted R Square</w:t>
            </w:r>
          </w:p>
        </w:tc>
        <w:tc>
          <w:tcPr>
            <w:tcW w:w="1469" w:type="dxa"/>
            <w:shd w:val="clear" w:color="auto" w:fill="FFFFFF"/>
            <w:vAlign w:val="center"/>
          </w:tcPr>
          <w:p w14:paraId="0E39EF0D"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Std. Error of the Estimate</w:t>
            </w:r>
          </w:p>
        </w:tc>
        <w:tc>
          <w:tcPr>
            <w:tcW w:w="1469" w:type="dxa"/>
            <w:shd w:val="clear" w:color="auto" w:fill="FFFFFF"/>
            <w:vAlign w:val="center"/>
          </w:tcPr>
          <w:p w14:paraId="5F947EBE"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Durbin-Watson</w:t>
            </w:r>
          </w:p>
        </w:tc>
      </w:tr>
      <w:tr w:rsidR="006C07D5" w:rsidRPr="00207A79" w14:paraId="2E8FC2BE" w14:textId="77777777" w:rsidTr="00F65890">
        <w:trPr>
          <w:cantSplit/>
          <w:jc w:val="center"/>
        </w:trPr>
        <w:tc>
          <w:tcPr>
            <w:tcW w:w="795" w:type="dxa"/>
            <w:shd w:val="clear" w:color="auto" w:fill="E0E0E0"/>
          </w:tcPr>
          <w:p w14:paraId="4B49F8D3" w14:textId="77777777" w:rsidR="006C07D5" w:rsidRPr="00207A79" w:rsidRDefault="006C07D5" w:rsidP="00CE3F92">
            <w:pPr>
              <w:autoSpaceDE w:val="0"/>
              <w:autoSpaceDN w:val="0"/>
              <w:adjustRightInd w:val="0"/>
              <w:ind w:left="60" w:right="60"/>
              <w:jc w:val="center"/>
              <w:rPr>
                <w:sz w:val="18"/>
                <w:szCs w:val="18"/>
              </w:rPr>
            </w:pPr>
            <w:r w:rsidRPr="00207A79">
              <w:rPr>
                <w:sz w:val="18"/>
                <w:szCs w:val="18"/>
              </w:rPr>
              <w:t>1</w:t>
            </w:r>
          </w:p>
        </w:tc>
        <w:tc>
          <w:tcPr>
            <w:tcW w:w="1024" w:type="dxa"/>
            <w:shd w:val="clear" w:color="auto" w:fill="FFFFFF"/>
            <w:vAlign w:val="center"/>
          </w:tcPr>
          <w:p w14:paraId="6FDBA099"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.646</w:t>
            </w:r>
            <w:r w:rsidRPr="00207A79">
              <w:rPr>
                <w:sz w:val="18"/>
                <w:szCs w:val="18"/>
                <w:vertAlign w:val="superscript"/>
              </w:rPr>
              <w:t>a</w:t>
            </w:r>
          </w:p>
        </w:tc>
        <w:tc>
          <w:tcPr>
            <w:tcW w:w="1086" w:type="dxa"/>
            <w:shd w:val="clear" w:color="auto" w:fill="FFFFFF"/>
            <w:vAlign w:val="center"/>
          </w:tcPr>
          <w:p w14:paraId="57AD07A4"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.417</w:t>
            </w:r>
          </w:p>
        </w:tc>
        <w:tc>
          <w:tcPr>
            <w:tcW w:w="1469" w:type="dxa"/>
            <w:shd w:val="clear" w:color="auto" w:fill="FFFFFF"/>
            <w:vAlign w:val="center"/>
          </w:tcPr>
          <w:p w14:paraId="240AF460" w14:textId="77777777" w:rsidR="006C07D5" w:rsidRPr="00207A79" w:rsidRDefault="006C07D5" w:rsidP="00CE3F92">
            <w:pPr>
              <w:autoSpaceDE w:val="0"/>
              <w:autoSpaceDN w:val="0"/>
              <w:adjustRightInd w:val="0"/>
              <w:ind w:right="60"/>
              <w:jc w:val="center"/>
              <w:rPr>
                <w:sz w:val="18"/>
                <w:szCs w:val="18"/>
              </w:rPr>
            </w:pPr>
            <w:r w:rsidRPr="00207A79">
              <w:rPr>
                <w:sz w:val="18"/>
                <w:szCs w:val="18"/>
              </w:rPr>
              <w:t>.368</w:t>
            </w:r>
          </w:p>
        </w:tc>
        <w:tc>
          <w:tcPr>
            <w:tcW w:w="1469" w:type="dxa"/>
            <w:shd w:val="clear" w:color="auto" w:fill="FFFFFF"/>
            <w:vAlign w:val="center"/>
          </w:tcPr>
          <w:p w14:paraId="534DB987"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10.41510</w:t>
            </w:r>
          </w:p>
        </w:tc>
        <w:tc>
          <w:tcPr>
            <w:tcW w:w="1469" w:type="dxa"/>
            <w:shd w:val="clear" w:color="auto" w:fill="FFFFFF"/>
            <w:vAlign w:val="center"/>
          </w:tcPr>
          <w:p w14:paraId="67D341CA" w14:textId="77777777" w:rsidR="006C07D5" w:rsidRPr="00207A79" w:rsidRDefault="006C07D5" w:rsidP="00CE3F92">
            <w:pPr>
              <w:autoSpaceDE w:val="0"/>
              <w:autoSpaceDN w:val="0"/>
              <w:adjustRightInd w:val="0"/>
              <w:ind w:left="60" w:right="60"/>
              <w:jc w:val="center"/>
              <w:rPr>
                <w:sz w:val="18"/>
                <w:szCs w:val="18"/>
              </w:rPr>
            </w:pPr>
            <w:r w:rsidRPr="00207A79">
              <w:rPr>
                <w:sz w:val="18"/>
                <w:szCs w:val="18"/>
              </w:rPr>
              <w:t>1.922</w:t>
            </w:r>
          </w:p>
        </w:tc>
      </w:tr>
      <w:tr w:rsidR="006C07D5" w:rsidRPr="00207A79" w14:paraId="081A671F" w14:textId="77777777" w:rsidTr="00F65890">
        <w:trPr>
          <w:cantSplit/>
          <w:jc w:val="center"/>
        </w:trPr>
        <w:tc>
          <w:tcPr>
            <w:tcW w:w="7312" w:type="dxa"/>
            <w:gridSpan w:val="6"/>
            <w:shd w:val="clear" w:color="auto" w:fill="FFFFFF"/>
          </w:tcPr>
          <w:p w14:paraId="5C2EBD20" w14:textId="7258067B" w:rsidR="006C07D5" w:rsidRPr="00207A79" w:rsidRDefault="006C07D5" w:rsidP="00F65890">
            <w:pPr>
              <w:autoSpaceDE w:val="0"/>
              <w:autoSpaceDN w:val="0"/>
              <w:adjustRightInd w:val="0"/>
              <w:ind w:left="60" w:right="60"/>
              <w:rPr>
                <w:sz w:val="18"/>
                <w:szCs w:val="18"/>
              </w:rPr>
            </w:pPr>
            <w:r w:rsidRPr="00207A79">
              <w:rPr>
                <w:sz w:val="18"/>
                <w:szCs w:val="18"/>
              </w:rPr>
              <w:t xml:space="preserve">a. Predictors: (Constant), </w:t>
            </w:r>
            <w:r w:rsidR="00CE3F92" w:rsidRPr="00207A79">
              <w:rPr>
                <w:sz w:val="18"/>
                <w:szCs w:val="18"/>
              </w:rPr>
              <w:t>Cigarettes, consumption recorded at the level of daily consumers, Alcohol, consumption recorded per capita (in liters of pure alcohol)</w:t>
            </w:r>
          </w:p>
        </w:tc>
      </w:tr>
      <w:tr w:rsidR="006C07D5" w:rsidRPr="00207A79" w14:paraId="34B11956" w14:textId="77777777" w:rsidTr="00F65890">
        <w:trPr>
          <w:cantSplit/>
          <w:jc w:val="center"/>
        </w:trPr>
        <w:tc>
          <w:tcPr>
            <w:tcW w:w="7312" w:type="dxa"/>
            <w:gridSpan w:val="6"/>
            <w:shd w:val="clear" w:color="auto" w:fill="FFFFFF"/>
          </w:tcPr>
          <w:p w14:paraId="77F2B25A" w14:textId="0BB94840" w:rsidR="006C07D5" w:rsidRPr="00207A79" w:rsidRDefault="006C07D5" w:rsidP="00F65890">
            <w:pPr>
              <w:autoSpaceDE w:val="0"/>
              <w:autoSpaceDN w:val="0"/>
              <w:adjustRightInd w:val="0"/>
              <w:ind w:left="60" w:right="60"/>
              <w:rPr>
                <w:sz w:val="18"/>
                <w:szCs w:val="18"/>
              </w:rPr>
            </w:pPr>
            <w:r w:rsidRPr="00207A79">
              <w:rPr>
                <w:sz w:val="18"/>
                <w:szCs w:val="18"/>
              </w:rPr>
              <w:t xml:space="preserve">b. Dependent Variable: </w:t>
            </w:r>
            <w:r w:rsidR="00CE3F92" w:rsidRPr="00207A79">
              <w:rPr>
                <w:sz w:val="18"/>
                <w:szCs w:val="18"/>
              </w:rPr>
              <w:t>Excise duties</w:t>
            </w:r>
          </w:p>
        </w:tc>
      </w:tr>
    </w:tbl>
    <w:p w14:paraId="03298C89" w14:textId="77777777" w:rsidR="00CE3F92" w:rsidRPr="00207A79" w:rsidRDefault="00CE3F92" w:rsidP="00CE3F92">
      <w:pPr>
        <w:autoSpaceDE w:val="0"/>
        <w:autoSpaceDN w:val="0"/>
        <w:adjustRightInd w:val="0"/>
        <w:jc w:val="center"/>
        <w:rPr>
          <w:sz w:val="20"/>
        </w:rPr>
      </w:pPr>
      <w:r w:rsidRPr="00207A79">
        <w:rPr>
          <w:sz w:val="20"/>
        </w:rPr>
        <w:t>Source: own elaboration in SPSS</w:t>
      </w:r>
    </w:p>
    <w:p w14:paraId="0A7AC6FF" w14:textId="77777777" w:rsidR="006C07D5" w:rsidRPr="00207A79" w:rsidRDefault="006C07D5" w:rsidP="006C07D5">
      <w:pPr>
        <w:tabs>
          <w:tab w:val="left" w:pos="4125"/>
        </w:tabs>
        <w:rPr>
          <w:sz w:val="20"/>
          <w:szCs w:val="20"/>
        </w:rPr>
      </w:pPr>
      <w:r w:rsidRPr="00207A79">
        <w:rPr>
          <w:sz w:val="20"/>
          <w:szCs w:val="20"/>
        </w:rPr>
        <w:tab/>
      </w:r>
    </w:p>
    <w:p w14:paraId="2330CD2D" w14:textId="77777777" w:rsidR="006C07D5" w:rsidRPr="00207A79" w:rsidRDefault="006C07D5" w:rsidP="006C07D5">
      <w:pPr>
        <w:autoSpaceDE w:val="0"/>
        <w:autoSpaceDN w:val="0"/>
        <w:adjustRightInd w:val="0"/>
        <w:ind w:firstLine="567"/>
      </w:pPr>
      <w:r w:rsidRPr="00207A79">
        <w:t>Coeficientului de corelație R = 0.646, prezintă o valoare ce arată că există o corelație medie între variabilele analizate pe baza modelului liniar. Pentru a interpreta modelul folosim raportul de determinație R2 = 0.417, așadar pentru modelul folosit, regresia multiplă liniară, variația variabilelor Țigări, consumul înregistrat  la nivelul consumatorilor zilnici, Alcool, consumul înregistrat pe cap de locuitor (în litri de alcool pur) explică 41,7% din variația variabilei Accizele.</w:t>
      </w:r>
    </w:p>
    <w:p w14:paraId="7136409B" w14:textId="665025ED" w:rsidR="006C07D5" w:rsidRPr="00207A79" w:rsidRDefault="006C07D5" w:rsidP="00CE3F92">
      <w:pPr>
        <w:autoSpaceDE w:val="0"/>
        <w:autoSpaceDN w:val="0"/>
        <w:adjustRightInd w:val="0"/>
        <w:ind w:firstLine="567"/>
      </w:pPr>
      <w:r w:rsidRPr="00207A79">
        <w:t xml:space="preserve">Tabelul </w:t>
      </w:r>
      <w:r w:rsidR="00CE3F92" w:rsidRPr="00207A79">
        <w:t xml:space="preserve">nr. </w:t>
      </w:r>
      <w:r w:rsidRPr="00207A79">
        <w:t>5 prezintă estimaţiile celor două componente ale variaţiei, gradele de libertate corespunzătoare, estimaţiile varianţelor explicată şi reziduală, valoarea calculată a raportului Fischer şi semnificaţia testului.</w:t>
      </w:r>
    </w:p>
    <w:p w14:paraId="6922A1D8" w14:textId="78EB9F95" w:rsidR="00CE3F92" w:rsidRPr="00207A79" w:rsidRDefault="00CE3F92" w:rsidP="00CE3F92">
      <w:pPr>
        <w:autoSpaceDE w:val="0"/>
        <w:autoSpaceDN w:val="0"/>
        <w:adjustRightInd w:val="0"/>
        <w:ind w:firstLine="567"/>
        <w:jc w:val="center"/>
      </w:pPr>
      <w:r w:rsidRPr="00207A79">
        <w:rPr>
          <w:b/>
          <w:lang w:val="en-US"/>
        </w:rPr>
        <w:t>Table no. 5. ANOVA</w:t>
      </w:r>
    </w:p>
    <w:tbl>
      <w:tblPr>
        <w:tblW w:w="7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6C07D5" w:rsidRPr="00207A79" w14:paraId="048D95A7" w14:textId="77777777" w:rsidTr="00F65890">
        <w:trPr>
          <w:cantSplit/>
          <w:jc w:val="center"/>
        </w:trPr>
        <w:tc>
          <w:tcPr>
            <w:tcW w:w="7969" w:type="dxa"/>
            <w:gridSpan w:val="7"/>
            <w:shd w:val="clear" w:color="auto" w:fill="FFFFFF"/>
            <w:vAlign w:val="center"/>
          </w:tcPr>
          <w:p w14:paraId="49595E90" w14:textId="77777777" w:rsidR="006C07D5" w:rsidRPr="00207A79" w:rsidRDefault="006C07D5" w:rsidP="00F65890">
            <w:pPr>
              <w:autoSpaceDE w:val="0"/>
              <w:autoSpaceDN w:val="0"/>
              <w:adjustRightInd w:val="0"/>
              <w:ind w:left="60" w:right="60"/>
              <w:jc w:val="center"/>
            </w:pPr>
            <w:r w:rsidRPr="00207A79">
              <w:rPr>
                <w:b/>
                <w:bCs/>
              </w:rPr>
              <w:t>ANOVA</w:t>
            </w:r>
            <w:r w:rsidRPr="00207A79">
              <w:rPr>
                <w:b/>
                <w:bCs/>
                <w:vertAlign w:val="superscript"/>
              </w:rPr>
              <w:t>a</w:t>
            </w:r>
          </w:p>
        </w:tc>
      </w:tr>
      <w:tr w:rsidR="006C07D5" w:rsidRPr="00207A79" w14:paraId="19FEE012" w14:textId="77777777" w:rsidTr="00F65890">
        <w:trPr>
          <w:cantSplit/>
          <w:jc w:val="center"/>
        </w:trPr>
        <w:tc>
          <w:tcPr>
            <w:tcW w:w="2017" w:type="dxa"/>
            <w:gridSpan w:val="2"/>
            <w:shd w:val="clear" w:color="auto" w:fill="FFFFFF"/>
            <w:vAlign w:val="bottom"/>
          </w:tcPr>
          <w:p w14:paraId="46B2EB41" w14:textId="77777777" w:rsidR="006C07D5" w:rsidRPr="00207A79" w:rsidRDefault="006C07D5" w:rsidP="00F65890">
            <w:pPr>
              <w:autoSpaceDE w:val="0"/>
              <w:autoSpaceDN w:val="0"/>
              <w:adjustRightInd w:val="0"/>
              <w:ind w:left="60" w:right="60"/>
              <w:rPr>
                <w:sz w:val="18"/>
                <w:szCs w:val="18"/>
              </w:rPr>
            </w:pPr>
            <w:r w:rsidRPr="00207A79">
              <w:rPr>
                <w:sz w:val="18"/>
                <w:szCs w:val="18"/>
              </w:rPr>
              <w:t>Model</w:t>
            </w:r>
          </w:p>
        </w:tc>
        <w:tc>
          <w:tcPr>
            <w:tcW w:w="1469" w:type="dxa"/>
            <w:shd w:val="clear" w:color="auto" w:fill="FFFFFF"/>
            <w:vAlign w:val="bottom"/>
          </w:tcPr>
          <w:p w14:paraId="58F7F04F" w14:textId="77777777" w:rsidR="006C07D5" w:rsidRPr="00207A79" w:rsidRDefault="006C07D5" w:rsidP="00F65890">
            <w:pPr>
              <w:autoSpaceDE w:val="0"/>
              <w:autoSpaceDN w:val="0"/>
              <w:adjustRightInd w:val="0"/>
              <w:ind w:left="60" w:right="60"/>
              <w:jc w:val="center"/>
              <w:rPr>
                <w:sz w:val="18"/>
                <w:szCs w:val="18"/>
              </w:rPr>
            </w:pPr>
            <w:r w:rsidRPr="00207A79">
              <w:rPr>
                <w:sz w:val="18"/>
                <w:szCs w:val="18"/>
              </w:rPr>
              <w:t>Sum of Squares</w:t>
            </w:r>
          </w:p>
        </w:tc>
        <w:tc>
          <w:tcPr>
            <w:tcW w:w="1025" w:type="dxa"/>
            <w:shd w:val="clear" w:color="auto" w:fill="FFFFFF"/>
            <w:vAlign w:val="bottom"/>
          </w:tcPr>
          <w:p w14:paraId="3ACADC6B" w14:textId="77777777" w:rsidR="006C07D5" w:rsidRPr="00207A79" w:rsidRDefault="006C07D5" w:rsidP="00CE3F92">
            <w:pPr>
              <w:autoSpaceDE w:val="0"/>
              <w:autoSpaceDN w:val="0"/>
              <w:adjustRightInd w:val="0"/>
              <w:ind w:right="60"/>
              <w:rPr>
                <w:sz w:val="18"/>
                <w:szCs w:val="18"/>
              </w:rPr>
            </w:pPr>
            <w:r w:rsidRPr="00207A79">
              <w:rPr>
                <w:sz w:val="18"/>
                <w:szCs w:val="18"/>
              </w:rPr>
              <w:t>df</w:t>
            </w:r>
          </w:p>
        </w:tc>
        <w:tc>
          <w:tcPr>
            <w:tcW w:w="1408" w:type="dxa"/>
            <w:shd w:val="clear" w:color="auto" w:fill="FFFFFF"/>
            <w:vAlign w:val="bottom"/>
          </w:tcPr>
          <w:p w14:paraId="1376C6EC" w14:textId="77777777" w:rsidR="006C07D5" w:rsidRPr="00207A79" w:rsidRDefault="006C07D5" w:rsidP="00CE3F92">
            <w:pPr>
              <w:autoSpaceDE w:val="0"/>
              <w:autoSpaceDN w:val="0"/>
              <w:adjustRightInd w:val="0"/>
              <w:ind w:left="60" w:right="60" w:firstLine="0"/>
              <w:rPr>
                <w:sz w:val="18"/>
                <w:szCs w:val="18"/>
              </w:rPr>
            </w:pPr>
            <w:r w:rsidRPr="00207A79">
              <w:rPr>
                <w:sz w:val="18"/>
                <w:szCs w:val="18"/>
              </w:rPr>
              <w:t>Mean Square</w:t>
            </w:r>
          </w:p>
        </w:tc>
        <w:tc>
          <w:tcPr>
            <w:tcW w:w="1025" w:type="dxa"/>
            <w:shd w:val="clear" w:color="auto" w:fill="FFFFFF"/>
            <w:vAlign w:val="bottom"/>
          </w:tcPr>
          <w:p w14:paraId="4EB9FB3D" w14:textId="77777777" w:rsidR="006C07D5" w:rsidRPr="00207A79" w:rsidRDefault="006C07D5" w:rsidP="00F65890">
            <w:pPr>
              <w:autoSpaceDE w:val="0"/>
              <w:autoSpaceDN w:val="0"/>
              <w:adjustRightInd w:val="0"/>
              <w:ind w:left="60" w:right="60"/>
              <w:jc w:val="center"/>
              <w:rPr>
                <w:sz w:val="18"/>
                <w:szCs w:val="18"/>
              </w:rPr>
            </w:pPr>
            <w:r w:rsidRPr="00207A79">
              <w:rPr>
                <w:sz w:val="18"/>
                <w:szCs w:val="18"/>
              </w:rPr>
              <w:t>F</w:t>
            </w:r>
          </w:p>
        </w:tc>
        <w:tc>
          <w:tcPr>
            <w:tcW w:w="1025" w:type="dxa"/>
            <w:shd w:val="clear" w:color="auto" w:fill="FFFFFF"/>
            <w:vAlign w:val="bottom"/>
          </w:tcPr>
          <w:p w14:paraId="4FE83325" w14:textId="77777777" w:rsidR="006C07D5" w:rsidRPr="00207A79" w:rsidRDefault="006C07D5" w:rsidP="00CE3F92">
            <w:pPr>
              <w:autoSpaceDE w:val="0"/>
              <w:autoSpaceDN w:val="0"/>
              <w:adjustRightInd w:val="0"/>
              <w:ind w:left="60" w:right="60" w:firstLine="0"/>
              <w:rPr>
                <w:sz w:val="18"/>
                <w:szCs w:val="18"/>
              </w:rPr>
            </w:pPr>
            <w:r w:rsidRPr="00207A79">
              <w:rPr>
                <w:sz w:val="18"/>
                <w:szCs w:val="18"/>
              </w:rPr>
              <w:t>Sig.</w:t>
            </w:r>
          </w:p>
        </w:tc>
      </w:tr>
      <w:tr w:rsidR="006C07D5" w:rsidRPr="00207A79" w14:paraId="3F3F83E6" w14:textId="77777777" w:rsidTr="00F65890">
        <w:trPr>
          <w:cantSplit/>
          <w:jc w:val="center"/>
        </w:trPr>
        <w:tc>
          <w:tcPr>
            <w:tcW w:w="733" w:type="dxa"/>
            <w:vMerge w:val="restart"/>
            <w:shd w:val="clear" w:color="auto" w:fill="E0E0E0"/>
          </w:tcPr>
          <w:p w14:paraId="61E6CCE8" w14:textId="77777777" w:rsidR="006C07D5" w:rsidRPr="00207A79" w:rsidRDefault="006C07D5" w:rsidP="00F65890">
            <w:pPr>
              <w:autoSpaceDE w:val="0"/>
              <w:autoSpaceDN w:val="0"/>
              <w:adjustRightInd w:val="0"/>
              <w:ind w:left="60" w:right="60"/>
              <w:rPr>
                <w:sz w:val="18"/>
                <w:szCs w:val="18"/>
              </w:rPr>
            </w:pPr>
            <w:r w:rsidRPr="00207A79">
              <w:rPr>
                <w:sz w:val="18"/>
                <w:szCs w:val="18"/>
              </w:rPr>
              <w:t>1</w:t>
            </w:r>
          </w:p>
        </w:tc>
        <w:tc>
          <w:tcPr>
            <w:tcW w:w="1284" w:type="dxa"/>
            <w:shd w:val="clear" w:color="auto" w:fill="E0E0E0"/>
          </w:tcPr>
          <w:p w14:paraId="6E4FCD39" w14:textId="77777777" w:rsidR="006C07D5" w:rsidRPr="00207A79" w:rsidRDefault="006C07D5" w:rsidP="00CE3F92">
            <w:pPr>
              <w:autoSpaceDE w:val="0"/>
              <w:autoSpaceDN w:val="0"/>
              <w:adjustRightInd w:val="0"/>
              <w:ind w:left="60" w:right="60" w:firstLine="0"/>
              <w:rPr>
                <w:sz w:val="18"/>
                <w:szCs w:val="18"/>
              </w:rPr>
            </w:pPr>
            <w:r w:rsidRPr="00207A79">
              <w:rPr>
                <w:sz w:val="18"/>
                <w:szCs w:val="18"/>
              </w:rPr>
              <w:t>Regression</w:t>
            </w:r>
          </w:p>
        </w:tc>
        <w:tc>
          <w:tcPr>
            <w:tcW w:w="1469" w:type="dxa"/>
            <w:shd w:val="clear" w:color="auto" w:fill="FFFFFF"/>
          </w:tcPr>
          <w:p w14:paraId="068107F6" w14:textId="77777777" w:rsidR="006C07D5" w:rsidRPr="00207A79" w:rsidRDefault="006C07D5" w:rsidP="00CE3F92">
            <w:pPr>
              <w:autoSpaceDE w:val="0"/>
              <w:autoSpaceDN w:val="0"/>
              <w:adjustRightInd w:val="0"/>
              <w:ind w:left="60" w:right="60" w:firstLine="0"/>
              <w:rPr>
                <w:sz w:val="18"/>
                <w:szCs w:val="18"/>
              </w:rPr>
            </w:pPr>
            <w:r w:rsidRPr="00207A79">
              <w:rPr>
                <w:sz w:val="18"/>
                <w:szCs w:val="18"/>
              </w:rPr>
              <w:t>1861.373</w:t>
            </w:r>
          </w:p>
        </w:tc>
        <w:tc>
          <w:tcPr>
            <w:tcW w:w="1025" w:type="dxa"/>
            <w:shd w:val="clear" w:color="auto" w:fill="FFFFFF"/>
          </w:tcPr>
          <w:p w14:paraId="1F1B0C69" w14:textId="77777777" w:rsidR="006C07D5" w:rsidRPr="00207A79" w:rsidRDefault="006C07D5" w:rsidP="00F65890">
            <w:pPr>
              <w:autoSpaceDE w:val="0"/>
              <w:autoSpaceDN w:val="0"/>
              <w:adjustRightInd w:val="0"/>
              <w:ind w:left="60" w:right="60"/>
              <w:jc w:val="center"/>
              <w:rPr>
                <w:sz w:val="18"/>
                <w:szCs w:val="18"/>
              </w:rPr>
            </w:pPr>
            <w:r w:rsidRPr="00207A79">
              <w:rPr>
                <w:sz w:val="18"/>
                <w:szCs w:val="18"/>
              </w:rPr>
              <w:t>2</w:t>
            </w:r>
          </w:p>
        </w:tc>
        <w:tc>
          <w:tcPr>
            <w:tcW w:w="1408" w:type="dxa"/>
            <w:shd w:val="clear" w:color="auto" w:fill="FFFFFF"/>
          </w:tcPr>
          <w:p w14:paraId="6BB7D9C8" w14:textId="77777777" w:rsidR="006C07D5" w:rsidRPr="00207A79" w:rsidRDefault="006C07D5" w:rsidP="00CE3F92">
            <w:pPr>
              <w:autoSpaceDE w:val="0"/>
              <w:autoSpaceDN w:val="0"/>
              <w:adjustRightInd w:val="0"/>
              <w:ind w:left="60" w:right="60" w:firstLine="0"/>
              <w:rPr>
                <w:sz w:val="18"/>
                <w:szCs w:val="18"/>
              </w:rPr>
            </w:pPr>
            <w:r w:rsidRPr="00207A79">
              <w:rPr>
                <w:sz w:val="18"/>
                <w:szCs w:val="18"/>
              </w:rPr>
              <w:t>930.686</w:t>
            </w:r>
          </w:p>
        </w:tc>
        <w:tc>
          <w:tcPr>
            <w:tcW w:w="1025" w:type="dxa"/>
            <w:shd w:val="clear" w:color="auto" w:fill="FFFFFF"/>
          </w:tcPr>
          <w:p w14:paraId="072AABFF" w14:textId="77777777" w:rsidR="006C07D5" w:rsidRPr="00207A79" w:rsidRDefault="006C07D5" w:rsidP="00CE3F92">
            <w:pPr>
              <w:autoSpaceDE w:val="0"/>
              <w:autoSpaceDN w:val="0"/>
              <w:adjustRightInd w:val="0"/>
              <w:ind w:left="60" w:right="60" w:firstLine="0"/>
              <w:rPr>
                <w:sz w:val="18"/>
                <w:szCs w:val="18"/>
              </w:rPr>
            </w:pPr>
            <w:r w:rsidRPr="00207A79">
              <w:rPr>
                <w:sz w:val="18"/>
                <w:szCs w:val="18"/>
              </w:rPr>
              <w:t>8.580</w:t>
            </w:r>
          </w:p>
        </w:tc>
        <w:tc>
          <w:tcPr>
            <w:tcW w:w="1025" w:type="dxa"/>
            <w:shd w:val="clear" w:color="auto" w:fill="FFFFFF"/>
          </w:tcPr>
          <w:p w14:paraId="0B14FD21" w14:textId="77777777" w:rsidR="006C07D5" w:rsidRPr="00207A79" w:rsidRDefault="006C07D5" w:rsidP="00CE3F92">
            <w:pPr>
              <w:autoSpaceDE w:val="0"/>
              <w:autoSpaceDN w:val="0"/>
              <w:adjustRightInd w:val="0"/>
              <w:ind w:left="60" w:right="60" w:firstLine="0"/>
              <w:rPr>
                <w:sz w:val="18"/>
                <w:szCs w:val="18"/>
              </w:rPr>
            </w:pPr>
            <w:r w:rsidRPr="00207A79">
              <w:rPr>
                <w:sz w:val="18"/>
                <w:szCs w:val="18"/>
              </w:rPr>
              <w:t>.002</w:t>
            </w:r>
            <w:r w:rsidRPr="00207A79">
              <w:rPr>
                <w:sz w:val="18"/>
                <w:szCs w:val="18"/>
                <w:vertAlign w:val="superscript"/>
              </w:rPr>
              <w:t>b</w:t>
            </w:r>
          </w:p>
        </w:tc>
      </w:tr>
      <w:tr w:rsidR="006C07D5" w:rsidRPr="00207A79" w14:paraId="4D4E7A0D" w14:textId="77777777" w:rsidTr="00F65890">
        <w:trPr>
          <w:cantSplit/>
          <w:jc w:val="center"/>
        </w:trPr>
        <w:tc>
          <w:tcPr>
            <w:tcW w:w="733" w:type="dxa"/>
            <w:vMerge/>
            <w:shd w:val="clear" w:color="auto" w:fill="E0E0E0"/>
          </w:tcPr>
          <w:p w14:paraId="02B3EF24" w14:textId="77777777" w:rsidR="006C07D5" w:rsidRPr="00207A79" w:rsidRDefault="006C07D5" w:rsidP="00F65890">
            <w:pPr>
              <w:autoSpaceDE w:val="0"/>
              <w:autoSpaceDN w:val="0"/>
              <w:adjustRightInd w:val="0"/>
              <w:rPr>
                <w:sz w:val="18"/>
                <w:szCs w:val="18"/>
              </w:rPr>
            </w:pPr>
          </w:p>
        </w:tc>
        <w:tc>
          <w:tcPr>
            <w:tcW w:w="1284" w:type="dxa"/>
            <w:shd w:val="clear" w:color="auto" w:fill="E0E0E0"/>
          </w:tcPr>
          <w:p w14:paraId="4BE9F0B9" w14:textId="77777777" w:rsidR="006C07D5" w:rsidRPr="00207A79" w:rsidRDefault="006C07D5" w:rsidP="00CE3F92">
            <w:pPr>
              <w:autoSpaceDE w:val="0"/>
              <w:autoSpaceDN w:val="0"/>
              <w:adjustRightInd w:val="0"/>
              <w:ind w:left="60" w:right="60" w:firstLine="0"/>
              <w:rPr>
                <w:sz w:val="18"/>
                <w:szCs w:val="18"/>
              </w:rPr>
            </w:pPr>
            <w:r w:rsidRPr="00207A79">
              <w:rPr>
                <w:sz w:val="18"/>
                <w:szCs w:val="18"/>
              </w:rPr>
              <w:t>Residual</w:t>
            </w:r>
          </w:p>
        </w:tc>
        <w:tc>
          <w:tcPr>
            <w:tcW w:w="1469" w:type="dxa"/>
            <w:shd w:val="clear" w:color="auto" w:fill="FFFFFF"/>
          </w:tcPr>
          <w:p w14:paraId="68C4CF56" w14:textId="77777777" w:rsidR="006C07D5" w:rsidRPr="00207A79" w:rsidRDefault="006C07D5" w:rsidP="00CE3F92">
            <w:pPr>
              <w:autoSpaceDE w:val="0"/>
              <w:autoSpaceDN w:val="0"/>
              <w:adjustRightInd w:val="0"/>
              <w:ind w:left="60" w:right="60" w:firstLine="0"/>
              <w:rPr>
                <w:sz w:val="18"/>
                <w:szCs w:val="18"/>
              </w:rPr>
            </w:pPr>
            <w:r w:rsidRPr="00207A79">
              <w:rPr>
                <w:sz w:val="18"/>
                <w:szCs w:val="18"/>
              </w:rPr>
              <w:t>2603.384</w:t>
            </w:r>
          </w:p>
        </w:tc>
        <w:tc>
          <w:tcPr>
            <w:tcW w:w="1025" w:type="dxa"/>
            <w:shd w:val="clear" w:color="auto" w:fill="FFFFFF"/>
          </w:tcPr>
          <w:p w14:paraId="6152F6D3" w14:textId="77777777" w:rsidR="006C07D5" w:rsidRPr="00207A79" w:rsidRDefault="006C07D5" w:rsidP="00F65890">
            <w:pPr>
              <w:autoSpaceDE w:val="0"/>
              <w:autoSpaceDN w:val="0"/>
              <w:adjustRightInd w:val="0"/>
              <w:ind w:left="60" w:right="60"/>
              <w:jc w:val="center"/>
              <w:rPr>
                <w:sz w:val="18"/>
                <w:szCs w:val="18"/>
              </w:rPr>
            </w:pPr>
            <w:r w:rsidRPr="00207A79">
              <w:rPr>
                <w:sz w:val="18"/>
                <w:szCs w:val="18"/>
              </w:rPr>
              <w:t>24</w:t>
            </w:r>
          </w:p>
        </w:tc>
        <w:tc>
          <w:tcPr>
            <w:tcW w:w="1408" w:type="dxa"/>
            <w:shd w:val="clear" w:color="auto" w:fill="FFFFFF"/>
          </w:tcPr>
          <w:p w14:paraId="46D3DBA9" w14:textId="77777777" w:rsidR="006C07D5" w:rsidRPr="00207A79" w:rsidRDefault="006C07D5" w:rsidP="00CE3F92">
            <w:pPr>
              <w:autoSpaceDE w:val="0"/>
              <w:autoSpaceDN w:val="0"/>
              <w:adjustRightInd w:val="0"/>
              <w:ind w:left="60" w:right="60" w:firstLine="0"/>
              <w:rPr>
                <w:sz w:val="18"/>
                <w:szCs w:val="18"/>
              </w:rPr>
            </w:pPr>
            <w:r w:rsidRPr="00207A79">
              <w:rPr>
                <w:sz w:val="18"/>
                <w:szCs w:val="18"/>
              </w:rPr>
              <w:t>108.474</w:t>
            </w:r>
          </w:p>
        </w:tc>
        <w:tc>
          <w:tcPr>
            <w:tcW w:w="1025" w:type="dxa"/>
            <w:shd w:val="clear" w:color="auto" w:fill="FFFFFF"/>
            <w:vAlign w:val="center"/>
          </w:tcPr>
          <w:p w14:paraId="489EC886" w14:textId="77777777" w:rsidR="006C07D5" w:rsidRPr="00207A79" w:rsidRDefault="006C07D5" w:rsidP="00F65890">
            <w:pPr>
              <w:autoSpaceDE w:val="0"/>
              <w:autoSpaceDN w:val="0"/>
              <w:adjustRightInd w:val="0"/>
              <w:jc w:val="center"/>
            </w:pPr>
          </w:p>
        </w:tc>
        <w:tc>
          <w:tcPr>
            <w:tcW w:w="1025" w:type="dxa"/>
            <w:shd w:val="clear" w:color="auto" w:fill="FFFFFF"/>
            <w:vAlign w:val="center"/>
          </w:tcPr>
          <w:p w14:paraId="0E7F8643" w14:textId="77777777" w:rsidR="006C07D5" w:rsidRPr="00207A79" w:rsidRDefault="006C07D5" w:rsidP="00F65890">
            <w:pPr>
              <w:autoSpaceDE w:val="0"/>
              <w:autoSpaceDN w:val="0"/>
              <w:adjustRightInd w:val="0"/>
              <w:jc w:val="center"/>
            </w:pPr>
          </w:p>
        </w:tc>
      </w:tr>
      <w:tr w:rsidR="006C07D5" w:rsidRPr="00207A79" w14:paraId="16F07875" w14:textId="77777777" w:rsidTr="00F65890">
        <w:trPr>
          <w:cantSplit/>
          <w:jc w:val="center"/>
        </w:trPr>
        <w:tc>
          <w:tcPr>
            <w:tcW w:w="733" w:type="dxa"/>
            <w:vMerge/>
            <w:shd w:val="clear" w:color="auto" w:fill="E0E0E0"/>
          </w:tcPr>
          <w:p w14:paraId="56AD2A06" w14:textId="77777777" w:rsidR="006C07D5" w:rsidRPr="00207A79" w:rsidRDefault="006C07D5" w:rsidP="00F65890">
            <w:pPr>
              <w:autoSpaceDE w:val="0"/>
              <w:autoSpaceDN w:val="0"/>
              <w:adjustRightInd w:val="0"/>
            </w:pPr>
          </w:p>
        </w:tc>
        <w:tc>
          <w:tcPr>
            <w:tcW w:w="1284" w:type="dxa"/>
            <w:shd w:val="clear" w:color="auto" w:fill="E0E0E0"/>
          </w:tcPr>
          <w:p w14:paraId="4C321832" w14:textId="77777777" w:rsidR="006C07D5" w:rsidRPr="00207A79" w:rsidRDefault="006C07D5" w:rsidP="00F65890">
            <w:pPr>
              <w:autoSpaceDE w:val="0"/>
              <w:autoSpaceDN w:val="0"/>
              <w:adjustRightInd w:val="0"/>
              <w:ind w:left="60" w:right="60"/>
              <w:rPr>
                <w:sz w:val="18"/>
                <w:szCs w:val="18"/>
              </w:rPr>
            </w:pPr>
            <w:r w:rsidRPr="00207A79">
              <w:rPr>
                <w:sz w:val="18"/>
                <w:szCs w:val="18"/>
              </w:rPr>
              <w:t>Total</w:t>
            </w:r>
          </w:p>
        </w:tc>
        <w:tc>
          <w:tcPr>
            <w:tcW w:w="1469" w:type="dxa"/>
            <w:shd w:val="clear" w:color="auto" w:fill="FFFFFF"/>
          </w:tcPr>
          <w:p w14:paraId="38D72535" w14:textId="77777777" w:rsidR="006C07D5" w:rsidRPr="00207A79" w:rsidRDefault="006C07D5" w:rsidP="00CE3F92">
            <w:pPr>
              <w:autoSpaceDE w:val="0"/>
              <w:autoSpaceDN w:val="0"/>
              <w:adjustRightInd w:val="0"/>
              <w:ind w:left="60" w:right="60" w:firstLine="0"/>
              <w:rPr>
                <w:sz w:val="18"/>
                <w:szCs w:val="18"/>
              </w:rPr>
            </w:pPr>
            <w:r w:rsidRPr="00207A79">
              <w:rPr>
                <w:sz w:val="18"/>
                <w:szCs w:val="18"/>
              </w:rPr>
              <w:t>4464.757</w:t>
            </w:r>
          </w:p>
        </w:tc>
        <w:tc>
          <w:tcPr>
            <w:tcW w:w="1025" w:type="dxa"/>
            <w:shd w:val="clear" w:color="auto" w:fill="FFFFFF"/>
          </w:tcPr>
          <w:p w14:paraId="30BB4370" w14:textId="77777777" w:rsidR="006C07D5" w:rsidRPr="00207A79" w:rsidRDefault="006C07D5" w:rsidP="00F65890">
            <w:pPr>
              <w:autoSpaceDE w:val="0"/>
              <w:autoSpaceDN w:val="0"/>
              <w:adjustRightInd w:val="0"/>
              <w:ind w:left="60" w:right="60"/>
              <w:jc w:val="center"/>
              <w:rPr>
                <w:sz w:val="18"/>
                <w:szCs w:val="18"/>
              </w:rPr>
            </w:pPr>
            <w:r w:rsidRPr="00207A79">
              <w:rPr>
                <w:sz w:val="18"/>
                <w:szCs w:val="18"/>
              </w:rPr>
              <w:t>26</w:t>
            </w:r>
          </w:p>
        </w:tc>
        <w:tc>
          <w:tcPr>
            <w:tcW w:w="1408" w:type="dxa"/>
            <w:shd w:val="clear" w:color="auto" w:fill="FFFFFF"/>
            <w:vAlign w:val="center"/>
          </w:tcPr>
          <w:p w14:paraId="1B16E9B8" w14:textId="77777777" w:rsidR="006C07D5" w:rsidRPr="00207A79" w:rsidRDefault="006C07D5" w:rsidP="00F65890">
            <w:pPr>
              <w:autoSpaceDE w:val="0"/>
              <w:autoSpaceDN w:val="0"/>
              <w:adjustRightInd w:val="0"/>
              <w:jc w:val="center"/>
            </w:pPr>
          </w:p>
        </w:tc>
        <w:tc>
          <w:tcPr>
            <w:tcW w:w="1025" w:type="dxa"/>
            <w:shd w:val="clear" w:color="auto" w:fill="FFFFFF"/>
            <w:vAlign w:val="center"/>
          </w:tcPr>
          <w:p w14:paraId="5910FD00" w14:textId="77777777" w:rsidR="006C07D5" w:rsidRPr="00207A79" w:rsidRDefault="006C07D5" w:rsidP="00F65890">
            <w:pPr>
              <w:autoSpaceDE w:val="0"/>
              <w:autoSpaceDN w:val="0"/>
              <w:adjustRightInd w:val="0"/>
              <w:jc w:val="center"/>
            </w:pPr>
          </w:p>
        </w:tc>
        <w:tc>
          <w:tcPr>
            <w:tcW w:w="1025" w:type="dxa"/>
            <w:shd w:val="clear" w:color="auto" w:fill="FFFFFF"/>
            <w:vAlign w:val="center"/>
          </w:tcPr>
          <w:p w14:paraId="7BC6DBF0" w14:textId="77777777" w:rsidR="006C07D5" w:rsidRPr="00207A79" w:rsidRDefault="006C07D5" w:rsidP="00F65890">
            <w:pPr>
              <w:autoSpaceDE w:val="0"/>
              <w:autoSpaceDN w:val="0"/>
              <w:adjustRightInd w:val="0"/>
              <w:jc w:val="center"/>
            </w:pPr>
          </w:p>
        </w:tc>
      </w:tr>
      <w:tr w:rsidR="006C07D5" w:rsidRPr="00207A79" w14:paraId="055BD59A" w14:textId="77777777" w:rsidTr="00F65890">
        <w:trPr>
          <w:cantSplit/>
          <w:jc w:val="center"/>
        </w:trPr>
        <w:tc>
          <w:tcPr>
            <w:tcW w:w="7969" w:type="dxa"/>
            <w:gridSpan w:val="7"/>
            <w:shd w:val="clear" w:color="auto" w:fill="FFFFFF"/>
          </w:tcPr>
          <w:p w14:paraId="2249D422" w14:textId="0D594345" w:rsidR="006C07D5" w:rsidRPr="00207A79" w:rsidRDefault="006C07D5" w:rsidP="00F65890">
            <w:pPr>
              <w:autoSpaceDE w:val="0"/>
              <w:autoSpaceDN w:val="0"/>
              <w:adjustRightInd w:val="0"/>
              <w:ind w:left="60" w:right="60"/>
              <w:rPr>
                <w:sz w:val="18"/>
                <w:szCs w:val="18"/>
              </w:rPr>
            </w:pPr>
            <w:r w:rsidRPr="00207A79">
              <w:rPr>
                <w:sz w:val="18"/>
                <w:szCs w:val="18"/>
              </w:rPr>
              <w:t xml:space="preserve">a. Dependent Variable: </w:t>
            </w:r>
            <w:r w:rsidR="00CE3F92" w:rsidRPr="00207A79">
              <w:rPr>
                <w:sz w:val="18"/>
                <w:szCs w:val="18"/>
              </w:rPr>
              <w:t>Excise duties</w:t>
            </w:r>
          </w:p>
        </w:tc>
      </w:tr>
      <w:tr w:rsidR="006C07D5" w:rsidRPr="00207A79" w14:paraId="31B417E9" w14:textId="77777777" w:rsidTr="00F65890">
        <w:trPr>
          <w:cantSplit/>
          <w:jc w:val="center"/>
        </w:trPr>
        <w:tc>
          <w:tcPr>
            <w:tcW w:w="7969" w:type="dxa"/>
            <w:gridSpan w:val="7"/>
            <w:shd w:val="clear" w:color="auto" w:fill="FFFFFF"/>
          </w:tcPr>
          <w:p w14:paraId="2F1E1FBB" w14:textId="761CCA99" w:rsidR="006C07D5" w:rsidRPr="00207A79" w:rsidRDefault="006C07D5" w:rsidP="00F65890">
            <w:pPr>
              <w:autoSpaceDE w:val="0"/>
              <w:autoSpaceDN w:val="0"/>
              <w:adjustRightInd w:val="0"/>
              <w:ind w:left="60" w:right="60"/>
              <w:rPr>
                <w:sz w:val="18"/>
                <w:szCs w:val="18"/>
              </w:rPr>
            </w:pPr>
            <w:r w:rsidRPr="00207A79">
              <w:rPr>
                <w:sz w:val="18"/>
                <w:szCs w:val="18"/>
              </w:rPr>
              <w:t xml:space="preserve">b. Predictors: (Constant), </w:t>
            </w:r>
            <w:r w:rsidR="00CE3F92" w:rsidRPr="00207A79">
              <w:rPr>
                <w:sz w:val="18"/>
                <w:szCs w:val="18"/>
              </w:rPr>
              <w:t>Cigarettes, consumption recorded at the level of daily consumers, Alcohol, consumption recorded per capita (in liters of pure alcohol)</w:t>
            </w:r>
          </w:p>
        </w:tc>
      </w:tr>
    </w:tbl>
    <w:p w14:paraId="32BC7940" w14:textId="77777777" w:rsidR="00CE3F92" w:rsidRPr="00207A79" w:rsidRDefault="00CE3F92" w:rsidP="00CE3F92">
      <w:pPr>
        <w:autoSpaceDE w:val="0"/>
        <w:autoSpaceDN w:val="0"/>
        <w:adjustRightInd w:val="0"/>
        <w:jc w:val="center"/>
        <w:rPr>
          <w:sz w:val="20"/>
        </w:rPr>
      </w:pPr>
      <w:r w:rsidRPr="00207A79">
        <w:rPr>
          <w:sz w:val="20"/>
        </w:rPr>
        <w:t>Source: own elaboration in SPSS</w:t>
      </w:r>
    </w:p>
    <w:p w14:paraId="33C80E31" w14:textId="77777777" w:rsidR="006C07D5" w:rsidRPr="00207A79" w:rsidRDefault="006C07D5" w:rsidP="006C07D5">
      <w:pPr>
        <w:autoSpaceDE w:val="0"/>
        <w:autoSpaceDN w:val="0"/>
        <w:adjustRightInd w:val="0"/>
        <w:jc w:val="center"/>
        <w:rPr>
          <w:sz w:val="20"/>
        </w:rPr>
      </w:pPr>
    </w:p>
    <w:p w14:paraId="1CD52C12" w14:textId="77777777" w:rsidR="006C07D5" w:rsidRPr="00207A79" w:rsidRDefault="006C07D5" w:rsidP="006C07D5">
      <w:pPr>
        <w:autoSpaceDE w:val="0"/>
        <w:autoSpaceDN w:val="0"/>
        <w:adjustRightInd w:val="0"/>
        <w:ind w:firstLine="567"/>
      </w:pPr>
      <w:r w:rsidRPr="00207A79">
        <w:t>Din tabelul de mai sus, componentele variaţiei se prezintă astfel:</w:t>
      </w:r>
    </w:p>
    <w:p w14:paraId="39085FD8" w14:textId="77777777" w:rsidR="006C07D5" w:rsidRPr="00207A79" w:rsidRDefault="006C07D5" w:rsidP="006C07D5">
      <w:pPr>
        <w:pStyle w:val="ListParagraph"/>
        <w:numPr>
          <w:ilvl w:val="1"/>
          <w:numId w:val="22"/>
        </w:numPr>
        <w:autoSpaceDE w:val="0"/>
        <w:autoSpaceDN w:val="0"/>
        <w:adjustRightInd w:val="0"/>
        <w:ind w:left="567"/>
      </w:pPr>
      <w:r w:rsidRPr="00207A79">
        <w:t>Regression Sum of Squares reprezintă variaţia explicată estimată şi are o valoare de 1861.373;</w:t>
      </w:r>
    </w:p>
    <w:p w14:paraId="1151A8E1" w14:textId="77777777" w:rsidR="006C07D5" w:rsidRPr="00207A79" w:rsidRDefault="006C07D5" w:rsidP="006C07D5">
      <w:pPr>
        <w:pStyle w:val="ListParagraph"/>
        <w:numPr>
          <w:ilvl w:val="1"/>
          <w:numId w:val="22"/>
        </w:numPr>
        <w:autoSpaceDE w:val="0"/>
        <w:autoSpaceDN w:val="0"/>
        <w:adjustRightInd w:val="0"/>
        <w:ind w:left="567"/>
      </w:pPr>
      <w:r w:rsidRPr="00207A79">
        <w:t>Residual Sum of Squares reprezintă variaţia reziduală estimată şi are o valoare de 2603.384;</w:t>
      </w:r>
    </w:p>
    <w:p w14:paraId="04C87730" w14:textId="77777777" w:rsidR="006C07D5" w:rsidRPr="00207A79" w:rsidRDefault="006C07D5" w:rsidP="006C07D5">
      <w:pPr>
        <w:pStyle w:val="ListParagraph"/>
        <w:numPr>
          <w:ilvl w:val="1"/>
          <w:numId w:val="22"/>
        </w:numPr>
        <w:autoSpaceDE w:val="0"/>
        <w:autoSpaceDN w:val="0"/>
        <w:adjustRightInd w:val="0"/>
        <w:ind w:left="567"/>
      </w:pPr>
      <w:r w:rsidRPr="00207A79">
        <w:t>Total Sum of Squares reprezintă variaţia totală estimată şi are o valoare de 4464.757.</w:t>
      </w:r>
    </w:p>
    <w:p w14:paraId="19912FCD" w14:textId="2DA595BF" w:rsidR="006C07D5" w:rsidRPr="00207A79" w:rsidRDefault="006C07D5" w:rsidP="006C07D5">
      <w:pPr>
        <w:autoSpaceDE w:val="0"/>
        <w:autoSpaceDN w:val="0"/>
        <w:adjustRightInd w:val="0"/>
        <w:ind w:firstLine="567"/>
      </w:pPr>
      <w:r w:rsidRPr="00207A79">
        <w:t>Tabelul A</w:t>
      </w:r>
      <w:r w:rsidR="00CD12D5" w:rsidRPr="00207A79">
        <w:t>NOVA</w:t>
      </w:r>
      <w:r w:rsidRPr="00207A79">
        <w:t xml:space="preserve"> ne prezintă și valoarea coeficientul Fisher este </w:t>
      </w:r>
      <w:r w:rsidRPr="00207A79">
        <w:rPr>
          <w:iCs/>
        </w:rPr>
        <w:t>F</w:t>
      </w:r>
      <w:r w:rsidRPr="00207A79">
        <w:rPr>
          <w:i/>
          <w:iCs/>
        </w:rPr>
        <w:t xml:space="preserve"> </w:t>
      </w:r>
      <w:r w:rsidRPr="00207A79">
        <w:t xml:space="preserve">= 8.580, iar valoarea Sig. pentru testul </w:t>
      </w:r>
      <w:r w:rsidRPr="00207A79">
        <w:rPr>
          <w:iCs/>
        </w:rPr>
        <w:t>F</w:t>
      </w:r>
      <w:r w:rsidRPr="00207A79">
        <w:rPr>
          <w:i/>
          <w:iCs/>
        </w:rPr>
        <w:t xml:space="preserve"> </w:t>
      </w:r>
      <w:r w:rsidRPr="00207A79">
        <w:t>este mai mic</w:t>
      </w:r>
      <w:r w:rsidRPr="00207A79">
        <w:rPr>
          <w:rFonts w:hint="eastAsia"/>
        </w:rPr>
        <w:t>ă</w:t>
      </w:r>
      <w:r w:rsidRPr="00207A79">
        <w:t xml:space="preserve"> dec</w:t>
      </w:r>
      <w:r w:rsidRPr="00207A79">
        <w:rPr>
          <w:rFonts w:hint="eastAsia"/>
        </w:rPr>
        <w:t>â</w:t>
      </w:r>
      <w:r w:rsidRPr="00207A79">
        <w:t>t 0.05, drept urmare, modelul construit explic</w:t>
      </w:r>
      <w:r w:rsidRPr="00207A79">
        <w:rPr>
          <w:rFonts w:hint="eastAsia"/>
        </w:rPr>
        <w:t>ă</w:t>
      </w:r>
      <w:r w:rsidRPr="00207A79">
        <w:t xml:space="preserve"> dependen</w:t>
      </w:r>
      <w:r w:rsidRPr="00207A79">
        <w:rPr>
          <w:rFonts w:hint="eastAsia"/>
        </w:rPr>
        <w:t>ţ</w:t>
      </w:r>
      <w:r w:rsidRPr="00207A79">
        <w:t>a dintre variabilele menționate, caracterizate printr-o relație liniar</w:t>
      </w:r>
      <w:r w:rsidRPr="00207A79">
        <w:rPr>
          <w:rFonts w:hint="eastAsia"/>
        </w:rPr>
        <w:t>ă</w:t>
      </w:r>
      <w:r w:rsidRPr="00207A79">
        <w:t xml:space="preserve"> semnificativă.</w:t>
      </w:r>
    </w:p>
    <w:p w14:paraId="71E38A43" w14:textId="3F6AECA7" w:rsidR="006C07D5" w:rsidRPr="00207A79" w:rsidRDefault="006C07D5" w:rsidP="006C07D5">
      <w:pPr>
        <w:autoSpaceDE w:val="0"/>
        <w:autoSpaceDN w:val="0"/>
        <w:adjustRightInd w:val="0"/>
        <w:ind w:firstLine="567"/>
      </w:pPr>
      <w:r w:rsidRPr="00207A79">
        <w:t>Parametrii modelului de regresie simpl</w:t>
      </w:r>
      <w:r w:rsidRPr="00207A79">
        <w:rPr>
          <w:rFonts w:hint="eastAsia"/>
        </w:rPr>
        <w:t>ă</w:t>
      </w:r>
      <w:r w:rsidRPr="00207A79">
        <w:t xml:space="preserve"> linear</w:t>
      </w:r>
      <w:r w:rsidRPr="00207A79">
        <w:rPr>
          <w:rFonts w:hint="eastAsia"/>
        </w:rPr>
        <w:t>ă</w:t>
      </w:r>
      <w:r w:rsidRPr="00207A79">
        <w:t xml:space="preserve"> sunt determina</w:t>
      </w:r>
      <w:r w:rsidRPr="00207A79">
        <w:rPr>
          <w:rFonts w:hint="eastAsia"/>
        </w:rPr>
        <w:t>ț</w:t>
      </w:r>
      <w:r w:rsidRPr="00207A79">
        <w:t xml:space="preserve">i </w:t>
      </w:r>
      <w:r w:rsidRPr="00207A79">
        <w:rPr>
          <w:rFonts w:hint="eastAsia"/>
        </w:rPr>
        <w:t>î</w:t>
      </w:r>
      <w:r w:rsidRPr="00207A79">
        <w:t xml:space="preserve">n tabelui </w:t>
      </w:r>
      <w:r w:rsidR="00CE3F92" w:rsidRPr="00207A79">
        <w:t xml:space="preserve">nr. </w:t>
      </w:r>
      <w:r w:rsidRPr="00207A79">
        <w:t>6:</w:t>
      </w:r>
    </w:p>
    <w:p w14:paraId="18AFA821" w14:textId="77777777" w:rsidR="00CE3F92" w:rsidRPr="00207A79" w:rsidRDefault="00CE3F92" w:rsidP="00CE3F92">
      <w:pPr>
        <w:autoSpaceDE w:val="0"/>
        <w:autoSpaceDN w:val="0"/>
        <w:adjustRightInd w:val="0"/>
        <w:ind w:firstLine="567"/>
        <w:jc w:val="center"/>
        <w:rPr>
          <w:b/>
          <w:lang w:val="en-US"/>
        </w:rPr>
      </w:pPr>
    </w:p>
    <w:p w14:paraId="413C0E6C" w14:textId="651FFD7A" w:rsidR="006C07D5" w:rsidRPr="00207A79" w:rsidRDefault="00CE3F92" w:rsidP="00CE3F92">
      <w:pPr>
        <w:autoSpaceDE w:val="0"/>
        <w:autoSpaceDN w:val="0"/>
        <w:adjustRightInd w:val="0"/>
        <w:ind w:firstLine="567"/>
        <w:jc w:val="center"/>
      </w:pPr>
      <w:r w:rsidRPr="00207A79">
        <w:rPr>
          <w:b/>
          <w:lang w:val="en-US"/>
        </w:rPr>
        <w:t xml:space="preserve">Table no. 6. </w:t>
      </w:r>
      <w:proofErr w:type="spellStart"/>
      <w:r w:rsidRPr="00207A79">
        <w:rPr>
          <w:b/>
          <w:lang w:val="en-US"/>
        </w:rPr>
        <w:t>Coefficients</w:t>
      </w:r>
      <w:r w:rsidRPr="00207A79">
        <w:rPr>
          <w:b/>
          <w:vertAlign w:val="superscript"/>
          <w:lang w:val="en-US"/>
        </w:rPr>
        <w:t>a</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9"/>
        <w:gridCol w:w="1599"/>
        <w:gridCol w:w="994"/>
        <w:gridCol w:w="994"/>
        <w:gridCol w:w="1348"/>
        <w:gridCol w:w="923"/>
        <w:gridCol w:w="849"/>
        <w:gridCol w:w="995"/>
        <w:gridCol w:w="997"/>
      </w:tblGrid>
      <w:tr w:rsidR="00CE3F92" w:rsidRPr="00207A79" w14:paraId="6A95EEDF" w14:textId="77777777" w:rsidTr="00CE3F92">
        <w:trPr>
          <w:cantSplit/>
          <w:jc w:val="center"/>
        </w:trPr>
        <w:tc>
          <w:tcPr>
            <w:tcW w:w="1049" w:type="pct"/>
            <w:gridSpan w:val="2"/>
            <w:vMerge w:val="restart"/>
            <w:shd w:val="clear" w:color="auto" w:fill="FFFFFF"/>
            <w:vAlign w:val="bottom"/>
          </w:tcPr>
          <w:p w14:paraId="3802163C" w14:textId="77777777" w:rsidR="006C07D5" w:rsidRPr="00207A79" w:rsidRDefault="006C07D5" w:rsidP="00F65890">
            <w:pPr>
              <w:autoSpaceDE w:val="0"/>
              <w:autoSpaceDN w:val="0"/>
              <w:adjustRightInd w:val="0"/>
              <w:ind w:left="60" w:right="60"/>
              <w:rPr>
                <w:sz w:val="18"/>
                <w:szCs w:val="18"/>
              </w:rPr>
            </w:pPr>
            <w:r w:rsidRPr="00207A79">
              <w:rPr>
                <w:sz w:val="18"/>
                <w:szCs w:val="18"/>
              </w:rPr>
              <w:t>Model</w:t>
            </w:r>
          </w:p>
        </w:tc>
        <w:tc>
          <w:tcPr>
            <w:tcW w:w="1108" w:type="pct"/>
            <w:gridSpan w:val="2"/>
            <w:shd w:val="clear" w:color="auto" w:fill="FFFFFF"/>
            <w:vAlign w:val="bottom"/>
          </w:tcPr>
          <w:p w14:paraId="431BBCD6" w14:textId="77777777" w:rsidR="006C07D5" w:rsidRPr="00207A79" w:rsidRDefault="006C07D5" w:rsidP="00CE3F92">
            <w:pPr>
              <w:autoSpaceDE w:val="0"/>
              <w:autoSpaceDN w:val="0"/>
              <w:adjustRightInd w:val="0"/>
              <w:ind w:left="60" w:right="60"/>
              <w:jc w:val="center"/>
              <w:rPr>
                <w:sz w:val="18"/>
                <w:szCs w:val="18"/>
              </w:rPr>
            </w:pPr>
            <w:r w:rsidRPr="00207A79">
              <w:rPr>
                <w:sz w:val="18"/>
                <w:szCs w:val="18"/>
              </w:rPr>
              <w:t>Unstandardized Coefficients</w:t>
            </w:r>
          </w:p>
        </w:tc>
        <w:tc>
          <w:tcPr>
            <w:tcW w:w="738" w:type="pct"/>
            <w:shd w:val="clear" w:color="auto" w:fill="FFFFFF"/>
            <w:vAlign w:val="bottom"/>
          </w:tcPr>
          <w:p w14:paraId="1A282AB2"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Standardized Coefficients</w:t>
            </w:r>
          </w:p>
        </w:tc>
        <w:tc>
          <w:tcPr>
            <w:tcW w:w="517" w:type="pct"/>
            <w:vMerge w:val="restart"/>
            <w:shd w:val="clear" w:color="auto" w:fill="FFFFFF"/>
            <w:vAlign w:val="bottom"/>
          </w:tcPr>
          <w:p w14:paraId="11FAB70C" w14:textId="77777777" w:rsidR="006C07D5" w:rsidRPr="00207A79" w:rsidRDefault="006C07D5" w:rsidP="00CE3F92">
            <w:pPr>
              <w:autoSpaceDE w:val="0"/>
              <w:autoSpaceDN w:val="0"/>
              <w:adjustRightInd w:val="0"/>
              <w:ind w:left="60" w:right="60"/>
              <w:jc w:val="center"/>
              <w:rPr>
                <w:sz w:val="18"/>
                <w:szCs w:val="18"/>
              </w:rPr>
            </w:pPr>
            <w:r w:rsidRPr="00207A79">
              <w:rPr>
                <w:sz w:val="18"/>
                <w:szCs w:val="18"/>
              </w:rPr>
              <w:t>t</w:t>
            </w:r>
          </w:p>
        </w:tc>
        <w:tc>
          <w:tcPr>
            <w:tcW w:w="479" w:type="pct"/>
            <w:vMerge w:val="restart"/>
            <w:shd w:val="clear" w:color="auto" w:fill="FFFFFF"/>
            <w:vAlign w:val="bottom"/>
          </w:tcPr>
          <w:p w14:paraId="5A4D0CAB"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Sig.</w:t>
            </w:r>
          </w:p>
        </w:tc>
        <w:tc>
          <w:tcPr>
            <w:tcW w:w="1108" w:type="pct"/>
            <w:gridSpan w:val="2"/>
            <w:shd w:val="clear" w:color="auto" w:fill="FFFFFF"/>
            <w:vAlign w:val="bottom"/>
          </w:tcPr>
          <w:p w14:paraId="58EBD6A2" w14:textId="77777777" w:rsidR="006C07D5" w:rsidRPr="00207A79" w:rsidRDefault="006C07D5" w:rsidP="00CE3F92">
            <w:pPr>
              <w:autoSpaceDE w:val="0"/>
              <w:autoSpaceDN w:val="0"/>
              <w:adjustRightInd w:val="0"/>
              <w:ind w:left="60" w:right="60"/>
              <w:jc w:val="center"/>
              <w:rPr>
                <w:sz w:val="18"/>
                <w:szCs w:val="18"/>
              </w:rPr>
            </w:pPr>
            <w:r w:rsidRPr="00207A79">
              <w:rPr>
                <w:sz w:val="18"/>
                <w:szCs w:val="18"/>
              </w:rPr>
              <w:t>95.0% Confidence Interval for B</w:t>
            </w:r>
          </w:p>
        </w:tc>
      </w:tr>
      <w:tr w:rsidR="00CE3F92" w:rsidRPr="00207A79" w14:paraId="649DF98D" w14:textId="77777777" w:rsidTr="00CE3F92">
        <w:trPr>
          <w:cantSplit/>
          <w:jc w:val="center"/>
        </w:trPr>
        <w:tc>
          <w:tcPr>
            <w:tcW w:w="1049" w:type="pct"/>
            <w:gridSpan w:val="2"/>
            <w:vMerge/>
            <w:shd w:val="clear" w:color="auto" w:fill="FFFFFF"/>
            <w:vAlign w:val="bottom"/>
          </w:tcPr>
          <w:p w14:paraId="14F9E20B" w14:textId="77777777" w:rsidR="006C07D5" w:rsidRPr="00207A79" w:rsidRDefault="006C07D5" w:rsidP="00F65890">
            <w:pPr>
              <w:autoSpaceDE w:val="0"/>
              <w:autoSpaceDN w:val="0"/>
              <w:adjustRightInd w:val="0"/>
              <w:rPr>
                <w:sz w:val="18"/>
                <w:szCs w:val="18"/>
              </w:rPr>
            </w:pPr>
          </w:p>
        </w:tc>
        <w:tc>
          <w:tcPr>
            <w:tcW w:w="554" w:type="pct"/>
            <w:shd w:val="clear" w:color="auto" w:fill="FFFFFF"/>
            <w:vAlign w:val="center"/>
          </w:tcPr>
          <w:p w14:paraId="51616B3B" w14:textId="77777777" w:rsidR="006C07D5" w:rsidRPr="00207A79" w:rsidRDefault="006C07D5" w:rsidP="00CE3F92">
            <w:pPr>
              <w:autoSpaceDE w:val="0"/>
              <w:autoSpaceDN w:val="0"/>
              <w:adjustRightInd w:val="0"/>
              <w:ind w:left="60" w:right="60"/>
              <w:jc w:val="center"/>
              <w:rPr>
                <w:sz w:val="18"/>
                <w:szCs w:val="18"/>
              </w:rPr>
            </w:pPr>
            <w:r w:rsidRPr="00207A79">
              <w:rPr>
                <w:sz w:val="18"/>
                <w:szCs w:val="18"/>
              </w:rPr>
              <w:t>B</w:t>
            </w:r>
          </w:p>
        </w:tc>
        <w:tc>
          <w:tcPr>
            <w:tcW w:w="554" w:type="pct"/>
            <w:shd w:val="clear" w:color="auto" w:fill="FFFFFF"/>
            <w:vAlign w:val="center"/>
          </w:tcPr>
          <w:p w14:paraId="215B88DB"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Std. Error</w:t>
            </w:r>
          </w:p>
        </w:tc>
        <w:tc>
          <w:tcPr>
            <w:tcW w:w="738" w:type="pct"/>
            <w:shd w:val="clear" w:color="auto" w:fill="FFFFFF"/>
            <w:vAlign w:val="center"/>
          </w:tcPr>
          <w:p w14:paraId="4F9E0BE7" w14:textId="77777777" w:rsidR="006C07D5" w:rsidRPr="00207A79" w:rsidRDefault="006C07D5" w:rsidP="00CE3F92">
            <w:pPr>
              <w:autoSpaceDE w:val="0"/>
              <w:autoSpaceDN w:val="0"/>
              <w:adjustRightInd w:val="0"/>
              <w:ind w:left="60" w:right="60"/>
              <w:jc w:val="center"/>
              <w:rPr>
                <w:sz w:val="18"/>
                <w:szCs w:val="18"/>
              </w:rPr>
            </w:pPr>
            <w:r w:rsidRPr="00207A79">
              <w:rPr>
                <w:sz w:val="18"/>
                <w:szCs w:val="18"/>
              </w:rPr>
              <w:t>Beta</w:t>
            </w:r>
          </w:p>
        </w:tc>
        <w:tc>
          <w:tcPr>
            <w:tcW w:w="517" w:type="pct"/>
            <w:vMerge/>
            <w:shd w:val="clear" w:color="auto" w:fill="FFFFFF"/>
            <w:vAlign w:val="center"/>
          </w:tcPr>
          <w:p w14:paraId="7D3B8EA8" w14:textId="77777777" w:rsidR="006C07D5" w:rsidRPr="00207A79" w:rsidRDefault="006C07D5" w:rsidP="00CE3F92">
            <w:pPr>
              <w:autoSpaceDE w:val="0"/>
              <w:autoSpaceDN w:val="0"/>
              <w:adjustRightInd w:val="0"/>
              <w:jc w:val="center"/>
              <w:rPr>
                <w:sz w:val="18"/>
                <w:szCs w:val="18"/>
              </w:rPr>
            </w:pPr>
          </w:p>
        </w:tc>
        <w:tc>
          <w:tcPr>
            <w:tcW w:w="479" w:type="pct"/>
            <w:vMerge/>
            <w:shd w:val="clear" w:color="auto" w:fill="FFFFFF"/>
            <w:vAlign w:val="center"/>
          </w:tcPr>
          <w:p w14:paraId="70DCB8E4" w14:textId="77777777" w:rsidR="006C07D5" w:rsidRPr="00207A79" w:rsidRDefault="006C07D5" w:rsidP="00CE3F92">
            <w:pPr>
              <w:autoSpaceDE w:val="0"/>
              <w:autoSpaceDN w:val="0"/>
              <w:adjustRightInd w:val="0"/>
              <w:jc w:val="center"/>
              <w:rPr>
                <w:sz w:val="18"/>
                <w:szCs w:val="18"/>
              </w:rPr>
            </w:pPr>
          </w:p>
        </w:tc>
        <w:tc>
          <w:tcPr>
            <w:tcW w:w="554" w:type="pct"/>
            <w:shd w:val="clear" w:color="auto" w:fill="FFFFFF"/>
            <w:vAlign w:val="center"/>
          </w:tcPr>
          <w:p w14:paraId="5EADF864"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Lower Bound</w:t>
            </w:r>
          </w:p>
        </w:tc>
        <w:tc>
          <w:tcPr>
            <w:tcW w:w="554" w:type="pct"/>
            <w:shd w:val="clear" w:color="auto" w:fill="FFFFFF"/>
            <w:vAlign w:val="center"/>
          </w:tcPr>
          <w:p w14:paraId="531EEE04"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Upper Bound</w:t>
            </w:r>
          </w:p>
        </w:tc>
      </w:tr>
      <w:tr w:rsidR="00CE3F92" w:rsidRPr="00207A79" w14:paraId="68813E56" w14:textId="77777777" w:rsidTr="00CE3F92">
        <w:trPr>
          <w:cantSplit/>
          <w:jc w:val="center"/>
        </w:trPr>
        <w:tc>
          <w:tcPr>
            <w:tcW w:w="385" w:type="pct"/>
            <w:vMerge w:val="restart"/>
            <w:shd w:val="clear" w:color="auto" w:fill="E0E0E0"/>
          </w:tcPr>
          <w:p w14:paraId="1B7B77DB" w14:textId="77777777" w:rsidR="006C07D5" w:rsidRPr="00207A79" w:rsidRDefault="006C07D5" w:rsidP="00F65890">
            <w:pPr>
              <w:autoSpaceDE w:val="0"/>
              <w:autoSpaceDN w:val="0"/>
              <w:adjustRightInd w:val="0"/>
              <w:ind w:left="60" w:right="60"/>
              <w:rPr>
                <w:sz w:val="18"/>
                <w:szCs w:val="18"/>
              </w:rPr>
            </w:pPr>
            <w:r w:rsidRPr="00207A79">
              <w:rPr>
                <w:sz w:val="18"/>
                <w:szCs w:val="18"/>
              </w:rPr>
              <w:t>1</w:t>
            </w:r>
          </w:p>
        </w:tc>
        <w:tc>
          <w:tcPr>
            <w:tcW w:w="664" w:type="pct"/>
            <w:shd w:val="clear" w:color="auto" w:fill="E0E0E0"/>
          </w:tcPr>
          <w:p w14:paraId="6AB1DA08" w14:textId="77777777" w:rsidR="006C07D5" w:rsidRPr="00207A79" w:rsidRDefault="006C07D5" w:rsidP="00F65890">
            <w:pPr>
              <w:autoSpaceDE w:val="0"/>
              <w:autoSpaceDN w:val="0"/>
              <w:adjustRightInd w:val="0"/>
              <w:ind w:left="60" w:right="60"/>
              <w:rPr>
                <w:sz w:val="18"/>
                <w:szCs w:val="18"/>
              </w:rPr>
            </w:pPr>
            <w:r w:rsidRPr="00207A79">
              <w:rPr>
                <w:sz w:val="18"/>
                <w:szCs w:val="18"/>
              </w:rPr>
              <w:t>(Constant)</w:t>
            </w:r>
          </w:p>
        </w:tc>
        <w:tc>
          <w:tcPr>
            <w:tcW w:w="554" w:type="pct"/>
            <w:shd w:val="clear" w:color="auto" w:fill="FFFFFF"/>
            <w:vAlign w:val="center"/>
          </w:tcPr>
          <w:p w14:paraId="44065E11"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57.625</w:t>
            </w:r>
          </w:p>
        </w:tc>
        <w:tc>
          <w:tcPr>
            <w:tcW w:w="554" w:type="pct"/>
            <w:shd w:val="clear" w:color="auto" w:fill="FFFFFF"/>
            <w:vAlign w:val="center"/>
          </w:tcPr>
          <w:p w14:paraId="43538100"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10.109</w:t>
            </w:r>
          </w:p>
        </w:tc>
        <w:tc>
          <w:tcPr>
            <w:tcW w:w="738" w:type="pct"/>
            <w:shd w:val="clear" w:color="auto" w:fill="FFFFFF"/>
            <w:vAlign w:val="center"/>
          </w:tcPr>
          <w:p w14:paraId="7588BA22" w14:textId="77777777" w:rsidR="006C07D5" w:rsidRPr="00207A79" w:rsidRDefault="006C07D5" w:rsidP="00CE3F92">
            <w:pPr>
              <w:autoSpaceDE w:val="0"/>
              <w:autoSpaceDN w:val="0"/>
              <w:adjustRightInd w:val="0"/>
              <w:jc w:val="center"/>
            </w:pPr>
          </w:p>
        </w:tc>
        <w:tc>
          <w:tcPr>
            <w:tcW w:w="517" w:type="pct"/>
            <w:shd w:val="clear" w:color="auto" w:fill="FFFFFF"/>
            <w:vAlign w:val="center"/>
          </w:tcPr>
          <w:p w14:paraId="1959A217"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5.701</w:t>
            </w:r>
          </w:p>
        </w:tc>
        <w:tc>
          <w:tcPr>
            <w:tcW w:w="479" w:type="pct"/>
            <w:shd w:val="clear" w:color="auto" w:fill="FFFFFF"/>
            <w:vAlign w:val="center"/>
          </w:tcPr>
          <w:p w14:paraId="1EAC0A06"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.000</w:t>
            </w:r>
          </w:p>
        </w:tc>
        <w:tc>
          <w:tcPr>
            <w:tcW w:w="554" w:type="pct"/>
            <w:shd w:val="clear" w:color="auto" w:fill="FFFFFF"/>
            <w:vAlign w:val="center"/>
          </w:tcPr>
          <w:p w14:paraId="49094E76"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36.762</w:t>
            </w:r>
          </w:p>
        </w:tc>
        <w:tc>
          <w:tcPr>
            <w:tcW w:w="554" w:type="pct"/>
            <w:shd w:val="clear" w:color="auto" w:fill="FFFFFF"/>
            <w:vAlign w:val="center"/>
          </w:tcPr>
          <w:p w14:paraId="0513ED3F"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78.488</w:t>
            </w:r>
          </w:p>
        </w:tc>
      </w:tr>
      <w:tr w:rsidR="00CE3F92" w:rsidRPr="00207A79" w14:paraId="5C3C81A7" w14:textId="77777777" w:rsidTr="00CE3F92">
        <w:trPr>
          <w:cantSplit/>
          <w:jc w:val="center"/>
        </w:trPr>
        <w:tc>
          <w:tcPr>
            <w:tcW w:w="385" w:type="pct"/>
            <w:vMerge/>
            <w:shd w:val="clear" w:color="auto" w:fill="E0E0E0"/>
          </w:tcPr>
          <w:p w14:paraId="414148C7" w14:textId="77777777" w:rsidR="006C07D5" w:rsidRPr="00207A79" w:rsidRDefault="006C07D5" w:rsidP="00F65890">
            <w:pPr>
              <w:autoSpaceDE w:val="0"/>
              <w:autoSpaceDN w:val="0"/>
              <w:adjustRightInd w:val="0"/>
              <w:rPr>
                <w:sz w:val="18"/>
                <w:szCs w:val="18"/>
              </w:rPr>
            </w:pPr>
          </w:p>
        </w:tc>
        <w:tc>
          <w:tcPr>
            <w:tcW w:w="664" w:type="pct"/>
            <w:shd w:val="clear" w:color="auto" w:fill="E0E0E0"/>
          </w:tcPr>
          <w:p w14:paraId="0091C47A" w14:textId="2EDAB182" w:rsidR="006C07D5" w:rsidRPr="00207A79" w:rsidRDefault="00CE3F92" w:rsidP="00CE3F92">
            <w:pPr>
              <w:autoSpaceDE w:val="0"/>
              <w:autoSpaceDN w:val="0"/>
              <w:adjustRightInd w:val="0"/>
              <w:ind w:left="60" w:right="60" w:firstLine="0"/>
              <w:rPr>
                <w:sz w:val="18"/>
                <w:szCs w:val="18"/>
              </w:rPr>
            </w:pPr>
            <w:r w:rsidRPr="00207A79">
              <w:rPr>
                <w:sz w:val="18"/>
                <w:szCs w:val="18"/>
              </w:rPr>
              <w:t>Alcohol, consumption recorded per capita (in liters of pure alcohol)</w:t>
            </w:r>
          </w:p>
        </w:tc>
        <w:tc>
          <w:tcPr>
            <w:tcW w:w="554" w:type="pct"/>
            <w:shd w:val="clear" w:color="auto" w:fill="FFFFFF"/>
            <w:vAlign w:val="center"/>
          </w:tcPr>
          <w:p w14:paraId="732B290D"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-.782</w:t>
            </w:r>
          </w:p>
        </w:tc>
        <w:tc>
          <w:tcPr>
            <w:tcW w:w="554" w:type="pct"/>
            <w:shd w:val="clear" w:color="auto" w:fill="FFFFFF"/>
            <w:vAlign w:val="center"/>
          </w:tcPr>
          <w:p w14:paraId="59D2C26C"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.812</w:t>
            </w:r>
          </w:p>
        </w:tc>
        <w:tc>
          <w:tcPr>
            <w:tcW w:w="738" w:type="pct"/>
            <w:shd w:val="clear" w:color="auto" w:fill="FFFFFF"/>
            <w:vAlign w:val="center"/>
          </w:tcPr>
          <w:p w14:paraId="0579816E" w14:textId="77777777" w:rsidR="006C07D5" w:rsidRPr="00207A79" w:rsidRDefault="006C07D5" w:rsidP="00CE3F92">
            <w:pPr>
              <w:autoSpaceDE w:val="0"/>
              <w:autoSpaceDN w:val="0"/>
              <w:adjustRightInd w:val="0"/>
              <w:ind w:left="60" w:right="60"/>
              <w:jc w:val="center"/>
              <w:rPr>
                <w:sz w:val="18"/>
                <w:szCs w:val="18"/>
              </w:rPr>
            </w:pPr>
            <w:r w:rsidRPr="00207A79">
              <w:rPr>
                <w:sz w:val="18"/>
                <w:szCs w:val="18"/>
              </w:rPr>
              <w:t>-.152</w:t>
            </w:r>
          </w:p>
        </w:tc>
        <w:tc>
          <w:tcPr>
            <w:tcW w:w="517" w:type="pct"/>
            <w:shd w:val="clear" w:color="auto" w:fill="FFFFFF"/>
            <w:vAlign w:val="center"/>
          </w:tcPr>
          <w:p w14:paraId="2167046C" w14:textId="77777777" w:rsidR="006C07D5" w:rsidRPr="00207A79" w:rsidRDefault="006C07D5" w:rsidP="00CE3F92">
            <w:pPr>
              <w:autoSpaceDE w:val="0"/>
              <w:autoSpaceDN w:val="0"/>
              <w:adjustRightInd w:val="0"/>
              <w:ind w:left="60" w:right="60"/>
              <w:jc w:val="center"/>
              <w:rPr>
                <w:sz w:val="18"/>
                <w:szCs w:val="18"/>
              </w:rPr>
            </w:pPr>
            <w:r w:rsidRPr="00207A79">
              <w:rPr>
                <w:sz w:val="18"/>
                <w:szCs w:val="18"/>
              </w:rPr>
              <w:t>-.963</w:t>
            </w:r>
          </w:p>
        </w:tc>
        <w:tc>
          <w:tcPr>
            <w:tcW w:w="479" w:type="pct"/>
            <w:shd w:val="clear" w:color="auto" w:fill="FFFFFF"/>
            <w:vAlign w:val="center"/>
          </w:tcPr>
          <w:p w14:paraId="08216433"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.345</w:t>
            </w:r>
          </w:p>
        </w:tc>
        <w:tc>
          <w:tcPr>
            <w:tcW w:w="554" w:type="pct"/>
            <w:shd w:val="clear" w:color="auto" w:fill="FFFFFF"/>
            <w:vAlign w:val="center"/>
          </w:tcPr>
          <w:p w14:paraId="040DBE84"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-2.458</w:t>
            </w:r>
          </w:p>
        </w:tc>
        <w:tc>
          <w:tcPr>
            <w:tcW w:w="554" w:type="pct"/>
            <w:shd w:val="clear" w:color="auto" w:fill="FFFFFF"/>
            <w:vAlign w:val="center"/>
          </w:tcPr>
          <w:p w14:paraId="1E527418"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.894</w:t>
            </w:r>
          </w:p>
        </w:tc>
      </w:tr>
      <w:tr w:rsidR="00CE3F92" w:rsidRPr="00207A79" w14:paraId="17B9E3A3" w14:textId="77777777" w:rsidTr="00CE3F92">
        <w:trPr>
          <w:cantSplit/>
          <w:jc w:val="center"/>
        </w:trPr>
        <w:tc>
          <w:tcPr>
            <w:tcW w:w="385" w:type="pct"/>
            <w:vMerge/>
            <w:shd w:val="clear" w:color="auto" w:fill="E0E0E0"/>
          </w:tcPr>
          <w:p w14:paraId="1846C1B5" w14:textId="77777777" w:rsidR="006C07D5" w:rsidRPr="00207A79" w:rsidRDefault="006C07D5" w:rsidP="00F65890">
            <w:pPr>
              <w:autoSpaceDE w:val="0"/>
              <w:autoSpaceDN w:val="0"/>
              <w:adjustRightInd w:val="0"/>
              <w:rPr>
                <w:sz w:val="18"/>
                <w:szCs w:val="18"/>
              </w:rPr>
            </w:pPr>
          </w:p>
        </w:tc>
        <w:tc>
          <w:tcPr>
            <w:tcW w:w="664" w:type="pct"/>
            <w:shd w:val="clear" w:color="auto" w:fill="E0E0E0"/>
          </w:tcPr>
          <w:p w14:paraId="6D81EEA7" w14:textId="0CCEB8A2" w:rsidR="006C07D5" w:rsidRPr="00207A79" w:rsidRDefault="00CE3F92" w:rsidP="00CE3F92">
            <w:pPr>
              <w:autoSpaceDE w:val="0"/>
              <w:autoSpaceDN w:val="0"/>
              <w:adjustRightInd w:val="0"/>
              <w:ind w:left="60" w:right="60" w:firstLine="0"/>
              <w:rPr>
                <w:sz w:val="18"/>
                <w:szCs w:val="18"/>
              </w:rPr>
            </w:pPr>
            <w:r w:rsidRPr="00207A79">
              <w:rPr>
                <w:sz w:val="18"/>
                <w:szCs w:val="18"/>
              </w:rPr>
              <w:t>Cigarettes, consumption recorded at the level of daily consumers</w:t>
            </w:r>
          </w:p>
        </w:tc>
        <w:tc>
          <w:tcPr>
            <w:tcW w:w="554" w:type="pct"/>
            <w:shd w:val="clear" w:color="auto" w:fill="FFFFFF"/>
            <w:vAlign w:val="center"/>
          </w:tcPr>
          <w:p w14:paraId="2CAD7BD3"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-1.638</w:t>
            </w:r>
          </w:p>
        </w:tc>
        <w:tc>
          <w:tcPr>
            <w:tcW w:w="554" w:type="pct"/>
            <w:shd w:val="clear" w:color="auto" w:fill="FFFFFF"/>
            <w:vAlign w:val="center"/>
          </w:tcPr>
          <w:p w14:paraId="16740A92"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.431</w:t>
            </w:r>
          </w:p>
        </w:tc>
        <w:tc>
          <w:tcPr>
            <w:tcW w:w="738" w:type="pct"/>
            <w:shd w:val="clear" w:color="auto" w:fill="FFFFFF"/>
            <w:vAlign w:val="center"/>
          </w:tcPr>
          <w:p w14:paraId="7CC6505D" w14:textId="77777777" w:rsidR="006C07D5" w:rsidRPr="00207A79" w:rsidRDefault="006C07D5" w:rsidP="00CE3F92">
            <w:pPr>
              <w:autoSpaceDE w:val="0"/>
              <w:autoSpaceDN w:val="0"/>
              <w:adjustRightInd w:val="0"/>
              <w:ind w:left="60" w:right="60"/>
              <w:jc w:val="center"/>
              <w:rPr>
                <w:sz w:val="18"/>
                <w:szCs w:val="18"/>
              </w:rPr>
            </w:pPr>
            <w:r w:rsidRPr="00207A79">
              <w:rPr>
                <w:sz w:val="18"/>
                <w:szCs w:val="18"/>
              </w:rPr>
              <w:t>-.602</w:t>
            </w:r>
          </w:p>
        </w:tc>
        <w:tc>
          <w:tcPr>
            <w:tcW w:w="517" w:type="pct"/>
            <w:shd w:val="clear" w:color="auto" w:fill="FFFFFF"/>
            <w:vAlign w:val="center"/>
          </w:tcPr>
          <w:p w14:paraId="5F05EB02" w14:textId="77777777" w:rsidR="006C07D5" w:rsidRPr="00207A79" w:rsidRDefault="006C07D5" w:rsidP="00CE3F92">
            <w:pPr>
              <w:autoSpaceDE w:val="0"/>
              <w:autoSpaceDN w:val="0"/>
              <w:adjustRightInd w:val="0"/>
              <w:ind w:left="60" w:right="60"/>
              <w:jc w:val="center"/>
              <w:rPr>
                <w:sz w:val="18"/>
                <w:szCs w:val="18"/>
              </w:rPr>
            </w:pPr>
            <w:r w:rsidRPr="00207A79">
              <w:rPr>
                <w:sz w:val="18"/>
                <w:szCs w:val="18"/>
              </w:rPr>
              <w:t>-3.801</w:t>
            </w:r>
          </w:p>
        </w:tc>
        <w:tc>
          <w:tcPr>
            <w:tcW w:w="479" w:type="pct"/>
            <w:shd w:val="clear" w:color="auto" w:fill="FFFFFF"/>
            <w:vAlign w:val="center"/>
          </w:tcPr>
          <w:p w14:paraId="011582DF"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.001</w:t>
            </w:r>
          </w:p>
        </w:tc>
        <w:tc>
          <w:tcPr>
            <w:tcW w:w="554" w:type="pct"/>
            <w:shd w:val="clear" w:color="auto" w:fill="FFFFFF"/>
            <w:vAlign w:val="center"/>
          </w:tcPr>
          <w:p w14:paraId="314A6201"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-2.527</w:t>
            </w:r>
          </w:p>
        </w:tc>
        <w:tc>
          <w:tcPr>
            <w:tcW w:w="554" w:type="pct"/>
            <w:shd w:val="clear" w:color="auto" w:fill="FFFFFF"/>
            <w:vAlign w:val="center"/>
          </w:tcPr>
          <w:p w14:paraId="0D9E94AA" w14:textId="77777777" w:rsidR="006C07D5" w:rsidRPr="00207A79" w:rsidRDefault="006C07D5" w:rsidP="00CE3F92">
            <w:pPr>
              <w:autoSpaceDE w:val="0"/>
              <w:autoSpaceDN w:val="0"/>
              <w:adjustRightInd w:val="0"/>
              <w:ind w:left="60" w:right="60" w:firstLine="0"/>
              <w:jc w:val="center"/>
              <w:rPr>
                <w:sz w:val="18"/>
                <w:szCs w:val="18"/>
              </w:rPr>
            </w:pPr>
            <w:r w:rsidRPr="00207A79">
              <w:rPr>
                <w:sz w:val="18"/>
                <w:szCs w:val="18"/>
              </w:rPr>
              <w:t>-.748</w:t>
            </w:r>
          </w:p>
        </w:tc>
      </w:tr>
      <w:tr w:rsidR="006C07D5" w:rsidRPr="00207A79" w14:paraId="36C42DD4" w14:textId="77777777" w:rsidTr="00F65890">
        <w:trPr>
          <w:cantSplit/>
          <w:jc w:val="center"/>
        </w:trPr>
        <w:tc>
          <w:tcPr>
            <w:tcW w:w="5000" w:type="pct"/>
            <w:gridSpan w:val="9"/>
            <w:shd w:val="clear" w:color="auto" w:fill="FFFFFF"/>
          </w:tcPr>
          <w:p w14:paraId="515EA3F1" w14:textId="3D80180C" w:rsidR="006C07D5" w:rsidRPr="00207A79" w:rsidRDefault="006C07D5" w:rsidP="00F65890">
            <w:pPr>
              <w:autoSpaceDE w:val="0"/>
              <w:autoSpaceDN w:val="0"/>
              <w:adjustRightInd w:val="0"/>
              <w:ind w:left="60" w:right="60"/>
              <w:rPr>
                <w:sz w:val="18"/>
                <w:szCs w:val="18"/>
              </w:rPr>
            </w:pPr>
            <w:r w:rsidRPr="00207A79">
              <w:rPr>
                <w:sz w:val="18"/>
                <w:szCs w:val="18"/>
              </w:rPr>
              <w:t xml:space="preserve">a. Dependent Variable: </w:t>
            </w:r>
            <w:r w:rsidR="00CE3F92" w:rsidRPr="00207A79">
              <w:rPr>
                <w:sz w:val="18"/>
                <w:szCs w:val="18"/>
              </w:rPr>
              <w:t>Excise duties</w:t>
            </w:r>
          </w:p>
        </w:tc>
      </w:tr>
    </w:tbl>
    <w:p w14:paraId="08BAB8A0" w14:textId="77777777" w:rsidR="00CE3F92" w:rsidRPr="00207A79" w:rsidRDefault="00CE3F92" w:rsidP="00CE3F92">
      <w:pPr>
        <w:autoSpaceDE w:val="0"/>
        <w:autoSpaceDN w:val="0"/>
        <w:adjustRightInd w:val="0"/>
        <w:jc w:val="center"/>
        <w:rPr>
          <w:sz w:val="20"/>
        </w:rPr>
      </w:pPr>
      <w:r w:rsidRPr="00207A79">
        <w:rPr>
          <w:sz w:val="20"/>
        </w:rPr>
        <w:t>Source: own elaboration in SPSS</w:t>
      </w:r>
    </w:p>
    <w:p w14:paraId="1F1EF4EF" w14:textId="03846246" w:rsidR="006C07D5" w:rsidRPr="00207A79" w:rsidRDefault="006C07D5" w:rsidP="006C07D5">
      <w:pPr>
        <w:autoSpaceDE w:val="0"/>
        <w:autoSpaceDN w:val="0"/>
        <w:adjustRightInd w:val="0"/>
        <w:jc w:val="center"/>
        <w:rPr>
          <w:sz w:val="20"/>
        </w:rPr>
      </w:pPr>
    </w:p>
    <w:p w14:paraId="01A74347" w14:textId="77777777" w:rsidR="006C07D5" w:rsidRPr="00207A79" w:rsidRDefault="006C07D5" w:rsidP="006C07D5">
      <w:pPr>
        <w:autoSpaceDE w:val="0"/>
        <w:autoSpaceDN w:val="0"/>
        <w:adjustRightInd w:val="0"/>
        <w:jc w:val="center"/>
        <w:rPr>
          <w:sz w:val="20"/>
        </w:rPr>
      </w:pPr>
    </w:p>
    <w:p w14:paraId="08CCB517" w14:textId="633AEAD7" w:rsidR="006C07D5" w:rsidRPr="00207A79" w:rsidRDefault="006C07D5" w:rsidP="006C07D5">
      <w:pPr>
        <w:autoSpaceDE w:val="0"/>
        <w:autoSpaceDN w:val="0"/>
        <w:adjustRightInd w:val="0"/>
        <w:ind w:firstLine="567"/>
      </w:pPr>
      <w:r w:rsidRPr="00207A79">
        <w:t xml:space="preserve">Datele din tabelul </w:t>
      </w:r>
      <w:r w:rsidR="00CE3F92" w:rsidRPr="00207A79">
        <w:t xml:space="preserve">nr. </w:t>
      </w:r>
      <w:r w:rsidRPr="00207A79">
        <w:t>6 ne permit să stabilim ecuația estimată a modelului de regresie liniar multiplu, prezentată astfel:</w:t>
      </w:r>
    </w:p>
    <w:p w14:paraId="304BF2F9" w14:textId="77777777" w:rsidR="006C07D5" w:rsidRPr="00207A79" w:rsidRDefault="006C07D5" w:rsidP="006C07D5">
      <w:pPr>
        <w:autoSpaceDE w:val="0"/>
        <w:autoSpaceDN w:val="0"/>
        <w:adjustRightInd w:val="0"/>
        <w:ind w:firstLine="567"/>
      </w:pPr>
    </w:p>
    <w:p w14:paraId="6CB50199" w14:textId="77777777" w:rsidR="006C07D5" w:rsidRPr="00207A79" w:rsidRDefault="006C07D5" w:rsidP="006C07D5">
      <w:pPr>
        <w:tabs>
          <w:tab w:val="left" w:pos="0"/>
        </w:tabs>
        <w:ind w:right="-279"/>
        <w:rPr>
          <w:rFonts w:eastAsiaTheme="minorEastAsia"/>
          <w:b/>
        </w:rPr>
      </w:pPr>
      <m:oMathPara>
        <m:oMath>
          <m:r>
            <m:rPr>
              <m:sty m:val="p"/>
            </m:rPr>
            <w:rPr>
              <w:rFonts w:ascii="Cambria Math" w:hAnsi="Cambria Math"/>
            </w:rPr>
            <m:t>A</m:t>
          </m:r>
          <m:r>
            <m:rPr>
              <m:sty m:val="b"/>
            </m:rPr>
            <w:rPr>
              <w:rFonts w:ascii="Cambria Math" w:hAnsi="Cambria Math"/>
            </w:rPr>
            <m:t>ccizele=57.625-0,782*Alcool, consumul înregistrat pe cap de locuitor-1.638*Țigări, consumul înregistrat  la nivelul consumatorilor zilnici</m:t>
          </m:r>
        </m:oMath>
      </m:oMathPara>
    </w:p>
    <w:p w14:paraId="770B498C" w14:textId="77777777" w:rsidR="006C07D5" w:rsidRPr="00207A79" w:rsidRDefault="006C07D5" w:rsidP="006C07D5">
      <w:pPr>
        <w:ind w:firstLine="567"/>
        <w:rPr>
          <w:iCs/>
        </w:rPr>
      </w:pPr>
      <w:r w:rsidRPr="00207A79">
        <w:rPr>
          <w:iCs/>
        </w:rPr>
        <w:t>După cum rezultă din ecuație modelului stabilită în baza tabelului coeficienți, ordonatele la origine sunt semnificativ diferite de zero. Conturăm prin urmare câteva repereprin care explicăm  ecuația estimată a modelului de regresie multiplă:</w:t>
      </w:r>
    </w:p>
    <w:p w14:paraId="071164F1" w14:textId="77777777" w:rsidR="006C07D5" w:rsidRPr="00207A79" w:rsidRDefault="006C07D5" w:rsidP="006C07D5">
      <w:pPr>
        <w:numPr>
          <w:ilvl w:val="0"/>
          <w:numId w:val="23"/>
        </w:numPr>
        <w:ind w:left="567"/>
        <w:contextualSpacing/>
        <w:rPr>
          <w:iCs/>
        </w:rPr>
      </w:pPr>
      <w:r w:rsidRPr="00207A79">
        <w:rPr>
          <w:iCs/>
        </w:rPr>
        <w:t xml:space="preserve">Dacă </w:t>
      </w:r>
      <w:r w:rsidRPr="00207A79">
        <w:t>Alcool, consumul înregistrat pe cap de locuitor</w:t>
      </w:r>
      <w:r w:rsidRPr="00207A79">
        <w:rPr>
          <w:iCs/>
        </w:rPr>
        <w:t xml:space="preserve"> scade cu o unitate, iar </w:t>
      </w:r>
      <w:r w:rsidRPr="00207A79">
        <w:t>Țigări, consumul înregistrat  la nivelul consumatorilor zilnici</w:t>
      </w:r>
      <w:r w:rsidRPr="00207A79">
        <w:rPr>
          <w:iCs/>
        </w:rPr>
        <w:t>rămâne constant, atunci nivelul accizei creşte  în medie cu 0.782 unități;</w:t>
      </w:r>
    </w:p>
    <w:p w14:paraId="415A2660" w14:textId="77777777" w:rsidR="006C07D5" w:rsidRPr="00207A79" w:rsidRDefault="006C07D5" w:rsidP="006C07D5">
      <w:pPr>
        <w:numPr>
          <w:ilvl w:val="0"/>
          <w:numId w:val="23"/>
        </w:numPr>
        <w:ind w:left="567"/>
        <w:contextualSpacing/>
        <w:rPr>
          <w:iCs/>
        </w:rPr>
      </w:pPr>
      <w:r w:rsidRPr="00207A79">
        <w:rPr>
          <w:iCs/>
        </w:rPr>
        <w:t xml:space="preserve">Dacă </w:t>
      </w:r>
      <w:r w:rsidRPr="00207A79">
        <w:t>Țigări, consumul înregistrat  la nivelul consumatorilor zilnici</w:t>
      </w:r>
      <w:r w:rsidRPr="00207A79">
        <w:rPr>
          <w:iCs/>
        </w:rPr>
        <w:t xml:space="preserve"> scade cu o unitate, iar </w:t>
      </w:r>
      <w:r w:rsidRPr="00207A79">
        <w:t>Alcool, consumul înregistrat pe cap de locuitor</w:t>
      </w:r>
      <w:r w:rsidRPr="00207A79">
        <w:rPr>
          <w:iCs/>
        </w:rPr>
        <w:t xml:space="preserve"> constant, atunci nivelul accizei creste  în medie cu 1.638 unități;</w:t>
      </w:r>
    </w:p>
    <w:p w14:paraId="3A7F0CE3" w14:textId="77777777" w:rsidR="006C07D5" w:rsidRPr="00207A79" w:rsidRDefault="006C07D5" w:rsidP="006C07D5">
      <w:pPr>
        <w:autoSpaceDE w:val="0"/>
        <w:autoSpaceDN w:val="0"/>
        <w:adjustRightInd w:val="0"/>
        <w:ind w:firstLine="567"/>
      </w:pPr>
      <w:r w:rsidRPr="00207A79">
        <w:t xml:space="preserve">De aici rezultă că variabilele independente influențează variabila dependentă, deci există o corelație între acestea. </w:t>
      </w:r>
    </w:p>
    <w:p w14:paraId="35DFDC4F" w14:textId="77777777" w:rsidR="00D3361A" w:rsidRPr="00207A79" w:rsidRDefault="00D3361A" w:rsidP="006C07D5">
      <w:pPr>
        <w:autoSpaceDE w:val="0"/>
        <w:autoSpaceDN w:val="0"/>
        <w:adjustRightInd w:val="0"/>
        <w:ind w:firstLine="567"/>
      </w:pPr>
    </w:p>
    <w:p w14:paraId="371E3C67" w14:textId="6BED36F5" w:rsidR="006C07D5" w:rsidRPr="00207A79" w:rsidRDefault="00CE3F92" w:rsidP="00CE3F92">
      <w:pPr>
        <w:autoSpaceDE w:val="0"/>
        <w:autoSpaceDN w:val="0"/>
        <w:adjustRightInd w:val="0"/>
        <w:ind w:firstLine="567"/>
        <w:jc w:val="center"/>
      </w:pPr>
      <w:r w:rsidRPr="00207A79">
        <w:rPr>
          <w:b/>
          <w:lang w:val="en-US"/>
        </w:rPr>
        <w:t xml:space="preserve">Table no. 7. Residuals </w:t>
      </w:r>
      <w:proofErr w:type="spellStart"/>
      <w:r w:rsidRPr="00207A79">
        <w:rPr>
          <w:b/>
          <w:lang w:val="en-US"/>
        </w:rPr>
        <w:t>Statistics</w:t>
      </w:r>
      <w:r w:rsidRPr="00207A79">
        <w:rPr>
          <w:b/>
          <w:vertAlign w:val="superscript"/>
          <w:lang w:val="en-US"/>
        </w:rPr>
        <w:t>a</w:t>
      </w:r>
      <w:proofErr w:type="spellEnd"/>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47"/>
        <w:gridCol w:w="1147"/>
        <w:gridCol w:w="1102"/>
        <w:gridCol w:w="1025"/>
        <w:gridCol w:w="1438"/>
        <w:gridCol w:w="1025"/>
      </w:tblGrid>
      <w:tr w:rsidR="006C07D5" w:rsidRPr="00207A79" w14:paraId="0E1FF1BB" w14:textId="77777777" w:rsidTr="00F65890">
        <w:trPr>
          <w:cantSplit/>
          <w:jc w:val="center"/>
        </w:trPr>
        <w:tc>
          <w:tcPr>
            <w:tcW w:w="2447" w:type="dxa"/>
            <w:shd w:val="clear" w:color="auto" w:fill="FFFFFF"/>
            <w:vAlign w:val="bottom"/>
          </w:tcPr>
          <w:p w14:paraId="1E001064" w14:textId="77777777" w:rsidR="006C07D5" w:rsidRPr="00207A79" w:rsidRDefault="006C07D5" w:rsidP="00F65890">
            <w:pPr>
              <w:autoSpaceDE w:val="0"/>
              <w:autoSpaceDN w:val="0"/>
              <w:adjustRightInd w:val="0"/>
            </w:pPr>
          </w:p>
        </w:tc>
        <w:tc>
          <w:tcPr>
            <w:tcW w:w="1147" w:type="dxa"/>
            <w:shd w:val="clear" w:color="auto" w:fill="FFFFFF"/>
            <w:vAlign w:val="bottom"/>
          </w:tcPr>
          <w:p w14:paraId="03817F0F" w14:textId="77777777" w:rsidR="006C07D5" w:rsidRPr="00207A79" w:rsidRDefault="006C07D5" w:rsidP="00CE3F92">
            <w:pPr>
              <w:autoSpaceDE w:val="0"/>
              <w:autoSpaceDN w:val="0"/>
              <w:adjustRightInd w:val="0"/>
              <w:ind w:left="60" w:right="60" w:firstLine="0"/>
              <w:rPr>
                <w:sz w:val="18"/>
                <w:szCs w:val="18"/>
              </w:rPr>
            </w:pPr>
            <w:r w:rsidRPr="00207A79">
              <w:rPr>
                <w:sz w:val="18"/>
                <w:szCs w:val="18"/>
              </w:rPr>
              <w:t>Minimum</w:t>
            </w:r>
          </w:p>
        </w:tc>
        <w:tc>
          <w:tcPr>
            <w:tcW w:w="1102" w:type="dxa"/>
            <w:shd w:val="clear" w:color="auto" w:fill="FFFFFF"/>
            <w:vAlign w:val="bottom"/>
          </w:tcPr>
          <w:p w14:paraId="19F414CE" w14:textId="77777777" w:rsidR="006C07D5" w:rsidRPr="00207A79" w:rsidRDefault="006C07D5" w:rsidP="00CE3F92">
            <w:pPr>
              <w:autoSpaceDE w:val="0"/>
              <w:autoSpaceDN w:val="0"/>
              <w:adjustRightInd w:val="0"/>
              <w:ind w:left="60" w:right="60" w:firstLine="0"/>
              <w:rPr>
                <w:sz w:val="18"/>
                <w:szCs w:val="18"/>
              </w:rPr>
            </w:pPr>
            <w:r w:rsidRPr="00207A79">
              <w:rPr>
                <w:sz w:val="18"/>
                <w:szCs w:val="18"/>
              </w:rPr>
              <w:t>Maximum</w:t>
            </w:r>
          </w:p>
        </w:tc>
        <w:tc>
          <w:tcPr>
            <w:tcW w:w="1025" w:type="dxa"/>
            <w:shd w:val="clear" w:color="auto" w:fill="FFFFFF"/>
            <w:vAlign w:val="bottom"/>
          </w:tcPr>
          <w:p w14:paraId="43CED8B6" w14:textId="77777777" w:rsidR="006C07D5" w:rsidRPr="00207A79" w:rsidRDefault="006C07D5" w:rsidP="00CE3F92">
            <w:pPr>
              <w:autoSpaceDE w:val="0"/>
              <w:autoSpaceDN w:val="0"/>
              <w:adjustRightInd w:val="0"/>
              <w:ind w:left="60" w:right="60" w:firstLine="0"/>
              <w:rPr>
                <w:sz w:val="18"/>
                <w:szCs w:val="18"/>
              </w:rPr>
            </w:pPr>
            <w:r w:rsidRPr="00207A79">
              <w:rPr>
                <w:sz w:val="18"/>
                <w:szCs w:val="18"/>
              </w:rPr>
              <w:t>Mean</w:t>
            </w:r>
          </w:p>
        </w:tc>
        <w:tc>
          <w:tcPr>
            <w:tcW w:w="1438" w:type="dxa"/>
            <w:shd w:val="clear" w:color="auto" w:fill="FFFFFF"/>
            <w:vAlign w:val="bottom"/>
          </w:tcPr>
          <w:p w14:paraId="715C8898" w14:textId="77777777" w:rsidR="006C07D5" w:rsidRPr="00207A79" w:rsidRDefault="006C07D5" w:rsidP="00CE3F92">
            <w:pPr>
              <w:autoSpaceDE w:val="0"/>
              <w:autoSpaceDN w:val="0"/>
              <w:adjustRightInd w:val="0"/>
              <w:ind w:left="60" w:right="60" w:firstLine="0"/>
              <w:rPr>
                <w:sz w:val="18"/>
                <w:szCs w:val="18"/>
              </w:rPr>
            </w:pPr>
            <w:r w:rsidRPr="00207A79">
              <w:rPr>
                <w:sz w:val="18"/>
                <w:szCs w:val="18"/>
              </w:rPr>
              <w:t>Std. Deviation</w:t>
            </w:r>
          </w:p>
        </w:tc>
        <w:tc>
          <w:tcPr>
            <w:tcW w:w="1025" w:type="dxa"/>
            <w:shd w:val="clear" w:color="auto" w:fill="FFFFFF"/>
            <w:vAlign w:val="bottom"/>
          </w:tcPr>
          <w:p w14:paraId="05F11E31" w14:textId="77777777" w:rsidR="006C07D5" w:rsidRPr="00207A79" w:rsidRDefault="006C07D5" w:rsidP="00F65890">
            <w:pPr>
              <w:autoSpaceDE w:val="0"/>
              <w:autoSpaceDN w:val="0"/>
              <w:adjustRightInd w:val="0"/>
              <w:ind w:left="60" w:right="60"/>
              <w:jc w:val="center"/>
              <w:rPr>
                <w:sz w:val="18"/>
                <w:szCs w:val="18"/>
              </w:rPr>
            </w:pPr>
            <w:r w:rsidRPr="00207A79">
              <w:rPr>
                <w:sz w:val="18"/>
                <w:szCs w:val="18"/>
              </w:rPr>
              <w:t>N</w:t>
            </w:r>
          </w:p>
        </w:tc>
      </w:tr>
      <w:tr w:rsidR="006C07D5" w:rsidRPr="00207A79" w14:paraId="2CCF1658" w14:textId="77777777" w:rsidTr="00F65890">
        <w:trPr>
          <w:cantSplit/>
          <w:jc w:val="center"/>
        </w:trPr>
        <w:tc>
          <w:tcPr>
            <w:tcW w:w="2447" w:type="dxa"/>
            <w:shd w:val="clear" w:color="auto" w:fill="E0E0E0"/>
          </w:tcPr>
          <w:p w14:paraId="7A8941B0" w14:textId="77777777" w:rsidR="006C07D5" w:rsidRPr="00207A79" w:rsidRDefault="006C07D5" w:rsidP="00F65890">
            <w:pPr>
              <w:autoSpaceDE w:val="0"/>
              <w:autoSpaceDN w:val="0"/>
              <w:adjustRightInd w:val="0"/>
              <w:ind w:left="60" w:right="60"/>
              <w:rPr>
                <w:sz w:val="18"/>
                <w:szCs w:val="18"/>
              </w:rPr>
            </w:pPr>
            <w:r w:rsidRPr="00207A79">
              <w:rPr>
                <w:sz w:val="18"/>
                <w:szCs w:val="18"/>
              </w:rPr>
              <w:t>Predicted Value</w:t>
            </w:r>
          </w:p>
        </w:tc>
        <w:tc>
          <w:tcPr>
            <w:tcW w:w="1147" w:type="dxa"/>
            <w:shd w:val="clear" w:color="auto" w:fill="FFFFFF"/>
          </w:tcPr>
          <w:p w14:paraId="7EA9E3F6" w14:textId="77777777" w:rsidR="006C07D5" w:rsidRPr="00207A79" w:rsidRDefault="006C07D5" w:rsidP="00CE3F92">
            <w:pPr>
              <w:autoSpaceDE w:val="0"/>
              <w:autoSpaceDN w:val="0"/>
              <w:adjustRightInd w:val="0"/>
              <w:ind w:left="60" w:right="60" w:firstLine="0"/>
              <w:rPr>
                <w:sz w:val="18"/>
                <w:szCs w:val="18"/>
              </w:rPr>
            </w:pPr>
            <w:r w:rsidRPr="00207A79">
              <w:rPr>
                <w:sz w:val="18"/>
                <w:szCs w:val="18"/>
              </w:rPr>
              <w:t>1.8843</w:t>
            </w:r>
          </w:p>
        </w:tc>
        <w:tc>
          <w:tcPr>
            <w:tcW w:w="1102" w:type="dxa"/>
            <w:shd w:val="clear" w:color="auto" w:fill="FFFFFF"/>
          </w:tcPr>
          <w:p w14:paraId="569B4B47" w14:textId="77777777" w:rsidR="006C07D5" w:rsidRPr="00207A79" w:rsidRDefault="006C07D5" w:rsidP="00CE3F92">
            <w:pPr>
              <w:autoSpaceDE w:val="0"/>
              <w:autoSpaceDN w:val="0"/>
              <w:adjustRightInd w:val="0"/>
              <w:ind w:left="60" w:right="60" w:firstLine="27"/>
              <w:jc w:val="center"/>
              <w:rPr>
                <w:sz w:val="18"/>
                <w:szCs w:val="18"/>
              </w:rPr>
            </w:pPr>
            <w:r w:rsidRPr="00207A79">
              <w:rPr>
                <w:sz w:val="18"/>
                <w:szCs w:val="18"/>
              </w:rPr>
              <w:t>41.5919</w:t>
            </w:r>
          </w:p>
        </w:tc>
        <w:tc>
          <w:tcPr>
            <w:tcW w:w="1025" w:type="dxa"/>
            <w:shd w:val="clear" w:color="auto" w:fill="FFFFFF"/>
          </w:tcPr>
          <w:p w14:paraId="1EA3C6D3" w14:textId="77777777" w:rsidR="006C07D5" w:rsidRPr="00207A79" w:rsidRDefault="006C07D5" w:rsidP="00CE3F92">
            <w:pPr>
              <w:autoSpaceDE w:val="0"/>
              <w:autoSpaceDN w:val="0"/>
              <w:adjustRightInd w:val="0"/>
              <w:ind w:left="60" w:right="60" w:firstLine="59"/>
              <w:jc w:val="center"/>
              <w:rPr>
                <w:sz w:val="18"/>
                <w:szCs w:val="18"/>
              </w:rPr>
            </w:pPr>
            <w:r w:rsidRPr="00207A79">
              <w:rPr>
                <w:sz w:val="18"/>
                <w:szCs w:val="18"/>
              </w:rPr>
              <w:t>21.2352</w:t>
            </w:r>
          </w:p>
        </w:tc>
        <w:tc>
          <w:tcPr>
            <w:tcW w:w="1438" w:type="dxa"/>
            <w:shd w:val="clear" w:color="auto" w:fill="FFFFFF"/>
          </w:tcPr>
          <w:p w14:paraId="0C0F52F0" w14:textId="77777777" w:rsidR="006C07D5" w:rsidRPr="00207A79" w:rsidRDefault="006C07D5" w:rsidP="00CE3F92">
            <w:pPr>
              <w:autoSpaceDE w:val="0"/>
              <w:autoSpaceDN w:val="0"/>
              <w:adjustRightInd w:val="0"/>
              <w:ind w:left="60" w:right="60" w:firstLine="26"/>
              <w:jc w:val="center"/>
              <w:rPr>
                <w:sz w:val="18"/>
                <w:szCs w:val="18"/>
              </w:rPr>
            </w:pPr>
            <w:r w:rsidRPr="00207A79">
              <w:rPr>
                <w:sz w:val="18"/>
                <w:szCs w:val="18"/>
              </w:rPr>
              <w:t>8.46116</w:t>
            </w:r>
          </w:p>
        </w:tc>
        <w:tc>
          <w:tcPr>
            <w:tcW w:w="1025" w:type="dxa"/>
            <w:shd w:val="clear" w:color="auto" w:fill="FFFFFF"/>
          </w:tcPr>
          <w:p w14:paraId="42ED8333" w14:textId="77777777" w:rsidR="006C07D5" w:rsidRPr="00207A79" w:rsidRDefault="006C07D5" w:rsidP="00F65890">
            <w:pPr>
              <w:autoSpaceDE w:val="0"/>
              <w:autoSpaceDN w:val="0"/>
              <w:adjustRightInd w:val="0"/>
              <w:ind w:left="60" w:right="60"/>
              <w:jc w:val="center"/>
              <w:rPr>
                <w:sz w:val="18"/>
                <w:szCs w:val="18"/>
              </w:rPr>
            </w:pPr>
            <w:r w:rsidRPr="00207A79">
              <w:rPr>
                <w:sz w:val="18"/>
                <w:szCs w:val="18"/>
              </w:rPr>
              <w:t>27</w:t>
            </w:r>
          </w:p>
        </w:tc>
      </w:tr>
      <w:tr w:rsidR="006C07D5" w:rsidRPr="00207A79" w14:paraId="7B50B844" w14:textId="77777777" w:rsidTr="00F65890">
        <w:trPr>
          <w:cantSplit/>
          <w:jc w:val="center"/>
        </w:trPr>
        <w:tc>
          <w:tcPr>
            <w:tcW w:w="2447" w:type="dxa"/>
            <w:shd w:val="clear" w:color="auto" w:fill="E0E0E0"/>
          </w:tcPr>
          <w:p w14:paraId="1F98E724" w14:textId="77777777" w:rsidR="006C07D5" w:rsidRPr="00207A79" w:rsidRDefault="006C07D5" w:rsidP="00F65890">
            <w:pPr>
              <w:autoSpaceDE w:val="0"/>
              <w:autoSpaceDN w:val="0"/>
              <w:adjustRightInd w:val="0"/>
              <w:ind w:left="60" w:right="60"/>
              <w:rPr>
                <w:sz w:val="18"/>
                <w:szCs w:val="18"/>
              </w:rPr>
            </w:pPr>
            <w:r w:rsidRPr="00207A79">
              <w:rPr>
                <w:sz w:val="18"/>
                <w:szCs w:val="18"/>
              </w:rPr>
              <w:t>Std. Predicted Value</w:t>
            </w:r>
          </w:p>
        </w:tc>
        <w:tc>
          <w:tcPr>
            <w:tcW w:w="1147" w:type="dxa"/>
            <w:shd w:val="clear" w:color="auto" w:fill="FFFFFF"/>
          </w:tcPr>
          <w:p w14:paraId="47E81A42" w14:textId="77777777" w:rsidR="006C07D5" w:rsidRPr="00207A79" w:rsidRDefault="006C07D5" w:rsidP="00CE3F92">
            <w:pPr>
              <w:autoSpaceDE w:val="0"/>
              <w:autoSpaceDN w:val="0"/>
              <w:adjustRightInd w:val="0"/>
              <w:ind w:left="60" w:right="60" w:firstLine="38"/>
              <w:jc w:val="center"/>
              <w:rPr>
                <w:sz w:val="18"/>
                <w:szCs w:val="18"/>
              </w:rPr>
            </w:pPr>
            <w:r w:rsidRPr="00207A79">
              <w:rPr>
                <w:sz w:val="18"/>
                <w:szCs w:val="18"/>
              </w:rPr>
              <w:t>-2.287</w:t>
            </w:r>
          </w:p>
        </w:tc>
        <w:tc>
          <w:tcPr>
            <w:tcW w:w="1102" w:type="dxa"/>
            <w:shd w:val="clear" w:color="auto" w:fill="FFFFFF"/>
          </w:tcPr>
          <w:p w14:paraId="2E442913" w14:textId="77777777" w:rsidR="006C07D5" w:rsidRPr="00207A79" w:rsidRDefault="006C07D5" w:rsidP="00CE3F92">
            <w:pPr>
              <w:autoSpaceDE w:val="0"/>
              <w:autoSpaceDN w:val="0"/>
              <w:adjustRightInd w:val="0"/>
              <w:ind w:left="60" w:right="60" w:firstLine="27"/>
              <w:jc w:val="center"/>
              <w:rPr>
                <w:sz w:val="18"/>
                <w:szCs w:val="18"/>
              </w:rPr>
            </w:pPr>
            <w:r w:rsidRPr="00207A79">
              <w:rPr>
                <w:sz w:val="18"/>
                <w:szCs w:val="18"/>
              </w:rPr>
              <w:t>2.406</w:t>
            </w:r>
          </w:p>
        </w:tc>
        <w:tc>
          <w:tcPr>
            <w:tcW w:w="1025" w:type="dxa"/>
            <w:shd w:val="clear" w:color="auto" w:fill="FFFFFF"/>
          </w:tcPr>
          <w:p w14:paraId="07E8823E" w14:textId="77777777" w:rsidR="006C07D5" w:rsidRPr="00207A79" w:rsidRDefault="006C07D5" w:rsidP="00CE3F92">
            <w:pPr>
              <w:autoSpaceDE w:val="0"/>
              <w:autoSpaceDN w:val="0"/>
              <w:adjustRightInd w:val="0"/>
              <w:ind w:left="60" w:right="60" w:firstLine="59"/>
              <w:jc w:val="center"/>
              <w:rPr>
                <w:sz w:val="18"/>
                <w:szCs w:val="18"/>
              </w:rPr>
            </w:pPr>
            <w:r w:rsidRPr="00207A79">
              <w:rPr>
                <w:sz w:val="18"/>
                <w:szCs w:val="18"/>
              </w:rPr>
              <w:t>.000</w:t>
            </w:r>
          </w:p>
        </w:tc>
        <w:tc>
          <w:tcPr>
            <w:tcW w:w="1438" w:type="dxa"/>
            <w:shd w:val="clear" w:color="auto" w:fill="FFFFFF"/>
          </w:tcPr>
          <w:p w14:paraId="7DD92ACF" w14:textId="77777777" w:rsidR="006C07D5" w:rsidRPr="00207A79" w:rsidRDefault="006C07D5" w:rsidP="00CE3F92">
            <w:pPr>
              <w:autoSpaceDE w:val="0"/>
              <w:autoSpaceDN w:val="0"/>
              <w:adjustRightInd w:val="0"/>
              <w:ind w:left="60" w:right="60" w:firstLine="26"/>
              <w:jc w:val="center"/>
              <w:rPr>
                <w:sz w:val="18"/>
                <w:szCs w:val="18"/>
              </w:rPr>
            </w:pPr>
            <w:r w:rsidRPr="00207A79">
              <w:rPr>
                <w:sz w:val="18"/>
                <w:szCs w:val="18"/>
              </w:rPr>
              <w:t>1.000</w:t>
            </w:r>
          </w:p>
        </w:tc>
        <w:tc>
          <w:tcPr>
            <w:tcW w:w="1025" w:type="dxa"/>
            <w:shd w:val="clear" w:color="auto" w:fill="FFFFFF"/>
          </w:tcPr>
          <w:p w14:paraId="0F4C4070" w14:textId="77777777" w:rsidR="006C07D5" w:rsidRPr="00207A79" w:rsidRDefault="006C07D5" w:rsidP="00F65890">
            <w:pPr>
              <w:autoSpaceDE w:val="0"/>
              <w:autoSpaceDN w:val="0"/>
              <w:adjustRightInd w:val="0"/>
              <w:ind w:left="60" w:right="60"/>
              <w:jc w:val="center"/>
              <w:rPr>
                <w:sz w:val="18"/>
                <w:szCs w:val="18"/>
              </w:rPr>
            </w:pPr>
            <w:r w:rsidRPr="00207A79">
              <w:rPr>
                <w:sz w:val="18"/>
                <w:szCs w:val="18"/>
              </w:rPr>
              <w:t>27</w:t>
            </w:r>
          </w:p>
        </w:tc>
      </w:tr>
      <w:tr w:rsidR="006C07D5" w:rsidRPr="00207A79" w14:paraId="023DF8AB" w14:textId="77777777" w:rsidTr="00F65890">
        <w:trPr>
          <w:cantSplit/>
          <w:jc w:val="center"/>
        </w:trPr>
        <w:tc>
          <w:tcPr>
            <w:tcW w:w="2447" w:type="dxa"/>
            <w:shd w:val="clear" w:color="auto" w:fill="E0E0E0"/>
          </w:tcPr>
          <w:p w14:paraId="62B9EFA7" w14:textId="77777777" w:rsidR="006C07D5" w:rsidRPr="00207A79" w:rsidRDefault="006C07D5" w:rsidP="00F65890">
            <w:pPr>
              <w:autoSpaceDE w:val="0"/>
              <w:autoSpaceDN w:val="0"/>
              <w:adjustRightInd w:val="0"/>
              <w:ind w:left="60" w:right="60"/>
              <w:rPr>
                <w:sz w:val="18"/>
                <w:szCs w:val="18"/>
              </w:rPr>
            </w:pPr>
            <w:r w:rsidRPr="00207A79">
              <w:rPr>
                <w:sz w:val="18"/>
                <w:szCs w:val="18"/>
              </w:rPr>
              <w:t>Standard Error of Predicted Value</w:t>
            </w:r>
          </w:p>
        </w:tc>
        <w:tc>
          <w:tcPr>
            <w:tcW w:w="1147" w:type="dxa"/>
            <w:shd w:val="clear" w:color="auto" w:fill="FFFFFF"/>
          </w:tcPr>
          <w:p w14:paraId="122BC9B0" w14:textId="77777777" w:rsidR="006C07D5" w:rsidRPr="00207A79" w:rsidRDefault="006C07D5" w:rsidP="00CE3F92">
            <w:pPr>
              <w:autoSpaceDE w:val="0"/>
              <w:autoSpaceDN w:val="0"/>
              <w:adjustRightInd w:val="0"/>
              <w:ind w:left="60" w:right="60" w:firstLine="38"/>
              <w:jc w:val="center"/>
              <w:rPr>
                <w:sz w:val="18"/>
                <w:szCs w:val="18"/>
              </w:rPr>
            </w:pPr>
            <w:r w:rsidRPr="00207A79">
              <w:rPr>
                <w:sz w:val="18"/>
                <w:szCs w:val="18"/>
              </w:rPr>
              <w:t>2.280</w:t>
            </w:r>
          </w:p>
        </w:tc>
        <w:tc>
          <w:tcPr>
            <w:tcW w:w="1102" w:type="dxa"/>
            <w:shd w:val="clear" w:color="auto" w:fill="FFFFFF"/>
          </w:tcPr>
          <w:p w14:paraId="34E52D9E" w14:textId="77777777" w:rsidR="006C07D5" w:rsidRPr="00207A79" w:rsidRDefault="006C07D5" w:rsidP="00CE3F92">
            <w:pPr>
              <w:autoSpaceDE w:val="0"/>
              <w:autoSpaceDN w:val="0"/>
              <w:adjustRightInd w:val="0"/>
              <w:ind w:left="60" w:right="60" w:firstLine="27"/>
              <w:jc w:val="center"/>
              <w:rPr>
                <w:sz w:val="18"/>
                <w:szCs w:val="18"/>
              </w:rPr>
            </w:pPr>
            <w:r w:rsidRPr="00207A79">
              <w:rPr>
                <w:sz w:val="18"/>
                <w:szCs w:val="18"/>
              </w:rPr>
              <w:t>8.129</w:t>
            </w:r>
          </w:p>
        </w:tc>
        <w:tc>
          <w:tcPr>
            <w:tcW w:w="1025" w:type="dxa"/>
            <w:shd w:val="clear" w:color="auto" w:fill="FFFFFF"/>
          </w:tcPr>
          <w:p w14:paraId="5713E794" w14:textId="77777777" w:rsidR="006C07D5" w:rsidRPr="00207A79" w:rsidRDefault="006C07D5" w:rsidP="00CE3F92">
            <w:pPr>
              <w:autoSpaceDE w:val="0"/>
              <w:autoSpaceDN w:val="0"/>
              <w:adjustRightInd w:val="0"/>
              <w:ind w:left="60" w:right="60" w:firstLine="59"/>
              <w:jc w:val="center"/>
              <w:rPr>
                <w:sz w:val="18"/>
                <w:szCs w:val="18"/>
              </w:rPr>
            </w:pPr>
            <w:r w:rsidRPr="00207A79">
              <w:rPr>
                <w:sz w:val="18"/>
                <w:szCs w:val="18"/>
              </w:rPr>
              <w:t>3.229</w:t>
            </w:r>
          </w:p>
        </w:tc>
        <w:tc>
          <w:tcPr>
            <w:tcW w:w="1438" w:type="dxa"/>
            <w:shd w:val="clear" w:color="auto" w:fill="FFFFFF"/>
          </w:tcPr>
          <w:p w14:paraId="31A80929" w14:textId="77777777" w:rsidR="006C07D5" w:rsidRPr="00207A79" w:rsidRDefault="006C07D5" w:rsidP="00CE3F92">
            <w:pPr>
              <w:autoSpaceDE w:val="0"/>
              <w:autoSpaceDN w:val="0"/>
              <w:adjustRightInd w:val="0"/>
              <w:ind w:left="60" w:right="60" w:firstLine="26"/>
              <w:jc w:val="center"/>
              <w:rPr>
                <w:sz w:val="18"/>
                <w:szCs w:val="18"/>
              </w:rPr>
            </w:pPr>
            <w:r w:rsidRPr="00207A79">
              <w:rPr>
                <w:sz w:val="18"/>
                <w:szCs w:val="18"/>
              </w:rPr>
              <w:t>1.300</w:t>
            </w:r>
          </w:p>
        </w:tc>
        <w:tc>
          <w:tcPr>
            <w:tcW w:w="1025" w:type="dxa"/>
            <w:shd w:val="clear" w:color="auto" w:fill="FFFFFF"/>
          </w:tcPr>
          <w:p w14:paraId="16742F0E" w14:textId="77777777" w:rsidR="006C07D5" w:rsidRPr="00207A79" w:rsidRDefault="006C07D5" w:rsidP="00F65890">
            <w:pPr>
              <w:autoSpaceDE w:val="0"/>
              <w:autoSpaceDN w:val="0"/>
              <w:adjustRightInd w:val="0"/>
              <w:ind w:left="60" w:right="60"/>
              <w:jc w:val="center"/>
              <w:rPr>
                <w:sz w:val="18"/>
                <w:szCs w:val="18"/>
              </w:rPr>
            </w:pPr>
            <w:r w:rsidRPr="00207A79">
              <w:rPr>
                <w:sz w:val="18"/>
                <w:szCs w:val="18"/>
              </w:rPr>
              <w:t>27</w:t>
            </w:r>
          </w:p>
        </w:tc>
      </w:tr>
      <w:tr w:rsidR="006C07D5" w:rsidRPr="00207A79" w14:paraId="256683BE" w14:textId="77777777" w:rsidTr="00F65890">
        <w:trPr>
          <w:cantSplit/>
          <w:jc w:val="center"/>
        </w:trPr>
        <w:tc>
          <w:tcPr>
            <w:tcW w:w="2447" w:type="dxa"/>
            <w:shd w:val="clear" w:color="auto" w:fill="E0E0E0"/>
          </w:tcPr>
          <w:p w14:paraId="1E795DAA" w14:textId="77777777" w:rsidR="006C07D5" w:rsidRPr="00207A79" w:rsidRDefault="006C07D5" w:rsidP="00F65890">
            <w:pPr>
              <w:autoSpaceDE w:val="0"/>
              <w:autoSpaceDN w:val="0"/>
              <w:adjustRightInd w:val="0"/>
              <w:ind w:left="60" w:right="60"/>
              <w:rPr>
                <w:sz w:val="18"/>
                <w:szCs w:val="18"/>
              </w:rPr>
            </w:pPr>
            <w:r w:rsidRPr="00207A79">
              <w:rPr>
                <w:sz w:val="18"/>
                <w:szCs w:val="18"/>
              </w:rPr>
              <w:t>Adjusted Predicted Value</w:t>
            </w:r>
          </w:p>
        </w:tc>
        <w:tc>
          <w:tcPr>
            <w:tcW w:w="1147" w:type="dxa"/>
            <w:shd w:val="clear" w:color="auto" w:fill="FFFFFF"/>
          </w:tcPr>
          <w:p w14:paraId="310AF650" w14:textId="77777777" w:rsidR="006C07D5" w:rsidRPr="00207A79" w:rsidRDefault="006C07D5" w:rsidP="00CE3F92">
            <w:pPr>
              <w:autoSpaceDE w:val="0"/>
              <w:autoSpaceDN w:val="0"/>
              <w:adjustRightInd w:val="0"/>
              <w:ind w:left="60" w:right="60" w:firstLine="38"/>
              <w:jc w:val="center"/>
              <w:rPr>
                <w:sz w:val="18"/>
                <w:szCs w:val="18"/>
              </w:rPr>
            </w:pPr>
            <w:r w:rsidRPr="00207A79">
              <w:rPr>
                <w:sz w:val="18"/>
                <w:szCs w:val="18"/>
              </w:rPr>
              <w:t>.1108</w:t>
            </w:r>
          </w:p>
        </w:tc>
        <w:tc>
          <w:tcPr>
            <w:tcW w:w="1102" w:type="dxa"/>
            <w:shd w:val="clear" w:color="auto" w:fill="FFFFFF"/>
          </w:tcPr>
          <w:p w14:paraId="0C982459" w14:textId="77777777" w:rsidR="006C07D5" w:rsidRPr="00207A79" w:rsidRDefault="006C07D5" w:rsidP="00CE3F92">
            <w:pPr>
              <w:autoSpaceDE w:val="0"/>
              <w:autoSpaceDN w:val="0"/>
              <w:adjustRightInd w:val="0"/>
              <w:ind w:left="60" w:right="60" w:firstLine="27"/>
              <w:jc w:val="center"/>
              <w:rPr>
                <w:sz w:val="18"/>
                <w:szCs w:val="18"/>
              </w:rPr>
            </w:pPr>
            <w:r w:rsidRPr="00207A79">
              <w:rPr>
                <w:sz w:val="18"/>
                <w:szCs w:val="18"/>
              </w:rPr>
              <w:t>37.7545</w:t>
            </w:r>
          </w:p>
        </w:tc>
        <w:tc>
          <w:tcPr>
            <w:tcW w:w="1025" w:type="dxa"/>
            <w:shd w:val="clear" w:color="auto" w:fill="FFFFFF"/>
          </w:tcPr>
          <w:p w14:paraId="43B7102C" w14:textId="77777777" w:rsidR="006C07D5" w:rsidRPr="00207A79" w:rsidRDefault="006C07D5" w:rsidP="00CE3F92">
            <w:pPr>
              <w:autoSpaceDE w:val="0"/>
              <w:autoSpaceDN w:val="0"/>
              <w:adjustRightInd w:val="0"/>
              <w:ind w:left="60" w:right="60" w:firstLine="59"/>
              <w:jc w:val="center"/>
              <w:rPr>
                <w:sz w:val="18"/>
                <w:szCs w:val="18"/>
              </w:rPr>
            </w:pPr>
            <w:r w:rsidRPr="00207A79">
              <w:rPr>
                <w:sz w:val="18"/>
                <w:szCs w:val="18"/>
              </w:rPr>
              <w:t>21.2389</w:t>
            </w:r>
          </w:p>
        </w:tc>
        <w:tc>
          <w:tcPr>
            <w:tcW w:w="1438" w:type="dxa"/>
            <w:shd w:val="clear" w:color="auto" w:fill="FFFFFF"/>
          </w:tcPr>
          <w:p w14:paraId="60F43768" w14:textId="77777777" w:rsidR="006C07D5" w:rsidRPr="00207A79" w:rsidRDefault="006C07D5" w:rsidP="00CE3F92">
            <w:pPr>
              <w:autoSpaceDE w:val="0"/>
              <w:autoSpaceDN w:val="0"/>
              <w:adjustRightInd w:val="0"/>
              <w:ind w:left="60" w:right="60" w:firstLine="26"/>
              <w:jc w:val="center"/>
              <w:rPr>
                <w:sz w:val="18"/>
                <w:szCs w:val="18"/>
              </w:rPr>
            </w:pPr>
            <w:r w:rsidRPr="00207A79">
              <w:rPr>
                <w:sz w:val="18"/>
                <w:szCs w:val="18"/>
              </w:rPr>
              <w:t>8.86143</w:t>
            </w:r>
          </w:p>
        </w:tc>
        <w:tc>
          <w:tcPr>
            <w:tcW w:w="1025" w:type="dxa"/>
            <w:shd w:val="clear" w:color="auto" w:fill="FFFFFF"/>
          </w:tcPr>
          <w:p w14:paraId="13FE7F4E" w14:textId="77777777" w:rsidR="006C07D5" w:rsidRPr="00207A79" w:rsidRDefault="006C07D5" w:rsidP="00F65890">
            <w:pPr>
              <w:autoSpaceDE w:val="0"/>
              <w:autoSpaceDN w:val="0"/>
              <w:adjustRightInd w:val="0"/>
              <w:ind w:left="60" w:right="60"/>
              <w:jc w:val="center"/>
              <w:rPr>
                <w:sz w:val="18"/>
                <w:szCs w:val="18"/>
              </w:rPr>
            </w:pPr>
            <w:r w:rsidRPr="00207A79">
              <w:rPr>
                <w:sz w:val="18"/>
                <w:szCs w:val="18"/>
              </w:rPr>
              <w:t>27</w:t>
            </w:r>
          </w:p>
        </w:tc>
      </w:tr>
      <w:tr w:rsidR="006C07D5" w:rsidRPr="00207A79" w14:paraId="4329F6C5" w14:textId="77777777" w:rsidTr="00F65890">
        <w:trPr>
          <w:cantSplit/>
          <w:jc w:val="center"/>
        </w:trPr>
        <w:tc>
          <w:tcPr>
            <w:tcW w:w="2447" w:type="dxa"/>
            <w:shd w:val="clear" w:color="auto" w:fill="E0E0E0"/>
          </w:tcPr>
          <w:p w14:paraId="68D8D089" w14:textId="77777777" w:rsidR="006C07D5" w:rsidRPr="00207A79" w:rsidRDefault="006C07D5" w:rsidP="00F65890">
            <w:pPr>
              <w:autoSpaceDE w:val="0"/>
              <w:autoSpaceDN w:val="0"/>
              <w:adjustRightInd w:val="0"/>
              <w:ind w:left="60" w:right="60"/>
              <w:rPr>
                <w:sz w:val="18"/>
                <w:szCs w:val="18"/>
              </w:rPr>
            </w:pPr>
            <w:r w:rsidRPr="00207A79">
              <w:rPr>
                <w:sz w:val="18"/>
                <w:szCs w:val="18"/>
              </w:rPr>
              <w:t>Residual</w:t>
            </w:r>
          </w:p>
        </w:tc>
        <w:tc>
          <w:tcPr>
            <w:tcW w:w="1147" w:type="dxa"/>
            <w:shd w:val="clear" w:color="auto" w:fill="FFFFFF"/>
          </w:tcPr>
          <w:p w14:paraId="60C500AB" w14:textId="77777777" w:rsidR="006C07D5" w:rsidRPr="00207A79" w:rsidRDefault="006C07D5" w:rsidP="00CE3F92">
            <w:pPr>
              <w:autoSpaceDE w:val="0"/>
              <w:autoSpaceDN w:val="0"/>
              <w:adjustRightInd w:val="0"/>
              <w:ind w:left="60" w:right="60" w:firstLine="38"/>
              <w:jc w:val="center"/>
              <w:rPr>
                <w:sz w:val="18"/>
                <w:szCs w:val="18"/>
              </w:rPr>
            </w:pPr>
            <w:r w:rsidRPr="00207A79">
              <w:rPr>
                <w:sz w:val="18"/>
                <w:szCs w:val="18"/>
              </w:rPr>
              <w:t>-18.78786</w:t>
            </w:r>
          </w:p>
        </w:tc>
        <w:tc>
          <w:tcPr>
            <w:tcW w:w="1102" w:type="dxa"/>
            <w:shd w:val="clear" w:color="auto" w:fill="FFFFFF"/>
          </w:tcPr>
          <w:p w14:paraId="00B7855A" w14:textId="77777777" w:rsidR="006C07D5" w:rsidRPr="00207A79" w:rsidRDefault="006C07D5" w:rsidP="00CE3F92">
            <w:pPr>
              <w:autoSpaceDE w:val="0"/>
              <w:autoSpaceDN w:val="0"/>
              <w:adjustRightInd w:val="0"/>
              <w:ind w:left="60" w:right="60" w:firstLine="27"/>
              <w:jc w:val="center"/>
              <w:rPr>
                <w:sz w:val="18"/>
                <w:szCs w:val="18"/>
              </w:rPr>
            </w:pPr>
            <w:r w:rsidRPr="00207A79">
              <w:rPr>
                <w:sz w:val="18"/>
                <w:szCs w:val="18"/>
              </w:rPr>
              <w:t>24.92555</w:t>
            </w:r>
          </w:p>
        </w:tc>
        <w:tc>
          <w:tcPr>
            <w:tcW w:w="1025" w:type="dxa"/>
            <w:shd w:val="clear" w:color="auto" w:fill="FFFFFF"/>
          </w:tcPr>
          <w:p w14:paraId="1B839062" w14:textId="77777777" w:rsidR="006C07D5" w:rsidRPr="00207A79" w:rsidRDefault="006C07D5" w:rsidP="00CE3F92">
            <w:pPr>
              <w:autoSpaceDE w:val="0"/>
              <w:autoSpaceDN w:val="0"/>
              <w:adjustRightInd w:val="0"/>
              <w:ind w:left="60" w:right="60" w:firstLine="59"/>
              <w:jc w:val="center"/>
              <w:rPr>
                <w:sz w:val="18"/>
                <w:szCs w:val="18"/>
              </w:rPr>
            </w:pPr>
            <w:r w:rsidRPr="00207A79">
              <w:rPr>
                <w:sz w:val="18"/>
                <w:szCs w:val="18"/>
              </w:rPr>
              <w:t>.00000</w:t>
            </w:r>
          </w:p>
        </w:tc>
        <w:tc>
          <w:tcPr>
            <w:tcW w:w="1438" w:type="dxa"/>
            <w:shd w:val="clear" w:color="auto" w:fill="FFFFFF"/>
          </w:tcPr>
          <w:p w14:paraId="2146CC68" w14:textId="77777777" w:rsidR="006C07D5" w:rsidRPr="00207A79" w:rsidRDefault="006C07D5" w:rsidP="00CE3F92">
            <w:pPr>
              <w:autoSpaceDE w:val="0"/>
              <w:autoSpaceDN w:val="0"/>
              <w:adjustRightInd w:val="0"/>
              <w:ind w:left="60" w:right="60" w:firstLine="26"/>
              <w:jc w:val="center"/>
              <w:rPr>
                <w:sz w:val="18"/>
                <w:szCs w:val="18"/>
              </w:rPr>
            </w:pPr>
            <w:r w:rsidRPr="00207A79">
              <w:rPr>
                <w:sz w:val="18"/>
                <w:szCs w:val="18"/>
              </w:rPr>
              <w:t>10.00651</w:t>
            </w:r>
          </w:p>
        </w:tc>
        <w:tc>
          <w:tcPr>
            <w:tcW w:w="1025" w:type="dxa"/>
            <w:shd w:val="clear" w:color="auto" w:fill="FFFFFF"/>
          </w:tcPr>
          <w:p w14:paraId="341C77BA" w14:textId="77777777" w:rsidR="006C07D5" w:rsidRPr="00207A79" w:rsidRDefault="006C07D5" w:rsidP="00F65890">
            <w:pPr>
              <w:autoSpaceDE w:val="0"/>
              <w:autoSpaceDN w:val="0"/>
              <w:adjustRightInd w:val="0"/>
              <w:ind w:left="60" w:right="60"/>
              <w:jc w:val="center"/>
              <w:rPr>
                <w:sz w:val="18"/>
                <w:szCs w:val="18"/>
              </w:rPr>
            </w:pPr>
            <w:r w:rsidRPr="00207A79">
              <w:rPr>
                <w:sz w:val="18"/>
                <w:szCs w:val="18"/>
              </w:rPr>
              <w:t>27</w:t>
            </w:r>
          </w:p>
        </w:tc>
      </w:tr>
      <w:tr w:rsidR="006C07D5" w:rsidRPr="00207A79" w14:paraId="09151A6E" w14:textId="77777777" w:rsidTr="00F65890">
        <w:trPr>
          <w:cantSplit/>
          <w:jc w:val="center"/>
        </w:trPr>
        <w:tc>
          <w:tcPr>
            <w:tcW w:w="2447" w:type="dxa"/>
            <w:shd w:val="clear" w:color="auto" w:fill="E0E0E0"/>
          </w:tcPr>
          <w:p w14:paraId="3BECBDBE" w14:textId="77777777" w:rsidR="006C07D5" w:rsidRPr="00207A79" w:rsidRDefault="006C07D5" w:rsidP="00F65890">
            <w:pPr>
              <w:autoSpaceDE w:val="0"/>
              <w:autoSpaceDN w:val="0"/>
              <w:adjustRightInd w:val="0"/>
              <w:ind w:left="60" w:right="60"/>
              <w:rPr>
                <w:sz w:val="18"/>
                <w:szCs w:val="18"/>
              </w:rPr>
            </w:pPr>
            <w:r w:rsidRPr="00207A79">
              <w:rPr>
                <w:sz w:val="18"/>
                <w:szCs w:val="18"/>
              </w:rPr>
              <w:t>Std. Residual</w:t>
            </w:r>
          </w:p>
        </w:tc>
        <w:tc>
          <w:tcPr>
            <w:tcW w:w="1147" w:type="dxa"/>
            <w:shd w:val="clear" w:color="auto" w:fill="FFFFFF"/>
          </w:tcPr>
          <w:p w14:paraId="0437FFD6" w14:textId="77777777" w:rsidR="006C07D5" w:rsidRPr="00207A79" w:rsidRDefault="006C07D5" w:rsidP="00CE3F92">
            <w:pPr>
              <w:autoSpaceDE w:val="0"/>
              <w:autoSpaceDN w:val="0"/>
              <w:adjustRightInd w:val="0"/>
              <w:ind w:left="60" w:right="60" w:firstLine="38"/>
              <w:jc w:val="center"/>
              <w:rPr>
                <w:sz w:val="18"/>
                <w:szCs w:val="18"/>
              </w:rPr>
            </w:pPr>
            <w:r w:rsidRPr="00207A79">
              <w:rPr>
                <w:sz w:val="18"/>
                <w:szCs w:val="18"/>
              </w:rPr>
              <w:t>-1.804</w:t>
            </w:r>
          </w:p>
        </w:tc>
        <w:tc>
          <w:tcPr>
            <w:tcW w:w="1102" w:type="dxa"/>
            <w:shd w:val="clear" w:color="auto" w:fill="FFFFFF"/>
          </w:tcPr>
          <w:p w14:paraId="735E781A" w14:textId="77777777" w:rsidR="006C07D5" w:rsidRPr="00207A79" w:rsidRDefault="006C07D5" w:rsidP="00CE3F92">
            <w:pPr>
              <w:autoSpaceDE w:val="0"/>
              <w:autoSpaceDN w:val="0"/>
              <w:adjustRightInd w:val="0"/>
              <w:ind w:left="60" w:right="60" w:firstLine="27"/>
              <w:jc w:val="center"/>
              <w:rPr>
                <w:sz w:val="18"/>
                <w:szCs w:val="18"/>
              </w:rPr>
            </w:pPr>
            <w:r w:rsidRPr="00207A79">
              <w:rPr>
                <w:sz w:val="18"/>
                <w:szCs w:val="18"/>
              </w:rPr>
              <w:t>2.393</w:t>
            </w:r>
          </w:p>
        </w:tc>
        <w:tc>
          <w:tcPr>
            <w:tcW w:w="1025" w:type="dxa"/>
            <w:shd w:val="clear" w:color="auto" w:fill="FFFFFF"/>
          </w:tcPr>
          <w:p w14:paraId="0A32629A" w14:textId="77777777" w:rsidR="006C07D5" w:rsidRPr="00207A79" w:rsidRDefault="006C07D5" w:rsidP="00CE3F92">
            <w:pPr>
              <w:autoSpaceDE w:val="0"/>
              <w:autoSpaceDN w:val="0"/>
              <w:adjustRightInd w:val="0"/>
              <w:ind w:left="60" w:right="60" w:firstLine="59"/>
              <w:jc w:val="center"/>
              <w:rPr>
                <w:sz w:val="18"/>
                <w:szCs w:val="18"/>
              </w:rPr>
            </w:pPr>
            <w:r w:rsidRPr="00207A79">
              <w:rPr>
                <w:sz w:val="18"/>
                <w:szCs w:val="18"/>
              </w:rPr>
              <w:t>.000</w:t>
            </w:r>
          </w:p>
        </w:tc>
        <w:tc>
          <w:tcPr>
            <w:tcW w:w="1438" w:type="dxa"/>
            <w:shd w:val="clear" w:color="auto" w:fill="FFFFFF"/>
          </w:tcPr>
          <w:p w14:paraId="49FD69D0" w14:textId="77777777" w:rsidR="006C07D5" w:rsidRPr="00207A79" w:rsidRDefault="006C07D5" w:rsidP="00CE3F92">
            <w:pPr>
              <w:autoSpaceDE w:val="0"/>
              <w:autoSpaceDN w:val="0"/>
              <w:adjustRightInd w:val="0"/>
              <w:ind w:left="60" w:right="60" w:firstLine="26"/>
              <w:jc w:val="center"/>
              <w:rPr>
                <w:sz w:val="18"/>
                <w:szCs w:val="18"/>
              </w:rPr>
            </w:pPr>
            <w:r w:rsidRPr="00207A79">
              <w:rPr>
                <w:sz w:val="18"/>
                <w:szCs w:val="18"/>
              </w:rPr>
              <w:t>.961</w:t>
            </w:r>
          </w:p>
        </w:tc>
        <w:tc>
          <w:tcPr>
            <w:tcW w:w="1025" w:type="dxa"/>
            <w:shd w:val="clear" w:color="auto" w:fill="FFFFFF"/>
          </w:tcPr>
          <w:p w14:paraId="19D12F6D" w14:textId="77777777" w:rsidR="006C07D5" w:rsidRPr="00207A79" w:rsidRDefault="006C07D5" w:rsidP="00F65890">
            <w:pPr>
              <w:autoSpaceDE w:val="0"/>
              <w:autoSpaceDN w:val="0"/>
              <w:adjustRightInd w:val="0"/>
              <w:ind w:left="60" w:right="60"/>
              <w:jc w:val="center"/>
              <w:rPr>
                <w:sz w:val="18"/>
                <w:szCs w:val="18"/>
              </w:rPr>
            </w:pPr>
            <w:r w:rsidRPr="00207A79">
              <w:rPr>
                <w:sz w:val="18"/>
                <w:szCs w:val="18"/>
              </w:rPr>
              <w:t>27</w:t>
            </w:r>
          </w:p>
        </w:tc>
      </w:tr>
      <w:tr w:rsidR="006C07D5" w:rsidRPr="00207A79" w14:paraId="3D7C7BBB" w14:textId="77777777" w:rsidTr="00F65890">
        <w:trPr>
          <w:cantSplit/>
          <w:jc w:val="center"/>
        </w:trPr>
        <w:tc>
          <w:tcPr>
            <w:tcW w:w="2447" w:type="dxa"/>
            <w:shd w:val="clear" w:color="auto" w:fill="E0E0E0"/>
          </w:tcPr>
          <w:p w14:paraId="09A3996C" w14:textId="77777777" w:rsidR="006C07D5" w:rsidRPr="00207A79" w:rsidRDefault="006C07D5" w:rsidP="00F65890">
            <w:pPr>
              <w:autoSpaceDE w:val="0"/>
              <w:autoSpaceDN w:val="0"/>
              <w:adjustRightInd w:val="0"/>
              <w:ind w:left="60" w:right="60"/>
              <w:rPr>
                <w:sz w:val="18"/>
                <w:szCs w:val="18"/>
              </w:rPr>
            </w:pPr>
            <w:r w:rsidRPr="00207A79">
              <w:rPr>
                <w:sz w:val="18"/>
                <w:szCs w:val="18"/>
              </w:rPr>
              <w:t>Stud. Residual</w:t>
            </w:r>
          </w:p>
        </w:tc>
        <w:tc>
          <w:tcPr>
            <w:tcW w:w="1147" w:type="dxa"/>
            <w:shd w:val="clear" w:color="auto" w:fill="FFFFFF"/>
          </w:tcPr>
          <w:p w14:paraId="64418532" w14:textId="77777777" w:rsidR="006C07D5" w:rsidRPr="00207A79" w:rsidRDefault="006C07D5" w:rsidP="00CE3F92">
            <w:pPr>
              <w:autoSpaceDE w:val="0"/>
              <w:autoSpaceDN w:val="0"/>
              <w:adjustRightInd w:val="0"/>
              <w:ind w:left="60" w:right="60" w:firstLine="38"/>
              <w:jc w:val="center"/>
              <w:rPr>
                <w:sz w:val="18"/>
                <w:szCs w:val="18"/>
              </w:rPr>
            </w:pPr>
            <w:r w:rsidRPr="00207A79">
              <w:rPr>
                <w:sz w:val="18"/>
                <w:szCs w:val="18"/>
              </w:rPr>
              <w:t>-1.952</w:t>
            </w:r>
          </w:p>
        </w:tc>
        <w:tc>
          <w:tcPr>
            <w:tcW w:w="1102" w:type="dxa"/>
            <w:shd w:val="clear" w:color="auto" w:fill="FFFFFF"/>
          </w:tcPr>
          <w:p w14:paraId="409FBB83" w14:textId="77777777" w:rsidR="006C07D5" w:rsidRPr="00207A79" w:rsidRDefault="006C07D5" w:rsidP="00CE3F92">
            <w:pPr>
              <w:autoSpaceDE w:val="0"/>
              <w:autoSpaceDN w:val="0"/>
              <w:adjustRightInd w:val="0"/>
              <w:ind w:left="60" w:right="60" w:firstLine="27"/>
              <w:jc w:val="center"/>
              <w:rPr>
                <w:sz w:val="18"/>
                <w:szCs w:val="18"/>
              </w:rPr>
            </w:pPr>
            <w:r w:rsidRPr="00207A79">
              <w:rPr>
                <w:sz w:val="18"/>
                <w:szCs w:val="18"/>
              </w:rPr>
              <w:t>2.492</w:t>
            </w:r>
          </w:p>
        </w:tc>
        <w:tc>
          <w:tcPr>
            <w:tcW w:w="1025" w:type="dxa"/>
            <w:shd w:val="clear" w:color="auto" w:fill="FFFFFF"/>
          </w:tcPr>
          <w:p w14:paraId="4AE95D17" w14:textId="77777777" w:rsidR="006C07D5" w:rsidRPr="00207A79" w:rsidRDefault="006C07D5" w:rsidP="00CE3F92">
            <w:pPr>
              <w:autoSpaceDE w:val="0"/>
              <w:autoSpaceDN w:val="0"/>
              <w:adjustRightInd w:val="0"/>
              <w:ind w:left="60" w:right="60" w:firstLine="59"/>
              <w:jc w:val="center"/>
              <w:rPr>
                <w:sz w:val="18"/>
                <w:szCs w:val="18"/>
              </w:rPr>
            </w:pPr>
            <w:r w:rsidRPr="00207A79">
              <w:rPr>
                <w:sz w:val="18"/>
                <w:szCs w:val="18"/>
              </w:rPr>
              <w:t>.002</w:t>
            </w:r>
          </w:p>
        </w:tc>
        <w:tc>
          <w:tcPr>
            <w:tcW w:w="1438" w:type="dxa"/>
            <w:shd w:val="clear" w:color="auto" w:fill="FFFFFF"/>
          </w:tcPr>
          <w:p w14:paraId="75A526A6" w14:textId="77777777" w:rsidR="006C07D5" w:rsidRPr="00207A79" w:rsidRDefault="006C07D5" w:rsidP="00CE3F92">
            <w:pPr>
              <w:autoSpaceDE w:val="0"/>
              <w:autoSpaceDN w:val="0"/>
              <w:adjustRightInd w:val="0"/>
              <w:ind w:left="60" w:right="60" w:firstLine="26"/>
              <w:jc w:val="center"/>
              <w:rPr>
                <w:sz w:val="18"/>
                <w:szCs w:val="18"/>
              </w:rPr>
            </w:pPr>
            <w:r w:rsidRPr="00207A79">
              <w:rPr>
                <w:sz w:val="18"/>
                <w:szCs w:val="18"/>
              </w:rPr>
              <w:t>1.029</w:t>
            </w:r>
          </w:p>
        </w:tc>
        <w:tc>
          <w:tcPr>
            <w:tcW w:w="1025" w:type="dxa"/>
            <w:shd w:val="clear" w:color="auto" w:fill="FFFFFF"/>
          </w:tcPr>
          <w:p w14:paraId="5BC8B2B4" w14:textId="77777777" w:rsidR="006C07D5" w:rsidRPr="00207A79" w:rsidRDefault="006C07D5" w:rsidP="00F65890">
            <w:pPr>
              <w:autoSpaceDE w:val="0"/>
              <w:autoSpaceDN w:val="0"/>
              <w:adjustRightInd w:val="0"/>
              <w:ind w:left="60" w:right="60"/>
              <w:jc w:val="center"/>
              <w:rPr>
                <w:sz w:val="18"/>
                <w:szCs w:val="18"/>
              </w:rPr>
            </w:pPr>
            <w:r w:rsidRPr="00207A79">
              <w:rPr>
                <w:sz w:val="18"/>
                <w:szCs w:val="18"/>
              </w:rPr>
              <w:t>27</w:t>
            </w:r>
          </w:p>
        </w:tc>
      </w:tr>
      <w:tr w:rsidR="006C07D5" w:rsidRPr="00207A79" w14:paraId="0CFF4D5C" w14:textId="77777777" w:rsidTr="00F65890">
        <w:trPr>
          <w:cantSplit/>
          <w:jc w:val="center"/>
        </w:trPr>
        <w:tc>
          <w:tcPr>
            <w:tcW w:w="2447" w:type="dxa"/>
            <w:shd w:val="clear" w:color="auto" w:fill="E0E0E0"/>
          </w:tcPr>
          <w:p w14:paraId="6BA394B1" w14:textId="77777777" w:rsidR="006C07D5" w:rsidRPr="00207A79" w:rsidRDefault="006C07D5" w:rsidP="00F65890">
            <w:pPr>
              <w:autoSpaceDE w:val="0"/>
              <w:autoSpaceDN w:val="0"/>
              <w:adjustRightInd w:val="0"/>
              <w:ind w:left="60" w:right="60"/>
              <w:rPr>
                <w:sz w:val="18"/>
                <w:szCs w:val="18"/>
              </w:rPr>
            </w:pPr>
            <w:r w:rsidRPr="00207A79">
              <w:rPr>
                <w:sz w:val="18"/>
                <w:szCs w:val="18"/>
              </w:rPr>
              <w:t>Deleted Residual</w:t>
            </w:r>
          </w:p>
        </w:tc>
        <w:tc>
          <w:tcPr>
            <w:tcW w:w="1147" w:type="dxa"/>
            <w:shd w:val="clear" w:color="auto" w:fill="FFFFFF"/>
          </w:tcPr>
          <w:p w14:paraId="7D8C2962" w14:textId="77777777" w:rsidR="006C07D5" w:rsidRPr="00207A79" w:rsidRDefault="006C07D5" w:rsidP="00CE3F92">
            <w:pPr>
              <w:autoSpaceDE w:val="0"/>
              <w:autoSpaceDN w:val="0"/>
              <w:adjustRightInd w:val="0"/>
              <w:ind w:left="60" w:right="60" w:firstLine="38"/>
              <w:jc w:val="center"/>
              <w:rPr>
                <w:sz w:val="18"/>
                <w:szCs w:val="18"/>
              </w:rPr>
            </w:pPr>
            <w:r w:rsidRPr="00207A79">
              <w:rPr>
                <w:sz w:val="18"/>
                <w:szCs w:val="18"/>
              </w:rPr>
              <w:t>-22.00906</w:t>
            </w:r>
          </w:p>
        </w:tc>
        <w:tc>
          <w:tcPr>
            <w:tcW w:w="1102" w:type="dxa"/>
            <w:shd w:val="clear" w:color="auto" w:fill="FFFFFF"/>
          </w:tcPr>
          <w:p w14:paraId="051C81C7" w14:textId="77777777" w:rsidR="006C07D5" w:rsidRPr="00207A79" w:rsidRDefault="006C07D5" w:rsidP="00CE3F92">
            <w:pPr>
              <w:autoSpaceDE w:val="0"/>
              <w:autoSpaceDN w:val="0"/>
              <w:adjustRightInd w:val="0"/>
              <w:ind w:left="60" w:right="60" w:firstLine="27"/>
              <w:jc w:val="center"/>
              <w:rPr>
                <w:sz w:val="18"/>
                <w:szCs w:val="18"/>
              </w:rPr>
            </w:pPr>
            <w:r w:rsidRPr="00207A79">
              <w:rPr>
                <w:sz w:val="18"/>
                <w:szCs w:val="18"/>
              </w:rPr>
              <w:t>27.02307</w:t>
            </w:r>
          </w:p>
        </w:tc>
        <w:tc>
          <w:tcPr>
            <w:tcW w:w="1025" w:type="dxa"/>
            <w:shd w:val="clear" w:color="auto" w:fill="FFFFFF"/>
          </w:tcPr>
          <w:p w14:paraId="31AB556F" w14:textId="77777777" w:rsidR="006C07D5" w:rsidRPr="00207A79" w:rsidRDefault="006C07D5" w:rsidP="00CE3F92">
            <w:pPr>
              <w:autoSpaceDE w:val="0"/>
              <w:autoSpaceDN w:val="0"/>
              <w:adjustRightInd w:val="0"/>
              <w:ind w:left="60" w:right="60" w:firstLine="59"/>
              <w:jc w:val="center"/>
              <w:rPr>
                <w:sz w:val="18"/>
                <w:szCs w:val="18"/>
              </w:rPr>
            </w:pPr>
            <w:r w:rsidRPr="00207A79">
              <w:rPr>
                <w:sz w:val="18"/>
                <w:szCs w:val="18"/>
              </w:rPr>
              <w:t>-.00375</w:t>
            </w:r>
          </w:p>
        </w:tc>
        <w:tc>
          <w:tcPr>
            <w:tcW w:w="1438" w:type="dxa"/>
            <w:shd w:val="clear" w:color="auto" w:fill="FFFFFF"/>
          </w:tcPr>
          <w:p w14:paraId="14F94843" w14:textId="77777777" w:rsidR="006C07D5" w:rsidRPr="00207A79" w:rsidRDefault="006C07D5" w:rsidP="00CE3F92">
            <w:pPr>
              <w:autoSpaceDE w:val="0"/>
              <w:autoSpaceDN w:val="0"/>
              <w:adjustRightInd w:val="0"/>
              <w:ind w:left="60" w:right="60" w:firstLine="26"/>
              <w:jc w:val="center"/>
              <w:rPr>
                <w:sz w:val="18"/>
                <w:szCs w:val="18"/>
              </w:rPr>
            </w:pPr>
            <w:r w:rsidRPr="00207A79">
              <w:rPr>
                <w:sz w:val="18"/>
                <w:szCs w:val="18"/>
              </w:rPr>
              <w:t>11.58047</w:t>
            </w:r>
          </w:p>
        </w:tc>
        <w:tc>
          <w:tcPr>
            <w:tcW w:w="1025" w:type="dxa"/>
            <w:shd w:val="clear" w:color="auto" w:fill="FFFFFF"/>
          </w:tcPr>
          <w:p w14:paraId="3A55EA03" w14:textId="77777777" w:rsidR="006C07D5" w:rsidRPr="00207A79" w:rsidRDefault="006C07D5" w:rsidP="00F65890">
            <w:pPr>
              <w:autoSpaceDE w:val="0"/>
              <w:autoSpaceDN w:val="0"/>
              <w:adjustRightInd w:val="0"/>
              <w:ind w:left="60" w:right="60"/>
              <w:jc w:val="center"/>
              <w:rPr>
                <w:sz w:val="18"/>
                <w:szCs w:val="18"/>
              </w:rPr>
            </w:pPr>
            <w:r w:rsidRPr="00207A79">
              <w:rPr>
                <w:sz w:val="18"/>
                <w:szCs w:val="18"/>
              </w:rPr>
              <w:t>27</w:t>
            </w:r>
          </w:p>
        </w:tc>
      </w:tr>
      <w:tr w:rsidR="006C07D5" w:rsidRPr="00207A79" w14:paraId="7D80BD52" w14:textId="77777777" w:rsidTr="00F65890">
        <w:trPr>
          <w:cantSplit/>
          <w:jc w:val="center"/>
        </w:trPr>
        <w:tc>
          <w:tcPr>
            <w:tcW w:w="2447" w:type="dxa"/>
            <w:shd w:val="clear" w:color="auto" w:fill="E0E0E0"/>
          </w:tcPr>
          <w:p w14:paraId="394774D9" w14:textId="77777777" w:rsidR="006C07D5" w:rsidRPr="00207A79" w:rsidRDefault="006C07D5" w:rsidP="00F65890">
            <w:pPr>
              <w:autoSpaceDE w:val="0"/>
              <w:autoSpaceDN w:val="0"/>
              <w:adjustRightInd w:val="0"/>
              <w:ind w:left="60" w:right="60"/>
              <w:rPr>
                <w:sz w:val="18"/>
                <w:szCs w:val="18"/>
              </w:rPr>
            </w:pPr>
            <w:r w:rsidRPr="00207A79">
              <w:rPr>
                <w:sz w:val="18"/>
                <w:szCs w:val="18"/>
              </w:rPr>
              <w:t>Stud. Deleted Residual</w:t>
            </w:r>
          </w:p>
        </w:tc>
        <w:tc>
          <w:tcPr>
            <w:tcW w:w="1147" w:type="dxa"/>
            <w:shd w:val="clear" w:color="auto" w:fill="FFFFFF"/>
          </w:tcPr>
          <w:p w14:paraId="055A8C0A" w14:textId="77777777" w:rsidR="006C07D5" w:rsidRPr="00207A79" w:rsidRDefault="006C07D5" w:rsidP="00CE3F92">
            <w:pPr>
              <w:autoSpaceDE w:val="0"/>
              <w:autoSpaceDN w:val="0"/>
              <w:adjustRightInd w:val="0"/>
              <w:ind w:left="60" w:right="60" w:firstLine="38"/>
              <w:jc w:val="center"/>
              <w:rPr>
                <w:sz w:val="18"/>
                <w:szCs w:val="18"/>
              </w:rPr>
            </w:pPr>
            <w:r w:rsidRPr="00207A79">
              <w:rPr>
                <w:sz w:val="18"/>
                <w:szCs w:val="18"/>
              </w:rPr>
              <w:t>-2.084</w:t>
            </w:r>
          </w:p>
        </w:tc>
        <w:tc>
          <w:tcPr>
            <w:tcW w:w="1102" w:type="dxa"/>
            <w:shd w:val="clear" w:color="auto" w:fill="FFFFFF"/>
          </w:tcPr>
          <w:p w14:paraId="7DBB21FD" w14:textId="77777777" w:rsidR="006C07D5" w:rsidRPr="00207A79" w:rsidRDefault="006C07D5" w:rsidP="00CE3F92">
            <w:pPr>
              <w:autoSpaceDE w:val="0"/>
              <w:autoSpaceDN w:val="0"/>
              <w:adjustRightInd w:val="0"/>
              <w:ind w:left="60" w:right="60" w:firstLine="27"/>
              <w:jc w:val="center"/>
              <w:rPr>
                <w:sz w:val="18"/>
                <w:szCs w:val="18"/>
              </w:rPr>
            </w:pPr>
            <w:r w:rsidRPr="00207A79">
              <w:rPr>
                <w:sz w:val="18"/>
                <w:szCs w:val="18"/>
              </w:rPr>
              <w:t>2.833</w:t>
            </w:r>
          </w:p>
        </w:tc>
        <w:tc>
          <w:tcPr>
            <w:tcW w:w="1025" w:type="dxa"/>
            <w:shd w:val="clear" w:color="auto" w:fill="FFFFFF"/>
          </w:tcPr>
          <w:p w14:paraId="0F13D642" w14:textId="77777777" w:rsidR="006C07D5" w:rsidRPr="00207A79" w:rsidRDefault="006C07D5" w:rsidP="00CE3F92">
            <w:pPr>
              <w:autoSpaceDE w:val="0"/>
              <w:autoSpaceDN w:val="0"/>
              <w:adjustRightInd w:val="0"/>
              <w:ind w:left="60" w:right="60" w:firstLine="59"/>
              <w:jc w:val="center"/>
              <w:rPr>
                <w:sz w:val="18"/>
                <w:szCs w:val="18"/>
              </w:rPr>
            </w:pPr>
            <w:r w:rsidRPr="00207A79">
              <w:rPr>
                <w:sz w:val="18"/>
                <w:szCs w:val="18"/>
              </w:rPr>
              <w:t>.020</w:t>
            </w:r>
          </w:p>
        </w:tc>
        <w:tc>
          <w:tcPr>
            <w:tcW w:w="1438" w:type="dxa"/>
            <w:shd w:val="clear" w:color="auto" w:fill="FFFFFF"/>
          </w:tcPr>
          <w:p w14:paraId="070F5275" w14:textId="77777777" w:rsidR="006C07D5" w:rsidRPr="00207A79" w:rsidRDefault="006C07D5" w:rsidP="00CE3F92">
            <w:pPr>
              <w:autoSpaceDE w:val="0"/>
              <w:autoSpaceDN w:val="0"/>
              <w:adjustRightInd w:val="0"/>
              <w:ind w:left="60" w:right="60" w:firstLine="26"/>
              <w:jc w:val="center"/>
              <w:rPr>
                <w:sz w:val="18"/>
                <w:szCs w:val="18"/>
              </w:rPr>
            </w:pPr>
            <w:r w:rsidRPr="00207A79">
              <w:rPr>
                <w:sz w:val="18"/>
                <w:szCs w:val="18"/>
              </w:rPr>
              <w:t>1.092</w:t>
            </w:r>
          </w:p>
        </w:tc>
        <w:tc>
          <w:tcPr>
            <w:tcW w:w="1025" w:type="dxa"/>
            <w:shd w:val="clear" w:color="auto" w:fill="FFFFFF"/>
          </w:tcPr>
          <w:p w14:paraId="71DB19FC" w14:textId="77777777" w:rsidR="006C07D5" w:rsidRPr="00207A79" w:rsidRDefault="006C07D5" w:rsidP="00F65890">
            <w:pPr>
              <w:autoSpaceDE w:val="0"/>
              <w:autoSpaceDN w:val="0"/>
              <w:adjustRightInd w:val="0"/>
              <w:ind w:left="60" w:right="60"/>
              <w:jc w:val="center"/>
              <w:rPr>
                <w:sz w:val="18"/>
                <w:szCs w:val="18"/>
              </w:rPr>
            </w:pPr>
            <w:r w:rsidRPr="00207A79">
              <w:rPr>
                <w:sz w:val="18"/>
                <w:szCs w:val="18"/>
              </w:rPr>
              <w:t>27</w:t>
            </w:r>
          </w:p>
        </w:tc>
      </w:tr>
      <w:tr w:rsidR="006C07D5" w:rsidRPr="00207A79" w14:paraId="7B76FE5C" w14:textId="77777777" w:rsidTr="00F65890">
        <w:trPr>
          <w:cantSplit/>
          <w:jc w:val="center"/>
        </w:trPr>
        <w:tc>
          <w:tcPr>
            <w:tcW w:w="2447" w:type="dxa"/>
            <w:shd w:val="clear" w:color="auto" w:fill="E0E0E0"/>
          </w:tcPr>
          <w:p w14:paraId="4EEBFED4" w14:textId="77777777" w:rsidR="006C07D5" w:rsidRPr="00207A79" w:rsidRDefault="006C07D5" w:rsidP="00F65890">
            <w:pPr>
              <w:autoSpaceDE w:val="0"/>
              <w:autoSpaceDN w:val="0"/>
              <w:adjustRightInd w:val="0"/>
              <w:ind w:left="60" w:right="60"/>
              <w:rPr>
                <w:sz w:val="18"/>
                <w:szCs w:val="18"/>
              </w:rPr>
            </w:pPr>
            <w:r w:rsidRPr="00207A79">
              <w:rPr>
                <w:sz w:val="18"/>
                <w:szCs w:val="18"/>
              </w:rPr>
              <w:t>Mahal. Distance</w:t>
            </w:r>
          </w:p>
        </w:tc>
        <w:tc>
          <w:tcPr>
            <w:tcW w:w="1147" w:type="dxa"/>
            <w:shd w:val="clear" w:color="auto" w:fill="FFFFFF"/>
          </w:tcPr>
          <w:p w14:paraId="4E9BF796" w14:textId="77777777" w:rsidR="006C07D5" w:rsidRPr="00207A79" w:rsidRDefault="006C07D5" w:rsidP="00CE3F92">
            <w:pPr>
              <w:autoSpaceDE w:val="0"/>
              <w:autoSpaceDN w:val="0"/>
              <w:adjustRightInd w:val="0"/>
              <w:ind w:left="60" w:right="60" w:firstLine="38"/>
              <w:jc w:val="center"/>
              <w:rPr>
                <w:sz w:val="18"/>
                <w:szCs w:val="18"/>
              </w:rPr>
            </w:pPr>
            <w:r w:rsidRPr="00207A79">
              <w:rPr>
                <w:sz w:val="18"/>
                <w:szCs w:val="18"/>
              </w:rPr>
              <w:t>.283</w:t>
            </w:r>
          </w:p>
        </w:tc>
        <w:tc>
          <w:tcPr>
            <w:tcW w:w="1102" w:type="dxa"/>
            <w:shd w:val="clear" w:color="auto" w:fill="FFFFFF"/>
          </w:tcPr>
          <w:p w14:paraId="507616E6" w14:textId="77777777" w:rsidR="006C07D5" w:rsidRPr="00207A79" w:rsidRDefault="006C07D5" w:rsidP="00CE3F92">
            <w:pPr>
              <w:autoSpaceDE w:val="0"/>
              <w:autoSpaceDN w:val="0"/>
              <w:adjustRightInd w:val="0"/>
              <w:ind w:left="60" w:right="60" w:firstLine="27"/>
              <w:jc w:val="center"/>
              <w:rPr>
                <w:sz w:val="18"/>
                <w:szCs w:val="18"/>
              </w:rPr>
            </w:pPr>
            <w:r w:rsidRPr="00207A79">
              <w:rPr>
                <w:sz w:val="18"/>
                <w:szCs w:val="18"/>
              </w:rPr>
              <w:t>14.877</w:t>
            </w:r>
          </w:p>
        </w:tc>
        <w:tc>
          <w:tcPr>
            <w:tcW w:w="1025" w:type="dxa"/>
            <w:shd w:val="clear" w:color="auto" w:fill="FFFFFF"/>
          </w:tcPr>
          <w:p w14:paraId="5D59547D" w14:textId="77777777" w:rsidR="006C07D5" w:rsidRPr="00207A79" w:rsidRDefault="006C07D5" w:rsidP="00CE3F92">
            <w:pPr>
              <w:autoSpaceDE w:val="0"/>
              <w:autoSpaceDN w:val="0"/>
              <w:adjustRightInd w:val="0"/>
              <w:ind w:left="60" w:right="60" w:firstLine="59"/>
              <w:jc w:val="center"/>
              <w:rPr>
                <w:sz w:val="18"/>
                <w:szCs w:val="18"/>
              </w:rPr>
            </w:pPr>
            <w:r w:rsidRPr="00207A79">
              <w:rPr>
                <w:sz w:val="18"/>
                <w:szCs w:val="18"/>
              </w:rPr>
              <w:t>1.926</w:t>
            </w:r>
          </w:p>
        </w:tc>
        <w:tc>
          <w:tcPr>
            <w:tcW w:w="1438" w:type="dxa"/>
            <w:shd w:val="clear" w:color="auto" w:fill="FFFFFF"/>
          </w:tcPr>
          <w:p w14:paraId="470B1E92" w14:textId="77777777" w:rsidR="006C07D5" w:rsidRPr="00207A79" w:rsidRDefault="006C07D5" w:rsidP="00CE3F92">
            <w:pPr>
              <w:autoSpaceDE w:val="0"/>
              <w:autoSpaceDN w:val="0"/>
              <w:adjustRightInd w:val="0"/>
              <w:ind w:left="60" w:right="60" w:firstLine="26"/>
              <w:jc w:val="center"/>
              <w:rPr>
                <w:sz w:val="18"/>
                <w:szCs w:val="18"/>
              </w:rPr>
            </w:pPr>
            <w:r w:rsidRPr="00207A79">
              <w:rPr>
                <w:sz w:val="18"/>
                <w:szCs w:val="18"/>
              </w:rPr>
              <w:t>2.989</w:t>
            </w:r>
          </w:p>
        </w:tc>
        <w:tc>
          <w:tcPr>
            <w:tcW w:w="1025" w:type="dxa"/>
            <w:shd w:val="clear" w:color="auto" w:fill="FFFFFF"/>
          </w:tcPr>
          <w:p w14:paraId="10A094BE" w14:textId="77777777" w:rsidR="006C07D5" w:rsidRPr="00207A79" w:rsidRDefault="006C07D5" w:rsidP="00F65890">
            <w:pPr>
              <w:autoSpaceDE w:val="0"/>
              <w:autoSpaceDN w:val="0"/>
              <w:adjustRightInd w:val="0"/>
              <w:ind w:left="60" w:right="60"/>
              <w:jc w:val="center"/>
              <w:rPr>
                <w:sz w:val="18"/>
                <w:szCs w:val="18"/>
              </w:rPr>
            </w:pPr>
            <w:r w:rsidRPr="00207A79">
              <w:rPr>
                <w:sz w:val="18"/>
                <w:szCs w:val="18"/>
              </w:rPr>
              <w:t>27</w:t>
            </w:r>
          </w:p>
        </w:tc>
      </w:tr>
      <w:tr w:rsidR="006C07D5" w:rsidRPr="00207A79" w14:paraId="75A3A195" w14:textId="77777777" w:rsidTr="00F65890">
        <w:trPr>
          <w:cantSplit/>
          <w:jc w:val="center"/>
        </w:trPr>
        <w:tc>
          <w:tcPr>
            <w:tcW w:w="2447" w:type="dxa"/>
            <w:shd w:val="clear" w:color="auto" w:fill="E0E0E0"/>
          </w:tcPr>
          <w:p w14:paraId="1F08F840" w14:textId="77777777" w:rsidR="006C07D5" w:rsidRPr="00207A79" w:rsidRDefault="006C07D5" w:rsidP="00F65890">
            <w:pPr>
              <w:autoSpaceDE w:val="0"/>
              <w:autoSpaceDN w:val="0"/>
              <w:adjustRightInd w:val="0"/>
              <w:ind w:left="60" w:right="60"/>
              <w:rPr>
                <w:sz w:val="18"/>
                <w:szCs w:val="18"/>
              </w:rPr>
            </w:pPr>
            <w:r w:rsidRPr="00207A79">
              <w:rPr>
                <w:sz w:val="18"/>
                <w:szCs w:val="18"/>
              </w:rPr>
              <w:t>Cook's Distance</w:t>
            </w:r>
          </w:p>
        </w:tc>
        <w:tc>
          <w:tcPr>
            <w:tcW w:w="1147" w:type="dxa"/>
            <w:shd w:val="clear" w:color="auto" w:fill="FFFFFF"/>
          </w:tcPr>
          <w:p w14:paraId="36286739" w14:textId="77777777" w:rsidR="006C07D5" w:rsidRPr="00207A79" w:rsidRDefault="006C07D5" w:rsidP="00CE3F92">
            <w:pPr>
              <w:autoSpaceDE w:val="0"/>
              <w:autoSpaceDN w:val="0"/>
              <w:adjustRightInd w:val="0"/>
              <w:ind w:left="60" w:right="60" w:firstLine="38"/>
              <w:jc w:val="center"/>
              <w:rPr>
                <w:sz w:val="18"/>
                <w:szCs w:val="18"/>
              </w:rPr>
            </w:pPr>
            <w:r w:rsidRPr="00207A79">
              <w:rPr>
                <w:sz w:val="18"/>
                <w:szCs w:val="18"/>
              </w:rPr>
              <w:t>.000</w:t>
            </w:r>
          </w:p>
        </w:tc>
        <w:tc>
          <w:tcPr>
            <w:tcW w:w="1102" w:type="dxa"/>
            <w:shd w:val="clear" w:color="auto" w:fill="FFFFFF"/>
          </w:tcPr>
          <w:p w14:paraId="470CC37C" w14:textId="77777777" w:rsidR="006C07D5" w:rsidRPr="00207A79" w:rsidRDefault="006C07D5" w:rsidP="00CE3F92">
            <w:pPr>
              <w:autoSpaceDE w:val="0"/>
              <w:autoSpaceDN w:val="0"/>
              <w:adjustRightInd w:val="0"/>
              <w:ind w:left="60" w:right="60" w:firstLine="27"/>
              <w:jc w:val="center"/>
              <w:rPr>
                <w:sz w:val="18"/>
                <w:szCs w:val="18"/>
              </w:rPr>
            </w:pPr>
            <w:r w:rsidRPr="00207A79">
              <w:rPr>
                <w:sz w:val="18"/>
                <w:szCs w:val="18"/>
              </w:rPr>
              <w:t>.284</w:t>
            </w:r>
          </w:p>
        </w:tc>
        <w:tc>
          <w:tcPr>
            <w:tcW w:w="1025" w:type="dxa"/>
            <w:shd w:val="clear" w:color="auto" w:fill="FFFFFF"/>
          </w:tcPr>
          <w:p w14:paraId="4FB4345A" w14:textId="77777777" w:rsidR="006C07D5" w:rsidRPr="00207A79" w:rsidRDefault="006C07D5" w:rsidP="00CE3F92">
            <w:pPr>
              <w:autoSpaceDE w:val="0"/>
              <w:autoSpaceDN w:val="0"/>
              <w:adjustRightInd w:val="0"/>
              <w:ind w:left="60" w:right="60" w:firstLine="59"/>
              <w:jc w:val="center"/>
              <w:rPr>
                <w:sz w:val="18"/>
                <w:szCs w:val="18"/>
              </w:rPr>
            </w:pPr>
            <w:r w:rsidRPr="00207A79">
              <w:rPr>
                <w:sz w:val="18"/>
                <w:szCs w:val="18"/>
              </w:rPr>
              <w:t>.057</w:t>
            </w:r>
          </w:p>
        </w:tc>
        <w:tc>
          <w:tcPr>
            <w:tcW w:w="1438" w:type="dxa"/>
            <w:shd w:val="clear" w:color="auto" w:fill="FFFFFF"/>
          </w:tcPr>
          <w:p w14:paraId="4F494566" w14:textId="77777777" w:rsidR="006C07D5" w:rsidRPr="00207A79" w:rsidRDefault="006C07D5" w:rsidP="00CE3F92">
            <w:pPr>
              <w:autoSpaceDE w:val="0"/>
              <w:autoSpaceDN w:val="0"/>
              <w:adjustRightInd w:val="0"/>
              <w:ind w:left="60" w:right="60" w:firstLine="26"/>
              <w:jc w:val="center"/>
              <w:rPr>
                <w:sz w:val="18"/>
                <w:szCs w:val="18"/>
              </w:rPr>
            </w:pPr>
            <w:r w:rsidRPr="00207A79">
              <w:rPr>
                <w:sz w:val="18"/>
                <w:szCs w:val="18"/>
              </w:rPr>
              <w:t>.089</w:t>
            </w:r>
          </w:p>
        </w:tc>
        <w:tc>
          <w:tcPr>
            <w:tcW w:w="1025" w:type="dxa"/>
            <w:shd w:val="clear" w:color="auto" w:fill="FFFFFF"/>
          </w:tcPr>
          <w:p w14:paraId="48F838B0" w14:textId="77777777" w:rsidR="006C07D5" w:rsidRPr="00207A79" w:rsidRDefault="006C07D5" w:rsidP="00F65890">
            <w:pPr>
              <w:autoSpaceDE w:val="0"/>
              <w:autoSpaceDN w:val="0"/>
              <w:adjustRightInd w:val="0"/>
              <w:ind w:left="60" w:right="60"/>
              <w:jc w:val="center"/>
              <w:rPr>
                <w:sz w:val="18"/>
                <w:szCs w:val="18"/>
              </w:rPr>
            </w:pPr>
            <w:r w:rsidRPr="00207A79">
              <w:rPr>
                <w:sz w:val="18"/>
                <w:szCs w:val="18"/>
              </w:rPr>
              <w:t>27</w:t>
            </w:r>
          </w:p>
        </w:tc>
      </w:tr>
      <w:tr w:rsidR="006C07D5" w:rsidRPr="00207A79" w14:paraId="17F8C06C" w14:textId="77777777" w:rsidTr="00F65890">
        <w:trPr>
          <w:cantSplit/>
          <w:jc w:val="center"/>
        </w:trPr>
        <w:tc>
          <w:tcPr>
            <w:tcW w:w="2447" w:type="dxa"/>
            <w:shd w:val="clear" w:color="auto" w:fill="E0E0E0"/>
          </w:tcPr>
          <w:p w14:paraId="217AD5AE" w14:textId="77777777" w:rsidR="006C07D5" w:rsidRPr="00207A79" w:rsidRDefault="006C07D5" w:rsidP="00F65890">
            <w:pPr>
              <w:autoSpaceDE w:val="0"/>
              <w:autoSpaceDN w:val="0"/>
              <w:adjustRightInd w:val="0"/>
              <w:ind w:left="60" w:right="60"/>
              <w:rPr>
                <w:sz w:val="18"/>
                <w:szCs w:val="18"/>
              </w:rPr>
            </w:pPr>
            <w:r w:rsidRPr="00207A79">
              <w:rPr>
                <w:sz w:val="18"/>
                <w:szCs w:val="18"/>
              </w:rPr>
              <w:t>Centered Leverage Value</w:t>
            </w:r>
          </w:p>
        </w:tc>
        <w:tc>
          <w:tcPr>
            <w:tcW w:w="1147" w:type="dxa"/>
            <w:shd w:val="clear" w:color="auto" w:fill="FFFFFF"/>
          </w:tcPr>
          <w:p w14:paraId="00643421" w14:textId="77777777" w:rsidR="006C07D5" w:rsidRPr="00207A79" w:rsidRDefault="006C07D5" w:rsidP="00CE3F92">
            <w:pPr>
              <w:autoSpaceDE w:val="0"/>
              <w:autoSpaceDN w:val="0"/>
              <w:adjustRightInd w:val="0"/>
              <w:ind w:left="60" w:right="60" w:firstLine="38"/>
              <w:jc w:val="center"/>
              <w:rPr>
                <w:sz w:val="18"/>
                <w:szCs w:val="18"/>
              </w:rPr>
            </w:pPr>
            <w:r w:rsidRPr="00207A79">
              <w:rPr>
                <w:sz w:val="18"/>
                <w:szCs w:val="18"/>
              </w:rPr>
              <w:t>.011</w:t>
            </w:r>
          </w:p>
        </w:tc>
        <w:tc>
          <w:tcPr>
            <w:tcW w:w="1102" w:type="dxa"/>
            <w:shd w:val="clear" w:color="auto" w:fill="FFFFFF"/>
          </w:tcPr>
          <w:p w14:paraId="1F308725" w14:textId="77777777" w:rsidR="006C07D5" w:rsidRPr="00207A79" w:rsidRDefault="006C07D5" w:rsidP="00CE3F92">
            <w:pPr>
              <w:autoSpaceDE w:val="0"/>
              <w:autoSpaceDN w:val="0"/>
              <w:adjustRightInd w:val="0"/>
              <w:ind w:left="60" w:right="60" w:firstLine="27"/>
              <w:jc w:val="center"/>
              <w:rPr>
                <w:sz w:val="18"/>
                <w:szCs w:val="18"/>
              </w:rPr>
            </w:pPr>
            <w:r w:rsidRPr="00207A79">
              <w:rPr>
                <w:sz w:val="18"/>
                <w:szCs w:val="18"/>
              </w:rPr>
              <w:t>.572</w:t>
            </w:r>
          </w:p>
        </w:tc>
        <w:tc>
          <w:tcPr>
            <w:tcW w:w="1025" w:type="dxa"/>
            <w:shd w:val="clear" w:color="auto" w:fill="FFFFFF"/>
          </w:tcPr>
          <w:p w14:paraId="23BD4FEA" w14:textId="77777777" w:rsidR="006C07D5" w:rsidRPr="00207A79" w:rsidRDefault="006C07D5" w:rsidP="00CE3F92">
            <w:pPr>
              <w:autoSpaceDE w:val="0"/>
              <w:autoSpaceDN w:val="0"/>
              <w:adjustRightInd w:val="0"/>
              <w:ind w:left="60" w:right="60" w:firstLine="59"/>
              <w:jc w:val="center"/>
              <w:rPr>
                <w:sz w:val="18"/>
                <w:szCs w:val="18"/>
              </w:rPr>
            </w:pPr>
            <w:r w:rsidRPr="00207A79">
              <w:rPr>
                <w:sz w:val="18"/>
                <w:szCs w:val="18"/>
              </w:rPr>
              <w:t>.074</w:t>
            </w:r>
          </w:p>
        </w:tc>
        <w:tc>
          <w:tcPr>
            <w:tcW w:w="1438" w:type="dxa"/>
            <w:shd w:val="clear" w:color="auto" w:fill="FFFFFF"/>
          </w:tcPr>
          <w:p w14:paraId="30AF9216" w14:textId="77777777" w:rsidR="006C07D5" w:rsidRPr="00207A79" w:rsidRDefault="006C07D5" w:rsidP="00CE3F92">
            <w:pPr>
              <w:autoSpaceDE w:val="0"/>
              <w:autoSpaceDN w:val="0"/>
              <w:adjustRightInd w:val="0"/>
              <w:ind w:left="60" w:right="60" w:firstLine="26"/>
              <w:jc w:val="center"/>
              <w:rPr>
                <w:sz w:val="18"/>
                <w:szCs w:val="18"/>
              </w:rPr>
            </w:pPr>
            <w:r w:rsidRPr="00207A79">
              <w:rPr>
                <w:sz w:val="18"/>
                <w:szCs w:val="18"/>
              </w:rPr>
              <w:t>.115</w:t>
            </w:r>
          </w:p>
        </w:tc>
        <w:tc>
          <w:tcPr>
            <w:tcW w:w="1025" w:type="dxa"/>
            <w:shd w:val="clear" w:color="auto" w:fill="FFFFFF"/>
          </w:tcPr>
          <w:p w14:paraId="5A8413CF" w14:textId="77777777" w:rsidR="006C07D5" w:rsidRPr="00207A79" w:rsidRDefault="006C07D5" w:rsidP="00F65890">
            <w:pPr>
              <w:autoSpaceDE w:val="0"/>
              <w:autoSpaceDN w:val="0"/>
              <w:adjustRightInd w:val="0"/>
              <w:ind w:left="60" w:right="60"/>
              <w:jc w:val="center"/>
              <w:rPr>
                <w:sz w:val="18"/>
                <w:szCs w:val="18"/>
              </w:rPr>
            </w:pPr>
            <w:r w:rsidRPr="00207A79">
              <w:rPr>
                <w:sz w:val="18"/>
                <w:szCs w:val="18"/>
              </w:rPr>
              <w:t>27</w:t>
            </w:r>
          </w:p>
        </w:tc>
      </w:tr>
      <w:tr w:rsidR="006C07D5" w:rsidRPr="00207A79" w14:paraId="773266EC" w14:textId="77777777" w:rsidTr="00F65890">
        <w:trPr>
          <w:cantSplit/>
          <w:jc w:val="center"/>
        </w:trPr>
        <w:tc>
          <w:tcPr>
            <w:tcW w:w="8184" w:type="dxa"/>
            <w:gridSpan w:val="6"/>
            <w:shd w:val="clear" w:color="auto" w:fill="FFFFFF"/>
          </w:tcPr>
          <w:p w14:paraId="3CFAA901" w14:textId="5DE5ACC0" w:rsidR="006C07D5" w:rsidRPr="00207A79" w:rsidRDefault="006C07D5" w:rsidP="00F65890">
            <w:pPr>
              <w:autoSpaceDE w:val="0"/>
              <w:autoSpaceDN w:val="0"/>
              <w:adjustRightInd w:val="0"/>
              <w:ind w:left="60" w:right="60"/>
              <w:rPr>
                <w:sz w:val="18"/>
                <w:szCs w:val="18"/>
              </w:rPr>
            </w:pPr>
            <w:r w:rsidRPr="00207A79">
              <w:rPr>
                <w:sz w:val="18"/>
                <w:szCs w:val="18"/>
              </w:rPr>
              <w:t xml:space="preserve">a. Dependent Variable: </w:t>
            </w:r>
            <w:r w:rsidR="00CE3F92" w:rsidRPr="00207A79">
              <w:rPr>
                <w:sz w:val="18"/>
                <w:szCs w:val="18"/>
              </w:rPr>
              <w:t>Excise duties</w:t>
            </w:r>
          </w:p>
        </w:tc>
      </w:tr>
    </w:tbl>
    <w:p w14:paraId="7E499781" w14:textId="77777777" w:rsidR="00CE3F92" w:rsidRPr="00207A79" w:rsidRDefault="00CE3F92" w:rsidP="00CE3F92">
      <w:pPr>
        <w:autoSpaceDE w:val="0"/>
        <w:autoSpaceDN w:val="0"/>
        <w:adjustRightInd w:val="0"/>
        <w:jc w:val="center"/>
        <w:rPr>
          <w:sz w:val="20"/>
        </w:rPr>
      </w:pPr>
      <w:r w:rsidRPr="00207A79">
        <w:rPr>
          <w:sz w:val="20"/>
        </w:rPr>
        <w:t>Source: own elaboration in SPSS</w:t>
      </w:r>
    </w:p>
    <w:p w14:paraId="0F3CEA44" w14:textId="77777777" w:rsidR="006C07D5" w:rsidRPr="00207A79" w:rsidRDefault="006C07D5" w:rsidP="006C07D5">
      <w:pPr>
        <w:autoSpaceDE w:val="0"/>
        <w:autoSpaceDN w:val="0"/>
        <w:adjustRightInd w:val="0"/>
        <w:jc w:val="center"/>
        <w:rPr>
          <w:sz w:val="20"/>
        </w:rPr>
      </w:pPr>
    </w:p>
    <w:p w14:paraId="2EF3EA27" w14:textId="76C020D9" w:rsidR="006C07D5" w:rsidRPr="00207A79" w:rsidRDefault="006C07D5" w:rsidP="006C07D5">
      <w:pPr>
        <w:ind w:firstLine="567"/>
        <w:contextualSpacing/>
        <w:rPr>
          <w:b/>
          <w:iCs/>
        </w:rPr>
      </w:pPr>
      <w:r w:rsidRPr="00207A79">
        <w:rPr>
          <w:iCs/>
        </w:rPr>
        <w:t xml:space="preserve">Tabelul </w:t>
      </w:r>
      <w:r w:rsidR="00CE3F92" w:rsidRPr="00207A79">
        <w:rPr>
          <w:iCs/>
        </w:rPr>
        <w:t>nr. 7</w:t>
      </w:r>
      <w:r w:rsidRPr="00207A79">
        <w:rPr>
          <w:iCs/>
        </w:rPr>
        <w:t xml:space="preserve"> oferă o perspectivă ce sintetizată predicțiile și valorile reziduurilor regresiei. Așadar, conform tabelului valoarea cea mai mică a rezidului este </w:t>
      </w:r>
      <w:r w:rsidRPr="00207A79">
        <w:rPr>
          <w:b/>
          <w:iCs/>
        </w:rPr>
        <w:t>-18.78786</w:t>
      </w:r>
      <w:r w:rsidRPr="00207A79">
        <w:rPr>
          <w:iCs/>
        </w:rPr>
        <w:t xml:space="preserve">, iar valoarea cea mai mare este </w:t>
      </w:r>
      <w:r w:rsidRPr="00207A79">
        <w:rPr>
          <w:b/>
          <w:iCs/>
        </w:rPr>
        <w:t>24.92555</w:t>
      </w:r>
      <w:r w:rsidRPr="00207A79">
        <w:rPr>
          <w:iCs/>
        </w:rPr>
        <w:t xml:space="preserve">. </w:t>
      </w:r>
    </w:p>
    <w:p w14:paraId="5E6A9D87" w14:textId="3366287E" w:rsidR="006C07D5" w:rsidRPr="00207A79" w:rsidRDefault="006C07D5" w:rsidP="006C07D5">
      <w:pPr>
        <w:autoSpaceDE w:val="0"/>
        <w:autoSpaceDN w:val="0"/>
        <w:adjustRightInd w:val="0"/>
        <w:ind w:firstLine="567"/>
      </w:pPr>
      <w:r w:rsidRPr="00207A79">
        <w:t xml:space="preserve">Dacă analizăm histograma redată prin figura </w:t>
      </w:r>
      <w:r w:rsidR="00CE3F92" w:rsidRPr="00207A79">
        <w:t xml:space="preserve">nr. </w:t>
      </w:r>
      <w:r w:rsidRPr="00207A79">
        <w:t>3 constatăm că aceasta are o formă asimetrică cuprinsă între -2 și 3. Conform teoriei, histograma ar fi trebuit să urmeze forma curbei normale care să evidențieze valorile residuale.</w:t>
      </w:r>
    </w:p>
    <w:p w14:paraId="3B2A2932" w14:textId="77777777" w:rsidR="006C07D5" w:rsidRPr="00207A79" w:rsidRDefault="006C07D5" w:rsidP="006C07D5">
      <w:pPr>
        <w:autoSpaceDE w:val="0"/>
        <w:autoSpaceDN w:val="0"/>
        <w:adjustRightInd w:val="0"/>
        <w:jc w:val="center"/>
      </w:pPr>
      <w:r w:rsidRPr="00207A79">
        <w:rPr>
          <w:noProof/>
        </w:rPr>
        <w:drawing>
          <wp:inline distT="0" distB="0" distL="0" distR="0" wp14:anchorId="06C09277" wp14:editId="24BF81ED">
            <wp:extent cx="3943350" cy="2319246"/>
            <wp:effectExtent l="19050" t="19050" r="19050" b="241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3350" cy="2319246"/>
                    </a:xfrm>
                    <a:prstGeom prst="rect">
                      <a:avLst/>
                    </a:prstGeom>
                    <a:noFill/>
                    <a:ln>
                      <a:solidFill>
                        <a:schemeClr val="tx1"/>
                      </a:solidFill>
                    </a:ln>
                  </pic:spPr>
                </pic:pic>
              </a:graphicData>
            </a:graphic>
          </wp:inline>
        </w:drawing>
      </w:r>
    </w:p>
    <w:p w14:paraId="5B7B453E" w14:textId="4EE88419" w:rsidR="006C07D5" w:rsidRPr="00207A79" w:rsidRDefault="006C07D5" w:rsidP="00050375">
      <w:pPr>
        <w:pStyle w:val="Heading2"/>
        <w:numPr>
          <w:ilvl w:val="0"/>
          <w:numId w:val="0"/>
        </w:numPr>
        <w:spacing w:before="0"/>
        <w:jc w:val="center"/>
        <w:rPr>
          <w:rFonts w:cs="Times New Roman"/>
          <w:szCs w:val="24"/>
        </w:rPr>
      </w:pPr>
      <w:bookmarkStart w:id="7" w:name="_Toc169940457"/>
      <w:r w:rsidRPr="00207A79">
        <w:t>Figu</w:t>
      </w:r>
      <w:r w:rsidR="00050375" w:rsidRPr="00207A79">
        <w:t>re</w:t>
      </w:r>
      <w:r w:rsidRPr="00207A79">
        <w:t xml:space="preserve"> </w:t>
      </w:r>
      <w:r w:rsidR="00050375" w:rsidRPr="00207A79">
        <w:t>no</w:t>
      </w:r>
      <w:r w:rsidRPr="00207A79">
        <w:t>.</w:t>
      </w:r>
      <w:r w:rsidR="00050375" w:rsidRPr="00207A79">
        <w:t xml:space="preserve"> </w:t>
      </w:r>
      <w:r w:rsidRPr="00207A79">
        <w:t>3</w:t>
      </w:r>
      <w:r w:rsidR="00050375" w:rsidRPr="00207A79">
        <w:t>.</w:t>
      </w:r>
      <w:r w:rsidRPr="00207A79">
        <w:t xml:space="preserve"> Histograma</w:t>
      </w:r>
      <w:bookmarkEnd w:id="7"/>
    </w:p>
    <w:p w14:paraId="684637B5" w14:textId="77777777" w:rsidR="00CE3F92" w:rsidRPr="00207A79" w:rsidRDefault="00CE3F92" w:rsidP="00050375">
      <w:pPr>
        <w:autoSpaceDE w:val="0"/>
        <w:autoSpaceDN w:val="0"/>
        <w:adjustRightInd w:val="0"/>
        <w:ind w:firstLine="0"/>
        <w:jc w:val="center"/>
        <w:rPr>
          <w:sz w:val="20"/>
        </w:rPr>
      </w:pPr>
      <w:r w:rsidRPr="00207A79">
        <w:rPr>
          <w:sz w:val="20"/>
        </w:rPr>
        <w:t>Source: own elaboration in SPSS</w:t>
      </w:r>
    </w:p>
    <w:p w14:paraId="16B20B8B" w14:textId="77777777" w:rsidR="00050375" w:rsidRPr="00207A79" w:rsidRDefault="00050375" w:rsidP="00050375">
      <w:pPr>
        <w:autoSpaceDE w:val="0"/>
        <w:autoSpaceDN w:val="0"/>
        <w:adjustRightInd w:val="0"/>
        <w:ind w:firstLine="0"/>
        <w:jc w:val="center"/>
        <w:rPr>
          <w:sz w:val="20"/>
        </w:rPr>
      </w:pPr>
    </w:p>
    <w:p w14:paraId="10A1AFA3" w14:textId="1283F6E2" w:rsidR="006C07D5" w:rsidRPr="00207A79" w:rsidRDefault="006C07D5" w:rsidP="00050375">
      <w:pPr>
        <w:autoSpaceDE w:val="0"/>
        <w:autoSpaceDN w:val="0"/>
        <w:adjustRightInd w:val="0"/>
        <w:ind w:firstLine="708"/>
      </w:pPr>
      <w:r w:rsidRPr="00207A79">
        <w:t xml:space="preserve">Graficul probabilității normale este prezentat în figura </w:t>
      </w:r>
      <w:r w:rsidR="00050375" w:rsidRPr="00207A79">
        <w:t>nr. 3</w:t>
      </w:r>
      <w:r w:rsidRPr="00207A79">
        <w:t>, iar cu ajutorul acestuia se stabilește dacă setul de date folosite în determinarea modelului econometric urmărește o distribuție cât mai aproape de  valorile normale.</w:t>
      </w:r>
    </w:p>
    <w:p w14:paraId="25DBAAED" w14:textId="77777777" w:rsidR="006C07D5" w:rsidRPr="00207A79" w:rsidRDefault="006C07D5" w:rsidP="006C07D5">
      <w:pPr>
        <w:autoSpaceDE w:val="0"/>
        <w:autoSpaceDN w:val="0"/>
        <w:adjustRightInd w:val="0"/>
        <w:jc w:val="center"/>
      </w:pPr>
      <w:r w:rsidRPr="00207A79">
        <w:rPr>
          <w:noProof/>
        </w:rPr>
        <w:drawing>
          <wp:inline distT="0" distB="0" distL="0" distR="0" wp14:anchorId="61E81865" wp14:editId="1FFCB67B">
            <wp:extent cx="4340286" cy="2552700"/>
            <wp:effectExtent l="19050" t="19050" r="22225" b="19050"/>
            <wp:docPr id="1413746157" name="Picture 1413746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0286" cy="2552700"/>
                    </a:xfrm>
                    <a:prstGeom prst="rect">
                      <a:avLst/>
                    </a:prstGeom>
                    <a:noFill/>
                    <a:ln>
                      <a:solidFill>
                        <a:schemeClr val="tx1"/>
                      </a:solidFill>
                    </a:ln>
                  </pic:spPr>
                </pic:pic>
              </a:graphicData>
            </a:graphic>
          </wp:inline>
        </w:drawing>
      </w:r>
    </w:p>
    <w:p w14:paraId="77390E1A" w14:textId="5303308C" w:rsidR="006C07D5" w:rsidRPr="00207A79" w:rsidRDefault="006C07D5" w:rsidP="00050375">
      <w:pPr>
        <w:pStyle w:val="Heading2"/>
        <w:numPr>
          <w:ilvl w:val="0"/>
          <w:numId w:val="0"/>
        </w:numPr>
        <w:spacing w:before="0"/>
        <w:jc w:val="center"/>
        <w:rPr>
          <w:rFonts w:cs="Times New Roman"/>
          <w:szCs w:val="24"/>
        </w:rPr>
      </w:pPr>
      <w:bookmarkStart w:id="8" w:name="_Toc169940458"/>
      <w:r w:rsidRPr="00207A79">
        <w:t>Figur</w:t>
      </w:r>
      <w:r w:rsidR="00050375" w:rsidRPr="00207A79">
        <w:t>e</w:t>
      </w:r>
      <w:r w:rsidRPr="00207A79">
        <w:t xml:space="preserve"> </w:t>
      </w:r>
      <w:r w:rsidR="00050375" w:rsidRPr="00207A79">
        <w:t>no</w:t>
      </w:r>
      <w:r w:rsidRPr="00207A79">
        <w:t>.</w:t>
      </w:r>
      <w:r w:rsidR="00050375" w:rsidRPr="00207A79">
        <w:t xml:space="preserve"> </w:t>
      </w:r>
      <w:r w:rsidRPr="00207A79">
        <w:t>4</w:t>
      </w:r>
      <w:r w:rsidR="00050375" w:rsidRPr="00207A79">
        <w:t>.</w:t>
      </w:r>
      <w:r w:rsidRPr="00207A79">
        <w:t xml:space="preserve"> Normal P-P Plot</w:t>
      </w:r>
      <w:bookmarkEnd w:id="8"/>
    </w:p>
    <w:p w14:paraId="68D400BB" w14:textId="77777777" w:rsidR="00CE3F92" w:rsidRPr="00207A79" w:rsidRDefault="00CE3F92" w:rsidP="00050375">
      <w:pPr>
        <w:autoSpaceDE w:val="0"/>
        <w:autoSpaceDN w:val="0"/>
        <w:adjustRightInd w:val="0"/>
        <w:ind w:firstLine="0"/>
        <w:jc w:val="center"/>
        <w:rPr>
          <w:sz w:val="20"/>
        </w:rPr>
      </w:pPr>
      <w:r w:rsidRPr="00207A79">
        <w:rPr>
          <w:sz w:val="20"/>
        </w:rPr>
        <w:t>Source: own elaboration in SPSS</w:t>
      </w:r>
    </w:p>
    <w:p w14:paraId="1CDC5E56" w14:textId="77777777" w:rsidR="006C07D5" w:rsidRPr="00207A79" w:rsidRDefault="006C07D5" w:rsidP="006C07D5">
      <w:pPr>
        <w:ind w:firstLine="567"/>
        <w:jc w:val="center"/>
        <w:rPr>
          <w:sz w:val="20"/>
          <w:szCs w:val="20"/>
        </w:rPr>
      </w:pPr>
    </w:p>
    <w:p w14:paraId="4D1BCB07" w14:textId="77777777" w:rsidR="006C07D5" w:rsidRPr="00207A79" w:rsidRDefault="006C07D5" w:rsidP="006C07D5">
      <w:pPr>
        <w:ind w:firstLine="567"/>
        <w:rPr>
          <w:szCs w:val="20"/>
        </w:rPr>
      </w:pPr>
      <w:r w:rsidRPr="00207A79">
        <w:rPr>
          <w:szCs w:val="20"/>
        </w:rPr>
        <w:t>Graficul probabilității normale este o tehnică grafică pentru a evalua dacă un set de date este sau nu distribuit aproximativ normal. Datele sunt trasate în raport cu o distribuție normală teoretică, astfel încât punctele să formeze o linie dreaptă aproximativă. Abaterile de la această linie dreaptă indică abateri de la normalitate. Așadar, în cazul nostru distribuția este una favorabilă.</w:t>
      </w:r>
    </w:p>
    <w:p w14:paraId="3E48B7D1" w14:textId="77777777" w:rsidR="006C07D5" w:rsidRPr="00207A79" w:rsidRDefault="006C07D5" w:rsidP="006C07D5">
      <w:pPr>
        <w:ind w:firstLine="567"/>
        <w:rPr>
          <w:szCs w:val="20"/>
        </w:rPr>
      </w:pPr>
    </w:p>
    <w:p w14:paraId="1234810A" w14:textId="58A73DEA" w:rsidR="006C07D5" w:rsidRPr="00207A79" w:rsidRDefault="00050375" w:rsidP="00026A9A">
      <w:pPr>
        <w:pStyle w:val="ListParagraph"/>
        <w:numPr>
          <w:ilvl w:val="1"/>
          <w:numId w:val="7"/>
        </w:numPr>
        <w:tabs>
          <w:tab w:val="left" w:pos="567"/>
          <w:tab w:val="left" w:pos="709"/>
          <w:tab w:val="left" w:pos="851"/>
          <w:tab w:val="left" w:pos="1134"/>
        </w:tabs>
        <w:spacing w:line="276" w:lineRule="auto"/>
        <w:ind w:left="0" w:firstLine="709"/>
        <w:rPr>
          <w:b/>
          <w:sz w:val="20"/>
          <w:szCs w:val="20"/>
        </w:rPr>
      </w:pPr>
      <w:r w:rsidRPr="00207A79">
        <w:rPr>
          <w:b/>
          <w:lang w:val="en-US"/>
        </w:rPr>
        <w:t>ANALIZA CORELAŢIEI ACCIZE –CONSUM ÎN ROMANIA</w:t>
      </w:r>
    </w:p>
    <w:p w14:paraId="2B7F2609" w14:textId="77777777" w:rsidR="00050375" w:rsidRPr="00207A79" w:rsidRDefault="00050375" w:rsidP="00050375">
      <w:pPr>
        <w:pStyle w:val="ListParagraph"/>
        <w:tabs>
          <w:tab w:val="left" w:pos="567"/>
          <w:tab w:val="left" w:pos="709"/>
          <w:tab w:val="left" w:pos="851"/>
          <w:tab w:val="left" w:pos="1134"/>
        </w:tabs>
        <w:spacing w:line="276" w:lineRule="auto"/>
        <w:ind w:left="709" w:firstLine="0"/>
        <w:rPr>
          <w:b/>
          <w:sz w:val="20"/>
          <w:szCs w:val="20"/>
        </w:rPr>
      </w:pPr>
    </w:p>
    <w:p w14:paraId="54F2EE17" w14:textId="77777777" w:rsidR="00050375" w:rsidRPr="00207A79" w:rsidRDefault="00050375" w:rsidP="00050375">
      <w:pPr>
        <w:ind w:firstLine="567"/>
      </w:pPr>
      <w:r w:rsidRPr="00207A79">
        <w:t xml:space="preserve">Într-un context general în sustenabilitatea este un reper la care se rapotează politicile globale de ordin social, economic, politic, de mediu, se evidențiază faptul că se dorește o concordanță la nivelul mai multor aspecte ale activităților cu impact asupra cadrului social și economic, care implică și necesită constante îmbunătățiri prin aplicarea unor măsuri, una dintre aceste măsuri vizează politica de accizare a categoriilor de produse considerate dăunătoate pentru populația țării noastre corelată cu aspectele legate de consumul efectiv al acelor produse, printre care evidențiem consumul de țigări și a produselor din alcool. </w:t>
      </w:r>
      <w:bookmarkStart w:id="9" w:name="_Hlk183428787"/>
      <w:r w:rsidRPr="00207A79">
        <w:t xml:space="preserve">Această corelație scoate în atenție anume consumul ca factor de generare a unor probleme de sănătate la nivel național. </w:t>
      </w:r>
      <w:bookmarkEnd w:id="9"/>
    </w:p>
    <w:p w14:paraId="06A4C532" w14:textId="7FB880EA" w:rsidR="00050375" w:rsidRPr="00207A79" w:rsidRDefault="00050375" w:rsidP="00050375">
      <w:pPr>
        <w:ind w:firstLine="567"/>
      </w:pPr>
      <w:r w:rsidRPr="00207A79">
        <w:t>Potrivit OECD, la nivel european, alcoolul reprezintă al treilea factor de risc asociat cu îmbolnăvirile și decesurile pentru persoanele tinere, după problema fumatului și a hipertensiunii arteriale. Iar la nivelul țării noastre au fost stabiliți ca factori principalii de risc care afectează sănătatea populației la nivel național: stilul alimentar bazat pe obiceiuri nesănătoase, fumatul, consumul în exces a produselor alcoolice și nivelul redus al activităților fizice.</w:t>
      </w:r>
    </w:p>
    <w:p w14:paraId="7A2DC4A9" w14:textId="19E28AAB" w:rsidR="00050375" w:rsidRPr="00207A79" w:rsidRDefault="00050375" w:rsidP="00050375">
      <w:pPr>
        <w:ind w:firstLine="567"/>
      </w:pPr>
      <w:r w:rsidRPr="00207A79">
        <w:t>Nu este o noutate faptul că consumul de alcool are o influență negatovă majoră asupra sănătății publice în ansamblu, în condițiile în care, în medie, mai mult de o treime dintre persoanele adulte din țara noastră raportează un consum de produse alcoolice în exces, cu o frecvență de cel puțin o dată pe lună. Așadar, țara noastră ocupă a doua poziție la nivel european, prezentând o rată de 35% a consumului excesiv din punct de vedere a frecvenței acestor episoade, astfel, acest procent se situează peste media Uniunii Europene, care este de 20%</w:t>
      </w:r>
      <w:r w:rsidR="00611B9A" w:rsidRPr="00207A79">
        <w:t xml:space="preserve"> (WHO, 2012)</w:t>
      </w:r>
      <w:r w:rsidRPr="00207A79">
        <w:t>. Conform analizelor realizate de către Observatorul European pentru Sisteme și Politici de Sănătate 2019 rezultă că există diferențe substanțiale la nivelul criteriului de gen, care subliniază că consumul de alcool este vizibil mai mare în rândul bărbaților prin comparație cu cel înregistrat în raport cu categoria persoanelor de sex feminin</w:t>
      </w:r>
      <w:r w:rsidR="002235E5" w:rsidRPr="00207A79">
        <w:t xml:space="preserve"> (OECD, 2019)</w:t>
      </w:r>
      <w:r w:rsidRPr="00207A79">
        <w:t>.</w:t>
      </w:r>
    </w:p>
    <w:p w14:paraId="48DE7BC2" w14:textId="7C7DEB5F" w:rsidR="00050375" w:rsidRPr="00207A79" w:rsidRDefault="00050375" w:rsidP="00050375">
      <w:pPr>
        <w:ind w:firstLine="567"/>
      </w:pPr>
      <w:r w:rsidRPr="00207A79">
        <w:t xml:space="preserve">Așa cum prezintă și cea mai actuală analiză regăsită în raporul realizat de către </w:t>
      </w:r>
      <w:r w:rsidR="00611B9A" w:rsidRPr="00207A79">
        <w:rPr>
          <w:lang w:val="en-US"/>
        </w:rPr>
        <w:t>WHO (World Health Organization)</w:t>
      </w:r>
      <w:r w:rsidR="00611B9A" w:rsidRPr="00207A79">
        <w:t xml:space="preserve"> (WHO, 2018),</w:t>
      </w:r>
      <w:r w:rsidRPr="00207A79">
        <w:t xml:space="preserve"> în România, consumul de alcool aferent categoriei persoanelor de peste 15 ani din totalul populației este de 12,6 litri pe cap de locuitor pe an la nivelul anului 2016. Conform datelor oficiale, aproape 70% din popula</w:t>
      </w:r>
      <w:r w:rsidRPr="00207A79">
        <w:rPr>
          <w:rFonts w:hint="eastAsia"/>
        </w:rPr>
        <w:t>ț</w:t>
      </w:r>
      <w:r w:rsidRPr="00207A79">
        <w:t xml:space="preserve">ia țării noastre cu vârsta de peste 15 ani rezultă că a consumat alcool </w:t>
      </w:r>
      <w:r w:rsidRPr="00207A79">
        <w:rPr>
          <w:rFonts w:hint="eastAsia"/>
        </w:rPr>
        <w:t>î</w:t>
      </w:r>
      <w:r w:rsidRPr="00207A79">
        <w:t>n anul 2020. În ciuda faptului că evoluția nivelului consumului de produse alcoolice a fost una în scădere, de la aproape 15 litri/persoană ca și consum la nivelul anului 2010, a coborât la 12,6 litri pe cap de locuitor în anul 2016. Se constată că Rom</w:t>
      </w:r>
      <w:r w:rsidRPr="00207A79">
        <w:rPr>
          <w:rFonts w:hint="eastAsia"/>
        </w:rPr>
        <w:t>â</w:t>
      </w:r>
      <w:r w:rsidRPr="00207A79">
        <w:t>nia s-a situat, conform consumului la nivel european din perioada 2010-2016 cu peste 3% peste mediile europene. Ca urmare a acestui consum ridicat de produse alcoolice, în timp a crescut și procentul deceselor atribuite consumului excesiv de alcool, pondere care depășește și din acest punct de vedere media raportată la nivel european. Situa</w:t>
      </w:r>
      <w:r w:rsidRPr="00207A79">
        <w:rPr>
          <w:rFonts w:hint="eastAsia"/>
        </w:rPr>
        <w:t>ț</w:t>
      </w:r>
      <w:r w:rsidRPr="00207A79">
        <w:t>ia devine cu atât mai delicată și îngrijorătoare, cu cât, consumul produselor alcoolice s-a răspândit și în rândul copiilor aflați la adolescență. Astfel, la nivelul anului 2015, doi din cinci adolescenți cu vârsta cuprinsă între 15 și 16 ani susțineau c</w:t>
      </w:r>
      <w:r w:rsidRPr="00207A79">
        <w:rPr>
          <w:rFonts w:hint="eastAsia"/>
        </w:rPr>
        <w:t>ă</w:t>
      </w:r>
      <w:r w:rsidRPr="00207A79">
        <w:t xml:space="preserve"> au experimentat un episod de consum excesiv de alcool la nivelul unei luni calendaristice</w:t>
      </w:r>
      <w:r w:rsidR="002235E5" w:rsidRPr="00207A79">
        <w:t xml:space="preserve"> (WHO, 2019)</w:t>
      </w:r>
      <w:r w:rsidRPr="00207A79">
        <w:t>. Acest ultim aspect enunțat ne poziținează, de asemenea,  peste media înregistrată la nivel european.</w:t>
      </w:r>
    </w:p>
    <w:p w14:paraId="1A3E9EC4" w14:textId="6B166152" w:rsidR="00050375" w:rsidRPr="00207A79" w:rsidRDefault="00050375" w:rsidP="00050375">
      <w:pPr>
        <w:ind w:firstLine="567"/>
      </w:pPr>
      <w:r w:rsidRPr="00207A79">
        <w:t xml:space="preserve">Conform statisticilor prezentate de </w:t>
      </w:r>
      <w:r w:rsidR="00611B9A" w:rsidRPr="00207A79">
        <w:rPr>
          <w:lang w:val="en-US"/>
        </w:rPr>
        <w:t xml:space="preserve">WHO, </w:t>
      </w:r>
      <w:r w:rsidRPr="00207A79">
        <w:t>pentru anul 2016, ponderea categoriei de persoane de peste 15 ani, dependente de alcool, din totalul populației României era de 1,3%. Din punct de vedere a preferințelor la nivelul gamei de produse alcoolice, rezultă că ponderile cele mai mari ce reflectă că mai mult de jum</w:t>
      </w:r>
      <w:r w:rsidRPr="00207A79">
        <w:rPr>
          <w:rFonts w:hint="eastAsia"/>
        </w:rPr>
        <w:t>ă</w:t>
      </w:r>
      <w:r w:rsidRPr="00207A79">
        <w:t>tate (56%) dintre rom</w:t>
      </w:r>
      <w:r w:rsidRPr="00207A79">
        <w:rPr>
          <w:rFonts w:hint="eastAsia"/>
        </w:rPr>
        <w:t>â</w:t>
      </w:r>
      <w:r w:rsidRPr="00207A79">
        <w:t>ni prefer</w:t>
      </w:r>
      <w:r w:rsidRPr="00207A79">
        <w:rPr>
          <w:rFonts w:hint="eastAsia"/>
        </w:rPr>
        <w:t>ă</w:t>
      </w:r>
      <w:r w:rsidRPr="00207A79">
        <w:t xml:space="preserve"> berea, 28% vinul </w:t>
      </w:r>
      <w:r w:rsidRPr="00207A79">
        <w:rPr>
          <w:rFonts w:hint="eastAsia"/>
        </w:rPr>
        <w:t>ș</w:t>
      </w:r>
      <w:r w:rsidRPr="00207A79">
        <w:t>i 16% b</w:t>
      </w:r>
      <w:r w:rsidRPr="00207A79">
        <w:rPr>
          <w:rFonts w:hint="eastAsia"/>
        </w:rPr>
        <w:t>ă</w:t>
      </w:r>
      <w:r w:rsidRPr="00207A79">
        <w:t xml:space="preserve">uturile spirtoase. O proporție de peste 50% dintre persoanele consumatoare de alcool din țara noastră au dezvoltat un obiceiuri caracterizate de episoade frecvente în care consumă cantități excesive de alcool. O rată ce depășește substanțial media europeană (Bostan and Rusu, 2021). </w:t>
      </w:r>
    </w:p>
    <w:p w14:paraId="6F5D7E25" w14:textId="77777777" w:rsidR="00050375" w:rsidRPr="00207A79" w:rsidRDefault="00050375" w:rsidP="00050375">
      <w:pPr>
        <w:ind w:firstLine="567"/>
      </w:pPr>
      <w:r w:rsidRPr="00207A79">
        <w:t>Nivelul ratei mortalit</w:t>
      </w:r>
      <w:r w:rsidRPr="00207A79">
        <w:rPr>
          <w:rFonts w:hint="eastAsia"/>
        </w:rPr>
        <w:t>ăț</w:t>
      </w:r>
      <w:r w:rsidRPr="00207A79">
        <w:t xml:space="preserve">ii care ar fi putut fi prevenite </w:t>
      </w:r>
      <w:r w:rsidRPr="00207A79">
        <w:rPr>
          <w:rFonts w:hint="eastAsia"/>
        </w:rPr>
        <w:t>ș</w:t>
      </w:r>
      <w:r w:rsidRPr="00207A79">
        <w:t>i/sau tratate este extrem de ridicat, iar țara noastră nu se află nici din acest punct de vedere într-o situație favorabilă. Valoarea acestui indicator specifică anului 2016, indică un raport al mortalit</w:t>
      </w:r>
      <w:r w:rsidRPr="00207A79">
        <w:rPr>
          <w:rFonts w:hint="eastAsia"/>
        </w:rPr>
        <w:t>ăț</w:t>
      </w:r>
      <w:r w:rsidRPr="00207A79">
        <w:t>ii prevenibile de 310 cazuri la 100.000 de locuitori. Această statistică ne poziționeză pe poziția a patra la nivel european, semn că este nevoie să se întreprindă măsuri de eficientizare a acțiunilor de prevenție în domeniul s</w:t>
      </w:r>
      <w:r w:rsidRPr="00207A79">
        <w:rPr>
          <w:rFonts w:hint="eastAsia"/>
        </w:rPr>
        <w:t>ă</w:t>
      </w:r>
      <w:r w:rsidRPr="00207A79">
        <w:t>n</w:t>
      </w:r>
      <w:r w:rsidRPr="00207A79">
        <w:rPr>
          <w:rFonts w:hint="eastAsia"/>
        </w:rPr>
        <w:t>ă</w:t>
      </w:r>
      <w:r w:rsidRPr="00207A79">
        <w:t>tății publice. Principalele cauze ale mortalit</w:t>
      </w:r>
      <w:r w:rsidRPr="00207A79">
        <w:rPr>
          <w:rFonts w:hint="eastAsia"/>
        </w:rPr>
        <w:t>ăț</w:t>
      </w:r>
      <w:r w:rsidRPr="00207A79">
        <w:t xml:space="preserve">ii și care pot fi reduse prin întreprinderea măsurilor de prevenire se numără bolile cardiace, cancerul pulmonar, decesele </w:t>
      </w:r>
      <w:r w:rsidRPr="00207A79">
        <w:rPr>
          <w:rFonts w:hint="eastAsia"/>
        </w:rPr>
        <w:t>ș</w:t>
      </w:r>
      <w:r w:rsidRPr="00207A79">
        <w:t>i accidentele provocate ca urmare a consumului de alcool.</w:t>
      </w:r>
    </w:p>
    <w:p w14:paraId="70BD5370" w14:textId="7DDBBA16" w:rsidR="00050375" w:rsidRPr="00207A79" w:rsidRDefault="00050375" w:rsidP="00050375">
      <w:pPr>
        <w:ind w:firstLine="567"/>
      </w:pPr>
      <w:r w:rsidRPr="00207A79">
        <w:t>Astfel, la nivelul anului 2017, din bugetul de stat se alocau doar 18 euro, ca și cheltuieli cu prevenția în domeniul sănătății  la nivel național, adică doar 1,7% din cheltuielile totale pentru s</w:t>
      </w:r>
      <w:r w:rsidRPr="00207A79">
        <w:rPr>
          <w:rFonts w:hint="eastAsia"/>
        </w:rPr>
        <w:t>ă</w:t>
      </w:r>
      <w:r w:rsidRPr="00207A79">
        <w:t>n</w:t>
      </w:r>
      <w:r w:rsidRPr="00207A79">
        <w:rPr>
          <w:rFonts w:hint="eastAsia"/>
        </w:rPr>
        <w:t>ă</w:t>
      </w:r>
      <w:r w:rsidRPr="00207A79">
        <w:t xml:space="preserve">tate, procent semnificativ mai mic față de 3,1% cât se înregistra la acea vreme la nivel european. Studiile din această arie subliniază că decesele </w:t>
      </w:r>
      <w:r w:rsidRPr="00207A79">
        <w:rPr>
          <w:rFonts w:hint="eastAsia"/>
        </w:rPr>
        <w:t>ș</w:t>
      </w:r>
      <w:r w:rsidRPr="00207A79">
        <w:t>i accidentele provocate ca urmare a consumului de alcool, de exemplu, ar putea fi reduse prin măsurile de prevenție. Desigur, este dezirabilă promovarea unui comportament caracterizat de un consumul de alcool responsabil. Cu toate acestea, materializarea acestui deziderat este asociat de cele mai multe ori cu adoptarea unor m</w:t>
      </w:r>
      <w:r w:rsidRPr="00207A79">
        <w:rPr>
          <w:rFonts w:hint="eastAsia"/>
        </w:rPr>
        <w:t>ă</w:t>
      </w:r>
      <w:r w:rsidRPr="00207A79">
        <w:t xml:space="preserve">suri </w:t>
      </w:r>
      <w:r w:rsidRPr="00207A79">
        <w:rPr>
          <w:rFonts w:hint="eastAsia"/>
        </w:rPr>
        <w:t>ș</w:t>
      </w:r>
      <w:r w:rsidRPr="00207A79">
        <w:t>i politici adecvate privind cre</w:t>
      </w:r>
      <w:r w:rsidRPr="00207A79">
        <w:rPr>
          <w:rFonts w:hint="eastAsia"/>
        </w:rPr>
        <w:t>ș</w:t>
      </w:r>
      <w:r w:rsidRPr="00207A79">
        <w:t>terea responsabilit</w:t>
      </w:r>
      <w:r w:rsidRPr="00207A79">
        <w:rPr>
          <w:rFonts w:hint="eastAsia"/>
        </w:rPr>
        <w:t>ăț</w:t>
      </w:r>
      <w:r w:rsidRPr="00207A79">
        <w:t xml:space="preserve">ii </w:t>
      </w:r>
      <w:r w:rsidRPr="00207A79">
        <w:rPr>
          <w:rFonts w:hint="eastAsia"/>
        </w:rPr>
        <w:t>î</w:t>
      </w:r>
      <w:r w:rsidRPr="00207A79">
        <w:t>n consumul de b</w:t>
      </w:r>
      <w:r w:rsidRPr="00207A79">
        <w:rPr>
          <w:rFonts w:hint="eastAsia"/>
        </w:rPr>
        <w:t>ă</w:t>
      </w:r>
      <w:r w:rsidRPr="00207A79">
        <w:t>uturi alcoolice.</w:t>
      </w:r>
    </w:p>
    <w:p w14:paraId="2A36F596" w14:textId="77777777" w:rsidR="00050375" w:rsidRPr="00207A79" w:rsidRDefault="00050375" w:rsidP="00050375">
      <w:pPr>
        <w:ind w:firstLine="567"/>
      </w:pPr>
      <w:r w:rsidRPr="00207A79">
        <w:t>Consumul de alcool și a produselor fabricate din tutun raportat la amploarea problemelor de s</w:t>
      </w:r>
      <w:r w:rsidRPr="00207A79">
        <w:rPr>
          <w:rFonts w:hint="eastAsia"/>
        </w:rPr>
        <w:t>ă</w:t>
      </w:r>
      <w:r w:rsidRPr="00207A79">
        <w:t>n</w:t>
      </w:r>
      <w:r w:rsidRPr="00207A79">
        <w:rPr>
          <w:rFonts w:hint="eastAsia"/>
        </w:rPr>
        <w:t>ă</w:t>
      </w:r>
      <w:r w:rsidRPr="00207A79">
        <w:t>tate cauzate de consumul excesiv al acestor probleme sunt influen</w:t>
      </w:r>
      <w:r w:rsidRPr="00207A79">
        <w:rPr>
          <w:rFonts w:hint="eastAsia"/>
        </w:rPr>
        <w:t>ț</w:t>
      </w:r>
      <w:r w:rsidRPr="00207A79">
        <w:t>ate de o varietate de factori care afecteaz</w:t>
      </w:r>
      <w:r w:rsidRPr="00207A79">
        <w:rPr>
          <w:rFonts w:hint="eastAsia"/>
        </w:rPr>
        <w:t>ă</w:t>
      </w:r>
      <w:r w:rsidRPr="00207A79">
        <w:t xml:space="preserve"> at</w:t>
      </w:r>
      <w:r w:rsidRPr="00207A79">
        <w:rPr>
          <w:rFonts w:hint="eastAsia"/>
        </w:rPr>
        <w:t>â</w:t>
      </w:r>
      <w:r w:rsidRPr="00207A79">
        <w:t>t indivizii, c</w:t>
      </w:r>
      <w:r w:rsidRPr="00207A79">
        <w:rPr>
          <w:rFonts w:hint="eastAsia"/>
        </w:rPr>
        <w:t>â</w:t>
      </w:r>
      <w:r w:rsidRPr="00207A79">
        <w:t xml:space="preserve">t </w:t>
      </w:r>
      <w:r w:rsidRPr="00207A79">
        <w:rPr>
          <w:rFonts w:hint="eastAsia"/>
        </w:rPr>
        <w:t>ș</w:t>
      </w:r>
      <w:r w:rsidRPr="00207A79">
        <w:t xml:space="preserve">i societatea </w:t>
      </w:r>
      <w:r w:rsidRPr="00207A79">
        <w:rPr>
          <w:rFonts w:hint="eastAsia"/>
        </w:rPr>
        <w:t>î</w:t>
      </w:r>
      <w:r w:rsidRPr="00207A79">
        <w:t>n ansamblu.</w:t>
      </w:r>
    </w:p>
    <w:p w14:paraId="0C55DC59" w14:textId="77777777" w:rsidR="00050375" w:rsidRPr="00207A79" w:rsidRDefault="00050375" w:rsidP="00050375">
      <w:pPr>
        <w:pStyle w:val="ListParagraph"/>
        <w:tabs>
          <w:tab w:val="left" w:pos="567"/>
          <w:tab w:val="left" w:pos="709"/>
          <w:tab w:val="left" w:pos="851"/>
          <w:tab w:val="left" w:pos="1134"/>
        </w:tabs>
        <w:spacing w:line="276" w:lineRule="auto"/>
        <w:ind w:left="709" w:firstLine="0"/>
        <w:rPr>
          <w:b/>
          <w:sz w:val="20"/>
          <w:szCs w:val="20"/>
        </w:rPr>
      </w:pPr>
    </w:p>
    <w:p w14:paraId="5B0AB3C5" w14:textId="77777777" w:rsidR="006C07D5" w:rsidRPr="00207A79" w:rsidRDefault="006C07D5" w:rsidP="00A93D73">
      <w:pPr>
        <w:spacing w:line="276" w:lineRule="auto"/>
        <w:ind w:firstLine="0"/>
        <w:jc w:val="center"/>
        <w:rPr>
          <w:b/>
          <w:sz w:val="20"/>
          <w:szCs w:val="20"/>
        </w:rPr>
      </w:pPr>
    </w:p>
    <w:p w14:paraId="3D78B355" w14:textId="77777777" w:rsidR="00156A61" w:rsidRPr="00207A79" w:rsidRDefault="00953EF5" w:rsidP="00026A9A">
      <w:pPr>
        <w:pStyle w:val="Heading4"/>
        <w:numPr>
          <w:ilvl w:val="0"/>
          <w:numId w:val="7"/>
        </w:numPr>
        <w:shd w:val="clear" w:color="auto" w:fill="FFFFFF"/>
        <w:tabs>
          <w:tab w:val="left" w:pos="993"/>
        </w:tabs>
        <w:ind w:left="284" w:firstLine="425"/>
        <w:rPr>
          <w:b/>
          <w:lang w:val="en-US"/>
        </w:rPr>
      </w:pPr>
      <w:r w:rsidRPr="00207A79">
        <w:rPr>
          <w:b/>
          <w:lang w:val="en-US"/>
        </w:rPr>
        <w:t>CONCLUSIONS</w:t>
      </w:r>
    </w:p>
    <w:p w14:paraId="5A84ABCE" w14:textId="77777777" w:rsidR="00E01127" w:rsidRPr="00207A79" w:rsidRDefault="00E01127" w:rsidP="006024C8">
      <w:pPr>
        <w:ind w:firstLine="0"/>
        <w:jc w:val="left"/>
        <w:rPr>
          <w:b/>
          <w:lang w:val="en-US"/>
        </w:rPr>
      </w:pPr>
    </w:p>
    <w:p w14:paraId="16FA928F" w14:textId="77777777" w:rsidR="00FA327C" w:rsidRPr="00207A79" w:rsidRDefault="00FA327C" w:rsidP="00FA327C">
      <w:r w:rsidRPr="00207A79">
        <w:t xml:space="preserve">Cercetarea a fost realizată prin utilizarea informațiilor furnizate de Organizatia Mondiala A Sanatatii si Eurostat privind consmul de alcool si tutun pentru a putea atinge obiectivul propus, respectiv corelatia dintre accize si consum . </w:t>
      </w:r>
    </w:p>
    <w:p w14:paraId="25D52FFF" w14:textId="77777777" w:rsidR="00FA327C" w:rsidRPr="00207A79" w:rsidRDefault="00FA327C" w:rsidP="00FA327C">
      <w:r w:rsidRPr="00207A79">
        <w:t>De asemenea, cercetarea noastră s-a bazat pe datele privind nivelul accizelor pentru băuturile alcoolice și țigări, dar și a consumurilor aferente acestor categorii de produse la nivelul țărilor UE si respectiv, Romania.</w:t>
      </w:r>
    </w:p>
    <w:p w14:paraId="7E9F1E61" w14:textId="77777777" w:rsidR="00FA327C" w:rsidRPr="00207A79" w:rsidRDefault="00FA327C" w:rsidP="00FA327C">
      <w:r w:rsidRPr="00207A79">
        <w:t xml:space="preserve">Alegerea acestor produse este justificată de faptul că UE si Romania dispun de reglementari contabile si fiscale privind accizele. </w:t>
      </w:r>
    </w:p>
    <w:p w14:paraId="395D59C9" w14:textId="77777777" w:rsidR="00FA327C" w:rsidRPr="00207A79" w:rsidRDefault="00FA327C" w:rsidP="00FA327C">
      <w:r w:rsidRPr="00207A79">
        <w:t xml:space="preserve">Ca urmare a interpretarii datelor, rezultatele cercetarii evidentiaza faptul ca daca consumul de alcool înregistrat pe cap de locuitor scade cu o unitate, iar consumul de tigari înregistrat  la nivelul consumatorilor zilnici rămâne constant, atunci nivelul accizei creşte  în medie cu 0.782 unități. In alta ordine de idei, daca consumul de tigari înregistrat  la nivelul consumatorilor zilnici scade cu o unitate, iar consumul la alcool înregistrat pe cap de locuitor ramane constant, atunci nivelul accizei creste în medie cu 1.638 unități. Asadar, putem concluziona ca variabilele independente, reprezentate in modelul econometric de Țigări, consumul înregistrat  la nivelul consumatorilor zilnici si Alcool, consumul înregistrat pe cap de locuitor (în litri de alcool pur) influențează variabila dependentă, reprezentata de accize, deci există o corelație între acestea. </w:t>
      </w:r>
    </w:p>
    <w:p w14:paraId="4D4A593F" w14:textId="77777777" w:rsidR="00FA327C" w:rsidRPr="00207A79" w:rsidRDefault="00FA327C" w:rsidP="00FA327C">
      <w:r w:rsidRPr="00207A79">
        <w:t>Consideram ca un aspect negativ al acestor repercursiuni, al exceselor în consumul de alcool sau tutun ține si de cheltuielile alocate sănătății. in acest sens, s-a putut constata că țara noastră alocă extrem de puține resurse care să consolideze aplicarea măsurilor de prevenire a mortalității cauzate ca urmare a practicării acestor obiceiuri.</w:t>
      </w:r>
    </w:p>
    <w:p w14:paraId="12312A87" w14:textId="384EAEF0" w:rsidR="00C25464" w:rsidRPr="00207A79" w:rsidRDefault="00FA327C" w:rsidP="00FA327C">
      <w:r w:rsidRPr="00207A79">
        <w:t>Suntem de parere că rezultatele cercetării pot fi utile statului, dar și organismelor de reglementare contabilă cu privire la adaptarea politicilor contabile avand ca punct de plecare aceste rezultate. de asemenea, rezultatele cercetarii pot fi utile si organelor de control fiscal, in privinta optimizarii controlului.</w:t>
      </w:r>
    </w:p>
    <w:p w14:paraId="1B4F2035" w14:textId="77777777" w:rsidR="00FA327C" w:rsidRPr="00207A79" w:rsidRDefault="00FA327C" w:rsidP="00FA327C">
      <w:pPr>
        <w:rPr>
          <w:b/>
          <w:lang w:val="en-US"/>
        </w:rPr>
      </w:pPr>
    </w:p>
    <w:p w14:paraId="241E3AC3" w14:textId="77777777" w:rsidR="00E849D1" w:rsidRPr="00207A79" w:rsidRDefault="00515939" w:rsidP="00515939">
      <w:pPr>
        <w:rPr>
          <w:b/>
          <w:lang w:val="en-US"/>
        </w:rPr>
      </w:pPr>
      <w:r w:rsidRPr="00207A79">
        <w:rPr>
          <w:b/>
          <w:lang w:val="en-US"/>
        </w:rPr>
        <w:t>BIBLIOGRAPHY</w:t>
      </w:r>
    </w:p>
    <w:p w14:paraId="36C10C41" w14:textId="77777777" w:rsidR="00515939" w:rsidRPr="00207A79" w:rsidRDefault="00515939" w:rsidP="00515939">
      <w:pPr>
        <w:ind w:firstLine="360"/>
        <w:rPr>
          <w:lang w:val="en-US"/>
        </w:rPr>
      </w:pPr>
    </w:p>
    <w:p w14:paraId="29160165" w14:textId="0C7E6989" w:rsidR="006E1643" w:rsidRPr="00207A79" w:rsidRDefault="008C4E79" w:rsidP="008C4E79">
      <w:pPr>
        <w:pStyle w:val="ListParagraph"/>
        <w:numPr>
          <w:ilvl w:val="0"/>
          <w:numId w:val="18"/>
        </w:numPr>
        <w:rPr>
          <w:lang w:val="en-US"/>
        </w:rPr>
      </w:pPr>
      <w:r w:rsidRPr="00207A79">
        <w:rPr>
          <w:lang w:val="en-US"/>
        </w:rPr>
        <w:t xml:space="preserve">Hájek, M., </w:t>
      </w:r>
      <w:proofErr w:type="spellStart"/>
      <w:r w:rsidRPr="00207A79">
        <w:rPr>
          <w:lang w:val="en-US"/>
        </w:rPr>
        <w:t>Zimmermannová</w:t>
      </w:r>
      <w:proofErr w:type="spellEnd"/>
      <w:r w:rsidRPr="00207A79">
        <w:rPr>
          <w:lang w:val="en-US"/>
        </w:rPr>
        <w:t xml:space="preserve">, J., &amp; Helman, K. (2021). Environmental efficiency of economic instruments in transport in EU countries. </w:t>
      </w:r>
      <w:r w:rsidRPr="00207A79">
        <w:rPr>
          <w:i/>
          <w:iCs/>
          <w:lang w:val="en-US"/>
        </w:rPr>
        <w:t>Transportation Research Part D: Transport and Environment</w:t>
      </w:r>
      <w:r w:rsidRPr="00207A79">
        <w:rPr>
          <w:lang w:val="en-US"/>
        </w:rPr>
        <w:t>, 100, 103054.</w:t>
      </w:r>
    </w:p>
    <w:p w14:paraId="4F6939B1" w14:textId="2C6B1371" w:rsidR="008C4E79" w:rsidRPr="00207A79" w:rsidRDefault="008C4E79" w:rsidP="008C4E79">
      <w:pPr>
        <w:pStyle w:val="ListParagraph"/>
        <w:numPr>
          <w:ilvl w:val="0"/>
          <w:numId w:val="18"/>
        </w:numPr>
        <w:rPr>
          <w:lang w:val="en-US"/>
        </w:rPr>
      </w:pPr>
      <w:r w:rsidRPr="00207A79">
        <w:t>Aklilu, A. Z. (2020). Gasoline and diesel demand in the EU: Implications for the 2030 emission goal. </w:t>
      </w:r>
      <w:r w:rsidRPr="00207A79">
        <w:rPr>
          <w:i/>
          <w:iCs/>
        </w:rPr>
        <w:t>Renewable and Sustainable Energy Reviews</w:t>
      </w:r>
      <w:r w:rsidRPr="00207A79">
        <w:t>, </w:t>
      </w:r>
      <w:r w:rsidRPr="00207A79">
        <w:rPr>
          <w:i/>
          <w:iCs/>
        </w:rPr>
        <w:t>118</w:t>
      </w:r>
      <w:r w:rsidRPr="00207A79">
        <w:t>, 109530.</w:t>
      </w:r>
    </w:p>
    <w:p w14:paraId="4C403D48" w14:textId="4418C060" w:rsidR="006E1643" w:rsidRPr="00207A79" w:rsidRDefault="00B77CC7" w:rsidP="00B77CC7">
      <w:pPr>
        <w:pStyle w:val="ListParagraph"/>
        <w:numPr>
          <w:ilvl w:val="0"/>
          <w:numId w:val="18"/>
        </w:numPr>
        <w:rPr>
          <w:lang w:val="en-US"/>
        </w:rPr>
      </w:pPr>
      <w:r w:rsidRPr="00207A79">
        <w:t>Best, R., Burke, P. J., &amp; Jotzo, F. (2020). Carbon pricing efficacy: Cross-country evidence. </w:t>
      </w:r>
      <w:r w:rsidRPr="00207A79">
        <w:rPr>
          <w:i/>
          <w:iCs/>
        </w:rPr>
        <w:t>Environmental and Resource Economics</w:t>
      </w:r>
      <w:r w:rsidRPr="00207A79">
        <w:t>, </w:t>
      </w:r>
      <w:r w:rsidRPr="00207A79">
        <w:rPr>
          <w:i/>
          <w:iCs/>
        </w:rPr>
        <w:t>77</w:t>
      </w:r>
      <w:r w:rsidRPr="00207A79">
        <w:t>(1), 69-94.</w:t>
      </w:r>
    </w:p>
    <w:p w14:paraId="799187C4" w14:textId="1CDAAD4E" w:rsidR="00B77CC7" w:rsidRPr="00207A79" w:rsidRDefault="00B77CC7" w:rsidP="00B77CC7">
      <w:pPr>
        <w:pStyle w:val="ListParagraph"/>
        <w:numPr>
          <w:ilvl w:val="0"/>
          <w:numId w:val="18"/>
        </w:numPr>
        <w:rPr>
          <w:lang w:val="en-US"/>
        </w:rPr>
      </w:pPr>
      <w:r w:rsidRPr="00207A79">
        <w:t>Papageorgiou, C., Farlekas, P., Dermatis, Z., Anastasiou, A., &amp; Liargovas, P. (2021). Assessing the impact of excise duties on a state’s revenues: the case of Greece. </w:t>
      </w:r>
      <w:r w:rsidRPr="00207A79">
        <w:rPr>
          <w:i/>
          <w:iCs/>
        </w:rPr>
        <w:t>Public Sector Economics</w:t>
      </w:r>
      <w:r w:rsidRPr="00207A79">
        <w:t>, </w:t>
      </w:r>
      <w:r w:rsidRPr="00207A79">
        <w:rPr>
          <w:i/>
          <w:iCs/>
        </w:rPr>
        <w:t>45</w:t>
      </w:r>
      <w:r w:rsidRPr="00207A79">
        <w:t>(3), 387-412.</w:t>
      </w:r>
    </w:p>
    <w:p w14:paraId="3EDE2962" w14:textId="295B2EB7" w:rsidR="00B77CC7" w:rsidRPr="00207A79" w:rsidRDefault="00B77CC7" w:rsidP="00B77CC7">
      <w:pPr>
        <w:pStyle w:val="ListParagraph"/>
        <w:numPr>
          <w:ilvl w:val="0"/>
          <w:numId w:val="18"/>
        </w:numPr>
        <w:rPr>
          <w:lang w:val="en-US"/>
        </w:rPr>
      </w:pPr>
      <w:r w:rsidRPr="00207A79">
        <w:t>Horáková, M., Bejtkovský, J., Barešová, P., &amp; Urbánek, T. (2020). Alcohol consumption among the member states of the European Union in relationship to taxation. </w:t>
      </w:r>
      <w:r w:rsidRPr="00207A79">
        <w:rPr>
          <w:i/>
          <w:iCs/>
        </w:rPr>
        <w:t>Adiktologie</w:t>
      </w:r>
      <w:r w:rsidRPr="00207A79">
        <w:t>.</w:t>
      </w:r>
    </w:p>
    <w:p w14:paraId="5456F185" w14:textId="244D9A82" w:rsidR="00656B8D" w:rsidRPr="00207A79" w:rsidRDefault="00656B8D" w:rsidP="00B77CC7">
      <w:pPr>
        <w:pStyle w:val="ListParagraph"/>
        <w:numPr>
          <w:ilvl w:val="0"/>
          <w:numId w:val="18"/>
        </w:numPr>
        <w:rPr>
          <w:lang w:val="en-US"/>
        </w:rPr>
      </w:pPr>
      <w:r w:rsidRPr="00207A79">
        <w:t>Sepulveda, C. F. (2023). Do countries really deviate from the optimal tax system?. </w:t>
      </w:r>
      <w:r w:rsidRPr="00207A79">
        <w:rPr>
          <w:i/>
          <w:iCs/>
        </w:rPr>
        <w:t>Public Finance Review</w:t>
      </w:r>
      <w:r w:rsidRPr="00207A79">
        <w:t>, </w:t>
      </w:r>
      <w:r w:rsidRPr="00207A79">
        <w:rPr>
          <w:i/>
          <w:iCs/>
        </w:rPr>
        <w:t>51</w:t>
      </w:r>
      <w:r w:rsidRPr="00207A79">
        <w:t>(1), 76-131.</w:t>
      </w:r>
    </w:p>
    <w:p w14:paraId="16E30F4A" w14:textId="7FEE6920" w:rsidR="00656B8D" w:rsidRPr="00207A79" w:rsidRDefault="00656B8D" w:rsidP="00B77CC7">
      <w:pPr>
        <w:pStyle w:val="ListParagraph"/>
        <w:numPr>
          <w:ilvl w:val="0"/>
          <w:numId w:val="18"/>
        </w:numPr>
        <w:rPr>
          <w:lang w:val="en-US"/>
        </w:rPr>
      </w:pPr>
      <w:r w:rsidRPr="00207A79">
        <w:rPr>
          <w:lang w:val="en-US"/>
        </w:rPr>
        <w:t xml:space="preserve">David, P., </w:t>
      </w:r>
      <w:proofErr w:type="spellStart"/>
      <w:r w:rsidRPr="00207A79">
        <w:rPr>
          <w:lang w:val="en-US"/>
        </w:rPr>
        <w:t>Formanová</w:t>
      </w:r>
      <w:proofErr w:type="spellEnd"/>
      <w:r w:rsidRPr="00207A79">
        <w:rPr>
          <w:lang w:val="en-US"/>
        </w:rPr>
        <w:t xml:space="preserve">, L., </w:t>
      </w:r>
      <w:proofErr w:type="spellStart"/>
      <w:r w:rsidRPr="00207A79">
        <w:rPr>
          <w:lang w:val="en-US"/>
        </w:rPr>
        <w:t>Lisický</w:t>
      </w:r>
      <w:proofErr w:type="spellEnd"/>
      <w:r w:rsidRPr="00207A79">
        <w:rPr>
          <w:lang w:val="en-US"/>
        </w:rPr>
        <w:t xml:space="preserve">, A., </w:t>
      </w:r>
      <w:proofErr w:type="spellStart"/>
      <w:r w:rsidRPr="00207A79">
        <w:rPr>
          <w:lang w:val="en-US"/>
        </w:rPr>
        <w:t>Torkošová</w:t>
      </w:r>
      <w:proofErr w:type="spellEnd"/>
      <w:r w:rsidRPr="00207A79">
        <w:rPr>
          <w:lang w:val="en-US"/>
        </w:rPr>
        <w:t xml:space="preserve">, K., &amp; </w:t>
      </w:r>
      <w:proofErr w:type="spellStart"/>
      <w:r w:rsidRPr="00207A79">
        <w:rPr>
          <w:lang w:val="en-US"/>
        </w:rPr>
        <w:t>Vetráková</w:t>
      </w:r>
      <w:proofErr w:type="spellEnd"/>
      <w:r w:rsidRPr="00207A79">
        <w:rPr>
          <w:lang w:val="en-US"/>
        </w:rPr>
        <w:t xml:space="preserve">, M. (2020). The Relationship Between Production and Consumption of Alcohol and its Taxation in the EU Countries. Acta Universitatis </w:t>
      </w:r>
      <w:proofErr w:type="spellStart"/>
      <w:r w:rsidRPr="00207A79">
        <w:rPr>
          <w:lang w:val="en-US"/>
        </w:rPr>
        <w:t>Agriculturae</w:t>
      </w:r>
      <w:proofErr w:type="spellEnd"/>
      <w:r w:rsidRPr="00207A79">
        <w:rPr>
          <w:lang w:val="en-US"/>
        </w:rPr>
        <w:t xml:space="preserve"> et </w:t>
      </w:r>
      <w:proofErr w:type="spellStart"/>
      <w:r w:rsidRPr="00207A79">
        <w:rPr>
          <w:lang w:val="en-US"/>
        </w:rPr>
        <w:t>Silviculturae</w:t>
      </w:r>
      <w:proofErr w:type="spellEnd"/>
      <w:r w:rsidRPr="00207A79">
        <w:rPr>
          <w:lang w:val="en-US"/>
        </w:rPr>
        <w:t xml:space="preserve"> </w:t>
      </w:r>
      <w:proofErr w:type="spellStart"/>
      <w:r w:rsidRPr="00207A79">
        <w:rPr>
          <w:lang w:val="en-US"/>
        </w:rPr>
        <w:t>Mendelianae</w:t>
      </w:r>
      <w:proofErr w:type="spellEnd"/>
      <w:r w:rsidRPr="00207A79">
        <w:rPr>
          <w:lang w:val="en-US"/>
        </w:rPr>
        <w:t xml:space="preserve"> </w:t>
      </w:r>
      <w:proofErr w:type="spellStart"/>
      <w:r w:rsidRPr="00207A79">
        <w:rPr>
          <w:lang w:val="en-US"/>
        </w:rPr>
        <w:t>Brunensis</w:t>
      </w:r>
      <w:proofErr w:type="spellEnd"/>
      <w:r w:rsidRPr="00207A79">
        <w:rPr>
          <w:lang w:val="en-US"/>
        </w:rPr>
        <w:t xml:space="preserve">, 68(3), 597-604. </w:t>
      </w:r>
      <w:proofErr w:type="spellStart"/>
      <w:r w:rsidRPr="00207A79">
        <w:rPr>
          <w:lang w:val="en-US"/>
        </w:rPr>
        <w:t>doi</w:t>
      </w:r>
      <w:proofErr w:type="spellEnd"/>
      <w:r w:rsidRPr="00207A79">
        <w:rPr>
          <w:lang w:val="en-US"/>
        </w:rPr>
        <w:t>: 10.11118/actaun202068030597</w:t>
      </w:r>
      <w:r w:rsidR="00E339BF" w:rsidRPr="00207A79">
        <w:rPr>
          <w:lang w:val="en-US"/>
        </w:rPr>
        <w:t>.</w:t>
      </w:r>
    </w:p>
    <w:p w14:paraId="60F68CB6" w14:textId="01DA62CD" w:rsidR="00E339BF" w:rsidRPr="00207A79" w:rsidRDefault="00611B9A" w:rsidP="00B77CC7">
      <w:pPr>
        <w:pStyle w:val="ListParagraph"/>
        <w:numPr>
          <w:ilvl w:val="0"/>
          <w:numId w:val="18"/>
        </w:numPr>
        <w:rPr>
          <w:lang w:val="en-US"/>
        </w:rPr>
      </w:pPr>
      <w:r w:rsidRPr="00207A79">
        <w:rPr>
          <w:lang w:val="en-US"/>
        </w:rPr>
        <w:t>WHO (</w:t>
      </w:r>
      <w:r w:rsidR="00E339BF" w:rsidRPr="00207A79">
        <w:rPr>
          <w:lang w:val="en-US"/>
        </w:rPr>
        <w:t>World Health Organization</w:t>
      </w:r>
      <w:r w:rsidRPr="00207A79">
        <w:rPr>
          <w:lang w:val="en-US"/>
        </w:rPr>
        <w:t>)</w:t>
      </w:r>
      <w:r w:rsidR="00E339BF" w:rsidRPr="00207A79">
        <w:rPr>
          <w:lang w:val="en-US"/>
        </w:rPr>
        <w:t xml:space="preserve">, Global Status Report on Alcohol and Health, World Health Organization, Geneva, Switzerland, 2014, accessed on 20.06.2024 at </w:t>
      </w:r>
      <w:hyperlink r:id="rId12" w:history="1">
        <w:r w:rsidR="00E339BF" w:rsidRPr="00207A79">
          <w:rPr>
            <w:rStyle w:val="Hyperlink"/>
            <w:lang w:val="en-US"/>
          </w:rPr>
          <w:t>https://www.who.int/publications/i/item/global-status-report-on-alcohol-and-health-2014</w:t>
        </w:r>
      </w:hyperlink>
      <w:r w:rsidR="00E339BF" w:rsidRPr="00207A79">
        <w:rPr>
          <w:lang w:val="en-US"/>
        </w:rPr>
        <w:t xml:space="preserve">. </w:t>
      </w:r>
    </w:p>
    <w:p w14:paraId="7A58B593" w14:textId="77F76A2A" w:rsidR="00611B9A" w:rsidRPr="00207A79" w:rsidRDefault="00611B9A" w:rsidP="00B77CC7">
      <w:pPr>
        <w:pStyle w:val="ListParagraph"/>
        <w:numPr>
          <w:ilvl w:val="0"/>
          <w:numId w:val="18"/>
        </w:numPr>
        <w:rPr>
          <w:lang w:val="en-US"/>
        </w:rPr>
      </w:pPr>
      <w:r w:rsidRPr="00207A79">
        <w:rPr>
          <w:lang w:val="en-US"/>
        </w:rPr>
        <w:t xml:space="preserve">WHO (World Health Organization), Global Status Report on Alcohol and Health, 2018. accessed on 20.06.2024 at </w:t>
      </w:r>
      <w:hyperlink r:id="rId13" w:history="1">
        <w:r w:rsidRPr="00207A79">
          <w:rPr>
            <w:rStyle w:val="Hyperlink"/>
            <w:lang w:val="en-US"/>
          </w:rPr>
          <w:t>https://www.who.int/publications/i/item/9789241565639</w:t>
        </w:r>
      </w:hyperlink>
      <w:r w:rsidRPr="00207A79">
        <w:rPr>
          <w:lang w:val="en-US"/>
        </w:rPr>
        <w:t>.</w:t>
      </w:r>
    </w:p>
    <w:p w14:paraId="1212500F" w14:textId="0DC56AE7" w:rsidR="00611B9A" w:rsidRPr="00207A79" w:rsidRDefault="00611B9A" w:rsidP="00545928">
      <w:pPr>
        <w:pStyle w:val="ListParagraph"/>
        <w:numPr>
          <w:ilvl w:val="0"/>
          <w:numId w:val="18"/>
        </w:numPr>
        <w:rPr>
          <w:lang w:val="en-US"/>
        </w:rPr>
      </w:pPr>
      <w:r w:rsidRPr="00207A79">
        <w:rPr>
          <w:lang w:val="en-US"/>
        </w:rPr>
        <w:t>WHO (World Health Organization), Alcohol in the European Union. Consumption, Harm and Policy Approaches, 2012. accessed on 21.06.2024 at https://iris.who.int/handle/10665/107301.</w:t>
      </w:r>
    </w:p>
    <w:p w14:paraId="7884EC80" w14:textId="18C42A4E" w:rsidR="00E339BF" w:rsidRPr="00207A79" w:rsidRDefault="00E339BF" w:rsidP="00E339BF">
      <w:pPr>
        <w:pStyle w:val="ListParagraph"/>
        <w:numPr>
          <w:ilvl w:val="0"/>
          <w:numId w:val="18"/>
        </w:numPr>
        <w:rPr>
          <w:lang w:val="en-US"/>
        </w:rPr>
      </w:pPr>
      <w:r w:rsidRPr="00207A79">
        <w:rPr>
          <w:lang w:val="en-US"/>
        </w:rPr>
        <w:t>Monteiro, M.G., Rehm, J., Shield, K.D., Stockwell, T., 2017. Alcohol Consumption: An Overview of International Trends. In: Quah, S.R. and Cockerham, W.C. (eds.) The International Encyclopedia of Public Health, 2nd edition. vol. 1, pp. 45–57.</w:t>
      </w:r>
    </w:p>
    <w:p w14:paraId="30924244" w14:textId="425D6742" w:rsidR="00E339BF" w:rsidRPr="00207A79" w:rsidRDefault="005A62AC" w:rsidP="00E339BF">
      <w:pPr>
        <w:pStyle w:val="ListParagraph"/>
        <w:numPr>
          <w:ilvl w:val="0"/>
          <w:numId w:val="18"/>
        </w:numPr>
        <w:rPr>
          <w:lang w:val="en-US"/>
        </w:rPr>
      </w:pPr>
      <w:r w:rsidRPr="00207A79">
        <w:t xml:space="preserve">OECD, </w:t>
      </w:r>
      <w:r w:rsidRPr="00207A79">
        <w:rPr>
          <w:i/>
        </w:rPr>
        <w:t>Preventing Harmful Alcohol Use, OECD Health Policy Studies</w:t>
      </w:r>
      <w:r w:rsidRPr="00207A79">
        <w:t xml:space="preserve">, OECD Publishing, Paris, 2021. </w:t>
      </w:r>
      <w:r w:rsidRPr="00207A79">
        <w:rPr>
          <w:lang w:val="en-US"/>
        </w:rPr>
        <w:t xml:space="preserve">accessed on 20.06.2024 at </w:t>
      </w:r>
      <w:hyperlink r:id="rId14" w:history="1">
        <w:r w:rsidR="00050375" w:rsidRPr="00207A79">
          <w:rPr>
            <w:rStyle w:val="Hyperlink"/>
          </w:rPr>
          <w:t>https://www.oecd.org/en/publications/preventing-harmful-alcohol-use_6e4b4ffb-en.html</w:t>
        </w:r>
      </w:hyperlink>
      <w:r w:rsidRPr="00207A79">
        <w:t>.</w:t>
      </w:r>
    </w:p>
    <w:p w14:paraId="3398E75F" w14:textId="2A005E8F" w:rsidR="002235E5" w:rsidRPr="00207A79" w:rsidRDefault="002235E5" w:rsidP="00310E23">
      <w:pPr>
        <w:pStyle w:val="ListParagraph"/>
        <w:numPr>
          <w:ilvl w:val="0"/>
          <w:numId w:val="18"/>
        </w:numPr>
        <w:rPr>
          <w:lang w:val="en-US"/>
        </w:rPr>
      </w:pPr>
      <w:r w:rsidRPr="00207A79">
        <w:t xml:space="preserve">Eurostat. 2022. </w:t>
      </w:r>
      <w:r w:rsidRPr="00207A79">
        <w:rPr>
          <w:lang w:val="en-US"/>
        </w:rPr>
        <w:t>Daily smokers of cigarettes by sex, age and educational attainment level, accessed on 07.</w:t>
      </w:r>
      <w:proofErr w:type="gramStart"/>
      <w:r w:rsidRPr="00207A79">
        <w:rPr>
          <w:lang w:val="en-US"/>
        </w:rPr>
        <w:t>05.2024.h</w:t>
      </w:r>
      <w:r w:rsidR="00050375" w:rsidRPr="00207A79">
        <w:rPr>
          <w:lang w:val="en-US"/>
        </w:rPr>
        <w:t>ttps://ec.europa.eu/eurostat/databrowser/view/hlth_ehis_sk3e/default/table?lang=en</w:t>
      </w:r>
      <w:proofErr w:type="gramEnd"/>
      <w:r w:rsidRPr="00207A79">
        <w:rPr>
          <w:lang w:val="en-US"/>
        </w:rPr>
        <w:t>.</w:t>
      </w:r>
    </w:p>
    <w:p w14:paraId="19B35301" w14:textId="6B51E832" w:rsidR="00050375" w:rsidRPr="00207A79" w:rsidRDefault="00050375" w:rsidP="00E339BF">
      <w:pPr>
        <w:pStyle w:val="ListParagraph"/>
        <w:numPr>
          <w:ilvl w:val="0"/>
          <w:numId w:val="18"/>
        </w:numPr>
        <w:rPr>
          <w:lang w:val="en-US"/>
        </w:rPr>
      </w:pPr>
      <w:r w:rsidRPr="00207A79">
        <w:rPr>
          <w:lang w:val="en-US"/>
        </w:rPr>
        <w:t>OECD, European Observatory on Health Systems and Policies, Romania: Health Profile in 2019. Available online: https://www.google.ro/books/edition/State_of_Health_in_the_EU_Sweden_Country/uXrmEAAAQBAJ?hl=ro&amp;gbpv=1&amp;dq=inauthor:%22European+Observatory+on+Health+Systems+and+Policies%22&amp;printsec=frontcover, accessed on 22.06.2024.</w:t>
      </w:r>
    </w:p>
    <w:p w14:paraId="396AC508" w14:textId="717EC927" w:rsidR="00050375" w:rsidRPr="00207A79" w:rsidRDefault="00050375" w:rsidP="00E339BF">
      <w:pPr>
        <w:pStyle w:val="ListParagraph"/>
        <w:numPr>
          <w:ilvl w:val="0"/>
          <w:numId w:val="18"/>
        </w:numPr>
        <w:rPr>
          <w:lang w:val="en-US"/>
        </w:rPr>
      </w:pPr>
      <w:r w:rsidRPr="00207A79">
        <w:rPr>
          <w:lang w:val="en-US"/>
        </w:rPr>
        <w:t>Bostan, I., &amp; Rusu, V. D. (2021). The Consumption of Alcoholic Beverages Can Be Reduced by Fiscal Means? Study on the Case of Romania. Sustainability, 13(14), 7553.</w:t>
      </w:r>
    </w:p>
    <w:p w14:paraId="577BD8D5" w14:textId="77777777" w:rsidR="00FE5DE9" w:rsidRDefault="00FE5DE9" w:rsidP="00A71CCE">
      <w:pPr>
        <w:ind w:firstLine="0"/>
        <w:rPr>
          <w:sz w:val="20"/>
          <w:szCs w:val="20"/>
          <w:lang w:val="en-US"/>
        </w:rPr>
      </w:pPr>
    </w:p>
    <w:p w14:paraId="69171ED0" w14:textId="77777777" w:rsidR="00FE5DE9" w:rsidRPr="00FE5DE9" w:rsidRDefault="00FE5DE9" w:rsidP="00FE5DE9">
      <w:pPr>
        <w:rPr>
          <w:sz w:val="20"/>
          <w:szCs w:val="20"/>
          <w:lang w:val="en-US"/>
        </w:rPr>
      </w:pPr>
    </w:p>
    <w:p w14:paraId="3705F49E" w14:textId="77777777" w:rsidR="00FE5DE9" w:rsidRPr="00FE5DE9" w:rsidRDefault="00FE5DE9" w:rsidP="00FE5DE9">
      <w:pPr>
        <w:rPr>
          <w:sz w:val="20"/>
          <w:szCs w:val="20"/>
          <w:lang w:val="en-US"/>
        </w:rPr>
      </w:pPr>
    </w:p>
    <w:p w14:paraId="7A86302E" w14:textId="77777777" w:rsidR="00FE5DE9" w:rsidRPr="00FE5DE9" w:rsidRDefault="00FE5DE9" w:rsidP="00FE5DE9">
      <w:pPr>
        <w:rPr>
          <w:sz w:val="20"/>
          <w:szCs w:val="20"/>
          <w:lang w:val="en-US"/>
        </w:rPr>
      </w:pPr>
    </w:p>
    <w:p w14:paraId="515460B8" w14:textId="77777777" w:rsidR="00FE5DE9" w:rsidRDefault="00FE5DE9" w:rsidP="00C25464">
      <w:pPr>
        <w:ind w:firstLine="0"/>
        <w:rPr>
          <w:sz w:val="20"/>
          <w:szCs w:val="20"/>
          <w:lang w:val="en-US"/>
        </w:rPr>
      </w:pPr>
    </w:p>
    <w:p w14:paraId="2D0F5AB2" w14:textId="77777777" w:rsidR="00ED55C6" w:rsidRPr="00FE5DE9" w:rsidRDefault="00ED55C6" w:rsidP="00FE5DE9">
      <w:pPr>
        <w:rPr>
          <w:sz w:val="20"/>
          <w:szCs w:val="20"/>
          <w:lang w:val="en-US"/>
        </w:rPr>
      </w:pPr>
    </w:p>
    <w:sectPr w:rsidR="00ED55C6" w:rsidRPr="00FE5DE9" w:rsidSect="00A94B8F">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F6840" w14:textId="77777777" w:rsidR="00251662" w:rsidRDefault="00251662" w:rsidP="000B3475">
      <w:r>
        <w:separator/>
      </w:r>
    </w:p>
  </w:endnote>
  <w:endnote w:type="continuationSeparator" w:id="0">
    <w:p w14:paraId="7E4C68EE" w14:textId="77777777" w:rsidR="00251662" w:rsidRDefault="00251662" w:rsidP="000B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 SIL">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DC6EF" w14:textId="77777777" w:rsidR="00251662" w:rsidRDefault="00251662" w:rsidP="000B3475">
      <w:r>
        <w:separator/>
      </w:r>
    </w:p>
  </w:footnote>
  <w:footnote w:type="continuationSeparator" w:id="0">
    <w:p w14:paraId="74E5EE38" w14:textId="77777777" w:rsidR="00251662" w:rsidRDefault="00251662" w:rsidP="000B3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6E7E"/>
    <w:multiLevelType w:val="hybridMultilevel"/>
    <w:tmpl w:val="C1428038"/>
    <w:lvl w:ilvl="0" w:tplc="3E964DCE">
      <w:start w:val="1"/>
      <w:numFmt w:val="decimal"/>
      <w:lvlText w:val="%1."/>
      <w:lvlJc w:val="left"/>
      <w:pPr>
        <w:ind w:left="1065" w:hanging="705"/>
      </w:pPr>
      <w:rPr>
        <w:rFonts w:hint="default"/>
      </w:rPr>
    </w:lvl>
    <w:lvl w:ilvl="1" w:tplc="EF80BECA">
      <w:start w:val="23"/>
      <w:numFmt w:val="bullet"/>
      <w:lvlText w:val="•"/>
      <w:lvlJc w:val="left"/>
      <w:pPr>
        <w:ind w:left="1785" w:hanging="705"/>
      </w:pPr>
      <w:rPr>
        <w:rFonts w:ascii="Times New Roman" w:eastAsia="Times New Roman"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D13750"/>
    <w:multiLevelType w:val="hybridMultilevel"/>
    <w:tmpl w:val="6164989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707366A"/>
    <w:multiLevelType w:val="hybridMultilevel"/>
    <w:tmpl w:val="08F893DE"/>
    <w:lvl w:ilvl="0" w:tplc="0409000F">
      <w:start w:val="1"/>
      <w:numFmt w:val="decimal"/>
      <w:lvlText w:val="%1."/>
      <w:lvlJc w:val="left"/>
      <w:pPr>
        <w:ind w:left="720" w:hanging="360"/>
      </w:pPr>
    </w:lvl>
    <w:lvl w:ilvl="1" w:tplc="3B2A0C0A">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2560F"/>
    <w:multiLevelType w:val="multilevel"/>
    <w:tmpl w:val="7AFEEF7C"/>
    <w:lvl w:ilvl="0">
      <w:start w:val="1"/>
      <w:numFmt w:val="decimal"/>
      <w:lvlText w:val="%1."/>
      <w:lvlJc w:val="left"/>
      <w:pPr>
        <w:tabs>
          <w:tab w:val="num" w:pos="1636"/>
        </w:tabs>
        <w:ind w:left="1636" w:hanging="360"/>
      </w:pPr>
      <w:rPr>
        <w:rFonts w:hint="default"/>
        <w:b/>
      </w:rPr>
    </w:lvl>
    <w:lvl w:ilvl="1">
      <w:start w:val="1"/>
      <w:numFmt w:val="decimal"/>
      <w:isLgl/>
      <w:lvlText w:val="%1.%2."/>
      <w:lvlJc w:val="left"/>
      <w:pPr>
        <w:tabs>
          <w:tab w:val="num" w:pos="1696"/>
        </w:tabs>
        <w:ind w:left="1696" w:hanging="420"/>
      </w:pPr>
      <w:rPr>
        <w:rFonts w:hint="default"/>
      </w:rPr>
    </w:lvl>
    <w:lvl w:ilvl="2">
      <w:start w:val="1"/>
      <w:numFmt w:val="decimal"/>
      <w:isLgl/>
      <w:lvlText w:val="%1.%2.%3."/>
      <w:lvlJc w:val="left"/>
      <w:pPr>
        <w:tabs>
          <w:tab w:val="num" w:pos="1996"/>
        </w:tabs>
        <w:ind w:left="1996" w:hanging="720"/>
      </w:pPr>
      <w:rPr>
        <w:rFonts w:hint="default"/>
      </w:rPr>
    </w:lvl>
    <w:lvl w:ilvl="3">
      <w:start w:val="1"/>
      <w:numFmt w:val="decimal"/>
      <w:isLgl/>
      <w:lvlText w:val="%1.%2.%3.%4."/>
      <w:lvlJc w:val="left"/>
      <w:pPr>
        <w:tabs>
          <w:tab w:val="num" w:pos="1996"/>
        </w:tabs>
        <w:ind w:left="1996" w:hanging="720"/>
      </w:pPr>
      <w:rPr>
        <w:rFonts w:hint="default"/>
      </w:rPr>
    </w:lvl>
    <w:lvl w:ilvl="4">
      <w:start w:val="1"/>
      <w:numFmt w:val="decimal"/>
      <w:isLgl/>
      <w:lvlText w:val="%1.%2.%3.%4.%5."/>
      <w:lvlJc w:val="left"/>
      <w:pPr>
        <w:tabs>
          <w:tab w:val="num" w:pos="2356"/>
        </w:tabs>
        <w:ind w:left="2356" w:hanging="1080"/>
      </w:pPr>
      <w:rPr>
        <w:rFonts w:hint="default"/>
      </w:rPr>
    </w:lvl>
    <w:lvl w:ilvl="5">
      <w:start w:val="1"/>
      <w:numFmt w:val="decimal"/>
      <w:isLgl/>
      <w:lvlText w:val="%1.%2.%3.%4.%5.%6."/>
      <w:lvlJc w:val="left"/>
      <w:pPr>
        <w:tabs>
          <w:tab w:val="num" w:pos="2356"/>
        </w:tabs>
        <w:ind w:left="2356" w:hanging="1080"/>
      </w:pPr>
      <w:rPr>
        <w:rFonts w:hint="default"/>
      </w:rPr>
    </w:lvl>
    <w:lvl w:ilvl="6">
      <w:start w:val="1"/>
      <w:numFmt w:val="decimal"/>
      <w:isLgl/>
      <w:lvlText w:val="%1.%2.%3.%4.%5.%6.%7."/>
      <w:lvlJc w:val="left"/>
      <w:pPr>
        <w:tabs>
          <w:tab w:val="num" w:pos="2716"/>
        </w:tabs>
        <w:ind w:left="2716" w:hanging="1440"/>
      </w:pPr>
      <w:rPr>
        <w:rFonts w:hint="default"/>
      </w:rPr>
    </w:lvl>
    <w:lvl w:ilvl="7">
      <w:start w:val="1"/>
      <w:numFmt w:val="decimal"/>
      <w:isLgl/>
      <w:lvlText w:val="%1.%2.%3.%4.%5.%6.%7.%8."/>
      <w:lvlJc w:val="left"/>
      <w:pPr>
        <w:tabs>
          <w:tab w:val="num" w:pos="2716"/>
        </w:tabs>
        <w:ind w:left="2716" w:hanging="1440"/>
      </w:pPr>
      <w:rPr>
        <w:rFonts w:hint="default"/>
      </w:rPr>
    </w:lvl>
    <w:lvl w:ilvl="8">
      <w:start w:val="1"/>
      <w:numFmt w:val="decimal"/>
      <w:isLgl/>
      <w:lvlText w:val="%1.%2.%3.%4.%5.%6.%7.%8.%9."/>
      <w:lvlJc w:val="left"/>
      <w:pPr>
        <w:tabs>
          <w:tab w:val="num" w:pos="3076"/>
        </w:tabs>
        <w:ind w:left="3076" w:hanging="1800"/>
      </w:pPr>
      <w:rPr>
        <w:rFonts w:hint="default"/>
      </w:rPr>
    </w:lvl>
  </w:abstractNum>
  <w:abstractNum w:abstractNumId="4" w15:restartNumberingAfterBreak="0">
    <w:nsid w:val="12CF492B"/>
    <w:multiLevelType w:val="multilevel"/>
    <w:tmpl w:val="7AFEEF7C"/>
    <w:lvl w:ilvl="0">
      <w:start w:val="1"/>
      <w:numFmt w:val="decimal"/>
      <w:lvlText w:val="%1."/>
      <w:lvlJc w:val="left"/>
      <w:pPr>
        <w:tabs>
          <w:tab w:val="num" w:pos="1636"/>
        </w:tabs>
        <w:ind w:left="1636" w:hanging="360"/>
      </w:pPr>
      <w:rPr>
        <w:rFonts w:hint="default"/>
        <w:b/>
      </w:rPr>
    </w:lvl>
    <w:lvl w:ilvl="1">
      <w:start w:val="1"/>
      <w:numFmt w:val="decimal"/>
      <w:isLgl/>
      <w:lvlText w:val="%1.%2."/>
      <w:lvlJc w:val="left"/>
      <w:pPr>
        <w:tabs>
          <w:tab w:val="num" w:pos="1696"/>
        </w:tabs>
        <w:ind w:left="1696" w:hanging="420"/>
      </w:pPr>
      <w:rPr>
        <w:rFonts w:hint="default"/>
      </w:rPr>
    </w:lvl>
    <w:lvl w:ilvl="2">
      <w:start w:val="1"/>
      <w:numFmt w:val="decimal"/>
      <w:isLgl/>
      <w:lvlText w:val="%1.%2.%3."/>
      <w:lvlJc w:val="left"/>
      <w:pPr>
        <w:tabs>
          <w:tab w:val="num" w:pos="1996"/>
        </w:tabs>
        <w:ind w:left="1996" w:hanging="720"/>
      </w:pPr>
      <w:rPr>
        <w:rFonts w:hint="default"/>
      </w:rPr>
    </w:lvl>
    <w:lvl w:ilvl="3">
      <w:start w:val="1"/>
      <w:numFmt w:val="decimal"/>
      <w:isLgl/>
      <w:lvlText w:val="%1.%2.%3.%4."/>
      <w:lvlJc w:val="left"/>
      <w:pPr>
        <w:tabs>
          <w:tab w:val="num" w:pos="1996"/>
        </w:tabs>
        <w:ind w:left="1996" w:hanging="720"/>
      </w:pPr>
      <w:rPr>
        <w:rFonts w:hint="default"/>
      </w:rPr>
    </w:lvl>
    <w:lvl w:ilvl="4">
      <w:start w:val="1"/>
      <w:numFmt w:val="decimal"/>
      <w:isLgl/>
      <w:lvlText w:val="%1.%2.%3.%4.%5."/>
      <w:lvlJc w:val="left"/>
      <w:pPr>
        <w:tabs>
          <w:tab w:val="num" w:pos="2356"/>
        </w:tabs>
        <w:ind w:left="2356" w:hanging="1080"/>
      </w:pPr>
      <w:rPr>
        <w:rFonts w:hint="default"/>
      </w:rPr>
    </w:lvl>
    <w:lvl w:ilvl="5">
      <w:start w:val="1"/>
      <w:numFmt w:val="decimal"/>
      <w:isLgl/>
      <w:lvlText w:val="%1.%2.%3.%4.%5.%6."/>
      <w:lvlJc w:val="left"/>
      <w:pPr>
        <w:tabs>
          <w:tab w:val="num" w:pos="2356"/>
        </w:tabs>
        <w:ind w:left="2356" w:hanging="1080"/>
      </w:pPr>
      <w:rPr>
        <w:rFonts w:hint="default"/>
      </w:rPr>
    </w:lvl>
    <w:lvl w:ilvl="6">
      <w:start w:val="1"/>
      <w:numFmt w:val="decimal"/>
      <w:isLgl/>
      <w:lvlText w:val="%1.%2.%3.%4.%5.%6.%7."/>
      <w:lvlJc w:val="left"/>
      <w:pPr>
        <w:tabs>
          <w:tab w:val="num" w:pos="2716"/>
        </w:tabs>
        <w:ind w:left="2716" w:hanging="1440"/>
      </w:pPr>
      <w:rPr>
        <w:rFonts w:hint="default"/>
      </w:rPr>
    </w:lvl>
    <w:lvl w:ilvl="7">
      <w:start w:val="1"/>
      <w:numFmt w:val="decimal"/>
      <w:isLgl/>
      <w:lvlText w:val="%1.%2.%3.%4.%5.%6.%7.%8."/>
      <w:lvlJc w:val="left"/>
      <w:pPr>
        <w:tabs>
          <w:tab w:val="num" w:pos="2716"/>
        </w:tabs>
        <w:ind w:left="2716" w:hanging="1440"/>
      </w:pPr>
      <w:rPr>
        <w:rFonts w:hint="default"/>
      </w:rPr>
    </w:lvl>
    <w:lvl w:ilvl="8">
      <w:start w:val="1"/>
      <w:numFmt w:val="decimal"/>
      <w:isLgl/>
      <w:lvlText w:val="%1.%2.%3.%4.%5.%6.%7.%8.%9."/>
      <w:lvlJc w:val="left"/>
      <w:pPr>
        <w:tabs>
          <w:tab w:val="num" w:pos="3076"/>
        </w:tabs>
        <w:ind w:left="3076" w:hanging="1800"/>
      </w:pPr>
      <w:rPr>
        <w:rFonts w:hint="default"/>
      </w:rPr>
    </w:lvl>
  </w:abstractNum>
  <w:abstractNum w:abstractNumId="5" w15:restartNumberingAfterBreak="0">
    <w:nsid w:val="1C412A63"/>
    <w:multiLevelType w:val="multilevel"/>
    <w:tmpl w:val="AC329A52"/>
    <w:lvl w:ilvl="0">
      <w:start w:val="1"/>
      <w:numFmt w:val="decimal"/>
      <w:lvlText w:val="%1."/>
      <w:lvlJc w:val="left"/>
      <w:pPr>
        <w:tabs>
          <w:tab w:val="num" w:pos="1636"/>
        </w:tabs>
        <w:ind w:left="1636" w:hanging="360"/>
      </w:pPr>
      <w:rPr>
        <w:rFonts w:hint="default"/>
        <w:b/>
      </w:rPr>
    </w:lvl>
    <w:lvl w:ilvl="1">
      <w:start w:val="1"/>
      <w:numFmt w:val="decimal"/>
      <w:isLgl/>
      <w:lvlText w:val="%1.%2."/>
      <w:lvlJc w:val="left"/>
      <w:pPr>
        <w:tabs>
          <w:tab w:val="num" w:pos="1696"/>
        </w:tabs>
        <w:ind w:left="1696" w:hanging="420"/>
      </w:pPr>
      <w:rPr>
        <w:rFonts w:hint="default"/>
        <w:b/>
        <w:bCs/>
        <w:sz w:val="24"/>
        <w:szCs w:val="24"/>
      </w:rPr>
    </w:lvl>
    <w:lvl w:ilvl="2">
      <w:start w:val="1"/>
      <w:numFmt w:val="decimal"/>
      <w:isLgl/>
      <w:lvlText w:val="%1.%2.%3."/>
      <w:lvlJc w:val="left"/>
      <w:pPr>
        <w:tabs>
          <w:tab w:val="num" w:pos="1996"/>
        </w:tabs>
        <w:ind w:left="1996" w:hanging="720"/>
      </w:pPr>
      <w:rPr>
        <w:rFonts w:hint="default"/>
      </w:rPr>
    </w:lvl>
    <w:lvl w:ilvl="3">
      <w:start w:val="1"/>
      <w:numFmt w:val="decimal"/>
      <w:isLgl/>
      <w:lvlText w:val="%1.%2.%3.%4."/>
      <w:lvlJc w:val="left"/>
      <w:pPr>
        <w:tabs>
          <w:tab w:val="num" w:pos="1996"/>
        </w:tabs>
        <w:ind w:left="1996" w:hanging="720"/>
      </w:pPr>
      <w:rPr>
        <w:rFonts w:hint="default"/>
      </w:rPr>
    </w:lvl>
    <w:lvl w:ilvl="4">
      <w:start w:val="1"/>
      <w:numFmt w:val="decimal"/>
      <w:isLgl/>
      <w:lvlText w:val="%1.%2.%3.%4.%5."/>
      <w:lvlJc w:val="left"/>
      <w:pPr>
        <w:tabs>
          <w:tab w:val="num" w:pos="2356"/>
        </w:tabs>
        <w:ind w:left="2356" w:hanging="1080"/>
      </w:pPr>
      <w:rPr>
        <w:rFonts w:hint="default"/>
      </w:rPr>
    </w:lvl>
    <w:lvl w:ilvl="5">
      <w:start w:val="1"/>
      <w:numFmt w:val="decimal"/>
      <w:isLgl/>
      <w:lvlText w:val="%1.%2.%3.%4.%5.%6."/>
      <w:lvlJc w:val="left"/>
      <w:pPr>
        <w:tabs>
          <w:tab w:val="num" w:pos="2356"/>
        </w:tabs>
        <w:ind w:left="2356" w:hanging="1080"/>
      </w:pPr>
      <w:rPr>
        <w:rFonts w:hint="default"/>
      </w:rPr>
    </w:lvl>
    <w:lvl w:ilvl="6">
      <w:start w:val="1"/>
      <w:numFmt w:val="decimal"/>
      <w:isLgl/>
      <w:lvlText w:val="%1.%2.%3.%4.%5.%6.%7."/>
      <w:lvlJc w:val="left"/>
      <w:pPr>
        <w:tabs>
          <w:tab w:val="num" w:pos="2716"/>
        </w:tabs>
        <w:ind w:left="2716" w:hanging="1440"/>
      </w:pPr>
      <w:rPr>
        <w:rFonts w:hint="default"/>
      </w:rPr>
    </w:lvl>
    <w:lvl w:ilvl="7">
      <w:start w:val="1"/>
      <w:numFmt w:val="decimal"/>
      <w:isLgl/>
      <w:lvlText w:val="%1.%2.%3.%4.%5.%6.%7.%8."/>
      <w:lvlJc w:val="left"/>
      <w:pPr>
        <w:tabs>
          <w:tab w:val="num" w:pos="2716"/>
        </w:tabs>
        <w:ind w:left="2716" w:hanging="1440"/>
      </w:pPr>
      <w:rPr>
        <w:rFonts w:hint="default"/>
      </w:rPr>
    </w:lvl>
    <w:lvl w:ilvl="8">
      <w:start w:val="1"/>
      <w:numFmt w:val="decimal"/>
      <w:isLgl/>
      <w:lvlText w:val="%1.%2.%3.%4.%5.%6.%7.%8.%9."/>
      <w:lvlJc w:val="left"/>
      <w:pPr>
        <w:tabs>
          <w:tab w:val="num" w:pos="3076"/>
        </w:tabs>
        <w:ind w:left="3076" w:hanging="1800"/>
      </w:pPr>
      <w:rPr>
        <w:rFonts w:hint="default"/>
      </w:rPr>
    </w:lvl>
  </w:abstractNum>
  <w:abstractNum w:abstractNumId="6" w15:restartNumberingAfterBreak="0">
    <w:nsid w:val="205D3F1E"/>
    <w:multiLevelType w:val="hybridMultilevel"/>
    <w:tmpl w:val="41D04B90"/>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7" w15:restartNumberingAfterBreak="0">
    <w:nsid w:val="24B4438D"/>
    <w:multiLevelType w:val="hybridMultilevel"/>
    <w:tmpl w:val="7800F4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8806AE0"/>
    <w:multiLevelType w:val="multilevel"/>
    <w:tmpl w:val="D8B078E6"/>
    <w:lvl w:ilvl="0">
      <w:start w:val="1"/>
      <w:numFmt w:val="upperRoman"/>
      <w:pStyle w:val="Heading1"/>
      <w:lvlText w:val="%1."/>
      <w:lvlJc w:val="left"/>
      <w:pPr>
        <w:tabs>
          <w:tab w:val="num" w:pos="9549"/>
        </w:tabs>
        <w:ind w:left="9549" w:hanging="476"/>
      </w:pPr>
      <w:rPr>
        <w:rFonts w:hint="default"/>
      </w:rPr>
    </w:lvl>
    <w:lvl w:ilvl="1">
      <w:start w:val="1"/>
      <w:numFmt w:val="decimal"/>
      <w:pStyle w:val="Heading2"/>
      <w:lvlText w:val="%1.%2"/>
      <w:lvlJc w:val="left"/>
      <w:pPr>
        <w:tabs>
          <w:tab w:val="num" w:pos="6039"/>
        </w:tabs>
        <w:ind w:left="6039" w:hanging="510"/>
      </w:pPr>
      <w:rPr>
        <w:rFonts w:hint="default"/>
        <w:b/>
      </w:rPr>
    </w:lvl>
    <w:lvl w:ilvl="2">
      <w:start w:val="1"/>
      <w:numFmt w:val="decimal"/>
      <w:pStyle w:val="Heading3"/>
      <w:lvlText w:val="%1.%2.%3"/>
      <w:lvlJc w:val="left"/>
      <w:pPr>
        <w:tabs>
          <w:tab w:val="num" w:pos="1134"/>
        </w:tabs>
        <w:ind w:left="1134" w:hanging="397"/>
      </w:pPr>
      <w:rPr>
        <w:rFonts w:hint="default"/>
      </w:rPr>
    </w:lvl>
    <w:lvl w:ilvl="3">
      <w:start w:val="1"/>
      <w:numFmt w:val="decimal"/>
      <w:pStyle w:val="Heading4"/>
      <w:lvlText w:val="%2.%3.%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9" w15:restartNumberingAfterBreak="0">
    <w:nsid w:val="2F620EA1"/>
    <w:multiLevelType w:val="hybridMultilevel"/>
    <w:tmpl w:val="BCD6073C"/>
    <w:lvl w:ilvl="0" w:tplc="0418000B">
      <w:start w:val="1"/>
      <w:numFmt w:val="bullet"/>
      <w:lvlText w:val=""/>
      <w:lvlJc w:val="left"/>
      <w:pPr>
        <w:ind w:left="1484" w:hanging="360"/>
      </w:pPr>
      <w:rPr>
        <w:rFonts w:ascii="Wingdings" w:hAnsi="Wingdings" w:hint="default"/>
      </w:rPr>
    </w:lvl>
    <w:lvl w:ilvl="1" w:tplc="04180003" w:tentative="1">
      <w:start w:val="1"/>
      <w:numFmt w:val="bullet"/>
      <w:lvlText w:val="o"/>
      <w:lvlJc w:val="left"/>
      <w:pPr>
        <w:ind w:left="2204" w:hanging="360"/>
      </w:pPr>
      <w:rPr>
        <w:rFonts w:ascii="Courier New" w:hAnsi="Courier New" w:cs="Courier New" w:hint="default"/>
      </w:rPr>
    </w:lvl>
    <w:lvl w:ilvl="2" w:tplc="04180005" w:tentative="1">
      <w:start w:val="1"/>
      <w:numFmt w:val="bullet"/>
      <w:lvlText w:val=""/>
      <w:lvlJc w:val="left"/>
      <w:pPr>
        <w:ind w:left="2924" w:hanging="360"/>
      </w:pPr>
      <w:rPr>
        <w:rFonts w:ascii="Wingdings" w:hAnsi="Wingdings" w:hint="default"/>
      </w:rPr>
    </w:lvl>
    <w:lvl w:ilvl="3" w:tplc="04180001" w:tentative="1">
      <w:start w:val="1"/>
      <w:numFmt w:val="bullet"/>
      <w:lvlText w:val=""/>
      <w:lvlJc w:val="left"/>
      <w:pPr>
        <w:ind w:left="3644" w:hanging="360"/>
      </w:pPr>
      <w:rPr>
        <w:rFonts w:ascii="Symbol" w:hAnsi="Symbol" w:hint="default"/>
      </w:rPr>
    </w:lvl>
    <w:lvl w:ilvl="4" w:tplc="04180003" w:tentative="1">
      <w:start w:val="1"/>
      <w:numFmt w:val="bullet"/>
      <w:lvlText w:val="o"/>
      <w:lvlJc w:val="left"/>
      <w:pPr>
        <w:ind w:left="4364" w:hanging="360"/>
      </w:pPr>
      <w:rPr>
        <w:rFonts w:ascii="Courier New" w:hAnsi="Courier New" w:cs="Courier New" w:hint="default"/>
      </w:rPr>
    </w:lvl>
    <w:lvl w:ilvl="5" w:tplc="04180005" w:tentative="1">
      <w:start w:val="1"/>
      <w:numFmt w:val="bullet"/>
      <w:lvlText w:val=""/>
      <w:lvlJc w:val="left"/>
      <w:pPr>
        <w:ind w:left="5084" w:hanging="360"/>
      </w:pPr>
      <w:rPr>
        <w:rFonts w:ascii="Wingdings" w:hAnsi="Wingdings" w:hint="default"/>
      </w:rPr>
    </w:lvl>
    <w:lvl w:ilvl="6" w:tplc="04180001" w:tentative="1">
      <w:start w:val="1"/>
      <w:numFmt w:val="bullet"/>
      <w:lvlText w:val=""/>
      <w:lvlJc w:val="left"/>
      <w:pPr>
        <w:ind w:left="5804" w:hanging="360"/>
      </w:pPr>
      <w:rPr>
        <w:rFonts w:ascii="Symbol" w:hAnsi="Symbol" w:hint="default"/>
      </w:rPr>
    </w:lvl>
    <w:lvl w:ilvl="7" w:tplc="04180003" w:tentative="1">
      <w:start w:val="1"/>
      <w:numFmt w:val="bullet"/>
      <w:lvlText w:val="o"/>
      <w:lvlJc w:val="left"/>
      <w:pPr>
        <w:ind w:left="6524" w:hanging="360"/>
      </w:pPr>
      <w:rPr>
        <w:rFonts w:ascii="Courier New" w:hAnsi="Courier New" w:cs="Courier New" w:hint="default"/>
      </w:rPr>
    </w:lvl>
    <w:lvl w:ilvl="8" w:tplc="04180005" w:tentative="1">
      <w:start w:val="1"/>
      <w:numFmt w:val="bullet"/>
      <w:lvlText w:val=""/>
      <w:lvlJc w:val="left"/>
      <w:pPr>
        <w:ind w:left="7244" w:hanging="360"/>
      </w:pPr>
      <w:rPr>
        <w:rFonts w:ascii="Wingdings" w:hAnsi="Wingdings" w:hint="default"/>
      </w:rPr>
    </w:lvl>
  </w:abstractNum>
  <w:abstractNum w:abstractNumId="10" w15:restartNumberingAfterBreak="0">
    <w:nsid w:val="325F2C99"/>
    <w:multiLevelType w:val="hybridMultilevel"/>
    <w:tmpl w:val="3892A2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2031D43"/>
    <w:multiLevelType w:val="multilevel"/>
    <w:tmpl w:val="AC329A52"/>
    <w:lvl w:ilvl="0">
      <w:start w:val="1"/>
      <w:numFmt w:val="decimal"/>
      <w:lvlText w:val="%1."/>
      <w:lvlJc w:val="left"/>
      <w:pPr>
        <w:tabs>
          <w:tab w:val="num" w:pos="1636"/>
        </w:tabs>
        <w:ind w:left="1636" w:hanging="360"/>
      </w:pPr>
      <w:rPr>
        <w:rFonts w:hint="default"/>
        <w:b/>
      </w:rPr>
    </w:lvl>
    <w:lvl w:ilvl="1">
      <w:start w:val="1"/>
      <w:numFmt w:val="decimal"/>
      <w:isLgl/>
      <w:lvlText w:val="%1.%2."/>
      <w:lvlJc w:val="left"/>
      <w:pPr>
        <w:tabs>
          <w:tab w:val="num" w:pos="1696"/>
        </w:tabs>
        <w:ind w:left="1696" w:hanging="420"/>
      </w:pPr>
      <w:rPr>
        <w:rFonts w:hint="default"/>
        <w:b/>
        <w:bCs/>
        <w:sz w:val="24"/>
        <w:szCs w:val="24"/>
      </w:rPr>
    </w:lvl>
    <w:lvl w:ilvl="2">
      <w:start w:val="1"/>
      <w:numFmt w:val="decimal"/>
      <w:isLgl/>
      <w:lvlText w:val="%1.%2.%3."/>
      <w:lvlJc w:val="left"/>
      <w:pPr>
        <w:tabs>
          <w:tab w:val="num" w:pos="1996"/>
        </w:tabs>
        <w:ind w:left="1996" w:hanging="720"/>
      </w:pPr>
      <w:rPr>
        <w:rFonts w:hint="default"/>
      </w:rPr>
    </w:lvl>
    <w:lvl w:ilvl="3">
      <w:start w:val="1"/>
      <w:numFmt w:val="decimal"/>
      <w:isLgl/>
      <w:lvlText w:val="%1.%2.%3.%4."/>
      <w:lvlJc w:val="left"/>
      <w:pPr>
        <w:tabs>
          <w:tab w:val="num" w:pos="1996"/>
        </w:tabs>
        <w:ind w:left="1996" w:hanging="720"/>
      </w:pPr>
      <w:rPr>
        <w:rFonts w:hint="default"/>
      </w:rPr>
    </w:lvl>
    <w:lvl w:ilvl="4">
      <w:start w:val="1"/>
      <w:numFmt w:val="decimal"/>
      <w:isLgl/>
      <w:lvlText w:val="%1.%2.%3.%4.%5."/>
      <w:lvlJc w:val="left"/>
      <w:pPr>
        <w:tabs>
          <w:tab w:val="num" w:pos="2356"/>
        </w:tabs>
        <w:ind w:left="2356" w:hanging="1080"/>
      </w:pPr>
      <w:rPr>
        <w:rFonts w:hint="default"/>
      </w:rPr>
    </w:lvl>
    <w:lvl w:ilvl="5">
      <w:start w:val="1"/>
      <w:numFmt w:val="decimal"/>
      <w:isLgl/>
      <w:lvlText w:val="%1.%2.%3.%4.%5.%6."/>
      <w:lvlJc w:val="left"/>
      <w:pPr>
        <w:tabs>
          <w:tab w:val="num" w:pos="2356"/>
        </w:tabs>
        <w:ind w:left="2356" w:hanging="1080"/>
      </w:pPr>
      <w:rPr>
        <w:rFonts w:hint="default"/>
      </w:rPr>
    </w:lvl>
    <w:lvl w:ilvl="6">
      <w:start w:val="1"/>
      <w:numFmt w:val="decimal"/>
      <w:isLgl/>
      <w:lvlText w:val="%1.%2.%3.%4.%5.%6.%7."/>
      <w:lvlJc w:val="left"/>
      <w:pPr>
        <w:tabs>
          <w:tab w:val="num" w:pos="2716"/>
        </w:tabs>
        <w:ind w:left="2716" w:hanging="1440"/>
      </w:pPr>
      <w:rPr>
        <w:rFonts w:hint="default"/>
      </w:rPr>
    </w:lvl>
    <w:lvl w:ilvl="7">
      <w:start w:val="1"/>
      <w:numFmt w:val="decimal"/>
      <w:isLgl/>
      <w:lvlText w:val="%1.%2.%3.%4.%5.%6.%7.%8."/>
      <w:lvlJc w:val="left"/>
      <w:pPr>
        <w:tabs>
          <w:tab w:val="num" w:pos="2716"/>
        </w:tabs>
        <w:ind w:left="2716" w:hanging="1440"/>
      </w:pPr>
      <w:rPr>
        <w:rFonts w:hint="default"/>
      </w:rPr>
    </w:lvl>
    <w:lvl w:ilvl="8">
      <w:start w:val="1"/>
      <w:numFmt w:val="decimal"/>
      <w:isLgl/>
      <w:lvlText w:val="%1.%2.%3.%4.%5.%6.%7.%8.%9."/>
      <w:lvlJc w:val="left"/>
      <w:pPr>
        <w:tabs>
          <w:tab w:val="num" w:pos="3076"/>
        </w:tabs>
        <w:ind w:left="3076" w:hanging="1800"/>
      </w:pPr>
      <w:rPr>
        <w:rFonts w:hint="default"/>
      </w:rPr>
    </w:lvl>
  </w:abstractNum>
  <w:abstractNum w:abstractNumId="12" w15:restartNumberingAfterBreak="0">
    <w:nsid w:val="518C369D"/>
    <w:multiLevelType w:val="hybridMultilevel"/>
    <w:tmpl w:val="CAD27AA2"/>
    <w:lvl w:ilvl="0" w:tplc="0409000F">
      <w:start w:val="1"/>
      <w:numFmt w:val="decimal"/>
      <w:lvlText w:val="%1."/>
      <w:lvlJc w:val="left"/>
      <w:pPr>
        <w:ind w:left="720" w:hanging="360"/>
      </w:pPr>
    </w:lvl>
    <w:lvl w:ilvl="1" w:tplc="1466E3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465489"/>
    <w:multiLevelType w:val="hybridMultilevel"/>
    <w:tmpl w:val="9776093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4125DAF"/>
    <w:multiLevelType w:val="hybridMultilevel"/>
    <w:tmpl w:val="A68A8790"/>
    <w:lvl w:ilvl="0" w:tplc="1466E3C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9370AC6"/>
    <w:multiLevelType w:val="hybridMultilevel"/>
    <w:tmpl w:val="00063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2636576">
    <w:abstractNumId w:val="8"/>
  </w:num>
  <w:num w:numId="2" w16cid:durableId="1203513841">
    <w:abstractNumId w:val="7"/>
  </w:num>
  <w:num w:numId="3" w16cid:durableId="39937385">
    <w:abstractNumId w:val="13"/>
  </w:num>
  <w:num w:numId="4" w16cid:durableId="1604338866">
    <w:abstractNumId w:val="0"/>
  </w:num>
  <w:num w:numId="5" w16cid:durableId="136187366">
    <w:abstractNumId w:val="1"/>
  </w:num>
  <w:num w:numId="6" w16cid:durableId="1992754514">
    <w:abstractNumId w:val="15"/>
  </w:num>
  <w:num w:numId="7" w16cid:durableId="1486893321">
    <w:abstractNumId w:val="5"/>
  </w:num>
  <w:num w:numId="8" w16cid:durableId="1592933376">
    <w:abstractNumId w:val="8"/>
  </w:num>
  <w:num w:numId="9" w16cid:durableId="546258333">
    <w:abstractNumId w:val="8"/>
  </w:num>
  <w:num w:numId="10" w16cid:durableId="946040649">
    <w:abstractNumId w:val="8"/>
  </w:num>
  <w:num w:numId="11" w16cid:durableId="936982227">
    <w:abstractNumId w:val="8"/>
  </w:num>
  <w:num w:numId="12" w16cid:durableId="1352414418">
    <w:abstractNumId w:val="8"/>
  </w:num>
  <w:num w:numId="13" w16cid:durableId="1237401598">
    <w:abstractNumId w:val="8"/>
  </w:num>
  <w:num w:numId="14" w16cid:durableId="1994530398">
    <w:abstractNumId w:val="8"/>
  </w:num>
  <w:num w:numId="15" w16cid:durableId="461927193">
    <w:abstractNumId w:val="8"/>
  </w:num>
  <w:num w:numId="16" w16cid:durableId="1117063622">
    <w:abstractNumId w:val="9"/>
  </w:num>
  <w:num w:numId="17" w16cid:durableId="1775009624">
    <w:abstractNumId w:val="6"/>
  </w:num>
  <w:num w:numId="18" w16cid:durableId="231545899">
    <w:abstractNumId w:val="10"/>
  </w:num>
  <w:num w:numId="19" w16cid:durableId="920527262">
    <w:abstractNumId w:val="4"/>
  </w:num>
  <w:num w:numId="20" w16cid:durableId="1125386523">
    <w:abstractNumId w:val="3"/>
  </w:num>
  <w:num w:numId="21" w16cid:durableId="167988824">
    <w:abstractNumId w:val="2"/>
  </w:num>
  <w:num w:numId="22" w16cid:durableId="145781796">
    <w:abstractNumId w:val="12"/>
  </w:num>
  <w:num w:numId="23" w16cid:durableId="1613632879">
    <w:abstractNumId w:val="14"/>
  </w:num>
  <w:num w:numId="24" w16cid:durableId="1380275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EC"/>
    <w:rsid w:val="00010A7C"/>
    <w:rsid w:val="00026A9A"/>
    <w:rsid w:val="00050375"/>
    <w:rsid w:val="000653FB"/>
    <w:rsid w:val="00082347"/>
    <w:rsid w:val="0008671A"/>
    <w:rsid w:val="000868EC"/>
    <w:rsid w:val="00094878"/>
    <w:rsid w:val="000B1AF7"/>
    <w:rsid w:val="000B3475"/>
    <w:rsid w:val="000D4E4A"/>
    <w:rsid w:val="000D5946"/>
    <w:rsid w:val="000E55EA"/>
    <w:rsid w:val="000F4386"/>
    <w:rsid w:val="00117033"/>
    <w:rsid w:val="00137F5E"/>
    <w:rsid w:val="00152A79"/>
    <w:rsid w:val="00156A61"/>
    <w:rsid w:val="00165284"/>
    <w:rsid w:val="001A2C45"/>
    <w:rsid w:val="001A7649"/>
    <w:rsid w:val="001C5429"/>
    <w:rsid w:val="001E3089"/>
    <w:rsid w:val="001E319A"/>
    <w:rsid w:val="001F1483"/>
    <w:rsid w:val="001F4A80"/>
    <w:rsid w:val="001F6D57"/>
    <w:rsid w:val="0020639F"/>
    <w:rsid w:val="00207A79"/>
    <w:rsid w:val="002235E5"/>
    <w:rsid w:val="00227EED"/>
    <w:rsid w:val="0023209E"/>
    <w:rsid w:val="00251662"/>
    <w:rsid w:val="002649FE"/>
    <w:rsid w:val="00272688"/>
    <w:rsid w:val="002775D7"/>
    <w:rsid w:val="00297300"/>
    <w:rsid w:val="002B2104"/>
    <w:rsid w:val="002C0D36"/>
    <w:rsid w:val="002D184E"/>
    <w:rsid w:val="002D70A1"/>
    <w:rsid w:val="00310BDC"/>
    <w:rsid w:val="0032631D"/>
    <w:rsid w:val="00335BC6"/>
    <w:rsid w:val="00343A7B"/>
    <w:rsid w:val="00357061"/>
    <w:rsid w:val="00364C4F"/>
    <w:rsid w:val="00382D00"/>
    <w:rsid w:val="0038733B"/>
    <w:rsid w:val="003935F9"/>
    <w:rsid w:val="003F6BEB"/>
    <w:rsid w:val="00400D95"/>
    <w:rsid w:val="004148ED"/>
    <w:rsid w:val="004919F7"/>
    <w:rsid w:val="004A3257"/>
    <w:rsid w:val="004A50BC"/>
    <w:rsid w:val="004A7060"/>
    <w:rsid w:val="004B2057"/>
    <w:rsid w:val="004B4489"/>
    <w:rsid w:val="004D21B5"/>
    <w:rsid w:val="004F6B39"/>
    <w:rsid w:val="005112B8"/>
    <w:rsid w:val="00515939"/>
    <w:rsid w:val="00515CD7"/>
    <w:rsid w:val="0052033B"/>
    <w:rsid w:val="00521779"/>
    <w:rsid w:val="0052378E"/>
    <w:rsid w:val="005451DD"/>
    <w:rsid w:val="00547076"/>
    <w:rsid w:val="00560F8E"/>
    <w:rsid w:val="00592D9D"/>
    <w:rsid w:val="005A1BFE"/>
    <w:rsid w:val="005A62AC"/>
    <w:rsid w:val="005D583A"/>
    <w:rsid w:val="005E39C2"/>
    <w:rsid w:val="005E7676"/>
    <w:rsid w:val="006024C8"/>
    <w:rsid w:val="00611B9A"/>
    <w:rsid w:val="00633F48"/>
    <w:rsid w:val="0064307E"/>
    <w:rsid w:val="006561A3"/>
    <w:rsid w:val="00656B8D"/>
    <w:rsid w:val="00664596"/>
    <w:rsid w:val="00681635"/>
    <w:rsid w:val="00693AE7"/>
    <w:rsid w:val="006A58EB"/>
    <w:rsid w:val="006C07D5"/>
    <w:rsid w:val="006C3B75"/>
    <w:rsid w:val="006E1643"/>
    <w:rsid w:val="006E6F8C"/>
    <w:rsid w:val="006F1378"/>
    <w:rsid w:val="007146EF"/>
    <w:rsid w:val="00720EB5"/>
    <w:rsid w:val="00724192"/>
    <w:rsid w:val="00733386"/>
    <w:rsid w:val="00737615"/>
    <w:rsid w:val="00750823"/>
    <w:rsid w:val="0075124C"/>
    <w:rsid w:val="00753D8A"/>
    <w:rsid w:val="00760973"/>
    <w:rsid w:val="0077701C"/>
    <w:rsid w:val="00784061"/>
    <w:rsid w:val="007932AA"/>
    <w:rsid w:val="00794471"/>
    <w:rsid w:val="007D7E7D"/>
    <w:rsid w:val="00801762"/>
    <w:rsid w:val="00804468"/>
    <w:rsid w:val="008458AF"/>
    <w:rsid w:val="00855C7F"/>
    <w:rsid w:val="008811A2"/>
    <w:rsid w:val="00897E6A"/>
    <w:rsid w:val="008A46A0"/>
    <w:rsid w:val="008B634E"/>
    <w:rsid w:val="008C1BAF"/>
    <w:rsid w:val="008C4E79"/>
    <w:rsid w:val="008C5D0C"/>
    <w:rsid w:val="008C6547"/>
    <w:rsid w:val="008E0806"/>
    <w:rsid w:val="008E3ECC"/>
    <w:rsid w:val="008E6E81"/>
    <w:rsid w:val="009135AD"/>
    <w:rsid w:val="009436BB"/>
    <w:rsid w:val="0095030E"/>
    <w:rsid w:val="00953EF5"/>
    <w:rsid w:val="0098608C"/>
    <w:rsid w:val="00994904"/>
    <w:rsid w:val="009B1337"/>
    <w:rsid w:val="009C08EA"/>
    <w:rsid w:val="009E01F2"/>
    <w:rsid w:val="00A13683"/>
    <w:rsid w:val="00A24A65"/>
    <w:rsid w:val="00A56BAF"/>
    <w:rsid w:val="00A57766"/>
    <w:rsid w:val="00A7151B"/>
    <w:rsid w:val="00A71CCE"/>
    <w:rsid w:val="00A75850"/>
    <w:rsid w:val="00A768AE"/>
    <w:rsid w:val="00A8014F"/>
    <w:rsid w:val="00A80337"/>
    <w:rsid w:val="00A80D23"/>
    <w:rsid w:val="00A84021"/>
    <w:rsid w:val="00A913DB"/>
    <w:rsid w:val="00A93108"/>
    <w:rsid w:val="00A93657"/>
    <w:rsid w:val="00A93D73"/>
    <w:rsid w:val="00A94265"/>
    <w:rsid w:val="00A94B8F"/>
    <w:rsid w:val="00AE4851"/>
    <w:rsid w:val="00B11786"/>
    <w:rsid w:val="00B33510"/>
    <w:rsid w:val="00B42F49"/>
    <w:rsid w:val="00B52D4D"/>
    <w:rsid w:val="00B7234F"/>
    <w:rsid w:val="00B76DD7"/>
    <w:rsid w:val="00B77CC7"/>
    <w:rsid w:val="00B83C3C"/>
    <w:rsid w:val="00BA73DC"/>
    <w:rsid w:val="00BB675F"/>
    <w:rsid w:val="00BC5B8E"/>
    <w:rsid w:val="00BE1DA0"/>
    <w:rsid w:val="00C06CBC"/>
    <w:rsid w:val="00C06E5D"/>
    <w:rsid w:val="00C24C42"/>
    <w:rsid w:val="00C25464"/>
    <w:rsid w:val="00C3120F"/>
    <w:rsid w:val="00C40739"/>
    <w:rsid w:val="00C63322"/>
    <w:rsid w:val="00C65A9F"/>
    <w:rsid w:val="00C719FF"/>
    <w:rsid w:val="00CA0E79"/>
    <w:rsid w:val="00CB5DAC"/>
    <w:rsid w:val="00CD12D5"/>
    <w:rsid w:val="00CE3F92"/>
    <w:rsid w:val="00D006D7"/>
    <w:rsid w:val="00D06872"/>
    <w:rsid w:val="00D24068"/>
    <w:rsid w:val="00D27DA3"/>
    <w:rsid w:val="00D3361A"/>
    <w:rsid w:val="00D42694"/>
    <w:rsid w:val="00D54210"/>
    <w:rsid w:val="00D65459"/>
    <w:rsid w:val="00D81363"/>
    <w:rsid w:val="00D87D4C"/>
    <w:rsid w:val="00D95F47"/>
    <w:rsid w:val="00DA39B1"/>
    <w:rsid w:val="00DA50CA"/>
    <w:rsid w:val="00DB6571"/>
    <w:rsid w:val="00DC23E6"/>
    <w:rsid w:val="00DC3E96"/>
    <w:rsid w:val="00DE34DD"/>
    <w:rsid w:val="00DF1562"/>
    <w:rsid w:val="00E01127"/>
    <w:rsid w:val="00E10F0F"/>
    <w:rsid w:val="00E139F8"/>
    <w:rsid w:val="00E26E68"/>
    <w:rsid w:val="00E339BF"/>
    <w:rsid w:val="00E36C41"/>
    <w:rsid w:val="00E53DB5"/>
    <w:rsid w:val="00E628E6"/>
    <w:rsid w:val="00E63D2C"/>
    <w:rsid w:val="00E72E04"/>
    <w:rsid w:val="00E849D1"/>
    <w:rsid w:val="00E91159"/>
    <w:rsid w:val="00E918AF"/>
    <w:rsid w:val="00EB6E55"/>
    <w:rsid w:val="00ED2CDE"/>
    <w:rsid w:val="00ED55C6"/>
    <w:rsid w:val="00EE109E"/>
    <w:rsid w:val="00F07ED3"/>
    <w:rsid w:val="00F15168"/>
    <w:rsid w:val="00F15553"/>
    <w:rsid w:val="00F1742F"/>
    <w:rsid w:val="00F20F5E"/>
    <w:rsid w:val="00F2743A"/>
    <w:rsid w:val="00F34417"/>
    <w:rsid w:val="00F4178D"/>
    <w:rsid w:val="00FA327C"/>
    <w:rsid w:val="00FD2D56"/>
    <w:rsid w:val="00FE2CB2"/>
    <w:rsid w:val="00FE5DE9"/>
    <w:rsid w:val="00FF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441C"/>
  <w15:docId w15:val="{9B3C00F3-CC3E-4661-88A7-68981989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ro-RO" w:eastAsia="en-US" w:bidi="ar-SA"/>
      </w:rPr>
    </w:rPrDefault>
    <w:pPrDefault>
      <w:pPr>
        <w:spacing w:after="16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8EC"/>
    <w:pPr>
      <w:spacing w:after="0"/>
      <w:ind w:firstLine="709"/>
    </w:pPr>
    <w:rPr>
      <w:rFonts w:eastAsia="Times New Roman" w:cs="Times New Roman"/>
      <w:lang w:eastAsia="ro-RO"/>
    </w:rPr>
  </w:style>
  <w:style w:type="paragraph" w:styleId="Heading1">
    <w:name w:val="heading 1"/>
    <w:basedOn w:val="Normal"/>
    <w:next w:val="Normal"/>
    <w:link w:val="Heading1Char"/>
    <w:qFormat/>
    <w:rsid w:val="000868EC"/>
    <w:pPr>
      <w:keepNext/>
      <w:numPr>
        <w:numId w:val="1"/>
      </w:numPr>
      <w:spacing w:before="240" w:after="60"/>
      <w:outlineLvl w:val="0"/>
    </w:pPr>
    <w:rPr>
      <w:rFonts w:cs="Arial"/>
      <w:b/>
      <w:bCs/>
      <w:kern w:val="32"/>
      <w:sz w:val="28"/>
      <w:szCs w:val="32"/>
    </w:rPr>
  </w:style>
  <w:style w:type="paragraph" w:styleId="Heading2">
    <w:name w:val="heading 2"/>
    <w:basedOn w:val="Normal"/>
    <w:next w:val="Normal"/>
    <w:link w:val="Heading2Char"/>
    <w:qFormat/>
    <w:rsid w:val="000868EC"/>
    <w:pPr>
      <w:keepNext/>
      <w:numPr>
        <w:ilvl w:val="1"/>
        <w:numId w:val="1"/>
      </w:numPr>
      <w:spacing w:before="240" w:after="60"/>
      <w:outlineLvl w:val="1"/>
    </w:pPr>
    <w:rPr>
      <w:rFonts w:cs="Arial"/>
      <w:b/>
      <w:bCs/>
      <w:iCs/>
      <w:szCs w:val="28"/>
    </w:rPr>
  </w:style>
  <w:style w:type="paragraph" w:styleId="Heading3">
    <w:name w:val="heading 3"/>
    <w:basedOn w:val="Normal"/>
    <w:next w:val="Normal"/>
    <w:link w:val="Heading3Char"/>
    <w:qFormat/>
    <w:rsid w:val="000868EC"/>
    <w:pPr>
      <w:keepNext/>
      <w:numPr>
        <w:ilvl w:val="2"/>
        <w:numId w:val="1"/>
      </w:numPr>
      <w:spacing w:before="240" w:after="60"/>
      <w:outlineLvl w:val="2"/>
    </w:pPr>
    <w:rPr>
      <w:rFonts w:cs="Arial"/>
      <w:bCs/>
      <w:i/>
      <w:szCs w:val="26"/>
    </w:rPr>
  </w:style>
  <w:style w:type="paragraph" w:styleId="Heading4">
    <w:name w:val="heading 4"/>
    <w:basedOn w:val="Normal"/>
    <w:next w:val="Normal"/>
    <w:link w:val="Heading4Char"/>
    <w:qFormat/>
    <w:rsid w:val="000868EC"/>
    <w:pPr>
      <w:numPr>
        <w:ilvl w:val="3"/>
        <w:numId w:val="1"/>
      </w:numPr>
      <w:outlineLvl w:val="3"/>
    </w:pPr>
  </w:style>
  <w:style w:type="paragraph" w:styleId="Heading5">
    <w:name w:val="heading 5"/>
    <w:basedOn w:val="Normal"/>
    <w:next w:val="Normal"/>
    <w:link w:val="Heading5Char"/>
    <w:qFormat/>
    <w:rsid w:val="000868EC"/>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0868E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0868EC"/>
    <w:pPr>
      <w:numPr>
        <w:ilvl w:val="6"/>
        <w:numId w:val="1"/>
      </w:numPr>
      <w:spacing w:before="240" w:after="60"/>
      <w:outlineLvl w:val="6"/>
    </w:pPr>
  </w:style>
  <w:style w:type="paragraph" w:styleId="Heading8">
    <w:name w:val="heading 8"/>
    <w:basedOn w:val="Normal"/>
    <w:next w:val="Normal"/>
    <w:link w:val="Heading8Char"/>
    <w:qFormat/>
    <w:rsid w:val="000868EC"/>
    <w:pPr>
      <w:numPr>
        <w:ilvl w:val="7"/>
        <w:numId w:val="1"/>
      </w:numPr>
      <w:spacing w:before="240" w:after="60"/>
      <w:outlineLvl w:val="7"/>
    </w:pPr>
    <w:rPr>
      <w:i/>
      <w:iCs/>
    </w:rPr>
  </w:style>
  <w:style w:type="paragraph" w:styleId="Heading9">
    <w:name w:val="heading 9"/>
    <w:basedOn w:val="Normal"/>
    <w:next w:val="Normal"/>
    <w:link w:val="Heading9Char"/>
    <w:qFormat/>
    <w:rsid w:val="000868E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8EC"/>
    <w:rPr>
      <w:rFonts w:eastAsia="Times New Roman" w:cs="Arial"/>
      <w:b/>
      <w:bCs/>
      <w:kern w:val="32"/>
      <w:sz w:val="28"/>
      <w:szCs w:val="32"/>
      <w:lang w:eastAsia="ro-RO"/>
    </w:rPr>
  </w:style>
  <w:style w:type="character" w:customStyle="1" w:styleId="Heading2Char">
    <w:name w:val="Heading 2 Char"/>
    <w:basedOn w:val="DefaultParagraphFont"/>
    <w:link w:val="Heading2"/>
    <w:rsid w:val="000868EC"/>
    <w:rPr>
      <w:rFonts w:eastAsia="Times New Roman" w:cs="Arial"/>
      <w:b/>
      <w:bCs/>
      <w:iCs/>
      <w:szCs w:val="28"/>
      <w:lang w:eastAsia="ro-RO"/>
    </w:rPr>
  </w:style>
  <w:style w:type="character" w:customStyle="1" w:styleId="Heading3Char">
    <w:name w:val="Heading 3 Char"/>
    <w:basedOn w:val="DefaultParagraphFont"/>
    <w:link w:val="Heading3"/>
    <w:rsid w:val="000868EC"/>
    <w:rPr>
      <w:rFonts w:eastAsia="Times New Roman" w:cs="Arial"/>
      <w:bCs/>
      <w:i/>
      <w:szCs w:val="26"/>
      <w:lang w:eastAsia="ro-RO"/>
    </w:rPr>
  </w:style>
  <w:style w:type="character" w:customStyle="1" w:styleId="Heading4Char">
    <w:name w:val="Heading 4 Char"/>
    <w:basedOn w:val="DefaultParagraphFont"/>
    <w:link w:val="Heading4"/>
    <w:rsid w:val="000868EC"/>
    <w:rPr>
      <w:rFonts w:eastAsia="Times New Roman" w:cs="Times New Roman"/>
      <w:lang w:eastAsia="ro-RO"/>
    </w:rPr>
  </w:style>
  <w:style w:type="character" w:customStyle="1" w:styleId="Heading5Char">
    <w:name w:val="Heading 5 Char"/>
    <w:basedOn w:val="DefaultParagraphFont"/>
    <w:link w:val="Heading5"/>
    <w:rsid w:val="000868EC"/>
    <w:rPr>
      <w:rFonts w:eastAsia="Times New Roman" w:cs="Times New Roman"/>
      <w:b/>
      <w:bCs/>
      <w:i/>
      <w:iCs/>
      <w:sz w:val="26"/>
      <w:szCs w:val="26"/>
      <w:lang w:eastAsia="ro-RO"/>
    </w:rPr>
  </w:style>
  <w:style w:type="character" w:customStyle="1" w:styleId="Heading6Char">
    <w:name w:val="Heading 6 Char"/>
    <w:basedOn w:val="DefaultParagraphFont"/>
    <w:link w:val="Heading6"/>
    <w:rsid w:val="000868EC"/>
    <w:rPr>
      <w:rFonts w:eastAsia="Times New Roman" w:cs="Times New Roman"/>
      <w:b/>
      <w:bCs/>
      <w:sz w:val="22"/>
      <w:szCs w:val="22"/>
      <w:lang w:eastAsia="ro-RO"/>
    </w:rPr>
  </w:style>
  <w:style w:type="character" w:customStyle="1" w:styleId="Heading7Char">
    <w:name w:val="Heading 7 Char"/>
    <w:basedOn w:val="DefaultParagraphFont"/>
    <w:link w:val="Heading7"/>
    <w:rsid w:val="000868EC"/>
    <w:rPr>
      <w:rFonts w:eastAsia="Times New Roman" w:cs="Times New Roman"/>
      <w:lang w:eastAsia="ro-RO"/>
    </w:rPr>
  </w:style>
  <w:style w:type="character" w:customStyle="1" w:styleId="Heading8Char">
    <w:name w:val="Heading 8 Char"/>
    <w:basedOn w:val="DefaultParagraphFont"/>
    <w:link w:val="Heading8"/>
    <w:rsid w:val="000868EC"/>
    <w:rPr>
      <w:rFonts w:eastAsia="Times New Roman" w:cs="Times New Roman"/>
      <w:i/>
      <w:iCs/>
      <w:lang w:eastAsia="ro-RO"/>
    </w:rPr>
  </w:style>
  <w:style w:type="character" w:customStyle="1" w:styleId="Heading9Char">
    <w:name w:val="Heading 9 Char"/>
    <w:basedOn w:val="DefaultParagraphFont"/>
    <w:link w:val="Heading9"/>
    <w:rsid w:val="000868EC"/>
    <w:rPr>
      <w:rFonts w:ascii="Arial" w:eastAsia="Times New Roman" w:hAnsi="Arial" w:cs="Arial"/>
      <w:sz w:val="22"/>
      <w:szCs w:val="22"/>
      <w:lang w:eastAsia="ro-RO"/>
    </w:rPr>
  </w:style>
  <w:style w:type="paragraph" w:styleId="Caption">
    <w:name w:val="caption"/>
    <w:basedOn w:val="Normal"/>
    <w:next w:val="Normal"/>
    <w:qFormat/>
    <w:rsid w:val="000868EC"/>
    <w:rPr>
      <w:b/>
      <w:bCs/>
      <w:sz w:val="20"/>
      <w:szCs w:val="20"/>
    </w:rPr>
  </w:style>
  <w:style w:type="paragraph" w:styleId="ListParagraph">
    <w:name w:val="List Paragraph"/>
    <w:basedOn w:val="Normal"/>
    <w:uiPriority w:val="34"/>
    <w:qFormat/>
    <w:rsid w:val="000868EC"/>
    <w:pPr>
      <w:ind w:left="720"/>
      <w:contextualSpacing/>
    </w:pPr>
    <w:rPr>
      <w:rFonts w:eastAsia="Calibri"/>
    </w:rPr>
  </w:style>
  <w:style w:type="paragraph" w:styleId="NormalWeb">
    <w:name w:val="Normal (Web)"/>
    <w:basedOn w:val="Normal"/>
    <w:uiPriority w:val="99"/>
    <w:unhideWhenUsed/>
    <w:rsid w:val="000868EC"/>
    <w:pPr>
      <w:spacing w:before="100" w:beforeAutospacing="1" w:after="100" w:afterAutospacing="1"/>
      <w:ind w:firstLine="0"/>
      <w:jc w:val="left"/>
    </w:pPr>
    <w:rPr>
      <w:lang w:val="en-US" w:eastAsia="en-US"/>
    </w:rPr>
  </w:style>
  <w:style w:type="paragraph" w:styleId="Title">
    <w:name w:val="Title"/>
    <w:basedOn w:val="Normal"/>
    <w:next w:val="Normal"/>
    <w:link w:val="TitleChar"/>
    <w:uiPriority w:val="10"/>
    <w:qFormat/>
    <w:rsid w:val="00387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33B"/>
    <w:rPr>
      <w:rFonts w:asciiTheme="majorHAnsi" w:eastAsiaTheme="majorEastAsia" w:hAnsiTheme="majorHAnsi" w:cstheme="majorBidi"/>
      <w:spacing w:val="-10"/>
      <w:kern w:val="28"/>
      <w:sz w:val="56"/>
      <w:szCs w:val="56"/>
      <w:lang w:eastAsia="ro-RO"/>
    </w:rPr>
  </w:style>
  <w:style w:type="character" w:styleId="Hyperlink">
    <w:name w:val="Hyperlink"/>
    <w:basedOn w:val="DefaultParagraphFont"/>
    <w:uiPriority w:val="99"/>
    <w:unhideWhenUsed/>
    <w:rsid w:val="00A71CCE"/>
    <w:rPr>
      <w:color w:val="0563C1" w:themeColor="hyperlink"/>
      <w:u w:val="single"/>
    </w:rPr>
  </w:style>
  <w:style w:type="table" w:styleId="TableGrid">
    <w:name w:val="Table Grid"/>
    <w:basedOn w:val="TableNormal"/>
    <w:uiPriority w:val="39"/>
    <w:rsid w:val="006F13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6E1643"/>
  </w:style>
  <w:style w:type="paragraph" w:styleId="BalloonText">
    <w:name w:val="Balloon Text"/>
    <w:basedOn w:val="Normal"/>
    <w:link w:val="BalloonTextChar"/>
    <w:uiPriority w:val="99"/>
    <w:semiHidden/>
    <w:unhideWhenUsed/>
    <w:rsid w:val="00801762"/>
    <w:rPr>
      <w:rFonts w:ascii="Tahoma" w:hAnsi="Tahoma" w:cs="Tahoma"/>
      <w:sz w:val="16"/>
      <w:szCs w:val="16"/>
    </w:rPr>
  </w:style>
  <w:style w:type="character" w:customStyle="1" w:styleId="BalloonTextChar">
    <w:name w:val="Balloon Text Char"/>
    <w:basedOn w:val="DefaultParagraphFont"/>
    <w:link w:val="BalloonText"/>
    <w:uiPriority w:val="99"/>
    <w:semiHidden/>
    <w:rsid w:val="00801762"/>
    <w:rPr>
      <w:rFonts w:ascii="Tahoma" w:eastAsia="Times New Roman" w:hAnsi="Tahoma" w:cs="Tahoma"/>
      <w:sz w:val="16"/>
      <w:szCs w:val="16"/>
      <w:lang w:eastAsia="ro-RO"/>
    </w:rPr>
  </w:style>
  <w:style w:type="paragraph" w:customStyle="1" w:styleId="CharCharCharCharCharCharChar">
    <w:name w:val="Char Char Char Char Char Char Char"/>
    <w:basedOn w:val="Normal"/>
    <w:rsid w:val="008A46A0"/>
    <w:pPr>
      <w:spacing w:after="160" w:line="240" w:lineRule="exact"/>
      <w:ind w:firstLine="0"/>
      <w:jc w:val="left"/>
    </w:pPr>
    <w:rPr>
      <w:rFonts w:ascii="Tahoma" w:hAnsi="Tahoma"/>
      <w:sz w:val="20"/>
      <w:szCs w:val="20"/>
      <w:lang w:val="en-US" w:eastAsia="en-US"/>
    </w:rPr>
  </w:style>
  <w:style w:type="paragraph" w:styleId="FootnoteText">
    <w:name w:val="footnote text"/>
    <w:basedOn w:val="Normal"/>
    <w:link w:val="FootnoteTextChar"/>
    <w:uiPriority w:val="99"/>
    <w:unhideWhenUsed/>
    <w:rsid w:val="000B3475"/>
    <w:pPr>
      <w:ind w:firstLine="0"/>
      <w:jc w:val="left"/>
    </w:pPr>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0B3475"/>
    <w:rPr>
      <w:rFonts w:asciiTheme="minorHAnsi" w:hAnsiTheme="minorHAnsi"/>
      <w:sz w:val="20"/>
      <w:szCs w:val="20"/>
      <w:lang w:val="en-US"/>
    </w:rPr>
  </w:style>
  <w:style w:type="character" w:styleId="FootnoteReference">
    <w:name w:val="footnote reference"/>
    <w:basedOn w:val="DefaultParagraphFont"/>
    <w:uiPriority w:val="99"/>
    <w:semiHidden/>
    <w:unhideWhenUsed/>
    <w:rsid w:val="000B3475"/>
    <w:rPr>
      <w:vertAlign w:val="superscript"/>
    </w:rPr>
  </w:style>
  <w:style w:type="character" w:styleId="FollowedHyperlink">
    <w:name w:val="FollowedHyperlink"/>
    <w:basedOn w:val="DefaultParagraphFont"/>
    <w:uiPriority w:val="99"/>
    <w:semiHidden/>
    <w:unhideWhenUsed/>
    <w:rsid w:val="00656B8D"/>
    <w:rPr>
      <w:color w:val="954F72" w:themeColor="followedHyperlink"/>
      <w:u w:val="single"/>
    </w:rPr>
  </w:style>
  <w:style w:type="paragraph" w:customStyle="1" w:styleId="Default">
    <w:name w:val="Default"/>
    <w:rsid w:val="00656B8D"/>
    <w:pPr>
      <w:autoSpaceDE w:val="0"/>
      <w:autoSpaceDN w:val="0"/>
      <w:adjustRightInd w:val="0"/>
      <w:spacing w:after="0"/>
      <w:ind w:firstLine="0"/>
      <w:jc w:val="left"/>
    </w:pPr>
    <w:rPr>
      <w:rFonts w:ascii="Charis SIL" w:hAnsi="Charis SIL" w:cs="Charis SIL"/>
      <w:color w:val="000000"/>
      <w:lang w:val="en-US"/>
    </w:rPr>
  </w:style>
  <w:style w:type="character" w:styleId="UnresolvedMention">
    <w:name w:val="Unresolved Mention"/>
    <w:basedOn w:val="DefaultParagraphFont"/>
    <w:uiPriority w:val="99"/>
    <w:semiHidden/>
    <w:unhideWhenUsed/>
    <w:rsid w:val="00E339BF"/>
    <w:rPr>
      <w:color w:val="605E5C"/>
      <w:shd w:val="clear" w:color="auto" w:fill="E1DFDD"/>
    </w:rPr>
  </w:style>
  <w:style w:type="table" w:styleId="LightGrid-Accent5">
    <w:name w:val="Light Grid Accent 5"/>
    <w:basedOn w:val="TableNormal"/>
    <w:uiPriority w:val="62"/>
    <w:rsid w:val="00E339BF"/>
    <w:pPr>
      <w:spacing w:after="0"/>
      <w:ind w:firstLine="0"/>
      <w:jc w:val="left"/>
    </w:pPr>
    <w:rPr>
      <w:rFonts w:asciiTheme="minorHAnsi" w:hAnsiTheme="minorHAns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18379">
      <w:bodyDiv w:val="1"/>
      <w:marLeft w:val="0"/>
      <w:marRight w:val="0"/>
      <w:marTop w:val="0"/>
      <w:marBottom w:val="0"/>
      <w:divBdr>
        <w:top w:val="none" w:sz="0" w:space="0" w:color="auto"/>
        <w:left w:val="none" w:sz="0" w:space="0" w:color="auto"/>
        <w:bottom w:val="none" w:sz="0" w:space="0" w:color="auto"/>
        <w:right w:val="none" w:sz="0" w:space="0" w:color="auto"/>
      </w:divBdr>
      <w:divsChild>
        <w:div w:id="820274804">
          <w:marLeft w:val="0"/>
          <w:marRight w:val="0"/>
          <w:marTop w:val="0"/>
          <w:marBottom w:val="0"/>
          <w:divBdr>
            <w:top w:val="none" w:sz="0" w:space="0" w:color="auto"/>
            <w:left w:val="none" w:sz="0" w:space="0" w:color="auto"/>
            <w:bottom w:val="none" w:sz="0" w:space="0" w:color="auto"/>
            <w:right w:val="none" w:sz="0" w:space="0" w:color="auto"/>
          </w:divBdr>
        </w:div>
      </w:divsChild>
    </w:div>
    <w:div w:id="435641389">
      <w:bodyDiv w:val="1"/>
      <w:marLeft w:val="0"/>
      <w:marRight w:val="0"/>
      <w:marTop w:val="0"/>
      <w:marBottom w:val="0"/>
      <w:divBdr>
        <w:top w:val="none" w:sz="0" w:space="0" w:color="auto"/>
        <w:left w:val="none" w:sz="0" w:space="0" w:color="auto"/>
        <w:bottom w:val="none" w:sz="0" w:space="0" w:color="auto"/>
        <w:right w:val="none" w:sz="0" w:space="0" w:color="auto"/>
      </w:divBdr>
    </w:div>
    <w:div w:id="563107360">
      <w:bodyDiv w:val="1"/>
      <w:marLeft w:val="0"/>
      <w:marRight w:val="0"/>
      <w:marTop w:val="0"/>
      <w:marBottom w:val="0"/>
      <w:divBdr>
        <w:top w:val="none" w:sz="0" w:space="0" w:color="auto"/>
        <w:left w:val="none" w:sz="0" w:space="0" w:color="auto"/>
        <w:bottom w:val="none" w:sz="0" w:space="0" w:color="auto"/>
        <w:right w:val="none" w:sz="0" w:space="0" w:color="auto"/>
      </w:divBdr>
    </w:div>
    <w:div w:id="613707950">
      <w:bodyDiv w:val="1"/>
      <w:marLeft w:val="0"/>
      <w:marRight w:val="0"/>
      <w:marTop w:val="0"/>
      <w:marBottom w:val="0"/>
      <w:divBdr>
        <w:top w:val="none" w:sz="0" w:space="0" w:color="auto"/>
        <w:left w:val="none" w:sz="0" w:space="0" w:color="auto"/>
        <w:bottom w:val="none" w:sz="0" w:space="0" w:color="auto"/>
        <w:right w:val="none" w:sz="0" w:space="0" w:color="auto"/>
      </w:divBdr>
    </w:div>
    <w:div w:id="679702790">
      <w:bodyDiv w:val="1"/>
      <w:marLeft w:val="0"/>
      <w:marRight w:val="0"/>
      <w:marTop w:val="0"/>
      <w:marBottom w:val="0"/>
      <w:divBdr>
        <w:top w:val="none" w:sz="0" w:space="0" w:color="auto"/>
        <w:left w:val="none" w:sz="0" w:space="0" w:color="auto"/>
        <w:bottom w:val="none" w:sz="0" w:space="0" w:color="auto"/>
        <w:right w:val="none" w:sz="0" w:space="0" w:color="auto"/>
      </w:divBdr>
    </w:div>
    <w:div w:id="1050030688">
      <w:bodyDiv w:val="1"/>
      <w:marLeft w:val="0"/>
      <w:marRight w:val="0"/>
      <w:marTop w:val="0"/>
      <w:marBottom w:val="0"/>
      <w:divBdr>
        <w:top w:val="none" w:sz="0" w:space="0" w:color="auto"/>
        <w:left w:val="none" w:sz="0" w:space="0" w:color="auto"/>
        <w:bottom w:val="none" w:sz="0" w:space="0" w:color="auto"/>
        <w:right w:val="none" w:sz="0" w:space="0" w:color="auto"/>
      </w:divBdr>
    </w:div>
    <w:div w:id="1211960982">
      <w:bodyDiv w:val="1"/>
      <w:marLeft w:val="0"/>
      <w:marRight w:val="0"/>
      <w:marTop w:val="0"/>
      <w:marBottom w:val="0"/>
      <w:divBdr>
        <w:top w:val="none" w:sz="0" w:space="0" w:color="auto"/>
        <w:left w:val="none" w:sz="0" w:space="0" w:color="auto"/>
        <w:bottom w:val="none" w:sz="0" w:space="0" w:color="auto"/>
        <w:right w:val="none" w:sz="0" w:space="0" w:color="auto"/>
      </w:divBdr>
    </w:div>
    <w:div w:id="1353725188">
      <w:bodyDiv w:val="1"/>
      <w:marLeft w:val="0"/>
      <w:marRight w:val="0"/>
      <w:marTop w:val="0"/>
      <w:marBottom w:val="0"/>
      <w:divBdr>
        <w:top w:val="none" w:sz="0" w:space="0" w:color="auto"/>
        <w:left w:val="none" w:sz="0" w:space="0" w:color="auto"/>
        <w:bottom w:val="none" w:sz="0" w:space="0" w:color="auto"/>
        <w:right w:val="none" w:sz="0" w:space="0" w:color="auto"/>
      </w:divBdr>
    </w:div>
    <w:div w:id="137946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int/publications/i/item/97892415656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global-status-report-on-alcohol-and-health-201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ecd.org/en/publications/preventing-harmful-alcohol-use_6e4b4ffb-en.htm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76A2-985D-4DE4-B470-99A65A8B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13</Pages>
  <Words>5750</Words>
  <Characters>32778</Characters>
  <Application>Microsoft Office Word</Application>
  <DocSecurity>0</DocSecurity>
  <Lines>273</Lines>
  <Paragraphs>76</Paragraphs>
  <ScaleCrop>false</ScaleCrop>
  <HeadingPairs>
    <vt:vector size="6" baseType="variant">
      <vt:variant>
        <vt:lpstr>Title</vt:lpstr>
      </vt:variant>
      <vt:variant>
        <vt:i4>1</vt:i4>
      </vt:variant>
      <vt:variant>
        <vt:lpstr>Headings</vt:lpstr>
      </vt:variant>
      <vt:variant>
        <vt:i4>3</vt:i4>
      </vt:variant>
      <vt:variant>
        <vt:lpstr>Titlu</vt:lpstr>
      </vt:variant>
      <vt:variant>
        <vt:i4>1</vt:i4>
      </vt:variant>
    </vt:vector>
  </HeadingPairs>
  <TitlesOfParts>
    <vt:vector size="5" baseType="lpstr">
      <vt:lpstr/>
      <vt:lpstr>        Table no. 1. Alcohol consumption in EU countries. Comparison for 2010 and 2019</vt:lpstr>
      <vt:lpstr>    Figure no. 3. Histograma</vt:lpstr>
      <vt:lpstr>    Figure no. 4. Normal P-P Plot</vt:lpstr>
      <vt:lpstr/>
    </vt:vector>
  </TitlesOfParts>
  <Company/>
  <LinksUpToDate>false</LinksUpToDate>
  <CharactersWithSpaces>38452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Coca Cristina</dc:creator>
  <cp:lastModifiedBy>User</cp:lastModifiedBy>
  <cp:revision>13</cp:revision>
  <dcterms:created xsi:type="dcterms:W3CDTF">2023-12-21T17:53:00Z</dcterms:created>
  <dcterms:modified xsi:type="dcterms:W3CDTF">2024-12-09T07:23:00Z</dcterms:modified>
</cp:coreProperties>
</file>