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27F7" w14:textId="448D16D5" w:rsidR="00C3234D" w:rsidRDefault="006F2B03" w:rsidP="008E2555">
      <w:pPr>
        <w:pStyle w:val="Heading1"/>
        <w:spacing w:after="240" w:line="240" w:lineRule="auto"/>
        <w:jc w:val="center"/>
        <w:rPr>
          <w:rFonts w:ascii="Times New Roman" w:hAnsi="Times New Roman" w:cs="Times New Roman"/>
          <w:b/>
          <w:bCs/>
          <w:color w:val="000000" w:themeColor="text1"/>
          <w:sz w:val="28"/>
          <w:szCs w:val="28"/>
          <w:lang w:val="ro-RO"/>
        </w:rPr>
      </w:pPr>
      <w:bookmarkStart w:id="0" w:name="_Toc106635312"/>
      <w:bookmarkStart w:id="1" w:name="_Toc106731992"/>
      <w:r w:rsidRPr="00A312B9">
        <w:rPr>
          <w:rFonts w:ascii="Times New Roman" w:hAnsi="Times New Roman" w:cs="Times New Roman"/>
          <w:b/>
          <w:bCs/>
          <w:color w:val="000000" w:themeColor="text1"/>
          <w:sz w:val="28"/>
          <w:szCs w:val="28"/>
          <w:lang w:val="ro-RO"/>
        </w:rPr>
        <w:t>FACTORI MACROECONOMICI DETERMINAȚI ASUPRA FALIM</w:t>
      </w:r>
      <w:r w:rsidR="0035569E" w:rsidRPr="00A312B9">
        <w:rPr>
          <w:rFonts w:ascii="Times New Roman" w:hAnsi="Times New Roman" w:cs="Times New Roman"/>
          <w:b/>
          <w:bCs/>
          <w:color w:val="000000" w:themeColor="text1"/>
          <w:sz w:val="28"/>
          <w:szCs w:val="28"/>
          <w:lang w:val="ro-RO"/>
        </w:rPr>
        <w:t>ENTULUI ENTITĂȚILE ECONOMICE</w:t>
      </w:r>
      <w:bookmarkEnd w:id="0"/>
      <w:bookmarkEnd w:id="1"/>
    </w:p>
    <w:p w14:paraId="4D85045E" w14:textId="390258D1" w:rsidR="00C028C8" w:rsidRPr="003110AB" w:rsidRDefault="00C028C8" w:rsidP="000A43E5">
      <w:pPr>
        <w:autoSpaceDE w:val="0"/>
        <w:autoSpaceDN w:val="0"/>
        <w:adjustRightInd w:val="0"/>
        <w:spacing w:after="0" w:line="240" w:lineRule="auto"/>
        <w:jc w:val="center"/>
        <w:rPr>
          <w:rFonts w:ascii="Times New Roman" w:hAnsi="Times New Roman" w:cs="Times New Roman"/>
          <w:b/>
          <w:bCs/>
          <w:sz w:val="20"/>
          <w:szCs w:val="20"/>
          <w:lang w:val="ro-RO"/>
        </w:rPr>
      </w:pPr>
      <w:r w:rsidRPr="003110AB">
        <w:rPr>
          <w:rFonts w:ascii="Times New Roman" w:hAnsi="Times New Roman" w:cs="Times New Roman"/>
          <w:b/>
          <w:bCs/>
          <w:sz w:val="20"/>
          <w:szCs w:val="20"/>
          <w:lang w:val="ro-RO"/>
        </w:rPr>
        <w:t>Drd. Sorin Șom</w:t>
      </w:r>
      <w:r w:rsidR="000A43E5" w:rsidRPr="003110AB">
        <w:rPr>
          <w:rFonts w:ascii="Times New Roman" w:hAnsi="Times New Roman" w:cs="Times New Roman"/>
          <w:b/>
          <w:bCs/>
          <w:sz w:val="20"/>
          <w:szCs w:val="20"/>
          <w:lang w:val="ro-RO"/>
        </w:rPr>
        <w:t>î</w:t>
      </w:r>
      <w:r w:rsidRPr="003110AB">
        <w:rPr>
          <w:rFonts w:ascii="Times New Roman" w:hAnsi="Times New Roman" w:cs="Times New Roman"/>
          <w:b/>
          <w:bCs/>
          <w:sz w:val="20"/>
          <w:szCs w:val="20"/>
          <w:lang w:val="ro-RO"/>
        </w:rPr>
        <w:t>tcă</w:t>
      </w:r>
    </w:p>
    <w:p w14:paraId="717AE01C" w14:textId="77777777" w:rsidR="00006EF6" w:rsidRPr="003110AB" w:rsidRDefault="00006EF6" w:rsidP="000A43E5">
      <w:pPr>
        <w:autoSpaceDE w:val="0"/>
        <w:autoSpaceDN w:val="0"/>
        <w:adjustRightInd w:val="0"/>
        <w:spacing w:after="0" w:line="240" w:lineRule="auto"/>
        <w:jc w:val="center"/>
        <w:rPr>
          <w:rFonts w:ascii="Times New Roman" w:hAnsi="Times New Roman" w:cs="Times New Roman"/>
          <w:b/>
          <w:bCs/>
          <w:sz w:val="20"/>
          <w:szCs w:val="20"/>
          <w:lang w:val="ro-RO"/>
        </w:rPr>
      </w:pPr>
      <w:r w:rsidRPr="003110AB">
        <w:rPr>
          <w:rFonts w:ascii="Times New Roman" w:hAnsi="Times New Roman" w:cs="Times New Roman"/>
          <w:b/>
          <w:bCs/>
          <w:sz w:val="20"/>
          <w:szCs w:val="20"/>
          <w:lang w:val="ro-RO"/>
        </w:rPr>
        <w:t>Coordonator șțiintific Prof. Univ. Dr. Elena HLACIUC</w:t>
      </w:r>
    </w:p>
    <w:p w14:paraId="32D23617" w14:textId="77777777" w:rsidR="00006EF6" w:rsidRPr="000A43E5" w:rsidRDefault="00006EF6" w:rsidP="000A43E5">
      <w:pPr>
        <w:autoSpaceDE w:val="0"/>
        <w:autoSpaceDN w:val="0"/>
        <w:adjustRightInd w:val="0"/>
        <w:spacing w:after="0" w:line="240" w:lineRule="auto"/>
        <w:jc w:val="center"/>
        <w:rPr>
          <w:rFonts w:ascii="Times New Roman" w:hAnsi="Times New Roman" w:cs="Times New Roman"/>
          <w:i/>
          <w:iCs/>
          <w:sz w:val="20"/>
          <w:szCs w:val="20"/>
          <w:lang w:val="ro-RO"/>
        </w:rPr>
      </w:pPr>
      <w:r w:rsidRPr="000A43E5">
        <w:rPr>
          <w:rFonts w:ascii="Times New Roman" w:hAnsi="Times New Roman" w:cs="Times New Roman"/>
          <w:i/>
          <w:iCs/>
          <w:sz w:val="20"/>
          <w:szCs w:val="20"/>
          <w:lang w:val="ro-RO"/>
        </w:rPr>
        <w:t>Universitatea Ștefan cel Mare Suceava, România</w:t>
      </w:r>
    </w:p>
    <w:p w14:paraId="23CB17DD" w14:textId="53155F0F" w:rsidR="000A43E5" w:rsidRPr="000A43E5" w:rsidRDefault="000A43E5" w:rsidP="000A43E5">
      <w:pPr>
        <w:autoSpaceDE w:val="0"/>
        <w:autoSpaceDN w:val="0"/>
        <w:adjustRightInd w:val="0"/>
        <w:spacing w:after="0" w:line="240" w:lineRule="auto"/>
        <w:jc w:val="center"/>
        <w:rPr>
          <w:rFonts w:ascii="Times New Roman" w:hAnsi="Times New Roman" w:cs="Times New Roman"/>
          <w:i/>
          <w:iCs/>
          <w:sz w:val="20"/>
          <w:szCs w:val="20"/>
          <w:lang w:val="ro-RO"/>
        </w:rPr>
      </w:pPr>
      <w:hyperlink r:id="rId8" w:history="1">
        <w:r w:rsidRPr="000A43E5">
          <w:rPr>
            <w:rFonts w:ascii="Times New Roman" w:hAnsi="Times New Roman" w:cs="Times New Roman"/>
            <w:i/>
            <w:iCs/>
            <w:sz w:val="20"/>
            <w:szCs w:val="20"/>
            <w:lang w:val="ro-RO"/>
          </w:rPr>
          <w:t>sorin.somitca@gmail.co</w:t>
        </w:r>
      </w:hyperlink>
      <w:r w:rsidR="003110AB">
        <w:rPr>
          <w:rFonts w:ascii="Times New Roman" w:hAnsi="Times New Roman" w:cs="Times New Roman"/>
          <w:i/>
          <w:iCs/>
          <w:sz w:val="20"/>
          <w:szCs w:val="20"/>
          <w:lang w:val="ro-RO"/>
        </w:rPr>
        <w:t>m</w:t>
      </w:r>
    </w:p>
    <w:p w14:paraId="7F06A214" w14:textId="20EAB116" w:rsidR="000A43E5" w:rsidRPr="000A43E5" w:rsidRDefault="000A43E5" w:rsidP="000A43E5">
      <w:pPr>
        <w:autoSpaceDE w:val="0"/>
        <w:autoSpaceDN w:val="0"/>
        <w:adjustRightInd w:val="0"/>
        <w:spacing w:after="0" w:line="240" w:lineRule="auto"/>
        <w:jc w:val="center"/>
        <w:rPr>
          <w:rFonts w:ascii="Times New Roman" w:hAnsi="Times New Roman" w:cs="Times New Roman"/>
          <w:i/>
          <w:iCs/>
          <w:sz w:val="20"/>
          <w:szCs w:val="20"/>
          <w:lang w:val="ro-RO"/>
        </w:rPr>
      </w:pPr>
      <w:hyperlink r:id="rId9" w:history="1">
        <w:r w:rsidRPr="000A43E5">
          <w:rPr>
            <w:rFonts w:ascii="Times New Roman" w:hAnsi="Times New Roman" w:cs="Times New Roman"/>
            <w:i/>
            <w:iCs/>
            <w:sz w:val="20"/>
            <w:szCs w:val="20"/>
            <w:lang w:val="ro-RO"/>
          </w:rPr>
          <w:t>elena.hlaciuc@usm.ro</w:t>
        </w:r>
      </w:hyperlink>
    </w:p>
    <w:p w14:paraId="4D271BD2" w14:textId="2BD755E3" w:rsidR="00006EF6" w:rsidRPr="00C028C8" w:rsidRDefault="00006EF6" w:rsidP="00C028C8">
      <w:pPr>
        <w:rPr>
          <w:lang w:val="ro-RO"/>
        </w:rPr>
      </w:pPr>
      <w:r>
        <w:rPr>
          <w:lang w:val="ro-RO"/>
        </w:rPr>
        <w:t xml:space="preserve"> </w:t>
      </w:r>
    </w:p>
    <w:p w14:paraId="4379CF75" w14:textId="77777777" w:rsidR="00AB45F6" w:rsidRPr="00A312B9" w:rsidRDefault="00AB45F6" w:rsidP="00F549F7">
      <w:pPr>
        <w:autoSpaceDE w:val="0"/>
        <w:autoSpaceDN w:val="0"/>
        <w:adjustRightInd w:val="0"/>
        <w:spacing w:after="0" w:line="240" w:lineRule="auto"/>
        <w:jc w:val="both"/>
        <w:rPr>
          <w:rFonts w:ascii="Times New Roman" w:hAnsi="Times New Roman" w:cs="Times New Roman"/>
          <w:b/>
          <w:bCs/>
          <w:sz w:val="24"/>
          <w:szCs w:val="24"/>
          <w:lang w:val="ro-RO"/>
        </w:rPr>
      </w:pPr>
      <w:r w:rsidRPr="00A312B9">
        <w:rPr>
          <w:rFonts w:ascii="Times New Roman" w:hAnsi="Times New Roman" w:cs="Times New Roman"/>
          <w:b/>
          <w:bCs/>
          <w:sz w:val="24"/>
          <w:szCs w:val="24"/>
          <w:lang w:val="ro-RO"/>
        </w:rPr>
        <w:t>Abstract</w:t>
      </w:r>
    </w:p>
    <w:p w14:paraId="0B6097F5" w14:textId="212B8178" w:rsidR="00EF40E9" w:rsidRPr="00A312B9" w:rsidRDefault="002110AC" w:rsidP="00F549F7">
      <w:pPr>
        <w:autoSpaceDE w:val="0"/>
        <w:autoSpaceDN w:val="0"/>
        <w:adjustRightInd w:val="0"/>
        <w:spacing w:after="0" w:line="240" w:lineRule="auto"/>
        <w:jc w:val="both"/>
        <w:rPr>
          <w:rFonts w:ascii="Times New Roman" w:hAnsi="Times New Roman" w:cs="Times New Roman"/>
          <w:i/>
          <w:iCs/>
          <w:sz w:val="20"/>
          <w:szCs w:val="20"/>
          <w:lang w:val="ro-RO"/>
        </w:rPr>
      </w:pPr>
      <w:r w:rsidRPr="00A312B9">
        <w:rPr>
          <w:rFonts w:ascii="Times New Roman" w:hAnsi="Times New Roman" w:cs="Times New Roman"/>
          <w:i/>
          <w:iCs/>
          <w:sz w:val="20"/>
          <w:szCs w:val="20"/>
          <w:lang w:val="ro-RO"/>
        </w:rPr>
        <w:t xml:space="preserve">Falimentul entităților economice este un fenomen extrem de important în economia de piață, cu precădere </w:t>
      </w:r>
      <w:r w:rsidR="00FA185F" w:rsidRPr="00A312B9">
        <w:rPr>
          <w:rFonts w:ascii="Times New Roman" w:hAnsi="Times New Roman" w:cs="Times New Roman"/>
          <w:i/>
          <w:iCs/>
          <w:sz w:val="20"/>
          <w:szCs w:val="20"/>
          <w:lang w:val="ro-RO"/>
        </w:rPr>
        <w:t xml:space="preserve">în vremurile </w:t>
      </w:r>
      <w:r w:rsidR="005C360A" w:rsidRPr="00A312B9">
        <w:rPr>
          <w:rFonts w:ascii="Times New Roman" w:hAnsi="Times New Roman" w:cs="Times New Roman"/>
          <w:i/>
          <w:iCs/>
          <w:sz w:val="20"/>
          <w:szCs w:val="20"/>
          <w:lang w:val="ro-RO"/>
        </w:rPr>
        <w:t xml:space="preserve">provocatoare </w:t>
      </w:r>
      <w:r w:rsidR="006D1342" w:rsidRPr="00A312B9">
        <w:rPr>
          <w:rFonts w:ascii="Times New Roman" w:hAnsi="Times New Roman" w:cs="Times New Roman"/>
          <w:i/>
          <w:iCs/>
          <w:sz w:val="20"/>
          <w:szCs w:val="20"/>
          <w:lang w:val="ro-RO"/>
        </w:rPr>
        <w:t xml:space="preserve">la </w:t>
      </w:r>
      <w:r w:rsidR="005C360A" w:rsidRPr="00A312B9">
        <w:rPr>
          <w:rFonts w:ascii="Times New Roman" w:hAnsi="Times New Roman" w:cs="Times New Roman"/>
          <w:i/>
          <w:iCs/>
          <w:sz w:val="20"/>
          <w:szCs w:val="20"/>
          <w:lang w:val="ro-RO"/>
        </w:rPr>
        <w:t>care suntem contemporani</w:t>
      </w:r>
      <w:r w:rsidR="006D1342" w:rsidRPr="00A312B9">
        <w:rPr>
          <w:rFonts w:ascii="Times New Roman" w:hAnsi="Times New Roman" w:cs="Times New Roman"/>
          <w:i/>
          <w:iCs/>
          <w:sz w:val="20"/>
          <w:szCs w:val="20"/>
          <w:lang w:val="ro-RO"/>
        </w:rPr>
        <w:t>. Economia țărilor lumii cunoaște turbulențe</w:t>
      </w:r>
      <w:r w:rsidR="004734E7" w:rsidRPr="00A312B9">
        <w:rPr>
          <w:rFonts w:ascii="Times New Roman" w:hAnsi="Times New Roman" w:cs="Times New Roman"/>
          <w:i/>
          <w:iCs/>
          <w:sz w:val="20"/>
          <w:szCs w:val="20"/>
          <w:lang w:val="ro-RO"/>
        </w:rPr>
        <w:t xml:space="preserve"> permanente, o așa numită </w:t>
      </w:r>
      <w:r w:rsidR="00E363E7" w:rsidRPr="00A312B9">
        <w:rPr>
          <w:rFonts w:ascii="Times New Roman" w:hAnsi="Times New Roman" w:cs="Times New Roman"/>
          <w:i/>
          <w:iCs/>
          <w:sz w:val="20"/>
          <w:szCs w:val="20"/>
          <w:lang w:val="ro-RO"/>
        </w:rPr>
        <w:t>‚policriză’ în care se resimt i</w:t>
      </w:r>
      <w:r w:rsidR="009B5A73" w:rsidRPr="00A312B9">
        <w:rPr>
          <w:rFonts w:ascii="Times New Roman" w:hAnsi="Times New Roman" w:cs="Times New Roman"/>
          <w:i/>
          <w:iCs/>
          <w:sz w:val="20"/>
          <w:szCs w:val="20"/>
          <w:lang w:val="ro-RO"/>
        </w:rPr>
        <w:t>nfluențe diverse</w:t>
      </w:r>
      <w:r w:rsidR="00A058B2" w:rsidRPr="00A312B9">
        <w:rPr>
          <w:rFonts w:ascii="Times New Roman" w:hAnsi="Times New Roman" w:cs="Times New Roman"/>
          <w:i/>
          <w:iCs/>
          <w:sz w:val="20"/>
          <w:szCs w:val="20"/>
          <w:lang w:val="ro-RO"/>
        </w:rPr>
        <w:t>,</w:t>
      </w:r>
      <w:r w:rsidR="009B5A73" w:rsidRPr="00A312B9">
        <w:rPr>
          <w:rFonts w:ascii="Times New Roman" w:hAnsi="Times New Roman" w:cs="Times New Roman"/>
          <w:i/>
          <w:iCs/>
          <w:sz w:val="20"/>
          <w:szCs w:val="20"/>
          <w:lang w:val="ro-RO"/>
        </w:rPr>
        <w:t xml:space="preserve"> uneori concomitente</w:t>
      </w:r>
      <w:r w:rsidR="005C360A" w:rsidRPr="00A312B9">
        <w:rPr>
          <w:rFonts w:ascii="Times New Roman" w:hAnsi="Times New Roman" w:cs="Times New Roman"/>
          <w:i/>
          <w:iCs/>
          <w:sz w:val="20"/>
          <w:szCs w:val="20"/>
          <w:lang w:val="ro-RO"/>
        </w:rPr>
        <w:t>,</w:t>
      </w:r>
      <w:r w:rsidR="00A058B2" w:rsidRPr="00A312B9">
        <w:rPr>
          <w:rFonts w:ascii="Times New Roman" w:hAnsi="Times New Roman" w:cs="Times New Roman"/>
          <w:i/>
          <w:iCs/>
          <w:sz w:val="20"/>
          <w:szCs w:val="20"/>
          <w:lang w:val="ro-RO"/>
        </w:rPr>
        <w:t xml:space="preserve"> din mai multe părți</w:t>
      </w:r>
      <w:r w:rsidR="003E78CF" w:rsidRPr="00A312B9">
        <w:rPr>
          <w:rFonts w:ascii="Times New Roman" w:hAnsi="Times New Roman" w:cs="Times New Roman"/>
          <w:i/>
          <w:iCs/>
          <w:sz w:val="20"/>
          <w:szCs w:val="20"/>
          <w:lang w:val="ro-RO"/>
        </w:rPr>
        <w:t>, poate destabiliza și înrăutăți situația entităților economice. Din acest motiv, o atenție permanentă se impune</w:t>
      </w:r>
      <w:r w:rsidR="00206987" w:rsidRPr="00A312B9">
        <w:rPr>
          <w:rFonts w:ascii="Times New Roman" w:hAnsi="Times New Roman" w:cs="Times New Roman"/>
          <w:i/>
          <w:iCs/>
          <w:sz w:val="20"/>
          <w:szCs w:val="20"/>
          <w:lang w:val="ro-RO"/>
        </w:rPr>
        <w:t xml:space="preserve"> în ceea ce privește evoluția falimentelor țărilor lumii pentru a preveni sau previoziona eventualele riscuri</w:t>
      </w:r>
      <w:r w:rsidR="0060046E" w:rsidRPr="00A312B9">
        <w:rPr>
          <w:rFonts w:ascii="Times New Roman" w:hAnsi="Times New Roman" w:cs="Times New Roman"/>
          <w:i/>
          <w:iCs/>
          <w:sz w:val="20"/>
          <w:szCs w:val="20"/>
          <w:lang w:val="ro-RO"/>
        </w:rPr>
        <w:t xml:space="preserve"> și astfel pentru a evita pe </w:t>
      </w:r>
      <w:r w:rsidR="00FF3A77" w:rsidRPr="00A312B9">
        <w:rPr>
          <w:rFonts w:ascii="Times New Roman" w:hAnsi="Times New Roman" w:cs="Times New Roman"/>
          <w:i/>
          <w:iCs/>
          <w:sz w:val="20"/>
          <w:szCs w:val="20"/>
          <w:lang w:val="ro-RO"/>
        </w:rPr>
        <w:t>cît posibil eșecu</w:t>
      </w:r>
      <w:r w:rsidR="00565CED" w:rsidRPr="00A312B9">
        <w:rPr>
          <w:rFonts w:ascii="Times New Roman" w:hAnsi="Times New Roman" w:cs="Times New Roman"/>
          <w:i/>
          <w:iCs/>
          <w:sz w:val="20"/>
          <w:szCs w:val="20"/>
          <w:lang w:val="ro-RO"/>
        </w:rPr>
        <w:t>rile intreprinderilor</w:t>
      </w:r>
      <w:r w:rsidR="005A5D3F" w:rsidRPr="00A312B9">
        <w:rPr>
          <w:rFonts w:ascii="Times New Roman" w:hAnsi="Times New Roman" w:cs="Times New Roman"/>
          <w:i/>
          <w:iCs/>
          <w:sz w:val="20"/>
          <w:szCs w:val="20"/>
          <w:lang w:val="ro-RO"/>
        </w:rPr>
        <w:t xml:space="preserve">. </w:t>
      </w:r>
      <w:r w:rsidR="00E9699F" w:rsidRPr="00A312B9">
        <w:rPr>
          <w:rFonts w:ascii="Times New Roman" w:hAnsi="Times New Roman" w:cs="Times New Roman"/>
          <w:i/>
          <w:iCs/>
          <w:sz w:val="20"/>
          <w:szCs w:val="20"/>
          <w:lang w:val="ro-RO"/>
        </w:rPr>
        <w:t>Studiul urmărește identificarea legat</w:t>
      </w:r>
      <w:r w:rsidR="00A312B9">
        <w:rPr>
          <w:rFonts w:ascii="Times New Roman" w:hAnsi="Times New Roman" w:cs="Times New Roman"/>
          <w:i/>
          <w:iCs/>
          <w:sz w:val="20"/>
          <w:szCs w:val="20"/>
          <w:lang w:val="ro-RO"/>
        </w:rPr>
        <w:t>u</w:t>
      </w:r>
      <w:r w:rsidR="00E9699F" w:rsidRPr="00A312B9">
        <w:rPr>
          <w:rFonts w:ascii="Times New Roman" w:hAnsi="Times New Roman" w:cs="Times New Roman"/>
          <w:i/>
          <w:iCs/>
          <w:sz w:val="20"/>
          <w:szCs w:val="20"/>
          <w:lang w:val="ro-RO"/>
        </w:rPr>
        <w:t>rilor și a influenței factorilor macroeconomici asupra falimentului organizațiilor la nivelul Uniunii Euro</w:t>
      </w:r>
      <w:r w:rsidR="00CE1736" w:rsidRPr="00A312B9">
        <w:rPr>
          <w:rFonts w:ascii="Times New Roman" w:hAnsi="Times New Roman" w:cs="Times New Roman"/>
          <w:i/>
          <w:iCs/>
          <w:sz w:val="20"/>
          <w:szCs w:val="20"/>
          <w:lang w:val="ro-RO"/>
        </w:rPr>
        <w:t xml:space="preserve">pene, </w:t>
      </w:r>
      <w:r w:rsidR="00FB3277" w:rsidRPr="00A312B9">
        <w:rPr>
          <w:rFonts w:ascii="Times New Roman" w:hAnsi="Times New Roman" w:cs="Times New Roman"/>
          <w:i/>
          <w:iCs/>
          <w:sz w:val="20"/>
          <w:szCs w:val="20"/>
          <w:lang w:val="ro-RO"/>
        </w:rPr>
        <w:t xml:space="preserve">după realizarea unei analize bibliometrice </w:t>
      </w:r>
      <w:r w:rsidR="004D3543" w:rsidRPr="00A312B9">
        <w:rPr>
          <w:rFonts w:ascii="Times New Roman" w:hAnsi="Times New Roman" w:cs="Times New Roman"/>
          <w:i/>
          <w:iCs/>
          <w:sz w:val="20"/>
          <w:szCs w:val="20"/>
          <w:lang w:val="ro-RO"/>
        </w:rPr>
        <w:t xml:space="preserve">pentru a </w:t>
      </w:r>
      <w:r w:rsidR="003B1632" w:rsidRPr="00A312B9">
        <w:rPr>
          <w:rFonts w:ascii="Times New Roman" w:hAnsi="Times New Roman" w:cs="Times New Roman"/>
          <w:i/>
          <w:iCs/>
          <w:sz w:val="20"/>
          <w:szCs w:val="20"/>
          <w:lang w:val="ro-RO"/>
        </w:rPr>
        <w:t xml:space="preserve">identifica care este nivelul cunoasterii la acest moment precum și </w:t>
      </w:r>
      <w:r w:rsidR="00A312B9">
        <w:rPr>
          <w:rFonts w:ascii="Times New Roman" w:hAnsi="Times New Roman" w:cs="Times New Roman"/>
          <w:i/>
          <w:iCs/>
          <w:sz w:val="20"/>
          <w:szCs w:val="20"/>
          <w:lang w:val="ro-RO"/>
        </w:rPr>
        <w:t xml:space="preserve">a </w:t>
      </w:r>
      <w:r w:rsidR="003B1632" w:rsidRPr="00A312B9">
        <w:rPr>
          <w:rFonts w:ascii="Times New Roman" w:hAnsi="Times New Roman" w:cs="Times New Roman"/>
          <w:i/>
          <w:iCs/>
          <w:sz w:val="20"/>
          <w:szCs w:val="20"/>
          <w:lang w:val="ro-RO"/>
        </w:rPr>
        <w:t>direcțiil</w:t>
      </w:r>
      <w:r w:rsidR="00A312B9">
        <w:rPr>
          <w:rFonts w:ascii="Times New Roman" w:hAnsi="Times New Roman" w:cs="Times New Roman"/>
          <w:i/>
          <w:iCs/>
          <w:sz w:val="20"/>
          <w:szCs w:val="20"/>
          <w:lang w:val="ro-RO"/>
        </w:rPr>
        <w:t>or</w:t>
      </w:r>
      <w:r w:rsidR="003B1632" w:rsidRPr="00A312B9">
        <w:rPr>
          <w:rFonts w:ascii="Times New Roman" w:hAnsi="Times New Roman" w:cs="Times New Roman"/>
          <w:i/>
          <w:iCs/>
          <w:sz w:val="20"/>
          <w:szCs w:val="20"/>
          <w:lang w:val="ro-RO"/>
        </w:rPr>
        <w:t xml:space="preserve"> viiotare de cercetare. In baza </w:t>
      </w:r>
      <w:r w:rsidR="00547C3A" w:rsidRPr="00A312B9">
        <w:rPr>
          <w:rFonts w:ascii="Times New Roman" w:hAnsi="Times New Roman" w:cs="Times New Roman"/>
          <w:i/>
          <w:iCs/>
          <w:sz w:val="20"/>
          <w:szCs w:val="20"/>
          <w:lang w:val="ro-RO"/>
        </w:rPr>
        <w:t>model</w:t>
      </w:r>
      <w:r w:rsidR="00A312B9">
        <w:rPr>
          <w:rFonts w:ascii="Times New Roman" w:hAnsi="Times New Roman" w:cs="Times New Roman"/>
          <w:i/>
          <w:iCs/>
          <w:sz w:val="20"/>
          <w:szCs w:val="20"/>
          <w:lang w:val="ro-RO"/>
        </w:rPr>
        <w:t>ă</w:t>
      </w:r>
      <w:r w:rsidR="00547C3A" w:rsidRPr="00A312B9">
        <w:rPr>
          <w:rFonts w:ascii="Times New Roman" w:hAnsi="Times New Roman" w:cs="Times New Roman"/>
          <w:i/>
          <w:iCs/>
          <w:sz w:val="20"/>
          <w:szCs w:val="20"/>
          <w:lang w:val="ro-RO"/>
        </w:rPr>
        <w:t>rii econometrice, am identificat c</w:t>
      </w:r>
      <w:r w:rsidR="00A312B9">
        <w:rPr>
          <w:rFonts w:ascii="Times New Roman" w:hAnsi="Times New Roman" w:cs="Times New Roman"/>
          <w:i/>
          <w:iCs/>
          <w:sz w:val="20"/>
          <w:szCs w:val="20"/>
          <w:lang w:val="ro-RO"/>
        </w:rPr>
        <w:t xml:space="preserve">um </w:t>
      </w:r>
      <w:r w:rsidR="00547C3A" w:rsidRPr="00A312B9">
        <w:rPr>
          <w:rFonts w:ascii="Times New Roman" w:hAnsi="Times New Roman" w:cs="Times New Roman"/>
          <w:i/>
          <w:iCs/>
          <w:sz w:val="20"/>
          <w:szCs w:val="20"/>
          <w:lang w:val="ro-RO"/>
        </w:rPr>
        <w:t>influenț</w:t>
      </w:r>
      <w:r w:rsidR="00A312B9">
        <w:rPr>
          <w:rFonts w:ascii="Times New Roman" w:hAnsi="Times New Roman" w:cs="Times New Roman"/>
          <w:i/>
          <w:iCs/>
          <w:sz w:val="20"/>
          <w:szCs w:val="20"/>
          <w:lang w:val="ro-RO"/>
        </w:rPr>
        <w:t>ează</w:t>
      </w:r>
      <w:r w:rsidR="00547C3A" w:rsidRPr="00A312B9">
        <w:rPr>
          <w:rFonts w:ascii="Times New Roman" w:hAnsi="Times New Roman" w:cs="Times New Roman"/>
          <w:i/>
          <w:iCs/>
          <w:sz w:val="20"/>
          <w:szCs w:val="20"/>
          <w:lang w:val="ro-RO"/>
        </w:rPr>
        <w:t xml:space="preserve"> ace</w:t>
      </w:r>
      <w:r w:rsidR="00A312B9">
        <w:rPr>
          <w:rFonts w:ascii="Times New Roman" w:hAnsi="Times New Roman" w:cs="Times New Roman"/>
          <w:i/>
          <w:iCs/>
          <w:sz w:val="20"/>
          <w:szCs w:val="20"/>
          <w:lang w:val="ro-RO"/>
        </w:rPr>
        <w:t>ști</w:t>
      </w:r>
      <w:r w:rsidR="00547C3A" w:rsidRPr="00A312B9">
        <w:rPr>
          <w:rFonts w:ascii="Times New Roman" w:hAnsi="Times New Roman" w:cs="Times New Roman"/>
          <w:i/>
          <w:iCs/>
          <w:sz w:val="20"/>
          <w:szCs w:val="20"/>
          <w:lang w:val="ro-RO"/>
        </w:rPr>
        <w:t xml:space="preserve"> factori macroeconomici</w:t>
      </w:r>
      <w:r w:rsidR="00AE5A59" w:rsidRPr="00A312B9">
        <w:rPr>
          <w:rFonts w:ascii="Times New Roman" w:hAnsi="Times New Roman" w:cs="Times New Roman"/>
          <w:i/>
          <w:iCs/>
          <w:sz w:val="20"/>
          <w:szCs w:val="20"/>
          <w:lang w:val="ro-RO"/>
        </w:rPr>
        <w:t xml:space="preserve">, confirmănd faptul ca </w:t>
      </w:r>
      <w:r w:rsidR="00630D95" w:rsidRPr="00A312B9">
        <w:rPr>
          <w:rFonts w:ascii="Times New Roman" w:hAnsi="Times New Roman" w:cs="Times New Roman"/>
          <w:i/>
          <w:iCs/>
          <w:sz w:val="20"/>
          <w:szCs w:val="20"/>
          <w:lang w:val="ro-RO"/>
        </w:rPr>
        <w:t>aceștia au un impact hotarâtor asupra evoluției faliment</w:t>
      </w:r>
      <w:r w:rsidR="00A312B9">
        <w:rPr>
          <w:rFonts w:ascii="Times New Roman" w:hAnsi="Times New Roman" w:cs="Times New Roman"/>
          <w:i/>
          <w:iCs/>
          <w:sz w:val="20"/>
          <w:szCs w:val="20"/>
          <w:lang w:val="ro-RO"/>
        </w:rPr>
        <w:t>e</w:t>
      </w:r>
      <w:r w:rsidR="00630D95" w:rsidRPr="00A312B9">
        <w:rPr>
          <w:rFonts w:ascii="Times New Roman" w:hAnsi="Times New Roman" w:cs="Times New Roman"/>
          <w:i/>
          <w:iCs/>
          <w:sz w:val="20"/>
          <w:szCs w:val="20"/>
          <w:lang w:val="ro-RO"/>
        </w:rPr>
        <w:t>lor</w:t>
      </w:r>
      <w:r w:rsidR="00A312B9">
        <w:rPr>
          <w:rFonts w:ascii="Times New Roman" w:hAnsi="Times New Roman" w:cs="Times New Roman"/>
          <w:i/>
          <w:iCs/>
          <w:sz w:val="20"/>
          <w:szCs w:val="20"/>
          <w:lang w:val="ro-RO"/>
        </w:rPr>
        <w:t xml:space="preserve"> înregistrate la nivelul Uniunii Europene. </w:t>
      </w:r>
      <w:r w:rsidR="00630D95" w:rsidRPr="00A312B9">
        <w:rPr>
          <w:rFonts w:ascii="Times New Roman" w:hAnsi="Times New Roman" w:cs="Times New Roman"/>
          <w:i/>
          <w:iCs/>
          <w:sz w:val="20"/>
          <w:szCs w:val="20"/>
          <w:lang w:val="ro-RO"/>
        </w:rPr>
        <w:t xml:space="preserve"> </w:t>
      </w:r>
    </w:p>
    <w:p w14:paraId="4AF3BE58" w14:textId="77777777" w:rsidR="00EF40E9" w:rsidRPr="00C677AC" w:rsidRDefault="00EF40E9" w:rsidP="00F549F7">
      <w:pPr>
        <w:autoSpaceDE w:val="0"/>
        <w:autoSpaceDN w:val="0"/>
        <w:adjustRightInd w:val="0"/>
        <w:spacing w:after="0" w:line="240" w:lineRule="auto"/>
        <w:jc w:val="both"/>
        <w:rPr>
          <w:rFonts w:ascii="Times New Roman" w:hAnsi="Times New Roman" w:cs="Times New Roman"/>
          <w:sz w:val="24"/>
          <w:szCs w:val="24"/>
          <w:highlight w:val="yellow"/>
          <w:lang w:val="ro-RO"/>
        </w:rPr>
      </w:pPr>
    </w:p>
    <w:p w14:paraId="2FA1651B" w14:textId="1DB10B76" w:rsidR="00EF40E9" w:rsidRPr="006F2B03" w:rsidRDefault="00EF40E9" w:rsidP="00F549F7">
      <w:pPr>
        <w:spacing w:after="0" w:line="240" w:lineRule="auto"/>
        <w:jc w:val="both"/>
        <w:rPr>
          <w:rFonts w:ascii="Times New Roman" w:hAnsi="Times New Roman" w:cs="Times New Roman"/>
          <w:szCs w:val="28"/>
          <w:lang w:val="ro-RO"/>
        </w:rPr>
      </w:pPr>
      <w:r w:rsidRPr="006F2B03">
        <w:rPr>
          <w:rFonts w:ascii="Times New Roman" w:hAnsi="Times New Roman" w:cs="Times New Roman"/>
          <w:b/>
          <w:sz w:val="24"/>
          <w:szCs w:val="28"/>
          <w:lang w:val="ro-RO"/>
        </w:rPr>
        <w:t>Keywords</w:t>
      </w:r>
      <w:r w:rsidRPr="006F2B03">
        <w:rPr>
          <w:rFonts w:ascii="Times New Roman" w:hAnsi="Times New Roman" w:cs="Times New Roman"/>
          <w:szCs w:val="28"/>
          <w:lang w:val="ro-RO"/>
        </w:rPr>
        <w:t xml:space="preserve">: </w:t>
      </w:r>
      <w:r w:rsidR="00BD5976" w:rsidRPr="006F2B03">
        <w:rPr>
          <w:rFonts w:ascii="Times New Roman" w:hAnsi="Times New Roman" w:cs="Times New Roman"/>
          <w:szCs w:val="28"/>
          <w:lang w:val="ro-RO"/>
        </w:rPr>
        <w:t>faliment, factori macroeconomici, creșterea economică, inflație, rata șomajului</w:t>
      </w:r>
    </w:p>
    <w:p w14:paraId="613F4EC5" w14:textId="3E8EDA5C" w:rsidR="00EF40E9" w:rsidRPr="006F2B03" w:rsidRDefault="00EF40E9" w:rsidP="00F549F7">
      <w:pPr>
        <w:spacing w:after="0" w:line="240" w:lineRule="auto"/>
        <w:jc w:val="both"/>
        <w:rPr>
          <w:rFonts w:ascii="Times New Roman" w:hAnsi="Times New Roman" w:cs="Times New Roman"/>
          <w:szCs w:val="28"/>
          <w:lang w:val="ro-RO"/>
        </w:rPr>
      </w:pPr>
      <w:r w:rsidRPr="006F2B03">
        <w:rPr>
          <w:rFonts w:ascii="Times New Roman" w:hAnsi="Times New Roman" w:cs="Times New Roman"/>
          <w:b/>
          <w:sz w:val="24"/>
          <w:szCs w:val="28"/>
          <w:lang w:val="ro-RO"/>
        </w:rPr>
        <w:t xml:space="preserve">JEL Classification: </w:t>
      </w:r>
      <w:r w:rsidR="00356B80" w:rsidRPr="006F2B03">
        <w:rPr>
          <w:rFonts w:ascii="Times New Roman" w:hAnsi="Times New Roman" w:cs="Times New Roman"/>
          <w:szCs w:val="28"/>
          <w:lang w:val="ro-RO"/>
        </w:rPr>
        <w:t>E10</w:t>
      </w:r>
      <w:r w:rsidRPr="006F2B03">
        <w:rPr>
          <w:rFonts w:ascii="Times New Roman" w:hAnsi="Times New Roman" w:cs="Times New Roman"/>
          <w:szCs w:val="28"/>
          <w:lang w:val="ro-RO"/>
        </w:rPr>
        <w:t>,</w:t>
      </w:r>
      <w:r w:rsidR="006F2B03" w:rsidRPr="006F2B03">
        <w:rPr>
          <w:rFonts w:ascii="Times New Roman" w:hAnsi="Times New Roman" w:cs="Times New Roman"/>
          <w:szCs w:val="28"/>
          <w:lang w:val="ro-RO"/>
        </w:rPr>
        <w:t xml:space="preserve"> G33</w:t>
      </w:r>
    </w:p>
    <w:p w14:paraId="53062CFF" w14:textId="77777777" w:rsidR="00EF40E9" w:rsidRPr="006F2B03" w:rsidRDefault="00EF40E9" w:rsidP="00F549F7">
      <w:pPr>
        <w:spacing w:after="0" w:line="240" w:lineRule="auto"/>
        <w:jc w:val="both"/>
        <w:rPr>
          <w:rFonts w:ascii="Times New Roman" w:hAnsi="Times New Roman" w:cs="Times New Roman"/>
          <w:szCs w:val="28"/>
          <w:lang w:val="ro-RO"/>
        </w:rPr>
      </w:pPr>
    </w:p>
    <w:p w14:paraId="776CD0A4" w14:textId="77777777" w:rsidR="00301073" w:rsidRPr="006F2B03" w:rsidRDefault="00301073" w:rsidP="00301073">
      <w:pPr>
        <w:autoSpaceDE w:val="0"/>
        <w:autoSpaceDN w:val="0"/>
        <w:adjustRightInd w:val="0"/>
        <w:spacing w:after="0" w:line="240" w:lineRule="auto"/>
        <w:jc w:val="both"/>
        <w:rPr>
          <w:rFonts w:ascii="Times New Roman" w:hAnsi="Times New Roman" w:cs="Times New Roman"/>
          <w:b/>
          <w:bCs/>
          <w:szCs w:val="28"/>
          <w:lang w:val="ro-RO"/>
        </w:rPr>
      </w:pPr>
      <w:r w:rsidRPr="006F2B03">
        <w:rPr>
          <w:rFonts w:ascii="Times New Roman" w:hAnsi="Times New Roman" w:cs="Times New Roman"/>
          <w:b/>
          <w:bCs/>
          <w:szCs w:val="28"/>
          <w:lang w:val="ro-RO"/>
        </w:rPr>
        <w:t>INTRODUCERE</w:t>
      </w:r>
    </w:p>
    <w:p w14:paraId="1C6A0381" w14:textId="5AC9BADF" w:rsidR="00245B77" w:rsidRPr="00C677AC" w:rsidRDefault="00C677AC" w:rsidP="000C550F">
      <w:pPr>
        <w:autoSpaceDE w:val="0"/>
        <w:autoSpaceDN w:val="0"/>
        <w:adjustRightInd w:val="0"/>
        <w:spacing w:after="0" w:line="240" w:lineRule="auto"/>
        <w:ind w:firstLine="567"/>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Eșecul</w:t>
      </w:r>
      <w:r w:rsidR="000C550F" w:rsidRPr="00C677AC">
        <w:rPr>
          <w:rFonts w:ascii="Times New Roman" w:hAnsi="Times New Roman" w:cs="Times New Roman"/>
          <w:sz w:val="24"/>
          <w:szCs w:val="24"/>
          <w:lang w:val="ro-RO"/>
        </w:rPr>
        <w:t xml:space="preserve">, declinul sau falimentul organizațiilor economice reprezintă un fenomen economic extrem de important în economia țărilor lumii, de aceea este intens studiat de-a lungul anilor, în </w:t>
      </w:r>
      <w:r w:rsidRPr="00C677AC">
        <w:rPr>
          <w:rFonts w:ascii="Times New Roman" w:hAnsi="Times New Roman" w:cs="Times New Roman"/>
          <w:sz w:val="24"/>
          <w:szCs w:val="24"/>
          <w:lang w:val="ro-RO"/>
        </w:rPr>
        <w:t>încercarea</w:t>
      </w:r>
      <w:r w:rsidR="000C550F" w:rsidRPr="00C677AC">
        <w:rPr>
          <w:rFonts w:ascii="Times New Roman" w:hAnsi="Times New Roman" w:cs="Times New Roman"/>
          <w:sz w:val="24"/>
          <w:szCs w:val="24"/>
          <w:lang w:val="ro-RO"/>
        </w:rPr>
        <w:t xml:space="preserve"> de a identifica cauzele și simptomele pe care le resimt </w:t>
      </w:r>
      <w:r w:rsidRPr="00C677AC">
        <w:rPr>
          <w:rFonts w:ascii="Times New Roman" w:hAnsi="Times New Roman" w:cs="Times New Roman"/>
          <w:sz w:val="24"/>
          <w:szCs w:val="24"/>
          <w:lang w:val="ro-RO"/>
        </w:rPr>
        <w:t>întreprinderile</w:t>
      </w:r>
      <w:r w:rsidR="000C550F" w:rsidRPr="00C677AC">
        <w:rPr>
          <w:rFonts w:ascii="Times New Roman" w:hAnsi="Times New Roman" w:cs="Times New Roman"/>
          <w:sz w:val="24"/>
          <w:szCs w:val="24"/>
          <w:lang w:val="ro-RO"/>
        </w:rPr>
        <w:t xml:space="preserve"> aflate în dificultate sau care </w:t>
      </w:r>
      <w:r w:rsidRPr="00C677AC">
        <w:rPr>
          <w:rFonts w:ascii="Times New Roman" w:hAnsi="Times New Roman" w:cs="Times New Roman"/>
          <w:sz w:val="24"/>
          <w:szCs w:val="24"/>
          <w:lang w:val="ro-RO"/>
        </w:rPr>
        <w:t>urmează</w:t>
      </w:r>
      <w:r w:rsidR="000C550F" w:rsidRPr="00C677AC">
        <w:rPr>
          <w:rFonts w:ascii="Times New Roman" w:hAnsi="Times New Roman" w:cs="Times New Roman"/>
          <w:sz w:val="24"/>
          <w:szCs w:val="24"/>
          <w:lang w:val="ro-RO"/>
        </w:rPr>
        <w:t xml:space="preserve"> să manifeste </w:t>
      </w:r>
      <w:r w:rsidRPr="00C677AC">
        <w:rPr>
          <w:rFonts w:ascii="Times New Roman" w:hAnsi="Times New Roman" w:cs="Times New Roman"/>
          <w:sz w:val="24"/>
          <w:szCs w:val="24"/>
          <w:lang w:val="ro-RO"/>
        </w:rPr>
        <w:t>asemenea</w:t>
      </w:r>
      <w:r w:rsidR="000C550F" w:rsidRPr="00C677AC">
        <w:rPr>
          <w:rFonts w:ascii="Times New Roman" w:hAnsi="Times New Roman" w:cs="Times New Roman"/>
          <w:sz w:val="24"/>
          <w:szCs w:val="24"/>
          <w:lang w:val="ro-RO"/>
        </w:rPr>
        <w:t xml:space="preserve"> simptome. </w:t>
      </w:r>
      <w:r w:rsidRPr="00C677AC">
        <w:rPr>
          <w:rFonts w:ascii="Times New Roman" w:hAnsi="Times New Roman" w:cs="Times New Roman"/>
          <w:sz w:val="24"/>
          <w:szCs w:val="24"/>
          <w:lang w:val="ro-RO"/>
        </w:rPr>
        <w:t>Deopotrivă</w:t>
      </w:r>
      <w:r w:rsidR="000C550F" w:rsidRPr="00C677AC">
        <w:rPr>
          <w:rFonts w:ascii="Times New Roman" w:hAnsi="Times New Roman" w:cs="Times New Roman"/>
          <w:sz w:val="24"/>
          <w:szCs w:val="24"/>
          <w:lang w:val="ro-RO"/>
        </w:rPr>
        <w:t xml:space="preserve">, se încearcă permanent a perfecționa metodele de detecție și de predicție a falimentului, </w:t>
      </w:r>
      <w:r w:rsidRPr="00C677AC">
        <w:rPr>
          <w:rFonts w:ascii="Times New Roman" w:hAnsi="Times New Roman" w:cs="Times New Roman"/>
          <w:sz w:val="24"/>
          <w:szCs w:val="24"/>
          <w:lang w:val="ro-RO"/>
        </w:rPr>
        <w:t>deoarece</w:t>
      </w:r>
      <w:r w:rsidR="000C550F" w:rsidRPr="00C677AC">
        <w:rPr>
          <w:rFonts w:ascii="Times New Roman" w:hAnsi="Times New Roman" w:cs="Times New Roman"/>
          <w:sz w:val="24"/>
          <w:szCs w:val="24"/>
          <w:lang w:val="ro-RO"/>
        </w:rPr>
        <w:t xml:space="preserve"> </w:t>
      </w:r>
      <w:r w:rsidRPr="00C677AC">
        <w:rPr>
          <w:rFonts w:ascii="Times New Roman" w:hAnsi="Times New Roman" w:cs="Times New Roman"/>
          <w:sz w:val="24"/>
          <w:szCs w:val="24"/>
          <w:lang w:val="ro-RO"/>
        </w:rPr>
        <w:t>acesta</w:t>
      </w:r>
      <w:r w:rsidR="000C550F" w:rsidRPr="00C677AC">
        <w:rPr>
          <w:rFonts w:ascii="Times New Roman" w:hAnsi="Times New Roman" w:cs="Times New Roman"/>
          <w:sz w:val="24"/>
          <w:szCs w:val="24"/>
          <w:lang w:val="ro-RO"/>
        </w:rPr>
        <w:t xml:space="preserve"> situație în care pot ajunge întreprinderile economice poate genera efecte devastatoare pentru toți stakeholderii aflați în ecosistemul imediat al companiei dar și cu efecte pe lanțul de aprovizionare sau de desfacere al acestora, efecte care sunt de multe ori greu de estimat sau de cuantificat. Printre factorii care pot influența direcția evoluției companiilor spre faliment, pe </w:t>
      </w:r>
      <w:r w:rsidRPr="00C677AC">
        <w:rPr>
          <w:rFonts w:ascii="Times New Roman" w:hAnsi="Times New Roman" w:cs="Times New Roman"/>
          <w:sz w:val="24"/>
          <w:szCs w:val="24"/>
          <w:lang w:val="ro-RO"/>
        </w:rPr>
        <w:t>lângă</w:t>
      </w:r>
      <w:r w:rsidR="000C550F" w:rsidRPr="00C677AC">
        <w:rPr>
          <w:rFonts w:ascii="Times New Roman" w:hAnsi="Times New Roman" w:cs="Times New Roman"/>
          <w:sz w:val="24"/>
          <w:szCs w:val="24"/>
          <w:lang w:val="ro-RO"/>
        </w:rPr>
        <w:t xml:space="preserve"> cei interni, intre care </w:t>
      </w:r>
      <w:r w:rsidR="00245B77" w:rsidRPr="00C677AC">
        <w:rPr>
          <w:rFonts w:ascii="Times New Roman" w:hAnsi="Times New Roman" w:cs="Times New Roman"/>
          <w:sz w:val="24"/>
          <w:szCs w:val="24"/>
          <w:lang w:val="ro-RO"/>
        </w:rPr>
        <w:t xml:space="preserve">se </w:t>
      </w:r>
      <w:r w:rsidRPr="00C677AC">
        <w:rPr>
          <w:rFonts w:ascii="Times New Roman" w:hAnsi="Times New Roman" w:cs="Times New Roman"/>
          <w:sz w:val="24"/>
          <w:szCs w:val="24"/>
          <w:lang w:val="ro-RO"/>
        </w:rPr>
        <w:t>detașează</w:t>
      </w:r>
      <w:r w:rsidR="00245B77" w:rsidRPr="00C677AC">
        <w:rPr>
          <w:rFonts w:ascii="Times New Roman" w:hAnsi="Times New Roman" w:cs="Times New Roman"/>
          <w:sz w:val="24"/>
          <w:szCs w:val="24"/>
          <w:lang w:val="ro-RO"/>
        </w:rPr>
        <w:t xml:space="preserve"> </w:t>
      </w:r>
      <w:r w:rsidRPr="00C677AC">
        <w:rPr>
          <w:rFonts w:ascii="Times New Roman" w:hAnsi="Times New Roman" w:cs="Times New Roman"/>
          <w:sz w:val="24"/>
          <w:szCs w:val="24"/>
          <w:lang w:val="ro-RO"/>
        </w:rPr>
        <w:t>managementul</w:t>
      </w:r>
      <w:r w:rsidR="000C550F" w:rsidRPr="00C677AC">
        <w:rPr>
          <w:rFonts w:ascii="Times New Roman" w:hAnsi="Times New Roman" w:cs="Times New Roman"/>
          <w:sz w:val="24"/>
          <w:szCs w:val="24"/>
          <w:lang w:val="ro-RO"/>
        </w:rPr>
        <w:t xml:space="preserve"> deficitar</w:t>
      </w:r>
      <w:r w:rsidR="00245B77" w:rsidRPr="00C677AC">
        <w:rPr>
          <w:rFonts w:ascii="Times New Roman" w:hAnsi="Times New Roman" w:cs="Times New Roman"/>
          <w:sz w:val="24"/>
          <w:szCs w:val="24"/>
          <w:lang w:val="ro-RO"/>
        </w:rPr>
        <w:t xml:space="preserve">, factorii </w:t>
      </w:r>
      <w:r w:rsidR="000C550F" w:rsidRPr="00C677AC">
        <w:rPr>
          <w:rFonts w:ascii="Times New Roman" w:hAnsi="Times New Roman" w:cs="Times New Roman"/>
          <w:sz w:val="24"/>
          <w:szCs w:val="24"/>
          <w:lang w:val="ro-RO"/>
        </w:rPr>
        <w:t>macroeconomici joacă un rol semnificativ</w:t>
      </w:r>
      <w:r w:rsidR="00245B77" w:rsidRPr="00C677AC">
        <w:rPr>
          <w:rFonts w:ascii="Times New Roman" w:hAnsi="Times New Roman" w:cs="Times New Roman"/>
          <w:sz w:val="24"/>
          <w:szCs w:val="24"/>
          <w:lang w:val="ro-RO"/>
        </w:rPr>
        <w:t xml:space="preserve">, </w:t>
      </w:r>
      <w:r w:rsidRPr="00C677AC">
        <w:rPr>
          <w:rFonts w:ascii="Times New Roman" w:hAnsi="Times New Roman" w:cs="Times New Roman"/>
          <w:sz w:val="24"/>
          <w:szCs w:val="24"/>
          <w:lang w:val="ro-RO"/>
        </w:rPr>
        <w:t>aceștia</w:t>
      </w:r>
      <w:r w:rsidR="00245B77" w:rsidRPr="00C677AC">
        <w:rPr>
          <w:rFonts w:ascii="Times New Roman" w:hAnsi="Times New Roman" w:cs="Times New Roman"/>
          <w:sz w:val="24"/>
          <w:szCs w:val="24"/>
          <w:lang w:val="ro-RO"/>
        </w:rPr>
        <w:t xml:space="preserve"> </w:t>
      </w:r>
      <w:r w:rsidRPr="00C677AC">
        <w:rPr>
          <w:rFonts w:ascii="Times New Roman" w:hAnsi="Times New Roman" w:cs="Times New Roman"/>
          <w:sz w:val="24"/>
          <w:szCs w:val="24"/>
          <w:lang w:val="ro-RO"/>
        </w:rPr>
        <w:t>acționând</w:t>
      </w:r>
      <w:r w:rsidR="00245B77" w:rsidRPr="00C677AC">
        <w:rPr>
          <w:rFonts w:ascii="Times New Roman" w:hAnsi="Times New Roman" w:cs="Times New Roman"/>
          <w:sz w:val="24"/>
          <w:szCs w:val="24"/>
          <w:lang w:val="ro-RO"/>
        </w:rPr>
        <w:t xml:space="preserve"> independent de </w:t>
      </w:r>
      <w:r w:rsidRPr="00C677AC">
        <w:rPr>
          <w:rFonts w:ascii="Times New Roman" w:hAnsi="Times New Roman" w:cs="Times New Roman"/>
          <w:sz w:val="24"/>
          <w:szCs w:val="24"/>
          <w:lang w:val="ro-RO"/>
        </w:rPr>
        <w:t>acțiunea</w:t>
      </w:r>
      <w:r w:rsidR="00245B77" w:rsidRPr="00C677AC">
        <w:rPr>
          <w:rFonts w:ascii="Times New Roman" w:hAnsi="Times New Roman" w:cs="Times New Roman"/>
          <w:sz w:val="24"/>
          <w:szCs w:val="24"/>
          <w:lang w:val="ro-RO"/>
        </w:rPr>
        <w:t xml:space="preserve"> sau reacțiunea companiei. Se includ aici, </w:t>
      </w:r>
      <w:r w:rsidR="000C550F" w:rsidRPr="00C677AC">
        <w:rPr>
          <w:rFonts w:ascii="Times New Roman" w:hAnsi="Times New Roman" w:cs="Times New Roman"/>
          <w:sz w:val="24"/>
          <w:szCs w:val="24"/>
          <w:lang w:val="ro-RO"/>
        </w:rPr>
        <w:t>fluctuațiile economice</w:t>
      </w:r>
      <w:r w:rsidR="00245B77" w:rsidRPr="00C677AC">
        <w:rPr>
          <w:rFonts w:ascii="Times New Roman" w:hAnsi="Times New Roman" w:cs="Times New Roman"/>
          <w:sz w:val="24"/>
          <w:szCs w:val="24"/>
          <w:lang w:val="ro-RO"/>
        </w:rPr>
        <w:t xml:space="preserve"> în sensul creșterii sau contracțiilor economice</w:t>
      </w:r>
      <w:r w:rsidR="000C550F" w:rsidRPr="00C677AC">
        <w:rPr>
          <w:rFonts w:ascii="Times New Roman" w:hAnsi="Times New Roman" w:cs="Times New Roman"/>
          <w:sz w:val="24"/>
          <w:szCs w:val="24"/>
          <w:lang w:val="ro-RO"/>
        </w:rPr>
        <w:t>, ratele dobânzilor</w:t>
      </w:r>
      <w:r w:rsidR="00245B77" w:rsidRPr="00C677AC">
        <w:rPr>
          <w:rFonts w:ascii="Times New Roman" w:hAnsi="Times New Roman" w:cs="Times New Roman"/>
          <w:sz w:val="24"/>
          <w:szCs w:val="24"/>
          <w:lang w:val="ro-RO"/>
        </w:rPr>
        <w:t xml:space="preserve"> de </w:t>
      </w:r>
      <w:r w:rsidRPr="00C677AC">
        <w:rPr>
          <w:rFonts w:ascii="Times New Roman" w:hAnsi="Times New Roman" w:cs="Times New Roman"/>
          <w:sz w:val="24"/>
          <w:szCs w:val="24"/>
          <w:lang w:val="ro-RO"/>
        </w:rPr>
        <w:t>referință</w:t>
      </w:r>
      <w:r w:rsidR="00245B77" w:rsidRPr="00C677AC">
        <w:rPr>
          <w:rFonts w:ascii="Times New Roman" w:hAnsi="Times New Roman" w:cs="Times New Roman"/>
          <w:sz w:val="24"/>
          <w:szCs w:val="24"/>
          <w:lang w:val="ro-RO"/>
        </w:rPr>
        <w:t xml:space="preserve"> care </w:t>
      </w:r>
      <w:r w:rsidRPr="00C677AC">
        <w:rPr>
          <w:rFonts w:ascii="Times New Roman" w:hAnsi="Times New Roman" w:cs="Times New Roman"/>
          <w:sz w:val="24"/>
          <w:szCs w:val="24"/>
          <w:lang w:val="ro-RO"/>
        </w:rPr>
        <w:t>influențează</w:t>
      </w:r>
      <w:r w:rsidR="00245B77" w:rsidRPr="00C677AC">
        <w:rPr>
          <w:rFonts w:ascii="Times New Roman" w:hAnsi="Times New Roman" w:cs="Times New Roman"/>
          <w:sz w:val="24"/>
          <w:szCs w:val="24"/>
          <w:lang w:val="ro-RO"/>
        </w:rPr>
        <w:t xml:space="preserve"> costul de finanțare a companiilor, nivelul </w:t>
      </w:r>
      <w:r w:rsidR="000C550F" w:rsidRPr="00C677AC">
        <w:rPr>
          <w:rFonts w:ascii="Times New Roman" w:hAnsi="Times New Roman" w:cs="Times New Roman"/>
          <w:sz w:val="24"/>
          <w:szCs w:val="24"/>
          <w:lang w:val="ro-RO"/>
        </w:rPr>
        <w:t>inflați</w:t>
      </w:r>
      <w:r w:rsidR="00245B77" w:rsidRPr="00C677AC">
        <w:rPr>
          <w:rFonts w:ascii="Times New Roman" w:hAnsi="Times New Roman" w:cs="Times New Roman"/>
          <w:sz w:val="24"/>
          <w:szCs w:val="24"/>
          <w:lang w:val="ro-RO"/>
        </w:rPr>
        <w:t xml:space="preserve">ei, </w:t>
      </w:r>
      <w:r w:rsidRPr="00C677AC">
        <w:rPr>
          <w:rFonts w:ascii="Times New Roman" w:hAnsi="Times New Roman" w:cs="Times New Roman"/>
          <w:sz w:val="24"/>
          <w:szCs w:val="24"/>
          <w:lang w:val="ro-RO"/>
        </w:rPr>
        <w:t>evoluția</w:t>
      </w:r>
      <w:r w:rsidR="00245B77" w:rsidRPr="00C677AC">
        <w:rPr>
          <w:rFonts w:ascii="Times New Roman" w:hAnsi="Times New Roman" w:cs="Times New Roman"/>
          <w:sz w:val="24"/>
          <w:szCs w:val="24"/>
          <w:lang w:val="ro-RO"/>
        </w:rPr>
        <w:t xml:space="preserve"> cursului valutar, cu </w:t>
      </w:r>
      <w:r w:rsidRPr="00C677AC">
        <w:rPr>
          <w:rFonts w:ascii="Times New Roman" w:hAnsi="Times New Roman" w:cs="Times New Roman"/>
          <w:sz w:val="24"/>
          <w:szCs w:val="24"/>
          <w:lang w:val="ro-RO"/>
        </w:rPr>
        <w:t>precădere</w:t>
      </w:r>
      <w:r w:rsidR="00245B77" w:rsidRPr="00C677AC">
        <w:rPr>
          <w:rFonts w:ascii="Times New Roman" w:hAnsi="Times New Roman" w:cs="Times New Roman"/>
          <w:sz w:val="24"/>
          <w:szCs w:val="24"/>
          <w:lang w:val="ro-RO"/>
        </w:rPr>
        <w:t xml:space="preserve"> </w:t>
      </w:r>
      <w:r w:rsidRPr="00C677AC">
        <w:rPr>
          <w:rFonts w:ascii="Times New Roman" w:hAnsi="Times New Roman" w:cs="Times New Roman"/>
          <w:sz w:val="24"/>
          <w:szCs w:val="24"/>
          <w:lang w:val="ro-RO"/>
        </w:rPr>
        <w:t>influențând</w:t>
      </w:r>
      <w:r w:rsidR="00245B77" w:rsidRPr="00C677AC">
        <w:rPr>
          <w:rFonts w:ascii="Times New Roman" w:hAnsi="Times New Roman" w:cs="Times New Roman"/>
          <w:sz w:val="24"/>
          <w:szCs w:val="24"/>
          <w:lang w:val="ro-RO"/>
        </w:rPr>
        <w:t xml:space="preserve"> </w:t>
      </w:r>
      <w:r w:rsidRPr="00C677AC">
        <w:rPr>
          <w:rFonts w:ascii="Times New Roman" w:hAnsi="Times New Roman" w:cs="Times New Roman"/>
          <w:sz w:val="24"/>
          <w:szCs w:val="24"/>
          <w:lang w:val="ro-RO"/>
        </w:rPr>
        <w:t>companiile</w:t>
      </w:r>
      <w:r w:rsidR="00245B77" w:rsidRPr="00C677AC">
        <w:rPr>
          <w:rFonts w:ascii="Times New Roman" w:hAnsi="Times New Roman" w:cs="Times New Roman"/>
          <w:sz w:val="24"/>
          <w:szCs w:val="24"/>
          <w:lang w:val="ro-RO"/>
        </w:rPr>
        <w:t xml:space="preserve"> care </w:t>
      </w:r>
      <w:r w:rsidRPr="00C677AC">
        <w:rPr>
          <w:rFonts w:ascii="Times New Roman" w:hAnsi="Times New Roman" w:cs="Times New Roman"/>
          <w:sz w:val="24"/>
          <w:szCs w:val="24"/>
          <w:lang w:val="ro-RO"/>
        </w:rPr>
        <w:t>efectuează</w:t>
      </w:r>
      <w:r w:rsidR="00245B77" w:rsidRPr="00C677AC">
        <w:rPr>
          <w:rFonts w:ascii="Times New Roman" w:hAnsi="Times New Roman" w:cs="Times New Roman"/>
          <w:sz w:val="24"/>
          <w:szCs w:val="24"/>
          <w:lang w:val="ro-RO"/>
        </w:rPr>
        <w:t xml:space="preserve"> </w:t>
      </w:r>
      <w:r w:rsidR="001F2189" w:rsidRPr="00C677AC">
        <w:rPr>
          <w:rFonts w:ascii="Times New Roman" w:hAnsi="Times New Roman" w:cs="Times New Roman"/>
          <w:sz w:val="24"/>
          <w:szCs w:val="24"/>
          <w:lang w:val="ro-RO"/>
        </w:rPr>
        <w:t xml:space="preserve">operațiuni de </w:t>
      </w:r>
      <w:r w:rsidR="00245B77" w:rsidRPr="00C677AC">
        <w:rPr>
          <w:rFonts w:ascii="Times New Roman" w:hAnsi="Times New Roman" w:cs="Times New Roman"/>
          <w:sz w:val="24"/>
          <w:szCs w:val="24"/>
          <w:lang w:val="ro-RO"/>
        </w:rPr>
        <w:t xml:space="preserve">import export dar și diversele reglementari legislative sau politici guvernamentale care </w:t>
      </w:r>
      <w:r w:rsidR="000C550F" w:rsidRPr="00C677AC">
        <w:rPr>
          <w:rFonts w:ascii="Times New Roman" w:hAnsi="Times New Roman" w:cs="Times New Roman"/>
          <w:sz w:val="24"/>
          <w:szCs w:val="24"/>
          <w:lang w:val="ro-RO"/>
        </w:rPr>
        <w:t>pot</w:t>
      </w:r>
      <w:r w:rsidR="00245B77" w:rsidRPr="00C677AC">
        <w:rPr>
          <w:rFonts w:ascii="Times New Roman" w:hAnsi="Times New Roman" w:cs="Times New Roman"/>
          <w:sz w:val="24"/>
          <w:szCs w:val="24"/>
          <w:lang w:val="ro-RO"/>
        </w:rPr>
        <w:t xml:space="preserve"> avea o</w:t>
      </w:r>
      <w:r w:rsidR="000C550F" w:rsidRPr="00C677AC">
        <w:rPr>
          <w:rFonts w:ascii="Times New Roman" w:hAnsi="Times New Roman" w:cs="Times New Roman"/>
          <w:sz w:val="24"/>
          <w:szCs w:val="24"/>
          <w:lang w:val="ro-RO"/>
        </w:rPr>
        <w:t xml:space="preserve"> influența </w:t>
      </w:r>
      <w:r w:rsidR="00245B77" w:rsidRPr="00C677AC">
        <w:rPr>
          <w:rFonts w:ascii="Times New Roman" w:hAnsi="Times New Roman" w:cs="Times New Roman"/>
          <w:sz w:val="24"/>
          <w:szCs w:val="24"/>
          <w:lang w:val="ro-RO"/>
        </w:rPr>
        <w:t xml:space="preserve">asupra </w:t>
      </w:r>
      <w:r w:rsidR="000C550F" w:rsidRPr="00C677AC">
        <w:rPr>
          <w:rFonts w:ascii="Times New Roman" w:hAnsi="Times New Roman" w:cs="Times New Roman"/>
          <w:sz w:val="24"/>
          <w:szCs w:val="24"/>
          <w:lang w:val="ro-RO"/>
        </w:rPr>
        <w:t xml:space="preserve">stabilitatea </w:t>
      </w:r>
      <w:r w:rsidR="00245B77" w:rsidRPr="00C677AC">
        <w:rPr>
          <w:rFonts w:ascii="Times New Roman" w:hAnsi="Times New Roman" w:cs="Times New Roman"/>
          <w:sz w:val="24"/>
          <w:szCs w:val="24"/>
          <w:lang w:val="ro-RO"/>
        </w:rPr>
        <w:t xml:space="preserve">sau </w:t>
      </w:r>
      <w:r w:rsidR="000C550F" w:rsidRPr="00C677AC">
        <w:rPr>
          <w:rFonts w:ascii="Times New Roman" w:hAnsi="Times New Roman" w:cs="Times New Roman"/>
          <w:sz w:val="24"/>
          <w:szCs w:val="24"/>
          <w:lang w:val="ro-RO"/>
        </w:rPr>
        <w:t>performanț</w:t>
      </w:r>
      <w:r w:rsidR="00245B77" w:rsidRPr="00C677AC">
        <w:rPr>
          <w:rFonts w:ascii="Times New Roman" w:hAnsi="Times New Roman" w:cs="Times New Roman"/>
          <w:sz w:val="24"/>
          <w:szCs w:val="24"/>
          <w:lang w:val="ro-RO"/>
        </w:rPr>
        <w:t>elor unei companii.</w:t>
      </w:r>
    </w:p>
    <w:p w14:paraId="259E0625" w14:textId="1FDA0594" w:rsidR="001F2189" w:rsidRPr="00C677AC" w:rsidRDefault="001F2189" w:rsidP="001F2189">
      <w:pPr>
        <w:autoSpaceDE w:val="0"/>
        <w:autoSpaceDN w:val="0"/>
        <w:adjustRightInd w:val="0"/>
        <w:spacing w:after="0" w:line="240" w:lineRule="auto"/>
        <w:ind w:firstLine="567"/>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 xml:space="preserve">Determinanții macroeconomici </w:t>
      </w:r>
      <w:r w:rsidR="00EC12B1" w:rsidRPr="00C677AC">
        <w:rPr>
          <w:rFonts w:ascii="Times New Roman" w:hAnsi="Times New Roman" w:cs="Times New Roman"/>
          <w:sz w:val="24"/>
          <w:szCs w:val="24"/>
          <w:lang w:val="ro-RO"/>
        </w:rPr>
        <w:t xml:space="preserve">reprezintă </w:t>
      </w:r>
      <w:r w:rsidRPr="00C677AC">
        <w:rPr>
          <w:rFonts w:ascii="Times New Roman" w:hAnsi="Times New Roman" w:cs="Times New Roman"/>
          <w:sz w:val="24"/>
          <w:szCs w:val="24"/>
          <w:lang w:val="ro-RO"/>
        </w:rPr>
        <w:t>variabile economice</w:t>
      </w:r>
      <w:r w:rsidR="00EC12B1" w:rsidRPr="00C677AC">
        <w:rPr>
          <w:rFonts w:ascii="Times New Roman" w:hAnsi="Times New Roman" w:cs="Times New Roman"/>
          <w:sz w:val="24"/>
          <w:szCs w:val="24"/>
          <w:lang w:val="ro-RO"/>
        </w:rPr>
        <w:t xml:space="preserve"> care acționează în general asupra </w:t>
      </w:r>
      <w:r w:rsidR="00C677AC" w:rsidRPr="00C677AC">
        <w:rPr>
          <w:rFonts w:ascii="Times New Roman" w:hAnsi="Times New Roman" w:cs="Times New Roman"/>
          <w:sz w:val="24"/>
          <w:szCs w:val="24"/>
          <w:lang w:val="ro-RO"/>
        </w:rPr>
        <w:t>întregii</w:t>
      </w:r>
      <w:r w:rsidR="00EC12B1" w:rsidRPr="00C677AC">
        <w:rPr>
          <w:rFonts w:ascii="Times New Roman" w:hAnsi="Times New Roman" w:cs="Times New Roman"/>
          <w:sz w:val="24"/>
          <w:szCs w:val="24"/>
          <w:lang w:val="ro-RO"/>
        </w:rPr>
        <w:t xml:space="preserve"> economii ale unei țări, regiuni sau chiar la nivel global și</w:t>
      </w:r>
      <w:r w:rsidRPr="00C677AC">
        <w:rPr>
          <w:rFonts w:ascii="Times New Roman" w:hAnsi="Times New Roman" w:cs="Times New Roman"/>
          <w:sz w:val="24"/>
          <w:szCs w:val="24"/>
          <w:lang w:val="ro-RO"/>
        </w:rPr>
        <w:t xml:space="preserve"> implicit</w:t>
      </w:r>
      <w:r w:rsidR="00EC12B1" w:rsidRPr="00C677AC">
        <w:rPr>
          <w:rFonts w:ascii="Times New Roman" w:hAnsi="Times New Roman" w:cs="Times New Roman"/>
          <w:sz w:val="24"/>
          <w:szCs w:val="24"/>
          <w:lang w:val="ro-RO"/>
        </w:rPr>
        <w:t xml:space="preserve"> asupra </w:t>
      </w:r>
      <w:r w:rsidR="00C677AC" w:rsidRPr="00C677AC">
        <w:rPr>
          <w:rFonts w:ascii="Times New Roman" w:hAnsi="Times New Roman" w:cs="Times New Roman"/>
          <w:sz w:val="24"/>
          <w:szCs w:val="24"/>
          <w:lang w:val="ro-RO"/>
        </w:rPr>
        <w:t>întreprinderilor</w:t>
      </w:r>
      <w:r w:rsidR="00EC12B1" w:rsidRPr="00C677AC">
        <w:rPr>
          <w:rFonts w:ascii="Times New Roman" w:hAnsi="Times New Roman" w:cs="Times New Roman"/>
          <w:sz w:val="24"/>
          <w:szCs w:val="24"/>
          <w:lang w:val="ro-RO"/>
        </w:rPr>
        <w:t xml:space="preserve"> economice, ca celulă de bază a economiei. Pandemia COVID-19 sau conflictul ruso-ucrainean sunt exemple de fenomene care si-au pus amprenta asupra economiei mondiale afectând economia țărilor lumii dar </w:t>
      </w:r>
      <w:r w:rsidR="00AB5DB1" w:rsidRPr="00C677AC">
        <w:rPr>
          <w:rFonts w:ascii="Times New Roman" w:hAnsi="Times New Roman" w:cs="Times New Roman"/>
          <w:sz w:val="24"/>
          <w:szCs w:val="24"/>
          <w:lang w:val="ro-RO"/>
        </w:rPr>
        <w:t xml:space="preserve">având </w:t>
      </w:r>
      <w:r w:rsidR="00EC12B1" w:rsidRPr="00C677AC">
        <w:rPr>
          <w:rFonts w:ascii="Times New Roman" w:hAnsi="Times New Roman" w:cs="Times New Roman"/>
          <w:sz w:val="24"/>
          <w:szCs w:val="24"/>
          <w:lang w:val="ro-RO"/>
        </w:rPr>
        <w:t xml:space="preserve">și influențe majore la nivel social, politic sau sanitar. </w:t>
      </w:r>
    </w:p>
    <w:p w14:paraId="723F09ED" w14:textId="367CD163" w:rsidR="00C677AC" w:rsidRDefault="007E3946" w:rsidP="000E3888">
      <w:pPr>
        <w:autoSpaceDE w:val="0"/>
        <w:autoSpaceDN w:val="0"/>
        <w:adjustRightInd w:val="0"/>
        <w:spacing w:after="0" w:line="240" w:lineRule="auto"/>
        <w:ind w:firstLine="567"/>
        <w:jc w:val="both"/>
        <w:rPr>
          <w:rFonts w:ascii="Times New Roman" w:hAnsi="Times New Roman" w:cs="Times New Roman"/>
          <w:sz w:val="24"/>
          <w:szCs w:val="24"/>
          <w:lang w:val="ro-RO"/>
        </w:rPr>
      </w:pPr>
      <w:r w:rsidRPr="00057B0D">
        <w:rPr>
          <w:rFonts w:ascii="Times New Roman" w:hAnsi="Times New Roman" w:cs="Times New Roman"/>
          <w:b/>
          <w:bCs/>
          <w:i/>
          <w:iCs/>
          <w:sz w:val="24"/>
          <w:szCs w:val="24"/>
          <w:lang w:val="ro-RO"/>
        </w:rPr>
        <w:t>Scopul</w:t>
      </w:r>
      <w:r w:rsidRPr="00C677AC">
        <w:rPr>
          <w:rFonts w:ascii="Times New Roman" w:hAnsi="Times New Roman" w:cs="Times New Roman"/>
          <w:sz w:val="24"/>
          <w:szCs w:val="24"/>
          <w:lang w:val="ro-RO"/>
        </w:rPr>
        <w:t xml:space="preserve"> studiului nostru</w:t>
      </w:r>
      <w:r w:rsidR="00C62874" w:rsidRPr="00C677AC">
        <w:rPr>
          <w:rFonts w:ascii="Times New Roman" w:hAnsi="Times New Roman" w:cs="Times New Roman"/>
          <w:sz w:val="24"/>
          <w:szCs w:val="24"/>
          <w:lang w:val="ro-RO"/>
        </w:rPr>
        <w:t xml:space="preserve"> este de a identifica influența evoluției economiei, fie ea creștere sau contracție economică</w:t>
      </w:r>
      <w:r w:rsidR="009649F5" w:rsidRPr="00C677AC">
        <w:rPr>
          <w:rFonts w:ascii="Times New Roman" w:hAnsi="Times New Roman" w:cs="Times New Roman"/>
          <w:sz w:val="24"/>
          <w:szCs w:val="24"/>
          <w:lang w:val="ro-RO"/>
        </w:rPr>
        <w:t xml:space="preserve">, a inflației </w:t>
      </w:r>
      <w:r w:rsidR="00FE2799" w:rsidRPr="00C677AC">
        <w:rPr>
          <w:rFonts w:ascii="Times New Roman" w:hAnsi="Times New Roman" w:cs="Times New Roman"/>
          <w:sz w:val="24"/>
          <w:szCs w:val="24"/>
          <w:lang w:val="ro-RO"/>
        </w:rPr>
        <w:t xml:space="preserve">precum </w:t>
      </w:r>
      <w:r w:rsidR="009649F5" w:rsidRPr="00C677AC">
        <w:rPr>
          <w:rFonts w:ascii="Times New Roman" w:hAnsi="Times New Roman" w:cs="Times New Roman"/>
          <w:sz w:val="24"/>
          <w:szCs w:val="24"/>
          <w:lang w:val="ro-RO"/>
        </w:rPr>
        <w:t xml:space="preserve">și a nivelului ratei șomajului </w:t>
      </w:r>
      <w:r w:rsidR="00C62874" w:rsidRPr="00C677AC">
        <w:rPr>
          <w:rFonts w:ascii="Times New Roman" w:hAnsi="Times New Roman" w:cs="Times New Roman"/>
          <w:sz w:val="24"/>
          <w:szCs w:val="24"/>
          <w:lang w:val="ro-RO"/>
        </w:rPr>
        <w:t xml:space="preserve">asupra riscului de faliment al </w:t>
      </w:r>
      <w:r w:rsidR="00C677AC" w:rsidRPr="00C677AC">
        <w:rPr>
          <w:rFonts w:ascii="Times New Roman" w:hAnsi="Times New Roman" w:cs="Times New Roman"/>
          <w:sz w:val="24"/>
          <w:szCs w:val="24"/>
          <w:lang w:val="ro-RO"/>
        </w:rPr>
        <w:t>entităților</w:t>
      </w:r>
      <w:r w:rsidR="00C62874" w:rsidRPr="00C677AC">
        <w:rPr>
          <w:rFonts w:ascii="Times New Roman" w:hAnsi="Times New Roman" w:cs="Times New Roman"/>
          <w:sz w:val="24"/>
          <w:szCs w:val="24"/>
          <w:lang w:val="ro-RO"/>
        </w:rPr>
        <w:t xml:space="preserve"> economice. </w:t>
      </w:r>
    </w:p>
    <w:p w14:paraId="0B235680" w14:textId="47BCA8CC" w:rsidR="00057B0D" w:rsidRPr="00057B0D" w:rsidRDefault="00057B0D" w:rsidP="00057B0D">
      <w:pPr>
        <w:spacing w:after="0" w:line="240" w:lineRule="auto"/>
        <w:ind w:firstLine="567"/>
        <w:jc w:val="both"/>
        <w:rPr>
          <w:rFonts w:ascii="Times New Roman" w:hAnsi="Times New Roman" w:cs="Times New Roman"/>
          <w:sz w:val="24"/>
          <w:szCs w:val="24"/>
          <w:lang w:val="ro-RO"/>
        </w:rPr>
      </w:pPr>
      <w:r w:rsidRPr="00057B0D">
        <w:rPr>
          <w:rFonts w:ascii="Times New Roman" w:hAnsi="Times New Roman" w:cs="Times New Roman"/>
          <w:sz w:val="24"/>
          <w:szCs w:val="24"/>
          <w:lang w:val="ro-RO"/>
        </w:rPr>
        <w:t>Ipotezele care stau la baza demersului nostru sunt următoarele:</w:t>
      </w:r>
    </w:p>
    <w:p w14:paraId="7DEA9FD3" w14:textId="7D6C6B60" w:rsidR="00057B0D" w:rsidRPr="00057B0D" w:rsidRDefault="00057B0D" w:rsidP="00057B0D">
      <w:pPr>
        <w:spacing w:after="0" w:line="240" w:lineRule="auto"/>
        <w:jc w:val="both"/>
        <w:rPr>
          <w:rFonts w:ascii="Times New Roman" w:hAnsi="Times New Roman" w:cs="Times New Roman"/>
          <w:sz w:val="24"/>
          <w:szCs w:val="24"/>
          <w:lang w:val="ro-RO"/>
        </w:rPr>
      </w:pPr>
      <w:r w:rsidRPr="00D11AFA">
        <w:rPr>
          <w:rFonts w:ascii="Times New Roman" w:hAnsi="Times New Roman" w:cs="Times New Roman"/>
          <w:b/>
          <w:bCs/>
          <w:i/>
          <w:iCs/>
          <w:sz w:val="24"/>
          <w:szCs w:val="24"/>
          <w:lang w:val="ro-RO"/>
        </w:rPr>
        <w:lastRenderedPageBreak/>
        <w:t>H1</w:t>
      </w:r>
      <w:r>
        <w:rPr>
          <w:rFonts w:ascii="Times New Roman" w:hAnsi="Times New Roman" w:cs="Times New Roman"/>
          <w:sz w:val="24"/>
          <w:szCs w:val="24"/>
          <w:lang w:val="ro-RO"/>
        </w:rPr>
        <w:t>:</w:t>
      </w:r>
      <w:r w:rsidRPr="00057B0D">
        <w:rPr>
          <w:rFonts w:ascii="Times New Roman" w:hAnsi="Times New Roman" w:cs="Times New Roman"/>
          <w:sz w:val="24"/>
          <w:szCs w:val="24"/>
          <w:lang w:val="ro-RO"/>
        </w:rPr>
        <w:t xml:space="preserve"> Nivelul creșterii sau contracției economiei influențează nivelul falimentelor în economie</w:t>
      </w:r>
    </w:p>
    <w:p w14:paraId="5ACD4021" w14:textId="43603617" w:rsidR="00057B0D" w:rsidRPr="00057B0D" w:rsidRDefault="00057B0D" w:rsidP="00057B0D">
      <w:pPr>
        <w:spacing w:after="0" w:line="240" w:lineRule="auto"/>
        <w:jc w:val="both"/>
        <w:rPr>
          <w:rFonts w:ascii="Times New Roman" w:hAnsi="Times New Roman" w:cs="Times New Roman"/>
          <w:sz w:val="24"/>
          <w:szCs w:val="24"/>
          <w:lang w:val="ro-RO"/>
        </w:rPr>
      </w:pPr>
      <w:r w:rsidRPr="00D11AFA">
        <w:rPr>
          <w:rFonts w:ascii="Times New Roman" w:hAnsi="Times New Roman" w:cs="Times New Roman"/>
          <w:b/>
          <w:bCs/>
          <w:i/>
          <w:iCs/>
          <w:sz w:val="24"/>
          <w:szCs w:val="24"/>
          <w:lang w:val="ro-RO"/>
        </w:rPr>
        <w:t>H2</w:t>
      </w:r>
      <w:r>
        <w:rPr>
          <w:rFonts w:ascii="Times New Roman" w:hAnsi="Times New Roman" w:cs="Times New Roman"/>
          <w:sz w:val="24"/>
          <w:szCs w:val="24"/>
          <w:lang w:val="ro-RO"/>
        </w:rPr>
        <w:t>:</w:t>
      </w:r>
      <w:r w:rsidRPr="00057B0D">
        <w:rPr>
          <w:rFonts w:ascii="Times New Roman" w:hAnsi="Times New Roman" w:cs="Times New Roman"/>
          <w:sz w:val="24"/>
          <w:szCs w:val="24"/>
          <w:lang w:val="ro-RO"/>
        </w:rPr>
        <w:t xml:space="preserve"> Rata inflației are impact fundamental asupra falimentelor entităților economice </w:t>
      </w:r>
    </w:p>
    <w:p w14:paraId="4FBC700C" w14:textId="1FBE6F71" w:rsidR="00057B0D" w:rsidRPr="008201DB" w:rsidRDefault="00057B0D" w:rsidP="00057B0D">
      <w:pPr>
        <w:autoSpaceDE w:val="0"/>
        <w:autoSpaceDN w:val="0"/>
        <w:adjustRightInd w:val="0"/>
        <w:spacing w:after="0" w:line="240" w:lineRule="auto"/>
        <w:jc w:val="both"/>
        <w:rPr>
          <w:rFonts w:ascii="Times New Roman" w:hAnsi="Times New Roman" w:cs="Times New Roman"/>
          <w:sz w:val="24"/>
          <w:szCs w:val="24"/>
          <w:lang w:val="ro-RO"/>
        </w:rPr>
      </w:pPr>
      <w:r w:rsidRPr="00D11AFA">
        <w:rPr>
          <w:rFonts w:ascii="Times New Roman" w:hAnsi="Times New Roman" w:cs="Times New Roman"/>
          <w:b/>
          <w:bCs/>
          <w:i/>
          <w:iCs/>
          <w:sz w:val="24"/>
          <w:szCs w:val="24"/>
          <w:lang w:val="ro-RO"/>
        </w:rPr>
        <w:t>H3</w:t>
      </w:r>
      <w:r>
        <w:rPr>
          <w:rFonts w:ascii="Times New Roman" w:hAnsi="Times New Roman" w:cs="Times New Roman"/>
          <w:sz w:val="24"/>
          <w:szCs w:val="24"/>
          <w:lang w:val="ro-RO"/>
        </w:rPr>
        <w:t xml:space="preserve">: </w:t>
      </w:r>
      <w:r w:rsidRPr="00057B0D">
        <w:rPr>
          <w:rFonts w:ascii="Times New Roman" w:hAnsi="Times New Roman" w:cs="Times New Roman"/>
          <w:sz w:val="24"/>
          <w:szCs w:val="24"/>
          <w:lang w:val="ro-RO"/>
        </w:rPr>
        <w:t>Nivelul ratei șomajului înregistrat la nivelul economiei afectează nivelul falimentelor.</w:t>
      </w:r>
    </w:p>
    <w:p w14:paraId="5A657CA7" w14:textId="1FA592F4" w:rsidR="000E3888" w:rsidRPr="00C677AC" w:rsidRDefault="000E3888" w:rsidP="000E3888">
      <w:pPr>
        <w:autoSpaceDE w:val="0"/>
        <w:autoSpaceDN w:val="0"/>
        <w:adjustRightInd w:val="0"/>
        <w:spacing w:after="0" w:line="240" w:lineRule="auto"/>
        <w:ind w:firstLine="567"/>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Evoluțiile economiei care se manifestă sub forma ciclurilor economice sunt creșteri sau scăderi ale activității economice între fazele de expansiune sau contracție. Crizele recente cum ar fi criza din 2008 sau criza generată de pandemia COVID-19 arată</w:t>
      </w:r>
      <w:r w:rsidR="001A1BAE" w:rsidRPr="00C677AC">
        <w:rPr>
          <w:rFonts w:ascii="Times New Roman" w:hAnsi="Times New Roman" w:cs="Times New Roman"/>
          <w:sz w:val="24"/>
          <w:szCs w:val="24"/>
          <w:lang w:val="ro-RO"/>
        </w:rPr>
        <w:t xml:space="preserve"> că contracțiile economice rapide pot duce la creșterea falimentelor </w:t>
      </w:r>
      <w:r w:rsidR="003A6FCC" w:rsidRPr="00C677AC">
        <w:rPr>
          <w:rFonts w:ascii="Times New Roman" w:hAnsi="Times New Roman" w:cs="Times New Roman"/>
          <w:sz w:val="24"/>
          <w:szCs w:val="24"/>
          <w:lang w:val="ro-RO"/>
        </w:rPr>
        <w:t xml:space="preserve">la niveluri nedorite, aceasta </w:t>
      </w:r>
      <w:r w:rsidR="00C677AC" w:rsidRPr="00C677AC">
        <w:rPr>
          <w:rFonts w:ascii="Times New Roman" w:hAnsi="Times New Roman" w:cs="Times New Roman"/>
          <w:sz w:val="24"/>
          <w:szCs w:val="24"/>
          <w:lang w:val="ro-RO"/>
        </w:rPr>
        <w:t>deoarece</w:t>
      </w:r>
      <w:r w:rsidR="003A6FCC" w:rsidRPr="00C677AC">
        <w:rPr>
          <w:rFonts w:ascii="Times New Roman" w:hAnsi="Times New Roman" w:cs="Times New Roman"/>
          <w:sz w:val="24"/>
          <w:szCs w:val="24"/>
          <w:lang w:val="ro-RO"/>
        </w:rPr>
        <w:t xml:space="preserve"> î</w:t>
      </w:r>
      <w:r w:rsidRPr="00C677AC">
        <w:rPr>
          <w:rFonts w:ascii="Times New Roman" w:hAnsi="Times New Roman" w:cs="Times New Roman"/>
          <w:sz w:val="24"/>
          <w:szCs w:val="24"/>
          <w:lang w:val="ro-RO"/>
        </w:rPr>
        <w:t xml:space="preserve">n timpul recesiunilor, cererea agregată scade, ceea ce </w:t>
      </w:r>
      <w:r w:rsidR="00C677AC">
        <w:rPr>
          <w:rFonts w:ascii="Times New Roman" w:hAnsi="Times New Roman" w:cs="Times New Roman"/>
          <w:sz w:val="24"/>
          <w:szCs w:val="24"/>
          <w:lang w:val="ro-RO"/>
        </w:rPr>
        <w:t>are impact asupra</w:t>
      </w:r>
      <w:r w:rsidR="003A6FCC" w:rsidRPr="00C677AC">
        <w:rPr>
          <w:rFonts w:ascii="Times New Roman" w:hAnsi="Times New Roman" w:cs="Times New Roman"/>
          <w:sz w:val="24"/>
          <w:szCs w:val="24"/>
          <w:lang w:val="ro-RO"/>
        </w:rPr>
        <w:t xml:space="preserve"> r</w:t>
      </w:r>
      <w:r w:rsidRPr="00C677AC">
        <w:rPr>
          <w:rFonts w:ascii="Times New Roman" w:hAnsi="Times New Roman" w:cs="Times New Roman"/>
          <w:sz w:val="24"/>
          <w:szCs w:val="24"/>
          <w:lang w:val="ro-RO"/>
        </w:rPr>
        <w:t>educer</w:t>
      </w:r>
      <w:r w:rsidR="00C677AC">
        <w:rPr>
          <w:rFonts w:ascii="Times New Roman" w:hAnsi="Times New Roman" w:cs="Times New Roman"/>
          <w:sz w:val="24"/>
          <w:szCs w:val="24"/>
          <w:lang w:val="ro-RO"/>
        </w:rPr>
        <w:t>ii</w:t>
      </w:r>
      <w:r w:rsidRPr="00C677AC">
        <w:rPr>
          <w:rFonts w:ascii="Times New Roman" w:hAnsi="Times New Roman" w:cs="Times New Roman"/>
          <w:sz w:val="24"/>
          <w:szCs w:val="24"/>
          <w:lang w:val="ro-RO"/>
        </w:rPr>
        <w:t xml:space="preserve"> vânzărilor </w:t>
      </w:r>
      <w:r w:rsidR="003A6FCC" w:rsidRPr="00C677AC">
        <w:rPr>
          <w:rFonts w:ascii="Times New Roman" w:hAnsi="Times New Roman" w:cs="Times New Roman"/>
          <w:sz w:val="24"/>
          <w:szCs w:val="24"/>
          <w:lang w:val="ro-RO"/>
        </w:rPr>
        <w:t xml:space="preserve">companiilor iar cele care nu reacționează rapid sau care nu au dezvoltat si implementat o activitate sustenabilă devin vulnerabile în fața șocurilor și de regulă urmează calea </w:t>
      </w:r>
      <w:r w:rsidR="00C677AC" w:rsidRPr="00C677AC">
        <w:rPr>
          <w:rFonts w:ascii="Times New Roman" w:hAnsi="Times New Roman" w:cs="Times New Roman"/>
          <w:sz w:val="24"/>
          <w:szCs w:val="24"/>
          <w:lang w:val="ro-RO"/>
        </w:rPr>
        <w:t>falimentului</w:t>
      </w:r>
      <w:r w:rsidR="003A6FCC" w:rsidRPr="00C677AC">
        <w:rPr>
          <w:rFonts w:ascii="Times New Roman" w:hAnsi="Times New Roman" w:cs="Times New Roman"/>
          <w:sz w:val="24"/>
          <w:szCs w:val="24"/>
          <w:lang w:val="ro-RO"/>
        </w:rPr>
        <w:t xml:space="preserve">. </w:t>
      </w:r>
    </w:p>
    <w:p w14:paraId="1ECD8963" w14:textId="7A11018F" w:rsidR="00301073" w:rsidRPr="00C677AC" w:rsidRDefault="00301073" w:rsidP="00301073">
      <w:pPr>
        <w:autoSpaceDE w:val="0"/>
        <w:autoSpaceDN w:val="0"/>
        <w:adjustRightInd w:val="0"/>
        <w:spacing w:after="0" w:line="240" w:lineRule="auto"/>
        <w:ind w:firstLine="567"/>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 xml:space="preserve">In literatura economică, un nou concept </w:t>
      </w:r>
      <w:r w:rsidR="00D43AED" w:rsidRPr="00C677AC">
        <w:rPr>
          <w:rFonts w:ascii="Times New Roman" w:hAnsi="Times New Roman" w:cs="Times New Roman"/>
          <w:sz w:val="24"/>
          <w:szCs w:val="24"/>
          <w:lang w:val="ro-RO"/>
        </w:rPr>
        <w:t>câștigă</w:t>
      </w:r>
      <w:r w:rsidRPr="00C677AC">
        <w:rPr>
          <w:rFonts w:ascii="Times New Roman" w:hAnsi="Times New Roman" w:cs="Times New Roman"/>
          <w:sz w:val="24"/>
          <w:szCs w:val="24"/>
          <w:lang w:val="ro-RO"/>
        </w:rPr>
        <w:t xml:space="preserve"> o atenție din ce în ce mai mare și anume acela de </w:t>
      </w:r>
    </w:p>
    <w:p w14:paraId="4E1C6B96" w14:textId="77777777" w:rsidR="00301073" w:rsidRPr="00C677AC" w:rsidRDefault="00301073" w:rsidP="00301073">
      <w:pPr>
        <w:autoSpaceDE w:val="0"/>
        <w:autoSpaceDN w:val="0"/>
        <w:adjustRightInd w:val="0"/>
        <w:spacing w:after="0" w:line="240" w:lineRule="auto"/>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„decreștere” (sau „Degrowth” în limba engleză) diferit de conceptul de “descreștere” sau contracție economică, cu precădere în urma diverselor crize economice, de mediu sau sociale, multe dintre ele suprapuse, care acționează simultan sau concertat. Conceptul de decreștere reprezintă o alternativă la paradigma creșterii economice permanente, având ca tema centrală ideea că, pentru a dezvolta un viitor sustenabil se impune o echilibrare a consumului și a producției în sensul restrângerii voluntare ale acestora. Toate aceste const</w:t>
      </w:r>
      <w:r>
        <w:rPr>
          <w:rFonts w:ascii="Times New Roman" w:hAnsi="Times New Roman" w:cs="Times New Roman"/>
          <w:sz w:val="24"/>
          <w:szCs w:val="24"/>
          <w:lang w:val="ro-RO"/>
        </w:rPr>
        <w:t>râ</w:t>
      </w:r>
      <w:r w:rsidRPr="00C677AC">
        <w:rPr>
          <w:rFonts w:ascii="Times New Roman" w:hAnsi="Times New Roman" w:cs="Times New Roman"/>
          <w:sz w:val="24"/>
          <w:szCs w:val="24"/>
          <w:lang w:val="ro-RO"/>
        </w:rPr>
        <w:t xml:space="preserve">ngeri sunt impuse de resurse limitate, de limitări ecologice dar și pentru atingerea unor țeluri de neutralitate climatică și o economie verde. </w:t>
      </w:r>
    </w:p>
    <w:p w14:paraId="5DC3453B" w14:textId="2E439B3F" w:rsidR="009649F5" w:rsidRPr="00C677AC" w:rsidRDefault="009649F5" w:rsidP="000E3888">
      <w:pPr>
        <w:autoSpaceDE w:val="0"/>
        <w:autoSpaceDN w:val="0"/>
        <w:adjustRightInd w:val="0"/>
        <w:spacing w:after="0" w:line="240" w:lineRule="auto"/>
        <w:ind w:firstLine="567"/>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 xml:space="preserve">Inflația ridicată influențează nivelul falimentelor dintr-o țară pe mai multe paliere. Pe de o parte scăderea veniturilor companiilor se produce ca urmare a reducerii puterii de cumpărare a consumatorilor finali, în special în cazul companiilor cu marje de profitabilitate scăzută. În același timp, un mediu economic inflaționist atrage cu sine creștere generalizată a costurilor ceea ce în cazul în care acestea nu pot fi transferate către </w:t>
      </w:r>
      <w:r w:rsidR="00C677AC" w:rsidRPr="00C677AC">
        <w:rPr>
          <w:rFonts w:ascii="Times New Roman" w:hAnsi="Times New Roman" w:cs="Times New Roman"/>
          <w:sz w:val="24"/>
          <w:szCs w:val="24"/>
          <w:lang w:val="ro-RO"/>
        </w:rPr>
        <w:t>consumatorii</w:t>
      </w:r>
      <w:r w:rsidRPr="00C677AC">
        <w:rPr>
          <w:rFonts w:ascii="Times New Roman" w:hAnsi="Times New Roman" w:cs="Times New Roman"/>
          <w:sz w:val="24"/>
          <w:szCs w:val="24"/>
          <w:lang w:val="ro-RO"/>
        </w:rPr>
        <w:t xml:space="preserve"> finali generează erodarea puternică a marjelor. Mecanismele de control sau </w:t>
      </w:r>
      <w:r w:rsidR="00C677AC" w:rsidRPr="00C677AC">
        <w:rPr>
          <w:rFonts w:ascii="Times New Roman" w:hAnsi="Times New Roman" w:cs="Times New Roman"/>
          <w:sz w:val="24"/>
          <w:szCs w:val="24"/>
          <w:lang w:val="ro-RO"/>
        </w:rPr>
        <w:t>stăvilire</w:t>
      </w:r>
      <w:r w:rsidRPr="00C677AC">
        <w:rPr>
          <w:rFonts w:ascii="Times New Roman" w:hAnsi="Times New Roman" w:cs="Times New Roman"/>
          <w:sz w:val="24"/>
          <w:szCs w:val="24"/>
          <w:lang w:val="ro-RO"/>
        </w:rPr>
        <w:t xml:space="preserve"> a puseului inflaționist presupune printre altele și creșterea </w:t>
      </w:r>
      <w:r w:rsidR="00C677AC" w:rsidRPr="00C677AC">
        <w:rPr>
          <w:rFonts w:ascii="Times New Roman" w:hAnsi="Times New Roman" w:cs="Times New Roman"/>
          <w:sz w:val="24"/>
          <w:szCs w:val="24"/>
          <w:lang w:val="ro-RO"/>
        </w:rPr>
        <w:t>dobânzilor</w:t>
      </w:r>
      <w:r w:rsidRPr="00C677AC">
        <w:rPr>
          <w:rFonts w:ascii="Times New Roman" w:hAnsi="Times New Roman" w:cs="Times New Roman"/>
          <w:sz w:val="24"/>
          <w:szCs w:val="24"/>
          <w:lang w:val="ro-RO"/>
        </w:rPr>
        <w:t xml:space="preserve"> de referință, ceea ce face ca </w:t>
      </w:r>
      <w:r w:rsidR="00FE2799" w:rsidRPr="00C677AC">
        <w:rPr>
          <w:rFonts w:ascii="Times New Roman" w:hAnsi="Times New Roman" w:cs="Times New Roman"/>
          <w:sz w:val="24"/>
          <w:szCs w:val="24"/>
          <w:lang w:val="ro-RO"/>
        </w:rPr>
        <w:t xml:space="preserve">atragerea de capital străin sa fie </w:t>
      </w:r>
      <w:r w:rsidR="00C677AC" w:rsidRPr="00C677AC">
        <w:rPr>
          <w:rFonts w:ascii="Times New Roman" w:hAnsi="Times New Roman" w:cs="Times New Roman"/>
          <w:sz w:val="24"/>
          <w:szCs w:val="24"/>
          <w:lang w:val="ro-RO"/>
        </w:rPr>
        <w:t>înfăptuită</w:t>
      </w:r>
      <w:r w:rsidR="00FE2799" w:rsidRPr="00C677AC">
        <w:rPr>
          <w:rFonts w:ascii="Times New Roman" w:hAnsi="Times New Roman" w:cs="Times New Roman"/>
          <w:sz w:val="24"/>
          <w:szCs w:val="24"/>
          <w:lang w:val="ro-RO"/>
        </w:rPr>
        <w:t xml:space="preserve"> cu costuri de finanțare mai ridicate, ceea ce pune o presiune și mai mare și accentuează vulnerabilitățile acestora.</w:t>
      </w:r>
    </w:p>
    <w:p w14:paraId="06326BA6" w14:textId="0C911FC7" w:rsidR="009649F5" w:rsidRDefault="00C87D55" w:rsidP="000E3888">
      <w:pPr>
        <w:autoSpaceDE w:val="0"/>
        <w:autoSpaceDN w:val="0"/>
        <w:adjustRightInd w:val="0"/>
        <w:spacing w:after="0" w:line="240" w:lineRule="auto"/>
        <w:ind w:firstLine="567"/>
        <w:jc w:val="both"/>
        <w:rPr>
          <w:rFonts w:ascii="Times New Roman" w:hAnsi="Times New Roman" w:cs="Times New Roman"/>
          <w:sz w:val="24"/>
          <w:szCs w:val="24"/>
          <w:lang w:val="ro-RO"/>
        </w:rPr>
      </w:pPr>
      <w:r w:rsidRPr="00C87D55">
        <w:rPr>
          <w:rFonts w:ascii="Times New Roman" w:hAnsi="Times New Roman" w:cs="Times New Roman"/>
          <w:sz w:val="24"/>
          <w:szCs w:val="24"/>
          <w:lang w:val="ro-RO"/>
        </w:rPr>
        <w:t>Nivelul înregistrat al șomajului în economie și nivelul falimentelor sunt două indicatori conectați aceasta deoarece creșterea nivelului ratei șomajului influențează creșterea nivelului falimentelor dar și gravitatea acestora. Un nivel ridicat al șomajului, chiar și unul conj</w:t>
      </w:r>
      <w:r>
        <w:rPr>
          <w:rFonts w:ascii="Times New Roman" w:hAnsi="Times New Roman" w:cs="Times New Roman"/>
          <w:sz w:val="24"/>
          <w:szCs w:val="24"/>
          <w:lang w:val="ro-RO"/>
        </w:rPr>
        <w:t>un</w:t>
      </w:r>
      <w:r w:rsidRPr="00C87D55">
        <w:rPr>
          <w:rFonts w:ascii="Times New Roman" w:hAnsi="Times New Roman" w:cs="Times New Roman"/>
          <w:sz w:val="24"/>
          <w:szCs w:val="24"/>
          <w:lang w:val="ro-RO"/>
        </w:rPr>
        <w:t xml:space="preserve">ctural care se manifestă o scurtă perioadă de timp, generează o reducere a cererii agregate de bunuri și servicii prin aceea că veniturile consumatorilor scad iar încrederea in economie este astfel deteriorată. În această situație, </w:t>
      </w:r>
      <w:r w:rsidR="00785CB1" w:rsidRPr="00C87D55">
        <w:rPr>
          <w:rFonts w:ascii="Times New Roman" w:hAnsi="Times New Roman" w:cs="Times New Roman"/>
          <w:sz w:val="24"/>
          <w:szCs w:val="24"/>
          <w:lang w:val="ro-RO"/>
        </w:rPr>
        <w:t>consumatorilor</w:t>
      </w:r>
      <w:r w:rsidRPr="00C87D55">
        <w:rPr>
          <w:rFonts w:ascii="Times New Roman" w:hAnsi="Times New Roman" w:cs="Times New Roman"/>
          <w:sz w:val="24"/>
          <w:szCs w:val="24"/>
          <w:lang w:val="ro-RO"/>
        </w:rPr>
        <w:t xml:space="preserve"> tind să reducă la minim </w:t>
      </w:r>
      <w:r w:rsidR="00785CB1" w:rsidRPr="00C87D55">
        <w:rPr>
          <w:rFonts w:ascii="Times New Roman" w:hAnsi="Times New Roman" w:cs="Times New Roman"/>
          <w:sz w:val="24"/>
          <w:szCs w:val="24"/>
          <w:lang w:val="ro-RO"/>
        </w:rPr>
        <w:t>cheltuielile</w:t>
      </w:r>
      <w:r w:rsidRPr="00C87D55">
        <w:rPr>
          <w:rFonts w:ascii="Times New Roman" w:hAnsi="Times New Roman" w:cs="Times New Roman"/>
          <w:sz w:val="24"/>
          <w:szCs w:val="24"/>
          <w:lang w:val="ro-RO"/>
        </w:rPr>
        <w:t xml:space="preserve"> neesențiale fiind </w:t>
      </w:r>
      <w:r w:rsidR="00785CB1">
        <w:rPr>
          <w:rFonts w:ascii="Times New Roman" w:hAnsi="Times New Roman" w:cs="Times New Roman"/>
          <w:sz w:val="24"/>
          <w:szCs w:val="24"/>
          <w:lang w:val="ro-RO"/>
        </w:rPr>
        <w:t>î</w:t>
      </w:r>
      <w:r w:rsidRPr="00C87D55">
        <w:rPr>
          <w:rFonts w:ascii="Times New Roman" w:hAnsi="Times New Roman" w:cs="Times New Roman"/>
          <w:sz w:val="24"/>
          <w:szCs w:val="24"/>
          <w:lang w:val="ro-RO"/>
        </w:rPr>
        <w:t xml:space="preserve">n </w:t>
      </w:r>
      <w:r w:rsidR="00785CB1" w:rsidRPr="00C87D55">
        <w:rPr>
          <w:rFonts w:ascii="Times New Roman" w:hAnsi="Times New Roman" w:cs="Times New Roman"/>
          <w:sz w:val="24"/>
          <w:szCs w:val="24"/>
          <w:lang w:val="ro-RO"/>
        </w:rPr>
        <w:t>situați</w:t>
      </w:r>
      <w:r w:rsidR="00785CB1">
        <w:rPr>
          <w:rFonts w:ascii="Times New Roman" w:hAnsi="Times New Roman" w:cs="Times New Roman"/>
          <w:sz w:val="24"/>
          <w:szCs w:val="24"/>
          <w:lang w:val="ro-RO"/>
        </w:rPr>
        <w:t>a</w:t>
      </w:r>
      <w:r w:rsidRPr="00C87D55">
        <w:rPr>
          <w:rFonts w:ascii="Times New Roman" w:hAnsi="Times New Roman" w:cs="Times New Roman"/>
          <w:sz w:val="24"/>
          <w:szCs w:val="24"/>
          <w:lang w:val="ro-RO"/>
        </w:rPr>
        <w:t xml:space="preserve"> de luptă pentru supraviețuire, </w:t>
      </w:r>
      <w:r w:rsidR="00785CB1" w:rsidRPr="00C87D55">
        <w:rPr>
          <w:rFonts w:ascii="Times New Roman" w:hAnsi="Times New Roman" w:cs="Times New Roman"/>
          <w:sz w:val="24"/>
          <w:szCs w:val="24"/>
          <w:lang w:val="ro-RO"/>
        </w:rPr>
        <w:t>preferând</w:t>
      </w:r>
      <w:r w:rsidRPr="00C87D55">
        <w:rPr>
          <w:rFonts w:ascii="Times New Roman" w:hAnsi="Times New Roman" w:cs="Times New Roman"/>
          <w:sz w:val="24"/>
          <w:szCs w:val="24"/>
          <w:lang w:val="ro-RO"/>
        </w:rPr>
        <w:t xml:space="preserve"> să utilizeze </w:t>
      </w:r>
      <w:r w:rsidR="00785CB1" w:rsidRPr="00C87D55">
        <w:rPr>
          <w:rFonts w:ascii="Times New Roman" w:hAnsi="Times New Roman" w:cs="Times New Roman"/>
          <w:sz w:val="24"/>
          <w:szCs w:val="24"/>
          <w:lang w:val="ro-RO"/>
        </w:rPr>
        <w:t>surplusul</w:t>
      </w:r>
      <w:r w:rsidRPr="00C87D55">
        <w:rPr>
          <w:rFonts w:ascii="Times New Roman" w:hAnsi="Times New Roman" w:cs="Times New Roman"/>
          <w:sz w:val="24"/>
          <w:szCs w:val="24"/>
          <w:lang w:val="ro-RO"/>
        </w:rPr>
        <w:t xml:space="preserve"> pentru economisire, viitorul fiind incert. Toate aceste creează premisele unei contracții ale </w:t>
      </w:r>
      <w:r w:rsidR="00785CB1" w:rsidRPr="00C87D55">
        <w:rPr>
          <w:rFonts w:ascii="Times New Roman" w:hAnsi="Times New Roman" w:cs="Times New Roman"/>
          <w:sz w:val="24"/>
          <w:szCs w:val="24"/>
          <w:lang w:val="ro-RO"/>
        </w:rPr>
        <w:t>vânzărilor</w:t>
      </w:r>
      <w:r w:rsidRPr="00C87D55">
        <w:rPr>
          <w:rFonts w:ascii="Times New Roman" w:hAnsi="Times New Roman" w:cs="Times New Roman"/>
          <w:sz w:val="24"/>
          <w:szCs w:val="24"/>
          <w:lang w:val="ro-RO"/>
        </w:rPr>
        <w:t xml:space="preserve"> </w:t>
      </w:r>
      <w:r w:rsidR="00785CB1" w:rsidRPr="00C87D55">
        <w:rPr>
          <w:rFonts w:ascii="Times New Roman" w:hAnsi="Times New Roman" w:cs="Times New Roman"/>
          <w:sz w:val="24"/>
          <w:szCs w:val="24"/>
          <w:lang w:val="ro-RO"/>
        </w:rPr>
        <w:t>entităților</w:t>
      </w:r>
      <w:r w:rsidRPr="00C87D55">
        <w:rPr>
          <w:rFonts w:ascii="Times New Roman" w:hAnsi="Times New Roman" w:cs="Times New Roman"/>
          <w:sz w:val="24"/>
          <w:szCs w:val="24"/>
          <w:lang w:val="ro-RO"/>
        </w:rPr>
        <w:t xml:space="preserve"> economice, care se vad nevoite să își restrângă activitatea și în cel mai nefericit caz sa ajungă până la punctul de a intra demara procedurile legale de insolvență sau chiar faliment. </w:t>
      </w:r>
      <w:r w:rsidR="009649F5" w:rsidRPr="00C677AC">
        <w:rPr>
          <w:rFonts w:ascii="Times New Roman" w:hAnsi="Times New Roman" w:cs="Times New Roman"/>
          <w:sz w:val="24"/>
          <w:szCs w:val="24"/>
          <w:lang w:val="ro-RO"/>
        </w:rPr>
        <w:t xml:space="preserve">  .</w:t>
      </w:r>
    </w:p>
    <w:p w14:paraId="3724C729" w14:textId="77777777" w:rsidR="00D43AED" w:rsidRDefault="00D43AED" w:rsidP="00301073">
      <w:pPr>
        <w:autoSpaceDE w:val="0"/>
        <w:autoSpaceDN w:val="0"/>
        <w:adjustRightInd w:val="0"/>
        <w:spacing w:after="0" w:line="240" w:lineRule="auto"/>
        <w:jc w:val="both"/>
        <w:rPr>
          <w:rFonts w:ascii="Times New Roman" w:hAnsi="Times New Roman" w:cs="Times New Roman"/>
          <w:b/>
          <w:sz w:val="24"/>
          <w:szCs w:val="24"/>
          <w:lang w:val="ro-RO"/>
        </w:rPr>
      </w:pPr>
    </w:p>
    <w:p w14:paraId="4096F5D1" w14:textId="7975CC1F" w:rsidR="00301073" w:rsidRPr="00301073" w:rsidRDefault="00301073" w:rsidP="00301073">
      <w:pPr>
        <w:autoSpaceDE w:val="0"/>
        <w:autoSpaceDN w:val="0"/>
        <w:adjustRightInd w:val="0"/>
        <w:spacing w:after="0" w:line="240" w:lineRule="auto"/>
        <w:jc w:val="both"/>
        <w:rPr>
          <w:rFonts w:ascii="Times New Roman" w:hAnsi="Times New Roman" w:cs="Times New Roman"/>
          <w:b/>
          <w:sz w:val="24"/>
          <w:szCs w:val="24"/>
          <w:lang w:val="ro-RO"/>
        </w:rPr>
      </w:pPr>
      <w:r w:rsidRPr="00301073">
        <w:rPr>
          <w:rFonts w:ascii="Times New Roman" w:hAnsi="Times New Roman" w:cs="Times New Roman"/>
          <w:b/>
          <w:sz w:val="24"/>
          <w:szCs w:val="24"/>
          <w:lang w:val="ro-RO"/>
        </w:rPr>
        <w:t>REVIZUIREA LITERATURII DE SPECIALITATE</w:t>
      </w:r>
    </w:p>
    <w:p w14:paraId="2C389DDF" w14:textId="77777777" w:rsidR="00D43AED" w:rsidRDefault="00D43AED" w:rsidP="000E3888">
      <w:pPr>
        <w:autoSpaceDE w:val="0"/>
        <w:autoSpaceDN w:val="0"/>
        <w:adjustRightInd w:val="0"/>
        <w:spacing w:after="0" w:line="240" w:lineRule="auto"/>
        <w:ind w:firstLine="720"/>
        <w:jc w:val="both"/>
        <w:rPr>
          <w:rFonts w:ascii="Times New Roman" w:hAnsi="Times New Roman" w:cs="Times New Roman"/>
          <w:sz w:val="24"/>
          <w:szCs w:val="24"/>
          <w:lang w:val="ro-RO"/>
        </w:rPr>
      </w:pPr>
    </w:p>
    <w:p w14:paraId="756CFF90" w14:textId="18F93A27" w:rsidR="00C62874" w:rsidRPr="00C677AC" w:rsidRDefault="00C62874" w:rsidP="000E3888">
      <w:pPr>
        <w:autoSpaceDE w:val="0"/>
        <w:autoSpaceDN w:val="0"/>
        <w:adjustRightInd w:val="0"/>
        <w:spacing w:after="0" w:line="240" w:lineRule="auto"/>
        <w:ind w:firstLine="720"/>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Demersul nostru de cercetare demarează cu interogarea bazei de date WebofScience/Clariva</w:t>
      </w:r>
      <w:r w:rsidR="00280930">
        <w:rPr>
          <w:rFonts w:ascii="Times New Roman" w:hAnsi="Times New Roman" w:cs="Times New Roman"/>
          <w:sz w:val="24"/>
          <w:szCs w:val="24"/>
          <w:lang w:val="ro-RO"/>
        </w:rPr>
        <w:t>t</w:t>
      </w:r>
      <w:r w:rsidRPr="00C677AC">
        <w:rPr>
          <w:rFonts w:ascii="Times New Roman" w:hAnsi="Times New Roman" w:cs="Times New Roman"/>
          <w:sz w:val="24"/>
          <w:szCs w:val="24"/>
          <w:lang w:val="ro-RO"/>
        </w:rPr>
        <w:t>e pentru o identificare cât mai pertinent</w:t>
      </w:r>
      <w:r w:rsidR="00CA1C66" w:rsidRPr="00C677AC">
        <w:rPr>
          <w:rFonts w:ascii="Times New Roman" w:hAnsi="Times New Roman" w:cs="Times New Roman"/>
          <w:sz w:val="24"/>
          <w:szCs w:val="24"/>
          <w:lang w:val="ro-RO"/>
        </w:rPr>
        <w:t>ă</w:t>
      </w:r>
      <w:r w:rsidRPr="00C677AC">
        <w:rPr>
          <w:rFonts w:ascii="Times New Roman" w:hAnsi="Times New Roman" w:cs="Times New Roman"/>
          <w:sz w:val="24"/>
          <w:szCs w:val="24"/>
          <w:lang w:val="ro-RO"/>
        </w:rPr>
        <w:t xml:space="preserve"> a tendințelor din domeniul cercetării </w:t>
      </w:r>
      <w:r w:rsidR="00CA1C66" w:rsidRPr="00C677AC">
        <w:rPr>
          <w:rFonts w:ascii="Times New Roman" w:hAnsi="Times New Roman" w:cs="Times New Roman"/>
          <w:sz w:val="24"/>
          <w:szCs w:val="24"/>
          <w:lang w:val="ro-RO"/>
        </w:rPr>
        <w:t xml:space="preserve">privind </w:t>
      </w:r>
      <w:r w:rsidRPr="00C677AC">
        <w:rPr>
          <w:rFonts w:ascii="Times New Roman" w:hAnsi="Times New Roman" w:cs="Times New Roman"/>
          <w:sz w:val="24"/>
          <w:szCs w:val="24"/>
          <w:lang w:val="ro-RO"/>
        </w:rPr>
        <w:t>impactul evoluției economice</w:t>
      </w:r>
      <w:r w:rsidR="00C07209">
        <w:rPr>
          <w:rFonts w:ascii="Times New Roman" w:hAnsi="Times New Roman" w:cs="Times New Roman"/>
          <w:sz w:val="24"/>
          <w:szCs w:val="24"/>
          <w:lang w:val="ro-RO"/>
        </w:rPr>
        <w:t>, a inflație și a ratei șomajului</w:t>
      </w:r>
      <w:r w:rsidRPr="00C677AC">
        <w:rPr>
          <w:rFonts w:ascii="Times New Roman" w:hAnsi="Times New Roman" w:cs="Times New Roman"/>
          <w:sz w:val="24"/>
          <w:szCs w:val="24"/>
          <w:lang w:val="ro-RO"/>
        </w:rPr>
        <w:t xml:space="preserve"> asupra </w:t>
      </w:r>
      <w:r w:rsidR="00C07209" w:rsidRPr="00C677AC">
        <w:rPr>
          <w:rFonts w:ascii="Times New Roman" w:hAnsi="Times New Roman" w:cs="Times New Roman"/>
          <w:sz w:val="24"/>
          <w:szCs w:val="24"/>
          <w:lang w:val="ro-RO"/>
        </w:rPr>
        <w:t>falimentului</w:t>
      </w:r>
      <w:r w:rsidRPr="00C677AC">
        <w:rPr>
          <w:rFonts w:ascii="Times New Roman" w:hAnsi="Times New Roman" w:cs="Times New Roman"/>
          <w:sz w:val="24"/>
          <w:szCs w:val="24"/>
          <w:lang w:val="ro-RO"/>
        </w:rPr>
        <w:t xml:space="preserve"> entităților economice</w:t>
      </w:r>
      <w:r w:rsidR="000E3888" w:rsidRPr="00C677AC">
        <w:rPr>
          <w:rFonts w:ascii="Times New Roman" w:hAnsi="Times New Roman" w:cs="Times New Roman"/>
          <w:sz w:val="24"/>
          <w:szCs w:val="24"/>
          <w:lang w:val="ro-RO"/>
        </w:rPr>
        <w:t xml:space="preserve">. </w:t>
      </w:r>
      <w:r w:rsidR="00C07209" w:rsidRPr="00C677AC">
        <w:rPr>
          <w:rFonts w:ascii="Times New Roman" w:hAnsi="Times New Roman" w:cs="Times New Roman"/>
          <w:sz w:val="24"/>
          <w:szCs w:val="24"/>
          <w:lang w:val="ro-RO"/>
        </w:rPr>
        <w:t>Interogarea</w:t>
      </w:r>
      <w:r w:rsidR="000E3888" w:rsidRPr="00C677AC">
        <w:rPr>
          <w:rFonts w:ascii="Times New Roman" w:hAnsi="Times New Roman" w:cs="Times New Roman"/>
          <w:sz w:val="24"/>
          <w:szCs w:val="24"/>
          <w:lang w:val="ro-RO"/>
        </w:rPr>
        <w:t xml:space="preserve"> a presupus o căutare de tip “boolean” du</w:t>
      </w:r>
      <w:r w:rsidR="00CA1C66" w:rsidRPr="00C677AC">
        <w:rPr>
          <w:rFonts w:ascii="Times New Roman" w:hAnsi="Times New Roman" w:cs="Times New Roman"/>
          <w:sz w:val="24"/>
          <w:szCs w:val="24"/>
          <w:lang w:val="ro-RO"/>
        </w:rPr>
        <w:t>p</w:t>
      </w:r>
      <w:r w:rsidR="000E3888" w:rsidRPr="00C677AC">
        <w:rPr>
          <w:rFonts w:ascii="Times New Roman" w:hAnsi="Times New Roman" w:cs="Times New Roman"/>
          <w:sz w:val="24"/>
          <w:szCs w:val="24"/>
          <w:lang w:val="ro-RO"/>
        </w:rPr>
        <w:t>ă cuvintele cheie “faliment” ȘI “creștere economică” SAU ”</w:t>
      </w:r>
      <w:r w:rsidR="00C07209">
        <w:rPr>
          <w:rFonts w:ascii="Times New Roman" w:hAnsi="Times New Roman" w:cs="Times New Roman"/>
          <w:sz w:val="24"/>
          <w:szCs w:val="24"/>
          <w:lang w:val="ro-RO"/>
        </w:rPr>
        <w:t>inflație</w:t>
      </w:r>
      <w:r w:rsidR="000E3888" w:rsidRPr="00C677AC">
        <w:rPr>
          <w:rFonts w:ascii="Times New Roman" w:hAnsi="Times New Roman" w:cs="Times New Roman"/>
          <w:sz w:val="24"/>
          <w:szCs w:val="24"/>
          <w:lang w:val="ro-RO"/>
        </w:rPr>
        <w:t>” SAU ”</w:t>
      </w:r>
      <w:r w:rsidR="00C07209">
        <w:rPr>
          <w:rFonts w:ascii="Times New Roman" w:hAnsi="Times New Roman" w:cs="Times New Roman"/>
          <w:sz w:val="24"/>
          <w:szCs w:val="24"/>
          <w:lang w:val="ro-RO"/>
        </w:rPr>
        <w:t>rata șomajului</w:t>
      </w:r>
      <w:r w:rsidR="000E3888" w:rsidRPr="00C677AC">
        <w:rPr>
          <w:rFonts w:ascii="Times New Roman" w:hAnsi="Times New Roman" w:cs="Times New Roman"/>
          <w:sz w:val="24"/>
          <w:szCs w:val="24"/>
          <w:lang w:val="ro-RO"/>
        </w:rPr>
        <w:t>” obțin</w:t>
      </w:r>
      <w:r w:rsidR="00EC7B52">
        <w:rPr>
          <w:rFonts w:ascii="Times New Roman" w:hAnsi="Times New Roman" w:cs="Times New Roman"/>
          <w:sz w:val="24"/>
          <w:szCs w:val="24"/>
          <w:lang w:val="ro-RO"/>
        </w:rPr>
        <w:t>â</w:t>
      </w:r>
      <w:r w:rsidR="000E3888" w:rsidRPr="00C677AC">
        <w:rPr>
          <w:rFonts w:ascii="Times New Roman" w:hAnsi="Times New Roman" w:cs="Times New Roman"/>
          <w:sz w:val="24"/>
          <w:szCs w:val="24"/>
          <w:lang w:val="ro-RO"/>
        </w:rPr>
        <w:t xml:space="preserve">ndu-se astfel un număr de </w:t>
      </w:r>
      <w:r w:rsidR="00C07209">
        <w:rPr>
          <w:rFonts w:ascii="Times New Roman" w:hAnsi="Times New Roman" w:cs="Times New Roman"/>
          <w:sz w:val="24"/>
          <w:szCs w:val="24"/>
          <w:lang w:val="ro-RO"/>
        </w:rPr>
        <w:t>781</w:t>
      </w:r>
      <w:r w:rsidR="000E3888" w:rsidRPr="00C677AC">
        <w:rPr>
          <w:rFonts w:ascii="Times New Roman" w:hAnsi="Times New Roman" w:cs="Times New Roman"/>
          <w:sz w:val="24"/>
          <w:szCs w:val="24"/>
          <w:lang w:val="ro-RO"/>
        </w:rPr>
        <w:t xml:space="preserve"> publicații, articole, revizii sau proceeding-uri din diverse domenii de interes.  </w:t>
      </w:r>
    </w:p>
    <w:p w14:paraId="371476F2" w14:textId="72BF3049" w:rsidR="00785CB1" w:rsidRPr="008201DB" w:rsidRDefault="00CA1C66" w:rsidP="00785CB1">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ro-RO"/>
        </w:rPr>
      </w:pPr>
      <w:r w:rsidRPr="00C677AC">
        <w:rPr>
          <w:rFonts w:ascii="Times New Roman" w:eastAsia="Times New Roman" w:hAnsi="Times New Roman" w:cs="Times New Roman"/>
          <w:noProof/>
          <w:sz w:val="24"/>
          <w:szCs w:val="24"/>
          <w:lang w:val="ro-RO"/>
        </w:rPr>
        <w:t>Producția de cercetare nu este una deosebit de mare, rezultatele fiind obținute pentru perioada 19</w:t>
      </w:r>
      <w:r w:rsidR="00C07209">
        <w:rPr>
          <w:rFonts w:ascii="Times New Roman" w:eastAsia="Times New Roman" w:hAnsi="Times New Roman" w:cs="Times New Roman"/>
          <w:noProof/>
          <w:sz w:val="24"/>
          <w:szCs w:val="24"/>
          <w:lang w:val="ro-RO"/>
        </w:rPr>
        <w:t>75</w:t>
      </w:r>
      <w:r w:rsidRPr="00C677AC">
        <w:rPr>
          <w:rFonts w:ascii="Times New Roman" w:eastAsia="Times New Roman" w:hAnsi="Times New Roman" w:cs="Times New Roman"/>
          <w:noProof/>
          <w:sz w:val="24"/>
          <w:szCs w:val="24"/>
          <w:lang w:val="ro-RO"/>
        </w:rPr>
        <w:t>-2024, timp în care, în medie s-au emis un număr de 8.</w:t>
      </w:r>
      <w:r w:rsidR="00C07209">
        <w:rPr>
          <w:rFonts w:ascii="Times New Roman" w:eastAsia="Times New Roman" w:hAnsi="Times New Roman" w:cs="Times New Roman"/>
          <w:noProof/>
          <w:sz w:val="24"/>
          <w:szCs w:val="24"/>
          <w:lang w:val="ro-RO"/>
        </w:rPr>
        <w:t>94</w:t>
      </w:r>
      <w:r w:rsidRPr="00C677AC">
        <w:rPr>
          <w:rFonts w:ascii="Times New Roman" w:eastAsia="Times New Roman" w:hAnsi="Times New Roman" w:cs="Times New Roman"/>
          <w:noProof/>
          <w:sz w:val="24"/>
          <w:szCs w:val="24"/>
          <w:lang w:val="ro-RO"/>
        </w:rPr>
        <w:t xml:space="preserve"> publicații pe an. Cel mai prolific autor este Gallegati Mauro, av</w:t>
      </w:r>
      <w:r w:rsidR="00B6557D" w:rsidRPr="00C677AC">
        <w:rPr>
          <w:rFonts w:ascii="Times New Roman" w:eastAsia="Times New Roman" w:hAnsi="Times New Roman" w:cs="Times New Roman"/>
          <w:noProof/>
          <w:sz w:val="24"/>
          <w:szCs w:val="24"/>
          <w:lang w:val="ro-RO"/>
        </w:rPr>
        <w:t>â</w:t>
      </w:r>
      <w:r w:rsidRPr="00C677AC">
        <w:rPr>
          <w:rFonts w:ascii="Times New Roman" w:eastAsia="Times New Roman" w:hAnsi="Times New Roman" w:cs="Times New Roman"/>
          <w:noProof/>
          <w:sz w:val="24"/>
          <w:szCs w:val="24"/>
          <w:lang w:val="ro-RO"/>
        </w:rPr>
        <w:t xml:space="preserve">nd un număr total de 5 publicații cu privire la </w:t>
      </w:r>
      <w:r w:rsidR="00B6557D" w:rsidRPr="00C677AC">
        <w:rPr>
          <w:rFonts w:ascii="Times New Roman" w:eastAsia="Times New Roman" w:hAnsi="Times New Roman" w:cs="Times New Roman"/>
          <w:noProof/>
          <w:sz w:val="24"/>
          <w:szCs w:val="24"/>
          <w:lang w:val="ro-RO"/>
        </w:rPr>
        <w:t>d</w:t>
      </w:r>
      <w:r w:rsidRPr="00C677AC">
        <w:rPr>
          <w:rFonts w:ascii="Times New Roman" w:eastAsia="Times New Roman" w:hAnsi="Times New Roman" w:cs="Times New Roman"/>
          <w:noProof/>
          <w:sz w:val="24"/>
          <w:szCs w:val="24"/>
          <w:lang w:val="ro-RO"/>
        </w:rPr>
        <w:t>omeniul de interes.</w:t>
      </w:r>
      <w:r w:rsidR="00B6557D" w:rsidRPr="00C677AC">
        <w:rPr>
          <w:rFonts w:ascii="Times New Roman" w:eastAsia="Times New Roman" w:hAnsi="Times New Roman" w:cs="Times New Roman"/>
          <w:noProof/>
          <w:sz w:val="24"/>
          <w:szCs w:val="24"/>
          <w:lang w:val="ro-RO"/>
        </w:rPr>
        <w:t xml:space="preserve"> Cele mai citate doua articole sunt </w:t>
      </w:r>
      <w:r w:rsidR="00C07209" w:rsidRPr="00C07209">
        <w:rPr>
          <w:rFonts w:ascii="Times New Roman" w:eastAsia="Times New Roman" w:hAnsi="Times New Roman" w:cs="Times New Roman"/>
          <w:noProof/>
          <w:sz w:val="24"/>
          <w:szCs w:val="24"/>
          <w:lang w:val="ro-RO"/>
        </w:rPr>
        <w:t xml:space="preserve">Stuck! </w:t>
      </w:r>
      <w:r w:rsidR="00C07209" w:rsidRPr="00C07209">
        <w:rPr>
          <w:rFonts w:ascii="Times New Roman" w:eastAsia="Times New Roman" w:hAnsi="Times New Roman" w:cs="Times New Roman"/>
          <w:i/>
          <w:iCs/>
          <w:noProof/>
          <w:sz w:val="24"/>
          <w:szCs w:val="24"/>
          <w:lang w:val="ro-RO"/>
        </w:rPr>
        <w:t>The Law and Economics of Residential</w:t>
      </w:r>
      <w:r w:rsidR="00C07209" w:rsidRPr="00C07209">
        <w:rPr>
          <w:rFonts w:ascii="Times New Roman" w:eastAsia="Times New Roman" w:hAnsi="Times New Roman" w:cs="Times New Roman"/>
          <w:noProof/>
          <w:sz w:val="24"/>
          <w:szCs w:val="24"/>
          <w:lang w:val="ro-RO"/>
        </w:rPr>
        <w:t xml:space="preserve"> </w:t>
      </w:r>
      <w:r w:rsidR="00B6557D" w:rsidRPr="00C677AC">
        <w:rPr>
          <w:rFonts w:ascii="Times New Roman" w:eastAsia="Times New Roman" w:hAnsi="Times New Roman" w:cs="Times New Roman"/>
          <w:noProof/>
          <w:sz w:val="24"/>
          <w:szCs w:val="24"/>
          <w:lang w:val="ro-RO"/>
        </w:rPr>
        <w:t>avându</w:t>
      </w:r>
      <w:r w:rsidR="00922467">
        <w:rPr>
          <w:rFonts w:ascii="Times New Roman" w:eastAsia="Times New Roman" w:hAnsi="Times New Roman" w:cs="Times New Roman"/>
          <w:noProof/>
          <w:sz w:val="24"/>
          <w:szCs w:val="24"/>
          <w:lang w:val="ro-RO"/>
        </w:rPr>
        <w:t xml:space="preserve">l ca autor </w:t>
      </w:r>
      <w:r w:rsidR="00B6557D" w:rsidRPr="00C677AC">
        <w:rPr>
          <w:rFonts w:ascii="Times New Roman" w:eastAsia="Times New Roman" w:hAnsi="Times New Roman" w:cs="Times New Roman"/>
          <w:noProof/>
          <w:sz w:val="24"/>
          <w:szCs w:val="24"/>
          <w:lang w:val="ro-RO"/>
        </w:rPr>
        <w:t xml:space="preserve">pe </w:t>
      </w:r>
      <w:r w:rsidR="00922467" w:rsidRPr="00922467">
        <w:rPr>
          <w:rFonts w:ascii="Times New Roman" w:eastAsia="Times New Roman" w:hAnsi="Times New Roman" w:cs="Times New Roman"/>
          <w:noProof/>
          <w:sz w:val="24"/>
          <w:szCs w:val="24"/>
          <w:lang w:val="ro-RO"/>
        </w:rPr>
        <w:t xml:space="preserve">Schleicher, </w:t>
      </w:r>
      <w:r w:rsidR="00922467" w:rsidRPr="00922467">
        <w:rPr>
          <w:rFonts w:ascii="Times New Roman" w:eastAsia="Times New Roman" w:hAnsi="Times New Roman" w:cs="Times New Roman"/>
          <w:noProof/>
          <w:sz w:val="24"/>
          <w:szCs w:val="24"/>
          <w:lang w:val="ro-RO"/>
        </w:rPr>
        <w:lastRenderedPageBreak/>
        <w:t>D</w:t>
      </w:r>
      <w:r w:rsidR="00922467">
        <w:rPr>
          <w:rFonts w:ascii="Times New Roman" w:eastAsia="Times New Roman" w:hAnsi="Times New Roman" w:cs="Times New Roman"/>
          <w:noProof/>
          <w:sz w:val="24"/>
          <w:szCs w:val="24"/>
          <w:lang w:val="ro-RO"/>
        </w:rPr>
        <w:t xml:space="preserve">.,  articol provenind din anul </w:t>
      </w:r>
      <w:r w:rsidR="00B6557D" w:rsidRPr="00C677AC">
        <w:rPr>
          <w:rFonts w:ascii="Times New Roman" w:eastAsia="Times New Roman" w:hAnsi="Times New Roman" w:cs="Times New Roman"/>
          <w:noProof/>
          <w:sz w:val="24"/>
          <w:szCs w:val="24"/>
          <w:lang w:val="ro-RO"/>
        </w:rPr>
        <w:t>201</w:t>
      </w:r>
      <w:r w:rsidR="00922467">
        <w:rPr>
          <w:rFonts w:ascii="Times New Roman" w:eastAsia="Times New Roman" w:hAnsi="Times New Roman" w:cs="Times New Roman"/>
          <w:noProof/>
          <w:sz w:val="24"/>
          <w:szCs w:val="24"/>
          <w:lang w:val="ro-RO"/>
        </w:rPr>
        <w:t>7</w:t>
      </w:r>
      <w:r w:rsidR="00B6557D" w:rsidRPr="00C677AC">
        <w:rPr>
          <w:rFonts w:ascii="Times New Roman" w:eastAsia="Times New Roman" w:hAnsi="Times New Roman" w:cs="Times New Roman"/>
          <w:noProof/>
          <w:sz w:val="24"/>
          <w:szCs w:val="24"/>
          <w:lang w:val="ro-RO"/>
        </w:rPr>
        <w:t xml:space="preserve"> cu </w:t>
      </w:r>
      <w:r w:rsidR="00922467">
        <w:rPr>
          <w:rFonts w:ascii="Times New Roman" w:eastAsia="Times New Roman" w:hAnsi="Times New Roman" w:cs="Times New Roman"/>
          <w:noProof/>
          <w:sz w:val="24"/>
          <w:szCs w:val="24"/>
          <w:lang w:val="ro-RO"/>
        </w:rPr>
        <w:t>301</w:t>
      </w:r>
      <w:r w:rsidR="00B6557D" w:rsidRPr="00C677AC">
        <w:rPr>
          <w:rFonts w:ascii="Times New Roman" w:eastAsia="Times New Roman" w:hAnsi="Times New Roman" w:cs="Times New Roman"/>
          <w:noProof/>
          <w:sz w:val="24"/>
          <w:szCs w:val="24"/>
          <w:lang w:val="ro-RO"/>
        </w:rPr>
        <w:t xml:space="preserve"> citări precum și</w:t>
      </w:r>
      <w:r w:rsidR="00922467">
        <w:rPr>
          <w:rFonts w:ascii="Times New Roman" w:eastAsia="Times New Roman" w:hAnsi="Times New Roman" w:cs="Times New Roman"/>
          <w:noProof/>
          <w:sz w:val="24"/>
          <w:szCs w:val="24"/>
          <w:lang w:val="ro-RO"/>
        </w:rPr>
        <w:t xml:space="preserve"> articolul din 2022 avându-i co-autori pe </w:t>
      </w:r>
      <w:r w:rsidR="00922467" w:rsidRPr="00922467">
        <w:rPr>
          <w:rFonts w:ascii="Times New Roman" w:eastAsia="Times New Roman" w:hAnsi="Times New Roman" w:cs="Times New Roman"/>
          <w:noProof/>
          <w:sz w:val="24"/>
          <w:szCs w:val="24"/>
          <w:lang w:val="ro-RO"/>
        </w:rPr>
        <w:t>Vinod, D</w:t>
      </w:r>
      <w:r w:rsidR="00922467">
        <w:rPr>
          <w:rFonts w:ascii="Times New Roman" w:eastAsia="Times New Roman" w:hAnsi="Times New Roman" w:cs="Times New Roman"/>
          <w:noProof/>
          <w:sz w:val="24"/>
          <w:szCs w:val="24"/>
          <w:lang w:val="ro-RO"/>
        </w:rPr>
        <w:t>.,</w:t>
      </w:r>
      <w:r w:rsidR="00922467" w:rsidRPr="00922467">
        <w:rPr>
          <w:rFonts w:ascii="Times New Roman" w:eastAsia="Times New Roman" w:hAnsi="Times New Roman" w:cs="Times New Roman"/>
          <w:noProof/>
          <w:sz w:val="24"/>
          <w:szCs w:val="24"/>
          <w:lang w:val="ro-RO"/>
        </w:rPr>
        <w:t xml:space="preserve"> Cherstvy, AG</w:t>
      </w:r>
      <w:r w:rsidR="00922467">
        <w:rPr>
          <w:rFonts w:ascii="Times New Roman" w:eastAsia="Times New Roman" w:hAnsi="Times New Roman" w:cs="Times New Roman"/>
          <w:noProof/>
          <w:sz w:val="24"/>
          <w:szCs w:val="24"/>
          <w:lang w:val="ro-RO"/>
        </w:rPr>
        <w:t>.,</w:t>
      </w:r>
      <w:r w:rsidR="00922467" w:rsidRPr="00922467">
        <w:rPr>
          <w:rFonts w:ascii="Times New Roman" w:eastAsia="Times New Roman" w:hAnsi="Times New Roman" w:cs="Times New Roman"/>
          <w:noProof/>
          <w:sz w:val="24"/>
          <w:szCs w:val="24"/>
          <w:lang w:val="ro-RO"/>
        </w:rPr>
        <w:t xml:space="preserve"> Metzler, R</w:t>
      </w:r>
      <w:r w:rsidR="00922467">
        <w:rPr>
          <w:rFonts w:ascii="Times New Roman" w:eastAsia="Times New Roman" w:hAnsi="Times New Roman" w:cs="Times New Roman"/>
          <w:noProof/>
          <w:sz w:val="24"/>
          <w:szCs w:val="24"/>
          <w:lang w:val="ro-RO"/>
        </w:rPr>
        <w:t>. și</w:t>
      </w:r>
      <w:r w:rsidR="00922467" w:rsidRPr="00922467">
        <w:rPr>
          <w:rFonts w:ascii="Times New Roman" w:eastAsia="Times New Roman" w:hAnsi="Times New Roman" w:cs="Times New Roman"/>
          <w:noProof/>
          <w:sz w:val="24"/>
          <w:szCs w:val="24"/>
          <w:lang w:val="ro-RO"/>
        </w:rPr>
        <w:t xml:space="preserve"> Sokolov, IM</w:t>
      </w:r>
      <w:r w:rsidR="00B6557D" w:rsidRPr="00C677AC">
        <w:rPr>
          <w:rFonts w:ascii="Times New Roman" w:eastAsia="Times New Roman" w:hAnsi="Times New Roman" w:cs="Times New Roman"/>
          <w:noProof/>
          <w:sz w:val="24"/>
          <w:szCs w:val="24"/>
          <w:lang w:val="ro-RO"/>
        </w:rPr>
        <w:t>. av</w:t>
      </w:r>
      <w:r w:rsidR="00922467">
        <w:rPr>
          <w:rFonts w:ascii="Times New Roman" w:eastAsia="Times New Roman" w:hAnsi="Times New Roman" w:cs="Times New Roman"/>
          <w:noProof/>
          <w:sz w:val="24"/>
          <w:szCs w:val="24"/>
          <w:lang w:val="ro-RO"/>
        </w:rPr>
        <w:t>â</w:t>
      </w:r>
      <w:r w:rsidR="00B6557D" w:rsidRPr="00C677AC">
        <w:rPr>
          <w:rFonts w:ascii="Times New Roman" w:eastAsia="Times New Roman" w:hAnsi="Times New Roman" w:cs="Times New Roman"/>
          <w:noProof/>
          <w:sz w:val="24"/>
          <w:szCs w:val="24"/>
          <w:lang w:val="ro-RO"/>
        </w:rPr>
        <w:t xml:space="preserve">nd titlul de </w:t>
      </w:r>
      <w:r w:rsidR="00922467" w:rsidRPr="00922467">
        <w:rPr>
          <w:rFonts w:ascii="Times New Roman" w:eastAsia="Times New Roman" w:hAnsi="Times New Roman" w:cs="Times New Roman"/>
          <w:i/>
          <w:iCs/>
          <w:noProof/>
          <w:sz w:val="24"/>
          <w:szCs w:val="24"/>
          <w:lang w:val="ro-RO"/>
        </w:rPr>
        <w:t>Time-averaging and nonergodicity of reset geometric Brownian motion with drift</w:t>
      </w:r>
      <w:r w:rsidR="00922467">
        <w:rPr>
          <w:rFonts w:ascii="Times New Roman" w:eastAsia="Times New Roman" w:hAnsi="Times New Roman" w:cs="Times New Roman"/>
          <w:i/>
          <w:iCs/>
          <w:noProof/>
          <w:sz w:val="24"/>
          <w:szCs w:val="24"/>
          <w:lang w:val="ro-RO"/>
        </w:rPr>
        <w:t xml:space="preserve"> </w:t>
      </w:r>
      <w:r w:rsidR="00B6557D" w:rsidRPr="00C677AC">
        <w:rPr>
          <w:rFonts w:ascii="Times New Roman" w:eastAsia="Times New Roman" w:hAnsi="Times New Roman" w:cs="Times New Roman"/>
          <w:noProof/>
          <w:sz w:val="24"/>
          <w:szCs w:val="24"/>
          <w:lang w:val="ro-RO"/>
        </w:rPr>
        <w:t>cu 2</w:t>
      </w:r>
      <w:r w:rsidR="00922467">
        <w:rPr>
          <w:rFonts w:ascii="Times New Roman" w:eastAsia="Times New Roman" w:hAnsi="Times New Roman" w:cs="Times New Roman"/>
          <w:noProof/>
          <w:sz w:val="24"/>
          <w:szCs w:val="24"/>
          <w:lang w:val="ro-RO"/>
        </w:rPr>
        <w:t>90</w:t>
      </w:r>
      <w:r w:rsidR="00B6557D" w:rsidRPr="00C677AC">
        <w:rPr>
          <w:rFonts w:ascii="Times New Roman" w:eastAsia="Times New Roman" w:hAnsi="Times New Roman" w:cs="Times New Roman"/>
          <w:noProof/>
          <w:sz w:val="24"/>
          <w:szCs w:val="24"/>
          <w:lang w:val="ro-RO"/>
        </w:rPr>
        <w:t xml:space="preserve"> de citări pe baza de date WebofScience în perioada analizată. Producția de literatură relevantă este redusă până în anul 2008, sub </w:t>
      </w:r>
      <w:r w:rsidR="00F94FD1">
        <w:rPr>
          <w:rFonts w:ascii="Times New Roman" w:eastAsia="Times New Roman" w:hAnsi="Times New Roman" w:cs="Times New Roman"/>
          <w:noProof/>
          <w:sz w:val="24"/>
          <w:szCs w:val="24"/>
          <w:lang w:val="ro-RO"/>
        </w:rPr>
        <w:t>2</w:t>
      </w:r>
      <w:r w:rsidR="00B6557D" w:rsidRPr="00C677AC">
        <w:rPr>
          <w:rFonts w:ascii="Times New Roman" w:eastAsia="Times New Roman" w:hAnsi="Times New Roman" w:cs="Times New Roman"/>
          <w:noProof/>
          <w:sz w:val="24"/>
          <w:szCs w:val="24"/>
          <w:lang w:val="ro-RO"/>
        </w:rPr>
        <w:t>0</w:t>
      </w:r>
      <w:r w:rsidR="00F94FD1">
        <w:rPr>
          <w:rFonts w:ascii="Times New Roman" w:eastAsia="Times New Roman" w:hAnsi="Times New Roman" w:cs="Times New Roman"/>
          <w:noProof/>
          <w:sz w:val="24"/>
          <w:szCs w:val="24"/>
          <w:lang w:val="ro-RO"/>
        </w:rPr>
        <w:t xml:space="preserve"> de</w:t>
      </w:r>
      <w:r w:rsidR="00B6557D" w:rsidRPr="00C677AC">
        <w:rPr>
          <w:rFonts w:ascii="Times New Roman" w:eastAsia="Times New Roman" w:hAnsi="Times New Roman" w:cs="Times New Roman"/>
          <w:noProof/>
          <w:sz w:val="24"/>
          <w:szCs w:val="24"/>
          <w:lang w:val="ro-RO"/>
        </w:rPr>
        <w:t xml:space="preserve"> publicații pe an, însă odata cu debutul crizei subprime din anii 2008-2009 cercetătorii au acordat o atenție sporită fenomenului astfel că apogeul se atinge in anii 2019-202</w:t>
      </w:r>
      <w:r w:rsidR="00F94FD1">
        <w:rPr>
          <w:rFonts w:ascii="Times New Roman" w:eastAsia="Times New Roman" w:hAnsi="Times New Roman" w:cs="Times New Roman"/>
          <w:noProof/>
          <w:sz w:val="24"/>
          <w:szCs w:val="24"/>
          <w:lang w:val="ro-RO"/>
        </w:rPr>
        <w:t>2</w:t>
      </w:r>
      <w:r w:rsidR="00B6557D" w:rsidRPr="00C677AC">
        <w:rPr>
          <w:rFonts w:ascii="Times New Roman" w:eastAsia="Times New Roman" w:hAnsi="Times New Roman" w:cs="Times New Roman"/>
          <w:noProof/>
          <w:sz w:val="24"/>
          <w:szCs w:val="24"/>
          <w:lang w:val="ro-RO"/>
        </w:rPr>
        <w:t xml:space="preserve"> cu peste 50 de public</w:t>
      </w:r>
      <w:r w:rsidR="00F94FD1">
        <w:rPr>
          <w:rFonts w:ascii="Times New Roman" w:eastAsia="Times New Roman" w:hAnsi="Times New Roman" w:cs="Times New Roman"/>
          <w:noProof/>
          <w:sz w:val="24"/>
          <w:szCs w:val="24"/>
          <w:lang w:val="ro-RO"/>
        </w:rPr>
        <w:t>a</w:t>
      </w:r>
      <w:r w:rsidR="00B6557D" w:rsidRPr="00C677AC">
        <w:rPr>
          <w:rFonts w:ascii="Times New Roman" w:eastAsia="Times New Roman" w:hAnsi="Times New Roman" w:cs="Times New Roman"/>
          <w:noProof/>
          <w:sz w:val="24"/>
          <w:szCs w:val="24"/>
          <w:lang w:val="ro-RO"/>
        </w:rPr>
        <w:t xml:space="preserve">ții pe an care vizează impactul </w:t>
      </w:r>
      <w:r w:rsidR="00F94FD1">
        <w:rPr>
          <w:rFonts w:ascii="Times New Roman" w:eastAsia="Times New Roman" w:hAnsi="Times New Roman" w:cs="Times New Roman"/>
          <w:noProof/>
          <w:sz w:val="24"/>
          <w:szCs w:val="24"/>
          <w:lang w:val="ro-RO"/>
        </w:rPr>
        <w:t xml:space="preserve">varibilelor </w:t>
      </w:r>
      <w:r w:rsidR="00B6557D" w:rsidRPr="00C677AC">
        <w:rPr>
          <w:rFonts w:ascii="Times New Roman" w:eastAsia="Times New Roman" w:hAnsi="Times New Roman" w:cs="Times New Roman"/>
          <w:noProof/>
          <w:sz w:val="24"/>
          <w:szCs w:val="24"/>
          <w:lang w:val="ro-RO"/>
        </w:rPr>
        <w:t xml:space="preserve">macroeconomice </w:t>
      </w:r>
      <w:r w:rsidR="00F94FD1">
        <w:rPr>
          <w:rFonts w:ascii="Times New Roman" w:eastAsia="Times New Roman" w:hAnsi="Times New Roman" w:cs="Times New Roman"/>
          <w:noProof/>
          <w:sz w:val="24"/>
          <w:szCs w:val="24"/>
          <w:lang w:val="ro-RO"/>
        </w:rPr>
        <w:t>asupra</w:t>
      </w:r>
      <w:r w:rsidR="00B6557D" w:rsidRPr="00C677AC">
        <w:rPr>
          <w:rFonts w:ascii="Times New Roman" w:eastAsia="Times New Roman" w:hAnsi="Times New Roman" w:cs="Times New Roman"/>
          <w:noProof/>
          <w:sz w:val="24"/>
          <w:szCs w:val="24"/>
          <w:lang w:val="ro-RO"/>
        </w:rPr>
        <w:t xml:space="preserve"> falimentul companiilor.</w:t>
      </w:r>
      <w:r w:rsidR="00785CB1">
        <w:rPr>
          <w:rFonts w:ascii="Times New Roman" w:eastAsia="Times New Roman" w:hAnsi="Times New Roman" w:cs="Times New Roman"/>
          <w:noProof/>
          <w:sz w:val="24"/>
          <w:szCs w:val="24"/>
          <w:lang w:val="ro-RO"/>
        </w:rPr>
        <w:t xml:space="preserve"> Cel mai productiv jurnal, cu un număr de 15  publicații îmn legătură cu tema studiată este Small Business Economics, avănd un </w:t>
      </w:r>
      <w:r w:rsidR="00785CB1" w:rsidRPr="008201DB">
        <w:rPr>
          <w:rFonts w:ascii="Times New Roman" w:eastAsia="Times New Roman" w:hAnsi="Times New Roman" w:cs="Times New Roman"/>
          <w:noProof/>
          <w:sz w:val="24"/>
          <w:szCs w:val="24"/>
          <w:lang w:val="ro-RO"/>
        </w:rPr>
        <w:t xml:space="preserve">Journal Impact Factor de 6.5 </w:t>
      </w:r>
      <w:r w:rsidR="001D5316" w:rsidRPr="008201DB">
        <w:rPr>
          <w:rFonts w:ascii="Times New Roman" w:eastAsia="Times New Roman" w:hAnsi="Times New Roman" w:cs="Times New Roman"/>
          <w:noProof/>
          <w:sz w:val="24"/>
          <w:szCs w:val="24"/>
          <w:lang w:val="ro-RO"/>
        </w:rPr>
        <w:t>î</w:t>
      </w:r>
      <w:r w:rsidR="00785CB1" w:rsidRPr="008201DB">
        <w:rPr>
          <w:rFonts w:ascii="Times New Roman" w:eastAsia="Times New Roman" w:hAnsi="Times New Roman" w:cs="Times New Roman"/>
          <w:noProof/>
          <w:sz w:val="24"/>
          <w:szCs w:val="24"/>
          <w:lang w:val="ro-RO"/>
        </w:rPr>
        <w:t>n anul 2023.</w:t>
      </w:r>
      <w:r w:rsidR="001D5316" w:rsidRPr="008201DB">
        <w:rPr>
          <w:rFonts w:ascii="Times New Roman" w:eastAsia="Times New Roman" w:hAnsi="Times New Roman" w:cs="Times New Roman"/>
          <w:noProof/>
          <w:sz w:val="24"/>
          <w:szCs w:val="24"/>
          <w:lang w:val="ro-RO"/>
        </w:rPr>
        <w:t xml:space="preserve"> Autorii provenind din SUA sunt cei mai prolifici în acest domeniu (446 apariții) urmați de China cu 154 de apariții. Se remarcă un aspect demn de menționat și anume acela că între instituțiile cu impact cel mai mare în producția de cercetare științifică se numără pe locul secund Universitatea de Științe Economice din București (16 apariții) la strânsă competiție cu Brno University of Technology din Cehia (17 apariții).</w:t>
      </w:r>
    </w:p>
    <w:p w14:paraId="71B6FA94" w14:textId="4270422D" w:rsidR="001D5316" w:rsidRPr="008201DB" w:rsidRDefault="001D5316" w:rsidP="00785CB1">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ro-RO"/>
        </w:rPr>
      </w:pPr>
      <w:r w:rsidRPr="008201DB">
        <w:rPr>
          <w:rFonts w:ascii="Times New Roman" w:eastAsia="Times New Roman" w:hAnsi="Times New Roman" w:cs="Times New Roman"/>
          <w:noProof/>
          <w:sz w:val="24"/>
          <w:szCs w:val="24"/>
          <w:lang w:val="ro-RO"/>
        </w:rPr>
        <w:t xml:space="preserve">Publicația cu cele mai multe citări este </w:t>
      </w:r>
      <w:r w:rsidRPr="008201DB">
        <w:rPr>
          <w:rFonts w:ascii="Times New Roman" w:eastAsia="Times New Roman" w:hAnsi="Times New Roman" w:cs="Times New Roman"/>
          <w:i/>
          <w:iCs/>
          <w:noProof/>
          <w:sz w:val="24"/>
          <w:szCs w:val="24"/>
          <w:lang w:val="ro-RO"/>
        </w:rPr>
        <w:t xml:space="preserve">The Sum of All FEARS Investor Sentiment and Asset Prices </w:t>
      </w:r>
      <w:r w:rsidRPr="008201DB">
        <w:rPr>
          <w:rFonts w:ascii="Times New Roman" w:eastAsia="Times New Roman" w:hAnsi="Times New Roman" w:cs="Times New Roman"/>
          <w:noProof/>
          <w:sz w:val="24"/>
          <w:szCs w:val="24"/>
          <w:lang w:val="ro-RO"/>
        </w:rPr>
        <w:t>avăndu-</w:t>
      </w:r>
      <w:r w:rsidR="007E21AE" w:rsidRPr="008201DB">
        <w:rPr>
          <w:rFonts w:ascii="Times New Roman" w:eastAsia="Times New Roman" w:hAnsi="Times New Roman" w:cs="Times New Roman"/>
          <w:noProof/>
          <w:sz w:val="24"/>
          <w:szCs w:val="24"/>
          <w:lang w:val="ro-RO"/>
        </w:rPr>
        <w:t>i</w:t>
      </w:r>
      <w:r w:rsidRPr="008201DB">
        <w:rPr>
          <w:rFonts w:ascii="Times New Roman" w:eastAsia="Times New Roman" w:hAnsi="Times New Roman" w:cs="Times New Roman"/>
          <w:noProof/>
          <w:sz w:val="24"/>
          <w:szCs w:val="24"/>
          <w:lang w:val="ro-RO"/>
        </w:rPr>
        <w:t xml:space="preserve"> co-autori pe Da, Zhi et al din 2015 avănd un număr impresionant de citări, 718</w:t>
      </w:r>
      <w:r w:rsidR="007E21AE" w:rsidRPr="008201DB">
        <w:rPr>
          <w:rFonts w:ascii="Times New Roman" w:eastAsia="Times New Roman" w:hAnsi="Times New Roman" w:cs="Times New Roman"/>
          <w:noProof/>
          <w:sz w:val="24"/>
          <w:szCs w:val="24"/>
          <w:lang w:val="ro-RO"/>
        </w:rPr>
        <w:t xml:space="preserve">, </w:t>
      </w:r>
      <w:r w:rsidRPr="008201DB">
        <w:rPr>
          <w:rFonts w:ascii="Times New Roman" w:eastAsia="Times New Roman" w:hAnsi="Times New Roman" w:cs="Times New Roman"/>
          <w:noProof/>
          <w:sz w:val="24"/>
          <w:szCs w:val="24"/>
          <w:lang w:val="ro-RO"/>
        </w:rPr>
        <w:t xml:space="preserve">fiind de departe campion absolut în rîndul publicațiilor care analizeză tema falimentului determinat de factorii macroeconomici. </w:t>
      </w:r>
      <w:r w:rsidR="00A24468" w:rsidRPr="008201DB">
        <w:rPr>
          <w:rFonts w:ascii="Times New Roman" w:eastAsia="Times New Roman" w:hAnsi="Times New Roman" w:cs="Times New Roman"/>
          <w:noProof/>
          <w:sz w:val="24"/>
          <w:szCs w:val="24"/>
          <w:lang w:val="ro-RO"/>
        </w:rPr>
        <w:t>Esențial în lucrarea menționată este construirea unui index privind Atitudinile financiare și economice dezvăluite de căutare (FEARS) prin care se măsoară sentimentul investitorilor prin comportamentul de căutare pe internet al gospodăriilor, avănd ca principale teme recesiunea, falimentul și șomaju, iar prin acest indice se prezic randamentele agregate ale pieței.</w:t>
      </w:r>
    </w:p>
    <w:p w14:paraId="7DF2578C" w14:textId="43F55D98" w:rsidR="001F0A4E" w:rsidRPr="00C677AC" w:rsidRDefault="003B7D09" w:rsidP="00785CB1">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C677AC">
        <w:rPr>
          <w:rFonts w:ascii="Times New Roman" w:eastAsia="Times New Roman" w:hAnsi="Times New Roman" w:cs="Times New Roman"/>
          <w:sz w:val="24"/>
          <w:szCs w:val="24"/>
          <w:lang w:val="ro-RO"/>
        </w:rPr>
        <w:t xml:space="preserve">După constituirea bazei de date cu publicațiile specifice, pentru a </w:t>
      </w:r>
      <w:r w:rsidR="00EC7B52" w:rsidRPr="00C677AC">
        <w:rPr>
          <w:rFonts w:ascii="Times New Roman" w:eastAsia="Times New Roman" w:hAnsi="Times New Roman" w:cs="Times New Roman"/>
          <w:sz w:val="24"/>
          <w:szCs w:val="24"/>
          <w:lang w:val="ro-RO"/>
        </w:rPr>
        <w:t>surprinde</w:t>
      </w:r>
      <w:r w:rsidRPr="00C677AC">
        <w:rPr>
          <w:rFonts w:ascii="Times New Roman" w:eastAsia="Times New Roman" w:hAnsi="Times New Roman" w:cs="Times New Roman"/>
          <w:sz w:val="24"/>
          <w:szCs w:val="24"/>
          <w:lang w:val="ro-RO"/>
        </w:rPr>
        <w:t xml:space="preserve"> grafic o reprezentare bibliometrică a direcțiilor de cercetare, s-a </w:t>
      </w:r>
      <w:r w:rsidR="00EC7B52" w:rsidRPr="00C677AC">
        <w:rPr>
          <w:rFonts w:ascii="Times New Roman" w:eastAsia="Times New Roman" w:hAnsi="Times New Roman" w:cs="Times New Roman"/>
          <w:sz w:val="24"/>
          <w:szCs w:val="24"/>
          <w:lang w:val="ro-RO"/>
        </w:rPr>
        <w:t>folosit</w:t>
      </w:r>
      <w:r w:rsidRPr="00C677AC">
        <w:rPr>
          <w:rFonts w:ascii="Times New Roman" w:eastAsia="Times New Roman" w:hAnsi="Times New Roman" w:cs="Times New Roman"/>
          <w:sz w:val="24"/>
          <w:szCs w:val="24"/>
          <w:lang w:val="ro-RO"/>
        </w:rPr>
        <w:t xml:space="preserve"> software-ului de analiz</w:t>
      </w:r>
      <w:r w:rsidR="00EC7B52">
        <w:rPr>
          <w:rFonts w:ascii="Times New Roman" w:eastAsia="Times New Roman" w:hAnsi="Times New Roman" w:cs="Times New Roman"/>
          <w:sz w:val="24"/>
          <w:szCs w:val="24"/>
          <w:lang w:val="ro-RO"/>
        </w:rPr>
        <w:t>ă</w:t>
      </w:r>
      <w:r w:rsidRPr="00C677AC">
        <w:rPr>
          <w:rFonts w:ascii="Times New Roman" w:eastAsia="Times New Roman" w:hAnsi="Times New Roman" w:cs="Times New Roman"/>
          <w:sz w:val="24"/>
          <w:szCs w:val="24"/>
          <w:lang w:val="ro-RO"/>
        </w:rPr>
        <w:t xml:space="preserve"> bibliometric</w:t>
      </w:r>
      <w:r w:rsidR="009B65F1">
        <w:rPr>
          <w:rFonts w:ascii="Times New Roman" w:eastAsia="Times New Roman" w:hAnsi="Times New Roman" w:cs="Times New Roman"/>
          <w:sz w:val="24"/>
          <w:szCs w:val="24"/>
          <w:lang w:val="ro-RO"/>
        </w:rPr>
        <w:t>ă</w:t>
      </w:r>
      <w:r w:rsidRPr="00C677AC">
        <w:rPr>
          <w:rFonts w:ascii="Times New Roman" w:eastAsia="Times New Roman" w:hAnsi="Times New Roman" w:cs="Times New Roman"/>
          <w:sz w:val="24"/>
          <w:szCs w:val="24"/>
          <w:lang w:val="ro-RO"/>
        </w:rPr>
        <w:t xml:space="preserve"> </w:t>
      </w:r>
      <w:r w:rsidR="00FC73F7">
        <w:rPr>
          <w:rFonts w:ascii="Times New Roman" w:eastAsia="Times New Roman" w:hAnsi="Times New Roman" w:cs="Times New Roman"/>
          <w:sz w:val="24"/>
          <w:szCs w:val="24"/>
          <w:lang w:val="ro-RO"/>
        </w:rPr>
        <w:t xml:space="preserve">denumit </w:t>
      </w:r>
      <w:r w:rsidRPr="00C677AC">
        <w:rPr>
          <w:rFonts w:ascii="Times New Roman" w:eastAsia="Times New Roman" w:hAnsi="Times New Roman" w:cs="Times New Roman"/>
          <w:sz w:val="24"/>
          <w:szCs w:val="24"/>
          <w:lang w:val="ro-RO"/>
        </w:rPr>
        <w:t xml:space="preserve">Bibliometrix luând </w:t>
      </w:r>
      <w:r w:rsidR="00EC7B52">
        <w:rPr>
          <w:rFonts w:ascii="Times New Roman" w:eastAsia="Times New Roman" w:hAnsi="Times New Roman" w:cs="Times New Roman"/>
          <w:sz w:val="24"/>
          <w:szCs w:val="24"/>
          <w:lang w:val="ro-RO"/>
        </w:rPr>
        <w:t>î</w:t>
      </w:r>
      <w:r w:rsidRPr="00C677AC">
        <w:rPr>
          <w:rFonts w:ascii="Times New Roman" w:eastAsia="Times New Roman" w:hAnsi="Times New Roman" w:cs="Times New Roman"/>
          <w:sz w:val="24"/>
          <w:szCs w:val="24"/>
          <w:lang w:val="ro-RO"/>
        </w:rPr>
        <w:t xml:space="preserve">n considerare </w:t>
      </w:r>
      <w:r w:rsidR="00EC7B52">
        <w:rPr>
          <w:rFonts w:ascii="Times New Roman" w:eastAsia="Times New Roman" w:hAnsi="Times New Roman" w:cs="Times New Roman"/>
          <w:sz w:val="24"/>
          <w:szCs w:val="24"/>
          <w:lang w:val="ro-RO"/>
        </w:rPr>
        <w:t>cuvintele cheie plus</w:t>
      </w:r>
      <w:r w:rsidRPr="00C677AC">
        <w:rPr>
          <w:rFonts w:ascii="Times New Roman" w:eastAsia="Times New Roman" w:hAnsi="Times New Roman" w:cs="Times New Roman"/>
          <w:sz w:val="24"/>
          <w:szCs w:val="24"/>
          <w:lang w:val="ro-RO"/>
        </w:rPr>
        <w:t xml:space="preserve"> lucrărilor de cercetare. Astfel s-au obținut </w:t>
      </w:r>
      <w:r w:rsidR="00EC7B52">
        <w:rPr>
          <w:rFonts w:ascii="Times New Roman" w:eastAsia="Times New Roman" w:hAnsi="Times New Roman" w:cs="Times New Roman"/>
          <w:sz w:val="24"/>
          <w:szCs w:val="24"/>
          <w:lang w:val="ro-RO"/>
        </w:rPr>
        <w:t>3</w:t>
      </w:r>
      <w:r w:rsidRPr="00C677AC">
        <w:rPr>
          <w:rFonts w:ascii="Times New Roman" w:eastAsia="Times New Roman" w:hAnsi="Times New Roman" w:cs="Times New Roman"/>
          <w:sz w:val="24"/>
          <w:szCs w:val="24"/>
          <w:lang w:val="ro-RO"/>
        </w:rPr>
        <w:t xml:space="preserve"> clustere interconectate care cuprind </w:t>
      </w:r>
      <w:r w:rsidR="00EC7B52">
        <w:rPr>
          <w:rFonts w:ascii="Times New Roman" w:eastAsia="Times New Roman" w:hAnsi="Times New Roman" w:cs="Times New Roman"/>
          <w:sz w:val="24"/>
          <w:szCs w:val="24"/>
          <w:lang w:val="ro-RO"/>
        </w:rPr>
        <w:t>49</w:t>
      </w:r>
      <w:r w:rsidRPr="00C677AC">
        <w:rPr>
          <w:rFonts w:ascii="Times New Roman" w:eastAsia="Times New Roman" w:hAnsi="Times New Roman" w:cs="Times New Roman"/>
          <w:sz w:val="24"/>
          <w:szCs w:val="24"/>
          <w:lang w:val="ro-RO"/>
        </w:rPr>
        <w:t xml:space="preserve"> de termeni sub forma de cuvinte-cheie</w:t>
      </w:r>
      <w:r w:rsidR="00EC7B52">
        <w:rPr>
          <w:rFonts w:ascii="Times New Roman" w:eastAsia="Times New Roman" w:hAnsi="Times New Roman" w:cs="Times New Roman"/>
          <w:sz w:val="24"/>
          <w:szCs w:val="24"/>
          <w:lang w:val="ro-RO"/>
        </w:rPr>
        <w:t xml:space="preserve"> plus</w:t>
      </w:r>
      <w:r w:rsidRPr="00C677AC">
        <w:rPr>
          <w:rFonts w:ascii="Times New Roman" w:eastAsia="Times New Roman" w:hAnsi="Times New Roman" w:cs="Times New Roman"/>
          <w:sz w:val="24"/>
          <w:szCs w:val="24"/>
          <w:lang w:val="ro-RO"/>
        </w:rPr>
        <w:t xml:space="preserve">, sprijinind demersul de a identifica </w:t>
      </w:r>
      <w:r w:rsidR="00EC7B52" w:rsidRPr="00C677AC">
        <w:rPr>
          <w:rFonts w:ascii="Times New Roman" w:eastAsia="Times New Roman" w:hAnsi="Times New Roman" w:cs="Times New Roman"/>
          <w:sz w:val="24"/>
          <w:szCs w:val="24"/>
          <w:lang w:val="ro-RO"/>
        </w:rPr>
        <w:t>direcțiile</w:t>
      </w:r>
      <w:r w:rsidRPr="00C677AC">
        <w:rPr>
          <w:rFonts w:ascii="Times New Roman" w:eastAsia="Times New Roman" w:hAnsi="Times New Roman" w:cs="Times New Roman"/>
          <w:sz w:val="24"/>
          <w:szCs w:val="24"/>
          <w:lang w:val="ro-RO"/>
        </w:rPr>
        <w:t xml:space="preserve"> spre care converg analizele de cercetare precum și a celor care </w:t>
      </w:r>
      <w:r w:rsidR="00EC7B52" w:rsidRPr="00C677AC">
        <w:rPr>
          <w:rFonts w:ascii="Times New Roman" w:eastAsia="Times New Roman" w:hAnsi="Times New Roman" w:cs="Times New Roman"/>
          <w:sz w:val="24"/>
          <w:szCs w:val="24"/>
          <w:lang w:val="ro-RO"/>
        </w:rPr>
        <w:t>trebuie</w:t>
      </w:r>
      <w:r w:rsidRPr="00C677AC">
        <w:rPr>
          <w:rFonts w:ascii="Times New Roman" w:eastAsia="Times New Roman" w:hAnsi="Times New Roman" w:cs="Times New Roman"/>
          <w:sz w:val="24"/>
          <w:szCs w:val="24"/>
          <w:lang w:val="ro-RO"/>
        </w:rPr>
        <w:t xml:space="preserve"> a fi aprofundate pentru o proiecție cât mai fidelă a realităților economice. </w:t>
      </w:r>
    </w:p>
    <w:p w14:paraId="2A6E26C0" w14:textId="0764A698" w:rsidR="003B7D09" w:rsidRPr="00C677AC" w:rsidRDefault="003B7D09" w:rsidP="001F0A4E">
      <w:pPr>
        <w:shd w:val="clear" w:color="auto" w:fill="FFFFFF" w:themeFill="background1"/>
        <w:spacing w:after="0" w:line="240" w:lineRule="auto"/>
        <w:ind w:right="-94" w:firstLine="567"/>
        <w:jc w:val="both"/>
        <w:rPr>
          <w:rFonts w:ascii="Times New Roman" w:eastAsia="Times New Roman" w:hAnsi="Times New Roman" w:cs="Times New Roman"/>
          <w:sz w:val="24"/>
          <w:szCs w:val="24"/>
          <w:lang w:val="ro-RO"/>
        </w:rPr>
      </w:pPr>
      <w:r w:rsidRPr="00C677AC">
        <w:rPr>
          <w:rFonts w:ascii="Times New Roman" w:eastAsia="Times New Roman" w:hAnsi="Times New Roman" w:cs="Times New Roman"/>
          <w:sz w:val="24"/>
          <w:szCs w:val="24"/>
          <w:lang w:val="ro-RO"/>
        </w:rPr>
        <w:t xml:space="preserve">Matricea de co-apariție a cuvintelor cheie </w:t>
      </w:r>
      <w:r w:rsidR="00C14CF0" w:rsidRPr="00C677AC">
        <w:rPr>
          <w:rFonts w:ascii="Times New Roman" w:eastAsia="Times New Roman" w:hAnsi="Times New Roman" w:cs="Times New Roman"/>
          <w:sz w:val="24"/>
          <w:szCs w:val="24"/>
          <w:lang w:val="ro-RO"/>
        </w:rPr>
        <w:t>surp</w:t>
      </w:r>
      <w:r w:rsidR="001F0A4E" w:rsidRPr="00C677AC">
        <w:rPr>
          <w:rFonts w:ascii="Times New Roman" w:eastAsia="Times New Roman" w:hAnsi="Times New Roman" w:cs="Times New Roman"/>
          <w:sz w:val="24"/>
          <w:szCs w:val="24"/>
          <w:lang w:val="ro-RO"/>
        </w:rPr>
        <w:t>r</w:t>
      </w:r>
      <w:r w:rsidR="00C14CF0" w:rsidRPr="00C677AC">
        <w:rPr>
          <w:rFonts w:ascii="Times New Roman" w:eastAsia="Times New Roman" w:hAnsi="Times New Roman" w:cs="Times New Roman"/>
          <w:sz w:val="24"/>
          <w:szCs w:val="24"/>
          <w:lang w:val="ro-RO"/>
        </w:rPr>
        <w:t xml:space="preserve">inde </w:t>
      </w:r>
      <w:r w:rsidR="00EC7B52">
        <w:rPr>
          <w:rFonts w:ascii="Times New Roman" w:eastAsia="Times New Roman" w:hAnsi="Times New Roman" w:cs="Times New Roman"/>
          <w:sz w:val="24"/>
          <w:szCs w:val="24"/>
          <w:lang w:val="ro-RO"/>
        </w:rPr>
        <w:t>3</w:t>
      </w:r>
      <w:r w:rsidR="00C14CF0" w:rsidRPr="00C677AC">
        <w:rPr>
          <w:rFonts w:ascii="Times New Roman" w:eastAsia="Times New Roman" w:hAnsi="Times New Roman" w:cs="Times New Roman"/>
          <w:sz w:val="24"/>
          <w:szCs w:val="24"/>
          <w:lang w:val="ro-RO"/>
        </w:rPr>
        <w:t xml:space="preserve"> mari clustere </w:t>
      </w:r>
      <w:r w:rsidR="00EC7B52" w:rsidRPr="00C677AC">
        <w:rPr>
          <w:rFonts w:ascii="Times New Roman" w:eastAsia="Times New Roman" w:hAnsi="Times New Roman" w:cs="Times New Roman"/>
          <w:sz w:val="24"/>
          <w:szCs w:val="24"/>
          <w:lang w:val="ro-RO"/>
        </w:rPr>
        <w:t>având</w:t>
      </w:r>
      <w:r w:rsidR="00C14CF0" w:rsidRPr="00C677AC">
        <w:rPr>
          <w:rFonts w:ascii="Times New Roman" w:eastAsia="Times New Roman" w:hAnsi="Times New Roman" w:cs="Times New Roman"/>
          <w:sz w:val="24"/>
          <w:szCs w:val="24"/>
          <w:lang w:val="ro-RO"/>
        </w:rPr>
        <w:t xml:space="preserve"> în centru teme </w:t>
      </w:r>
      <w:r w:rsidR="001F0A4E" w:rsidRPr="00C677AC">
        <w:rPr>
          <w:rFonts w:ascii="Times New Roman" w:eastAsia="Times New Roman" w:hAnsi="Times New Roman" w:cs="Times New Roman"/>
          <w:sz w:val="24"/>
          <w:szCs w:val="24"/>
          <w:lang w:val="ro-RO"/>
        </w:rPr>
        <w:t xml:space="preserve">de interes ca faliment, </w:t>
      </w:r>
      <w:r w:rsidR="00EC7B52">
        <w:rPr>
          <w:rFonts w:ascii="Times New Roman" w:eastAsia="Times New Roman" w:hAnsi="Times New Roman" w:cs="Times New Roman"/>
          <w:sz w:val="24"/>
          <w:szCs w:val="24"/>
          <w:lang w:val="ro-RO"/>
        </w:rPr>
        <w:t xml:space="preserve">predicție, performanță dar și creștere, indicatori financiari, </w:t>
      </w:r>
      <w:r w:rsidR="000B49D3">
        <w:rPr>
          <w:rFonts w:ascii="Times New Roman" w:eastAsia="Times New Roman" w:hAnsi="Times New Roman" w:cs="Times New Roman"/>
          <w:sz w:val="24"/>
          <w:szCs w:val="24"/>
          <w:lang w:val="ro-RO"/>
        </w:rPr>
        <w:t xml:space="preserve">determinanți, credit, </w:t>
      </w:r>
      <w:r w:rsidR="00EC7B52">
        <w:rPr>
          <w:rFonts w:ascii="Times New Roman" w:eastAsia="Times New Roman" w:hAnsi="Times New Roman" w:cs="Times New Roman"/>
          <w:sz w:val="24"/>
          <w:szCs w:val="24"/>
          <w:lang w:val="ro-RO"/>
        </w:rPr>
        <w:t xml:space="preserve">risc sau impact, </w:t>
      </w:r>
      <w:r w:rsidR="00EC7B52" w:rsidRPr="00C677AC">
        <w:rPr>
          <w:rFonts w:ascii="Times New Roman" w:eastAsia="Times New Roman" w:hAnsi="Times New Roman" w:cs="Times New Roman"/>
          <w:sz w:val="24"/>
          <w:szCs w:val="24"/>
          <w:lang w:val="ro-RO"/>
        </w:rPr>
        <w:t>identificând</w:t>
      </w:r>
      <w:r w:rsidR="001F0A4E" w:rsidRPr="00C677AC">
        <w:rPr>
          <w:rFonts w:ascii="Times New Roman" w:eastAsia="Times New Roman" w:hAnsi="Times New Roman" w:cs="Times New Roman"/>
          <w:sz w:val="24"/>
          <w:szCs w:val="24"/>
          <w:lang w:val="ro-RO"/>
        </w:rPr>
        <w:t xml:space="preserve"> o </w:t>
      </w:r>
      <w:r w:rsidR="00EC7B52" w:rsidRPr="00C677AC">
        <w:rPr>
          <w:rFonts w:ascii="Times New Roman" w:eastAsia="Times New Roman" w:hAnsi="Times New Roman" w:cs="Times New Roman"/>
          <w:sz w:val="24"/>
          <w:szCs w:val="24"/>
          <w:lang w:val="ro-RO"/>
        </w:rPr>
        <w:t>legătură</w:t>
      </w:r>
      <w:r w:rsidR="001F0A4E" w:rsidRPr="00C677AC">
        <w:rPr>
          <w:rFonts w:ascii="Times New Roman" w:eastAsia="Times New Roman" w:hAnsi="Times New Roman" w:cs="Times New Roman"/>
          <w:sz w:val="24"/>
          <w:szCs w:val="24"/>
          <w:lang w:val="ro-RO"/>
        </w:rPr>
        <w:t xml:space="preserve"> sol</w:t>
      </w:r>
      <w:r w:rsidR="00EC7B52">
        <w:rPr>
          <w:rFonts w:ascii="Times New Roman" w:eastAsia="Times New Roman" w:hAnsi="Times New Roman" w:cs="Times New Roman"/>
          <w:sz w:val="24"/>
          <w:szCs w:val="24"/>
          <w:lang w:val="ro-RO"/>
        </w:rPr>
        <w:t>i</w:t>
      </w:r>
      <w:r w:rsidR="001F0A4E" w:rsidRPr="00C677AC">
        <w:rPr>
          <w:rFonts w:ascii="Times New Roman" w:eastAsia="Times New Roman" w:hAnsi="Times New Roman" w:cs="Times New Roman"/>
          <w:sz w:val="24"/>
          <w:szCs w:val="24"/>
          <w:lang w:val="ro-RO"/>
        </w:rPr>
        <w:t xml:space="preserve">dă între creșterea economică și evoluția </w:t>
      </w:r>
      <w:r w:rsidR="00EC7B52" w:rsidRPr="00C677AC">
        <w:rPr>
          <w:rFonts w:ascii="Times New Roman" w:eastAsia="Times New Roman" w:hAnsi="Times New Roman" w:cs="Times New Roman"/>
          <w:sz w:val="24"/>
          <w:szCs w:val="24"/>
          <w:lang w:val="ro-RO"/>
        </w:rPr>
        <w:t>fenomenului</w:t>
      </w:r>
      <w:r w:rsidR="001F0A4E" w:rsidRPr="00C677AC">
        <w:rPr>
          <w:rFonts w:ascii="Times New Roman" w:eastAsia="Times New Roman" w:hAnsi="Times New Roman" w:cs="Times New Roman"/>
          <w:sz w:val="24"/>
          <w:szCs w:val="24"/>
          <w:lang w:val="ro-RO"/>
        </w:rPr>
        <w:t xml:space="preserve"> </w:t>
      </w:r>
      <w:r w:rsidR="00EC7B52">
        <w:rPr>
          <w:rFonts w:ascii="Times New Roman" w:eastAsia="Times New Roman" w:hAnsi="Times New Roman" w:cs="Times New Roman"/>
          <w:sz w:val="24"/>
          <w:szCs w:val="24"/>
          <w:lang w:val="ro-RO"/>
        </w:rPr>
        <w:t>d</w:t>
      </w:r>
      <w:r w:rsidR="001F0A4E" w:rsidRPr="00C677AC">
        <w:rPr>
          <w:rFonts w:ascii="Times New Roman" w:eastAsia="Times New Roman" w:hAnsi="Times New Roman" w:cs="Times New Roman"/>
          <w:sz w:val="24"/>
          <w:szCs w:val="24"/>
          <w:lang w:val="ro-RO"/>
        </w:rPr>
        <w:t>e faliment al entităților economice</w:t>
      </w:r>
      <w:r w:rsidRPr="00C677AC">
        <w:rPr>
          <w:rFonts w:ascii="Times New Roman" w:eastAsia="Times New Roman" w:hAnsi="Times New Roman" w:cs="Times New Roman"/>
          <w:sz w:val="24"/>
          <w:szCs w:val="24"/>
          <w:lang w:val="ro-RO"/>
        </w:rPr>
        <w:t xml:space="preserve">. </w:t>
      </w:r>
    </w:p>
    <w:p w14:paraId="65781F97" w14:textId="54C16FA3" w:rsidR="00C14CF0" w:rsidRDefault="00D43AED" w:rsidP="001F0A4E">
      <w:pPr>
        <w:shd w:val="clear" w:color="auto" w:fill="FFFFFF" w:themeFill="background1"/>
        <w:spacing w:line="240" w:lineRule="auto"/>
        <w:ind w:right="-94" w:firstLine="567"/>
        <w:jc w:val="center"/>
        <w:rPr>
          <w:noProof/>
          <w:lang w:val="ro-RO"/>
        </w:rPr>
      </w:pPr>
      <w:r>
        <w:rPr>
          <w:noProof/>
        </w:rPr>
        <w:drawing>
          <wp:inline distT="0" distB="0" distL="0" distR="0" wp14:anchorId="1BE4A7EB" wp14:editId="2E0AA4D5">
            <wp:extent cx="5493385" cy="2812574"/>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tretch>
                      <a:fillRect/>
                    </a:stretch>
                  </pic:blipFill>
                  <pic:spPr>
                    <a:xfrm>
                      <a:off x="0" y="0"/>
                      <a:ext cx="5509195" cy="2820668"/>
                    </a:xfrm>
                    <a:prstGeom prst="rect">
                      <a:avLst/>
                    </a:prstGeom>
                  </pic:spPr>
                </pic:pic>
              </a:graphicData>
            </a:graphic>
          </wp:inline>
        </w:drawing>
      </w:r>
    </w:p>
    <w:p w14:paraId="413A7B6A" w14:textId="77777777" w:rsidR="001F0A4E" w:rsidRPr="00C677AC" w:rsidRDefault="001F0A4E" w:rsidP="001F0A4E">
      <w:pPr>
        <w:pStyle w:val="Caption"/>
        <w:spacing w:after="0"/>
        <w:jc w:val="center"/>
        <w:rPr>
          <w:rFonts w:ascii="Times New Roman" w:hAnsi="Times New Roman" w:cs="Times New Roman"/>
          <w:color w:val="auto"/>
          <w:sz w:val="20"/>
          <w:szCs w:val="20"/>
        </w:rPr>
      </w:pPr>
      <w:r w:rsidRPr="00C677AC">
        <w:rPr>
          <w:rFonts w:ascii="Times New Roman" w:hAnsi="Times New Roman" w:cs="Times New Roman"/>
          <w:color w:val="auto"/>
          <w:sz w:val="20"/>
          <w:szCs w:val="20"/>
        </w:rPr>
        <w:t xml:space="preserve">Fig. 1 Harta direcțiilor de cercetare, nodurile și intensitatea legăturilor între concepte </w:t>
      </w:r>
    </w:p>
    <w:p w14:paraId="1AF049CD" w14:textId="02645A53" w:rsidR="001F0A4E" w:rsidRPr="00C677AC" w:rsidRDefault="001F0A4E" w:rsidP="001F0A4E">
      <w:pPr>
        <w:pStyle w:val="Caption"/>
        <w:spacing w:after="0"/>
        <w:jc w:val="center"/>
        <w:rPr>
          <w:rFonts w:ascii="Times New Roman" w:hAnsi="Times New Roman" w:cs="Times New Roman"/>
          <w:color w:val="auto"/>
          <w:sz w:val="20"/>
          <w:szCs w:val="20"/>
        </w:rPr>
      </w:pPr>
      <w:r w:rsidRPr="00C677AC">
        <w:rPr>
          <w:rFonts w:ascii="Times New Roman" w:hAnsi="Times New Roman" w:cs="Times New Roman"/>
          <w:color w:val="auto"/>
          <w:sz w:val="20"/>
          <w:szCs w:val="20"/>
        </w:rPr>
        <w:t>Sursa: Elaborare proprie cu ajutorul Bibliometrix</w:t>
      </w:r>
    </w:p>
    <w:p w14:paraId="7088A5A6" w14:textId="77777777" w:rsidR="00C677AC" w:rsidRDefault="00C677AC" w:rsidP="000C550F">
      <w:pPr>
        <w:autoSpaceDE w:val="0"/>
        <w:autoSpaceDN w:val="0"/>
        <w:adjustRightInd w:val="0"/>
        <w:spacing w:after="0" w:line="240" w:lineRule="auto"/>
        <w:ind w:firstLine="567"/>
        <w:jc w:val="both"/>
        <w:rPr>
          <w:rFonts w:ascii="Times New Roman" w:hAnsi="Times New Roman" w:cs="Times New Roman"/>
          <w:sz w:val="24"/>
          <w:szCs w:val="24"/>
          <w:lang w:val="ro-RO"/>
        </w:rPr>
      </w:pPr>
    </w:p>
    <w:p w14:paraId="304BB05D" w14:textId="328F1954" w:rsidR="002472D8" w:rsidRDefault="002472D8" w:rsidP="00C677AC">
      <w:pPr>
        <w:autoSpaceDE w:val="0"/>
        <w:autoSpaceDN w:val="0"/>
        <w:adjustRightInd w:val="0"/>
        <w:spacing w:after="0" w:line="240" w:lineRule="auto"/>
        <w:ind w:firstLine="567"/>
        <w:jc w:val="both"/>
        <w:rPr>
          <w:rFonts w:ascii="Times New Roman" w:hAnsi="Times New Roman" w:cs="Times New Roman"/>
          <w:sz w:val="24"/>
          <w:szCs w:val="24"/>
          <w:lang w:val="ro-RO"/>
        </w:rPr>
      </w:pPr>
      <w:r w:rsidRPr="002472D8">
        <w:rPr>
          <w:rFonts w:ascii="Times New Roman" w:hAnsi="Times New Roman" w:cs="Times New Roman"/>
          <w:sz w:val="24"/>
          <w:szCs w:val="24"/>
          <w:lang w:val="ro-RO"/>
        </w:rPr>
        <w:t>Tokarski</w:t>
      </w:r>
      <w:r>
        <w:rPr>
          <w:rFonts w:ascii="Times New Roman" w:hAnsi="Times New Roman" w:cs="Times New Roman"/>
          <w:sz w:val="24"/>
          <w:szCs w:val="24"/>
          <w:lang w:val="ro-RO"/>
        </w:rPr>
        <w:t xml:space="preserve"> </w:t>
      </w:r>
      <w:r w:rsidRPr="002472D8">
        <w:rPr>
          <w:rFonts w:ascii="Times New Roman" w:hAnsi="Times New Roman" w:cs="Times New Roman"/>
          <w:sz w:val="24"/>
          <w:szCs w:val="24"/>
          <w:lang w:val="ro-RO"/>
        </w:rPr>
        <w:t>A</w:t>
      </w:r>
      <w:r>
        <w:rPr>
          <w:rFonts w:ascii="Times New Roman" w:hAnsi="Times New Roman" w:cs="Times New Roman"/>
          <w:sz w:val="24"/>
          <w:szCs w:val="24"/>
          <w:lang w:val="ro-RO"/>
        </w:rPr>
        <w:t xml:space="preserve">. et al (2018) </w:t>
      </w:r>
      <w:r w:rsidR="00D43AED">
        <w:rPr>
          <w:rFonts w:ascii="Times New Roman" w:hAnsi="Times New Roman" w:cs="Times New Roman"/>
          <w:sz w:val="24"/>
          <w:szCs w:val="24"/>
          <w:lang w:val="ro-RO"/>
        </w:rPr>
        <w:t>folosește</w:t>
      </w:r>
      <w:r>
        <w:rPr>
          <w:rFonts w:ascii="Times New Roman" w:hAnsi="Times New Roman" w:cs="Times New Roman"/>
          <w:sz w:val="24"/>
          <w:szCs w:val="24"/>
          <w:lang w:val="ro-RO"/>
        </w:rPr>
        <w:t xml:space="preserve"> </w:t>
      </w:r>
      <w:r w:rsidR="00D43AED">
        <w:rPr>
          <w:rFonts w:ascii="Times New Roman" w:hAnsi="Times New Roman" w:cs="Times New Roman"/>
          <w:sz w:val="24"/>
          <w:szCs w:val="24"/>
          <w:lang w:val="ro-RO"/>
        </w:rPr>
        <w:t>î</w:t>
      </w:r>
      <w:r>
        <w:rPr>
          <w:rFonts w:ascii="Times New Roman" w:hAnsi="Times New Roman" w:cs="Times New Roman"/>
          <w:sz w:val="24"/>
          <w:szCs w:val="24"/>
          <w:lang w:val="ro-RO"/>
        </w:rPr>
        <w:t xml:space="preserve">n previziunea riscului de faliment al companiilor din Polonia in perioada 2000-2015 unii dintre variabilele macroeconomice ca </w:t>
      </w:r>
      <w:r w:rsidRPr="002472D8">
        <w:rPr>
          <w:rFonts w:ascii="Times New Roman" w:hAnsi="Times New Roman" w:cs="Times New Roman"/>
          <w:sz w:val="24"/>
          <w:szCs w:val="24"/>
          <w:lang w:val="ro-RO"/>
        </w:rPr>
        <w:t>numărul de companii înregistrate în sistemul REGON, rata de creștere a PIB, rata șomajului, rata inflației</w:t>
      </w:r>
      <w:r>
        <w:rPr>
          <w:rFonts w:ascii="Times New Roman" w:hAnsi="Times New Roman" w:cs="Times New Roman"/>
          <w:sz w:val="24"/>
          <w:szCs w:val="24"/>
          <w:lang w:val="ro-RO"/>
        </w:rPr>
        <w:t xml:space="preserve"> raportate la variabila de răspuns n</w:t>
      </w:r>
      <w:r w:rsidRPr="002472D8">
        <w:rPr>
          <w:rFonts w:ascii="Times New Roman" w:hAnsi="Times New Roman" w:cs="Times New Roman"/>
          <w:sz w:val="24"/>
          <w:szCs w:val="24"/>
          <w:lang w:val="ro-RO"/>
        </w:rPr>
        <w:t>umărul de faliment declarate</w:t>
      </w:r>
      <w:r w:rsidR="00667D9E">
        <w:rPr>
          <w:rFonts w:ascii="Times New Roman" w:hAnsi="Times New Roman" w:cs="Times New Roman"/>
          <w:sz w:val="24"/>
          <w:szCs w:val="24"/>
          <w:lang w:val="ro-RO"/>
        </w:rPr>
        <w:t xml:space="preserve">. </w:t>
      </w:r>
    </w:p>
    <w:p w14:paraId="3684731E" w14:textId="3926A177" w:rsidR="007947D9" w:rsidRDefault="00D43AED" w:rsidP="00C677AC">
      <w:pPr>
        <w:autoSpaceDE w:val="0"/>
        <w:autoSpaceDN w:val="0"/>
        <w:adjustRightInd w:val="0"/>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667D9E">
        <w:rPr>
          <w:rFonts w:ascii="Times New Roman" w:hAnsi="Times New Roman" w:cs="Times New Roman"/>
          <w:sz w:val="24"/>
          <w:szCs w:val="24"/>
          <w:lang w:val="ro-RO"/>
        </w:rPr>
        <w:t>ntr-un alt s</w:t>
      </w:r>
      <w:r w:rsidR="007947D9">
        <w:rPr>
          <w:rFonts w:ascii="Times New Roman" w:hAnsi="Times New Roman" w:cs="Times New Roman"/>
          <w:sz w:val="24"/>
          <w:szCs w:val="24"/>
          <w:lang w:val="ro-RO"/>
        </w:rPr>
        <w:t>t</w:t>
      </w:r>
      <w:r w:rsidR="00667D9E">
        <w:rPr>
          <w:rFonts w:ascii="Times New Roman" w:hAnsi="Times New Roman" w:cs="Times New Roman"/>
          <w:sz w:val="24"/>
          <w:szCs w:val="24"/>
          <w:lang w:val="ro-RO"/>
        </w:rPr>
        <w:t>u</w:t>
      </w:r>
      <w:r w:rsidR="007947D9">
        <w:rPr>
          <w:rFonts w:ascii="Times New Roman" w:hAnsi="Times New Roman" w:cs="Times New Roman"/>
          <w:sz w:val="24"/>
          <w:szCs w:val="24"/>
          <w:lang w:val="ro-RO"/>
        </w:rPr>
        <w:t>d</w:t>
      </w:r>
      <w:r w:rsidR="00667D9E">
        <w:rPr>
          <w:rFonts w:ascii="Times New Roman" w:hAnsi="Times New Roman" w:cs="Times New Roman"/>
          <w:sz w:val="24"/>
          <w:szCs w:val="24"/>
          <w:lang w:val="ro-RO"/>
        </w:rPr>
        <w:t xml:space="preserve">iu recent al lui </w:t>
      </w:r>
      <w:r w:rsidR="00667D9E" w:rsidRPr="00667D9E">
        <w:rPr>
          <w:rFonts w:ascii="Times New Roman" w:hAnsi="Times New Roman" w:cs="Times New Roman"/>
          <w:sz w:val="24"/>
          <w:szCs w:val="24"/>
          <w:lang w:val="ro-RO"/>
        </w:rPr>
        <w:t>Situm</w:t>
      </w:r>
      <w:r w:rsidR="00667D9E">
        <w:rPr>
          <w:rFonts w:ascii="Times New Roman" w:hAnsi="Times New Roman" w:cs="Times New Roman"/>
          <w:sz w:val="24"/>
          <w:szCs w:val="24"/>
          <w:lang w:val="ro-RO"/>
        </w:rPr>
        <w:t xml:space="preserve"> (2023), </w:t>
      </w:r>
      <w:r w:rsidR="00667D9E" w:rsidRPr="00667D9E">
        <w:rPr>
          <w:rFonts w:ascii="Times New Roman" w:hAnsi="Times New Roman" w:cs="Times New Roman"/>
          <w:sz w:val="24"/>
          <w:szCs w:val="24"/>
          <w:lang w:val="ro-RO"/>
        </w:rPr>
        <w:t>st</w:t>
      </w:r>
      <w:r w:rsidR="00667D9E">
        <w:rPr>
          <w:rFonts w:ascii="Times New Roman" w:hAnsi="Times New Roman" w:cs="Times New Roman"/>
          <w:sz w:val="24"/>
          <w:szCs w:val="24"/>
          <w:lang w:val="ro-RO"/>
        </w:rPr>
        <w:t>a</w:t>
      </w:r>
      <w:r w:rsidR="00667D9E" w:rsidRPr="00667D9E">
        <w:rPr>
          <w:rFonts w:ascii="Times New Roman" w:hAnsi="Times New Roman" w:cs="Times New Roman"/>
          <w:sz w:val="24"/>
          <w:szCs w:val="24"/>
          <w:lang w:val="ro-RO"/>
        </w:rPr>
        <w:t>r</w:t>
      </w:r>
      <w:r w:rsidR="00667D9E">
        <w:rPr>
          <w:rFonts w:ascii="Times New Roman" w:hAnsi="Times New Roman" w:cs="Times New Roman"/>
          <w:sz w:val="24"/>
          <w:szCs w:val="24"/>
          <w:lang w:val="ro-RO"/>
        </w:rPr>
        <w:t>ea</w:t>
      </w:r>
      <w:r w:rsidR="00667D9E" w:rsidRPr="00667D9E">
        <w:rPr>
          <w:rFonts w:ascii="Times New Roman" w:hAnsi="Times New Roman" w:cs="Times New Roman"/>
          <w:sz w:val="24"/>
          <w:szCs w:val="24"/>
          <w:lang w:val="ro-RO"/>
        </w:rPr>
        <w:t xml:space="preserve"> de dificultate </w:t>
      </w:r>
      <w:r w:rsidR="007947D9">
        <w:rPr>
          <w:rFonts w:ascii="Times New Roman" w:hAnsi="Times New Roman" w:cs="Times New Roman"/>
          <w:sz w:val="24"/>
          <w:szCs w:val="24"/>
          <w:lang w:val="ro-RO"/>
        </w:rPr>
        <w:t xml:space="preserve">a întreprinderilor micro și </w:t>
      </w:r>
      <w:r w:rsidR="00667D9E">
        <w:rPr>
          <w:rFonts w:ascii="Times New Roman" w:hAnsi="Times New Roman" w:cs="Times New Roman"/>
          <w:sz w:val="24"/>
          <w:szCs w:val="24"/>
          <w:lang w:val="ro-RO"/>
        </w:rPr>
        <w:t xml:space="preserve">mici </w:t>
      </w:r>
      <w:r w:rsidR="007947D9">
        <w:rPr>
          <w:rFonts w:ascii="Times New Roman" w:hAnsi="Times New Roman" w:cs="Times New Roman"/>
          <w:sz w:val="24"/>
          <w:szCs w:val="24"/>
          <w:lang w:val="ro-RO"/>
        </w:rPr>
        <w:t xml:space="preserve">din Austria este explicată și prin prisma </w:t>
      </w:r>
      <w:r w:rsidR="007947D9" w:rsidRPr="00667D9E">
        <w:rPr>
          <w:rFonts w:ascii="Times New Roman" w:hAnsi="Times New Roman" w:cs="Times New Roman"/>
          <w:sz w:val="24"/>
          <w:szCs w:val="24"/>
          <w:lang w:val="ro-RO"/>
        </w:rPr>
        <w:t>rate</w:t>
      </w:r>
      <w:r w:rsidR="007947D9">
        <w:rPr>
          <w:rFonts w:ascii="Times New Roman" w:hAnsi="Times New Roman" w:cs="Times New Roman"/>
          <w:sz w:val="24"/>
          <w:szCs w:val="24"/>
          <w:lang w:val="ro-RO"/>
        </w:rPr>
        <w:t xml:space="preserve">i </w:t>
      </w:r>
      <w:r w:rsidR="007947D9" w:rsidRPr="00667D9E">
        <w:rPr>
          <w:rFonts w:ascii="Times New Roman" w:hAnsi="Times New Roman" w:cs="Times New Roman"/>
          <w:sz w:val="24"/>
          <w:szCs w:val="24"/>
          <w:lang w:val="ro-RO"/>
        </w:rPr>
        <w:t>inflației și șomajului</w:t>
      </w:r>
      <w:r w:rsidR="007947D9">
        <w:rPr>
          <w:rFonts w:ascii="Times New Roman" w:hAnsi="Times New Roman" w:cs="Times New Roman"/>
          <w:sz w:val="24"/>
          <w:szCs w:val="24"/>
          <w:lang w:val="ro-RO"/>
        </w:rPr>
        <w:t xml:space="preserve">. Aceste variabile au o influența statistică semnificativă, </w:t>
      </w:r>
      <w:r w:rsidR="007947D9" w:rsidRPr="007947D9">
        <w:rPr>
          <w:rFonts w:ascii="Times New Roman" w:hAnsi="Times New Roman" w:cs="Times New Roman"/>
          <w:sz w:val="24"/>
          <w:szCs w:val="24"/>
          <w:lang w:val="ro-RO"/>
        </w:rPr>
        <w:t>valori ma</w:t>
      </w:r>
      <w:r w:rsidR="007947D9">
        <w:rPr>
          <w:rFonts w:ascii="Times New Roman" w:hAnsi="Times New Roman" w:cs="Times New Roman"/>
          <w:sz w:val="24"/>
          <w:szCs w:val="24"/>
          <w:lang w:val="ro-RO"/>
        </w:rPr>
        <w:t xml:space="preserve">ri ale acestor </w:t>
      </w:r>
      <w:r w:rsidR="007947D9" w:rsidRPr="007947D9">
        <w:rPr>
          <w:rFonts w:ascii="Times New Roman" w:hAnsi="Times New Roman" w:cs="Times New Roman"/>
          <w:sz w:val="24"/>
          <w:szCs w:val="24"/>
          <w:lang w:val="ro-RO"/>
        </w:rPr>
        <w:t xml:space="preserve">variabile cresc probabilitatea </w:t>
      </w:r>
      <w:r w:rsidR="007947D9">
        <w:rPr>
          <w:rFonts w:ascii="Times New Roman" w:hAnsi="Times New Roman" w:cs="Times New Roman"/>
          <w:sz w:val="24"/>
          <w:szCs w:val="24"/>
          <w:lang w:val="ro-RO"/>
        </w:rPr>
        <w:t xml:space="preserve">de declin, existând totuși un decalaj de 2 ani </w:t>
      </w:r>
      <w:r w:rsidR="007947D9" w:rsidRPr="007947D9">
        <w:rPr>
          <w:rFonts w:ascii="Times New Roman" w:hAnsi="Times New Roman" w:cs="Times New Roman"/>
          <w:sz w:val="24"/>
          <w:szCs w:val="24"/>
          <w:lang w:val="ro-RO"/>
        </w:rPr>
        <w:t xml:space="preserve">asupra probabilității de </w:t>
      </w:r>
      <w:r w:rsidR="007947D9">
        <w:rPr>
          <w:rFonts w:ascii="Times New Roman" w:hAnsi="Times New Roman" w:cs="Times New Roman"/>
          <w:sz w:val="24"/>
          <w:szCs w:val="24"/>
          <w:lang w:val="ro-RO"/>
        </w:rPr>
        <w:t xml:space="preserve">eșec. </w:t>
      </w:r>
    </w:p>
    <w:p w14:paraId="62C39EFE" w14:textId="1C594FCC" w:rsidR="00374A2E" w:rsidRDefault="00374A2E" w:rsidP="00374A2E">
      <w:pPr>
        <w:autoSpaceDE w:val="0"/>
        <w:autoSpaceDN w:val="0"/>
        <w:adjustRightInd w:val="0"/>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Recent, </w:t>
      </w:r>
      <w:r w:rsidRPr="00374A2E">
        <w:rPr>
          <w:rFonts w:ascii="Times New Roman" w:hAnsi="Times New Roman" w:cs="Times New Roman"/>
          <w:sz w:val="24"/>
          <w:szCs w:val="24"/>
          <w:lang w:val="ro-RO"/>
        </w:rPr>
        <w:t>Altman</w:t>
      </w:r>
      <w:r>
        <w:rPr>
          <w:rFonts w:ascii="Times New Roman" w:hAnsi="Times New Roman" w:cs="Times New Roman"/>
          <w:sz w:val="24"/>
          <w:szCs w:val="24"/>
          <w:lang w:val="ro-RO"/>
        </w:rPr>
        <w:t xml:space="preserve"> at al (2024) </w:t>
      </w:r>
      <w:r w:rsidR="00A3539E">
        <w:rPr>
          <w:rFonts w:ascii="Times New Roman" w:hAnsi="Times New Roman" w:cs="Times New Roman"/>
          <w:sz w:val="24"/>
          <w:szCs w:val="24"/>
          <w:lang w:val="ro-RO"/>
        </w:rPr>
        <w:t>susține</w:t>
      </w:r>
      <w:r>
        <w:rPr>
          <w:rFonts w:ascii="Times New Roman" w:hAnsi="Times New Roman" w:cs="Times New Roman"/>
          <w:sz w:val="24"/>
          <w:szCs w:val="24"/>
          <w:lang w:val="ro-RO"/>
        </w:rPr>
        <w:t xml:space="preserve"> într-un studiu al său, că există o creștere alarmantă a firmelor zombie, numind fenomenul </w:t>
      </w:r>
      <w:r w:rsidRPr="008201DB">
        <w:rPr>
          <w:rFonts w:ascii="Times New Roman" w:hAnsi="Times New Roman" w:cs="Times New Roman"/>
          <w:sz w:val="24"/>
          <w:szCs w:val="24"/>
          <w:lang w:val="ro-RO"/>
        </w:rPr>
        <w:t>“zombieism”</w:t>
      </w:r>
      <w:r>
        <w:rPr>
          <w:rFonts w:ascii="Times New Roman" w:hAnsi="Times New Roman" w:cs="Times New Roman"/>
          <w:sz w:val="24"/>
          <w:szCs w:val="24"/>
          <w:lang w:val="ro-RO"/>
        </w:rPr>
        <w:t xml:space="preserve"> ca fiind menținerea la stadiul de supraviețuire a firmelor de altfel la limita de </w:t>
      </w:r>
      <w:r w:rsidR="00A3539E">
        <w:rPr>
          <w:rFonts w:ascii="Times New Roman" w:hAnsi="Times New Roman" w:cs="Times New Roman"/>
          <w:sz w:val="24"/>
          <w:szCs w:val="24"/>
          <w:lang w:val="ro-RO"/>
        </w:rPr>
        <w:t>insolvență</w:t>
      </w:r>
      <w:r>
        <w:rPr>
          <w:rFonts w:ascii="Times New Roman" w:hAnsi="Times New Roman" w:cs="Times New Roman"/>
          <w:sz w:val="24"/>
          <w:szCs w:val="24"/>
          <w:lang w:val="ro-RO"/>
        </w:rPr>
        <w:t xml:space="preserve">, toate acestea cu concursul statului, a </w:t>
      </w:r>
      <w:r w:rsidR="00A3539E">
        <w:rPr>
          <w:rFonts w:ascii="Times New Roman" w:hAnsi="Times New Roman" w:cs="Times New Roman"/>
          <w:sz w:val="24"/>
          <w:szCs w:val="24"/>
          <w:lang w:val="ro-RO"/>
        </w:rPr>
        <w:t>instituțiilor</w:t>
      </w:r>
      <w:r>
        <w:rPr>
          <w:rFonts w:ascii="Times New Roman" w:hAnsi="Times New Roman" w:cs="Times New Roman"/>
          <w:sz w:val="24"/>
          <w:szCs w:val="24"/>
          <w:lang w:val="ro-RO"/>
        </w:rPr>
        <w:t xml:space="preserve"> financiare sau ale investitorilor. Nivelul atins este alarmant, 7% în 2020, nivel susținut de creșterea economică globală sau de politicile monetare aplicate. Riscurile sunt acelea că acest fenomen nu permite dezvoltarea unui mediu de afaceri sănătos, aceste companii reușind în medie să supraviețuiască 5 ani </w:t>
      </w:r>
      <w:r w:rsidR="00A3539E">
        <w:rPr>
          <w:rFonts w:ascii="Times New Roman" w:hAnsi="Times New Roman" w:cs="Times New Roman"/>
          <w:sz w:val="24"/>
          <w:szCs w:val="24"/>
          <w:lang w:val="ro-RO"/>
        </w:rPr>
        <w:t>până</w:t>
      </w:r>
      <w:r>
        <w:rPr>
          <w:rFonts w:ascii="Times New Roman" w:hAnsi="Times New Roman" w:cs="Times New Roman"/>
          <w:sz w:val="24"/>
          <w:szCs w:val="24"/>
          <w:lang w:val="ro-RO"/>
        </w:rPr>
        <w:t xml:space="preserve"> la declararea falimentului. </w:t>
      </w:r>
    </w:p>
    <w:p w14:paraId="7E57A35C" w14:textId="5570F1C3" w:rsidR="00C677AC" w:rsidRPr="00C677AC" w:rsidRDefault="00C677AC" w:rsidP="00C677AC">
      <w:pPr>
        <w:autoSpaceDE w:val="0"/>
        <w:autoSpaceDN w:val="0"/>
        <w:adjustRightInd w:val="0"/>
        <w:spacing w:after="0" w:line="240" w:lineRule="auto"/>
        <w:ind w:firstLine="567"/>
        <w:jc w:val="both"/>
        <w:rPr>
          <w:rFonts w:ascii="Times New Roman" w:hAnsi="Times New Roman" w:cs="Times New Roman"/>
          <w:sz w:val="24"/>
          <w:szCs w:val="24"/>
          <w:lang w:val="ro-RO"/>
        </w:rPr>
      </w:pPr>
      <w:r w:rsidRPr="00C677AC">
        <w:rPr>
          <w:rFonts w:ascii="Times New Roman" w:hAnsi="Times New Roman" w:cs="Times New Roman"/>
          <w:sz w:val="24"/>
          <w:szCs w:val="24"/>
          <w:lang w:val="ro-RO"/>
        </w:rPr>
        <w:t>Pentru a preveni</w:t>
      </w:r>
      <w:r w:rsidRPr="00EC1E14">
        <w:rPr>
          <w:rFonts w:ascii="Times New Roman" w:hAnsi="Times New Roman" w:cs="Times New Roman"/>
          <w:sz w:val="24"/>
          <w:szCs w:val="24"/>
          <w:lang w:val="ro-RO"/>
        </w:rPr>
        <w:t xml:space="preserve"> declinul companiilor având ca apogeu maxim</w:t>
      </w:r>
      <w:r w:rsidRPr="00C677AC">
        <w:rPr>
          <w:rFonts w:ascii="Times New Roman" w:hAnsi="Times New Roman" w:cs="Times New Roman"/>
          <w:sz w:val="24"/>
          <w:szCs w:val="24"/>
          <w:lang w:val="ro-RO"/>
        </w:rPr>
        <w:t xml:space="preserve"> falimentul, </w:t>
      </w:r>
      <w:r w:rsidRPr="00EC1E14">
        <w:rPr>
          <w:rFonts w:ascii="Times New Roman" w:hAnsi="Times New Roman" w:cs="Times New Roman"/>
          <w:sz w:val="24"/>
          <w:szCs w:val="24"/>
          <w:lang w:val="ro-RO"/>
        </w:rPr>
        <w:t xml:space="preserve">managementul companiilor </w:t>
      </w:r>
      <w:r w:rsidR="00EC1E14" w:rsidRPr="00EC1E14">
        <w:rPr>
          <w:rFonts w:ascii="Times New Roman" w:hAnsi="Times New Roman" w:cs="Times New Roman"/>
          <w:sz w:val="24"/>
          <w:szCs w:val="24"/>
          <w:lang w:val="ro-RO"/>
        </w:rPr>
        <w:t>indiferent</w:t>
      </w:r>
      <w:r w:rsidRPr="00EC1E14">
        <w:rPr>
          <w:rFonts w:ascii="Times New Roman" w:hAnsi="Times New Roman" w:cs="Times New Roman"/>
          <w:sz w:val="24"/>
          <w:szCs w:val="24"/>
          <w:lang w:val="ro-RO"/>
        </w:rPr>
        <w:t xml:space="preserve"> de mărimea sau </w:t>
      </w:r>
      <w:r w:rsidR="00EC1E14" w:rsidRPr="00EC1E14">
        <w:rPr>
          <w:rFonts w:ascii="Times New Roman" w:hAnsi="Times New Roman" w:cs="Times New Roman"/>
          <w:sz w:val="24"/>
          <w:szCs w:val="24"/>
          <w:lang w:val="ro-RO"/>
        </w:rPr>
        <w:t>așezarea</w:t>
      </w:r>
      <w:r w:rsidRPr="00EC1E14">
        <w:rPr>
          <w:rFonts w:ascii="Times New Roman" w:hAnsi="Times New Roman" w:cs="Times New Roman"/>
          <w:sz w:val="24"/>
          <w:szCs w:val="24"/>
          <w:lang w:val="ro-RO"/>
        </w:rPr>
        <w:t xml:space="preserve"> geografică, trebuie să adopte strategii prin care riscurile macroeconomice să fie gestionate </w:t>
      </w:r>
      <w:r w:rsidR="00EC1E14" w:rsidRPr="00EC1E14">
        <w:rPr>
          <w:rFonts w:ascii="Times New Roman" w:hAnsi="Times New Roman" w:cs="Times New Roman"/>
          <w:sz w:val="24"/>
          <w:szCs w:val="24"/>
          <w:lang w:val="ro-RO"/>
        </w:rPr>
        <w:t>eficient</w:t>
      </w:r>
      <w:r w:rsidRPr="00EC1E14">
        <w:rPr>
          <w:rFonts w:ascii="Times New Roman" w:hAnsi="Times New Roman" w:cs="Times New Roman"/>
          <w:sz w:val="24"/>
          <w:szCs w:val="24"/>
          <w:lang w:val="ro-RO"/>
        </w:rPr>
        <w:t xml:space="preserve">. </w:t>
      </w:r>
      <w:r w:rsidR="00EC1E14" w:rsidRPr="00EC1E14">
        <w:rPr>
          <w:rFonts w:ascii="Times New Roman" w:hAnsi="Times New Roman" w:cs="Times New Roman"/>
          <w:sz w:val="24"/>
          <w:szCs w:val="24"/>
          <w:lang w:val="ro-RO"/>
        </w:rPr>
        <w:t xml:space="preserve">Se recomandă astfel o </w:t>
      </w:r>
      <w:r w:rsidRPr="00C677AC">
        <w:rPr>
          <w:rFonts w:ascii="Times New Roman" w:hAnsi="Times New Roman" w:cs="Times New Roman"/>
          <w:sz w:val="24"/>
          <w:szCs w:val="24"/>
          <w:lang w:val="ro-RO"/>
        </w:rPr>
        <w:t>diversificar</w:t>
      </w:r>
      <w:r w:rsidR="00EC1E14" w:rsidRPr="00EC1E14">
        <w:rPr>
          <w:rFonts w:ascii="Times New Roman" w:hAnsi="Times New Roman" w:cs="Times New Roman"/>
          <w:sz w:val="24"/>
          <w:szCs w:val="24"/>
          <w:lang w:val="ro-RO"/>
        </w:rPr>
        <w:t xml:space="preserve">e a produselor și serviciilor pe care le oferă compania, intrarea pe noi piețe de desfacere, menținerea unui nivel adecvat al profitabilității și generarea de rentabilități care să asigure o stabilitate pe termen mediu și lung, asigurarea unor rezerve pentru situații neprevăzute, menținerea unui echilibru în structura de finanțare a activității prin utilizarea eficientă a finanțării cu capital străin dar și capital propriu iar lista nu este exhaustivă. Pentru acoperirea riscului de creștere a prețurilor, o politică comercială care include indexarea prețurilor în cazul creșterii costurilor, a ratei dobânzii de referință sau indexarea la cursul de schimb sunt modalități eficiente de combatere a riscurilor macroeconomice. De asemenea utilizarea de instrumente financiare </w:t>
      </w:r>
      <w:r w:rsidRPr="00C677AC">
        <w:rPr>
          <w:rFonts w:ascii="Times New Roman" w:hAnsi="Times New Roman" w:cs="Times New Roman"/>
          <w:sz w:val="24"/>
          <w:szCs w:val="24"/>
          <w:lang w:val="ro-RO"/>
        </w:rPr>
        <w:t>pentru a acoperi riscurile legate de ratele dobânzilor și cursurile de schimb valutar</w:t>
      </w:r>
      <w:r w:rsidR="00EC1E14" w:rsidRPr="00EC1E14">
        <w:rPr>
          <w:rFonts w:ascii="Times New Roman" w:hAnsi="Times New Roman" w:cs="Times New Roman"/>
          <w:sz w:val="24"/>
          <w:szCs w:val="24"/>
          <w:lang w:val="ro-RO"/>
        </w:rPr>
        <w:t xml:space="preserve"> se recomandă </w:t>
      </w:r>
      <w:r w:rsidR="00C07209">
        <w:rPr>
          <w:rFonts w:ascii="Times New Roman" w:hAnsi="Times New Roman" w:cs="Times New Roman"/>
          <w:sz w:val="24"/>
          <w:szCs w:val="24"/>
          <w:lang w:val="ro-RO"/>
        </w:rPr>
        <w:t>î</w:t>
      </w:r>
      <w:r w:rsidR="00EC1E14" w:rsidRPr="00EC1E14">
        <w:rPr>
          <w:rFonts w:ascii="Times New Roman" w:hAnsi="Times New Roman" w:cs="Times New Roman"/>
          <w:sz w:val="24"/>
          <w:szCs w:val="24"/>
          <w:lang w:val="ro-RO"/>
        </w:rPr>
        <w:t>n cazul companiilor expuse la riscul valutar sau al companiilor îndatorate pentru care o creștere a ratei dobânzii poate duce la incapacitate de plată.</w:t>
      </w:r>
    </w:p>
    <w:p w14:paraId="13948794" w14:textId="77777777" w:rsidR="00301073" w:rsidRDefault="00301073" w:rsidP="00301073">
      <w:pPr>
        <w:autoSpaceDE w:val="0"/>
        <w:autoSpaceDN w:val="0"/>
        <w:adjustRightInd w:val="0"/>
        <w:spacing w:after="0" w:line="240" w:lineRule="auto"/>
        <w:jc w:val="both"/>
        <w:rPr>
          <w:rFonts w:ascii="Times New Roman" w:hAnsi="Times New Roman" w:cs="Times New Roman"/>
          <w:b/>
          <w:bCs/>
          <w:sz w:val="24"/>
          <w:szCs w:val="24"/>
          <w:lang w:val="ro-RO"/>
        </w:rPr>
      </w:pPr>
    </w:p>
    <w:p w14:paraId="097F0B0A" w14:textId="2D438D68" w:rsidR="00301073" w:rsidRDefault="00301073" w:rsidP="00301073">
      <w:pPr>
        <w:autoSpaceDE w:val="0"/>
        <w:autoSpaceDN w:val="0"/>
        <w:adjustRightInd w:val="0"/>
        <w:spacing w:after="0" w:line="240" w:lineRule="auto"/>
        <w:jc w:val="both"/>
        <w:rPr>
          <w:rFonts w:ascii="Times New Roman" w:hAnsi="Times New Roman" w:cs="Times New Roman"/>
          <w:b/>
          <w:bCs/>
          <w:sz w:val="24"/>
          <w:szCs w:val="24"/>
          <w:lang w:val="ro-RO"/>
        </w:rPr>
      </w:pPr>
      <w:r w:rsidRPr="00301073">
        <w:rPr>
          <w:rFonts w:ascii="Times New Roman" w:hAnsi="Times New Roman" w:cs="Times New Roman"/>
          <w:b/>
          <w:bCs/>
          <w:sz w:val="24"/>
          <w:szCs w:val="24"/>
          <w:lang w:val="ro-RO"/>
        </w:rPr>
        <w:t>CONȚINUTUL LUCRĂRII</w:t>
      </w:r>
    </w:p>
    <w:p w14:paraId="60477EC2" w14:textId="77777777" w:rsidR="00301073" w:rsidRDefault="00301073" w:rsidP="00301073">
      <w:pPr>
        <w:autoSpaceDE w:val="0"/>
        <w:autoSpaceDN w:val="0"/>
        <w:adjustRightInd w:val="0"/>
        <w:spacing w:after="0" w:line="240" w:lineRule="auto"/>
        <w:jc w:val="both"/>
        <w:rPr>
          <w:rFonts w:ascii="Times New Roman" w:hAnsi="Times New Roman" w:cs="Times New Roman"/>
          <w:b/>
          <w:bCs/>
          <w:sz w:val="24"/>
          <w:szCs w:val="24"/>
          <w:lang w:val="ro-RO"/>
        </w:rPr>
      </w:pPr>
    </w:p>
    <w:p w14:paraId="3107D830" w14:textId="3657FD02" w:rsidR="00E96769" w:rsidRDefault="00D43AED" w:rsidP="00E96769">
      <w:pPr>
        <w:autoSpaceDE w:val="0"/>
        <w:autoSpaceDN w:val="0"/>
        <w:adjustRightInd w:val="0"/>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In realizarea scopului propus prin prezenta cercetare</w:t>
      </w:r>
      <w:r w:rsidR="009C436B">
        <w:rPr>
          <w:rFonts w:ascii="Times New Roman" w:hAnsi="Times New Roman" w:cs="Times New Roman"/>
          <w:sz w:val="24"/>
          <w:szCs w:val="24"/>
          <w:lang w:val="ro-RO"/>
        </w:rPr>
        <w:t>, analizăm influența variabilelor macroeconomice asupra nivelului falimentului companiilor la nivelul Uniunii Europene. Pentru atingerea acestui țel,  vom utiliza ca variabilă dependentă indexul publicat de Uniunea Europeană</w:t>
      </w:r>
      <w:r w:rsidR="00E96769">
        <w:rPr>
          <w:rFonts w:ascii="Times New Roman" w:hAnsi="Times New Roman" w:cs="Times New Roman"/>
          <w:sz w:val="24"/>
          <w:szCs w:val="24"/>
          <w:lang w:val="ro-RO"/>
        </w:rPr>
        <w:t xml:space="preserve"> respectiv Indexul constituire de business-uri si a falimentului, având ca perioadă de bază anul 2021 când indicele este 100. Variabilele macroeconomice independente pe care le vom utiliza sunt creșterea economică, rara inflației precum și rata șomajului, toate acestea raportate la nivelul Uniunii Europene, cu 27 țări incluse. </w:t>
      </w:r>
    </w:p>
    <w:p w14:paraId="3E302F3E" w14:textId="287CF2B3" w:rsidR="00E96769" w:rsidRDefault="00E96769" w:rsidP="00E96769">
      <w:pPr>
        <w:autoSpaceDE w:val="0"/>
        <w:autoSpaceDN w:val="0"/>
        <w:adjustRightInd w:val="0"/>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Creșterea economică provine din calculul evoluției Produsului Intern Brut reprezentând totalitatea bunurilor și serviciilor asigurate de către o țară, ținând cont de modalități diferite de calcul, respectiv în baza producției, cheltuielilor sau veniturilor obținute. </w:t>
      </w:r>
    </w:p>
    <w:p w14:paraId="3A6227A4" w14:textId="09441AC5" w:rsidR="00466538" w:rsidRDefault="00466538" w:rsidP="00E96769">
      <w:pPr>
        <w:autoSpaceDE w:val="0"/>
        <w:autoSpaceDN w:val="0"/>
        <w:adjustRightInd w:val="0"/>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Rata inflației reprezintă i</w:t>
      </w:r>
      <w:r w:rsidRPr="00466538">
        <w:rPr>
          <w:rFonts w:ascii="Times New Roman" w:hAnsi="Times New Roman" w:cs="Times New Roman"/>
          <w:sz w:val="24"/>
          <w:szCs w:val="24"/>
          <w:lang w:val="ro-RO"/>
        </w:rPr>
        <w:t>ndic</w:t>
      </w:r>
      <w:r>
        <w:rPr>
          <w:rFonts w:ascii="Times New Roman" w:hAnsi="Times New Roman" w:cs="Times New Roman"/>
          <w:sz w:val="24"/>
          <w:szCs w:val="24"/>
          <w:lang w:val="ro-RO"/>
        </w:rPr>
        <w:t>ele</w:t>
      </w:r>
      <w:r w:rsidRPr="00466538">
        <w:rPr>
          <w:rFonts w:ascii="Times New Roman" w:hAnsi="Times New Roman" w:cs="Times New Roman"/>
          <w:sz w:val="24"/>
          <w:szCs w:val="24"/>
          <w:lang w:val="ro-RO"/>
        </w:rPr>
        <w:t xml:space="preserve"> armoniza</w:t>
      </w:r>
      <w:r>
        <w:rPr>
          <w:rFonts w:ascii="Times New Roman" w:hAnsi="Times New Roman" w:cs="Times New Roman"/>
          <w:sz w:val="24"/>
          <w:szCs w:val="24"/>
          <w:lang w:val="ro-RO"/>
        </w:rPr>
        <w:t>t</w:t>
      </w:r>
      <w:r w:rsidRPr="00466538">
        <w:rPr>
          <w:rFonts w:ascii="Times New Roman" w:hAnsi="Times New Roman" w:cs="Times New Roman"/>
          <w:sz w:val="24"/>
          <w:szCs w:val="24"/>
          <w:lang w:val="ro-RO"/>
        </w:rPr>
        <w:t xml:space="preserve"> a</w:t>
      </w:r>
      <w:r>
        <w:rPr>
          <w:rFonts w:ascii="Times New Roman" w:hAnsi="Times New Roman" w:cs="Times New Roman"/>
          <w:sz w:val="24"/>
          <w:szCs w:val="24"/>
          <w:lang w:val="ro-RO"/>
        </w:rPr>
        <w:t>l</w:t>
      </w:r>
      <w:r w:rsidRPr="00466538">
        <w:rPr>
          <w:rFonts w:ascii="Times New Roman" w:hAnsi="Times New Roman" w:cs="Times New Roman"/>
          <w:sz w:val="24"/>
          <w:szCs w:val="24"/>
          <w:lang w:val="ro-RO"/>
        </w:rPr>
        <w:t xml:space="preserve"> prețurilor de consum</w:t>
      </w:r>
      <w:r>
        <w:rPr>
          <w:rFonts w:ascii="Times New Roman" w:hAnsi="Times New Roman" w:cs="Times New Roman"/>
          <w:sz w:val="24"/>
          <w:szCs w:val="24"/>
          <w:lang w:val="ro-RO"/>
        </w:rPr>
        <w:t xml:space="preserve"> în timp ce rata </w:t>
      </w:r>
      <w:r w:rsidRPr="00466538">
        <w:rPr>
          <w:rFonts w:ascii="Times New Roman" w:hAnsi="Times New Roman" w:cs="Times New Roman"/>
          <w:sz w:val="24"/>
          <w:szCs w:val="24"/>
          <w:lang w:val="ro-RO"/>
        </w:rPr>
        <w:t>șomajului reprezintă procentul șomerilor în rândul populației apte de muncă, cu vârsta cuprinsă între 15 si 74 de ani.</w:t>
      </w:r>
    </w:p>
    <w:p w14:paraId="3A39FFB7" w14:textId="2049479E" w:rsidR="00D43AED" w:rsidRPr="00D43AED" w:rsidRDefault="00E96769" w:rsidP="00E96769">
      <w:pPr>
        <w:autoSpaceDE w:val="0"/>
        <w:autoSpaceDN w:val="0"/>
        <w:adjustRightInd w:val="0"/>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Perioada de analiză este 2015-2023, perioadă la care sunt disponibile datele pentru toate variabilele incluse in cercetare.</w:t>
      </w:r>
      <w:r w:rsidR="00D43AED" w:rsidRPr="00D43AED">
        <w:rPr>
          <w:rFonts w:ascii="Times New Roman" w:hAnsi="Times New Roman" w:cs="Times New Roman"/>
          <w:sz w:val="24"/>
          <w:szCs w:val="24"/>
          <w:lang w:val="ro-RO"/>
        </w:rPr>
        <w:t xml:space="preserve"> Datele au fost preluate de pe https://ec.europa.eu/eurostat și prelucrate cu ajutorul programului de modelare econometrică IBM SPSS Statistics 26</w:t>
      </w:r>
      <w:r w:rsidR="00466538">
        <w:rPr>
          <w:rFonts w:ascii="Times New Roman" w:hAnsi="Times New Roman" w:cs="Times New Roman"/>
          <w:sz w:val="24"/>
          <w:szCs w:val="24"/>
          <w:lang w:val="ro-RO"/>
        </w:rPr>
        <w:t xml:space="preserve">, variabilele fiind prezentate în Tabelul nr. 1. </w:t>
      </w:r>
    </w:p>
    <w:p w14:paraId="72CE6699" w14:textId="29E18566" w:rsidR="00D43AED" w:rsidRDefault="00D43AED" w:rsidP="00301073">
      <w:pPr>
        <w:autoSpaceDE w:val="0"/>
        <w:autoSpaceDN w:val="0"/>
        <w:adjustRightInd w:val="0"/>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p>
    <w:p w14:paraId="11BDD0CD" w14:textId="2B3D70A6" w:rsidR="00466538" w:rsidRPr="00466538" w:rsidRDefault="00466538" w:rsidP="000D345F">
      <w:pPr>
        <w:autoSpaceDE w:val="0"/>
        <w:autoSpaceDN w:val="0"/>
        <w:adjustRightInd w:val="0"/>
        <w:spacing w:line="240" w:lineRule="auto"/>
        <w:jc w:val="center"/>
        <w:rPr>
          <w:rFonts w:ascii="Times New Roman" w:hAnsi="Times New Roman" w:cs="Times New Roman"/>
          <w:sz w:val="20"/>
          <w:szCs w:val="20"/>
          <w:lang w:val="ro-RO"/>
        </w:rPr>
      </w:pPr>
      <w:r w:rsidRPr="00466538">
        <w:rPr>
          <w:rFonts w:ascii="Times New Roman" w:hAnsi="Times New Roman" w:cs="Times New Roman"/>
          <w:sz w:val="20"/>
          <w:szCs w:val="20"/>
          <w:lang w:val="ro-RO"/>
        </w:rPr>
        <w:lastRenderedPageBreak/>
        <w:t xml:space="preserve">Tabelul nr. 1 – </w:t>
      </w:r>
      <w:r>
        <w:rPr>
          <w:rFonts w:ascii="Times New Roman" w:hAnsi="Times New Roman" w:cs="Times New Roman"/>
          <w:sz w:val="20"/>
          <w:szCs w:val="20"/>
          <w:lang w:val="ro-RO"/>
        </w:rPr>
        <w:t xml:space="preserve"> Variabilele</w:t>
      </w:r>
      <w:r w:rsidRPr="00466538">
        <w:rPr>
          <w:rFonts w:ascii="Times New Roman" w:hAnsi="Times New Roman" w:cs="Times New Roman"/>
          <w:sz w:val="20"/>
          <w:szCs w:val="20"/>
          <w:lang w:val="ro-RO"/>
        </w:rPr>
        <w:t xml:space="preserve"> utiliza</w:t>
      </w:r>
      <w:r w:rsidR="000D345F">
        <w:rPr>
          <w:rFonts w:ascii="Times New Roman" w:hAnsi="Times New Roman" w:cs="Times New Roman"/>
          <w:sz w:val="20"/>
          <w:szCs w:val="20"/>
          <w:lang w:val="ro-RO"/>
        </w:rPr>
        <w:t>te</w:t>
      </w:r>
      <w:r w:rsidRPr="00466538">
        <w:rPr>
          <w:rFonts w:ascii="Times New Roman" w:hAnsi="Times New Roman" w:cs="Times New Roman"/>
          <w:sz w:val="20"/>
          <w:szCs w:val="20"/>
          <w:lang w:val="ro-RO"/>
        </w:rPr>
        <w:t>i în analiza</w:t>
      </w:r>
    </w:p>
    <w:tbl>
      <w:tblPr>
        <w:tblStyle w:val="PlainTable3"/>
        <w:tblW w:w="9923" w:type="dxa"/>
        <w:tblLook w:val="04A0" w:firstRow="1" w:lastRow="0" w:firstColumn="1" w:lastColumn="0" w:noHBand="0" w:noVBand="1"/>
      </w:tblPr>
      <w:tblGrid>
        <w:gridCol w:w="1295"/>
        <w:gridCol w:w="4517"/>
        <w:gridCol w:w="2060"/>
        <w:gridCol w:w="2051"/>
      </w:tblGrid>
      <w:tr w:rsidR="00466538" w:rsidRPr="00466538" w14:paraId="44170ABD" w14:textId="052032CC" w:rsidTr="001C2E12">
        <w:trPr>
          <w:cnfStyle w:val="100000000000" w:firstRow="1" w:lastRow="0" w:firstColumn="0" w:lastColumn="0" w:oddVBand="0" w:evenVBand="0" w:oddHBand="0" w:evenHBand="0" w:firstRowFirstColumn="0" w:firstRowLastColumn="0" w:lastRowFirstColumn="0" w:lastRowLastColumn="0"/>
          <w:trHeight w:val="261"/>
        </w:trPr>
        <w:tc>
          <w:tcPr>
            <w:cnfStyle w:val="001000000100" w:firstRow="0" w:lastRow="0" w:firstColumn="1" w:lastColumn="0" w:oddVBand="0" w:evenVBand="0" w:oddHBand="0" w:evenHBand="0" w:firstRowFirstColumn="1" w:firstRowLastColumn="0" w:lastRowFirstColumn="0" w:lastRowLastColumn="0"/>
            <w:tcW w:w="1295" w:type="dxa"/>
            <w:tcBorders>
              <w:top w:val="nil"/>
              <w:left w:val="nil"/>
            </w:tcBorders>
            <w:hideMark/>
          </w:tcPr>
          <w:p w14:paraId="3A000BFC" w14:textId="77777777" w:rsidR="00466538" w:rsidRPr="00466538" w:rsidRDefault="00466538" w:rsidP="00466538">
            <w:pPr>
              <w:autoSpaceDE w:val="0"/>
              <w:autoSpaceDN w:val="0"/>
              <w:adjustRightInd w:val="0"/>
              <w:jc w:val="both"/>
              <w:rPr>
                <w:rFonts w:ascii="Times New Roman" w:hAnsi="Times New Roman" w:cs="Times New Roman"/>
                <w:sz w:val="24"/>
                <w:szCs w:val="24"/>
                <w:lang w:val="ro-RO"/>
              </w:rPr>
            </w:pPr>
            <w:r w:rsidRPr="00466538">
              <w:rPr>
                <w:rFonts w:ascii="Times New Roman" w:hAnsi="Times New Roman" w:cs="Times New Roman"/>
                <w:caps w:val="0"/>
                <w:sz w:val="20"/>
                <w:szCs w:val="20"/>
                <w:lang w:val="ro-RO"/>
              </w:rPr>
              <w:t>Nr. Crt.</w:t>
            </w:r>
          </w:p>
        </w:tc>
        <w:tc>
          <w:tcPr>
            <w:tcW w:w="4517" w:type="dxa"/>
            <w:tcBorders>
              <w:top w:val="nil"/>
              <w:left w:val="nil"/>
              <w:right w:val="nil"/>
            </w:tcBorders>
            <w:hideMark/>
          </w:tcPr>
          <w:p w14:paraId="2ED88F46" w14:textId="77777777" w:rsidR="00466538" w:rsidRPr="00466538" w:rsidRDefault="00466538" w:rsidP="0046653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66538">
              <w:rPr>
                <w:rFonts w:ascii="Times New Roman" w:hAnsi="Times New Roman" w:cs="Times New Roman"/>
                <w:caps w:val="0"/>
                <w:sz w:val="20"/>
                <w:szCs w:val="20"/>
                <w:lang w:val="ro-RO"/>
              </w:rPr>
              <w:t>Denumire indicator</w:t>
            </w:r>
          </w:p>
        </w:tc>
        <w:tc>
          <w:tcPr>
            <w:tcW w:w="2060" w:type="dxa"/>
            <w:tcBorders>
              <w:top w:val="nil"/>
              <w:left w:val="nil"/>
              <w:right w:val="nil"/>
            </w:tcBorders>
            <w:hideMark/>
          </w:tcPr>
          <w:p w14:paraId="44FD4A45" w14:textId="77777777" w:rsidR="00466538" w:rsidRPr="00466538" w:rsidRDefault="00466538" w:rsidP="0046653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66538">
              <w:rPr>
                <w:rFonts w:ascii="Times New Roman" w:hAnsi="Times New Roman" w:cs="Times New Roman"/>
                <w:caps w:val="0"/>
                <w:sz w:val="20"/>
                <w:szCs w:val="20"/>
                <w:lang w:val="ro-RO"/>
              </w:rPr>
              <w:t>Abreviere</w:t>
            </w:r>
          </w:p>
        </w:tc>
        <w:tc>
          <w:tcPr>
            <w:tcW w:w="2051" w:type="dxa"/>
            <w:tcBorders>
              <w:top w:val="nil"/>
              <w:left w:val="nil"/>
              <w:right w:val="nil"/>
            </w:tcBorders>
          </w:tcPr>
          <w:p w14:paraId="3F49737B" w14:textId="17CCF766" w:rsidR="00466538" w:rsidRPr="00466538" w:rsidRDefault="00466538" w:rsidP="0046653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0"/>
                <w:szCs w:val="20"/>
                <w:lang w:val="ro-RO"/>
              </w:rPr>
            </w:pPr>
            <w:r w:rsidRPr="00466538">
              <w:rPr>
                <w:rFonts w:ascii="Times New Roman" w:hAnsi="Times New Roman" w:cs="Times New Roman"/>
                <w:caps w:val="0"/>
                <w:sz w:val="20"/>
                <w:szCs w:val="20"/>
                <w:lang w:val="ro-RO"/>
              </w:rPr>
              <w:t>Tip variabilă</w:t>
            </w:r>
          </w:p>
        </w:tc>
      </w:tr>
      <w:tr w:rsidR="00466538" w:rsidRPr="00466538" w14:paraId="3E4A62E2" w14:textId="7FE0186F" w:rsidTr="001C2E1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4303CE0D"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1.</w:t>
            </w:r>
          </w:p>
        </w:tc>
        <w:tc>
          <w:tcPr>
            <w:tcW w:w="4517" w:type="dxa"/>
            <w:hideMark/>
          </w:tcPr>
          <w:p w14:paraId="040496F4" w14:textId="5144D21A" w:rsidR="00466538" w:rsidRPr="00466538" w:rsidRDefault="001C2E12"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ro-RO"/>
              </w:rPr>
            </w:pPr>
            <w:r w:rsidRPr="001C2E12">
              <w:rPr>
                <w:rFonts w:ascii="Times New Roman" w:hAnsi="Times New Roman" w:cs="Times New Roman"/>
                <w:i/>
                <w:iCs/>
                <w:sz w:val="20"/>
                <w:szCs w:val="20"/>
                <w:lang w:val="ro-RO"/>
              </w:rPr>
              <w:t xml:space="preserve">Indexul </w:t>
            </w:r>
            <w:r>
              <w:rPr>
                <w:rFonts w:ascii="Times New Roman" w:hAnsi="Times New Roman" w:cs="Times New Roman"/>
                <w:i/>
                <w:iCs/>
                <w:sz w:val="20"/>
                <w:szCs w:val="20"/>
                <w:lang w:val="ro-RO"/>
              </w:rPr>
              <w:t>de</w:t>
            </w:r>
            <w:r w:rsidRPr="001C2E12">
              <w:rPr>
                <w:rFonts w:ascii="Times New Roman" w:hAnsi="Times New Roman" w:cs="Times New Roman"/>
                <w:i/>
                <w:iCs/>
                <w:sz w:val="20"/>
                <w:szCs w:val="20"/>
                <w:lang w:val="ro-RO"/>
              </w:rPr>
              <w:t xml:space="preserve"> </w:t>
            </w:r>
            <w:r w:rsidR="00E02AE8">
              <w:rPr>
                <w:rFonts w:ascii="Times New Roman" w:hAnsi="Times New Roman" w:cs="Times New Roman"/>
                <w:i/>
                <w:iCs/>
                <w:sz w:val="20"/>
                <w:szCs w:val="20"/>
                <w:lang w:val="ro-RO"/>
              </w:rPr>
              <w:t xml:space="preserve">consituire de business-uri și de </w:t>
            </w:r>
            <w:r w:rsidRPr="001C2E12">
              <w:rPr>
                <w:rFonts w:ascii="Times New Roman" w:hAnsi="Times New Roman" w:cs="Times New Roman"/>
                <w:i/>
                <w:iCs/>
                <w:sz w:val="20"/>
                <w:szCs w:val="20"/>
                <w:lang w:val="ro-RO"/>
              </w:rPr>
              <w:t>faliment</w:t>
            </w:r>
          </w:p>
        </w:tc>
        <w:tc>
          <w:tcPr>
            <w:tcW w:w="2060" w:type="dxa"/>
            <w:hideMark/>
          </w:tcPr>
          <w:p w14:paraId="3F1FB408" w14:textId="4DA9D9C3" w:rsidR="00466538" w:rsidRP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BI</w:t>
            </w:r>
          </w:p>
        </w:tc>
        <w:tc>
          <w:tcPr>
            <w:tcW w:w="2051" w:type="dxa"/>
          </w:tcPr>
          <w:p w14:paraId="531669F6" w14:textId="1799611E" w:rsid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Dependentă</w:t>
            </w:r>
          </w:p>
        </w:tc>
      </w:tr>
      <w:tr w:rsidR="00466538" w:rsidRPr="00466538" w14:paraId="039B905F" w14:textId="1DEBE427" w:rsidTr="001C2E12">
        <w:trPr>
          <w:trHeight w:val="261"/>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46C058FC"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2.</w:t>
            </w:r>
          </w:p>
        </w:tc>
        <w:tc>
          <w:tcPr>
            <w:tcW w:w="4517" w:type="dxa"/>
            <w:hideMark/>
          </w:tcPr>
          <w:p w14:paraId="5C229011" w14:textId="1642B804" w:rsidR="00466538" w:rsidRP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ro-RO"/>
              </w:rPr>
            </w:pPr>
            <w:r w:rsidRPr="00466538">
              <w:rPr>
                <w:rFonts w:ascii="Times New Roman" w:hAnsi="Times New Roman" w:cs="Times New Roman"/>
                <w:i/>
                <w:iCs/>
                <w:sz w:val="20"/>
                <w:szCs w:val="20"/>
                <w:lang w:val="ro-RO"/>
              </w:rPr>
              <w:t>Creșterea economică</w:t>
            </w:r>
          </w:p>
        </w:tc>
        <w:tc>
          <w:tcPr>
            <w:tcW w:w="2060" w:type="dxa"/>
            <w:hideMark/>
          </w:tcPr>
          <w:p w14:paraId="34FDB1D2" w14:textId="5F9DB2AC" w:rsidR="00466538" w:rsidRP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EG</w:t>
            </w:r>
          </w:p>
        </w:tc>
        <w:tc>
          <w:tcPr>
            <w:tcW w:w="2051" w:type="dxa"/>
          </w:tcPr>
          <w:p w14:paraId="7D9C6137" w14:textId="4C35AD51" w:rsid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Independentă</w:t>
            </w:r>
          </w:p>
        </w:tc>
      </w:tr>
      <w:tr w:rsidR="00466538" w:rsidRPr="00466538" w14:paraId="2241DAF4" w14:textId="734A6BE5" w:rsidTr="001C2E1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01FE4024"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3.</w:t>
            </w:r>
          </w:p>
        </w:tc>
        <w:tc>
          <w:tcPr>
            <w:tcW w:w="4517" w:type="dxa"/>
            <w:hideMark/>
          </w:tcPr>
          <w:p w14:paraId="11EF5E54" w14:textId="4C60C50A" w:rsidR="00466538" w:rsidRP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ro-RO"/>
              </w:rPr>
            </w:pPr>
            <w:r w:rsidRPr="00466538">
              <w:rPr>
                <w:rFonts w:ascii="Times New Roman" w:hAnsi="Times New Roman" w:cs="Times New Roman"/>
                <w:i/>
                <w:iCs/>
                <w:sz w:val="20"/>
                <w:szCs w:val="20"/>
                <w:lang w:val="ro-RO"/>
              </w:rPr>
              <w:t>Nivelul inflației</w:t>
            </w:r>
          </w:p>
        </w:tc>
        <w:tc>
          <w:tcPr>
            <w:tcW w:w="2060" w:type="dxa"/>
            <w:hideMark/>
          </w:tcPr>
          <w:p w14:paraId="2702674E" w14:textId="0291D304" w:rsidR="00466538" w:rsidRP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w:t>
            </w:r>
          </w:p>
        </w:tc>
        <w:tc>
          <w:tcPr>
            <w:tcW w:w="2051" w:type="dxa"/>
          </w:tcPr>
          <w:p w14:paraId="091A2635" w14:textId="34ECA57A" w:rsid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Independentă</w:t>
            </w:r>
          </w:p>
        </w:tc>
      </w:tr>
      <w:tr w:rsidR="00466538" w:rsidRPr="00466538" w14:paraId="060C2071" w14:textId="4B387607" w:rsidTr="001C2E12">
        <w:trPr>
          <w:trHeight w:val="274"/>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53797E48"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4.</w:t>
            </w:r>
          </w:p>
        </w:tc>
        <w:tc>
          <w:tcPr>
            <w:tcW w:w="4517" w:type="dxa"/>
            <w:hideMark/>
          </w:tcPr>
          <w:p w14:paraId="76EE8079" w14:textId="7CF32568" w:rsidR="00466538" w:rsidRP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ro-RO"/>
              </w:rPr>
            </w:pPr>
            <w:r w:rsidRPr="00466538">
              <w:rPr>
                <w:rFonts w:ascii="Times New Roman" w:hAnsi="Times New Roman" w:cs="Times New Roman"/>
                <w:i/>
                <w:iCs/>
                <w:sz w:val="20"/>
                <w:szCs w:val="20"/>
                <w:lang w:val="ro-RO"/>
              </w:rPr>
              <w:t>Rata șomajului</w:t>
            </w:r>
          </w:p>
        </w:tc>
        <w:tc>
          <w:tcPr>
            <w:tcW w:w="2060" w:type="dxa"/>
            <w:hideMark/>
          </w:tcPr>
          <w:p w14:paraId="36C38683" w14:textId="7794B77E" w:rsidR="00466538" w:rsidRP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U</w:t>
            </w:r>
          </w:p>
        </w:tc>
        <w:tc>
          <w:tcPr>
            <w:tcW w:w="2051" w:type="dxa"/>
          </w:tcPr>
          <w:p w14:paraId="5014BBEA" w14:textId="75950585" w:rsid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Independentă</w:t>
            </w:r>
          </w:p>
        </w:tc>
      </w:tr>
    </w:tbl>
    <w:p w14:paraId="77989E92" w14:textId="77777777" w:rsidR="00466538" w:rsidRPr="00466538" w:rsidRDefault="00466538" w:rsidP="000D345F">
      <w:pPr>
        <w:autoSpaceDE w:val="0"/>
        <w:autoSpaceDN w:val="0"/>
        <w:adjustRightInd w:val="0"/>
        <w:spacing w:line="240" w:lineRule="auto"/>
        <w:jc w:val="center"/>
        <w:rPr>
          <w:rFonts w:ascii="Times New Roman" w:hAnsi="Times New Roman" w:cs="Times New Roman"/>
          <w:sz w:val="20"/>
          <w:szCs w:val="20"/>
          <w:lang w:val="ro-RO"/>
        </w:rPr>
      </w:pPr>
      <w:r w:rsidRPr="00466538">
        <w:rPr>
          <w:rFonts w:ascii="Times New Roman" w:hAnsi="Times New Roman" w:cs="Times New Roman"/>
          <w:sz w:val="20"/>
          <w:szCs w:val="20"/>
          <w:lang w:val="ro-RO"/>
        </w:rPr>
        <w:t>Sursa: Prelucrare proprie</w:t>
      </w:r>
    </w:p>
    <w:p w14:paraId="2C5582A9" w14:textId="046E1A14" w:rsidR="000C550F" w:rsidRPr="00C677AC" w:rsidRDefault="000C550F" w:rsidP="008E2555">
      <w:pPr>
        <w:spacing w:after="0" w:line="240" w:lineRule="auto"/>
        <w:ind w:firstLine="708"/>
        <w:jc w:val="both"/>
        <w:rPr>
          <w:rFonts w:ascii="Times New Roman" w:hAnsi="Times New Roman" w:cs="Times New Roman"/>
          <w:sz w:val="24"/>
          <w:szCs w:val="24"/>
          <w:lang w:val="ro-RO"/>
        </w:rPr>
      </w:pPr>
    </w:p>
    <w:p w14:paraId="7E6F5069" w14:textId="68D93DDF" w:rsidR="00EF40E9" w:rsidRPr="00C677AC" w:rsidRDefault="00EF40E9" w:rsidP="008E2555">
      <w:pPr>
        <w:autoSpaceDE w:val="0"/>
        <w:autoSpaceDN w:val="0"/>
        <w:adjustRightInd w:val="0"/>
        <w:spacing w:line="240" w:lineRule="auto"/>
        <w:jc w:val="center"/>
        <w:rPr>
          <w:rFonts w:ascii="Times New Roman" w:hAnsi="Times New Roman" w:cs="Times New Roman"/>
          <w:b/>
          <w:bCs/>
          <w:sz w:val="20"/>
          <w:szCs w:val="20"/>
          <w:vertAlign w:val="superscript"/>
          <w:lang w:val="ro-RO"/>
        </w:rPr>
      </w:pPr>
      <w:r w:rsidRPr="000D345F">
        <w:rPr>
          <w:rFonts w:ascii="Times New Roman" w:hAnsi="Times New Roman" w:cs="Times New Roman"/>
          <w:sz w:val="20"/>
          <w:szCs w:val="20"/>
          <w:lang w:val="ro-RO"/>
        </w:rPr>
        <w:t>Tab</w:t>
      </w:r>
      <w:r w:rsidR="000D345F">
        <w:rPr>
          <w:rFonts w:ascii="Times New Roman" w:hAnsi="Times New Roman" w:cs="Times New Roman"/>
          <w:sz w:val="20"/>
          <w:szCs w:val="20"/>
          <w:lang w:val="ro-RO"/>
        </w:rPr>
        <w:t>elul</w:t>
      </w:r>
      <w:r w:rsidRPr="000D345F">
        <w:rPr>
          <w:rFonts w:ascii="Times New Roman" w:hAnsi="Times New Roman" w:cs="Times New Roman"/>
          <w:sz w:val="20"/>
          <w:szCs w:val="20"/>
          <w:lang w:val="ro-RO"/>
        </w:rPr>
        <w:t xml:space="preserve"> n</w:t>
      </w:r>
      <w:r w:rsidR="000D345F">
        <w:rPr>
          <w:rFonts w:ascii="Times New Roman" w:hAnsi="Times New Roman" w:cs="Times New Roman"/>
          <w:sz w:val="20"/>
          <w:szCs w:val="20"/>
          <w:lang w:val="ro-RO"/>
        </w:rPr>
        <w:t>r.</w:t>
      </w:r>
      <w:r w:rsidRPr="000D345F">
        <w:rPr>
          <w:rFonts w:ascii="Times New Roman" w:hAnsi="Times New Roman" w:cs="Times New Roman"/>
          <w:sz w:val="20"/>
          <w:szCs w:val="20"/>
          <w:lang w:val="ro-RO"/>
        </w:rPr>
        <w:t xml:space="preserve"> 2 – </w:t>
      </w:r>
      <w:r w:rsidR="008E2555" w:rsidRPr="000D345F">
        <w:rPr>
          <w:rFonts w:ascii="Times New Roman" w:hAnsi="Times New Roman" w:cs="Times New Roman"/>
          <w:sz w:val="20"/>
          <w:szCs w:val="20"/>
          <w:lang w:val="ro-RO"/>
        </w:rPr>
        <w:t>Variab</w:t>
      </w:r>
      <w:r w:rsidR="000D345F">
        <w:rPr>
          <w:rFonts w:ascii="Times New Roman" w:hAnsi="Times New Roman" w:cs="Times New Roman"/>
          <w:sz w:val="20"/>
          <w:szCs w:val="20"/>
          <w:lang w:val="ro-RO"/>
        </w:rPr>
        <w:t>ilele incluse sau excluse</w:t>
      </w:r>
      <w:r w:rsidR="008E2555" w:rsidRPr="00C677AC">
        <w:rPr>
          <w:rFonts w:ascii="Times New Roman" w:hAnsi="Times New Roman" w:cs="Times New Roman"/>
          <w:b/>
          <w:bCs/>
          <w:sz w:val="20"/>
          <w:szCs w:val="20"/>
          <w:vertAlign w:val="superscript"/>
          <w:lang w:val="ro-RO"/>
        </w:rPr>
        <w:t>a</w:t>
      </w:r>
    </w:p>
    <w:tbl>
      <w:tblPr>
        <w:tblW w:w="91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1"/>
        <w:gridCol w:w="2810"/>
        <w:gridCol w:w="2810"/>
        <w:gridCol w:w="1967"/>
      </w:tblGrid>
      <w:tr w:rsidR="008E2555" w:rsidRPr="00C677AC" w14:paraId="7BC5A7C6" w14:textId="77777777" w:rsidTr="008E2555">
        <w:trPr>
          <w:cantSplit/>
          <w:trHeight w:val="380"/>
          <w:jc w:val="center"/>
        </w:trPr>
        <w:tc>
          <w:tcPr>
            <w:tcW w:w="1521" w:type="dxa"/>
            <w:tcBorders>
              <w:top w:val="nil"/>
              <w:left w:val="nil"/>
              <w:bottom w:val="single" w:sz="8" w:space="0" w:color="152935"/>
              <w:right w:val="nil"/>
            </w:tcBorders>
            <w:shd w:val="clear" w:color="auto" w:fill="FFFFFF"/>
            <w:vAlign w:val="bottom"/>
          </w:tcPr>
          <w:p w14:paraId="0FE7B105" w14:textId="77777777" w:rsidR="008E2555" w:rsidRPr="00C677AC" w:rsidRDefault="008E2555" w:rsidP="0098059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2810" w:type="dxa"/>
            <w:tcBorders>
              <w:top w:val="nil"/>
              <w:left w:val="nil"/>
              <w:bottom w:val="single" w:sz="8" w:space="0" w:color="152935"/>
              <w:right w:val="single" w:sz="8" w:space="0" w:color="E0E0E0"/>
            </w:tcBorders>
            <w:shd w:val="clear" w:color="auto" w:fill="FFFFFF"/>
            <w:vAlign w:val="bottom"/>
          </w:tcPr>
          <w:p w14:paraId="467ED8F2" w14:textId="77777777" w:rsidR="008E2555" w:rsidRPr="00C677AC" w:rsidRDefault="008E2555" w:rsidP="0098059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Variables Entered</w:t>
            </w:r>
          </w:p>
        </w:tc>
        <w:tc>
          <w:tcPr>
            <w:tcW w:w="2810" w:type="dxa"/>
            <w:tcBorders>
              <w:top w:val="nil"/>
              <w:left w:val="single" w:sz="8" w:space="0" w:color="E0E0E0"/>
              <w:bottom w:val="single" w:sz="8" w:space="0" w:color="152935"/>
              <w:right w:val="single" w:sz="8" w:space="0" w:color="E0E0E0"/>
            </w:tcBorders>
            <w:shd w:val="clear" w:color="auto" w:fill="FFFFFF"/>
            <w:vAlign w:val="bottom"/>
          </w:tcPr>
          <w:p w14:paraId="0B558460" w14:textId="77777777" w:rsidR="008E2555" w:rsidRPr="00C677AC" w:rsidRDefault="008E2555" w:rsidP="0098059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Variables Removed</w:t>
            </w:r>
          </w:p>
        </w:tc>
        <w:tc>
          <w:tcPr>
            <w:tcW w:w="1967" w:type="dxa"/>
            <w:tcBorders>
              <w:top w:val="nil"/>
              <w:left w:val="single" w:sz="8" w:space="0" w:color="E0E0E0"/>
              <w:bottom w:val="single" w:sz="8" w:space="0" w:color="152935"/>
              <w:right w:val="nil"/>
            </w:tcBorders>
            <w:shd w:val="clear" w:color="auto" w:fill="FFFFFF"/>
            <w:vAlign w:val="bottom"/>
          </w:tcPr>
          <w:p w14:paraId="6AC3FCC9" w14:textId="77777777" w:rsidR="008E2555" w:rsidRPr="00C677AC" w:rsidRDefault="008E2555" w:rsidP="0098059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Method</w:t>
            </w:r>
          </w:p>
        </w:tc>
      </w:tr>
      <w:tr w:rsidR="008E2555" w:rsidRPr="00C677AC" w14:paraId="747D0ED1" w14:textId="77777777" w:rsidTr="008E2555">
        <w:trPr>
          <w:cantSplit/>
          <w:trHeight w:val="380"/>
          <w:jc w:val="center"/>
        </w:trPr>
        <w:tc>
          <w:tcPr>
            <w:tcW w:w="1521" w:type="dxa"/>
            <w:tcBorders>
              <w:top w:val="single" w:sz="8" w:space="0" w:color="152935"/>
              <w:left w:val="nil"/>
              <w:bottom w:val="single" w:sz="8" w:space="0" w:color="152935"/>
              <w:right w:val="nil"/>
            </w:tcBorders>
            <w:shd w:val="clear" w:color="auto" w:fill="E0E0E0"/>
          </w:tcPr>
          <w:p w14:paraId="68C24153" w14:textId="77777777" w:rsidR="008E2555" w:rsidRPr="00C677AC" w:rsidRDefault="008E2555" w:rsidP="0098059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2810" w:type="dxa"/>
            <w:tcBorders>
              <w:top w:val="single" w:sz="8" w:space="0" w:color="152935"/>
              <w:left w:val="nil"/>
              <w:bottom w:val="single" w:sz="8" w:space="0" w:color="152935"/>
              <w:right w:val="single" w:sz="8" w:space="0" w:color="E0E0E0"/>
            </w:tcBorders>
            <w:shd w:val="clear" w:color="auto" w:fill="FFFFFF"/>
          </w:tcPr>
          <w:p w14:paraId="7F510AA7" w14:textId="7C633A56" w:rsidR="008E2555" w:rsidRPr="00C677AC" w:rsidRDefault="000D345F" w:rsidP="00980597">
            <w:pPr>
              <w:autoSpaceDE w:val="0"/>
              <w:autoSpaceDN w:val="0"/>
              <w:adjustRightInd w:val="0"/>
              <w:spacing w:after="0" w:line="240" w:lineRule="auto"/>
              <w:ind w:left="60" w:right="60"/>
              <w:rPr>
                <w:rFonts w:ascii="Arial" w:hAnsi="Arial" w:cs="Arial"/>
                <w:color w:val="010205"/>
                <w:sz w:val="18"/>
                <w:szCs w:val="18"/>
                <w:lang w:val="ro-RO"/>
              </w:rPr>
            </w:pPr>
            <w:r w:rsidRPr="000D345F">
              <w:rPr>
                <w:rFonts w:ascii="Arial" w:hAnsi="Arial" w:cs="Arial"/>
                <w:color w:val="010205"/>
                <w:sz w:val="18"/>
                <w:szCs w:val="18"/>
                <w:lang w:val="ro-RO"/>
              </w:rPr>
              <w:t>U, EG, I</w:t>
            </w:r>
            <w:r w:rsidR="008E2555" w:rsidRPr="00C677AC">
              <w:rPr>
                <w:rFonts w:ascii="Arial" w:hAnsi="Arial" w:cs="Arial"/>
                <w:color w:val="010205"/>
                <w:sz w:val="18"/>
                <w:szCs w:val="18"/>
                <w:vertAlign w:val="superscript"/>
                <w:lang w:val="ro-RO"/>
              </w:rPr>
              <w:t>b</w:t>
            </w:r>
          </w:p>
        </w:tc>
        <w:tc>
          <w:tcPr>
            <w:tcW w:w="2810" w:type="dxa"/>
            <w:tcBorders>
              <w:top w:val="single" w:sz="8" w:space="0" w:color="152935"/>
              <w:left w:val="single" w:sz="8" w:space="0" w:color="E0E0E0"/>
              <w:bottom w:val="single" w:sz="8" w:space="0" w:color="152935"/>
              <w:right w:val="single" w:sz="8" w:space="0" w:color="E0E0E0"/>
            </w:tcBorders>
            <w:shd w:val="clear" w:color="auto" w:fill="FFFFFF"/>
          </w:tcPr>
          <w:p w14:paraId="6312B262" w14:textId="77777777" w:rsidR="008E2555" w:rsidRPr="00C677AC" w:rsidRDefault="008E2555" w:rsidP="00980597">
            <w:pPr>
              <w:autoSpaceDE w:val="0"/>
              <w:autoSpaceDN w:val="0"/>
              <w:adjustRightInd w:val="0"/>
              <w:spacing w:after="0" w:line="240" w:lineRule="auto"/>
              <w:ind w:left="60" w:right="60"/>
              <w:jc w:val="right"/>
              <w:rPr>
                <w:rFonts w:ascii="Arial" w:hAnsi="Arial" w:cs="Arial"/>
                <w:color w:val="010205"/>
                <w:sz w:val="18"/>
                <w:szCs w:val="18"/>
                <w:lang w:val="ro-RO"/>
              </w:rPr>
            </w:pPr>
            <w:r w:rsidRPr="00C677AC">
              <w:rPr>
                <w:rFonts w:ascii="Arial" w:hAnsi="Arial" w:cs="Arial"/>
                <w:color w:val="010205"/>
                <w:sz w:val="18"/>
                <w:szCs w:val="18"/>
                <w:lang w:val="ro-RO"/>
              </w:rPr>
              <w:t>.</w:t>
            </w:r>
          </w:p>
        </w:tc>
        <w:tc>
          <w:tcPr>
            <w:tcW w:w="1967" w:type="dxa"/>
            <w:tcBorders>
              <w:top w:val="single" w:sz="8" w:space="0" w:color="152935"/>
              <w:left w:val="single" w:sz="8" w:space="0" w:color="E0E0E0"/>
              <w:bottom w:val="single" w:sz="8" w:space="0" w:color="152935"/>
              <w:right w:val="nil"/>
            </w:tcBorders>
            <w:shd w:val="clear" w:color="auto" w:fill="FFFFFF"/>
          </w:tcPr>
          <w:p w14:paraId="5F525468" w14:textId="77777777" w:rsidR="008E2555" w:rsidRPr="00C677AC" w:rsidRDefault="008E2555" w:rsidP="0098059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Enter</w:t>
            </w:r>
          </w:p>
        </w:tc>
      </w:tr>
      <w:tr w:rsidR="008E2555" w:rsidRPr="00C677AC" w14:paraId="48455E19" w14:textId="77777777" w:rsidTr="008E2555">
        <w:trPr>
          <w:cantSplit/>
          <w:trHeight w:val="186"/>
          <w:jc w:val="center"/>
        </w:trPr>
        <w:tc>
          <w:tcPr>
            <w:tcW w:w="9108" w:type="dxa"/>
            <w:gridSpan w:val="4"/>
            <w:tcBorders>
              <w:top w:val="nil"/>
              <w:left w:val="nil"/>
              <w:bottom w:val="nil"/>
              <w:right w:val="nil"/>
            </w:tcBorders>
            <w:shd w:val="clear" w:color="auto" w:fill="FFFFFF"/>
          </w:tcPr>
          <w:p w14:paraId="7CAE5D7C" w14:textId="6006F735" w:rsidR="008E2555" w:rsidRPr="00C677AC" w:rsidRDefault="008E2555" w:rsidP="0098059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sidR="000D345F">
              <w:rPr>
                <w:rFonts w:ascii="Arial" w:hAnsi="Arial" w:cs="Arial"/>
                <w:color w:val="010205"/>
                <w:sz w:val="18"/>
                <w:szCs w:val="18"/>
                <w:lang w:val="ro-RO"/>
              </w:rPr>
              <w:t>BI</w:t>
            </w:r>
          </w:p>
        </w:tc>
      </w:tr>
      <w:tr w:rsidR="008E2555" w:rsidRPr="00C677AC" w14:paraId="0016D938" w14:textId="77777777" w:rsidTr="008E2555">
        <w:trPr>
          <w:cantSplit/>
          <w:trHeight w:val="192"/>
          <w:jc w:val="center"/>
        </w:trPr>
        <w:tc>
          <w:tcPr>
            <w:tcW w:w="9108" w:type="dxa"/>
            <w:gridSpan w:val="4"/>
            <w:tcBorders>
              <w:top w:val="nil"/>
              <w:left w:val="nil"/>
              <w:bottom w:val="nil"/>
              <w:right w:val="nil"/>
            </w:tcBorders>
            <w:shd w:val="clear" w:color="auto" w:fill="FFFFFF"/>
          </w:tcPr>
          <w:p w14:paraId="2837CF42" w14:textId="77777777" w:rsidR="008E2555" w:rsidRPr="00C677AC" w:rsidRDefault="008E2555" w:rsidP="0098059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b. All requested variables entered.</w:t>
            </w:r>
          </w:p>
        </w:tc>
      </w:tr>
    </w:tbl>
    <w:p w14:paraId="5FD45BDD" w14:textId="77777777" w:rsidR="000D345F" w:rsidRPr="008201DB" w:rsidRDefault="000D345F" w:rsidP="000D345F">
      <w:pPr>
        <w:autoSpaceDE w:val="0"/>
        <w:autoSpaceDN w:val="0"/>
        <w:adjustRightInd w:val="0"/>
        <w:spacing w:before="240" w:line="240" w:lineRule="auto"/>
        <w:jc w:val="center"/>
        <w:rPr>
          <w:rFonts w:ascii="Times New Roman" w:hAnsi="Times New Roman" w:cs="Times New Roman"/>
          <w:sz w:val="20"/>
          <w:szCs w:val="20"/>
          <w:lang w:val="fr-FR"/>
        </w:rPr>
      </w:pPr>
      <w:proofErr w:type="spellStart"/>
      <w:r w:rsidRPr="008201DB">
        <w:rPr>
          <w:rFonts w:ascii="Times New Roman" w:hAnsi="Times New Roman" w:cs="Times New Roman"/>
          <w:sz w:val="20"/>
          <w:szCs w:val="20"/>
          <w:lang w:val="fr-FR"/>
        </w:rPr>
        <w:t>Sursa</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Prelucrare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proprie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în</w:t>
      </w:r>
      <w:proofErr w:type="spellEnd"/>
      <w:r w:rsidRPr="008201DB">
        <w:rPr>
          <w:rFonts w:ascii="Times New Roman" w:hAnsi="Times New Roman" w:cs="Times New Roman"/>
          <w:sz w:val="20"/>
          <w:szCs w:val="20"/>
          <w:lang w:val="fr-FR"/>
        </w:rPr>
        <w:t xml:space="preserve"> SPSS 26</w:t>
      </w:r>
    </w:p>
    <w:p w14:paraId="2AC5543B" w14:textId="3BBB91B2" w:rsidR="00EF40E9" w:rsidRPr="00C677AC" w:rsidRDefault="000D345F" w:rsidP="00F549F7">
      <w:pPr>
        <w:autoSpaceDE w:val="0"/>
        <w:autoSpaceDN w:val="0"/>
        <w:adjustRightInd w:val="0"/>
        <w:spacing w:line="240" w:lineRule="auto"/>
        <w:ind w:firstLine="708"/>
        <w:jc w:val="both"/>
        <w:rPr>
          <w:rFonts w:ascii="Times New Roman" w:hAnsi="Times New Roman" w:cs="Times New Roman"/>
          <w:b/>
          <w:bCs/>
          <w:sz w:val="24"/>
          <w:szCs w:val="24"/>
          <w:lang w:val="ro-RO"/>
        </w:rPr>
      </w:pPr>
      <w:r>
        <w:rPr>
          <w:rFonts w:ascii="Times New Roman" w:hAnsi="Times New Roman" w:cs="Times New Roman"/>
          <w:sz w:val="24"/>
          <w:szCs w:val="24"/>
          <w:lang w:val="ro-RO"/>
        </w:rPr>
        <w:t>In urma prelucrării datelor am obținut matricea corelațiilor în vederea construirii modelului econometric pe baza celor 4 variabile incluse în analiza. Tabelul nr. 3 prezintă valorile sub formă matriceală pentru variabilele analizate.</w:t>
      </w:r>
    </w:p>
    <w:p w14:paraId="5C4FAD51" w14:textId="2527AC6B" w:rsidR="002E6846" w:rsidRPr="000D345F" w:rsidRDefault="002E6846" w:rsidP="000D345F">
      <w:pPr>
        <w:autoSpaceDE w:val="0"/>
        <w:autoSpaceDN w:val="0"/>
        <w:adjustRightInd w:val="0"/>
        <w:spacing w:line="240" w:lineRule="auto"/>
        <w:jc w:val="center"/>
        <w:rPr>
          <w:rFonts w:ascii="Times New Roman" w:hAnsi="Times New Roman" w:cs="Times New Roman"/>
          <w:sz w:val="20"/>
          <w:szCs w:val="20"/>
          <w:lang w:val="ro-RO"/>
        </w:rPr>
      </w:pPr>
      <w:r w:rsidRPr="000D345F">
        <w:rPr>
          <w:rFonts w:ascii="Times New Roman" w:hAnsi="Times New Roman" w:cs="Times New Roman"/>
          <w:sz w:val="20"/>
          <w:szCs w:val="20"/>
          <w:lang w:val="ro-RO"/>
        </w:rPr>
        <w:t>Tab</w:t>
      </w:r>
      <w:r w:rsidR="002C2900">
        <w:rPr>
          <w:rFonts w:ascii="Times New Roman" w:hAnsi="Times New Roman" w:cs="Times New Roman"/>
          <w:sz w:val="20"/>
          <w:szCs w:val="20"/>
          <w:lang w:val="ro-RO"/>
        </w:rPr>
        <w:t>e</w:t>
      </w:r>
      <w:r w:rsidRPr="000D345F">
        <w:rPr>
          <w:rFonts w:ascii="Times New Roman" w:hAnsi="Times New Roman" w:cs="Times New Roman"/>
          <w:sz w:val="20"/>
          <w:szCs w:val="20"/>
          <w:lang w:val="ro-RO"/>
        </w:rPr>
        <w:t>l</w:t>
      </w:r>
      <w:r w:rsidR="00E406BC">
        <w:rPr>
          <w:rFonts w:ascii="Times New Roman" w:hAnsi="Times New Roman" w:cs="Times New Roman"/>
          <w:sz w:val="20"/>
          <w:szCs w:val="20"/>
          <w:lang w:val="ro-RO"/>
        </w:rPr>
        <w:t>ul</w:t>
      </w:r>
      <w:r w:rsidRPr="000D345F">
        <w:rPr>
          <w:rFonts w:ascii="Times New Roman" w:hAnsi="Times New Roman" w:cs="Times New Roman"/>
          <w:sz w:val="20"/>
          <w:szCs w:val="20"/>
          <w:lang w:val="ro-RO"/>
        </w:rPr>
        <w:t xml:space="preserve"> n</w:t>
      </w:r>
      <w:r w:rsidR="002C2900">
        <w:rPr>
          <w:rFonts w:ascii="Times New Roman" w:hAnsi="Times New Roman" w:cs="Times New Roman"/>
          <w:sz w:val="20"/>
          <w:szCs w:val="20"/>
          <w:lang w:val="ro-RO"/>
        </w:rPr>
        <w:t>r.</w:t>
      </w:r>
      <w:r w:rsidRPr="000D345F">
        <w:rPr>
          <w:rFonts w:ascii="Times New Roman" w:hAnsi="Times New Roman" w:cs="Times New Roman"/>
          <w:sz w:val="20"/>
          <w:szCs w:val="20"/>
          <w:lang w:val="ro-RO"/>
        </w:rPr>
        <w:t xml:space="preserve"> 3 – </w:t>
      </w:r>
      <w:r w:rsidR="000D345F" w:rsidRPr="000D345F">
        <w:rPr>
          <w:rFonts w:ascii="Times New Roman" w:hAnsi="Times New Roman" w:cs="Times New Roman"/>
          <w:sz w:val="20"/>
          <w:szCs w:val="20"/>
          <w:lang w:val="ro-RO"/>
        </w:rPr>
        <w:t>Matricea de corelație</w:t>
      </w:r>
    </w:p>
    <w:tbl>
      <w:tblPr>
        <w:tblW w:w="72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7"/>
        <w:gridCol w:w="781"/>
        <w:gridCol w:w="1090"/>
        <w:gridCol w:w="1090"/>
        <w:gridCol w:w="1090"/>
        <w:gridCol w:w="1096"/>
      </w:tblGrid>
      <w:tr w:rsidR="000D345F" w:rsidRPr="00C677AC" w14:paraId="4489FC84" w14:textId="77777777" w:rsidTr="008E2555">
        <w:trPr>
          <w:cantSplit/>
          <w:trHeight w:val="285"/>
          <w:jc w:val="center"/>
        </w:trPr>
        <w:tc>
          <w:tcPr>
            <w:tcW w:w="2898" w:type="dxa"/>
            <w:gridSpan w:val="2"/>
            <w:tcBorders>
              <w:top w:val="nil"/>
              <w:left w:val="nil"/>
              <w:bottom w:val="single" w:sz="8" w:space="0" w:color="152935"/>
              <w:right w:val="nil"/>
            </w:tcBorders>
            <w:shd w:val="clear" w:color="auto" w:fill="FFFFFF"/>
            <w:vAlign w:val="bottom"/>
          </w:tcPr>
          <w:p w14:paraId="2546FA63" w14:textId="77777777" w:rsidR="000D345F" w:rsidRPr="00C677AC" w:rsidRDefault="000D345F" w:rsidP="000D345F">
            <w:pPr>
              <w:autoSpaceDE w:val="0"/>
              <w:autoSpaceDN w:val="0"/>
              <w:adjustRightInd w:val="0"/>
              <w:spacing w:after="0" w:line="240" w:lineRule="auto"/>
              <w:rPr>
                <w:rFonts w:ascii="Times New Roman" w:hAnsi="Times New Roman" w:cs="Times New Roman"/>
                <w:sz w:val="20"/>
                <w:szCs w:val="20"/>
                <w:lang w:val="ro-RO"/>
              </w:rPr>
            </w:pPr>
          </w:p>
        </w:tc>
        <w:tc>
          <w:tcPr>
            <w:tcW w:w="1090" w:type="dxa"/>
            <w:tcBorders>
              <w:top w:val="nil"/>
              <w:left w:val="nil"/>
              <w:bottom w:val="single" w:sz="8" w:space="0" w:color="152935"/>
              <w:right w:val="single" w:sz="8" w:space="0" w:color="E0E0E0"/>
            </w:tcBorders>
            <w:shd w:val="clear" w:color="auto" w:fill="FFFFFF"/>
            <w:vAlign w:val="bottom"/>
          </w:tcPr>
          <w:p w14:paraId="2F007524" w14:textId="18F312B6"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nil"/>
              <w:left w:val="single" w:sz="8" w:space="0" w:color="E0E0E0"/>
              <w:bottom w:val="single" w:sz="8" w:space="0" w:color="152935"/>
              <w:right w:val="single" w:sz="8" w:space="0" w:color="E0E0E0"/>
            </w:tcBorders>
            <w:shd w:val="clear" w:color="auto" w:fill="FFFFFF"/>
            <w:vAlign w:val="bottom"/>
          </w:tcPr>
          <w:p w14:paraId="3F9AC35D" w14:textId="641AC959"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nil"/>
              <w:left w:val="single" w:sz="8" w:space="0" w:color="E0E0E0"/>
              <w:bottom w:val="single" w:sz="8" w:space="0" w:color="152935"/>
              <w:right w:val="single" w:sz="8" w:space="0" w:color="E0E0E0"/>
            </w:tcBorders>
            <w:shd w:val="clear" w:color="auto" w:fill="FFFFFF"/>
            <w:vAlign w:val="bottom"/>
          </w:tcPr>
          <w:p w14:paraId="2F45A618" w14:textId="32C0E9FF"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I</w:t>
            </w:r>
          </w:p>
        </w:tc>
        <w:tc>
          <w:tcPr>
            <w:tcW w:w="1096" w:type="dxa"/>
            <w:tcBorders>
              <w:top w:val="nil"/>
              <w:left w:val="single" w:sz="8" w:space="0" w:color="E0E0E0"/>
              <w:bottom w:val="single" w:sz="8" w:space="0" w:color="152935"/>
              <w:right w:val="nil"/>
            </w:tcBorders>
            <w:shd w:val="clear" w:color="auto" w:fill="FFFFFF"/>
            <w:vAlign w:val="bottom"/>
          </w:tcPr>
          <w:p w14:paraId="1E01C25C" w14:textId="29660A96"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U</w:t>
            </w:r>
          </w:p>
        </w:tc>
      </w:tr>
      <w:tr w:rsidR="000D345F" w:rsidRPr="00C677AC" w14:paraId="530A1181" w14:textId="77777777" w:rsidTr="008E2555">
        <w:trPr>
          <w:cantSplit/>
          <w:trHeight w:val="296"/>
          <w:jc w:val="center"/>
        </w:trPr>
        <w:tc>
          <w:tcPr>
            <w:tcW w:w="2117" w:type="dxa"/>
            <w:vMerge w:val="restart"/>
            <w:tcBorders>
              <w:top w:val="single" w:sz="8" w:space="0" w:color="152935"/>
              <w:left w:val="nil"/>
              <w:bottom w:val="nil"/>
              <w:right w:val="nil"/>
            </w:tcBorders>
            <w:shd w:val="clear" w:color="auto" w:fill="E0E0E0"/>
          </w:tcPr>
          <w:p w14:paraId="7CA93D86" w14:textId="7777777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sidRPr="00C677AC">
              <w:rPr>
                <w:rFonts w:ascii="Times New Roman" w:hAnsi="Times New Roman" w:cs="Times New Roman"/>
                <w:color w:val="264A60"/>
                <w:sz w:val="20"/>
                <w:szCs w:val="20"/>
                <w:lang w:val="ro-RO"/>
              </w:rPr>
              <w:t>Pearson Correlation</w:t>
            </w:r>
          </w:p>
        </w:tc>
        <w:tc>
          <w:tcPr>
            <w:tcW w:w="781" w:type="dxa"/>
            <w:tcBorders>
              <w:top w:val="single" w:sz="8" w:space="0" w:color="152935"/>
              <w:left w:val="nil"/>
              <w:bottom w:val="single" w:sz="8" w:space="0" w:color="AEAEAE"/>
              <w:right w:val="nil"/>
            </w:tcBorders>
            <w:shd w:val="clear" w:color="auto" w:fill="E0E0E0"/>
          </w:tcPr>
          <w:p w14:paraId="03AA3B43" w14:textId="4E6FA61B"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single" w:sz="8" w:space="0" w:color="152935"/>
              <w:left w:val="nil"/>
              <w:bottom w:val="single" w:sz="8" w:space="0" w:color="AEAEAE"/>
              <w:right w:val="single" w:sz="8" w:space="0" w:color="E0E0E0"/>
            </w:tcBorders>
            <w:shd w:val="clear" w:color="auto" w:fill="FFFFFF"/>
          </w:tcPr>
          <w:p w14:paraId="34B03D4D" w14:textId="2DEE346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c>
          <w:tcPr>
            <w:tcW w:w="1090" w:type="dxa"/>
            <w:tcBorders>
              <w:top w:val="single" w:sz="8" w:space="0" w:color="152935"/>
              <w:left w:val="single" w:sz="8" w:space="0" w:color="E0E0E0"/>
              <w:bottom w:val="single" w:sz="8" w:space="0" w:color="AEAEAE"/>
              <w:right w:val="single" w:sz="8" w:space="0" w:color="E0E0E0"/>
            </w:tcBorders>
            <w:shd w:val="clear" w:color="auto" w:fill="FFFFFF"/>
          </w:tcPr>
          <w:p w14:paraId="682C8325" w14:textId="0D1AA2C1"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0.464</w:t>
            </w:r>
          </w:p>
        </w:tc>
        <w:tc>
          <w:tcPr>
            <w:tcW w:w="1090" w:type="dxa"/>
            <w:tcBorders>
              <w:top w:val="single" w:sz="8" w:space="0" w:color="152935"/>
              <w:left w:val="single" w:sz="8" w:space="0" w:color="E0E0E0"/>
              <w:bottom w:val="single" w:sz="8" w:space="0" w:color="AEAEAE"/>
              <w:right w:val="single" w:sz="8" w:space="0" w:color="E0E0E0"/>
            </w:tcBorders>
            <w:shd w:val="clear" w:color="auto" w:fill="FFFFFF"/>
          </w:tcPr>
          <w:p w14:paraId="0EB009EC" w14:textId="7759D34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0.763</w:t>
            </w:r>
          </w:p>
        </w:tc>
        <w:tc>
          <w:tcPr>
            <w:tcW w:w="1096" w:type="dxa"/>
            <w:tcBorders>
              <w:top w:val="single" w:sz="8" w:space="0" w:color="152935"/>
              <w:left w:val="single" w:sz="8" w:space="0" w:color="E0E0E0"/>
              <w:bottom w:val="single" w:sz="8" w:space="0" w:color="AEAEAE"/>
              <w:right w:val="nil"/>
            </w:tcBorders>
            <w:shd w:val="clear" w:color="auto" w:fill="FFFFFF"/>
          </w:tcPr>
          <w:p w14:paraId="1279504B" w14:textId="7DEC113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-0.759</w:t>
            </w:r>
          </w:p>
        </w:tc>
      </w:tr>
      <w:tr w:rsidR="000D345F" w:rsidRPr="00C677AC" w14:paraId="59790C3F" w14:textId="77777777" w:rsidTr="008E2555">
        <w:trPr>
          <w:cantSplit/>
          <w:trHeight w:val="131"/>
          <w:jc w:val="center"/>
        </w:trPr>
        <w:tc>
          <w:tcPr>
            <w:tcW w:w="2117" w:type="dxa"/>
            <w:vMerge/>
            <w:tcBorders>
              <w:top w:val="single" w:sz="8" w:space="0" w:color="152935"/>
              <w:left w:val="nil"/>
              <w:bottom w:val="nil"/>
              <w:right w:val="nil"/>
            </w:tcBorders>
            <w:shd w:val="clear" w:color="auto" w:fill="E0E0E0"/>
          </w:tcPr>
          <w:p w14:paraId="444E6DE9"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0FDB5AA4" w14:textId="5304D05E"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single" w:sz="8" w:space="0" w:color="AEAEAE"/>
              <w:left w:val="nil"/>
              <w:bottom w:val="single" w:sz="8" w:space="0" w:color="AEAEAE"/>
              <w:right w:val="single" w:sz="8" w:space="0" w:color="E0E0E0"/>
            </w:tcBorders>
            <w:shd w:val="clear" w:color="auto" w:fill="FFFFFF"/>
          </w:tcPr>
          <w:p w14:paraId="6D30F4A1" w14:textId="1926753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0.464</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0A25C764" w14:textId="2AC5CA50"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65F0764" w14:textId="6FEEBB0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0.230</w:t>
            </w:r>
          </w:p>
        </w:tc>
        <w:tc>
          <w:tcPr>
            <w:tcW w:w="1096" w:type="dxa"/>
            <w:tcBorders>
              <w:top w:val="single" w:sz="8" w:space="0" w:color="AEAEAE"/>
              <w:left w:val="single" w:sz="8" w:space="0" w:color="E0E0E0"/>
              <w:bottom w:val="single" w:sz="8" w:space="0" w:color="AEAEAE"/>
              <w:right w:val="nil"/>
            </w:tcBorders>
            <w:shd w:val="clear" w:color="auto" w:fill="FFFFFF"/>
          </w:tcPr>
          <w:p w14:paraId="66AB6CC7" w14:textId="590E2B0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0.079</w:t>
            </w:r>
          </w:p>
        </w:tc>
      </w:tr>
      <w:tr w:rsidR="000D345F" w:rsidRPr="00C677AC" w14:paraId="57014B21" w14:textId="77777777" w:rsidTr="008E2555">
        <w:trPr>
          <w:cantSplit/>
          <w:trHeight w:val="131"/>
          <w:jc w:val="center"/>
        </w:trPr>
        <w:tc>
          <w:tcPr>
            <w:tcW w:w="2117" w:type="dxa"/>
            <w:vMerge/>
            <w:tcBorders>
              <w:top w:val="single" w:sz="8" w:space="0" w:color="152935"/>
              <w:left w:val="nil"/>
              <w:bottom w:val="nil"/>
              <w:right w:val="nil"/>
            </w:tcBorders>
            <w:shd w:val="clear" w:color="auto" w:fill="E0E0E0"/>
          </w:tcPr>
          <w:p w14:paraId="13D7B3B1"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551548DE" w14:textId="61484D82"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I</w:t>
            </w:r>
          </w:p>
        </w:tc>
        <w:tc>
          <w:tcPr>
            <w:tcW w:w="1090" w:type="dxa"/>
            <w:tcBorders>
              <w:top w:val="single" w:sz="8" w:space="0" w:color="AEAEAE"/>
              <w:left w:val="nil"/>
              <w:bottom w:val="single" w:sz="8" w:space="0" w:color="AEAEAE"/>
              <w:right w:val="single" w:sz="8" w:space="0" w:color="E0E0E0"/>
            </w:tcBorders>
            <w:shd w:val="clear" w:color="auto" w:fill="FFFFFF"/>
          </w:tcPr>
          <w:p w14:paraId="2C995600" w14:textId="72455F2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0.763</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11850051" w14:textId="03A2B04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0.230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669CD63" w14:textId="5D488BFA"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c>
          <w:tcPr>
            <w:tcW w:w="1096" w:type="dxa"/>
            <w:tcBorders>
              <w:top w:val="single" w:sz="8" w:space="0" w:color="AEAEAE"/>
              <w:left w:val="single" w:sz="8" w:space="0" w:color="E0E0E0"/>
              <w:bottom w:val="single" w:sz="8" w:space="0" w:color="AEAEAE"/>
              <w:right w:val="nil"/>
            </w:tcBorders>
            <w:shd w:val="clear" w:color="auto" w:fill="FFFFFF"/>
          </w:tcPr>
          <w:p w14:paraId="13F91E04" w14:textId="775FA6D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-0.712</w:t>
            </w:r>
          </w:p>
        </w:tc>
      </w:tr>
      <w:tr w:rsidR="000D345F" w:rsidRPr="00C677AC" w14:paraId="2587FB18" w14:textId="77777777" w:rsidTr="008E2555">
        <w:trPr>
          <w:cantSplit/>
          <w:trHeight w:val="131"/>
          <w:jc w:val="center"/>
        </w:trPr>
        <w:tc>
          <w:tcPr>
            <w:tcW w:w="2117" w:type="dxa"/>
            <w:vMerge/>
            <w:tcBorders>
              <w:top w:val="single" w:sz="8" w:space="0" w:color="152935"/>
              <w:left w:val="nil"/>
              <w:bottom w:val="nil"/>
              <w:right w:val="nil"/>
            </w:tcBorders>
            <w:shd w:val="clear" w:color="auto" w:fill="E0E0E0"/>
          </w:tcPr>
          <w:p w14:paraId="67AC1C5C"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nil"/>
              <w:right w:val="nil"/>
            </w:tcBorders>
            <w:shd w:val="clear" w:color="auto" w:fill="E0E0E0"/>
          </w:tcPr>
          <w:p w14:paraId="50C8DA6D" w14:textId="7CB57E0B"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U</w:t>
            </w:r>
          </w:p>
        </w:tc>
        <w:tc>
          <w:tcPr>
            <w:tcW w:w="1090" w:type="dxa"/>
            <w:tcBorders>
              <w:top w:val="single" w:sz="8" w:space="0" w:color="AEAEAE"/>
              <w:left w:val="nil"/>
              <w:bottom w:val="nil"/>
              <w:right w:val="single" w:sz="8" w:space="0" w:color="E0E0E0"/>
            </w:tcBorders>
            <w:shd w:val="clear" w:color="auto" w:fill="FFFFFF"/>
          </w:tcPr>
          <w:p w14:paraId="44705BBE" w14:textId="0343FD0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-0.759</w:t>
            </w:r>
          </w:p>
        </w:tc>
        <w:tc>
          <w:tcPr>
            <w:tcW w:w="1090" w:type="dxa"/>
            <w:tcBorders>
              <w:top w:val="single" w:sz="8" w:space="0" w:color="AEAEAE"/>
              <w:left w:val="single" w:sz="8" w:space="0" w:color="E0E0E0"/>
              <w:bottom w:val="nil"/>
              <w:right w:val="single" w:sz="8" w:space="0" w:color="E0E0E0"/>
            </w:tcBorders>
            <w:shd w:val="clear" w:color="auto" w:fill="FFFFFF"/>
          </w:tcPr>
          <w:p w14:paraId="257C6131" w14:textId="77BDE6C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0.079</w:t>
            </w:r>
          </w:p>
        </w:tc>
        <w:tc>
          <w:tcPr>
            <w:tcW w:w="1090" w:type="dxa"/>
            <w:tcBorders>
              <w:top w:val="single" w:sz="8" w:space="0" w:color="AEAEAE"/>
              <w:left w:val="single" w:sz="8" w:space="0" w:color="E0E0E0"/>
              <w:bottom w:val="nil"/>
              <w:right w:val="single" w:sz="8" w:space="0" w:color="E0E0E0"/>
            </w:tcBorders>
            <w:shd w:val="clear" w:color="auto" w:fill="FFFFFF"/>
          </w:tcPr>
          <w:p w14:paraId="2FA94E1F" w14:textId="44355B2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-0.712</w:t>
            </w:r>
          </w:p>
        </w:tc>
        <w:tc>
          <w:tcPr>
            <w:tcW w:w="1096" w:type="dxa"/>
            <w:tcBorders>
              <w:top w:val="single" w:sz="8" w:space="0" w:color="AEAEAE"/>
              <w:left w:val="single" w:sz="8" w:space="0" w:color="E0E0E0"/>
              <w:bottom w:val="nil"/>
              <w:right w:val="nil"/>
            </w:tcBorders>
            <w:shd w:val="clear" w:color="auto" w:fill="FFFFFF"/>
          </w:tcPr>
          <w:p w14:paraId="0D26D361" w14:textId="0D6E65E1"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r>
      <w:tr w:rsidR="000D345F" w:rsidRPr="00C677AC" w14:paraId="0CE33C00" w14:textId="77777777" w:rsidTr="008E2555">
        <w:trPr>
          <w:cantSplit/>
          <w:trHeight w:val="285"/>
          <w:jc w:val="center"/>
        </w:trPr>
        <w:tc>
          <w:tcPr>
            <w:tcW w:w="2117" w:type="dxa"/>
            <w:vMerge w:val="restart"/>
            <w:tcBorders>
              <w:top w:val="single" w:sz="8" w:space="0" w:color="AEAEAE"/>
              <w:left w:val="nil"/>
              <w:bottom w:val="nil"/>
              <w:right w:val="nil"/>
            </w:tcBorders>
            <w:shd w:val="clear" w:color="auto" w:fill="E0E0E0"/>
          </w:tcPr>
          <w:p w14:paraId="6CB88CCD" w14:textId="7777777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sidRPr="00C677AC">
              <w:rPr>
                <w:rFonts w:ascii="Times New Roman" w:hAnsi="Times New Roman" w:cs="Times New Roman"/>
                <w:color w:val="264A60"/>
                <w:sz w:val="20"/>
                <w:szCs w:val="20"/>
                <w:lang w:val="ro-RO"/>
              </w:rPr>
              <w:t>Sig. (1-tailed)</w:t>
            </w:r>
          </w:p>
        </w:tc>
        <w:tc>
          <w:tcPr>
            <w:tcW w:w="781" w:type="dxa"/>
            <w:tcBorders>
              <w:top w:val="single" w:sz="8" w:space="0" w:color="AEAEAE"/>
              <w:left w:val="nil"/>
              <w:bottom w:val="single" w:sz="8" w:space="0" w:color="AEAEAE"/>
              <w:right w:val="nil"/>
            </w:tcBorders>
            <w:shd w:val="clear" w:color="auto" w:fill="E0E0E0"/>
          </w:tcPr>
          <w:p w14:paraId="7EFE8071" w14:textId="084B5E5D"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single" w:sz="8" w:space="0" w:color="AEAEAE"/>
              <w:left w:val="nil"/>
              <w:bottom w:val="single" w:sz="8" w:space="0" w:color="AEAEAE"/>
              <w:right w:val="single" w:sz="8" w:space="0" w:color="E0E0E0"/>
            </w:tcBorders>
            <w:shd w:val="clear" w:color="auto" w:fill="FFFFFF"/>
          </w:tcPr>
          <w:p w14:paraId="04926584" w14:textId="4449303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F4D332B" w14:textId="098AF070"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0.104</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4FB0FDFE" w14:textId="77C7E9CC"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0.008</w:t>
            </w:r>
          </w:p>
        </w:tc>
        <w:tc>
          <w:tcPr>
            <w:tcW w:w="1096" w:type="dxa"/>
            <w:tcBorders>
              <w:top w:val="single" w:sz="8" w:space="0" w:color="AEAEAE"/>
              <w:left w:val="single" w:sz="8" w:space="0" w:color="E0E0E0"/>
              <w:bottom w:val="single" w:sz="8" w:space="0" w:color="AEAEAE"/>
              <w:right w:val="nil"/>
            </w:tcBorders>
            <w:shd w:val="clear" w:color="auto" w:fill="FFFFFF"/>
          </w:tcPr>
          <w:p w14:paraId="540CDF66" w14:textId="683E104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0.009</w:t>
            </w:r>
          </w:p>
        </w:tc>
      </w:tr>
      <w:tr w:rsidR="000D345F" w:rsidRPr="00C677AC" w14:paraId="232088C9" w14:textId="77777777" w:rsidTr="008E2555">
        <w:trPr>
          <w:cantSplit/>
          <w:trHeight w:val="131"/>
          <w:jc w:val="center"/>
        </w:trPr>
        <w:tc>
          <w:tcPr>
            <w:tcW w:w="2117" w:type="dxa"/>
            <w:vMerge/>
            <w:tcBorders>
              <w:top w:val="single" w:sz="8" w:space="0" w:color="AEAEAE"/>
              <w:left w:val="nil"/>
              <w:bottom w:val="nil"/>
              <w:right w:val="nil"/>
            </w:tcBorders>
            <w:shd w:val="clear" w:color="auto" w:fill="E0E0E0"/>
          </w:tcPr>
          <w:p w14:paraId="04818DB7"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7926646B" w14:textId="2F63D9B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single" w:sz="8" w:space="0" w:color="AEAEAE"/>
              <w:left w:val="nil"/>
              <w:bottom w:val="single" w:sz="8" w:space="0" w:color="AEAEAE"/>
              <w:right w:val="single" w:sz="8" w:space="0" w:color="E0E0E0"/>
            </w:tcBorders>
            <w:shd w:val="clear" w:color="auto" w:fill="FFFFFF"/>
          </w:tcPr>
          <w:p w14:paraId="50E74CE3" w14:textId="223D97B9"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0.104</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547D8F95" w14:textId="01F8F999"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FFA2F47" w14:textId="61F5491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0.276</w:t>
            </w:r>
          </w:p>
        </w:tc>
        <w:tc>
          <w:tcPr>
            <w:tcW w:w="1096" w:type="dxa"/>
            <w:tcBorders>
              <w:top w:val="single" w:sz="8" w:space="0" w:color="AEAEAE"/>
              <w:left w:val="single" w:sz="8" w:space="0" w:color="E0E0E0"/>
              <w:bottom w:val="single" w:sz="8" w:space="0" w:color="AEAEAE"/>
              <w:right w:val="nil"/>
            </w:tcBorders>
            <w:shd w:val="clear" w:color="auto" w:fill="FFFFFF"/>
          </w:tcPr>
          <w:p w14:paraId="6BF4A310" w14:textId="7C09E16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0.420</w:t>
            </w:r>
          </w:p>
        </w:tc>
      </w:tr>
      <w:tr w:rsidR="000D345F" w:rsidRPr="00C677AC" w14:paraId="42A08985" w14:textId="77777777" w:rsidTr="008E2555">
        <w:trPr>
          <w:cantSplit/>
          <w:trHeight w:val="131"/>
          <w:jc w:val="center"/>
        </w:trPr>
        <w:tc>
          <w:tcPr>
            <w:tcW w:w="2117" w:type="dxa"/>
            <w:vMerge/>
            <w:tcBorders>
              <w:top w:val="single" w:sz="8" w:space="0" w:color="AEAEAE"/>
              <w:left w:val="nil"/>
              <w:bottom w:val="nil"/>
              <w:right w:val="nil"/>
            </w:tcBorders>
            <w:shd w:val="clear" w:color="auto" w:fill="E0E0E0"/>
          </w:tcPr>
          <w:p w14:paraId="322C571E"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6A16FA67" w14:textId="43E1AB2E"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I</w:t>
            </w:r>
          </w:p>
        </w:tc>
        <w:tc>
          <w:tcPr>
            <w:tcW w:w="1090" w:type="dxa"/>
            <w:tcBorders>
              <w:top w:val="single" w:sz="8" w:space="0" w:color="AEAEAE"/>
              <w:left w:val="nil"/>
              <w:bottom w:val="single" w:sz="8" w:space="0" w:color="AEAEAE"/>
              <w:right w:val="single" w:sz="8" w:space="0" w:color="E0E0E0"/>
            </w:tcBorders>
            <w:shd w:val="clear" w:color="auto" w:fill="FFFFFF"/>
          </w:tcPr>
          <w:p w14:paraId="0E913FD3" w14:textId="63AB0B0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0.008</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54A4589" w14:textId="33567E43"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0.276</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D5A8857" w14:textId="025CAD3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c>
          <w:tcPr>
            <w:tcW w:w="1096" w:type="dxa"/>
            <w:tcBorders>
              <w:top w:val="single" w:sz="8" w:space="0" w:color="AEAEAE"/>
              <w:left w:val="single" w:sz="8" w:space="0" w:color="E0E0E0"/>
              <w:bottom w:val="single" w:sz="8" w:space="0" w:color="AEAEAE"/>
              <w:right w:val="nil"/>
            </w:tcBorders>
            <w:shd w:val="clear" w:color="auto" w:fill="FFFFFF"/>
          </w:tcPr>
          <w:p w14:paraId="552D36EA" w14:textId="5D1E0DD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0.016</w:t>
            </w:r>
          </w:p>
        </w:tc>
      </w:tr>
      <w:tr w:rsidR="000D345F" w:rsidRPr="00C677AC" w14:paraId="2C637284" w14:textId="77777777" w:rsidTr="008E2555">
        <w:trPr>
          <w:cantSplit/>
          <w:trHeight w:val="131"/>
          <w:jc w:val="center"/>
        </w:trPr>
        <w:tc>
          <w:tcPr>
            <w:tcW w:w="2117" w:type="dxa"/>
            <w:vMerge/>
            <w:tcBorders>
              <w:top w:val="single" w:sz="8" w:space="0" w:color="AEAEAE"/>
              <w:left w:val="nil"/>
              <w:bottom w:val="nil"/>
              <w:right w:val="nil"/>
            </w:tcBorders>
            <w:shd w:val="clear" w:color="auto" w:fill="E0E0E0"/>
          </w:tcPr>
          <w:p w14:paraId="23C89D58"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nil"/>
              <w:right w:val="nil"/>
            </w:tcBorders>
            <w:shd w:val="clear" w:color="auto" w:fill="E0E0E0"/>
          </w:tcPr>
          <w:p w14:paraId="6248ED44" w14:textId="5CE490E6"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U</w:t>
            </w:r>
          </w:p>
        </w:tc>
        <w:tc>
          <w:tcPr>
            <w:tcW w:w="1090" w:type="dxa"/>
            <w:tcBorders>
              <w:top w:val="single" w:sz="8" w:space="0" w:color="AEAEAE"/>
              <w:left w:val="nil"/>
              <w:bottom w:val="nil"/>
              <w:right w:val="single" w:sz="8" w:space="0" w:color="E0E0E0"/>
            </w:tcBorders>
            <w:shd w:val="clear" w:color="auto" w:fill="FFFFFF"/>
          </w:tcPr>
          <w:p w14:paraId="22C341AA" w14:textId="4157ADF3"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0.009</w:t>
            </w:r>
          </w:p>
        </w:tc>
        <w:tc>
          <w:tcPr>
            <w:tcW w:w="1090" w:type="dxa"/>
            <w:tcBorders>
              <w:top w:val="single" w:sz="8" w:space="0" w:color="AEAEAE"/>
              <w:left w:val="single" w:sz="8" w:space="0" w:color="E0E0E0"/>
              <w:bottom w:val="nil"/>
              <w:right w:val="single" w:sz="8" w:space="0" w:color="E0E0E0"/>
            </w:tcBorders>
            <w:shd w:val="clear" w:color="auto" w:fill="FFFFFF"/>
          </w:tcPr>
          <w:p w14:paraId="37BAE92E" w14:textId="6998C2C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0.420</w:t>
            </w:r>
          </w:p>
        </w:tc>
        <w:tc>
          <w:tcPr>
            <w:tcW w:w="1090" w:type="dxa"/>
            <w:tcBorders>
              <w:top w:val="single" w:sz="8" w:space="0" w:color="AEAEAE"/>
              <w:left w:val="single" w:sz="8" w:space="0" w:color="E0E0E0"/>
              <w:bottom w:val="nil"/>
              <w:right w:val="single" w:sz="8" w:space="0" w:color="E0E0E0"/>
            </w:tcBorders>
            <w:shd w:val="clear" w:color="auto" w:fill="FFFFFF"/>
          </w:tcPr>
          <w:p w14:paraId="18905C0F" w14:textId="6BBB60D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0.016</w:t>
            </w:r>
          </w:p>
        </w:tc>
        <w:tc>
          <w:tcPr>
            <w:tcW w:w="1096" w:type="dxa"/>
            <w:tcBorders>
              <w:top w:val="single" w:sz="8" w:space="0" w:color="AEAEAE"/>
              <w:left w:val="single" w:sz="8" w:space="0" w:color="E0E0E0"/>
              <w:bottom w:val="nil"/>
              <w:right w:val="nil"/>
            </w:tcBorders>
            <w:shd w:val="clear" w:color="auto" w:fill="FFFFFF"/>
          </w:tcPr>
          <w:p w14:paraId="752876D3" w14:textId="67CFF162"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r>
      <w:tr w:rsidR="000D345F" w:rsidRPr="00C677AC" w14:paraId="36C28923" w14:textId="77777777" w:rsidTr="008E2555">
        <w:trPr>
          <w:cantSplit/>
          <w:trHeight w:val="285"/>
          <w:jc w:val="center"/>
        </w:trPr>
        <w:tc>
          <w:tcPr>
            <w:tcW w:w="2117" w:type="dxa"/>
            <w:vMerge w:val="restart"/>
            <w:tcBorders>
              <w:top w:val="single" w:sz="8" w:space="0" w:color="AEAEAE"/>
              <w:left w:val="nil"/>
              <w:bottom w:val="single" w:sz="8" w:space="0" w:color="152935"/>
              <w:right w:val="nil"/>
            </w:tcBorders>
            <w:shd w:val="clear" w:color="auto" w:fill="E0E0E0"/>
          </w:tcPr>
          <w:p w14:paraId="7E2D0126" w14:textId="7777777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sidRPr="00C677AC">
              <w:rPr>
                <w:rFonts w:ascii="Times New Roman" w:hAnsi="Times New Roman" w:cs="Times New Roman"/>
                <w:color w:val="264A60"/>
                <w:sz w:val="20"/>
                <w:szCs w:val="20"/>
                <w:lang w:val="ro-RO"/>
              </w:rPr>
              <w:t>N</w:t>
            </w:r>
          </w:p>
        </w:tc>
        <w:tc>
          <w:tcPr>
            <w:tcW w:w="781" w:type="dxa"/>
            <w:tcBorders>
              <w:top w:val="single" w:sz="8" w:space="0" w:color="AEAEAE"/>
              <w:left w:val="nil"/>
              <w:bottom w:val="single" w:sz="8" w:space="0" w:color="AEAEAE"/>
              <w:right w:val="nil"/>
            </w:tcBorders>
            <w:shd w:val="clear" w:color="auto" w:fill="E0E0E0"/>
          </w:tcPr>
          <w:p w14:paraId="1F920EC9" w14:textId="2405589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single" w:sz="8" w:space="0" w:color="AEAEAE"/>
              <w:left w:val="nil"/>
              <w:bottom w:val="single" w:sz="8" w:space="0" w:color="AEAEAE"/>
              <w:right w:val="single" w:sz="8" w:space="0" w:color="E0E0E0"/>
            </w:tcBorders>
            <w:shd w:val="clear" w:color="auto" w:fill="FFFFFF"/>
          </w:tcPr>
          <w:p w14:paraId="414DF1C9" w14:textId="66291F39"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64191C5" w14:textId="5352C75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C822607" w14:textId="72D80AA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AEAEAE"/>
              <w:right w:val="nil"/>
            </w:tcBorders>
            <w:shd w:val="clear" w:color="auto" w:fill="FFFFFF"/>
          </w:tcPr>
          <w:p w14:paraId="27F9D73A" w14:textId="614B8CE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r w:rsidR="000D345F" w:rsidRPr="00C677AC" w14:paraId="17174E0D" w14:textId="77777777" w:rsidTr="008E2555">
        <w:trPr>
          <w:cantSplit/>
          <w:trHeight w:val="131"/>
          <w:jc w:val="center"/>
        </w:trPr>
        <w:tc>
          <w:tcPr>
            <w:tcW w:w="2117" w:type="dxa"/>
            <w:vMerge/>
            <w:tcBorders>
              <w:top w:val="single" w:sz="8" w:space="0" w:color="AEAEAE"/>
              <w:left w:val="nil"/>
              <w:bottom w:val="single" w:sz="8" w:space="0" w:color="152935"/>
              <w:right w:val="nil"/>
            </w:tcBorders>
            <w:shd w:val="clear" w:color="auto" w:fill="E0E0E0"/>
          </w:tcPr>
          <w:p w14:paraId="6013DEFA"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755DFFCC" w14:textId="1C56D39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single" w:sz="8" w:space="0" w:color="AEAEAE"/>
              <w:left w:val="nil"/>
              <w:bottom w:val="single" w:sz="8" w:space="0" w:color="AEAEAE"/>
              <w:right w:val="single" w:sz="8" w:space="0" w:color="E0E0E0"/>
            </w:tcBorders>
            <w:shd w:val="clear" w:color="auto" w:fill="FFFFFF"/>
          </w:tcPr>
          <w:p w14:paraId="322B334A" w14:textId="3E648F4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E5B733A" w14:textId="5BE51B7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55604DA3" w14:textId="6F0CA33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AEAEAE"/>
              <w:right w:val="nil"/>
            </w:tcBorders>
            <w:shd w:val="clear" w:color="auto" w:fill="FFFFFF"/>
          </w:tcPr>
          <w:p w14:paraId="6A8F50B0" w14:textId="5FD7787A"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r w:rsidR="000D345F" w:rsidRPr="00C677AC" w14:paraId="74DCD315" w14:textId="77777777" w:rsidTr="008E2555">
        <w:trPr>
          <w:cantSplit/>
          <w:trHeight w:val="131"/>
          <w:jc w:val="center"/>
        </w:trPr>
        <w:tc>
          <w:tcPr>
            <w:tcW w:w="2117" w:type="dxa"/>
            <w:vMerge/>
            <w:tcBorders>
              <w:top w:val="single" w:sz="8" w:space="0" w:color="AEAEAE"/>
              <w:left w:val="nil"/>
              <w:bottom w:val="single" w:sz="8" w:space="0" w:color="152935"/>
              <w:right w:val="nil"/>
            </w:tcBorders>
            <w:shd w:val="clear" w:color="auto" w:fill="E0E0E0"/>
          </w:tcPr>
          <w:p w14:paraId="741A0197"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24BBF8E4" w14:textId="7E48274E"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I</w:t>
            </w:r>
          </w:p>
        </w:tc>
        <w:tc>
          <w:tcPr>
            <w:tcW w:w="1090" w:type="dxa"/>
            <w:tcBorders>
              <w:top w:val="single" w:sz="8" w:space="0" w:color="AEAEAE"/>
              <w:left w:val="nil"/>
              <w:bottom w:val="single" w:sz="8" w:space="0" w:color="AEAEAE"/>
              <w:right w:val="single" w:sz="8" w:space="0" w:color="E0E0E0"/>
            </w:tcBorders>
            <w:shd w:val="clear" w:color="auto" w:fill="FFFFFF"/>
          </w:tcPr>
          <w:p w14:paraId="5A480031" w14:textId="714A5C0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173C4EF1" w14:textId="745F4A3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FAD1FAE" w14:textId="07F996D2"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AEAEAE"/>
              <w:right w:val="nil"/>
            </w:tcBorders>
            <w:shd w:val="clear" w:color="auto" w:fill="FFFFFF"/>
          </w:tcPr>
          <w:p w14:paraId="2FA555E4" w14:textId="7B0A21D4"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r w:rsidR="000D345F" w:rsidRPr="00C677AC" w14:paraId="2D0BCA51" w14:textId="77777777" w:rsidTr="008E2555">
        <w:trPr>
          <w:cantSplit/>
          <w:trHeight w:val="131"/>
          <w:jc w:val="center"/>
        </w:trPr>
        <w:tc>
          <w:tcPr>
            <w:tcW w:w="2117" w:type="dxa"/>
            <w:vMerge/>
            <w:tcBorders>
              <w:top w:val="single" w:sz="8" w:space="0" w:color="AEAEAE"/>
              <w:left w:val="nil"/>
              <w:bottom w:val="single" w:sz="8" w:space="0" w:color="152935"/>
              <w:right w:val="nil"/>
            </w:tcBorders>
            <w:shd w:val="clear" w:color="auto" w:fill="E0E0E0"/>
          </w:tcPr>
          <w:p w14:paraId="569AC2DD"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152935"/>
              <w:right w:val="nil"/>
            </w:tcBorders>
            <w:shd w:val="clear" w:color="auto" w:fill="E0E0E0"/>
          </w:tcPr>
          <w:p w14:paraId="0A328A68" w14:textId="1EDC6F3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U</w:t>
            </w:r>
          </w:p>
        </w:tc>
        <w:tc>
          <w:tcPr>
            <w:tcW w:w="1090" w:type="dxa"/>
            <w:tcBorders>
              <w:top w:val="single" w:sz="8" w:space="0" w:color="AEAEAE"/>
              <w:left w:val="nil"/>
              <w:bottom w:val="single" w:sz="8" w:space="0" w:color="152935"/>
              <w:right w:val="single" w:sz="8" w:space="0" w:color="E0E0E0"/>
            </w:tcBorders>
            <w:shd w:val="clear" w:color="auto" w:fill="FFFFFF"/>
          </w:tcPr>
          <w:p w14:paraId="4FF45D65" w14:textId="50193BD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152935"/>
              <w:right w:val="single" w:sz="8" w:space="0" w:color="E0E0E0"/>
            </w:tcBorders>
            <w:shd w:val="clear" w:color="auto" w:fill="FFFFFF"/>
          </w:tcPr>
          <w:p w14:paraId="6CAFCC92" w14:textId="4DC691F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152935"/>
              <w:right w:val="single" w:sz="8" w:space="0" w:color="E0E0E0"/>
            </w:tcBorders>
            <w:shd w:val="clear" w:color="auto" w:fill="FFFFFF"/>
          </w:tcPr>
          <w:p w14:paraId="2F47F7EC" w14:textId="2F192970"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152935"/>
              <w:right w:val="nil"/>
            </w:tcBorders>
            <w:shd w:val="clear" w:color="auto" w:fill="FFFFFF"/>
          </w:tcPr>
          <w:p w14:paraId="76FEEE60" w14:textId="7D39B744"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bl>
    <w:p w14:paraId="7A27CC6B" w14:textId="77777777" w:rsidR="000D345F" w:rsidRPr="008201DB" w:rsidRDefault="000D345F" w:rsidP="000D345F">
      <w:pPr>
        <w:autoSpaceDE w:val="0"/>
        <w:autoSpaceDN w:val="0"/>
        <w:adjustRightInd w:val="0"/>
        <w:spacing w:before="240" w:line="240" w:lineRule="auto"/>
        <w:jc w:val="center"/>
        <w:rPr>
          <w:rFonts w:ascii="Times New Roman" w:hAnsi="Times New Roman" w:cs="Times New Roman"/>
          <w:sz w:val="20"/>
          <w:szCs w:val="20"/>
          <w:lang w:val="fr-FR"/>
        </w:rPr>
      </w:pPr>
      <w:proofErr w:type="spellStart"/>
      <w:r w:rsidRPr="008201DB">
        <w:rPr>
          <w:rFonts w:ascii="Times New Roman" w:hAnsi="Times New Roman" w:cs="Times New Roman"/>
          <w:sz w:val="20"/>
          <w:szCs w:val="20"/>
          <w:lang w:val="fr-FR"/>
        </w:rPr>
        <w:t>Sursa</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Prelucrare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proprie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în</w:t>
      </w:r>
      <w:proofErr w:type="spellEnd"/>
      <w:r w:rsidRPr="008201DB">
        <w:rPr>
          <w:rFonts w:ascii="Times New Roman" w:hAnsi="Times New Roman" w:cs="Times New Roman"/>
          <w:sz w:val="20"/>
          <w:szCs w:val="20"/>
          <w:lang w:val="fr-FR"/>
        </w:rPr>
        <w:t xml:space="preserve"> SPSS 26</w:t>
      </w:r>
    </w:p>
    <w:p w14:paraId="0E9C6A05" w14:textId="6E9B6E9A" w:rsidR="00420B8D" w:rsidRPr="00314900" w:rsidRDefault="000D345F" w:rsidP="00F549F7">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Există o corela</w:t>
      </w:r>
      <w:r w:rsidR="0063007A">
        <w:rPr>
          <w:rFonts w:ascii="Times New Roman" w:hAnsi="Times New Roman" w:cs="Times New Roman"/>
          <w:sz w:val="24"/>
          <w:szCs w:val="24"/>
          <w:lang w:val="ro-RO"/>
        </w:rPr>
        <w:t>ț</w:t>
      </w:r>
      <w:r>
        <w:rPr>
          <w:rFonts w:ascii="Times New Roman" w:hAnsi="Times New Roman" w:cs="Times New Roman"/>
          <w:sz w:val="24"/>
          <w:szCs w:val="24"/>
          <w:lang w:val="ro-RO"/>
        </w:rPr>
        <w:t xml:space="preserve">ie puternica directă între indicele falimentului și rata inflației aceasta </w:t>
      </w:r>
      <w:r w:rsidR="0063007A">
        <w:rPr>
          <w:rFonts w:ascii="Times New Roman" w:hAnsi="Times New Roman" w:cs="Times New Roman"/>
          <w:sz w:val="24"/>
          <w:szCs w:val="24"/>
          <w:lang w:val="ro-RO"/>
        </w:rPr>
        <w:t>însemnând</w:t>
      </w:r>
      <w:r>
        <w:rPr>
          <w:rFonts w:ascii="Times New Roman" w:hAnsi="Times New Roman" w:cs="Times New Roman"/>
          <w:sz w:val="24"/>
          <w:szCs w:val="24"/>
          <w:lang w:val="ro-RO"/>
        </w:rPr>
        <w:t xml:space="preserve"> că </w:t>
      </w:r>
      <w:r w:rsidR="0063007A">
        <w:rPr>
          <w:rFonts w:ascii="Times New Roman" w:hAnsi="Times New Roman" w:cs="Times New Roman"/>
          <w:sz w:val="24"/>
          <w:szCs w:val="24"/>
          <w:lang w:val="ro-RO"/>
        </w:rPr>
        <w:t>o inflație ridicată și de lungă durată influențează creșterea riscului de faliment, prin faptul că puterea de cumpărare scade, se modifică comportamentul consumatorilor și astfel se reduc veniturile. În acela</w:t>
      </w:r>
      <w:r w:rsidR="001C2E12">
        <w:rPr>
          <w:rFonts w:ascii="Times New Roman" w:hAnsi="Times New Roman" w:cs="Times New Roman"/>
          <w:sz w:val="24"/>
          <w:szCs w:val="24"/>
          <w:lang w:val="ro-RO"/>
        </w:rPr>
        <w:t>și</w:t>
      </w:r>
      <w:r w:rsidR="0063007A">
        <w:rPr>
          <w:rFonts w:ascii="Times New Roman" w:hAnsi="Times New Roman" w:cs="Times New Roman"/>
          <w:sz w:val="24"/>
          <w:szCs w:val="24"/>
          <w:lang w:val="ro-RO"/>
        </w:rPr>
        <w:t xml:space="preserve"> timp, cheltuielile proprii cresc și marjele de profitabilitate se erodează ducând în final la o incapacitate de plată culminând chiar cu falimentul companiilor. </w:t>
      </w:r>
      <w:r w:rsidR="00420B8D" w:rsidRPr="00314900">
        <w:rPr>
          <w:rFonts w:ascii="Times New Roman" w:hAnsi="Times New Roman" w:cs="Times New Roman"/>
          <w:sz w:val="24"/>
          <w:szCs w:val="24"/>
          <w:lang w:val="ro-RO"/>
        </w:rPr>
        <w:t>Surprinzătoare</w:t>
      </w:r>
      <w:r w:rsidR="0063007A" w:rsidRPr="00314900">
        <w:rPr>
          <w:rFonts w:ascii="Times New Roman" w:hAnsi="Times New Roman" w:cs="Times New Roman"/>
          <w:sz w:val="24"/>
          <w:szCs w:val="24"/>
          <w:lang w:val="ro-RO"/>
        </w:rPr>
        <w:t xml:space="preserve"> este corelația puternică dar de sens opus </w:t>
      </w:r>
      <w:r w:rsidR="00420B8D" w:rsidRPr="00314900">
        <w:rPr>
          <w:rFonts w:ascii="Times New Roman" w:hAnsi="Times New Roman" w:cs="Times New Roman"/>
          <w:sz w:val="24"/>
          <w:szCs w:val="24"/>
          <w:lang w:val="ro-RO"/>
        </w:rPr>
        <w:t>î</w:t>
      </w:r>
      <w:r w:rsidR="0063007A" w:rsidRPr="00314900">
        <w:rPr>
          <w:rFonts w:ascii="Times New Roman" w:hAnsi="Times New Roman" w:cs="Times New Roman"/>
          <w:sz w:val="24"/>
          <w:szCs w:val="24"/>
          <w:lang w:val="ro-RO"/>
        </w:rPr>
        <w:t xml:space="preserve">ntre rata </w:t>
      </w:r>
      <w:r w:rsidR="00420B8D" w:rsidRPr="00314900">
        <w:rPr>
          <w:rFonts w:ascii="Times New Roman" w:hAnsi="Times New Roman" w:cs="Times New Roman"/>
          <w:sz w:val="24"/>
          <w:szCs w:val="24"/>
          <w:lang w:val="ro-RO"/>
        </w:rPr>
        <w:t>șomajului</w:t>
      </w:r>
      <w:r w:rsidR="0063007A" w:rsidRPr="00314900">
        <w:rPr>
          <w:rFonts w:ascii="Times New Roman" w:hAnsi="Times New Roman" w:cs="Times New Roman"/>
          <w:sz w:val="24"/>
          <w:szCs w:val="24"/>
          <w:lang w:val="ro-RO"/>
        </w:rPr>
        <w:t xml:space="preserve"> și indicele falimentului</w:t>
      </w:r>
      <w:r w:rsidR="00420B8D" w:rsidRPr="00314900">
        <w:rPr>
          <w:rFonts w:ascii="Times New Roman" w:hAnsi="Times New Roman" w:cs="Times New Roman"/>
          <w:sz w:val="24"/>
          <w:szCs w:val="24"/>
          <w:lang w:val="ro-RO"/>
        </w:rPr>
        <w:t xml:space="preserve">. </w:t>
      </w:r>
    </w:p>
    <w:p w14:paraId="1229296C" w14:textId="22B63839" w:rsidR="00314900" w:rsidRPr="00495407" w:rsidRDefault="00314900" w:rsidP="00314900">
      <w:pPr>
        <w:spacing w:after="0" w:line="240" w:lineRule="auto"/>
        <w:ind w:right="-94" w:firstLine="567"/>
        <w:jc w:val="both"/>
        <w:rPr>
          <w:rFonts w:ascii="Times New Roman" w:hAnsi="Times New Roman" w:cs="Times New Roman"/>
          <w:bCs/>
          <w:color w:val="000000" w:themeColor="text1" w:themeShade="BF"/>
          <w:sz w:val="24"/>
          <w:szCs w:val="24"/>
          <w:lang w:val="ro-RO" w:eastAsia="ro-RO"/>
        </w:rPr>
      </w:pPr>
      <w:r w:rsidRPr="00495407">
        <w:rPr>
          <w:rFonts w:ascii="Times New Roman" w:hAnsi="Times New Roman" w:cs="Times New Roman"/>
          <w:bCs/>
          <w:color w:val="000000" w:themeColor="text1" w:themeShade="BF"/>
          <w:sz w:val="24"/>
          <w:szCs w:val="24"/>
          <w:lang w:val="ro-RO" w:eastAsia="ro-RO"/>
        </w:rPr>
        <w:t xml:space="preserve">Modelul econometric teoretic pe care urmărim sa îl dezvoltăm are ca obiectiv stabilirea </w:t>
      </w:r>
      <w:r w:rsidR="002C2900" w:rsidRPr="00495407">
        <w:rPr>
          <w:rFonts w:ascii="Times New Roman" w:hAnsi="Times New Roman" w:cs="Times New Roman"/>
          <w:bCs/>
          <w:color w:val="000000" w:themeColor="text1" w:themeShade="BF"/>
          <w:sz w:val="24"/>
          <w:szCs w:val="24"/>
          <w:lang w:val="ro-RO" w:eastAsia="ro-RO"/>
        </w:rPr>
        <w:t xml:space="preserve">gradului de variație a variabilei dependente BI în raport cu variația </w:t>
      </w:r>
      <w:r w:rsidRPr="00495407">
        <w:rPr>
          <w:rFonts w:ascii="Times New Roman" w:hAnsi="Times New Roman" w:cs="Times New Roman"/>
          <w:bCs/>
          <w:color w:val="000000" w:themeColor="text1" w:themeShade="BF"/>
          <w:sz w:val="24"/>
          <w:szCs w:val="24"/>
          <w:lang w:val="ro-RO" w:eastAsia="ro-RO"/>
        </w:rPr>
        <w:t>variabilelor</w:t>
      </w:r>
      <w:r w:rsidR="002C2900" w:rsidRPr="00495407">
        <w:rPr>
          <w:rFonts w:ascii="Times New Roman" w:hAnsi="Times New Roman" w:cs="Times New Roman"/>
          <w:bCs/>
          <w:color w:val="000000" w:themeColor="text1" w:themeShade="BF"/>
          <w:sz w:val="24"/>
          <w:szCs w:val="24"/>
          <w:lang w:val="ro-RO" w:eastAsia="ro-RO"/>
        </w:rPr>
        <w:t xml:space="preserve"> independente, respectiv variabilele</w:t>
      </w:r>
      <w:r w:rsidRPr="00495407">
        <w:rPr>
          <w:rFonts w:ascii="Times New Roman" w:hAnsi="Times New Roman" w:cs="Times New Roman"/>
          <w:bCs/>
          <w:color w:val="000000" w:themeColor="text1" w:themeShade="BF"/>
          <w:sz w:val="24"/>
          <w:szCs w:val="24"/>
          <w:lang w:val="ro-RO" w:eastAsia="ro-RO"/>
        </w:rPr>
        <w:t xml:space="preserve"> macroeconomice creșterea economică, rata inflației și rata șomajului</w:t>
      </w:r>
      <w:r w:rsidR="002C2900" w:rsidRPr="00495407">
        <w:rPr>
          <w:rFonts w:ascii="Times New Roman" w:hAnsi="Times New Roman" w:cs="Times New Roman"/>
          <w:bCs/>
          <w:color w:val="000000" w:themeColor="text1" w:themeShade="BF"/>
          <w:sz w:val="24"/>
          <w:szCs w:val="24"/>
          <w:lang w:val="ro-RO" w:eastAsia="ro-RO"/>
        </w:rPr>
        <w:t xml:space="preserve">. Utilizăm astfel modelul </w:t>
      </w:r>
      <w:r w:rsidR="002C2900" w:rsidRPr="00495407">
        <w:rPr>
          <w:rFonts w:ascii="Times New Roman" w:hAnsi="Times New Roman" w:cs="Times New Roman"/>
          <w:sz w:val="24"/>
          <w:szCs w:val="24"/>
          <w:lang w:val="ro-RO"/>
        </w:rPr>
        <w:t>de regresie liniară multiplă, iar ecuația este următoarea:</w:t>
      </w:r>
    </w:p>
    <w:p w14:paraId="5026DB57" w14:textId="77777777" w:rsidR="00314900" w:rsidRPr="008201DB" w:rsidRDefault="00314900" w:rsidP="00314900">
      <w:pPr>
        <w:spacing w:after="0" w:line="240" w:lineRule="auto"/>
        <w:ind w:right="-94" w:firstLine="567"/>
        <w:jc w:val="both"/>
        <w:rPr>
          <w:rFonts w:ascii="Times New Roman" w:hAnsi="Times New Roman" w:cs="Times New Roman"/>
          <w:color w:val="000000"/>
          <w:sz w:val="24"/>
          <w:szCs w:val="24"/>
          <w:lang w:val="es-ES"/>
        </w:rPr>
      </w:pPr>
    </w:p>
    <w:p w14:paraId="180017A5" w14:textId="0E1CF91D" w:rsidR="00314900" w:rsidRDefault="002C2900" w:rsidP="00314900">
      <w:pPr>
        <w:tabs>
          <w:tab w:val="left" w:pos="567"/>
        </w:tabs>
        <w:spacing w:line="240" w:lineRule="auto"/>
        <w:ind w:left="360"/>
        <w:rPr>
          <w:rFonts w:eastAsiaTheme="minorEastAsia" w:cs="Times New Roman"/>
          <w:szCs w:val="24"/>
        </w:rPr>
      </w:pPr>
      <m:oMathPara>
        <m:oMath>
          <m:r>
            <w:rPr>
              <w:rFonts w:ascii="Cambria Math" w:eastAsia="Times New Roman" w:hAnsi="Cambria Math" w:cs="Times New Roman"/>
              <w:szCs w:val="24"/>
            </w:rPr>
            <m:t>BI=α+ β1*EG+ β2*I+ β3*U</m:t>
          </m:r>
        </m:oMath>
      </m:oMathPara>
    </w:p>
    <w:p w14:paraId="640A4304" w14:textId="3CA910F9" w:rsidR="002C2900" w:rsidRPr="008201DB" w:rsidRDefault="002C2900" w:rsidP="002C2900">
      <w:pPr>
        <w:autoSpaceDE w:val="0"/>
        <w:autoSpaceDN w:val="0"/>
        <w:adjustRightInd w:val="0"/>
        <w:spacing w:after="0" w:line="240" w:lineRule="auto"/>
        <w:rPr>
          <w:rFonts w:ascii="Times New Roman" w:hAnsi="Times New Roman" w:cs="Times New Roman"/>
          <w:sz w:val="24"/>
          <w:szCs w:val="24"/>
          <w:lang w:val="es-ES"/>
        </w:rPr>
      </w:pPr>
      <w:proofErr w:type="spellStart"/>
      <w:r w:rsidRPr="008201DB">
        <w:rPr>
          <w:rFonts w:ascii="Times New Roman" w:hAnsi="Times New Roman" w:cs="Times New Roman"/>
          <w:sz w:val="24"/>
          <w:szCs w:val="24"/>
          <w:lang w:val="es-ES"/>
        </w:rPr>
        <w:lastRenderedPageBreak/>
        <w:t>unde</w:t>
      </w:r>
      <w:proofErr w:type="spellEnd"/>
      <w:r w:rsidRPr="008201DB">
        <w:rPr>
          <w:rFonts w:ascii="Times New Roman" w:hAnsi="Times New Roman" w:cs="Times New Roman"/>
          <w:sz w:val="24"/>
          <w:szCs w:val="24"/>
          <w:lang w:val="es-ES"/>
        </w:rPr>
        <w:t>:</w:t>
      </w:r>
    </w:p>
    <w:p w14:paraId="78B9EBEF" w14:textId="7B0EE7E7" w:rsidR="002C2900" w:rsidRPr="008201DB" w:rsidRDefault="002C2900" w:rsidP="002C2900">
      <w:pPr>
        <w:autoSpaceDE w:val="0"/>
        <w:autoSpaceDN w:val="0"/>
        <w:adjustRightInd w:val="0"/>
        <w:spacing w:after="0" w:line="240" w:lineRule="auto"/>
        <w:rPr>
          <w:rFonts w:ascii="Times New Roman" w:hAnsi="Times New Roman" w:cs="Times New Roman"/>
          <w:sz w:val="24"/>
          <w:szCs w:val="24"/>
          <w:lang w:val="es-ES"/>
        </w:rPr>
      </w:pPr>
      <w:r w:rsidRPr="008201DB">
        <w:rPr>
          <w:rFonts w:ascii="Times New Roman" w:hAnsi="Times New Roman" w:cs="Times New Roman"/>
          <w:sz w:val="24"/>
          <w:szCs w:val="24"/>
          <w:lang w:val="es-ES"/>
        </w:rPr>
        <w:t xml:space="preserve">BI – </w:t>
      </w:r>
      <w:proofErr w:type="spellStart"/>
      <w:r w:rsidRPr="008201DB">
        <w:rPr>
          <w:rFonts w:ascii="Times New Roman" w:hAnsi="Times New Roman" w:cs="Times New Roman"/>
          <w:sz w:val="24"/>
          <w:szCs w:val="24"/>
          <w:lang w:val="es-ES"/>
        </w:rPr>
        <w:t>reprezintă</w:t>
      </w:r>
      <w:proofErr w:type="spellEnd"/>
      <w:r w:rsidRPr="008201DB">
        <w:rPr>
          <w:rFonts w:ascii="Times New Roman" w:hAnsi="Times New Roman" w:cs="Times New Roman"/>
          <w:sz w:val="24"/>
          <w:szCs w:val="24"/>
          <w:lang w:val="es-ES"/>
        </w:rPr>
        <w:t xml:space="preserve"> </w:t>
      </w:r>
      <w:proofErr w:type="spellStart"/>
      <w:r w:rsidRPr="008201DB">
        <w:rPr>
          <w:rFonts w:ascii="Times New Roman" w:hAnsi="Times New Roman" w:cs="Times New Roman"/>
          <w:sz w:val="24"/>
          <w:szCs w:val="24"/>
          <w:lang w:val="es-ES"/>
        </w:rPr>
        <w:t>variabila</w:t>
      </w:r>
      <w:proofErr w:type="spellEnd"/>
      <w:r w:rsidRPr="008201DB">
        <w:rPr>
          <w:rFonts w:ascii="Times New Roman" w:hAnsi="Times New Roman" w:cs="Times New Roman"/>
          <w:sz w:val="24"/>
          <w:szCs w:val="24"/>
          <w:lang w:val="es-ES"/>
        </w:rPr>
        <w:t xml:space="preserve"> </w:t>
      </w:r>
      <w:proofErr w:type="spellStart"/>
      <w:r w:rsidRPr="008201DB">
        <w:rPr>
          <w:rFonts w:ascii="Times New Roman" w:hAnsi="Times New Roman" w:cs="Times New Roman"/>
          <w:sz w:val="24"/>
          <w:szCs w:val="24"/>
          <w:lang w:val="es-ES"/>
        </w:rPr>
        <w:t>dependentă</w:t>
      </w:r>
      <w:proofErr w:type="spellEnd"/>
      <w:r w:rsidRPr="008201DB">
        <w:rPr>
          <w:rFonts w:ascii="Times New Roman" w:hAnsi="Times New Roman" w:cs="Times New Roman"/>
          <w:sz w:val="24"/>
          <w:szCs w:val="24"/>
          <w:lang w:val="es-ES"/>
        </w:rPr>
        <w:t xml:space="preserve"> a </w:t>
      </w:r>
      <w:proofErr w:type="spellStart"/>
      <w:r w:rsidRPr="008201DB">
        <w:rPr>
          <w:rFonts w:ascii="Times New Roman" w:hAnsi="Times New Roman" w:cs="Times New Roman"/>
          <w:sz w:val="24"/>
          <w:szCs w:val="24"/>
          <w:lang w:val="es-ES"/>
        </w:rPr>
        <w:t>modelului</w:t>
      </w:r>
      <w:proofErr w:type="spellEnd"/>
      <w:r w:rsidRPr="008201DB">
        <w:rPr>
          <w:rFonts w:ascii="Times New Roman" w:hAnsi="Times New Roman" w:cs="Times New Roman"/>
          <w:sz w:val="24"/>
          <w:szCs w:val="24"/>
          <w:lang w:val="es-ES"/>
        </w:rPr>
        <w:t>,</w:t>
      </w:r>
    </w:p>
    <w:p w14:paraId="0F9D16DB" w14:textId="4B42B770" w:rsidR="002C2900" w:rsidRPr="008201DB" w:rsidRDefault="002C2900" w:rsidP="002C2900">
      <w:pPr>
        <w:autoSpaceDE w:val="0"/>
        <w:autoSpaceDN w:val="0"/>
        <w:adjustRightInd w:val="0"/>
        <w:spacing w:after="0" w:line="240" w:lineRule="auto"/>
        <w:rPr>
          <w:rFonts w:ascii="Times New Roman" w:hAnsi="Times New Roman" w:cs="Times New Roman"/>
          <w:sz w:val="24"/>
          <w:szCs w:val="24"/>
          <w:lang w:val="es-ES"/>
        </w:rPr>
      </w:pPr>
      <w:r w:rsidRPr="008201DB">
        <w:rPr>
          <w:rFonts w:ascii="Times New Roman" w:hAnsi="Times New Roman" w:cs="Times New Roman"/>
          <w:sz w:val="24"/>
          <w:szCs w:val="24"/>
          <w:lang w:val="es-ES"/>
        </w:rPr>
        <w:t xml:space="preserve">EG, I, U – sunt </w:t>
      </w:r>
      <w:proofErr w:type="spellStart"/>
      <w:r w:rsidRPr="008201DB">
        <w:rPr>
          <w:rFonts w:ascii="Times New Roman" w:hAnsi="Times New Roman" w:cs="Times New Roman"/>
          <w:sz w:val="24"/>
          <w:szCs w:val="24"/>
          <w:lang w:val="es-ES"/>
        </w:rPr>
        <w:t>variabilele</w:t>
      </w:r>
      <w:proofErr w:type="spellEnd"/>
      <w:r w:rsidRPr="008201DB">
        <w:rPr>
          <w:rFonts w:ascii="Times New Roman" w:hAnsi="Times New Roman" w:cs="Times New Roman"/>
          <w:sz w:val="24"/>
          <w:szCs w:val="24"/>
          <w:lang w:val="es-ES"/>
        </w:rPr>
        <w:t xml:space="preserve"> independente,</w:t>
      </w:r>
    </w:p>
    <w:p w14:paraId="188279BF" w14:textId="25B0BB85" w:rsidR="002C2900" w:rsidRPr="008201DB" w:rsidRDefault="002C2900" w:rsidP="002C2900">
      <w:pPr>
        <w:autoSpaceDE w:val="0"/>
        <w:autoSpaceDN w:val="0"/>
        <w:adjustRightInd w:val="0"/>
        <w:spacing w:after="0" w:line="240" w:lineRule="auto"/>
        <w:rPr>
          <w:rFonts w:ascii="Times New Roman" w:hAnsi="Times New Roman" w:cs="Times New Roman"/>
          <w:sz w:val="24"/>
          <w:szCs w:val="24"/>
          <w:lang w:val="es-ES"/>
        </w:rPr>
      </w:pPr>
      <w:r w:rsidRPr="00176312">
        <w:rPr>
          <w:rFonts w:ascii="Times New Roman" w:hAnsi="Times New Roman" w:cs="Times New Roman"/>
          <w:sz w:val="24"/>
          <w:szCs w:val="24"/>
        </w:rPr>
        <w:t>β</w:t>
      </w:r>
      <w:r w:rsidRPr="008201DB">
        <w:rPr>
          <w:rFonts w:ascii="Times New Roman" w:hAnsi="Times New Roman" w:cs="Times New Roman"/>
          <w:sz w:val="24"/>
          <w:szCs w:val="24"/>
          <w:lang w:val="es-ES"/>
        </w:rPr>
        <w:t xml:space="preserve">1, </w:t>
      </w:r>
      <w:r w:rsidRPr="00176312">
        <w:rPr>
          <w:rFonts w:ascii="Times New Roman" w:hAnsi="Times New Roman" w:cs="Times New Roman"/>
          <w:sz w:val="24"/>
          <w:szCs w:val="24"/>
        </w:rPr>
        <w:t>β</w:t>
      </w:r>
      <w:r w:rsidRPr="008201DB">
        <w:rPr>
          <w:rFonts w:ascii="Times New Roman" w:hAnsi="Times New Roman" w:cs="Times New Roman"/>
          <w:sz w:val="24"/>
          <w:szCs w:val="24"/>
          <w:lang w:val="es-ES"/>
        </w:rPr>
        <w:t xml:space="preserve">2 </w:t>
      </w:r>
      <w:proofErr w:type="spellStart"/>
      <w:r w:rsidRPr="008201DB">
        <w:rPr>
          <w:rFonts w:ascii="Times New Roman" w:hAnsi="Times New Roman" w:cs="Times New Roman"/>
          <w:sz w:val="24"/>
          <w:szCs w:val="24"/>
          <w:lang w:val="es-ES"/>
        </w:rPr>
        <w:t>și</w:t>
      </w:r>
      <w:proofErr w:type="spellEnd"/>
      <w:r w:rsidRPr="008201DB">
        <w:rPr>
          <w:rFonts w:ascii="Times New Roman" w:hAnsi="Times New Roman" w:cs="Times New Roman"/>
          <w:sz w:val="24"/>
          <w:szCs w:val="24"/>
          <w:lang w:val="es-ES"/>
        </w:rPr>
        <w:t xml:space="preserve"> </w:t>
      </w:r>
      <w:r w:rsidRPr="00176312">
        <w:rPr>
          <w:rFonts w:ascii="Times New Roman" w:hAnsi="Times New Roman" w:cs="Times New Roman"/>
          <w:sz w:val="24"/>
          <w:szCs w:val="24"/>
        </w:rPr>
        <w:t>β</w:t>
      </w:r>
      <w:r w:rsidRPr="008201DB">
        <w:rPr>
          <w:rFonts w:ascii="Times New Roman" w:hAnsi="Times New Roman" w:cs="Times New Roman"/>
          <w:sz w:val="24"/>
          <w:szCs w:val="24"/>
          <w:lang w:val="es-ES"/>
        </w:rPr>
        <w:t xml:space="preserve">3 sunt </w:t>
      </w:r>
      <w:proofErr w:type="spellStart"/>
      <w:r w:rsidRPr="008201DB">
        <w:rPr>
          <w:rFonts w:ascii="Times New Roman" w:hAnsi="Times New Roman" w:cs="Times New Roman"/>
          <w:bCs/>
          <w:color w:val="000000" w:themeColor="text1" w:themeShade="BF"/>
          <w:sz w:val="24"/>
          <w:szCs w:val="24"/>
          <w:lang w:val="es-ES" w:eastAsia="ro-RO"/>
        </w:rPr>
        <w:t>sunt</w:t>
      </w:r>
      <w:proofErr w:type="spellEnd"/>
      <w:r w:rsidRPr="008201DB">
        <w:rPr>
          <w:rFonts w:ascii="Times New Roman" w:hAnsi="Times New Roman" w:cs="Times New Roman"/>
          <w:bCs/>
          <w:color w:val="000000" w:themeColor="text1" w:themeShade="BF"/>
          <w:sz w:val="24"/>
          <w:szCs w:val="24"/>
          <w:lang w:val="es-ES" w:eastAsia="ro-RO"/>
        </w:rPr>
        <w:t xml:space="preserve"> </w:t>
      </w:r>
      <w:proofErr w:type="spellStart"/>
      <w:r w:rsidRPr="008201DB">
        <w:rPr>
          <w:rFonts w:ascii="Times New Roman" w:hAnsi="Times New Roman" w:cs="Times New Roman"/>
          <w:bCs/>
          <w:color w:val="000000" w:themeColor="text1" w:themeShade="BF"/>
          <w:sz w:val="24"/>
          <w:szCs w:val="24"/>
          <w:lang w:val="es-ES" w:eastAsia="ro-RO"/>
        </w:rPr>
        <w:t>coeficienții</w:t>
      </w:r>
      <w:proofErr w:type="spellEnd"/>
      <w:r w:rsidRPr="008201DB">
        <w:rPr>
          <w:rFonts w:ascii="Times New Roman" w:hAnsi="Times New Roman" w:cs="Times New Roman"/>
          <w:bCs/>
          <w:color w:val="000000" w:themeColor="text1" w:themeShade="BF"/>
          <w:sz w:val="24"/>
          <w:szCs w:val="24"/>
          <w:lang w:val="es-ES" w:eastAsia="ro-RO"/>
        </w:rPr>
        <w:t xml:space="preserve"> de </w:t>
      </w:r>
      <w:proofErr w:type="spellStart"/>
      <w:r w:rsidRPr="008201DB">
        <w:rPr>
          <w:rFonts w:ascii="Times New Roman" w:hAnsi="Times New Roman" w:cs="Times New Roman"/>
          <w:bCs/>
          <w:color w:val="000000" w:themeColor="text1" w:themeShade="BF"/>
          <w:sz w:val="24"/>
          <w:szCs w:val="24"/>
          <w:lang w:val="es-ES" w:eastAsia="ro-RO"/>
        </w:rPr>
        <w:t>regresie</w:t>
      </w:r>
      <w:proofErr w:type="spellEnd"/>
      <w:r w:rsidR="008201DB" w:rsidRPr="008201DB">
        <w:rPr>
          <w:rFonts w:ascii="Times New Roman" w:hAnsi="Times New Roman" w:cs="Times New Roman"/>
          <w:bCs/>
          <w:color w:val="000000" w:themeColor="text1" w:themeShade="BF"/>
          <w:sz w:val="24"/>
          <w:szCs w:val="24"/>
          <w:lang w:val="es-ES" w:eastAsia="ro-RO"/>
        </w:rPr>
        <w:t>,</w:t>
      </w:r>
    </w:p>
    <w:p w14:paraId="57A12E8E" w14:textId="66F993AE" w:rsidR="00314900" w:rsidRPr="008201DB" w:rsidRDefault="002C2900" w:rsidP="002C2900">
      <w:pPr>
        <w:autoSpaceDE w:val="0"/>
        <w:autoSpaceDN w:val="0"/>
        <w:adjustRightInd w:val="0"/>
        <w:spacing w:after="0" w:line="240" w:lineRule="auto"/>
        <w:rPr>
          <w:rFonts w:ascii="Times New Roman" w:hAnsi="Times New Roman" w:cs="Times New Roman"/>
          <w:bCs/>
          <w:color w:val="000000" w:themeColor="text1" w:themeShade="BF"/>
          <w:sz w:val="24"/>
          <w:szCs w:val="24"/>
          <w:lang w:val="es-ES" w:eastAsia="ro-RO"/>
        </w:rPr>
      </w:pPr>
      <w:r w:rsidRPr="008E412F">
        <w:rPr>
          <w:rFonts w:ascii="Times New Roman" w:hAnsi="Times New Roman" w:cs="Times New Roman"/>
          <w:bCs/>
          <w:color w:val="000000" w:themeColor="text1" w:themeShade="BF"/>
          <w:sz w:val="24"/>
          <w:szCs w:val="24"/>
          <w:lang w:eastAsia="ro-RO"/>
        </w:rPr>
        <w:t>α</w:t>
      </w:r>
      <w:r w:rsidRPr="008201DB">
        <w:rPr>
          <w:rFonts w:ascii="Times New Roman" w:hAnsi="Times New Roman" w:cs="Times New Roman"/>
          <w:bCs/>
          <w:color w:val="000000" w:themeColor="text1" w:themeShade="BF"/>
          <w:sz w:val="24"/>
          <w:szCs w:val="24"/>
          <w:lang w:val="es-ES" w:eastAsia="ro-RO"/>
        </w:rPr>
        <w:t xml:space="preserve"> este </w:t>
      </w:r>
      <w:proofErr w:type="spellStart"/>
      <w:r w:rsidRPr="008201DB">
        <w:rPr>
          <w:rFonts w:ascii="Times New Roman" w:hAnsi="Times New Roman" w:cs="Times New Roman"/>
          <w:bCs/>
          <w:color w:val="000000" w:themeColor="text1" w:themeShade="BF"/>
          <w:sz w:val="24"/>
          <w:szCs w:val="24"/>
          <w:lang w:val="es-ES" w:eastAsia="ro-RO"/>
        </w:rPr>
        <w:t>termenul</w:t>
      </w:r>
      <w:proofErr w:type="spellEnd"/>
      <w:r w:rsidRPr="008201DB">
        <w:rPr>
          <w:rFonts w:ascii="Times New Roman" w:hAnsi="Times New Roman" w:cs="Times New Roman"/>
          <w:bCs/>
          <w:color w:val="000000" w:themeColor="text1" w:themeShade="BF"/>
          <w:sz w:val="24"/>
          <w:szCs w:val="24"/>
          <w:lang w:val="es-ES" w:eastAsia="ro-RO"/>
        </w:rPr>
        <w:t xml:space="preserve"> de </w:t>
      </w:r>
      <w:proofErr w:type="spellStart"/>
      <w:r w:rsidRPr="008201DB">
        <w:rPr>
          <w:rFonts w:ascii="Times New Roman" w:hAnsi="Times New Roman" w:cs="Times New Roman"/>
          <w:bCs/>
          <w:color w:val="000000" w:themeColor="text1" w:themeShade="BF"/>
          <w:sz w:val="24"/>
          <w:szCs w:val="24"/>
          <w:lang w:val="es-ES" w:eastAsia="ro-RO"/>
        </w:rPr>
        <w:t>eroare</w:t>
      </w:r>
      <w:proofErr w:type="spellEnd"/>
      <w:r w:rsidR="008201DB">
        <w:rPr>
          <w:rFonts w:ascii="Times New Roman" w:hAnsi="Times New Roman" w:cs="Times New Roman"/>
          <w:sz w:val="24"/>
          <w:szCs w:val="24"/>
          <w:lang w:val="es-ES"/>
        </w:rPr>
        <w:t>.</w:t>
      </w:r>
    </w:p>
    <w:p w14:paraId="0F155305" w14:textId="73A39938" w:rsidR="002C2900" w:rsidRDefault="002C2900" w:rsidP="000F11AB">
      <w:pPr>
        <w:autoSpaceDE w:val="0"/>
        <w:autoSpaceDN w:val="0"/>
        <w:adjustRightInd w:val="0"/>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Modelul dezvoltat trebuie validat din punct de vedere </w:t>
      </w:r>
      <w:r w:rsidR="006B5E55">
        <w:rPr>
          <w:rFonts w:ascii="Times New Roman" w:hAnsi="Times New Roman" w:cs="Times New Roman"/>
          <w:sz w:val="24"/>
          <w:szCs w:val="24"/>
          <w:lang w:val="ro-RO"/>
        </w:rPr>
        <w:t>acurateței</w:t>
      </w:r>
      <w:r>
        <w:rPr>
          <w:rFonts w:ascii="Times New Roman" w:hAnsi="Times New Roman" w:cs="Times New Roman"/>
          <w:sz w:val="24"/>
          <w:szCs w:val="24"/>
          <w:lang w:val="ro-RO"/>
        </w:rPr>
        <w:t xml:space="preserve"> descrierii fenomenului economic supus analizei. Informațiile necesare sunt sintetizate in tabelul de mai jos.</w:t>
      </w:r>
    </w:p>
    <w:p w14:paraId="6F5A34B4" w14:textId="77777777" w:rsidR="002C2900" w:rsidRDefault="002C2900" w:rsidP="000F11AB">
      <w:pPr>
        <w:autoSpaceDE w:val="0"/>
        <w:autoSpaceDN w:val="0"/>
        <w:adjustRightInd w:val="0"/>
        <w:spacing w:after="0" w:line="240" w:lineRule="auto"/>
        <w:ind w:firstLine="720"/>
        <w:jc w:val="both"/>
        <w:rPr>
          <w:rFonts w:ascii="Times New Roman" w:hAnsi="Times New Roman" w:cs="Times New Roman"/>
          <w:sz w:val="24"/>
          <w:szCs w:val="24"/>
          <w:lang w:val="ro-RO"/>
        </w:rPr>
      </w:pPr>
    </w:p>
    <w:p w14:paraId="0194596E" w14:textId="046ECAAB" w:rsidR="00EF40E9" w:rsidRPr="00C677AC" w:rsidRDefault="00EF40E9" w:rsidP="00E406BC">
      <w:pPr>
        <w:autoSpaceDE w:val="0"/>
        <w:autoSpaceDN w:val="0"/>
        <w:adjustRightInd w:val="0"/>
        <w:spacing w:after="0" w:line="240" w:lineRule="auto"/>
        <w:ind w:firstLine="720"/>
        <w:jc w:val="center"/>
        <w:rPr>
          <w:rFonts w:ascii="Times New Roman" w:hAnsi="Times New Roman" w:cs="Times New Roman"/>
          <w:b/>
          <w:bCs/>
          <w:sz w:val="20"/>
          <w:szCs w:val="20"/>
          <w:vertAlign w:val="superscript"/>
          <w:lang w:val="ro-RO"/>
        </w:rPr>
      </w:pPr>
      <w:r w:rsidRPr="002C2900">
        <w:rPr>
          <w:rFonts w:ascii="Times New Roman" w:hAnsi="Times New Roman" w:cs="Times New Roman"/>
          <w:sz w:val="20"/>
          <w:szCs w:val="20"/>
          <w:lang w:val="ro-RO"/>
        </w:rPr>
        <w:t>Tab</w:t>
      </w:r>
      <w:r w:rsidR="002C2900">
        <w:rPr>
          <w:rFonts w:ascii="Times New Roman" w:hAnsi="Times New Roman" w:cs="Times New Roman"/>
          <w:sz w:val="20"/>
          <w:szCs w:val="20"/>
          <w:lang w:val="ro-RO"/>
        </w:rPr>
        <w:t>e</w:t>
      </w:r>
      <w:r w:rsidRPr="002C2900">
        <w:rPr>
          <w:rFonts w:ascii="Times New Roman" w:hAnsi="Times New Roman" w:cs="Times New Roman"/>
          <w:sz w:val="20"/>
          <w:szCs w:val="20"/>
          <w:lang w:val="ro-RO"/>
        </w:rPr>
        <w:t>l</w:t>
      </w:r>
      <w:r w:rsidR="00E406BC">
        <w:rPr>
          <w:rFonts w:ascii="Times New Roman" w:hAnsi="Times New Roman" w:cs="Times New Roman"/>
          <w:sz w:val="20"/>
          <w:szCs w:val="20"/>
          <w:lang w:val="ro-RO"/>
        </w:rPr>
        <w:t>ul</w:t>
      </w:r>
      <w:r w:rsidRPr="002C2900">
        <w:rPr>
          <w:rFonts w:ascii="Times New Roman" w:hAnsi="Times New Roman" w:cs="Times New Roman"/>
          <w:sz w:val="20"/>
          <w:szCs w:val="20"/>
          <w:lang w:val="ro-RO"/>
        </w:rPr>
        <w:t xml:space="preserve"> n</w:t>
      </w:r>
      <w:r w:rsidR="00495407">
        <w:rPr>
          <w:rFonts w:ascii="Times New Roman" w:hAnsi="Times New Roman" w:cs="Times New Roman"/>
          <w:sz w:val="20"/>
          <w:szCs w:val="20"/>
          <w:lang w:val="ro-RO"/>
        </w:rPr>
        <w:t>r</w:t>
      </w:r>
      <w:r w:rsidRPr="002C2900">
        <w:rPr>
          <w:rFonts w:ascii="Times New Roman" w:hAnsi="Times New Roman" w:cs="Times New Roman"/>
          <w:sz w:val="20"/>
          <w:szCs w:val="20"/>
          <w:lang w:val="ro-RO"/>
        </w:rPr>
        <w:t xml:space="preserve">. </w:t>
      </w:r>
      <w:r w:rsidR="002E6846" w:rsidRPr="002C2900">
        <w:rPr>
          <w:rFonts w:ascii="Times New Roman" w:hAnsi="Times New Roman" w:cs="Times New Roman"/>
          <w:sz w:val="20"/>
          <w:szCs w:val="20"/>
          <w:lang w:val="ro-RO"/>
        </w:rPr>
        <w:t>4 – Model Summary</w:t>
      </w:r>
      <w:r w:rsidR="000F11AB" w:rsidRPr="00C677AC">
        <w:rPr>
          <w:rFonts w:ascii="Times New Roman" w:hAnsi="Times New Roman" w:cs="Times New Roman"/>
          <w:b/>
          <w:bCs/>
          <w:sz w:val="20"/>
          <w:szCs w:val="20"/>
          <w:vertAlign w:val="superscript"/>
          <w:lang w:val="ro-RO"/>
        </w:rPr>
        <w:t>b</w:t>
      </w:r>
    </w:p>
    <w:tbl>
      <w:tblPr>
        <w:tblW w:w="89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
        <w:gridCol w:w="1253"/>
        <w:gridCol w:w="1330"/>
        <w:gridCol w:w="1798"/>
        <w:gridCol w:w="1798"/>
        <w:gridCol w:w="1808"/>
      </w:tblGrid>
      <w:tr w:rsidR="00EF40E9" w:rsidRPr="00C677AC" w14:paraId="6CA8516E" w14:textId="77777777" w:rsidTr="000F11AB">
        <w:trPr>
          <w:cantSplit/>
          <w:trHeight w:val="586"/>
          <w:jc w:val="center"/>
        </w:trPr>
        <w:tc>
          <w:tcPr>
            <w:tcW w:w="971" w:type="dxa"/>
            <w:tcBorders>
              <w:top w:val="nil"/>
              <w:left w:val="nil"/>
              <w:bottom w:val="single" w:sz="8" w:space="0" w:color="152935"/>
              <w:right w:val="nil"/>
            </w:tcBorders>
            <w:shd w:val="clear" w:color="auto" w:fill="FFFFFF"/>
            <w:vAlign w:val="bottom"/>
          </w:tcPr>
          <w:p w14:paraId="456B79CA" w14:textId="77777777" w:rsidR="00EF40E9" w:rsidRPr="00C677AC" w:rsidRDefault="00EF40E9" w:rsidP="00F549F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1253" w:type="dxa"/>
            <w:tcBorders>
              <w:top w:val="nil"/>
              <w:left w:val="nil"/>
              <w:bottom w:val="single" w:sz="8" w:space="0" w:color="152935"/>
              <w:right w:val="single" w:sz="8" w:space="0" w:color="E0E0E0"/>
            </w:tcBorders>
            <w:shd w:val="clear" w:color="auto" w:fill="FFFFFF"/>
            <w:vAlign w:val="bottom"/>
          </w:tcPr>
          <w:p w14:paraId="472C17D1"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R</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019A9A2D"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R Square</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23195D62"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Adjusted R Square</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1F20327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Std. Error of the Estimate</w:t>
            </w:r>
          </w:p>
        </w:tc>
        <w:tc>
          <w:tcPr>
            <w:tcW w:w="1808" w:type="dxa"/>
            <w:tcBorders>
              <w:top w:val="nil"/>
              <w:left w:val="single" w:sz="8" w:space="0" w:color="E0E0E0"/>
              <w:bottom w:val="single" w:sz="8" w:space="0" w:color="152935"/>
              <w:right w:val="nil"/>
            </w:tcBorders>
            <w:shd w:val="clear" w:color="auto" w:fill="FFFFFF"/>
            <w:vAlign w:val="bottom"/>
          </w:tcPr>
          <w:p w14:paraId="313C2D7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Durbin-Watson</w:t>
            </w:r>
          </w:p>
        </w:tc>
      </w:tr>
      <w:tr w:rsidR="002C2900" w:rsidRPr="00C677AC" w14:paraId="5323CD2D" w14:textId="77777777" w:rsidTr="000F11AB">
        <w:trPr>
          <w:cantSplit/>
          <w:trHeight w:val="239"/>
          <w:jc w:val="center"/>
        </w:trPr>
        <w:tc>
          <w:tcPr>
            <w:tcW w:w="971" w:type="dxa"/>
            <w:tcBorders>
              <w:top w:val="single" w:sz="8" w:space="0" w:color="152935"/>
              <w:left w:val="nil"/>
              <w:bottom w:val="single" w:sz="8" w:space="0" w:color="152935"/>
              <w:right w:val="nil"/>
            </w:tcBorders>
            <w:shd w:val="clear" w:color="auto" w:fill="E0E0E0"/>
          </w:tcPr>
          <w:p w14:paraId="1048D772" w14:textId="77777777" w:rsidR="002C2900" w:rsidRPr="00C677AC" w:rsidRDefault="002C2900" w:rsidP="002C2900">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1253" w:type="dxa"/>
            <w:tcBorders>
              <w:top w:val="single" w:sz="8" w:space="0" w:color="152935"/>
              <w:left w:val="nil"/>
              <w:bottom w:val="single" w:sz="8" w:space="0" w:color="152935"/>
              <w:right w:val="single" w:sz="8" w:space="0" w:color="E0E0E0"/>
            </w:tcBorders>
            <w:shd w:val="clear" w:color="auto" w:fill="FFFFFF"/>
          </w:tcPr>
          <w:p w14:paraId="557DF0A0" w14:textId="7547DD8C" w:rsidR="002C2900" w:rsidRPr="002C2900" w:rsidRDefault="002C2900" w:rsidP="002C2900">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2C2900">
              <w:rPr>
                <w:rFonts w:ascii="Times New Roman" w:hAnsi="Times New Roman" w:cs="Times New Roman"/>
                <w:sz w:val="18"/>
                <w:szCs w:val="18"/>
              </w:rPr>
              <w:t>,930</w:t>
            </w:r>
            <w:r w:rsidRPr="002C2900">
              <w:rPr>
                <w:rFonts w:ascii="Times New Roman" w:hAnsi="Times New Roman" w:cs="Times New Roman"/>
                <w:sz w:val="18"/>
                <w:szCs w:val="18"/>
                <w:vertAlign w:val="superscript"/>
              </w:rPr>
              <w:t>a</w:t>
            </w:r>
          </w:p>
        </w:tc>
        <w:tc>
          <w:tcPr>
            <w:tcW w:w="1330" w:type="dxa"/>
            <w:tcBorders>
              <w:top w:val="single" w:sz="8" w:space="0" w:color="152935"/>
              <w:left w:val="single" w:sz="8" w:space="0" w:color="E0E0E0"/>
              <w:bottom w:val="single" w:sz="8" w:space="0" w:color="152935"/>
              <w:right w:val="single" w:sz="8" w:space="0" w:color="E0E0E0"/>
            </w:tcBorders>
            <w:shd w:val="clear" w:color="auto" w:fill="FFFFFF"/>
          </w:tcPr>
          <w:p w14:paraId="5B851D83" w14:textId="05D7C73D" w:rsidR="002C2900" w:rsidRPr="002C2900" w:rsidRDefault="002C2900" w:rsidP="002C2900">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2C2900">
              <w:rPr>
                <w:rFonts w:ascii="Times New Roman" w:hAnsi="Times New Roman" w:cs="Times New Roman"/>
                <w:sz w:val="18"/>
                <w:szCs w:val="18"/>
              </w:rPr>
              <w:t>0.864</w:t>
            </w:r>
          </w:p>
        </w:tc>
        <w:tc>
          <w:tcPr>
            <w:tcW w:w="1798" w:type="dxa"/>
            <w:tcBorders>
              <w:top w:val="single" w:sz="8" w:space="0" w:color="152935"/>
              <w:left w:val="single" w:sz="8" w:space="0" w:color="E0E0E0"/>
              <w:bottom w:val="single" w:sz="8" w:space="0" w:color="152935"/>
              <w:right w:val="single" w:sz="8" w:space="0" w:color="E0E0E0"/>
            </w:tcBorders>
            <w:shd w:val="clear" w:color="auto" w:fill="FFFFFF"/>
          </w:tcPr>
          <w:p w14:paraId="1CCA204E" w14:textId="0E3D6E6A" w:rsidR="002C2900" w:rsidRPr="002C2900" w:rsidRDefault="002C2900" w:rsidP="002C2900">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2C2900">
              <w:rPr>
                <w:rFonts w:ascii="Times New Roman" w:hAnsi="Times New Roman" w:cs="Times New Roman"/>
                <w:sz w:val="18"/>
                <w:szCs w:val="18"/>
              </w:rPr>
              <w:t>0.783</w:t>
            </w:r>
          </w:p>
        </w:tc>
        <w:tc>
          <w:tcPr>
            <w:tcW w:w="1798" w:type="dxa"/>
            <w:tcBorders>
              <w:top w:val="single" w:sz="8" w:space="0" w:color="152935"/>
              <w:left w:val="single" w:sz="8" w:space="0" w:color="E0E0E0"/>
              <w:bottom w:val="single" w:sz="8" w:space="0" w:color="152935"/>
              <w:right w:val="single" w:sz="8" w:space="0" w:color="E0E0E0"/>
            </w:tcBorders>
            <w:shd w:val="clear" w:color="auto" w:fill="FFFFFF"/>
          </w:tcPr>
          <w:p w14:paraId="11461187" w14:textId="4B202C96" w:rsidR="002C2900" w:rsidRPr="002C2900" w:rsidRDefault="002C2900" w:rsidP="002C2900">
            <w:pPr>
              <w:jc w:val="right"/>
              <w:rPr>
                <w:rFonts w:ascii="Times New Roman" w:hAnsi="Times New Roman" w:cs="Times New Roman"/>
                <w:sz w:val="18"/>
                <w:szCs w:val="18"/>
                <w:lang w:val="ro-RO"/>
              </w:rPr>
            </w:pPr>
            <w:r w:rsidRPr="002C2900">
              <w:rPr>
                <w:rFonts w:ascii="Times New Roman" w:hAnsi="Times New Roman" w:cs="Times New Roman"/>
                <w:sz w:val="18"/>
                <w:szCs w:val="18"/>
              </w:rPr>
              <w:t>2.6467</w:t>
            </w:r>
          </w:p>
        </w:tc>
        <w:tc>
          <w:tcPr>
            <w:tcW w:w="1808" w:type="dxa"/>
            <w:tcBorders>
              <w:top w:val="single" w:sz="8" w:space="0" w:color="152935"/>
              <w:left w:val="single" w:sz="8" w:space="0" w:color="E0E0E0"/>
              <w:bottom w:val="single" w:sz="8" w:space="0" w:color="152935"/>
              <w:right w:val="nil"/>
            </w:tcBorders>
            <w:shd w:val="clear" w:color="auto" w:fill="FFFFFF"/>
          </w:tcPr>
          <w:p w14:paraId="481B1C91" w14:textId="11ED78AC" w:rsidR="002C2900" w:rsidRPr="002C2900" w:rsidRDefault="002C2900" w:rsidP="002C2900">
            <w:pPr>
              <w:jc w:val="right"/>
              <w:rPr>
                <w:rFonts w:ascii="Times New Roman" w:hAnsi="Times New Roman" w:cs="Times New Roman"/>
                <w:sz w:val="18"/>
                <w:szCs w:val="18"/>
                <w:lang w:val="ro-RO"/>
              </w:rPr>
            </w:pPr>
            <w:r w:rsidRPr="002C2900">
              <w:rPr>
                <w:rFonts w:ascii="Times New Roman" w:hAnsi="Times New Roman" w:cs="Times New Roman"/>
                <w:sz w:val="18"/>
                <w:szCs w:val="18"/>
              </w:rPr>
              <w:t>1.988</w:t>
            </w:r>
          </w:p>
        </w:tc>
      </w:tr>
      <w:tr w:rsidR="00EF40E9" w:rsidRPr="00C677AC" w14:paraId="0500100A" w14:textId="77777777" w:rsidTr="000F11AB">
        <w:trPr>
          <w:cantSplit/>
          <w:trHeight w:val="287"/>
          <w:jc w:val="center"/>
        </w:trPr>
        <w:tc>
          <w:tcPr>
            <w:tcW w:w="8958" w:type="dxa"/>
            <w:gridSpan w:val="6"/>
            <w:tcBorders>
              <w:top w:val="nil"/>
              <w:left w:val="nil"/>
              <w:bottom w:val="nil"/>
              <w:right w:val="nil"/>
            </w:tcBorders>
            <w:shd w:val="clear" w:color="auto" w:fill="FFFFFF"/>
          </w:tcPr>
          <w:p w14:paraId="1F8323C5" w14:textId="29A3BC1D"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a. Predictors: Constant</w:t>
            </w:r>
            <w:r w:rsidR="00495407">
              <w:rPr>
                <w:rFonts w:ascii="Arial" w:hAnsi="Arial" w:cs="Arial"/>
                <w:color w:val="010205"/>
                <w:sz w:val="18"/>
                <w:szCs w:val="18"/>
                <w:lang w:val="ro-RO"/>
              </w:rPr>
              <w:t>,</w:t>
            </w:r>
            <w:r w:rsidR="002C2900">
              <w:t xml:space="preserve"> </w:t>
            </w:r>
            <w:r w:rsidR="002C2900" w:rsidRPr="002C2900">
              <w:rPr>
                <w:rFonts w:ascii="Arial" w:hAnsi="Arial" w:cs="Arial"/>
                <w:color w:val="010205"/>
                <w:sz w:val="18"/>
                <w:szCs w:val="18"/>
                <w:lang w:val="ro-RO"/>
              </w:rPr>
              <w:t>U, EG, I</w:t>
            </w:r>
          </w:p>
        </w:tc>
      </w:tr>
      <w:tr w:rsidR="00EF40E9" w:rsidRPr="00C677AC" w14:paraId="75A7C3D2" w14:textId="77777777" w:rsidTr="000F11AB">
        <w:trPr>
          <w:cantSplit/>
          <w:trHeight w:val="298"/>
          <w:jc w:val="center"/>
        </w:trPr>
        <w:tc>
          <w:tcPr>
            <w:tcW w:w="8958" w:type="dxa"/>
            <w:gridSpan w:val="6"/>
            <w:tcBorders>
              <w:top w:val="nil"/>
              <w:left w:val="nil"/>
              <w:bottom w:val="nil"/>
              <w:right w:val="nil"/>
            </w:tcBorders>
            <w:shd w:val="clear" w:color="auto" w:fill="FFFFFF"/>
          </w:tcPr>
          <w:p w14:paraId="6E741071" w14:textId="3A8F995B"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b. Dependent Variable: </w:t>
            </w:r>
            <w:r w:rsidR="002C2900">
              <w:rPr>
                <w:rFonts w:ascii="Arial" w:hAnsi="Arial" w:cs="Arial"/>
                <w:color w:val="010205"/>
                <w:sz w:val="18"/>
                <w:szCs w:val="18"/>
                <w:lang w:val="ro-RO"/>
              </w:rPr>
              <w:t>BI</w:t>
            </w:r>
          </w:p>
        </w:tc>
      </w:tr>
    </w:tbl>
    <w:p w14:paraId="3CFFB8C2" w14:textId="77777777" w:rsidR="002C2900" w:rsidRPr="008201DB" w:rsidRDefault="002C2900" w:rsidP="002C2900">
      <w:pPr>
        <w:autoSpaceDE w:val="0"/>
        <w:autoSpaceDN w:val="0"/>
        <w:adjustRightInd w:val="0"/>
        <w:spacing w:before="240" w:line="240" w:lineRule="auto"/>
        <w:jc w:val="center"/>
        <w:rPr>
          <w:rFonts w:ascii="Times New Roman" w:hAnsi="Times New Roman" w:cs="Times New Roman"/>
          <w:sz w:val="20"/>
          <w:szCs w:val="20"/>
          <w:lang w:val="fr-FR"/>
        </w:rPr>
      </w:pPr>
      <w:proofErr w:type="spellStart"/>
      <w:r w:rsidRPr="008201DB">
        <w:rPr>
          <w:rFonts w:ascii="Times New Roman" w:hAnsi="Times New Roman" w:cs="Times New Roman"/>
          <w:sz w:val="20"/>
          <w:szCs w:val="20"/>
          <w:lang w:val="fr-FR"/>
        </w:rPr>
        <w:t>Sursa</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Prelucrare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proprie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în</w:t>
      </w:r>
      <w:proofErr w:type="spellEnd"/>
      <w:r w:rsidRPr="008201DB">
        <w:rPr>
          <w:rFonts w:ascii="Times New Roman" w:hAnsi="Times New Roman" w:cs="Times New Roman"/>
          <w:sz w:val="20"/>
          <w:szCs w:val="20"/>
          <w:lang w:val="fr-FR"/>
        </w:rPr>
        <w:t xml:space="preserve"> SPSS 26</w:t>
      </w:r>
    </w:p>
    <w:p w14:paraId="12A20814" w14:textId="3B656922" w:rsidR="00E406BC" w:rsidRPr="006B5E55" w:rsidRDefault="00980597" w:rsidP="00E406BC">
      <w:pPr>
        <w:spacing w:after="0" w:line="240" w:lineRule="auto"/>
        <w:ind w:right="-94" w:firstLine="567"/>
        <w:jc w:val="both"/>
        <w:rPr>
          <w:rFonts w:ascii="Times New Roman" w:hAnsi="Times New Roman" w:cs="Times New Roman"/>
          <w:bCs/>
          <w:color w:val="000000" w:themeColor="text1" w:themeShade="BF"/>
          <w:sz w:val="24"/>
          <w:szCs w:val="24"/>
          <w:lang w:val="ro-RO" w:eastAsia="ro-RO"/>
        </w:rPr>
      </w:pPr>
      <w:r w:rsidRPr="006B5E55">
        <w:rPr>
          <w:rFonts w:ascii="Times New Roman" w:hAnsi="Times New Roman" w:cs="Times New Roman"/>
          <w:bCs/>
          <w:color w:val="000000" w:themeColor="text1" w:themeShade="BF"/>
          <w:sz w:val="24"/>
          <w:szCs w:val="24"/>
          <w:lang w:val="ro-RO" w:eastAsia="ro-RO"/>
        </w:rPr>
        <w:t>Nivelurile r</w:t>
      </w:r>
      <w:r w:rsidR="002C2900" w:rsidRPr="006B5E55">
        <w:rPr>
          <w:rFonts w:ascii="Times New Roman" w:hAnsi="Times New Roman" w:cs="Times New Roman"/>
          <w:bCs/>
          <w:color w:val="000000" w:themeColor="text1" w:themeShade="BF"/>
          <w:sz w:val="24"/>
          <w:szCs w:val="24"/>
          <w:lang w:val="ro-RO" w:eastAsia="ro-RO"/>
        </w:rPr>
        <w:t>aportul de corelație multiplă R este 0,9</w:t>
      </w:r>
      <w:r w:rsidRPr="006B5E55">
        <w:rPr>
          <w:rFonts w:ascii="Times New Roman" w:hAnsi="Times New Roman" w:cs="Times New Roman"/>
          <w:bCs/>
          <w:color w:val="000000" w:themeColor="text1" w:themeShade="BF"/>
          <w:sz w:val="24"/>
          <w:szCs w:val="24"/>
          <w:lang w:val="ro-RO" w:eastAsia="ro-RO"/>
        </w:rPr>
        <w:t xml:space="preserve">30 ceea ce arată o </w:t>
      </w:r>
      <w:r w:rsidR="006B5E55" w:rsidRPr="006B5E55">
        <w:rPr>
          <w:rFonts w:ascii="Times New Roman" w:hAnsi="Times New Roman" w:cs="Times New Roman"/>
          <w:bCs/>
          <w:color w:val="000000" w:themeColor="text1" w:themeShade="BF"/>
          <w:sz w:val="24"/>
          <w:szCs w:val="24"/>
          <w:lang w:val="ro-RO" w:eastAsia="ro-RO"/>
        </w:rPr>
        <w:t>legătură</w:t>
      </w:r>
      <w:r w:rsidRPr="006B5E55">
        <w:rPr>
          <w:rFonts w:ascii="Times New Roman" w:hAnsi="Times New Roman" w:cs="Times New Roman"/>
          <w:bCs/>
          <w:color w:val="000000" w:themeColor="text1" w:themeShade="BF"/>
          <w:sz w:val="24"/>
          <w:szCs w:val="24"/>
          <w:lang w:val="ro-RO" w:eastAsia="ro-RO"/>
        </w:rPr>
        <w:t xml:space="preserve"> puternică între indicele de faliment și variabilele macroeconomice independente, fiind apropiat de valoarea 1. In același timp, r</w:t>
      </w:r>
      <w:r w:rsidR="002C2900" w:rsidRPr="006B5E55">
        <w:rPr>
          <w:rFonts w:ascii="Times New Roman" w:hAnsi="Times New Roman" w:cs="Times New Roman"/>
          <w:bCs/>
          <w:color w:val="000000" w:themeColor="text1" w:themeShade="BF"/>
          <w:sz w:val="24"/>
          <w:szCs w:val="24"/>
          <w:lang w:val="ro-RO" w:eastAsia="ro-RO"/>
        </w:rPr>
        <w:t xml:space="preserve">aportul de determinație R Square </w:t>
      </w:r>
      <w:r w:rsidRPr="006B5E55">
        <w:rPr>
          <w:rFonts w:ascii="Times New Roman" w:hAnsi="Times New Roman" w:cs="Times New Roman"/>
          <w:bCs/>
          <w:color w:val="000000" w:themeColor="text1" w:themeShade="BF"/>
          <w:sz w:val="24"/>
          <w:szCs w:val="24"/>
          <w:lang w:val="ro-RO" w:eastAsia="ro-RO"/>
        </w:rPr>
        <w:t>arat</w:t>
      </w:r>
      <w:r w:rsidR="00495407" w:rsidRPr="006B5E55">
        <w:rPr>
          <w:rFonts w:ascii="Times New Roman" w:hAnsi="Times New Roman" w:cs="Times New Roman"/>
          <w:bCs/>
          <w:color w:val="000000" w:themeColor="text1" w:themeShade="BF"/>
          <w:sz w:val="24"/>
          <w:szCs w:val="24"/>
          <w:lang w:val="ro-RO" w:eastAsia="ro-RO"/>
        </w:rPr>
        <w:t>ă că 86.4% din variația indicelui de faliment este explicat de variabilele mac</w:t>
      </w:r>
      <w:r w:rsidR="006B5E55">
        <w:rPr>
          <w:rFonts w:ascii="Times New Roman" w:hAnsi="Times New Roman" w:cs="Times New Roman"/>
          <w:bCs/>
          <w:color w:val="000000" w:themeColor="text1" w:themeShade="BF"/>
          <w:sz w:val="24"/>
          <w:szCs w:val="24"/>
          <w:lang w:val="ro-RO" w:eastAsia="ro-RO"/>
        </w:rPr>
        <w:t>ro-</w:t>
      </w:r>
      <w:r w:rsidR="00495407" w:rsidRPr="006B5E55">
        <w:rPr>
          <w:rFonts w:ascii="Times New Roman" w:hAnsi="Times New Roman" w:cs="Times New Roman"/>
          <w:bCs/>
          <w:color w:val="000000" w:themeColor="text1" w:themeShade="BF"/>
          <w:sz w:val="24"/>
          <w:szCs w:val="24"/>
          <w:lang w:val="ro-RO" w:eastAsia="ro-RO"/>
        </w:rPr>
        <w:t xml:space="preserve">economice incluse în model. Se poate concluziona ca modelul este valid și robust, confirmat si de valoarea </w:t>
      </w:r>
      <w:r w:rsidR="002C2900" w:rsidRPr="006B5E55">
        <w:rPr>
          <w:rFonts w:ascii="Times New Roman" w:hAnsi="Times New Roman" w:cs="Times New Roman"/>
          <w:bCs/>
          <w:color w:val="000000" w:themeColor="text1" w:themeShade="BF"/>
          <w:sz w:val="24"/>
          <w:szCs w:val="24"/>
          <w:lang w:val="ro-RO" w:eastAsia="ro-RO"/>
        </w:rPr>
        <w:t>raportul de determinație ajustat</w:t>
      </w:r>
      <w:r w:rsidR="00495407" w:rsidRPr="006B5E55">
        <w:rPr>
          <w:rFonts w:ascii="Times New Roman" w:hAnsi="Times New Roman" w:cs="Times New Roman"/>
          <w:bCs/>
          <w:color w:val="000000" w:themeColor="text1" w:themeShade="BF"/>
          <w:sz w:val="24"/>
          <w:szCs w:val="24"/>
          <w:lang w:val="ro-RO" w:eastAsia="ro-RO"/>
        </w:rPr>
        <w:t xml:space="preserve">, 0.783. </w:t>
      </w:r>
    </w:p>
    <w:p w14:paraId="52CE0EA9" w14:textId="77777777" w:rsidR="00A853B5" w:rsidRDefault="00A853B5" w:rsidP="00581FC7">
      <w:pPr>
        <w:autoSpaceDE w:val="0"/>
        <w:autoSpaceDN w:val="0"/>
        <w:adjustRightInd w:val="0"/>
        <w:spacing w:after="0" w:line="240" w:lineRule="auto"/>
        <w:jc w:val="center"/>
        <w:rPr>
          <w:rFonts w:ascii="Times New Roman" w:hAnsi="Times New Roman" w:cs="Times New Roman"/>
          <w:sz w:val="20"/>
          <w:szCs w:val="20"/>
          <w:lang w:val="ro-RO"/>
        </w:rPr>
      </w:pPr>
    </w:p>
    <w:p w14:paraId="771EB580" w14:textId="072C8A9B" w:rsidR="00581FC7" w:rsidRPr="00E406BC" w:rsidRDefault="00581FC7" w:rsidP="00581FC7">
      <w:pPr>
        <w:autoSpaceDE w:val="0"/>
        <w:autoSpaceDN w:val="0"/>
        <w:adjustRightInd w:val="0"/>
        <w:spacing w:after="0" w:line="240" w:lineRule="auto"/>
        <w:jc w:val="center"/>
        <w:rPr>
          <w:rFonts w:ascii="Times New Roman" w:hAnsi="Times New Roman" w:cs="Times New Roman"/>
          <w:sz w:val="24"/>
          <w:szCs w:val="24"/>
          <w:lang w:val="ro-RO"/>
        </w:rPr>
      </w:pPr>
      <w:r w:rsidRPr="00E406BC">
        <w:rPr>
          <w:rFonts w:ascii="Times New Roman" w:hAnsi="Times New Roman" w:cs="Times New Roman"/>
          <w:sz w:val="20"/>
          <w:szCs w:val="20"/>
          <w:lang w:val="ro-RO"/>
        </w:rPr>
        <w:t>Tab</w:t>
      </w:r>
      <w:r>
        <w:rPr>
          <w:rFonts w:ascii="Times New Roman" w:hAnsi="Times New Roman" w:cs="Times New Roman"/>
          <w:sz w:val="20"/>
          <w:szCs w:val="20"/>
          <w:lang w:val="ro-RO"/>
        </w:rPr>
        <w:t>elul</w:t>
      </w:r>
      <w:r w:rsidRPr="00E406BC">
        <w:rPr>
          <w:rFonts w:ascii="Times New Roman" w:hAnsi="Times New Roman" w:cs="Times New Roman"/>
          <w:sz w:val="20"/>
          <w:szCs w:val="20"/>
          <w:lang w:val="ro-RO"/>
        </w:rPr>
        <w:t xml:space="preserve"> n</w:t>
      </w:r>
      <w:r>
        <w:rPr>
          <w:rFonts w:ascii="Times New Roman" w:hAnsi="Times New Roman" w:cs="Times New Roman"/>
          <w:sz w:val="20"/>
          <w:szCs w:val="20"/>
          <w:lang w:val="ro-RO"/>
        </w:rPr>
        <w:t>r. 5</w:t>
      </w:r>
      <w:r w:rsidRPr="00E406BC">
        <w:rPr>
          <w:rFonts w:ascii="Times New Roman" w:hAnsi="Times New Roman" w:cs="Times New Roman"/>
          <w:sz w:val="20"/>
          <w:szCs w:val="20"/>
          <w:lang w:val="ro-RO"/>
        </w:rPr>
        <w:t xml:space="preserve"> – ANOVA</w:t>
      </w:r>
      <w:r w:rsidRPr="00E406BC">
        <w:rPr>
          <w:rFonts w:ascii="Times New Roman" w:hAnsi="Times New Roman" w:cs="Times New Roman"/>
          <w:sz w:val="20"/>
          <w:szCs w:val="20"/>
          <w:vertAlign w:val="superscript"/>
          <w:lang w:val="ro-RO"/>
        </w:rPr>
        <w:t>a</w:t>
      </w:r>
      <w:r w:rsidRPr="00E406BC">
        <w:rPr>
          <w:rFonts w:ascii="Times New Roman" w:hAnsi="Times New Roman" w:cs="Times New Roman"/>
          <w:sz w:val="20"/>
          <w:szCs w:val="20"/>
          <w:lang w:val="ro-RO"/>
        </w:rPr>
        <w:t xml:space="preserve"> Test</w:t>
      </w:r>
    </w:p>
    <w:tbl>
      <w:tblPr>
        <w:tblW w:w="8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399"/>
        <w:gridCol w:w="1596"/>
        <w:gridCol w:w="1113"/>
        <w:gridCol w:w="1530"/>
        <w:gridCol w:w="1113"/>
        <w:gridCol w:w="1123"/>
      </w:tblGrid>
      <w:tr w:rsidR="00581FC7" w:rsidRPr="00C677AC" w14:paraId="7B2475A7" w14:textId="77777777" w:rsidTr="000C0D5E">
        <w:trPr>
          <w:cantSplit/>
          <w:trHeight w:val="198"/>
          <w:jc w:val="center"/>
        </w:trPr>
        <w:tc>
          <w:tcPr>
            <w:tcW w:w="8669" w:type="dxa"/>
            <w:gridSpan w:val="7"/>
            <w:tcBorders>
              <w:top w:val="nil"/>
              <w:left w:val="nil"/>
              <w:bottom w:val="nil"/>
              <w:right w:val="nil"/>
            </w:tcBorders>
            <w:shd w:val="clear" w:color="auto" w:fill="FFFFFF"/>
            <w:vAlign w:val="center"/>
          </w:tcPr>
          <w:p w14:paraId="7025F492"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010205"/>
                <w:lang w:val="ro-RO"/>
              </w:rPr>
            </w:pPr>
          </w:p>
        </w:tc>
      </w:tr>
      <w:tr w:rsidR="00581FC7" w:rsidRPr="00C677AC" w14:paraId="4B3CCB5E" w14:textId="77777777" w:rsidTr="000C0D5E">
        <w:trPr>
          <w:cantSplit/>
          <w:trHeight w:val="191"/>
          <w:jc w:val="center"/>
        </w:trPr>
        <w:tc>
          <w:tcPr>
            <w:tcW w:w="2194" w:type="dxa"/>
            <w:gridSpan w:val="2"/>
            <w:tcBorders>
              <w:top w:val="nil"/>
              <w:left w:val="nil"/>
              <w:bottom w:val="single" w:sz="8" w:space="0" w:color="152935"/>
              <w:right w:val="nil"/>
            </w:tcBorders>
            <w:shd w:val="clear" w:color="auto" w:fill="FFFFFF"/>
            <w:vAlign w:val="bottom"/>
          </w:tcPr>
          <w:p w14:paraId="40C2882C"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1596" w:type="dxa"/>
            <w:tcBorders>
              <w:top w:val="nil"/>
              <w:left w:val="nil"/>
              <w:bottom w:val="single" w:sz="8" w:space="0" w:color="152935"/>
              <w:right w:val="single" w:sz="8" w:space="0" w:color="E0E0E0"/>
            </w:tcBorders>
            <w:shd w:val="clear" w:color="auto" w:fill="FFFFFF"/>
            <w:vAlign w:val="bottom"/>
          </w:tcPr>
          <w:p w14:paraId="01EEC73F"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Sum of Squares</w:t>
            </w:r>
          </w:p>
        </w:tc>
        <w:tc>
          <w:tcPr>
            <w:tcW w:w="1113" w:type="dxa"/>
            <w:tcBorders>
              <w:top w:val="nil"/>
              <w:left w:val="single" w:sz="8" w:space="0" w:color="E0E0E0"/>
              <w:bottom w:val="single" w:sz="8" w:space="0" w:color="152935"/>
              <w:right w:val="single" w:sz="8" w:space="0" w:color="E0E0E0"/>
            </w:tcBorders>
            <w:shd w:val="clear" w:color="auto" w:fill="FFFFFF"/>
            <w:vAlign w:val="bottom"/>
          </w:tcPr>
          <w:p w14:paraId="405E6566"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df</w:t>
            </w:r>
          </w:p>
        </w:tc>
        <w:tc>
          <w:tcPr>
            <w:tcW w:w="1530" w:type="dxa"/>
            <w:tcBorders>
              <w:top w:val="nil"/>
              <w:left w:val="single" w:sz="8" w:space="0" w:color="E0E0E0"/>
              <w:bottom w:val="single" w:sz="8" w:space="0" w:color="152935"/>
              <w:right w:val="single" w:sz="8" w:space="0" w:color="E0E0E0"/>
            </w:tcBorders>
            <w:shd w:val="clear" w:color="auto" w:fill="FFFFFF"/>
            <w:vAlign w:val="bottom"/>
          </w:tcPr>
          <w:p w14:paraId="0064C5AA"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Mean Square</w:t>
            </w:r>
          </w:p>
        </w:tc>
        <w:tc>
          <w:tcPr>
            <w:tcW w:w="1113" w:type="dxa"/>
            <w:tcBorders>
              <w:top w:val="nil"/>
              <w:left w:val="single" w:sz="8" w:space="0" w:color="E0E0E0"/>
              <w:bottom w:val="single" w:sz="8" w:space="0" w:color="152935"/>
              <w:right w:val="single" w:sz="8" w:space="0" w:color="E0E0E0"/>
            </w:tcBorders>
            <w:shd w:val="clear" w:color="auto" w:fill="FFFFFF"/>
            <w:vAlign w:val="bottom"/>
          </w:tcPr>
          <w:p w14:paraId="34FFB970"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F</w:t>
            </w:r>
          </w:p>
        </w:tc>
        <w:tc>
          <w:tcPr>
            <w:tcW w:w="1123" w:type="dxa"/>
            <w:tcBorders>
              <w:top w:val="nil"/>
              <w:left w:val="single" w:sz="8" w:space="0" w:color="E0E0E0"/>
              <w:bottom w:val="single" w:sz="8" w:space="0" w:color="152935"/>
              <w:right w:val="nil"/>
            </w:tcBorders>
            <w:shd w:val="clear" w:color="auto" w:fill="FFFFFF"/>
            <w:vAlign w:val="bottom"/>
          </w:tcPr>
          <w:p w14:paraId="5179DDBF"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Sig.</w:t>
            </w:r>
          </w:p>
        </w:tc>
      </w:tr>
      <w:tr w:rsidR="00581FC7" w:rsidRPr="00C677AC" w14:paraId="623E0B08" w14:textId="77777777" w:rsidTr="000C0D5E">
        <w:trPr>
          <w:cantSplit/>
          <w:trHeight w:val="198"/>
          <w:jc w:val="center"/>
        </w:trPr>
        <w:tc>
          <w:tcPr>
            <w:tcW w:w="795" w:type="dxa"/>
            <w:vMerge w:val="restart"/>
            <w:tcBorders>
              <w:top w:val="single" w:sz="8" w:space="0" w:color="152935"/>
              <w:left w:val="nil"/>
              <w:bottom w:val="single" w:sz="8" w:space="0" w:color="152935"/>
              <w:right w:val="nil"/>
            </w:tcBorders>
            <w:shd w:val="clear" w:color="auto" w:fill="E0E0E0"/>
          </w:tcPr>
          <w:p w14:paraId="7652ACF6"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1399" w:type="dxa"/>
            <w:tcBorders>
              <w:top w:val="single" w:sz="8" w:space="0" w:color="152935"/>
              <w:left w:val="nil"/>
              <w:bottom w:val="single" w:sz="8" w:space="0" w:color="AEAEAE"/>
              <w:right w:val="nil"/>
            </w:tcBorders>
            <w:shd w:val="clear" w:color="auto" w:fill="E0E0E0"/>
          </w:tcPr>
          <w:p w14:paraId="5CC25513"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Regression</w:t>
            </w:r>
          </w:p>
        </w:tc>
        <w:tc>
          <w:tcPr>
            <w:tcW w:w="1596" w:type="dxa"/>
            <w:tcBorders>
              <w:top w:val="single" w:sz="8" w:space="0" w:color="152935"/>
              <w:left w:val="nil"/>
              <w:bottom w:val="single" w:sz="8" w:space="0" w:color="AEAEAE"/>
              <w:right w:val="single" w:sz="8" w:space="0" w:color="E0E0E0"/>
            </w:tcBorders>
            <w:shd w:val="clear" w:color="auto" w:fill="FFFFFF"/>
          </w:tcPr>
          <w:p w14:paraId="26468F8C"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223.223</w:t>
            </w:r>
          </w:p>
        </w:tc>
        <w:tc>
          <w:tcPr>
            <w:tcW w:w="1113" w:type="dxa"/>
            <w:tcBorders>
              <w:top w:val="single" w:sz="8" w:space="0" w:color="152935"/>
              <w:left w:val="single" w:sz="8" w:space="0" w:color="E0E0E0"/>
              <w:bottom w:val="single" w:sz="8" w:space="0" w:color="AEAEAE"/>
              <w:right w:val="single" w:sz="8" w:space="0" w:color="E0E0E0"/>
            </w:tcBorders>
            <w:shd w:val="clear" w:color="auto" w:fill="FFFFFF"/>
          </w:tcPr>
          <w:p w14:paraId="7BFDB8EF"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3</w:t>
            </w:r>
          </w:p>
        </w:tc>
        <w:tc>
          <w:tcPr>
            <w:tcW w:w="1530" w:type="dxa"/>
            <w:tcBorders>
              <w:top w:val="single" w:sz="8" w:space="0" w:color="152935"/>
              <w:left w:val="single" w:sz="8" w:space="0" w:color="E0E0E0"/>
              <w:bottom w:val="single" w:sz="8" w:space="0" w:color="AEAEAE"/>
              <w:right w:val="single" w:sz="8" w:space="0" w:color="E0E0E0"/>
            </w:tcBorders>
            <w:shd w:val="clear" w:color="auto" w:fill="FFFFFF"/>
          </w:tcPr>
          <w:p w14:paraId="4FACA92D"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74.408</w:t>
            </w:r>
          </w:p>
        </w:tc>
        <w:tc>
          <w:tcPr>
            <w:tcW w:w="1113" w:type="dxa"/>
            <w:tcBorders>
              <w:top w:val="single" w:sz="8" w:space="0" w:color="152935"/>
              <w:left w:val="single" w:sz="8" w:space="0" w:color="E0E0E0"/>
              <w:bottom w:val="single" w:sz="8" w:space="0" w:color="AEAEAE"/>
              <w:right w:val="single" w:sz="8" w:space="0" w:color="E0E0E0"/>
            </w:tcBorders>
            <w:shd w:val="clear" w:color="auto" w:fill="FFFFFF"/>
          </w:tcPr>
          <w:p w14:paraId="2DE30308"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10.622</w:t>
            </w:r>
          </w:p>
        </w:tc>
        <w:tc>
          <w:tcPr>
            <w:tcW w:w="1123" w:type="dxa"/>
            <w:tcBorders>
              <w:top w:val="single" w:sz="8" w:space="0" w:color="152935"/>
              <w:left w:val="single" w:sz="8" w:space="0" w:color="E0E0E0"/>
              <w:bottom w:val="single" w:sz="8" w:space="0" w:color="AEAEAE"/>
              <w:right w:val="nil"/>
            </w:tcBorders>
            <w:shd w:val="clear" w:color="auto" w:fill="FFFFFF"/>
          </w:tcPr>
          <w:p w14:paraId="78F82205"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,013</w:t>
            </w:r>
            <w:r w:rsidRPr="00495407">
              <w:rPr>
                <w:rFonts w:ascii="Times New Roman" w:hAnsi="Times New Roman" w:cs="Times New Roman"/>
                <w:sz w:val="18"/>
                <w:szCs w:val="18"/>
                <w:vertAlign w:val="superscript"/>
              </w:rPr>
              <w:t>b</w:t>
            </w:r>
          </w:p>
        </w:tc>
      </w:tr>
      <w:tr w:rsidR="00581FC7" w:rsidRPr="00C677AC" w14:paraId="3E1179F7" w14:textId="77777777" w:rsidTr="000C0D5E">
        <w:trPr>
          <w:cantSplit/>
          <w:trHeight w:val="88"/>
          <w:jc w:val="center"/>
        </w:trPr>
        <w:tc>
          <w:tcPr>
            <w:tcW w:w="795" w:type="dxa"/>
            <w:vMerge/>
            <w:tcBorders>
              <w:top w:val="single" w:sz="8" w:space="0" w:color="152935"/>
              <w:left w:val="nil"/>
              <w:bottom w:val="single" w:sz="8" w:space="0" w:color="152935"/>
              <w:right w:val="nil"/>
            </w:tcBorders>
            <w:shd w:val="clear" w:color="auto" w:fill="E0E0E0"/>
          </w:tcPr>
          <w:p w14:paraId="013A1D6F" w14:textId="77777777" w:rsidR="00581FC7" w:rsidRPr="00C677AC" w:rsidRDefault="00581FC7" w:rsidP="000C0D5E">
            <w:pPr>
              <w:autoSpaceDE w:val="0"/>
              <w:autoSpaceDN w:val="0"/>
              <w:adjustRightInd w:val="0"/>
              <w:spacing w:after="0" w:line="240" w:lineRule="auto"/>
              <w:rPr>
                <w:rFonts w:ascii="Arial" w:hAnsi="Arial" w:cs="Arial"/>
                <w:color w:val="010205"/>
                <w:sz w:val="18"/>
                <w:szCs w:val="18"/>
                <w:lang w:val="ro-RO"/>
              </w:rPr>
            </w:pPr>
          </w:p>
        </w:tc>
        <w:tc>
          <w:tcPr>
            <w:tcW w:w="1399" w:type="dxa"/>
            <w:tcBorders>
              <w:top w:val="single" w:sz="8" w:space="0" w:color="AEAEAE"/>
              <w:left w:val="nil"/>
              <w:bottom w:val="single" w:sz="8" w:space="0" w:color="AEAEAE"/>
              <w:right w:val="nil"/>
            </w:tcBorders>
            <w:shd w:val="clear" w:color="auto" w:fill="E0E0E0"/>
          </w:tcPr>
          <w:p w14:paraId="2D87D18A"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Residual</w:t>
            </w:r>
          </w:p>
        </w:tc>
        <w:tc>
          <w:tcPr>
            <w:tcW w:w="1596" w:type="dxa"/>
            <w:tcBorders>
              <w:top w:val="single" w:sz="8" w:space="0" w:color="AEAEAE"/>
              <w:left w:val="nil"/>
              <w:bottom w:val="single" w:sz="8" w:space="0" w:color="AEAEAE"/>
              <w:right w:val="single" w:sz="8" w:space="0" w:color="E0E0E0"/>
            </w:tcBorders>
            <w:shd w:val="clear" w:color="auto" w:fill="FFFFFF"/>
          </w:tcPr>
          <w:p w14:paraId="4E7E6709"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35.026</w:t>
            </w:r>
          </w:p>
        </w:tc>
        <w:tc>
          <w:tcPr>
            <w:tcW w:w="1113" w:type="dxa"/>
            <w:tcBorders>
              <w:top w:val="single" w:sz="8" w:space="0" w:color="AEAEAE"/>
              <w:left w:val="single" w:sz="8" w:space="0" w:color="E0E0E0"/>
              <w:bottom w:val="single" w:sz="8" w:space="0" w:color="AEAEAE"/>
              <w:right w:val="single" w:sz="8" w:space="0" w:color="E0E0E0"/>
            </w:tcBorders>
            <w:shd w:val="clear" w:color="auto" w:fill="FFFFFF"/>
          </w:tcPr>
          <w:p w14:paraId="6243A9AF"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5</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14:paraId="58D185D3"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7.005</w:t>
            </w:r>
          </w:p>
        </w:tc>
        <w:tc>
          <w:tcPr>
            <w:tcW w:w="1113" w:type="dxa"/>
            <w:tcBorders>
              <w:top w:val="single" w:sz="8" w:space="0" w:color="AEAEAE"/>
              <w:left w:val="single" w:sz="8" w:space="0" w:color="E0E0E0"/>
              <w:bottom w:val="single" w:sz="8" w:space="0" w:color="AEAEAE"/>
              <w:right w:val="single" w:sz="8" w:space="0" w:color="E0E0E0"/>
            </w:tcBorders>
            <w:shd w:val="clear" w:color="auto" w:fill="FFFFFF"/>
          </w:tcPr>
          <w:p w14:paraId="7907D507"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c>
          <w:tcPr>
            <w:tcW w:w="1123" w:type="dxa"/>
            <w:tcBorders>
              <w:top w:val="single" w:sz="8" w:space="0" w:color="AEAEAE"/>
              <w:left w:val="single" w:sz="8" w:space="0" w:color="E0E0E0"/>
              <w:bottom w:val="single" w:sz="8" w:space="0" w:color="AEAEAE"/>
              <w:right w:val="nil"/>
            </w:tcBorders>
            <w:shd w:val="clear" w:color="auto" w:fill="FFFFFF"/>
          </w:tcPr>
          <w:p w14:paraId="3C846488"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r>
      <w:tr w:rsidR="00581FC7" w:rsidRPr="00C677AC" w14:paraId="0B57E83F" w14:textId="77777777" w:rsidTr="000C0D5E">
        <w:trPr>
          <w:cantSplit/>
          <w:trHeight w:val="88"/>
          <w:jc w:val="center"/>
        </w:trPr>
        <w:tc>
          <w:tcPr>
            <w:tcW w:w="795" w:type="dxa"/>
            <w:vMerge/>
            <w:tcBorders>
              <w:top w:val="single" w:sz="8" w:space="0" w:color="152935"/>
              <w:left w:val="nil"/>
              <w:bottom w:val="single" w:sz="8" w:space="0" w:color="152935"/>
              <w:right w:val="nil"/>
            </w:tcBorders>
            <w:shd w:val="clear" w:color="auto" w:fill="E0E0E0"/>
          </w:tcPr>
          <w:p w14:paraId="3F80DA4A" w14:textId="77777777" w:rsidR="00581FC7" w:rsidRPr="00C677AC" w:rsidRDefault="00581FC7" w:rsidP="000C0D5E">
            <w:pPr>
              <w:autoSpaceDE w:val="0"/>
              <w:autoSpaceDN w:val="0"/>
              <w:adjustRightInd w:val="0"/>
              <w:spacing w:after="0" w:line="240" w:lineRule="auto"/>
              <w:rPr>
                <w:rFonts w:ascii="Times New Roman" w:hAnsi="Times New Roman" w:cs="Times New Roman"/>
                <w:sz w:val="24"/>
                <w:szCs w:val="24"/>
                <w:lang w:val="ro-RO"/>
              </w:rPr>
            </w:pPr>
          </w:p>
        </w:tc>
        <w:tc>
          <w:tcPr>
            <w:tcW w:w="1399" w:type="dxa"/>
            <w:tcBorders>
              <w:top w:val="single" w:sz="8" w:space="0" w:color="AEAEAE"/>
              <w:left w:val="nil"/>
              <w:bottom w:val="single" w:sz="8" w:space="0" w:color="152935"/>
              <w:right w:val="nil"/>
            </w:tcBorders>
            <w:shd w:val="clear" w:color="auto" w:fill="E0E0E0"/>
          </w:tcPr>
          <w:p w14:paraId="4D430F64"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Total</w:t>
            </w:r>
          </w:p>
        </w:tc>
        <w:tc>
          <w:tcPr>
            <w:tcW w:w="1596" w:type="dxa"/>
            <w:tcBorders>
              <w:top w:val="single" w:sz="8" w:space="0" w:color="AEAEAE"/>
              <w:left w:val="nil"/>
              <w:bottom w:val="single" w:sz="8" w:space="0" w:color="152935"/>
              <w:right w:val="single" w:sz="8" w:space="0" w:color="E0E0E0"/>
            </w:tcBorders>
            <w:shd w:val="clear" w:color="auto" w:fill="FFFFFF"/>
          </w:tcPr>
          <w:p w14:paraId="20B2463F"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258.249</w:t>
            </w:r>
          </w:p>
        </w:tc>
        <w:tc>
          <w:tcPr>
            <w:tcW w:w="1113" w:type="dxa"/>
            <w:tcBorders>
              <w:top w:val="single" w:sz="8" w:space="0" w:color="AEAEAE"/>
              <w:left w:val="single" w:sz="8" w:space="0" w:color="E0E0E0"/>
              <w:bottom w:val="single" w:sz="8" w:space="0" w:color="152935"/>
              <w:right w:val="single" w:sz="8" w:space="0" w:color="E0E0E0"/>
            </w:tcBorders>
            <w:shd w:val="clear" w:color="auto" w:fill="FFFFFF"/>
          </w:tcPr>
          <w:p w14:paraId="723DAD55"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8</w:t>
            </w:r>
          </w:p>
        </w:tc>
        <w:tc>
          <w:tcPr>
            <w:tcW w:w="1530" w:type="dxa"/>
            <w:tcBorders>
              <w:top w:val="single" w:sz="8" w:space="0" w:color="AEAEAE"/>
              <w:left w:val="single" w:sz="8" w:space="0" w:color="E0E0E0"/>
              <w:bottom w:val="single" w:sz="8" w:space="0" w:color="152935"/>
              <w:right w:val="single" w:sz="8" w:space="0" w:color="E0E0E0"/>
            </w:tcBorders>
            <w:shd w:val="clear" w:color="auto" w:fill="FFFFFF"/>
          </w:tcPr>
          <w:p w14:paraId="432F9CE6"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c>
          <w:tcPr>
            <w:tcW w:w="1113" w:type="dxa"/>
            <w:tcBorders>
              <w:top w:val="single" w:sz="8" w:space="0" w:color="AEAEAE"/>
              <w:left w:val="single" w:sz="8" w:space="0" w:color="E0E0E0"/>
              <w:bottom w:val="single" w:sz="8" w:space="0" w:color="152935"/>
              <w:right w:val="single" w:sz="8" w:space="0" w:color="E0E0E0"/>
            </w:tcBorders>
            <w:shd w:val="clear" w:color="auto" w:fill="FFFFFF"/>
          </w:tcPr>
          <w:p w14:paraId="14A309AF"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c>
          <w:tcPr>
            <w:tcW w:w="1123" w:type="dxa"/>
            <w:tcBorders>
              <w:top w:val="single" w:sz="8" w:space="0" w:color="AEAEAE"/>
              <w:left w:val="single" w:sz="8" w:space="0" w:color="E0E0E0"/>
              <w:bottom w:val="single" w:sz="8" w:space="0" w:color="152935"/>
              <w:right w:val="nil"/>
            </w:tcBorders>
            <w:shd w:val="clear" w:color="auto" w:fill="FFFFFF"/>
          </w:tcPr>
          <w:p w14:paraId="4DB74827"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r>
      <w:tr w:rsidR="00581FC7" w:rsidRPr="00C677AC" w14:paraId="2382C9AC" w14:textId="77777777" w:rsidTr="000C0D5E">
        <w:trPr>
          <w:cantSplit/>
          <w:trHeight w:val="198"/>
          <w:jc w:val="center"/>
        </w:trPr>
        <w:tc>
          <w:tcPr>
            <w:tcW w:w="8669" w:type="dxa"/>
            <w:gridSpan w:val="7"/>
            <w:tcBorders>
              <w:top w:val="nil"/>
              <w:left w:val="nil"/>
              <w:bottom w:val="nil"/>
              <w:right w:val="nil"/>
            </w:tcBorders>
            <w:shd w:val="clear" w:color="auto" w:fill="FFFFFF"/>
          </w:tcPr>
          <w:p w14:paraId="467577D4" w14:textId="77777777" w:rsidR="00581FC7" w:rsidRPr="00C677AC" w:rsidRDefault="00581FC7" w:rsidP="000C0D5E">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Pr>
                <w:rFonts w:ascii="Arial" w:hAnsi="Arial" w:cs="Arial"/>
                <w:color w:val="010205"/>
                <w:sz w:val="18"/>
                <w:szCs w:val="18"/>
                <w:lang w:val="ro-RO"/>
              </w:rPr>
              <w:t>BI</w:t>
            </w:r>
          </w:p>
        </w:tc>
      </w:tr>
      <w:tr w:rsidR="00581FC7" w:rsidRPr="00C677AC" w14:paraId="1863F071" w14:textId="77777777" w:rsidTr="000C0D5E">
        <w:trPr>
          <w:cantSplit/>
          <w:trHeight w:val="191"/>
          <w:jc w:val="center"/>
        </w:trPr>
        <w:tc>
          <w:tcPr>
            <w:tcW w:w="8669" w:type="dxa"/>
            <w:gridSpan w:val="7"/>
            <w:tcBorders>
              <w:top w:val="nil"/>
              <w:left w:val="nil"/>
              <w:bottom w:val="nil"/>
              <w:right w:val="nil"/>
            </w:tcBorders>
            <w:shd w:val="clear" w:color="auto" w:fill="FFFFFF"/>
          </w:tcPr>
          <w:p w14:paraId="6B7F942A" w14:textId="77777777" w:rsidR="00581FC7" w:rsidRPr="00C677AC" w:rsidRDefault="00581FC7" w:rsidP="000C0D5E">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b. Predictors: (Constant), </w:t>
            </w:r>
            <w:r>
              <w:rPr>
                <w:rFonts w:ascii="Arial" w:hAnsi="Arial" w:cs="Arial"/>
                <w:color w:val="010205"/>
                <w:sz w:val="18"/>
                <w:szCs w:val="18"/>
                <w:lang w:val="ro-RO"/>
              </w:rPr>
              <w:t>U, EG, I</w:t>
            </w:r>
          </w:p>
        </w:tc>
      </w:tr>
    </w:tbl>
    <w:p w14:paraId="4D0BE928" w14:textId="77777777" w:rsidR="00581FC7" w:rsidRPr="008201DB" w:rsidRDefault="00581FC7" w:rsidP="00581FC7">
      <w:pPr>
        <w:autoSpaceDE w:val="0"/>
        <w:autoSpaceDN w:val="0"/>
        <w:adjustRightInd w:val="0"/>
        <w:spacing w:before="240" w:line="240" w:lineRule="auto"/>
        <w:jc w:val="center"/>
        <w:rPr>
          <w:rFonts w:ascii="Times New Roman" w:hAnsi="Times New Roman" w:cs="Times New Roman"/>
          <w:sz w:val="20"/>
          <w:szCs w:val="20"/>
          <w:lang w:val="fr-FR"/>
        </w:rPr>
      </w:pPr>
      <w:proofErr w:type="spellStart"/>
      <w:r w:rsidRPr="008201DB">
        <w:rPr>
          <w:rFonts w:ascii="Times New Roman" w:hAnsi="Times New Roman" w:cs="Times New Roman"/>
          <w:sz w:val="20"/>
          <w:szCs w:val="20"/>
          <w:lang w:val="fr-FR"/>
        </w:rPr>
        <w:t>Sursa</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Prelucrare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proprie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în</w:t>
      </w:r>
      <w:proofErr w:type="spellEnd"/>
      <w:r w:rsidRPr="008201DB">
        <w:rPr>
          <w:rFonts w:ascii="Times New Roman" w:hAnsi="Times New Roman" w:cs="Times New Roman"/>
          <w:sz w:val="20"/>
          <w:szCs w:val="20"/>
          <w:lang w:val="fr-FR"/>
        </w:rPr>
        <w:t xml:space="preserve"> SPSS 26</w:t>
      </w:r>
    </w:p>
    <w:p w14:paraId="5327CA68" w14:textId="077F2060" w:rsidR="002C2900" w:rsidRPr="006B5E55" w:rsidRDefault="00495407" w:rsidP="00E406BC">
      <w:pPr>
        <w:spacing w:after="0" w:line="240" w:lineRule="auto"/>
        <w:ind w:right="-94" w:firstLine="567"/>
        <w:jc w:val="both"/>
        <w:rPr>
          <w:rFonts w:ascii="Times New Roman" w:hAnsi="Times New Roman" w:cs="Times New Roman"/>
          <w:bCs/>
          <w:color w:val="000000" w:themeColor="text1" w:themeShade="BF"/>
          <w:sz w:val="24"/>
          <w:szCs w:val="24"/>
          <w:lang w:val="ro-RO" w:eastAsia="ro-RO"/>
        </w:rPr>
      </w:pPr>
      <w:r w:rsidRPr="006B5E55">
        <w:rPr>
          <w:rFonts w:ascii="Times New Roman" w:hAnsi="Times New Roman" w:cs="Times New Roman"/>
          <w:sz w:val="24"/>
          <w:szCs w:val="24"/>
          <w:lang w:val="ro-RO"/>
        </w:rPr>
        <w:t xml:space="preserve">Testul ANOVA, </w:t>
      </w:r>
      <w:r w:rsidR="006B5E55" w:rsidRPr="006B5E55">
        <w:rPr>
          <w:rFonts w:ascii="Times New Roman" w:hAnsi="Times New Roman" w:cs="Times New Roman"/>
          <w:sz w:val="24"/>
          <w:szCs w:val="24"/>
          <w:lang w:val="ro-RO"/>
        </w:rPr>
        <w:t>având</w:t>
      </w:r>
      <w:r w:rsidRPr="006B5E55">
        <w:rPr>
          <w:rFonts w:ascii="Times New Roman" w:hAnsi="Times New Roman" w:cs="Times New Roman"/>
          <w:sz w:val="24"/>
          <w:szCs w:val="24"/>
          <w:lang w:val="ro-RO"/>
        </w:rPr>
        <w:t xml:space="preserve"> </w:t>
      </w:r>
      <w:r w:rsidR="006B5E55" w:rsidRPr="006B5E55">
        <w:rPr>
          <w:rFonts w:ascii="Times New Roman" w:hAnsi="Times New Roman" w:cs="Times New Roman"/>
          <w:sz w:val="24"/>
          <w:szCs w:val="24"/>
          <w:lang w:val="ro-RO"/>
        </w:rPr>
        <w:t>coeficienții</w:t>
      </w:r>
      <w:r w:rsidRPr="006B5E55">
        <w:rPr>
          <w:rFonts w:ascii="Times New Roman" w:hAnsi="Times New Roman" w:cs="Times New Roman"/>
          <w:sz w:val="24"/>
          <w:szCs w:val="24"/>
          <w:lang w:val="ro-RO"/>
        </w:rPr>
        <w:t xml:space="preserve"> Fisher F = 10.622</w:t>
      </w:r>
      <w:r w:rsidR="00E406BC" w:rsidRPr="006B5E55">
        <w:rPr>
          <w:rFonts w:ascii="Times New Roman" w:hAnsi="Times New Roman" w:cs="Times New Roman"/>
          <w:sz w:val="24"/>
          <w:szCs w:val="24"/>
          <w:lang w:val="ro-RO"/>
        </w:rPr>
        <w:t xml:space="preserve"> si </w:t>
      </w:r>
      <w:r w:rsidRPr="006B5E55">
        <w:rPr>
          <w:rFonts w:ascii="Times New Roman" w:hAnsi="Times New Roman" w:cs="Times New Roman"/>
          <w:sz w:val="24"/>
          <w:szCs w:val="24"/>
          <w:lang w:val="ro-RO"/>
        </w:rPr>
        <w:t xml:space="preserve"> </w:t>
      </w:r>
      <w:r w:rsidR="00E406BC" w:rsidRPr="006B5E55">
        <w:rPr>
          <w:rFonts w:ascii="Times New Roman" w:hAnsi="Times New Roman" w:cs="Times New Roman"/>
          <w:bCs/>
          <w:color w:val="000000" w:themeColor="text1" w:themeShade="BF"/>
          <w:sz w:val="24"/>
          <w:szCs w:val="24"/>
          <w:lang w:val="ro-RO" w:eastAsia="ro-RO"/>
        </w:rPr>
        <w:t xml:space="preserve">valoare a lui  Sig. (P-Value) 0.013 care tinde spre 0, </w:t>
      </w:r>
      <w:r w:rsidR="006B5E55" w:rsidRPr="006B5E55">
        <w:rPr>
          <w:rFonts w:ascii="Times New Roman" w:hAnsi="Times New Roman" w:cs="Times New Roman"/>
          <w:bCs/>
          <w:color w:val="000000" w:themeColor="text1" w:themeShade="BF"/>
          <w:sz w:val="24"/>
          <w:szCs w:val="24"/>
          <w:lang w:val="ro-RO" w:eastAsia="ro-RO"/>
        </w:rPr>
        <w:t>întărește</w:t>
      </w:r>
      <w:r w:rsidR="00E406BC" w:rsidRPr="006B5E55">
        <w:rPr>
          <w:rFonts w:ascii="Times New Roman" w:hAnsi="Times New Roman" w:cs="Times New Roman"/>
          <w:bCs/>
          <w:color w:val="000000" w:themeColor="text1" w:themeShade="BF"/>
          <w:sz w:val="24"/>
          <w:szCs w:val="24"/>
          <w:lang w:val="ro-RO" w:eastAsia="ro-RO"/>
        </w:rPr>
        <w:t xml:space="preserve"> faptul ca modelul propus explică dependența semnificativă intre indicele de faliment și variabilele macroeconomice incluse in model, nivel de certitudine indus este extrem de ridicat, fiind validat în proporție de 95%.  </w:t>
      </w:r>
    </w:p>
    <w:p w14:paraId="2C0CF08E" w14:textId="77777777" w:rsidR="00E406BC" w:rsidRPr="008201DB" w:rsidRDefault="00E406BC" w:rsidP="00E406BC">
      <w:pPr>
        <w:spacing w:after="0" w:line="240" w:lineRule="auto"/>
        <w:ind w:right="-94" w:firstLine="567"/>
        <w:jc w:val="both"/>
        <w:rPr>
          <w:rFonts w:ascii="Times New Roman" w:hAnsi="Times New Roman" w:cs="Times New Roman"/>
          <w:bCs/>
          <w:color w:val="000000" w:themeColor="text1" w:themeShade="BF"/>
          <w:sz w:val="24"/>
          <w:szCs w:val="24"/>
          <w:lang w:val="fr-FR" w:eastAsia="ro-RO"/>
        </w:rPr>
      </w:pPr>
    </w:p>
    <w:p w14:paraId="7873F9CF" w14:textId="6DBD428D" w:rsidR="00EF40E9" w:rsidRPr="00A853B5" w:rsidRDefault="00EF40E9" w:rsidP="000F11AB">
      <w:pPr>
        <w:autoSpaceDE w:val="0"/>
        <w:autoSpaceDN w:val="0"/>
        <w:adjustRightInd w:val="0"/>
        <w:spacing w:after="0" w:line="240" w:lineRule="auto"/>
        <w:jc w:val="center"/>
        <w:rPr>
          <w:rFonts w:ascii="Times New Roman" w:hAnsi="Times New Roman" w:cs="Times New Roman"/>
          <w:sz w:val="20"/>
          <w:szCs w:val="20"/>
          <w:lang w:val="ro-RO"/>
        </w:rPr>
      </w:pPr>
      <w:r w:rsidRPr="00A853B5">
        <w:rPr>
          <w:rFonts w:ascii="Times New Roman" w:hAnsi="Times New Roman" w:cs="Times New Roman"/>
          <w:sz w:val="20"/>
          <w:szCs w:val="20"/>
          <w:lang w:val="ro-RO"/>
        </w:rPr>
        <w:t>Tab</w:t>
      </w:r>
      <w:r w:rsidR="00A853B5">
        <w:rPr>
          <w:rFonts w:ascii="Times New Roman" w:hAnsi="Times New Roman" w:cs="Times New Roman"/>
          <w:sz w:val="20"/>
          <w:szCs w:val="20"/>
          <w:lang w:val="ro-RO"/>
        </w:rPr>
        <w:t>e</w:t>
      </w:r>
      <w:r w:rsidRPr="00A853B5">
        <w:rPr>
          <w:rFonts w:ascii="Times New Roman" w:hAnsi="Times New Roman" w:cs="Times New Roman"/>
          <w:sz w:val="20"/>
          <w:szCs w:val="20"/>
          <w:lang w:val="ro-RO"/>
        </w:rPr>
        <w:t>l n</w:t>
      </w:r>
      <w:r w:rsidR="00A853B5">
        <w:rPr>
          <w:rFonts w:ascii="Times New Roman" w:hAnsi="Times New Roman" w:cs="Times New Roman"/>
          <w:sz w:val="20"/>
          <w:szCs w:val="20"/>
          <w:lang w:val="ro-RO"/>
        </w:rPr>
        <w:t>r.</w:t>
      </w:r>
      <w:r w:rsidRPr="00A853B5">
        <w:rPr>
          <w:rFonts w:ascii="Times New Roman" w:hAnsi="Times New Roman" w:cs="Times New Roman"/>
          <w:sz w:val="20"/>
          <w:szCs w:val="20"/>
          <w:lang w:val="ro-RO"/>
        </w:rPr>
        <w:t xml:space="preserve"> </w:t>
      </w:r>
      <w:r w:rsidR="00B716B3">
        <w:rPr>
          <w:rFonts w:ascii="Times New Roman" w:hAnsi="Times New Roman" w:cs="Times New Roman"/>
          <w:sz w:val="20"/>
          <w:szCs w:val="20"/>
          <w:lang w:val="ro-RO"/>
        </w:rPr>
        <w:t>6</w:t>
      </w:r>
      <w:r w:rsidRPr="00A853B5">
        <w:rPr>
          <w:rFonts w:ascii="Times New Roman" w:hAnsi="Times New Roman" w:cs="Times New Roman"/>
          <w:sz w:val="20"/>
          <w:szCs w:val="20"/>
          <w:lang w:val="ro-RO"/>
        </w:rPr>
        <w:t>- Coefficients</w:t>
      </w:r>
      <w:r w:rsidR="000F11AB" w:rsidRPr="00A853B5">
        <w:rPr>
          <w:rFonts w:ascii="Times New Roman" w:hAnsi="Times New Roman" w:cs="Times New Roman"/>
          <w:sz w:val="20"/>
          <w:szCs w:val="20"/>
          <w:vertAlign w:val="superscript"/>
          <w:lang w:val="ro-RO"/>
        </w:rPr>
        <w:t>a</w:t>
      </w:r>
      <w:r w:rsidRPr="00A853B5">
        <w:rPr>
          <w:rFonts w:ascii="Times New Roman" w:hAnsi="Times New Roman" w:cs="Times New Roman"/>
          <w:sz w:val="20"/>
          <w:szCs w:val="20"/>
          <w:lang w:val="ro-RO"/>
        </w:rPr>
        <w:t xml:space="preserve"> of the </w:t>
      </w:r>
      <w:r w:rsidR="000F11AB" w:rsidRPr="00A853B5">
        <w:rPr>
          <w:rFonts w:ascii="Times New Roman" w:hAnsi="Times New Roman" w:cs="Times New Roman"/>
          <w:sz w:val="20"/>
          <w:szCs w:val="20"/>
          <w:lang w:val="ro-RO"/>
        </w:rPr>
        <w:t>M</w:t>
      </w:r>
      <w:r w:rsidRPr="00A853B5">
        <w:rPr>
          <w:rFonts w:ascii="Times New Roman" w:hAnsi="Times New Roman" w:cs="Times New Roman"/>
          <w:sz w:val="20"/>
          <w:szCs w:val="20"/>
          <w:lang w:val="ro-RO"/>
        </w:rPr>
        <w:t>odel</w:t>
      </w:r>
    </w:p>
    <w:tbl>
      <w:tblPr>
        <w:tblW w:w="9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
        <w:gridCol w:w="1444"/>
        <w:gridCol w:w="1629"/>
        <w:gridCol w:w="1633"/>
        <w:gridCol w:w="1800"/>
        <w:gridCol w:w="1255"/>
        <w:gridCol w:w="1263"/>
      </w:tblGrid>
      <w:tr w:rsidR="002E6846" w:rsidRPr="00C677AC" w14:paraId="774D5548" w14:textId="77777777" w:rsidTr="000F11AB">
        <w:trPr>
          <w:cantSplit/>
          <w:trHeight w:val="507"/>
        </w:trPr>
        <w:tc>
          <w:tcPr>
            <w:tcW w:w="2340" w:type="dxa"/>
            <w:gridSpan w:val="2"/>
            <w:vMerge w:val="restart"/>
            <w:tcBorders>
              <w:top w:val="nil"/>
              <w:left w:val="nil"/>
              <w:bottom w:val="nil"/>
              <w:right w:val="nil"/>
            </w:tcBorders>
            <w:shd w:val="clear" w:color="auto" w:fill="FFFFFF"/>
            <w:vAlign w:val="bottom"/>
          </w:tcPr>
          <w:p w14:paraId="484DC8C9" w14:textId="77777777" w:rsidR="00EF40E9" w:rsidRPr="00C677AC" w:rsidRDefault="00EF40E9" w:rsidP="00F549F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3262" w:type="dxa"/>
            <w:gridSpan w:val="2"/>
            <w:tcBorders>
              <w:top w:val="nil"/>
              <w:left w:val="nil"/>
              <w:bottom w:val="nil"/>
              <w:right w:val="single" w:sz="8" w:space="0" w:color="E0E0E0"/>
            </w:tcBorders>
            <w:shd w:val="clear" w:color="auto" w:fill="FFFFFF"/>
            <w:vAlign w:val="bottom"/>
          </w:tcPr>
          <w:p w14:paraId="6B1C9E7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Unstandardized Coefficients</w:t>
            </w:r>
          </w:p>
        </w:tc>
        <w:tc>
          <w:tcPr>
            <w:tcW w:w="1800" w:type="dxa"/>
            <w:tcBorders>
              <w:top w:val="nil"/>
              <w:left w:val="single" w:sz="8" w:space="0" w:color="E0E0E0"/>
              <w:bottom w:val="nil"/>
              <w:right w:val="single" w:sz="8" w:space="0" w:color="E0E0E0"/>
            </w:tcBorders>
            <w:shd w:val="clear" w:color="auto" w:fill="FFFFFF"/>
            <w:vAlign w:val="bottom"/>
          </w:tcPr>
          <w:p w14:paraId="43F791B8"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Standardized Coefficients</w:t>
            </w:r>
          </w:p>
        </w:tc>
        <w:tc>
          <w:tcPr>
            <w:tcW w:w="1255" w:type="dxa"/>
            <w:vMerge w:val="restart"/>
            <w:tcBorders>
              <w:top w:val="nil"/>
              <w:left w:val="single" w:sz="8" w:space="0" w:color="E0E0E0"/>
              <w:bottom w:val="nil"/>
              <w:right w:val="single" w:sz="8" w:space="0" w:color="E0E0E0"/>
            </w:tcBorders>
            <w:shd w:val="clear" w:color="auto" w:fill="FFFFFF"/>
            <w:vAlign w:val="bottom"/>
          </w:tcPr>
          <w:p w14:paraId="0B9E281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t</w:t>
            </w:r>
          </w:p>
        </w:tc>
        <w:tc>
          <w:tcPr>
            <w:tcW w:w="1263" w:type="dxa"/>
            <w:vMerge w:val="restart"/>
            <w:tcBorders>
              <w:top w:val="nil"/>
              <w:left w:val="single" w:sz="8" w:space="0" w:color="E0E0E0"/>
              <w:bottom w:val="nil"/>
              <w:right w:val="nil"/>
            </w:tcBorders>
            <w:shd w:val="clear" w:color="auto" w:fill="FFFFFF"/>
            <w:vAlign w:val="bottom"/>
          </w:tcPr>
          <w:p w14:paraId="4D74076A"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Sig.</w:t>
            </w:r>
          </w:p>
        </w:tc>
      </w:tr>
      <w:tr w:rsidR="00EF40E9" w:rsidRPr="00C677AC" w14:paraId="79CFF9C5" w14:textId="77777777" w:rsidTr="000F11AB">
        <w:trPr>
          <w:cantSplit/>
          <w:trHeight w:val="114"/>
        </w:trPr>
        <w:tc>
          <w:tcPr>
            <w:tcW w:w="2340" w:type="dxa"/>
            <w:gridSpan w:val="2"/>
            <w:vMerge/>
            <w:tcBorders>
              <w:top w:val="nil"/>
              <w:left w:val="nil"/>
              <w:bottom w:val="nil"/>
              <w:right w:val="nil"/>
            </w:tcBorders>
            <w:shd w:val="clear" w:color="auto" w:fill="FFFFFF"/>
            <w:vAlign w:val="bottom"/>
          </w:tcPr>
          <w:p w14:paraId="6CCD9AF2" w14:textId="77777777" w:rsidR="00EF40E9" w:rsidRPr="00C677AC" w:rsidRDefault="00EF40E9" w:rsidP="00F549F7">
            <w:pPr>
              <w:autoSpaceDE w:val="0"/>
              <w:autoSpaceDN w:val="0"/>
              <w:adjustRightInd w:val="0"/>
              <w:spacing w:after="0" w:line="240" w:lineRule="auto"/>
              <w:rPr>
                <w:rFonts w:ascii="Arial" w:hAnsi="Arial" w:cs="Arial"/>
                <w:color w:val="264A60"/>
                <w:sz w:val="18"/>
                <w:szCs w:val="18"/>
                <w:lang w:val="ro-RO"/>
              </w:rPr>
            </w:pPr>
          </w:p>
        </w:tc>
        <w:tc>
          <w:tcPr>
            <w:tcW w:w="1629" w:type="dxa"/>
            <w:tcBorders>
              <w:top w:val="nil"/>
              <w:left w:val="nil"/>
              <w:bottom w:val="single" w:sz="8" w:space="0" w:color="152935"/>
              <w:right w:val="single" w:sz="8" w:space="0" w:color="E0E0E0"/>
            </w:tcBorders>
            <w:shd w:val="clear" w:color="auto" w:fill="FFFFFF"/>
            <w:vAlign w:val="bottom"/>
          </w:tcPr>
          <w:p w14:paraId="26BE366B"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B</w:t>
            </w:r>
          </w:p>
        </w:tc>
        <w:tc>
          <w:tcPr>
            <w:tcW w:w="1633" w:type="dxa"/>
            <w:tcBorders>
              <w:top w:val="nil"/>
              <w:left w:val="single" w:sz="8" w:space="0" w:color="E0E0E0"/>
              <w:bottom w:val="single" w:sz="8" w:space="0" w:color="152935"/>
              <w:right w:val="single" w:sz="8" w:space="0" w:color="E0E0E0"/>
            </w:tcBorders>
            <w:shd w:val="clear" w:color="auto" w:fill="FFFFFF"/>
            <w:vAlign w:val="bottom"/>
          </w:tcPr>
          <w:p w14:paraId="6A3A6E20"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Std. Error</w:t>
            </w:r>
          </w:p>
        </w:tc>
        <w:tc>
          <w:tcPr>
            <w:tcW w:w="1800" w:type="dxa"/>
            <w:tcBorders>
              <w:top w:val="nil"/>
              <w:left w:val="single" w:sz="8" w:space="0" w:color="E0E0E0"/>
              <w:bottom w:val="single" w:sz="8" w:space="0" w:color="152935"/>
              <w:right w:val="single" w:sz="8" w:space="0" w:color="E0E0E0"/>
            </w:tcBorders>
            <w:shd w:val="clear" w:color="auto" w:fill="FFFFFF"/>
            <w:vAlign w:val="bottom"/>
          </w:tcPr>
          <w:p w14:paraId="5E9FB7DC"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Beta</w:t>
            </w:r>
          </w:p>
        </w:tc>
        <w:tc>
          <w:tcPr>
            <w:tcW w:w="1255" w:type="dxa"/>
            <w:vMerge/>
            <w:tcBorders>
              <w:top w:val="nil"/>
              <w:left w:val="single" w:sz="8" w:space="0" w:color="E0E0E0"/>
              <w:bottom w:val="nil"/>
              <w:right w:val="single" w:sz="8" w:space="0" w:color="E0E0E0"/>
            </w:tcBorders>
            <w:shd w:val="clear" w:color="auto" w:fill="FFFFFF"/>
            <w:vAlign w:val="bottom"/>
          </w:tcPr>
          <w:p w14:paraId="305D64E4" w14:textId="77777777" w:rsidR="00EF40E9" w:rsidRPr="00C677AC" w:rsidRDefault="00EF40E9" w:rsidP="00F549F7">
            <w:pPr>
              <w:autoSpaceDE w:val="0"/>
              <w:autoSpaceDN w:val="0"/>
              <w:adjustRightInd w:val="0"/>
              <w:spacing w:after="0" w:line="240" w:lineRule="auto"/>
              <w:rPr>
                <w:rFonts w:ascii="Arial" w:hAnsi="Arial" w:cs="Arial"/>
                <w:color w:val="264A60"/>
                <w:sz w:val="18"/>
                <w:szCs w:val="18"/>
                <w:lang w:val="ro-RO"/>
              </w:rPr>
            </w:pPr>
          </w:p>
        </w:tc>
        <w:tc>
          <w:tcPr>
            <w:tcW w:w="1263" w:type="dxa"/>
            <w:vMerge/>
            <w:tcBorders>
              <w:top w:val="nil"/>
              <w:left w:val="single" w:sz="8" w:space="0" w:color="E0E0E0"/>
              <w:bottom w:val="nil"/>
              <w:right w:val="nil"/>
            </w:tcBorders>
            <w:shd w:val="clear" w:color="auto" w:fill="FFFFFF"/>
            <w:vAlign w:val="bottom"/>
          </w:tcPr>
          <w:p w14:paraId="09F43CDF" w14:textId="77777777" w:rsidR="00EF40E9" w:rsidRPr="00C677AC" w:rsidRDefault="00EF40E9" w:rsidP="00F549F7">
            <w:pPr>
              <w:autoSpaceDE w:val="0"/>
              <w:autoSpaceDN w:val="0"/>
              <w:adjustRightInd w:val="0"/>
              <w:spacing w:after="0" w:line="240" w:lineRule="auto"/>
              <w:rPr>
                <w:rFonts w:ascii="Arial" w:hAnsi="Arial" w:cs="Arial"/>
                <w:color w:val="264A60"/>
                <w:sz w:val="18"/>
                <w:szCs w:val="18"/>
                <w:lang w:val="ro-RO"/>
              </w:rPr>
            </w:pPr>
          </w:p>
        </w:tc>
      </w:tr>
      <w:tr w:rsidR="00581FC7" w:rsidRPr="00C677AC" w14:paraId="004C541C" w14:textId="77777777" w:rsidTr="005B3657">
        <w:trPr>
          <w:cantSplit/>
          <w:trHeight w:val="248"/>
        </w:trPr>
        <w:tc>
          <w:tcPr>
            <w:tcW w:w="896" w:type="dxa"/>
            <w:vMerge w:val="restart"/>
            <w:tcBorders>
              <w:top w:val="single" w:sz="8" w:space="0" w:color="152935"/>
              <w:left w:val="nil"/>
              <w:bottom w:val="single" w:sz="8" w:space="0" w:color="152935"/>
              <w:right w:val="nil"/>
            </w:tcBorders>
            <w:shd w:val="clear" w:color="auto" w:fill="E0E0E0"/>
          </w:tcPr>
          <w:p w14:paraId="3AADF4B3" w14:textId="77777777" w:rsidR="00581FC7" w:rsidRPr="00C677AC" w:rsidRDefault="00581FC7" w:rsidP="00581FC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1444" w:type="dxa"/>
            <w:tcBorders>
              <w:top w:val="single" w:sz="8" w:space="0" w:color="152935"/>
              <w:left w:val="nil"/>
              <w:bottom w:val="single" w:sz="8" w:space="0" w:color="AEAEAE"/>
              <w:right w:val="nil"/>
            </w:tcBorders>
            <w:shd w:val="clear" w:color="auto" w:fill="E0E0E0"/>
          </w:tcPr>
          <w:p w14:paraId="3E9153DD" w14:textId="77777777" w:rsidR="00581FC7" w:rsidRPr="00C677AC" w:rsidRDefault="00581FC7" w:rsidP="00581FC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(Constant)</w:t>
            </w:r>
          </w:p>
        </w:tc>
        <w:tc>
          <w:tcPr>
            <w:tcW w:w="1629" w:type="dxa"/>
            <w:tcBorders>
              <w:top w:val="single" w:sz="8" w:space="0" w:color="152935"/>
              <w:left w:val="nil"/>
              <w:bottom w:val="single" w:sz="8" w:space="0" w:color="AEAEAE"/>
              <w:right w:val="single" w:sz="8" w:space="0" w:color="E0E0E0"/>
            </w:tcBorders>
            <w:shd w:val="clear" w:color="auto" w:fill="FFFFFF"/>
          </w:tcPr>
          <w:p w14:paraId="684B2125" w14:textId="5679FABF"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113.780</w:t>
            </w:r>
          </w:p>
        </w:tc>
        <w:tc>
          <w:tcPr>
            <w:tcW w:w="1633" w:type="dxa"/>
            <w:tcBorders>
              <w:top w:val="single" w:sz="8" w:space="0" w:color="152935"/>
              <w:left w:val="single" w:sz="8" w:space="0" w:color="E0E0E0"/>
              <w:bottom w:val="single" w:sz="8" w:space="0" w:color="AEAEAE"/>
              <w:right w:val="single" w:sz="8" w:space="0" w:color="E0E0E0"/>
            </w:tcBorders>
            <w:shd w:val="clear" w:color="auto" w:fill="FFFFFF"/>
          </w:tcPr>
          <w:p w14:paraId="25437CCF" w14:textId="1DF1B986"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8.679</w:t>
            </w:r>
          </w:p>
        </w:tc>
        <w:tc>
          <w:tcPr>
            <w:tcW w:w="1800" w:type="dxa"/>
            <w:tcBorders>
              <w:top w:val="single" w:sz="8" w:space="0" w:color="152935"/>
              <w:left w:val="single" w:sz="8" w:space="0" w:color="E0E0E0"/>
              <w:bottom w:val="single" w:sz="8" w:space="0" w:color="AEAEAE"/>
              <w:right w:val="single" w:sz="8" w:space="0" w:color="E0E0E0"/>
            </w:tcBorders>
            <w:shd w:val="clear" w:color="auto" w:fill="FFFFFF"/>
          </w:tcPr>
          <w:p w14:paraId="2917C80C" w14:textId="5D671368" w:rsidR="00581FC7" w:rsidRPr="00581FC7" w:rsidRDefault="00581FC7" w:rsidP="00581FC7">
            <w:pPr>
              <w:autoSpaceDE w:val="0"/>
              <w:autoSpaceDN w:val="0"/>
              <w:adjustRightInd w:val="0"/>
              <w:spacing w:after="0" w:line="240" w:lineRule="auto"/>
              <w:rPr>
                <w:rFonts w:ascii="Times New Roman" w:hAnsi="Times New Roman" w:cs="Times New Roman"/>
                <w:sz w:val="24"/>
                <w:szCs w:val="24"/>
                <w:lang w:val="ro-RO"/>
              </w:rPr>
            </w:pPr>
            <w:r w:rsidRPr="00581FC7">
              <w:rPr>
                <w:rFonts w:ascii="Times New Roman" w:hAnsi="Times New Roman" w:cs="Times New Roman"/>
                <w:sz w:val="18"/>
                <w:szCs w:val="18"/>
              </w:rPr>
              <w:t> </w:t>
            </w:r>
          </w:p>
        </w:tc>
        <w:tc>
          <w:tcPr>
            <w:tcW w:w="1255" w:type="dxa"/>
            <w:tcBorders>
              <w:top w:val="single" w:sz="8" w:space="0" w:color="152935"/>
              <w:left w:val="single" w:sz="8" w:space="0" w:color="E0E0E0"/>
              <w:bottom w:val="single" w:sz="8" w:space="0" w:color="AEAEAE"/>
              <w:right w:val="single" w:sz="8" w:space="0" w:color="E0E0E0"/>
            </w:tcBorders>
            <w:shd w:val="clear" w:color="auto" w:fill="FFFFFF"/>
          </w:tcPr>
          <w:p w14:paraId="10624CB4" w14:textId="4D20B2CE"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13.110</w:t>
            </w:r>
          </w:p>
        </w:tc>
        <w:tc>
          <w:tcPr>
            <w:tcW w:w="1263" w:type="dxa"/>
            <w:tcBorders>
              <w:top w:val="single" w:sz="8" w:space="0" w:color="152935"/>
              <w:left w:val="single" w:sz="8" w:space="0" w:color="E0E0E0"/>
              <w:bottom w:val="single" w:sz="8" w:space="0" w:color="AEAEAE"/>
              <w:right w:val="nil"/>
            </w:tcBorders>
            <w:shd w:val="clear" w:color="auto" w:fill="FFFFFF"/>
          </w:tcPr>
          <w:p w14:paraId="26254ECA" w14:textId="7ADDF0F1"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0.000</w:t>
            </w:r>
          </w:p>
        </w:tc>
      </w:tr>
      <w:tr w:rsidR="006B5E55" w:rsidRPr="00C677AC" w14:paraId="7411882B" w14:textId="77777777" w:rsidTr="000F11AB">
        <w:trPr>
          <w:cantSplit/>
          <w:trHeight w:val="114"/>
        </w:trPr>
        <w:tc>
          <w:tcPr>
            <w:tcW w:w="896" w:type="dxa"/>
            <w:vMerge/>
            <w:tcBorders>
              <w:top w:val="single" w:sz="8" w:space="0" w:color="152935"/>
              <w:left w:val="nil"/>
              <w:bottom w:val="single" w:sz="8" w:space="0" w:color="152935"/>
              <w:right w:val="nil"/>
            </w:tcBorders>
            <w:shd w:val="clear" w:color="auto" w:fill="E0E0E0"/>
          </w:tcPr>
          <w:p w14:paraId="0B43568B" w14:textId="77777777" w:rsidR="006B5E55" w:rsidRPr="00C677AC" w:rsidRDefault="006B5E55" w:rsidP="006B5E55">
            <w:pPr>
              <w:autoSpaceDE w:val="0"/>
              <w:autoSpaceDN w:val="0"/>
              <w:adjustRightInd w:val="0"/>
              <w:spacing w:after="0" w:line="240" w:lineRule="auto"/>
              <w:rPr>
                <w:rFonts w:ascii="Arial" w:hAnsi="Arial" w:cs="Arial"/>
                <w:color w:val="010205"/>
                <w:sz w:val="18"/>
                <w:szCs w:val="18"/>
                <w:lang w:val="ro-RO"/>
              </w:rPr>
            </w:pPr>
          </w:p>
        </w:tc>
        <w:tc>
          <w:tcPr>
            <w:tcW w:w="1444" w:type="dxa"/>
            <w:tcBorders>
              <w:top w:val="single" w:sz="8" w:space="0" w:color="AEAEAE"/>
              <w:left w:val="nil"/>
              <w:bottom w:val="single" w:sz="8" w:space="0" w:color="AEAEAE"/>
              <w:right w:val="nil"/>
            </w:tcBorders>
            <w:shd w:val="clear" w:color="auto" w:fill="E0E0E0"/>
          </w:tcPr>
          <w:p w14:paraId="315BD7F5" w14:textId="065F21DC" w:rsidR="006B5E55" w:rsidRPr="00C677AC" w:rsidRDefault="006B5E55" w:rsidP="006B5E55">
            <w:pPr>
              <w:autoSpaceDE w:val="0"/>
              <w:autoSpaceDN w:val="0"/>
              <w:adjustRightInd w:val="0"/>
              <w:spacing w:after="0" w:line="240" w:lineRule="auto"/>
              <w:ind w:left="60" w:right="60"/>
              <w:rPr>
                <w:rFonts w:ascii="Arial" w:hAnsi="Arial" w:cs="Arial"/>
                <w:color w:val="264A60"/>
                <w:sz w:val="18"/>
                <w:szCs w:val="18"/>
                <w:lang w:val="ro-RO"/>
              </w:rPr>
            </w:pPr>
            <w:r>
              <w:rPr>
                <w:rFonts w:ascii="Arial" w:hAnsi="Arial" w:cs="Arial"/>
                <w:color w:val="333399"/>
                <w:sz w:val="18"/>
                <w:szCs w:val="18"/>
              </w:rPr>
              <w:t>EG</w:t>
            </w:r>
          </w:p>
        </w:tc>
        <w:tc>
          <w:tcPr>
            <w:tcW w:w="1629" w:type="dxa"/>
            <w:tcBorders>
              <w:top w:val="single" w:sz="8" w:space="0" w:color="AEAEAE"/>
              <w:left w:val="nil"/>
              <w:bottom w:val="single" w:sz="8" w:space="0" w:color="AEAEAE"/>
              <w:right w:val="single" w:sz="8" w:space="0" w:color="E0E0E0"/>
            </w:tcBorders>
            <w:shd w:val="clear" w:color="auto" w:fill="FFFFFF"/>
          </w:tcPr>
          <w:p w14:paraId="2B78A278" w14:textId="296D2F1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0.861</w:t>
            </w:r>
          </w:p>
        </w:tc>
        <w:tc>
          <w:tcPr>
            <w:tcW w:w="1633" w:type="dxa"/>
            <w:tcBorders>
              <w:top w:val="single" w:sz="8" w:space="0" w:color="AEAEAE"/>
              <w:left w:val="single" w:sz="8" w:space="0" w:color="E0E0E0"/>
              <w:bottom w:val="single" w:sz="8" w:space="0" w:color="AEAEAE"/>
              <w:right w:val="single" w:sz="8" w:space="0" w:color="E0E0E0"/>
            </w:tcBorders>
            <w:shd w:val="clear" w:color="auto" w:fill="FFFFFF"/>
          </w:tcPr>
          <w:p w14:paraId="4DFDA355" w14:textId="1E5EBE6E"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0.327</w:t>
            </w:r>
          </w:p>
        </w:tc>
        <w:tc>
          <w:tcPr>
            <w:tcW w:w="1800" w:type="dxa"/>
            <w:tcBorders>
              <w:top w:val="single" w:sz="8" w:space="0" w:color="AEAEAE"/>
              <w:left w:val="single" w:sz="8" w:space="0" w:color="E0E0E0"/>
              <w:bottom w:val="single" w:sz="8" w:space="0" w:color="AEAEAE"/>
              <w:right w:val="single" w:sz="8" w:space="0" w:color="E0E0E0"/>
            </w:tcBorders>
            <w:shd w:val="clear" w:color="auto" w:fill="FFFFFF"/>
          </w:tcPr>
          <w:p w14:paraId="166FCBE3" w14:textId="5721326F"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0.476</w:t>
            </w:r>
          </w:p>
        </w:tc>
        <w:tc>
          <w:tcPr>
            <w:tcW w:w="1255" w:type="dxa"/>
            <w:tcBorders>
              <w:top w:val="single" w:sz="8" w:space="0" w:color="AEAEAE"/>
              <w:left w:val="single" w:sz="8" w:space="0" w:color="E0E0E0"/>
              <w:bottom w:val="single" w:sz="8" w:space="0" w:color="AEAEAE"/>
              <w:right w:val="single" w:sz="8" w:space="0" w:color="E0E0E0"/>
            </w:tcBorders>
            <w:shd w:val="clear" w:color="auto" w:fill="FFFFFF"/>
          </w:tcPr>
          <w:p w14:paraId="59ED70B8" w14:textId="117B64C8"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2.630</w:t>
            </w:r>
          </w:p>
        </w:tc>
        <w:tc>
          <w:tcPr>
            <w:tcW w:w="1263" w:type="dxa"/>
            <w:tcBorders>
              <w:top w:val="single" w:sz="8" w:space="0" w:color="AEAEAE"/>
              <w:left w:val="single" w:sz="8" w:space="0" w:color="E0E0E0"/>
              <w:bottom w:val="single" w:sz="8" w:space="0" w:color="AEAEAE"/>
              <w:right w:val="nil"/>
            </w:tcBorders>
            <w:shd w:val="clear" w:color="auto" w:fill="FFFFFF"/>
          </w:tcPr>
          <w:p w14:paraId="050A37F6" w14:textId="3F87B63D"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0.047</w:t>
            </w:r>
          </w:p>
        </w:tc>
      </w:tr>
      <w:tr w:rsidR="006B5E55" w:rsidRPr="00C677AC" w14:paraId="5276BB55" w14:textId="77777777" w:rsidTr="000F11AB">
        <w:trPr>
          <w:cantSplit/>
          <w:trHeight w:val="114"/>
        </w:trPr>
        <w:tc>
          <w:tcPr>
            <w:tcW w:w="896" w:type="dxa"/>
            <w:vMerge/>
            <w:tcBorders>
              <w:top w:val="single" w:sz="8" w:space="0" w:color="152935"/>
              <w:left w:val="nil"/>
              <w:bottom w:val="single" w:sz="8" w:space="0" w:color="152935"/>
              <w:right w:val="nil"/>
            </w:tcBorders>
            <w:shd w:val="clear" w:color="auto" w:fill="E0E0E0"/>
          </w:tcPr>
          <w:p w14:paraId="5FA1D57A" w14:textId="77777777" w:rsidR="006B5E55" w:rsidRPr="00C677AC" w:rsidRDefault="006B5E55" w:rsidP="006B5E55">
            <w:pPr>
              <w:autoSpaceDE w:val="0"/>
              <w:autoSpaceDN w:val="0"/>
              <w:adjustRightInd w:val="0"/>
              <w:spacing w:after="0" w:line="240" w:lineRule="auto"/>
              <w:rPr>
                <w:rFonts w:ascii="Arial" w:hAnsi="Arial" w:cs="Arial"/>
                <w:color w:val="010205"/>
                <w:sz w:val="18"/>
                <w:szCs w:val="18"/>
                <w:lang w:val="ro-RO"/>
              </w:rPr>
            </w:pPr>
          </w:p>
        </w:tc>
        <w:tc>
          <w:tcPr>
            <w:tcW w:w="1444" w:type="dxa"/>
            <w:tcBorders>
              <w:top w:val="single" w:sz="8" w:space="0" w:color="AEAEAE"/>
              <w:left w:val="nil"/>
              <w:bottom w:val="single" w:sz="8" w:space="0" w:color="AEAEAE"/>
              <w:right w:val="nil"/>
            </w:tcBorders>
            <w:shd w:val="clear" w:color="auto" w:fill="E0E0E0"/>
          </w:tcPr>
          <w:p w14:paraId="5E878CE6" w14:textId="1CD58639" w:rsidR="006B5E55" w:rsidRPr="00C677AC" w:rsidRDefault="006B5E55" w:rsidP="006B5E55">
            <w:pPr>
              <w:autoSpaceDE w:val="0"/>
              <w:autoSpaceDN w:val="0"/>
              <w:adjustRightInd w:val="0"/>
              <w:spacing w:after="0" w:line="240" w:lineRule="auto"/>
              <w:ind w:left="60" w:right="60"/>
              <w:rPr>
                <w:rFonts w:ascii="Arial" w:hAnsi="Arial" w:cs="Arial"/>
                <w:color w:val="264A60"/>
                <w:sz w:val="18"/>
                <w:szCs w:val="18"/>
                <w:lang w:val="ro-RO"/>
              </w:rPr>
            </w:pPr>
            <w:r>
              <w:rPr>
                <w:rFonts w:ascii="Arial" w:hAnsi="Arial" w:cs="Arial"/>
                <w:color w:val="333399"/>
                <w:sz w:val="18"/>
                <w:szCs w:val="18"/>
              </w:rPr>
              <w:t>I</w:t>
            </w:r>
          </w:p>
        </w:tc>
        <w:tc>
          <w:tcPr>
            <w:tcW w:w="1629" w:type="dxa"/>
            <w:tcBorders>
              <w:top w:val="single" w:sz="8" w:space="0" w:color="AEAEAE"/>
              <w:left w:val="nil"/>
              <w:bottom w:val="single" w:sz="8" w:space="0" w:color="AEAEAE"/>
              <w:right w:val="single" w:sz="8" w:space="0" w:color="E0E0E0"/>
            </w:tcBorders>
            <w:shd w:val="clear" w:color="auto" w:fill="FFFFFF"/>
          </w:tcPr>
          <w:p w14:paraId="11353CC2" w14:textId="1017BB4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0.323</w:t>
            </w:r>
          </w:p>
        </w:tc>
        <w:tc>
          <w:tcPr>
            <w:tcW w:w="1633" w:type="dxa"/>
            <w:tcBorders>
              <w:top w:val="single" w:sz="8" w:space="0" w:color="AEAEAE"/>
              <w:left w:val="single" w:sz="8" w:space="0" w:color="E0E0E0"/>
              <w:bottom w:val="single" w:sz="8" w:space="0" w:color="AEAEAE"/>
              <w:right w:val="single" w:sz="8" w:space="0" w:color="E0E0E0"/>
            </w:tcBorders>
            <w:shd w:val="clear" w:color="auto" w:fill="FFFFFF"/>
          </w:tcPr>
          <w:p w14:paraId="426892DA" w14:textId="2ACD092B"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0.472</w:t>
            </w:r>
          </w:p>
        </w:tc>
        <w:tc>
          <w:tcPr>
            <w:tcW w:w="1800" w:type="dxa"/>
            <w:tcBorders>
              <w:top w:val="single" w:sz="8" w:space="0" w:color="AEAEAE"/>
              <w:left w:val="single" w:sz="8" w:space="0" w:color="E0E0E0"/>
              <w:bottom w:val="single" w:sz="8" w:space="0" w:color="AEAEAE"/>
              <w:right w:val="single" w:sz="8" w:space="0" w:color="E0E0E0"/>
            </w:tcBorders>
            <w:shd w:val="clear" w:color="auto" w:fill="FFFFFF"/>
          </w:tcPr>
          <w:p w14:paraId="40D68DC3" w14:textId="7DE9E74C"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0.176</w:t>
            </w:r>
          </w:p>
        </w:tc>
        <w:tc>
          <w:tcPr>
            <w:tcW w:w="1255" w:type="dxa"/>
            <w:tcBorders>
              <w:top w:val="single" w:sz="8" w:space="0" w:color="AEAEAE"/>
              <w:left w:val="single" w:sz="8" w:space="0" w:color="E0E0E0"/>
              <w:bottom w:val="single" w:sz="8" w:space="0" w:color="AEAEAE"/>
              <w:right w:val="single" w:sz="8" w:space="0" w:color="E0E0E0"/>
            </w:tcBorders>
            <w:shd w:val="clear" w:color="auto" w:fill="FFFFFF"/>
          </w:tcPr>
          <w:p w14:paraId="02094025" w14:textId="76501A4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0.684</w:t>
            </w:r>
          </w:p>
        </w:tc>
        <w:tc>
          <w:tcPr>
            <w:tcW w:w="1263" w:type="dxa"/>
            <w:tcBorders>
              <w:top w:val="single" w:sz="8" w:space="0" w:color="AEAEAE"/>
              <w:left w:val="single" w:sz="8" w:space="0" w:color="E0E0E0"/>
              <w:bottom w:val="single" w:sz="8" w:space="0" w:color="AEAEAE"/>
              <w:right w:val="nil"/>
            </w:tcBorders>
            <w:shd w:val="clear" w:color="auto" w:fill="FFFFFF"/>
          </w:tcPr>
          <w:p w14:paraId="37EE77CD" w14:textId="7425C49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0.524</w:t>
            </w:r>
          </w:p>
        </w:tc>
      </w:tr>
      <w:tr w:rsidR="006B5E55" w:rsidRPr="00C677AC" w14:paraId="458253A7" w14:textId="77777777" w:rsidTr="000F11AB">
        <w:trPr>
          <w:cantSplit/>
          <w:trHeight w:val="114"/>
        </w:trPr>
        <w:tc>
          <w:tcPr>
            <w:tcW w:w="896" w:type="dxa"/>
            <w:vMerge/>
            <w:tcBorders>
              <w:top w:val="single" w:sz="8" w:space="0" w:color="152935"/>
              <w:left w:val="nil"/>
              <w:bottom w:val="single" w:sz="8" w:space="0" w:color="152935"/>
              <w:right w:val="nil"/>
            </w:tcBorders>
            <w:shd w:val="clear" w:color="auto" w:fill="E0E0E0"/>
          </w:tcPr>
          <w:p w14:paraId="2FFD7DC7" w14:textId="77777777" w:rsidR="006B5E55" w:rsidRPr="00C677AC" w:rsidRDefault="006B5E55" w:rsidP="006B5E55">
            <w:pPr>
              <w:autoSpaceDE w:val="0"/>
              <w:autoSpaceDN w:val="0"/>
              <w:adjustRightInd w:val="0"/>
              <w:spacing w:after="0" w:line="240" w:lineRule="auto"/>
              <w:rPr>
                <w:rFonts w:ascii="Arial" w:hAnsi="Arial" w:cs="Arial"/>
                <w:color w:val="010205"/>
                <w:sz w:val="18"/>
                <w:szCs w:val="18"/>
                <w:lang w:val="ro-RO"/>
              </w:rPr>
            </w:pPr>
          </w:p>
        </w:tc>
        <w:tc>
          <w:tcPr>
            <w:tcW w:w="1444" w:type="dxa"/>
            <w:tcBorders>
              <w:top w:val="single" w:sz="8" w:space="0" w:color="AEAEAE"/>
              <w:left w:val="nil"/>
              <w:bottom w:val="single" w:sz="8" w:space="0" w:color="152935"/>
              <w:right w:val="nil"/>
            </w:tcBorders>
            <w:shd w:val="clear" w:color="auto" w:fill="E0E0E0"/>
          </w:tcPr>
          <w:p w14:paraId="2ACF033A" w14:textId="59EFC01E" w:rsidR="006B5E55" w:rsidRPr="00C677AC" w:rsidRDefault="006B5E55" w:rsidP="006B5E55">
            <w:pPr>
              <w:autoSpaceDE w:val="0"/>
              <w:autoSpaceDN w:val="0"/>
              <w:adjustRightInd w:val="0"/>
              <w:spacing w:after="0" w:line="240" w:lineRule="auto"/>
              <w:ind w:left="60" w:right="60"/>
              <w:rPr>
                <w:rFonts w:ascii="Arial" w:hAnsi="Arial" w:cs="Arial"/>
                <w:color w:val="264A60"/>
                <w:sz w:val="18"/>
                <w:szCs w:val="18"/>
                <w:lang w:val="ro-RO"/>
              </w:rPr>
            </w:pPr>
            <w:r>
              <w:rPr>
                <w:rFonts w:ascii="Arial" w:hAnsi="Arial" w:cs="Arial"/>
                <w:color w:val="333399"/>
                <w:sz w:val="18"/>
                <w:szCs w:val="18"/>
              </w:rPr>
              <w:t>U</w:t>
            </w:r>
          </w:p>
        </w:tc>
        <w:tc>
          <w:tcPr>
            <w:tcW w:w="1629" w:type="dxa"/>
            <w:tcBorders>
              <w:top w:val="single" w:sz="8" w:space="0" w:color="AEAEAE"/>
              <w:left w:val="nil"/>
              <w:bottom w:val="single" w:sz="8" w:space="0" w:color="152935"/>
              <w:right w:val="single" w:sz="8" w:space="0" w:color="E0E0E0"/>
            </w:tcBorders>
            <w:shd w:val="clear" w:color="auto" w:fill="FFFFFF"/>
          </w:tcPr>
          <w:p w14:paraId="62BB89EE" w14:textId="1F3645F0"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-2.744</w:t>
            </w:r>
          </w:p>
        </w:tc>
        <w:tc>
          <w:tcPr>
            <w:tcW w:w="1633" w:type="dxa"/>
            <w:tcBorders>
              <w:top w:val="single" w:sz="8" w:space="0" w:color="AEAEAE"/>
              <w:left w:val="single" w:sz="8" w:space="0" w:color="E0E0E0"/>
              <w:bottom w:val="single" w:sz="8" w:space="0" w:color="152935"/>
              <w:right w:val="single" w:sz="8" w:space="0" w:color="E0E0E0"/>
            </w:tcBorders>
            <w:shd w:val="clear" w:color="auto" w:fill="FFFFFF"/>
          </w:tcPr>
          <w:p w14:paraId="4FA762B3" w14:textId="4318D4DE"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1.027</w:t>
            </w:r>
          </w:p>
        </w:tc>
        <w:tc>
          <w:tcPr>
            <w:tcW w:w="1800" w:type="dxa"/>
            <w:tcBorders>
              <w:top w:val="single" w:sz="8" w:space="0" w:color="AEAEAE"/>
              <w:left w:val="single" w:sz="8" w:space="0" w:color="E0E0E0"/>
              <w:bottom w:val="single" w:sz="8" w:space="0" w:color="152935"/>
              <w:right w:val="single" w:sz="8" w:space="0" w:color="E0E0E0"/>
            </w:tcBorders>
            <w:shd w:val="clear" w:color="auto" w:fill="FFFFFF"/>
          </w:tcPr>
          <w:p w14:paraId="638254CD" w14:textId="04763D08"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-0.671</w:t>
            </w:r>
          </w:p>
        </w:tc>
        <w:tc>
          <w:tcPr>
            <w:tcW w:w="1255" w:type="dxa"/>
            <w:tcBorders>
              <w:top w:val="single" w:sz="8" w:space="0" w:color="AEAEAE"/>
              <w:left w:val="single" w:sz="8" w:space="0" w:color="E0E0E0"/>
              <w:bottom w:val="single" w:sz="8" w:space="0" w:color="152935"/>
              <w:right w:val="single" w:sz="8" w:space="0" w:color="E0E0E0"/>
            </w:tcBorders>
            <w:shd w:val="clear" w:color="auto" w:fill="FFFFFF"/>
          </w:tcPr>
          <w:p w14:paraId="19FC2C45" w14:textId="4BA4315F"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-2.673</w:t>
            </w:r>
          </w:p>
        </w:tc>
        <w:tc>
          <w:tcPr>
            <w:tcW w:w="1263" w:type="dxa"/>
            <w:tcBorders>
              <w:top w:val="single" w:sz="8" w:space="0" w:color="AEAEAE"/>
              <w:left w:val="single" w:sz="8" w:space="0" w:color="E0E0E0"/>
              <w:bottom w:val="single" w:sz="8" w:space="0" w:color="152935"/>
              <w:right w:val="nil"/>
            </w:tcBorders>
            <w:shd w:val="clear" w:color="auto" w:fill="FFFFFF"/>
          </w:tcPr>
          <w:p w14:paraId="7A3B06D7" w14:textId="25359AE5"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0.044</w:t>
            </w:r>
          </w:p>
        </w:tc>
      </w:tr>
      <w:tr w:rsidR="00EF40E9" w:rsidRPr="00C677AC" w14:paraId="4C38F4DE" w14:textId="77777777" w:rsidTr="002E6846">
        <w:trPr>
          <w:cantSplit/>
          <w:trHeight w:val="248"/>
        </w:trPr>
        <w:tc>
          <w:tcPr>
            <w:tcW w:w="9920" w:type="dxa"/>
            <w:gridSpan w:val="7"/>
            <w:tcBorders>
              <w:top w:val="nil"/>
              <w:left w:val="nil"/>
              <w:bottom w:val="nil"/>
              <w:right w:val="nil"/>
            </w:tcBorders>
            <w:shd w:val="clear" w:color="auto" w:fill="FFFFFF"/>
          </w:tcPr>
          <w:p w14:paraId="33CFF6B9" w14:textId="7FD7AFF3"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sidR="00581FC7">
              <w:rPr>
                <w:rFonts w:ascii="Arial" w:hAnsi="Arial" w:cs="Arial"/>
                <w:color w:val="010205"/>
                <w:sz w:val="18"/>
                <w:szCs w:val="18"/>
                <w:lang w:val="ro-RO"/>
              </w:rPr>
              <w:t>BI</w:t>
            </w:r>
          </w:p>
        </w:tc>
      </w:tr>
    </w:tbl>
    <w:p w14:paraId="002BFFEB" w14:textId="77777777" w:rsidR="00581FC7" w:rsidRPr="008201DB" w:rsidRDefault="00581FC7" w:rsidP="00581FC7">
      <w:pPr>
        <w:autoSpaceDE w:val="0"/>
        <w:autoSpaceDN w:val="0"/>
        <w:adjustRightInd w:val="0"/>
        <w:spacing w:before="240" w:line="240" w:lineRule="auto"/>
        <w:jc w:val="center"/>
        <w:rPr>
          <w:rFonts w:ascii="Times New Roman" w:hAnsi="Times New Roman" w:cs="Times New Roman"/>
          <w:sz w:val="20"/>
          <w:szCs w:val="20"/>
          <w:lang w:val="fr-FR"/>
        </w:rPr>
      </w:pPr>
      <w:proofErr w:type="spellStart"/>
      <w:r w:rsidRPr="008201DB">
        <w:rPr>
          <w:rFonts w:ascii="Times New Roman" w:hAnsi="Times New Roman" w:cs="Times New Roman"/>
          <w:sz w:val="20"/>
          <w:szCs w:val="20"/>
          <w:lang w:val="fr-FR"/>
        </w:rPr>
        <w:t>Sursa</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Prelucrare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proprie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în</w:t>
      </w:r>
      <w:proofErr w:type="spellEnd"/>
      <w:r w:rsidRPr="008201DB">
        <w:rPr>
          <w:rFonts w:ascii="Times New Roman" w:hAnsi="Times New Roman" w:cs="Times New Roman"/>
          <w:sz w:val="20"/>
          <w:szCs w:val="20"/>
          <w:lang w:val="fr-FR"/>
        </w:rPr>
        <w:t xml:space="preserve"> SPSS 26</w:t>
      </w:r>
    </w:p>
    <w:p w14:paraId="303A5BFC" w14:textId="3A6C367E" w:rsidR="006B5E55" w:rsidRDefault="00A853B5" w:rsidP="00F549F7">
      <w:pPr>
        <w:spacing w:before="24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După performarea etapelor statistice, au fost identificați </w:t>
      </w:r>
      <w:r w:rsidR="0009666A">
        <w:rPr>
          <w:rFonts w:ascii="Times New Roman" w:hAnsi="Times New Roman" w:cs="Times New Roman"/>
          <w:sz w:val="24"/>
          <w:szCs w:val="24"/>
          <w:lang w:val="ro-RO"/>
        </w:rPr>
        <w:t>coeficienților</w:t>
      </w:r>
      <w:r>
        <w:rPr>
          <w:rFonts w:ascii="Times New Roman" w:hAnsi="Times New Roman" w:cs="Times New Roman"/>
          <w:sz w:val="24"/>
          <w:szCs w:val="24"/>
          <w:lang w:val="ro-RO"/>
        </w:rPr>
        <w:t xml:space="preserve"> regresiei în baza căreia vom construi </w:t>
      </w:r>
      <w:r w:rsidR="006B5E55">
        <w:rPr>
          <w:rFonts w:ascii="Times New Roman" w:hAnsi="Times New Roman" w:cs="Times New Roman"/>
          <w:sz w:val="24"/>
          <w:szCs w:val="24"/>
          <w:lang w:val="ro-RO"/>
        </w:rPr>
        <w:t xml:space="preserve">modelul econometric propus. </w:t>
      </w:r>
    </w:p>
    <w:p w14:paraId="1D0318BD" w14:textId="2C631EDF" w:rsidR="00EF40E9" w:rsidRPr="00C677AC" w:rsidRDefault="006B5E55" w:rsidP="00F549F7">
      <w:pPr>
        <w:tabs>
          <w:tab w:val="left" w:pos="567"/>
        </w:tabs>
        <w:spacing w:line="240" w:lineRule="auto"/>
        <w:ind w:left="360"/>
        <w:rPr>
          <w:rFonts w:eastAsiaTheme="minorEastAsia" w:cs="Times New Roman"/>
          <w:i/>
          <w:szCs w:val="24"/>
          <w:lang w:val="ro-RO"/>
        </w:rPr>
      </w:pPr>
      <m:oMathPara>
        <m:oMath>
          <m:r>
            <w:rPr>
              <w:rFonts w:ascii="Cambria Math" w:eastAsia="Times New Roman" w:hAnsi="Cambria Math" w:cs="Times New Roman"/>
              <w:szCs w:val="24"/>
              <w:lang w:val="ro-RO"/>
            </w:rPr>
            <w:lastRenderedPageBreak/>
            <m:t>BI=113,78+ 0,861*EG+ 0,323*I-2.744*U</m:t>
          </m:r>
        </m:oMath>
      </m:oMathPara>
    </w:p>
    <w:p w14:paraId="0350335D" w14:textId="49E91F51" w:rsidR="006B0E6A" w:rsidRDefault="006B5E55" w:rsidP="006B0E6A">
      <w:pPr>
        <w:spacing w:before="240"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Analizând situația obținută putem afirma că creșterea economică influențează indicele de faliment în mod semnificativ în sens pozitiv. Aceasta se traduce prin faptul </w:t>
      </w:r>
      <w:r w:rsidR="0009666A">
        <w:rPr>
          <w:rFonts w:ascii="Times New Roman" w:hAnsi="Times New Roman" w:cs="Times New Roman"/>
          <w:sz w:val="24"/>
          <w:szCs w:val="24"/>
          <w:lang w:val="ro-RO"/>
        </w:rPr>
        <w:t>în perioade de creștere economică și de bunăstare socială încrederea antreprenorial</w:t>
      </w:r>
      <w:r w:rsidR="006B0E6A">
        <w:rPr>
          <w:rFonts w:ascii="Times New Roman" w:hAnsi="Times New Roman" w:cs="Times New Roman"/>
          <w:sz w:val="24"/>
          <w:szCs w:val="24"/>
          <w:lang w:val="ro-RO"/>
        </w:rPr>
        <w:t xml:space="preserve">ă crește, numărul de întreprinderi nou înființate cresc dar în același timp sunt eliminați și jucătorii slabi sau cei ținuți artificial în viață, neexistând programe guvernamentale de sprijin și astfel putem afirma că pârghiile economiei de piață funcționează eficient. Se face astfel loc celor care utilizează resursele limitate cât mai eficient. </w:t>
      </w:r>
      <w:r w:rsidR="0009666A">
        <w:rPr>
          <w:rFonts w:ascii="Times New Roman" w:hAnsi="Times New Roman" w:cs="Times New Roman"/>
          <w:sz w:val="24"/>
          <w:szCs w:val="24"/>
          <w:lang w:val="ro-RO"/>
        </w:rPr>
        <w:t xml:space="preserve"> </w:t>
      </w:r>
    </w:p>
    <w:p w14:paraId="7578E872" w14:textId="3BA416FD" w:rsidR="001C2E12" w:rsidRPr="00314900" w:rsidRDefault="001C2E12" w:rsidP="001C2E12">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O influență puternică dar de sens invers o are nivelul ratei șomajului</w:t>
      </w:r>
      <w:r w:rsidR="00397F6C">
        <w:rPr>
          <w:rFonts w:ascii="Times New Roman" w:hAnsi="Times New Roman" w:cs="Times New Roman"/>
          <w:sz w:val="24"/>
          <w:szCs w:val="24"/>
          <w:lang w:val="ro-RO"/>
        </w:rPr>
        <w:t xml:space="preserve">. Scăderea ratei șomajului sugerează că </w:t>
      </w:r>
      <w:r w:rsidR="00A0779C">
        <w:rPr>
          <w:rFonts w:ascii="Times New Roman" w:hAnsi="Times New Roman" w:cs="Times New Roman"/>
          <w:sz w:val="24"/>
          <w:szCs w:val="24"/>
          <w:lang w:val="ro-RO"/>
        </w:rPr>
        <w:t xml:space="preserve">economia se află pe o pantă ascendentă, nivelul fluxurilor din economie crește, nivelul </w:t>
      </w:r>
      <w:r w:rsidR="002269D9">
        <w:rPr>
          <w:rFonts w:ascii="Times New Roman" w:hAnsi="Times New Roman" w:cs="Times New Roman"/>
          <w:sz w:val="24"/>
          <w:szCs w:val="24"/>
          <w:lang w:val="ro-RO"/>
        </w:rPr>
        <w:t xml:space="preserve">bunăstării sociale se îmbunătățește iar consumul crește. Astel, increderea antreprenorială </w:t>
      </w:r>
      <w:r w:rsidR="00931222">
        <w:rPr>
          <w:rFonts w:ascii="Times New Roman" w:hAnsi="Times New Roman" w:cs="Times New Roman"/>
          <w:sz w:val="24"/>
          <w:szCs w:val="24"/>
          <w:lang w:val="ro-RO"/>
        </w:rPr>
        <w:t>revine la niveluri ridicate, cresc numărul de companii nou înființate conocmitent cu numărul celor care falimentează. De asemenea, dintr-o altă persepectivă, ace</w:t>
      </w:r>
      <w:r w:rsidRPr="00314900">
        <w:rPr>
          <w:rFonts w:ascii="Times New Roman" w:hAnsi="Times New Roman" w:cs="Times New Roman"/>
          <w:sz w:val="24"/>
          <w:szCs w:val="24"/>
          <w:lang w:val="ro-RO"/>
        </w:rPr>
        <w:t>astă situație poate fi explicată prin faptul că pot exista decalaje temporale între efectele economice, adică un val ridicat de falimente într-o economie poate urma unei perioade de șomaj ridicat după un anumit interval de timp, companiile reușind sa reziste o perioada de timp dar nu pe termen nelimitat. D</w:t>
      </w:r>
      <w:r w:rsidR="00931222">
        <w:rPr>
          <w:rFonts w:ascii="Times New Roman" w:hAnsi="Times New Roman" w:cs="Times New Roman"/>
          <w:sz w:val="24"/>
          <w:szCs w:val="24"/>
          <w:lang w:val="ro-RO"/>
        </w:rPr>
        <w:t xml:space="preserve">e asemenea, </w:t>
      </w:r>
      <w:r w:rsidRPr="00314900">
        <w:rPr>
          <w:rFonts w:ascii="Times New Roman" w:hAnsi="Times New Roman" w:cs="Times New Roman"/>
          <w:sz w:val="24"/>
          <w:szCs w:val="24"/>
          <w:lang w:val="ro-RO"/>
        </w:rPr>
        <w:t xml:space="preserve">un nivel al șomajului ridicat impune adoptarea unor strategii de management al costurilor pentru ca întreprinderile să poată depăși perioadele dificile, însă pe termen lung, un nivel ridicat al șomajului antrenează creșterea riscurilor de faliment. Politicile de stimulare adoptate de țările lumii în timpul recesiunilor, prelungesc durata de viață a întreprinderilor economice, fapt care </w:t>
      </w:r>
      <w:r w:rsidR="00931222">
        <w:rPr>
          <w:rFonts w:ascii="Times New Roman" w:hAnsi="Times New Roman" w:cs="Times New Roman"/>
          <w:sz w:val="24"/>
          <w:szCs w:val="24"/>
          <w:lang w:val="ro-RO"/>
        </w:rPr>
        <w:t xml:space="preserve">poate </w:t>
      </w:r>
      <w:r w:rsidRPr="00314900">
        <w:rPr>
          <w:rFonts w:ascii="Times New Roman" w:hAnsi="Times New Roman" w:cs="Times New Roman"/>
          <w:sz w:val="24"/>
          <w:szCs w:val="24"/>
          <w:lang w:val="ro-RO"/>
        </w:rPr>
        <w:t>explică corelația inversă identificată.</w:t>
      </w:r>
    </w:p>
    <w:p w14:paraId="66F4972F" w14:textId="5428B1B8" w:rsidR="001C2E12" w:rsidRPr="001C2E12" w:rsidRDefault="001C2E12" w:rsidP="001C2E12">
      <w:pPr>
        <w:autoSpaceDE w:val="0"/>
        <w:autoSpaceDN w:val="0"/>
        <w:adjustRightInd w:val="0"/>
        <w:spacing w:after="0" w:line="240" w:lineRule="auto"/>
        <w:ind w:firstLine="708"/>
        <w:jc w:val="both"/>
        <w:rPr>
          <w:rFonts w:ascii="Times New Roman" w:hAnsi="Times New Roman" w:cs="Times New Roman"/>
          <w:sz w:val="24"/>
          <w:szCs w:val="24"/>
          <w:lang w:val="ro-RO"/>
        </w:rPr>
      </w:pPr>
      <w:r w:rsidRPr="001C2E12">
        <w:rPr>
          <w:rFonts w:ascii="Times New Roman" w:hAnsi="Times New Roman" w:cs="Times New Roman"/>
          <w:sz w:val="24"/>
          <w:szCs w:val="24"/>
          <w:lang w:val="ro-RO"/>
        </w:rPr>
        <w:t>Analiza valorilor reziduale,</w:t>
      </w:r>
      <w:r>
        <w:rPr>
          <w:rFonts w:ascii="Times New Roman" w:hAnsi="Times New Roman" w:cs="Times New Roman"/>
          <w:sz w:val="24"/>
          <w:szCs w:val="24"/>
          <w:lang w:val="ro-RO"/>
        </w:rPr>
        <w:t xml:space="preserve"> arată atăt in tabel cât și in formă grafică, o distribuție relativ normal</w:t>
      </w:r>
      <w:r w:rsidR="00B716B3">
        <w:rPr>
          <w:rFonts w:ascii="Times New Roman" w:hAnsi="Times New Roman" w:cs="Times New Roman"/>
          <w:sz w:val="24"/>
          <w:szCs w:val="24"/>
          <w:lang w:val="ro-RO"/>
        </w:rPr>
        <w:t>ă, valorile residuale care sunt valorile extreme</w:t>
      </w:r>
      <w:r w:rsidRPr="001C2E12">
        <w:rPr>
          <w:rFonts w:ascii="Times New Roman" w:hAnsi="Times New Roman" w:cs="Times New Roman"/>
          <w:sz w:val="24"/>
          <w:szCs w:val="24"/>
          <w:lang w:val="ro-RO"/>
        </w:rPr>
        <w:t xml:space="preserve">, </w:t>
      </w:r>
      <w:r w:rsidR="00B716B3">
        <w:rPr>
          <w:rFonts w:ascii="Times New Roman" w:hAnsi="Times New Roman" w:cs="Times New Roman"/>
          <w:sz w:val="24"/>
          <w:szCs w:val="24"/>
          <w:lang w:val="ro-RO"/>
        </w:rPr>
        <w:t xml:space="preserve">având valoare minimă - </w:t>
      </w:r>
      <w:r w:rsidR="00B716B3" w:rsidRPr="00B716B3">
        <w:rPr>
          <w:rFonts w:ascii="Times New Roman" w:hAnsi="Times New Roman" w:cs="Times New Roman"/>
          <w:sz w:val="24"/>
          <w:szCs w:val="24"/>
          <w:lang w:val="ro-RO"/>
        </w:rPr>
        <w:t>2.3634</w:t>
      </w:r>
      <w:r w:rsidR="00B716B3">
        <w:rPr>
          <w:rFonts w:ascii="Times New Roman" w:hAnsi="Times New Roman" w:cs="Times New Roman"/>
          <w:sz w:val="24"/>
          <w:szCs w:val="24"/>
          <w:lang w:val="ro-RO"/>
        </w:rPr>
        <w:t xml:space="preserve"> în timp ce maximul atins este de 4.1496. </w:t>
      </w:r>
    </w:p>
    <w:p w14:paraId="404F6F69" w14:textId="77777777" w:rsidR="00B716B3" w:rsidRDefault="00B716B3" w:rsidP="000F11AB">
      <w:pPr>
        <w:autoSpaceDE w:val="0"/>
        <w:autoSpaceDN w:val="0"/>
        <w:adjustRightInd w:val="0"/>
        <w:spacing w:after="0" w:line="240" w:lineRule="auto"/>
        <w:jc w:val="center"/>
        <w:rPr>
          <w:rFonts w:ascii="Times New Roman" w:hAnsi="Times New Roman" w:cs="Times New Roman"/>
          <w:sz w:val="24"/>
          <w:szCs w:val="24"/>
          <w:lang w:val="ro-RO"/>
        </w:rPr>
      </w:pPr>
    </w:p>
    <w:p w14:paraId="19877ACF" w14:textId="20B205F4" w:rsidR="00EF40E9" w:rsidRPr="00B716B3" w:rsidRDefault="00EF40E9" w:rsidP="000F11AB">
      <w:pPr>
        <w:autoSpaceDE w:val="0"/>
        <w:autoSpaceDN w:val="0"/>
        <w:adjustRightInd w:val="0"/>
        <w:spacing w:after="0" w:line="240" w:lineRule="auto"/>
        <w:jc w:val="center"/>
        <w:rPr>
          <w:rFonts w:ascii="Times New Roman" w:hAnsi="Times New Roman" w:cs="Times New Roman"/>
          <w:sz w:val="24"/>
          <w:szCs w:val="24"/>
          <w:lang w:val="ro-RO"/>
        </w:rPr>
      </w:pPr>
      <w:r w:rsidRPr="00B716B3">
        <w:rPr>
          <w:rFonts w:ascii="Times New Roman" w:hAnsi="Times New Roman" w:cs="Times New Roman"/>
          <w:sz w:val="20"/>
          <w:szCs w:val="20"/>
          <w:lang w:val="ro-RO"/>
        </w:rPr>
        <w:t>Tab</w:t>
      </w:r>
      <w:r w:rsidR="00B716B3">
        <w:rPr>
          <w:rFonts w:ascii="Times New Roman" w:hAnsi="Times New Roman" w:cs="Times New Roman"/>
          <w:sz w:val="20"/>
          <w:szCs w:val="20"/>
          <w:lang w:val="ro-RO"/>
        </w:rPr>
        <w:t>e</w:t>
      </w:r>
      <w:r w:rsidRPr="00B716B3">
        <w:rPr>
          <w:rFonts w:ascii="Times New Roman" w:hAnsi="Times New Roman" w:cs="Times New Roman"/>
          <w:sz w:val="20"/>
          <w:szCs w:val="20"/>
          <w:lang w:val="ro-RO"/>
        </w:rPr>
        <w:t>l</w:t>
      </w:r>
      <w:r w:rsidR="00B716B3">
        <w:rPr>
          <w:rFonts w:ascii="Times New Roman" w:hAnsi="Times New Roman" w:cs="Times New Roman"/>
          <w:sz w:val="20"/>
          <w:szCs w:val="20"/>
          <w:lang w:val="ro-RO"/>
        </w:rPr>
        <w:t xml:space="preserve">ul </w:t>
      </w:r>
      <w:r w:rsidRPr="00B716B3">
        <w:rPr>
          <w:rFonts w:ascii="Times New Roman" w:hAnsi="Times New Roman" w:cs="Times New Roman"/>
          <w:sz w:val="20"/>
          <w:szCs w:val="20"/>
          <w:lang w:val="ro-RO"/>
        </w:rPr>
        <w:t>n</w:t>
      </w:r>
      <w:r w:rsidR="00B716B3">
        <w:rPr>
          <w:rFonts w:ascii="Times New Roman" w:hAnsi="Times New Roman" w:cs="Times New Roman"/>
          <w:sz w:val="20"/>
          <w:szCs w:val="20"/>
          <w:lang w:val="ro-RO"/>
        </w:rPr>
        <w:t>r</w:t>
      </w:r>
      <w:r w:rsidRPr="00B716B3">
        <w:rPr>
          <w:rFonts w:ascii="Times New Roman" w:hAnsi="Times New Roman" w:cs="Times New Roman"/>
          <w:sz w:val="20"/>
          <w:szCs w:val="20"/>
          <w:lang w:val="ro-RO"/>
        </w:rPr>
        <w:t xml:space="preserve">. </w:t>
      </w:r>
      <w:r w:rsidR="00B716B3">
        <w:rPr>
          <w:rFonts w:ascii="Times New Roman" w:hAnsi="Times New Roman" w:cs="Times New Roman"/>
          <w:sz w:val="20"/>
          <w:szCs w:val="20"/>
          <w:lang w:val="ro-RO"/>
        </w:rPr>
        <w:t>7</w:t>
      </w:r>
      <w:r w:rsidR="002E6846" w:rsidRPr="00B716B3">
        <w:rPr>
          <w:rFonts w:ascii="Times New Roman" w:hAnsi="Times New Roman" w:cs="Times New Roman"/>
          <w:sz w:val="20"/>
          <w:szCs w:val="20"/>
          <w:lang w:val="ro-RO"/>
        </w:rPr>
        <w:t xml:space="preserve"> - Residual Statistics</w:t>
      </w:r>
    </w:p>
    <w:tbl>
      <w:tblPr>
        <w:tblW w:w="102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842"/>
        <w:gridCol w:w="1798"/>
        <w:gridCol w:w="1681"/>
        <w:gridCol w:w="1821"/>
        <w:gridCol w:w="1096"/>
        <w:gridCol w:w="23"/>
      </w:tblGrid>
      <w:tr w:rsidR="00EF40E9" w:rsidRPr="00C677AC" w14:paraId="26F65E47" w14:textId="77777777" w:rsidTr="000F11AB">
        <w:trPr>
          <w:gridAfter w:val="1"/>
          <w:wAfter w:w="23" w:type="dxa"/>
          <w:cantSplit/>
          <w:trHeight w:val="137"/>
          <w:jc w:val="center"/>
        </w:trPr>
        <w:tc>
          <w:tcPr>
            <w:tcW w:w="1985" w:type="dxa"/>
            <w:tcBorders>
              <w:top w:val="nil"/>
              <w:left w:val="nil"/>
              <w:bottom w:val="single" w:sz="8" w:space="0" w:color="152935"/>
              <w:right w:val="nil"/>
            </w:tcBorders>
            <w:shd w:val="clear" w:color="auto" w:fill="FFFFFF"/>
            <w:vAlign w:val="bottom"/>
          </w:tcPr>
          <w:p w14:paraId="071E36DF" w14:textId="77777777" w:rsidR="00EF40E9" w:rsidRPr="00C677AC" w:rsidRDefault="00EF40E9" w:rsidP="00F549F7">
            <w:pPr>
              <w:autoSpaceDE w:val="0"/>
              <w:autoSpaceDN w:val="0"/>
              <w:adjustRightInd w:val="0"/>
              <w:spacing w:after="0" w:line="240" w:lineRule="auto"/>
              <w:rPr>
                <w:rFonts w:ascii="Times New Roman" w:hAnsi="Times New Roman" w:cs="Times New Roman"/>
                <w:sz w:val="24"/>
                <w:szCs w:val="24"/>
                <w:lang w:val="ro-RO"/>
              </w:rPr>
            </w:pPr>
          </w:p>
        </w:tc>
        <w:tc>
          <w:tcPr>
            <w:tcW w:w="1842" w:type="dxa"/>
            <w:tcBorders>
              <w:top w:val="nil"/>
              <w:left w:val="nil"/>
              <w:bottom w:val="single" w:sz="8" w:space="0" w:color="152935"/>
              <w:right w:val="single" w:sz="8" w:space="0" w:color="E0E0E0"/>
            </w:tcBorders>
            <w:shd w:val="clear" w:color="auto" w:fill="FFFFFF"/>
            <w:vAlign w:val="bottom"/>
          </w:tcPr>
          <w:p w14:paraId="2D2BABEE"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Minimum</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7F6F95A9" w14:textId="1E2BFC6A"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Maximum</w:t>
            </w:r>
          </w:p>
        </w:tc>
        <w:tc>
          <w:tcPr>
            <w:tcW w:w="1681" w:type="dxa"/>
            <w:tcBorders>
              <w:top w:val="nil"/>
              <w:left w:val="single" w:sz="8" w:space="0" w:color="E0E0E0"/>
              <w:bottom w:val="single" w:sz="8" w:space="0" w:color="152935"/>
              <w:right w:val="single" w:sz="8" w:space="0" w:color="E0E0E0"/>
            </w:tcBorders>
            <w:shd w:val="clear" w:color="auto" w:fill="FFFFFF"/>
            <w:vAlign w:val="bottom"/>
          </w:tcPr>
          <w:p w14:paraId="76CD6A2E"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Mean</w:t>
            </w:r>
          </w:p>
        </w:tc>
        <w:tc>
          <w:tcPr>
            <w:tcW w:w="1821" w:type="dxa"/>
            <w:tcBorders>
              <w:top w:val="nil"/>
              <w:left w:val="single" w:sz="8" w:space="0" w:color="E0E0E0"/>
              <w:bottom w:val="single" w:sz="8" w:space="0" w:color="152935"/>
              <w:right w:val="single" w:sz="8" w:space="0" w:color="E0E0E0"/>
            </w:tcBorders>
            <w:shd w:val="clear" w:color="auto" w:fill="FFFFFF"/>
            <w:vAlign w:val="bottom"/>
          </w:tcPr>
          <w:p w14:paraId="416F553B"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Std. Deviation</w:t>
            </w:r>
          </w:p>
        </w:tc>
        <w:tc>
          <w:tcPr>
            <w:tcW w:w="1096" w:type="dxa"/>
            <w:tcBorders>
              <w:top w:val="nil"/>
              <w:left w:val="single" w:sz="8" w:space="0" w:color="E0E0E0"/>
              <w:bottom w:val="single" w:sz="8" w:space="0" w:color="152935"/>
              <w:right w:val="nil"/>
            </w:tcBorders>
            <w:shd w:val="clear" w:color="auto" w:fill="FFFFFF"/>
            <w:vAlign w:val="bottom"/>
          </w:tcPr>
          <w:p w14:paraId="67258F46"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N</w:t>
            </w:r>
          </w:p>
        </w:tc>
      </w:tr>
      <w:tr w:rsidR="00B716B3" w:rsidRPr="00C677AC" w14:paraId="05E8EA8A" w14:textId="77777777" w:rsidTr="000F11AB">
        <w:trPr>
          <w:gridAfter w:val="1"/>
          <w:wAfter w:w="23" w:type="dxa"/>
          <w:cantSplit/>
          <w:trHeight w:val="280"/>
          <w:jc w:val="center"/>
        </w:trPr>
        <w:tc>
          <w:tcPr>
            <w:tcW w:w="1985" w:type="dxa"/>
            <w:tcBorders>
              <w:top w:val="single" w:sz="8" w:space="0" w:color="152935"/>
              <w:left w:val="nil"/>
              <w:bottom w:val="single" w:sz="8" w:space="0" w:color="AEAEAE"/>
              <w:right w:val="nil"/>
            </w:tcBorders>
            <w:shd w:val="clear" w:color="auto" w:fill="E0E0E0"/>
          </w:tcPr>
          <w:p w14:paraId="548B8835"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Predicted Value</w:t>
            </w:r>
          </w:p>
        </w:tc>
        <w:tc>
          <w:tcPr>
            <w:tcW w:w="1842" w:type="dxa"/>
            <w:tcBorders>
              <w:top w:val="single" w:sz="8" w:space="0" w:color="152935"/>
              <w:left w:val="nil"/>
              <w:bottom w:val="single" w:sz="8" w:space="0" w:color="AEAEAE"/>
              <w:right w:val="single" w:sz="8" w:space="0" w:color="E0E0E0"/>
            </w:tcBorders>
            <w:shd w:val="clear" w:color="auto" w:fill="FFFFFF"/>
          </w:tcPr>
          <w:p w14:paraId="07F53EDC" w14:textId="33F2AF0F"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87.802</w:t>
            </w:r>
          </w:p>
        </w:tc>
        <w:tc>
          <w:tcPr>
            <w:tcW w:w="1798" w:type="dxa"/>
            <w:tcBorders>
              <w:top w:val="single" w:sz="8" w:space="0" w:color="152935"/>
              <w:left w:val="single" w:sz="8" w:space="0" w:color="E0E0E0"/>
              <w:bottom w:val="single" w:sz="8" w:space="0" w:color="AEAEAE"/>
              <w:right w:val="single" w:sz="8" w:space="0" w:color="E0E0E0"/>
            </w:tcBorders>
            <w:shd w:val="clear" w:color="auto" w:fill="FFFFFF"/>
          </w:tcPr>
          <w:p w14:paraId="66793D16" w14:textId="7A95EF7F"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102.663</w:t>
            </w:r>
          </w:p>
        </w:tc>
        <w:tc>
          <w:tcPr>
            <w:tcW w:w="1681" w:type="dxa"/>
            <w:tcBorders>
              <w:top w:val="single" w:sz="8" w:space="0" w:color="152935"/>
              <w:left w:val="single" w:sz="8" w:space="0" w:color="E0E0E0"/>
              <w:bottom w:val="single" w:sz="8" w:space="0" w:color="AEAEAE"/>
              <w:right w:val="single" w:sz="8" w:space="0" w:color="E0E0E0"/>
            </w:tcBorders>
            <w:shd w:val="clear" w:color="auto" w:fill="FFFFFF"/>
          </w:tcPr>
          <w:p w14:paraId="5429538D" w14:textId="7A5D3BA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95.189</w:t>
            </w:r>
          </w:p>
        </w:tc>
        <w:tc>
          <w:tcPr>
            <w:tcW w:w="1821" w:type="dxa"/>
            <w:tcBorders>
              <w:top w:val="single" w:sz="8" w:space="0" w:color="152935"/>
              <w:left w:val="single" w:sz="8" w:space="0" w:color="E0E0E0"/>
              <w:bottom w:val="single" w:sz="8" w:space="0" w:color="AEAEAE"/>
              <w:right w:val="single" w:sz="8" w:space="0" w:color="E0E0E0"/>
            </w:tcBorders>
            <w:shd w:val="clear" w:color="auto" w:fill="FFFFFF"/>
          </w:tcPr>
          <w:p w14:paraId="50772AE7" w14:textId="1446E35D"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5.2823</w:t>
            </w:r>
          </w:p>
        </w:tc>
        <w:tc>
          <w:tcPr>
            <w:tcW w:w="1096" w:type="dxa"/>
            <w:tcBorders>
              <w:top w:val="single" w:sz="8" w:space="0" w:color="152935"/>
              <w:left w:val="single" w:sz="8" w:space="0" w:color="E0E0E0"/>
              <w:bottom w:val="single" w:sz="8" w:space="0" w:color="AEAEAE"/>
              <w:right w:val="nil"/>
            </w:tcBorders>
            <w:shd w:val="clear" w:color="auto" w:fill="FFFFFF"/>
          </w:tcPr>
          <w:p w14:paraId="06B5C23A" w14:textId="09CA44C3"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B716B3" w:rsidRPr="00C677AC" w14:paraId="3CCA2BF1" w14:textId="77777777" w:rsidTr="000F11AB">
        <w:trPr>
          <w:gridAfter w:val="1"/>
          <w:wAfter w:w="23" w:type="dxa"/>
          <w:cantSplit/>
          <w:trHeight w:val="422"/>
          <w:jc w:val="center"/>
        </w:trPr>
        <w:tc>
          <w:tcPr>
            <w:tcW w:w="1985" w:type="dxa"/>
            <w:tcBorders>
              <w:top w:val="single" w:sz="8" w:space="0" w:color="AEAEAE"/>
              <w:left w:val="nil"/>
              <w:bottom w:val="single" w:sz="8" w:space="0" w:color="AEAEAE"/>
              <w:right w:val="nil"/>
            </w:tcBorders>
            <w:shd w:val="clear" w:color="auto" w:fill="E0E0E0"/>
          </w:tcPr>
          <w:p w14:paraId="537A5DD7"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Residual</w:t>
            </w:r>
          </w:p>
        </w:tc>
        <w:tc>
          <w:tcPr>
            <w:tcW w:w="1842" w:type="dxa"/>
            <w:tcBorders>
              <w:top w:val="single" w:sz="8" w:space="0" w:color="AEAEAE"/>
              <w:left w:val="nil"/>
              <w:bottom w:val="single" w:sz="8" w:space="0" w:color="AEAEAE"/>
              <w:right w:val="single" w:sz="8" w:space="0" w:color="E0E0E0"/>
            </w:tcBorders>
            <w:shd w:val="clear" w:color="auto" w:fill="FFFFFF"/>
          </w:tcPr>
          <w:p w14:paraId="186ED34E" w14:textId="593F7080"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-2.3634</w:t>
            </w:r>
          </w:p>
        </w:tc>
        <w:tc>
          <w:tcPr>
            <w:tcW w:w="1798" w:type="dxa"/>
            <w:tcBorders>
              <w:top w:val="single" w:sz="8" w:space="0" w:color="AEAEAE"/>
              <w:left w:val="single" w:sz="8" w:space="0" w:color="E0E0E0"/>
              <w:bottom w:val="single" w:sz="8" w:space="0" w:color="AEAEAE"/>
              <w:right w:val="single" w:sz="8" w:space="0" w:color="E0E0E0"/>
            </w:tcBorders>
            <w:shd w:val="clear" w:color="auto" w:fill="FFFFFF"/>
          </w:tcPr>
          <w:p w14:paraId="6EAD14C6" w14:textId="3C8A2877"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4.1496</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14:paraId="0102EE0A" w14:textId="6253292B"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0.0000</w:t>
            </w:r>
          </w:p>
        </w:tc>
        <w:tc>
          <w:tcPr>
            <w:tcW w:w="1821" w:type="dxa"/>
            <w:tcBorders>
              <w:top w:val="single" w:sz="8" w:space="0" w:color="AEAEAE"/>
              <w:left w:val="single" w:sz="8" w:space="0" w:color="E0E0E0"/>
              <w:bottom w:val="single" w:sz="8" w:space="0" w:color="AEAEAE"/>
              <w:right w:val="single" w:sz="8" w:space="0" w:color="E0E0E0"/>
            </w:tcBorders>
            <w:shd w:val="clear" w:color="auto" w:fill="FFFFFF"/>
          </w:tcPr>
          <w:p w14:paraId="68729DB8" w14:textId="7F513F56"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2.0924</w:t>
            </w:r>
          </w:p>
        </w:tc>
        <w:tc>
          <w:tcPr>
            <w:tcW w:w="1096" w:type="dxa"/>
            <w:tcBorders>
              <w:top w:val="single" w:sz="8" w:space="0" w:color="AEAEAE"/>
              <w:left w:val="single" w:sz="8" w:space="0" w:color="E0E0E0"/>
              <w:bottom w:val="single" w:sz="8" w:space="0" w:color="AEAEAE"/>
              <w:right w:val="nil"/>
            </w:tcBorders>
            <w:shd w:val="clear" w:color="auto" w:fill="FFFFFF"/>
          </w:tcPr>
          <w:p w14:paraId="10197C81" w14:textId="3CCD0906"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B716B3" w:rsidRPr="00C677AC" w14:paraId="29947852" w14:textId="77777777" w:rsidTr="000F11AB">
        <w:trPr>
          <w:gridAfter w:val="1"/>
          <w:wAfter w:w="23" w:type="dxa"/>
          <w:cantSplit/>
          <w:trHeight w:val="137"/>
          <w:jc w:val="center"/>
        </w:trPr>
        <w:tc>
          <w:tcPr>
            <w:tcW w:w="1985" w:type="dxa"/>
            <w:tcBorders>
              <w:top w:val="single" w:sz="8" w:space="0" w:color="AEAEAE"/>
              <w:left w:val="nil"/>
              <w:bottom w:val="single" w:sz="8" w:space="0" w:color="AEAEAE"/>
              <w:right w:val="nil"/>
            </w:tcBorders>
            <w:shd w:val="clear" w:color="auto" w:fill="E0E0E0"/>
          </w:tcPr>
          <w:p w14:paraId="3304968A"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Std. Predicted Value</w:t>
            </w:r>
          </w:p>
        </w:tc>
        <w:tc>
          <w:tcPr>
            <w:tcW w:w="1842" w:type="dxa"/>
            <w:tcBorders>
              <w:top w:val="single" w:sz="8" w:space="0" w:color="AEAEAE"/>
              <w:left w:val="nil"/>
              <w:bottom w:val="single" w:sz="8" w:space="0" w:color="AEAEAE"/>
              <w:right w:val="single" w:sz="8" w:space="0" w:color="E0E0E0"/>
            </w:tcBorders>
            <w:shd w:val="clear" w:color="auto" w:fill="FFFFFF"/>
          </w:tcPr>
          <w:p w14:paraId="52100BBE" w14:textId="4BF6F074"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-1.398</w:t>
            </w:r>
          </w:p>
        </w:tc>
        <w:tc>
          <w:tcPr>
            <w:tcW w:w="1798" w:type="dxa"/>
            <w:tcBorders>
              <w:top w:val="single" w:sz="8" w:space="0" w:color="AEAEAE"/>
              <w:left w:val="single" w:sz="8" w:space="0" w:color="E0E0E0"/>
              <w:bottom w:val="single" w:sz="8" w:space="0" w:color="AEAEAE"/>
              <w:right w:val="single" w:sz="8" w:space="0" w:color="E0E0E0"/>
            </w:tcBorders>
            <w:shd w:val="clear" w:color="auto" w:fill="FFFFFF"/>
          </w:tcPr>
          <w:p w14:paraId="4C9F492C" w14:textId="796666CC"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1.415</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14:paraId="15C6EBF6" w14:textId="73B20CCF"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0.000</w:t>
            </w:r>
          </w:p>
        </w:tc>
        <w:tc>
          <w:tcPr>
            <w:tcW w:w="1821" w:type="dxa"/>
            <w:tcBorders>
              <w:top w:val="single" w:sz="8" w:space="0" w:color="AEAEAE"/>
              <w:left w:val="single" w:sz="8" w:space="0" w:color="E0E0E0"/>
              <w:bottom w:val="single" w:sz="8" w:space="0" w:color="AEAEAE"/>
              <w:right w:val="single" w:sz="8" w:space="0" w:color="E0E0E0"/>
            </w:tcBorders>
            <w:shd w:val="clear" w:color="auto" w:fill="FFFFFF"/>
          </w:tcPr>
          <w:p w14:paraId="0B570114" w14:textId="4106982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1.000</w:t>
            </w:r>
          </w:p>
        </w:tc>
        <w:tc>
          <w:tcPr>
            <w:tcW w:w="1096" w:type="dxa"/>
            <w:tcBorders>
              <w:top w:val="single" w:sz="8" w:space="0" w:color="AEAEAE"/>
              <w:left w:val="single" w:sz="8" w:space="0" w:color="E0E0E0"/>
              <w:bottom w:val="single" w:sz="8" w:space="0" w:color="AEAEAE"/>
              <w:right w:val="nil"/>
            </w:tcBorders>
            <w:shd w:val="clear" w:color="auto" w:fill="FFFFFF"/>
          </w:tcPr>
          <w:p w14:paraId="23D12566" w14:textId="18E627ED"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B716B3" w:rsidRPr="00C677AC" w14:paraId="55BB667D" w14:textId="77777777" w:rsidTr="000F11AB">
        <w:trPr>
          <w:gridAfter w:val="1"/>
          <w:wAfter w:w="23" w:type="dxa"/>
          <w:cantSplit/>
          <w:trHeight w:val="142"/>
          <w:jc w:val="center"/>
        </w:trPr>
        <w:tc>
          <w:tcPr>
            <w:tcW w:w="1985" w:type="dxa"/>
            <w:tcBorders>
              <w:top w:val="single" w:sz="8" w:space="0" w:color="AEAEAE"/>
              <w:left w:val="nil"/>
              <w:bottom w:val="single" w:sz="8" w:space="0" w:color="152935"/>
              <w:right w:val="nil"/>
            </w:tcBorders>
            <w:shd w:val="clear" w:color="auto" w:fill="E0E0E0"/>
          </w:tcPr>
          <w:p w14:paraId="3FD8B975"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Std. Residual</w:t>
            </w:r>
          </w:p>
        </w:tc>
        <w:tc>
          <w:tcPr>
            <w:tcW w:w="1842" w:type="dxa"/>
            <w:tcBorders>
              <w:top w:val="single" w:sz="8" w:space="0" w:color="AEAEAE"/>
              <w:left w:val="nil"/>
              <w:bottom w:val="single" w:sz="8" w:space="0" w:color="152935"/>
              <w:right w:val="single" w:sz="8" w:space="0" w:color="E0E0E0"/>
            </w:tcBorders>
            <w:shd w:val="clear" w:color="auto" w:fill="FFFFFF"/>
          </w:tcPr>
          <w:p w14:paraId="784F84E8" w14:textId="3641BCB4"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-0.893</w:t>
            </w:r>
          </w:p>
        </w:tc>
        <w:tc>
          <w:tcPr>
            <w:tcW w:w="1798" w:type="dxa"/>
            <w:tcBorders>
              <w:top w:val="single" w:sz="8" w:space="0" w:color="AEAEAE"/>
              <w:left w:val="single" w:sz="8" w:space="0" w:color="E0E0E0"/>
              <w:bottom w:val="single" w:sz="8" w:space="0" w:color="152935"/>
              <w:right w:val="single" w:sz="8" w:space="0" w:color="E0E0E0"/>
            </w:tcBorders>
            <w:shd w:val="clear" w:color="auto" w:fill="FFFFFF"/>
          </w:tcPr>
          <w:p w14:paraId="1DAABC75" w14:textId="43DB338D"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1.568</w:t>
            </w:r>
          </w:p>
        </w:tc>
        <w:tc>
          <w:tcPr>
            <w:tcW w:w="1681" w:type="dxa"/>
            <w:tcBorders>
              <w:top w:val="single" w:sz="8" w:space="0" w:color="AEAEAE"/>
              <w:left w:val="single" w:sz="8" w:space="0" w:color="E0E0E0"/>
              <w:bottom w:val="single" w:sz="8" w:space="0" w:color="152935"/>
              <w:right w:val="single" w:sz="8" w:space="0" w:color="E0E0E0"/>
            </w:tcBorders>
            <w:shd w:val="clear" w:color="auto" w:fill="FFFFFF"/>
          </w:tcPr>
          <w:p w14:paraId="3A0C97DD" w14:textId="28FE61E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0.000</w:t>
            </w:r>
          </w:p>
        </w:tc>
        <w:tc>
          <w:tcPr>
            <w:tcW w:w="1821" w:type="dxa"/>
            <w:tcBorders>
              <w:top w:val="single" w:sz="8" w:space="0" w:color="AEAEAE"/>
              <w:left w:val="single" w:sz="8" w:space="0" w:color="E0E0E0"/>
              <w:bottom w:val="single" w:sz="8" w:space="0" w:color="152935"/>
              <w:right w:val="single" w:sz="8" w:space="0" w:color="E0E0E0"/>
            </w:tcBorders>
            <w:shd w:val="clear" w:color="auto" w:fill="FFFFFF"/>
          </w:tcPr>
          <w:p w14:paraId="102ADE71" w14:textId="6CC97C2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0.791</w:t>
            </w:r>
          </w:p>
        </w:tc>
        <w:tc>
          <w:tcPr>
            <w:tcW w:w="1096" w:type="dxa"/>
            <w:tcBorders>
              <w:top w:val="single" w:sz="8" w:space="0" w:color="AEAEAE"/>
              <w:left w:val="single" w:sz="8" w:space="0" w:color="E0E0E0"/>
              <w:bottom w:val="single" w:sz="8" w:space="0" w:color="152935"/>
              <w:right w:val="nil"/>
            </w:tcBorders>
            <w:shd w:val="clear" w:color="auto" w:fill="FFFFFF"/>
          </w:tcPr>
          <w:p w14:paraId="57A450C4" w14:textId="732DECB2"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EF40E9" w:rsidRPr="00C677AC" w14:paraId="6B1B948A" w14:textId="77777777" w:rsidTr="000F11AB">
        <w:trPr>
          <w:cantSplit/>
          <w:trHeight w:val="137"/>
          <w:jc w:val="center"/>
        </w:trPr>
        <w:tc>
          <w:tcPr>
            <w:tcW w:w="10246" w:type="dxa"/>
            <w:gridSpan w:val="7"/>
            <w:tcBorders>
              <w:top w:val="nil"/>
              <w:left w:val="nil"/>
              <w:bottom w:val="nil"/>
              <w:right w:val="nil"/>
            </w:tcBorders>
            <w:shd w:val="clear" w:color="auto" w:fill="FFFFFF"/>
          </w:tcPr>
          <w:p w14:paraId="1157A9D9" w14:textId="440879B5"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sidR="00B716B3">
              <w:rPr>
                <w:rFonts w:ascii="Arial" w:hAnsi="Arial" w:cs="Arial"/>
                <w:color w:val="010205"/>
                <w:sz w:val="18"/>
                <w:szCs w:val="18"/>
                <w:lang w:val="ro-RO"/>
              </w:rPr>
              <w:t>BI</w:t>
            </w:r>
          </w:p>
        </w:tc>
      </w:tr>
    </w:tbl>
    <w:p w14:paraId="2030F585" w14:textId="21BFC4FC" w:rsidR="00B716B3" w:rsidRPr="008201DB" w:rsidRDefault="00B716B3" w:rsidP="00B716B3">
      <w:pPr>
        <w:autoSpaceDE w:val="0"/>
        <w:autoSpaceDN w:val="0"/>
        <w:adjustRightInd w:val="0"/>
        <w:spacing w:before="240" w:line="240" w:lineRule="auto"/>
        <w:jc w:val="center"/>
        <w:rPr>
          <w:rFonts w:ascii="Times New Roman" w:hAnsi="Times New Roman" w:cs="Times New Roman"/>
          <w:sz w:val="20"/>
          <w:szCs w:val="20"/>
          <w:lang w:val="fr-FR"/>
        </w:rPr>
      </w:pPr>
      <w:proofErr w:type="spellStart"/>
      <w:r w:rsidRPr="008201DB">
        <w:rPr>
          <w:rFonts w:ascii="Times New Roman" w:hAnsi="Times New Roman" w:cs="Times New Roman"/>
          <w:sz w:val="20"/>
          <w:szCs w:val="20"/>
          <w:lang w:val="fr-FR"/>
        </w:rPr>
        <w:t>Sursa</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Prelucrare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proprie</w:t>
      </w:r>
      <w:proofErr w:type="spellEnd"/>
      <w:r w:rsidRPr="008201DB">
        <w:rPr>
          <w:rFonts w:ascii="Times New Roman" w:hAnsi="Times New Roman" w:cs="Times New Roman"/>
          <w:sz w:val="20"/>
          <w:szCs w:val="20"/>
          <w:lang w:val="fr-FR"/>
        </w:rPr>
        <w:t xml:space="preserve"> </w:t>
      </w:r>
      <w:proofErr w:type="spellStart"/>
      <w:r w:rsidRPr="008201DB">
        <w:rPr>
          <w:rFonts w:ascii="Times New Roman" w:hAnsi="Times New Roman" w:cs="Times New Roman"/>
          <w:sz w:val="20"/>
          <w:szCs w:val="20"/>
          <w:lang w:val="fr-FR"/>
        </w:rPr>
        <w:t>în</w:t>
      </w:r>
      <w:proofErr w:type="spellEnd"/>
      <w:r w:rsidRPr="008201DB">
        <w:rPr>
          <w:rFonts w:ascii="Times New Roman" w:hAnsi="Times New Roman" w:cs="Times New Roman"/>
          <w:sz w:val="20"/>
          <w:szCs w:val="20"/>
          <w:lang w:val="fr-FR"/>
        </w:rPr>
        <w:t xml:space="preserve"> SPSS 26</w:t>
      </w:r>
    </w:p>
    <w:p w14:paraId="1C1E6081" w14:textId="6A7A9536" w:rsidR="00EF40E9" w:rsidRPr="00C677AC" w:rsidRDefault="00EF40E9" w:rsidP="00F549F7">
      <w:pPr>
        <w:autoSpaceDE w:val="0"/>
        <w:autoSpaceDN w:val="0"/>
        <w:adjustRightInd w:val="0"/>
        <w:spacing w:after="0" w:line="240" w:lineRule="auto"/>
        <w:rPr>
          <w:rFonts w:ascii="Times New Roman" w:hAnsi="Times New Roman" w:cs="Times New Roman"/>
          <w:sz w:val="24"/>
          <w:szCs w:val="24"/>
          <w:lang w:val="ro-RO"/>
        </w:rPr>
      </w:pPr>
    </w:p>
    <w:p w14:paraId="196C67F3" w14:textId="1A002AF5" w:rsidR="00B716B3" w:rsidRPr="008201DB" w:rsidRDefault="00B716B3" w:rsidP="00F549F7">
      <w:pPr>
        <w:spacing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1C2E12">
        <w:rPr>
          <w:rFonts w:ascii="Times New Roman" w:hAnsi="Times New Roman" w:cs="Times New Roman"/>
          <w:sz w:val="24"/>
          <w:szCs w:val="24"/>
          <w:lang w:val="ro-RO"/>
        </w:rPr>
        <w:t xml:space="preserve">unctele </w:t>
      </w:r>
      <w:r>
        <w:rPr>
          <w:rFonts w:ascii="Times New Roman" w:hAnsi="Times New Roman" w:cs="Times New Roman"/>
          <w:sz w:val="24"/>
          <w:szCs w:val="24"/>
          <w:lang w:val="ro-RO"/>
        </w:rPr>
        <w:t>se aliniază î</w:t>
      </w:r>
      <w:r w:rsidRPr="001C2E12">
        <w:rPr>
          <w:rFonts w:ascii="Times New Roman" w:hAnsi="Times New Roman" w:cs="Times New Roman"/>
          <w:sz w:val="24"/>
          <w:szCs w:val="24"/>
          <w:lang w:val="ro-RO"/>
        </w:rPr>
        <w:t xml:space="preserve">n general </w:t>
      </w:r>
      <w:r w:rsidR="00CF262D">
        <w:rPr>
          <w:rFonts w:ascii="Times New Roman" w:hAnsi="Times New Roman" w:cs="Times New Roman"/>
          <w:sz w:val="24"/>
          <w:szCs w:val="24"/>
          <w:lang w:val="ro-RO"/>
        </w:rPr>
        <w:t xml:space="preserve">la </w:t>
      </w:r>
      <w:r w:rsidRPr="001C2E12">
        <w:rPr>
          <w:rFonts w:ascii="Times New Roman" w:hAnsi="Times New Roman" w:cs="Times New Roman"/>
          <w:sz w:val="24"/>
          <w:szCs w:val="24"/>
          <w:lang w:val="ro-RO"/>
        </w:rPr>
        <w:t>pant</w:t>
      </w:r>
      <w:r w:rsidR="00CF262D">
        <w:rPr>
          <w:rFonts w:ascii="Times New Roman" w:hAnsi="Times New Roman" w:cs="Times New Roman"/>
          <w:sz w:val="24"/>
          <w:szCs w:val="24"/>
          <w:lang w:val="ro-RO"/>
        </w:rPr>
        <w:t>a</w:t>
      </w:r>
      <w:r w:rsidRPr="001C2E12">
        <w:rPr>
          <w:rFonts w:ascii="Times New Roman" w:hAnsi="Times New Roman" w:cs="Times New Roman"/>
          <w:sz w:val="24"/>
          <w:szCs w:val="24"/>
          <w:lang w:val="ro-RO"/>
        </w:rPr>
        <w:t xml:space="preserve"> dreptei, fără </w:t>
      </w:r>
      <w:r>
        <w:rPr>
          <w:rFonts w:ascii="Times New Roman" w:hAnsi="Times New Roman" w:cs="Times New Roman"/>
          <w:sz w:val="24"/>
          <w:szCs w:val="24"/>
          <w:lang w:val="ro-RO"/>
        </w:rPr>
        <w:t>abateri semnificative</w:t>
      </w:r>
      <w:r w:rsidRPr="001C2E12">
        <w:rPr>
          <w:rFonts w:ascii="Times New Roman" w:hAnsi="Times New Roman" w:cs="Times New Roman"/>
          <w:sz w:val="24"/>
          <w:szCs w:val="24"/>
          <w:lang w:val="ro-RO"/>
        </w:rPr>
        <w:t xml:space="preserve"> față de pantă </w:t>
      </w:r>
      <w:r w:rsidR="00CF262D">
        <w:rPr>
          <w:rFonts w:ascii="Times New Roman" w:hAnsi="Times New Roman" w:cs="Times New Roman"/>
          <w:sz w:val="24"/>
          <w:szCs w:val="24"/>
          <w:lang w:val="ro-RO"/>
        </w:rPr>
        <w:t>î</w:t>
      </w:r>
      <w:r>
        <w:rPr>
          <w:rFonts w:ascii="Times New Roman" w:hAnsi="Times New Roman" w:cs="Times New Roman"/>
          <w:sz w:val="24"/>
          <w:szCs w:val="24"/>
          <w:lang w:val="ro-RO"/>
        </w:rPr>
        <w:t xml:space="preserve">n timp ce </w:t>
      </w:r>
      <w:r w:rsidRPr="001C2E12">
        <w:rPr>
          <w:rFonts w:ascii="Times New Roman" w:hAnsi="Times New Roman" w:cs="Times New Roman"/>
          <w:sz w:val="24"/>
          <w:szCs w:val="24"/>
          <w:lang w:val="ro-RO"/>
        </w:rPr>
        <w:t xml:space="preserve">histograma </w:t>
      </w:r>
      <w:r w:rsidRPr="008201DB">
        <w:rPr>
          <w:rFonts w:ascii="Times New Roman" w:hAnsi="Times New Roman" w:cs="Times New Roman"/>
          <w:sz w:val="24"/>
          <w:szCs w:val="24"/>
          <w:lang w:val="ro-RO"/>
        </w:rPr>
        <w:t xml:space="preserve">arată o ușoară asimetrie spre partea dreaptă. </w:t>
      </w:r>
    </w:p>
    <w:p w14:paraId="1E267DE6" w14:textId="144A0B8C" w:rsidR="00B716B3" w:rsidRPr="008201DB" w:rsidRDefault="00B716B3" w:rsidP="00F549F7">
      <w:pPr>
        <w:spacing w:line="240" w:lineRule="auto"/>
        <w:ind w:firstLine="567"/>
        <w:jc w:val="both"/>
        <w:rPr>
          <w:rFonts w:ascii="Times New Roman" w:hAnsi="Times New Roman" w:cs="Times New Roman"/>
          <w:sz w:val="24"/>
          <w:szCs w:val="24"/>
          <w:lang w:val="ro-RO"/>
        </w:rPr>
      </w:pPr>
      <w:r>
        <w:rPr>
          <w:noProof/>
        </w:rPr>
        <w:lastRenderedPageBreak/>
        <w:drawing>
          <wp:anchor distT="0" distB="0" distL="114300" distR="114300" simplePos="0" relativeHeight="251665920" behindDoc="0" locked="0" layoutInCell="1" allowOverlap="1" wp14:anchorId="665B7F01" wp14:editId="50CA2EDF">
            <wp:simplePos x="0" y="0"/>
            <wp:positionH relativeFrom="column">
              <wp:posOffset>45720</wp:posOffset>
            </wp:positionH>
            <wp:positionV relativeFrom="paragraph">
              <wp:posOffset>118110</wp:posOffset>
            </wp:positionV>
            <wp:extent cx="3067050" cy="2049145"/>
            <wp:effectExtent l="19050" t="19050" r="19050" b="27305"/>
            <wp:wrapNone/>
            <wp:docPr id="2" name="Imagine 1">
              <a:extLst xmlns:a="http://schemas.openxmlformats.org/drawingml/2006/main">
                <a:ext uri="{FF2B5EF4-FFF2-40B4-BE49-F238E27FC236}">
                  <a16:creationId xmlns:a16="http://schemas.microsoft.com/office/drawing/2014/main" id="{8E1BC5F9-F023-7A4E-DFBE-C883A251F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1">
                      <a:extLst>
                        <a:ext uri="{FF2B5EF4-FFF2-40B4-BE49-F238E27FC236}">
                          <a16:creationId xmlns:a16="http://schemas.microsoft.com/office/drawing/2014/main" id="{8E1BC5F9-F023-7A4E-DFBE-C883A251FE70}"/>
                        </a:ext>
                      </a:extLst>
                    </pic:cNvPr>
                    <pic:cNvPicPr>
                      <a:picLocks noChangeAspect="1"/>
                    </pic:cNvPicPr>
                  </pic:nvPicPr>
                  <pic:blipFill rotWithShape="1">
                    <a:blip r:embed="rId11">
                      <a:extLst>
                        <a:ext uri="{28A0092B-C50C-407E-A947-70E740481C1C}">
                          <a14:useLocalDpi xmlns:a14="http://schemas.microsoft.com/office/drawing/2010/main" val="0"/>
                        </a:ext>
                      </a:extLst>
                    </a:blip>
                    <a:srcRect r="14426"/>
                    <a:stretch/>
                  </pic:blipFill>
                  <pic:spPr bwMode="auto">
                    <a:xfrm>
                      <a:off x="0" y="0"/>
                      <a:ext cx="3067050" cy="204914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6944" behindDoc="0" locked="0" layoutInCell="1" allowOverlap="1" wp14:anchorId="6C941EAB" wp14:editId="0D1640E2">
            <wp:simplePos x="0" y="0"/>
            <wp:positionH relativeFrom="column">
              <wp:posOffset>3268980</wp:posOffset>
            </wp:positionH>
            <wp:positionV relativeFrom="paragraph">
              <wp:posOffset>118110</wp:posOffset>
            </wp:positionV>
            <wp:extent cx="3128010" cy="2049145"/>
            <wp:effectExtent l="19050" t="19050" r="15240" b="27305"/>
            <wp:wrapThrough wrapText="bothSides">
              <wp:wrapPolygon edited="0">
                <wp:start x="-132" y="-201"/>
                <wp:lineTo x="-132" y="21687"/>
                <wp:lineTo x="21574" y="21687"/>
                <wp:lineTo x="21574" y="-201"/>
                <wp:lineTo x="-132" y="-201"/>
              </wp:wrapPolygon>
            </wp:wrapThrough>
            <wp:docPr id="3" name="Imagine 2">
              <a:extLst xmlns:a="http://schemas.openxmlformats.org/drawingml/2006/main">
                <a:ext uri="{FF2B5EF4-FFF2-40B4-BE49-F238E27FC236}">
                  <a16:creationId xmlns:a16="http://schemas.microsoft.com/office/drawing/2014/main" id="{9010D39A-D37D-A853-A3F1-8059DAA89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9010D39A-D37D-A853-A3F1-8059DAA895BD}"/>
                        </a:ext>
                      </a:extLst>
                    </pic:cNvPr>
                    <pic:cNvPicPr>
                      <a:picLocks noChangeAspect="1"/>
                    </pic:cNvPicPr>
                  </pic:nvPicPr>
                  <pic:blipFill rotWithShape="1">
                    <a:blip r:embed="rId12">
                      <a:extLst>
                        <a:ext uri="{28A0092B-C50C-407E-A947-70E740481C1C}">
                          <a14:useLocalDpi xmlns:a14="http://schemas.microsoft.com/office/drawing/2010/main" val="0"/>
                        </a:ext>
                      </a:extLst>
                    </a:blip>
                    <a:srcRect l="25632" r="21299"/>
                    <a:stretch/>
                  </pic:blipFill>
                  <pic:spPr bwMode="auto">
                    <a:xfrm>
                      <a:off x="0" y="0"/>
                      <a:ext cx="3128010" cy="204914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8F2536" w14:textId="3B198C8A" w:rsidR="00B716B3" w:rsidRDefault="00B716B3" w:rsidP="00F549F7">
      <w:pPr>
        <w:spacing w:line="240" w:lineRule="auto"/>
        <w:ind w:firstLine="567"/>
        <w:jc w:val="both"/>
        <w:rPr>
          <w:rFonts w:ascii="Times New Roman" w:hAnsi="Times New Roman" w:cs="Times New Roman"/>
          <w:sz w:val="24"/>
          <w:szCs w:val="24"/>
          <w:lang w:val="ro-RO"/>
        </w:rPr>
      </w:pPr>
      <w:r w:rsidRPr="001C2E12">
        <w:rPr>
          <w:rFonts w:ascii="Times New Roman" w:hAnsi="Times New Roman" w:cs="Times New Roman"/>
          <w:sz w:val="24"/>
          <w:szCs w:val="24"/>
          <w:lang w:val="ro-RO"/>
        </w:rPr>
        <w:t xml:space="preserve">. </w:t>
      </w:r>
    </w:p>
    <w:p w14:paraId="6DD4B54D" w14:textId="41CD736C" w:rsidR="00B716B3" w:rsidRDefault="00B716B3" w:rsidP="00B716B3">
      <w:pPr>
        <w:spacing w:line="240" w:lineRule="auto"/>
        <w:ind w:firstLine="142"/>
        <w:jc w:val="both"/>
        <w:rPr>
          <w:rFonts w:ascii="Times New Roman" w:hAnsi="Times New Roman" w:cs="Times New Roman"/>
          <w:sz w:val="24"/>
          <w:szCs w:val="24"/>
          <w:lang w:val="ro-RO"/>
        </w:rPr>
      </w:pPr>
    </w:p>
    <w:p w14:paraId="723C1A62" w14:textId="715CC9BA"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4F02086" w14:textId="50E76404"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5A8FC6D1" w14:textId="4AE245E0"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3631D79"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132399D" w14:textId="713B7C22"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617DBC60" w14:textId="5CC886A2"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26453A71"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4D05C3B5" w14:textId="626AEF0D"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229740CD"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2CE2D6E"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3DBFB14E" w14:textId="7C227AC2"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38A02C0F" w14:textId="77777777" w:rsidR="00B716B3" w:rsidRPr="008201DB" w:rsidRDefault="00B716B3" w:rsidP="00B716B3">
      <w:pPr>
        <w:autoSpaceDE w:val="0"/>
        <w:autoSpaceDN w:val="0"/>
        <w:adjustRightInd w:val="0"/>
        <w:spacing w:after="0" w:line="240" w:lineRule="auto"/>
        <w:jc w:val="center"/>
        <w:rPr>
          <w:rFonts w:ascii="Times New Roman" w:hAnsi="Times New Roman" w:cs="Times New Roman"/>
          <w:bCs/>
          <w:sz w:val="20"/>
          <w:szCs w:val="20"/>
          <w:lang w:val="ro-RO"/>
        </w:rPr>
      </w:pPr>
      <w:r w:rsidRPr="00B716B3">
        <w:rPr>
          <w:rFonts w:ascii="Times New Roman" w:hAnsi="Times New Roman" w:cs="Times New Roman"/>
          <w:i/>
          <w:iCs/>
          <w:sz w:val="20"/>
          <w:szCs w:val="20"/>
          <w:lang w:val="ro-RO"/>
        </w:rPr>
        <w:t>Fig. 2</w:t>
      </w:r>
      <w:r w:rsidRPr="00C677AC">
        <w:rPr>
          <w:rFonts w:ascii="Times New Roman" w:hAnsi="Times New Roman" w:cs="Times New Roman"/>
          <w:b/>
          <w:bCs/>
          <w:sz w:val="20"/>
          <w:szCs w:val="20"/>
          <w:lang w:val="ro-RO"/>
        </w:rPr>
        <w:t xml:space="preserve"> - </w:t>
      </w:r>
      <w:r w:rsidRPr="008201DB">
        <w:rPr>
          <w:rFonts w:ascii="Times New Roman" w:hAnsi="Times New Roman" w:cs="Times New Roman"/>
          <w:bCs/>
          <w:sz w:val="20"/>
          <w:szCs w:val="20"/>
          <w:lang w:val="ro-RO"/>
        </w:rPr>
        <w:t xml:space="preserve">Histograma și Graficul PP Plot al valorile reziduale ale modelului </w:t>
      </w:r>
    </w:p>
    <w:p w14:paraId="18A5D308" w14:textId="6E5471D7" w:rsidR="00B716B3" w:rsidRPr="008201DB" w:rsidRDefault="00B716B3" w:rsidP="00B716B3">
      <w:pPr>
        <w:autoSpaceDE w:val="0"/>
        <w:autoSpaceDN w:val="0"/>
        <w:adjustRightInd w:val="0"/>
        <w:spacing w:after="0" w:line="240" w:lineRule="auto"/>
        <w:jc w:val="center"/>
        <w:rPr>
          <w:rFonts w:ascii="Times New Roman" w:hAnsi="Times New Roman" w:cs="Times New Roman"/>
          <w:sz w:val="20"/>
          <w:szCs w:val="20"/>
          <w:lang w:val="ro-RO"/>
        </w:rPr>
      </w:pPr>
      <w:r w:rsidRPr="008201DB">
        <w:rPr>
          <w:rFonts w:ascii="Times New Roman" w:hAnsi="Times New Roman" w:cs="Times New Roman"/>
          <w:sz w:val="20"/>
          <w:szCs w:val="20"/>
          <w:lang w:val="ro-RO"/>
        </w:rPr>
        <w:t>Sursa: Prelucrare proprie în SPSS 26</w:t>
      </w:r>
    </w:p>
    <w:p w14:paraId="351BA57D" w14:textId="77777777" w:rsidR="00B716B3" w:rsidRDefault="00B716B3" w:rsidP="00F549F7">
      <w:pPr>
        <w:spacing w:line="240" w:lineRule="auto"/>
        <w:ind w:firstLine="567"/>
        <w:jc w:val="both"/>
        <w:rPr>
          <w:rFonts w:ascii="Times New Roman" w:hAnsi="Times New Roman" w:cs="Times New Roman"/>
          <w:sz w:val="24"/>
          <w:szCs w:val="24"/>
          <w:lang w:val="ro-RO"/>
        </w:rPr>
      </w:pPr>
    </w:p>
    <w:p w14:paraId="6DFB4FA6" w14:textId="20AF84CB" w:rsidR="00EF40E9" w:rsidRPr="00C677AC" w:rsidRDefault="00B716B3" w:rsidP="00F549F7">
      <w:pPr>
        <w:spacing w:line="240" w:lineRule="auto"/>
        <w:ind w:firstLine="567"/>
        <w:jc w:val="both"/>
        <w:rPr>
          <w:rFonts w:ascii="Times New Roman" w:hAnsi="Times New Roman" w:cs="Times New Roman"/>
          <w:sz w:val="24"/>
          <w:szCs w:val="24"/>
          <w:lang w:val="ro-RO"/>
        </w:rPr>
      </w:pPr>
      <w:r w:rsidRPr="001C2E12">
        <w:rPr>
          <w:rFonts w:ascii="Times New Roman" w:hAnsi="Times New Roman" w:cs="Times New Roman"/>
          <w:sz w:val="24"/>
          <w:szCs w:val="24"/>
          <w:lang w:val="ro-RO"/>
        </w:rPr>
        <w:t>In concluzie</w:t>
      </w:r>
      <w:r w:rsidR="00480096">
        <w:rPr>
          <w:rFonts w:ascii="Times New Roman" w:hAnsi="Times New Roman" w:cs="Times New Roman"/>
          <w:sz w:val="24"/>
          <w:szCs w:val="24"/>
          <w:lang w:val="ro-RO"/>
        </w:rPr>
        <w:t xml:space="preserve">, se poate menționa ca </w:t>
      </w:r>
      <w:r w:rsidRPr="001C2E12">
        <w:rPr>
          <w:rFonts w:ascii="Times New Roman" w:hAnsi="Times New Roman" w:cs="Times New Roman"/>
          <w:sz w:val="24"/>
          <w:szCs w:val="24"/>
          <w:lang w:val="ro-RO"/>
        </w:rPr>
        <w:t>valorile reziduale ale modelului de regresie</w:t>
      </w:r>
      <w:r w:rsidR="00480096">
        <w:rPr>
          <w:rFonts w:ascii="Times New Roman" w:hAnsi="Times New Roman" w:cs="Times New Roman"/>
          <w:sz w:val="24"/>
          <w:szCs w:val="24"/>
          <w:lang w:val="ro-RO"/>
        </w:rPr>
        <w:t xml:space="preserve"> arată o </w:t>
      </w:r>
      <w:r w:rsidRPr="001C2E12">
        <w:rPr>
          <w:rFonts w:ascii="Times New Roman" w:hAnsi="Times New Roman" w:cs="Times New Roman"/>
          <w:sz w:val="24"/>
          <w:szCs w:val="24"/>
          <w:lang w:val="ro-RO"/>
        </w:rPr>
        <w:t xml:space="preserve">distribuție normală, modelul </w:t>
      </w:r>
      <w:r w:rsidR="00480096">
        <w:rPr>
          <w:rFonts w:ascii="Times New Roman" w:hAnsi="Times New Roman" w:cs="Times New Roman"/>
          <w:sz w:val="24"/>
          <w:szCs w:val="24"/>
          <w:lang w:val="ro-RO"/>
        </w:rPr>
        <w:t xml:space="preserve">dezvoltat fiind valid si </w:t>
      </w:r>
      <w:r w:rsidRPr="001C2E12">
        <w:rPr>
          <w:rFonts w:ascii="Times New Roman" w:hAnsi="Times New Roman" w:cs="Times New Roman"/>
          <w:sz w:val="24"/>
          <w:szCs w:val="24"/>
          <w:lang w:val="ro-RO"/>
        </w:rPr>
        <w:t>semnificativ statistic</w:t>
      </w:r>
      <w:r w:rsidR="00480096">
        <w:rPr>
          <w:rFonts w:ascii="Times New Roman" w:hAnsi="Times New Roman" w:cs="Times New Roman"/>
          <w:sz w:val="24"/>
          <w:szCs w:val="24"/>
          <w:lang w:val="ro-RO"/>
        </w:rPr>
        <w:t xml:space="preserve">. </w:t>
      </w:r>
    </w:p>
    <w:p w14:paraId="2A17ACBE" w14:textId="77777777" w:rsidR="00A80286" w:rsidRPr="00C677AC" w:rsidRDefault="00A80286" w:rsidP="00A80286">
      <w:pPr>
        <w:autoSpaceDE w:val="0"/>
        <w:autoSpaceDN w:val="0"/>
        <w:adjustRightInd w:val="0"/>
        <w:spacing w:after="0" w:line="240" w:lineRule="auto"/>
        <w:jc w:val="both"/>
        <w:rPr>
          <w:rFonts w:ascii="Times New Roman" w:hAnsi="Times New Roman" w:cs="Times New Roman"/>
          <w:sz w:val="24"/>
          <w:szCs w:val="24"/>
          <w:lang w:val="ro-RO"/>
        </w:rPr>
      </w:pPr>
      <w:bookmarkStart w:id="2" w:name="_Toc105404013"/>
      <w:bookmarkStart w:id="3" w:name="_Toc105404859"/>
      <w:bookmarkStart w:id="4" w:name="_Toc106731996"/>
    </w:p>
    <w:p w14:paraId="0683BBF8" w14:textId="37F65F99" w:rsidR="00EF40E9" w:rsidRPr="00C677AC" w:rsidRDefault="000F11AB" w:rsidP="00A8028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ro-RO"/>
        </w:rPr>
      </w:pPr>
      <w:r w:rsidRPr="00C677AC">
        <w:rPr>
          <w:rFonts w:ascii="Times New Roman" w:eastAsia="Times New Roman" w:hAnsi="Times New Roman" w:cs="Times New Roman"/>
          <w:b/>
          <w:bCs/>
          <w:color w:val="000000" w:themeColor="text1"/>
          <w:sz w:val="24"/>
          <w:szCs w:val="24"/>
          <w:lang w:val="ro-RO"/>
        </w:rPr>
        <w:t>Conclu</w:t>
      </w:r>
      <w:r w:rsidR="001B57D8">
        <w:rPr>
          <w:rFonts w:ascii="Times New Roman" w:eastAsia="Times New Roman" w:hAnsi="Times New Roman" w:cs="Times New Roman"/>
          <w:b/>
          <w:bCs/>
          <w:color w:val="000000" w:themeColor="text1"/>
          <w:sz w:val="24"/>
          <w:szCs w:val="24"/>
          <w:lang w:val="ro-RO"/>
        </w:rPr>
        <w:t>zii</w:t>
      </w:r>
      <w:bookmarkEnd w:id="2"/>
      <w:bookmarkEnd w:id="3"/>
      <w:bookmarkEnd w:id="4"/>
    </w:p>
    <w:p w14:paraId="51314485" w14:textId="749DD89E" w:rsidR="001B57D8" w:rsidRDefault="001B57D8" w:rsidP="00C3234D">
      <w:pPr>
        <w:spacing w:after="0" w:line="240" w:lineRule="auto"/>
        <w:ind w:firstLine="708"/>
        <w:jc w:val="both"/>
        <w:rPr>
          <w:rFonts w:ascii="Times New Roman" w:hAnsi="Times New Roman" w:cs="Times New Roman"/>
          <w:sz w:val="24"/>
          <w:lang w:val="ro-RO"/>
        </w:rPr>
      </w:pPr>
      <w:r>
        <w:rPr>
          <w:rFonts w:ascii="Times New Roman" w:hAnsi="Times New Roman" w:cs="Times New Roman"/>
          <w:sz w:val="24"/>
          <w:lang w:val="ro-RO"/>
        </w:rPr>
        <w:t>Sit</w:t>
      </w:r>
      <w:r w:rsidR="001F71D1">
        <w:rPr>
          <w:rFonts w:ascii="Times New Roman" w:hAnsi="Times New Roman" w:cs="Times New Roman"/>
          <w:sz w:val="24"/>
          <w:lang w:val="ro-RO"/>
        </w:rPr>
        <w:t>u</w:t>
      </w:r>
      <w:r>
        <w:rPr>
          <w:rFonts w:ascii="Times New Roman" w:hAnsi="Times New Roman" w:cs="Times New Roman"/>
          <w:sz w:val="24"/>
          <w:lang w:val="ro-RO"/>
        </w:rPr>
        <w:t xml:space="preserve">ația economiei la nivelul </w:t>
      </w:r>
      <w:r w:rsidR="001F71D1">
        <w:rPr>
          <w:rFonts w:ascii="Times New Roman" w:hAnsi="Times New Roman" w:cs="Times New Roman"/>
          <w:sz w:val="24"/>
          <w:lang w:val="ro-RO"/>
        </w:rPr>
        <w:t>î</w:t>
      </w:r>
      <w:r>
        <w:rPr>
          <w:rFonts w:ascii="Times New Roman" w:hAnsi="Times New Roman" w:cs="Times New Roman"/>
          <w:sz w:val="24"/>
          <w:lang w:val="ro-RO"/>
        </w:rPr>
        <w:t xml:space="preserve">ntregului glob </w:t>
      </w:r>
      <w:r w:rsidR="001F71D1">
        <w:rPr>
          <w:rFonts w:ascii="Times New Roman" w:hAnsi="Times New Roman" w:cs="Times New Roman"/>
          <w:sz w:val="24"/>
          <w:lang w:val="ro-RO"/>
        </w:rPr>
        <w:t xml:space="preserve">se află </w:t>
      </w:r>
      <w:r>
        <w:rPr>
          <w:rFonts w:ascii="Times New Roman" w:hAnsi="Times New Roman" w:cs="Times New Roman"/>
          <w:sz w:val="24"/>
          <w:lang w:val="ro-RO"/>
        </w:rPr>
        <w:t>într-o incertidudine după</w:t>
      </w:r>
      <w:r w:rsidR="001F71D1">
        <w:rPr>
          <w:rFonts w:ascii="Times New Roman" w:hAnsi="Times New Roman" w:cs="Times New Roman"/>
          <w:sz w:val="24"/>
          <w:lang w:val="ro-RO"/>
        </w:rPr>
        <w:t xml:space="preserve"> valul de crize care au lovit </w:t>
      </w:r>
      <w:r w:rsidR="00A56FE3">
        <w:rPr>
          <w:rFonts w:ascii="Times New Roman" w:hAnsi="Times New Roman" w:cs="Times New Roman"/>
          <w:sz w:val="24"/>
          <w:lang w:val="ro-RO"/>
        </w:rPr>
        <w:t>neașteptat intreaga societate,</w:t>
      </w:r>
      <w:r w:rsidR="00DF6F4B">
        <w:rPr>
          <w:rFonts w:ascii="Times New Roman" w:hAnsi="Times New Roman" w:cs="Times New Roman"/>
          <w:sz w:val="24"/>
          <w:lang w:val="ro-RO"/>
        </w:rPr>
        <w:t xml:space="preserve"> </w:t>
      </w:r>
      <w:r w:rsidR="00A56FE3">
        <w:rPr>
          <w:rFonts w:ascii="Times New Roman" w:hAnsi="Times New Roman" w:cs="Times New Roman"/>
          <w:sz w:val="24"/>
          <w:lang w:val="ro-RO"/>
        </w:rPr>
        <w:t>începînd cu criza COVID-19</w:t>
      </w:r>
      <w:r w:rsidR="00DF6F4B">
        <w:rPr>
          <w:rFonts w:ascii="Times New Roman" w:hAnsi="Times New Roman" w:cs="Times New Roman"/>
          <w:sz w:val="24"/>
          <w:lang w:val="ro-RO"/>
        </w:rPr>
        <w:t>, criza energetica, criza materiilor prime, inflația galopantă, nivelul crecut al dobînzilor și terminînd cu conflictele militare</w:t>
      </w:r>
      <w:r w:rsidR="0056279C">
        <w:rPr>
          <w:rFonts w:ascii="Times New Roman" w:hAnsi="Times New Roman" w:cs="Times New Roman"/>
          <w:sz w:val="24"/>
          <w:lang w:val="ro-RO"/>
        </w:rPr>
        <w:t>, cu precădere conflictul ruso-ucrainean care încă se desfășoară la granițele Uniunii Europene. Din aces</w:t>
      </w:r>
      <w:r w:rsidR="00E876DB">
        <w:rPr>
          <w:rFonts w:ascii="Times New Roman" w:hAnsi="Times New Roman" w:cs="Times New Roman"/>
          <w:sz w:val="24"/>
          <w:lang w:val="ro-RO"/>
        </w:rPr>
        <w:t>t</w:t>
      </w:r>
      <w:r w:rsidR="0056279C">
        <w:rPr>
          <w:rFonts w:ascii="Times New Roman" w:hAnsi="Times New Roman" w:cs="Times New Roman"/>
          <w:sz w:val="24"/>
          <w:lang w:val="ro-RO"/>
        </w:rPr>
        <w:t xml:space="preserve"> motiv, se a</w:t>
      </w:r>
      <w:r w:rsidR="00931222">
        <w:rPr>
          <w:rFonts w:ascii="Times New Roman" w:hAnsi="Times New Roman" w:cs="Times New Roman"/>
          <w:sz w:val="24"/>
          <w:lang w:val="ro-RO"/>
        </w:rPr>
        <w:t>ș</w:t>
      </w:r>
      <w:r w:rsidR="0056279C">
        <w:rPr>
          <w:rFonts w:ascii="Times New Roman" w:hAnsi="Times New Roman" w:cs="Times New Roman"/>
          <w:sz w:val="24"/>
          <w:lang w:val="ro-RO"/>
        </w:rPr>
        <w:t>te</w:t>
      </w:r>
      <w:r w:rsidR="00931222">
        <w:rPr>
          <w:rFonts w:ascii="Times New Roman" w:hAnsi="Times New Roman" w:cs="Times New Roman"/>
          <w:sz w:val="24"/>
          <w:lang w:val="ro-RO"/>
        </w:rPr>
        <w:t>a</w:t>
      </w:r>
      <w:r w:rsidR="0056279C">
        <w:rPr>
          <w:rFonts w:ascii="Times New Roman" w:hAnsi="Times New Roman" w:cs="Times New Roman"/>
          <w:sz w:val="24"/>
          <w:lang w:val="ro-RO"/>
        </w:rPr>
        <w:t xml:space="preserve">ptă o deteriorare a falimentelor entităților economice, fapt confirmat recent </w:t>
      </w:r>
      <w:r w:rsidR="0015512A">
        <w:rPr>
          <w:rFonts w:ascii="Times New Roman" w:hAnsi="Times New Roman" w:cs="Times New Roman"/>
          <w:sz w:val="24"/>
          <w:lang w:val="ro-RO"/>
        </w:rPr>
        <w:t>de un Barametru lansat de Allianz</w:t>
      </w:r>
      <w:r w:rsidR="002A6ABA">
        <w:rPr>
          <w:rFonts w:ascii="Times New Roman" w:hAnsi="Times New Roman" w:cs="Times New Roman"/>
          <w:sz w:val="24"/>
          <w:lang w:val="ro-RO"/>
        </w:rPr>
        <w:t>, unul dintre cele mai renumite grupuri financiare</w:t>
      </w:r>
      <w:r w:rsidR="00056557">
        <w:rPr>
          <w:rFonts w:ascii="Times New Roman" w:hAnsi="Times New Roman" w:cs="Times New Roman"/>
          <w:sz w:val="24"/>
          <w:lang w:val="ro-RO"/>
        </w:rPr>
        <w:t xml:space="preserve"> din lume</w:t>
      </w:r>
      <w:r w:rsidR="002A6ABA">
        <w:rPr>
          <w:rFonts w:ascii="Times New Roman" w:hAnsi="Times New Roman" w:cs="Times New Roman"/>
          <w:sz w:val="24"/>
          <w:lang w:val="ro-RO"/>
        </w:rPr>
        <w:t xml:space="preserve"> </w:t>
      </w:r>
      <w:r w:rsidR="00056557">
        <w:rPr>
          <w:rFonts w:ascii="Times New Roman" w:hAnsi="Times New Roman" w:cs="Times New Roman"/>
          <w:sz w:val="24"/>
          <w:lang w:val="ro-RO"/>
        </w:rPr>
        <w:t xml:space="preserve">care include și componenta de asigurări </w:t>
      </w:r>
      <w:r w:rsidR="00E876DB">
        <w:rPr>
          <w:rFonts w:ascii="Times New Roman" w:hAnsi="Times New Roman" w:cs="Times New Roman"/>
          <w:sz w:val="24"/>
          <w:lang w:val="ro-RO"/>
        </w:rPr>
        <w:t>de risc de neplată</w:t>
      </w:r>
      <w:r w:rsidR="00433F4E">
        <w:rPr>
          <w:rFonts w:ascii="Times New Roman" w:hAnsi="Times New Roman" w:cs="Times New Roman"/>
          <w:sz w:val="24"/>
          <w:lang w:val="ro-RO"/>
        </w:rPr>
        <w:t xml:space="preserve">. Studiul din </w:t>
      </w:r>
      <w:r w:rsidR="00292ED1">
        <w:rPr>
          <w:rFonts w:ascii="Times New Roman" w:hAnsi="Times New Roman" w:cs="Times New Roman"/>
          <w:sz w:val="24"/>
          <w:lang w:val="ro-RO"/>
        </w:rPr>
        <w:t>Ianuarie 2024 menționează ca nivelul insolvențelor la nivel global va crește cu 8% în acest an iar 3 din 5 țări vor ajunge la nivelurile pre</w:t>
      </w:r>
      <w:r w:rsidR="00C82459">
        <w:rPr>
          <w:rFonts w:ascii="Times New Roman" w:hAnsi="Times New Roman" w:cs="Times New Roman"/>
          <w:sz w:val="24"/>
          <w:lang w:val="ro-RO"/>
        </w:rPr>
        <w:t>pandemice la sfărșitul anului,  țări</w:t>
      </w:r>
      <w:r w:rsidR="002910E0">
        <w:rPr>
          <w:rFonts w:ascii="Times New Roman" w:hAnsi="Times New Roman" w:cs="Times New Roman"/>
          <w:sz w:val="24"/>
          <w:lang w:val="ro-RO"/>
        </w:rPr>
        <w:t xml:space="preserve">le cele mai puternice din lume avînd procente de crețtere extrem de ridicate, </w:t>
      </w:r>
      <w:r w:rsidRPr="00EB36DC">
        <w:rPr>
          <w:rFonts w:ascii="Times New Roman" w:hAnsi="Times New Roman" w:cs="Times New Roman"/>
          <w:sz w:val="24"/>
          <w:lang w:val="ro-RO"/>
        </w:rPr>
        <w:t>German</w:t>
      </w:r>
      <w:r w:rsidR="00EB36DC">
        <w:rPr>
          <w:rFonts w:ascii="Times New Roman" w:hAnsi="Times New Roman" w:cs="Times New Roman"/>
          <w:sz w:val="24"/>
          <w:lang w:val="ro-RO"/>
        </w:rPr>
        <w:t>ia</w:t>
      </w:r>
      <w:r w:rsidRPr="00EB36DC">
        <w:rPr>
          <w:rFonts w:ascii="Times New Roman" w:hAnsi="Times New Roman" w:cs="Times New Roman"/>
          <w:sz w:val="24"/>
          <w:lang w:val="ro-RO"/>
        </w:rPr>
        <w:t xml:space="preserve"> (+9%</w:t>
      </w:r>
      <w:r w:rsidR="002910E0" w:rsidRPr="00EB36DC">
        <w:rPr>
          <w:rFonts w:ascii="Times New Roman" w:hAnsi="Times New Roman" w:cs="Times New Roman"/>
          <w:sz w:val="24"/>
          <w:lang w:val="ro-RO"/>
        </w:rPr>
        <w:t xml:space="preserve">). Tările de Jos </w:t>
      </w:r>
      <w:r w:rsidRPr="00EB36DC">
        <w:rPr>
          <w:rFonts w:ascii="Times New Roman" w:hAnsi="Times New Roman" w:cs="Times New Roman"/>
          <w:sz w:val="24"/>
          <w:lang w:val="ro-RO"/>
        </w:rPr>
        <w:t xml:space="preserve">(+28%) and the US (+5%). </w:t>
      </w:r>
    </w:p>
    <w:p w14:paraId="5948E6AF" w14:textId="300D5F5E" w:rsidR="00F67C00" w:rsidRDefault="00F67C00" w:rsidP="00C3234D">
      <w:pPr>
        <w:spacing w:after="0" w:line="240" w:lineRule="auto"/>
        <w:ind w:firstLine="708"/>
        <w:jc w:val="both"/>
        <w:rPr>
          <w:rFonts w:ascii="Times New Roman" w:hAnsi="Times New Roman" w:cs="Times New Roman"/>
          <w:sz w:val="24"/>
          <w:lang w:val="ro-RO"/>
        </w:rPr>
      </w:pPr>
      <w:r>
        <w:rPr>
          <w:rFonts w:ascii="Times New Roman" w:hAnsi="Times New Roman" w:cs="Times New Roman"/>
          <w:sz w:val="24"/>
          <w:lang w:val="ro-RO"/>
        </w:rPr>
        <w:t>Din acest motiv, o preocupare permanentă pentru găsirea celor mai eficiente modalități</w:t>
      </w:r>
      <w:r w:rsidR="00703570">
        <w:rPr>
          <w:rFonts w:ascii="Times New Roman" w:hAnsi="Times New Roman" w:cs="Times New Roman"/>
          <w:sz w:val="24"/>
          <w:lang w:val="ro-RO"/>
        </w:rPr>
        <w:t xml:space="preserve"> de prevenire și </w:t>
      </w:r>
      <w:r w:rsidR="004F01E6">
        <w:rPr>
          <w:rFonts w:ascii="Times New Roman" w:hAnsi="Times New Roman" w:cs="Times New Roman"/>
          <w:sz w:val="24"/>
          <w:lang w:val="ro-RO"/>
        </w:rPr>
        <w:t>previziune a riscurilor legate de falimentul întreprinderilor, se află în centru cercetătorilor și economiștilor</w:t>
      </w:r>
      <w:r w:rsidR="00C549F3">
        <w:rPr>
          <w:rFonts w:ascii="Times New Roman" w:hAnsi="Times New Roman" w:cs="Times New Roman"/>
          <w:sz w:val="24"/>
          <w:lang w:val="ro-RO"/>
        </w:rPr>
        <w:t>.</w:t>
      </w:r>
      <w:r w:rsidR="00135FF9">
        <w:rPr>
          <w:rFonts w:ascii="Times New Roman" w:hAnsi="Times New Roman" w:cs="Times New Roman"/>
          <w:sz w:val="24"/>
          <w:lang w:val="ro-RO"/>
        </w:rPr>
        <w:t xml:space="preserve"> Așadar, studiul de cercetare a demarat cu o </w:t>
      </w:r>
      <w:r w:rsidR="00766CC6">
        <w:rPr>
          <w:rFonts w:ascii="Times New Roman" w:hAnsi="Times New Roman" w:cs="Times New Roman"/>
          <w:sz w:val="24"/>
          <w:lang w:val="ro-RO"/>
        </w:rPr>
        <w:t xml:space="preserve">analiză bibliometrică sumară prin care am identificat nivelul cunoașterii pînă la acest moment precum și direcțiile spre care se îndreaptă </w:t>
      </w:r>
      <w:r w:rsidR="00763594">
        <w:rPr>
          <w:rFonts w:ascii="Times New Roman" w:hAnsi="Times New Roman" w:cs="Times New Roman"/>
          <w:sz w:val="24"/>
          <w:lang w:val="ro-RO"/>
        </w:rPr>
        <w:t>viitoarele cercetări.</w:t>
      </w:r>
    </w:p>
    <w:p w14:paraId="19AB191D" w14:textId="77777777" w:rsidR="00464746" w:rsidRDefault="00C549F3" w:rsidP="00C3234D">
      <w:pPr>
        <w:spacing w:after="0" w:line="240" w:lineRule="auto"/>
        <w:ind w:firstLine="708"/>
        <w:jc w:val="both"/>
        <w:rPr>
          <w:rFonts w:ascii="Times New Roman" w:hAnsi="Times New Roman" w:cs="Times New Roman"/>
          <w:sz w:val="24"/>
          <w:lang w:val="ro-RO"/>
        </w:rPr>
      </w:pPr>
      <w:r>
        <w:rPr>
          <w:rFonts w:ascii="Times New Roman" w:hAnsi="Times New Roman" w:cs="Times New Roman"/>
          <w:sz w:val="24"/>
          <w:lang w:val="ro-RO"/>
        </w:rPr>
        <w:t xml:space="preserve">Prin prezentul studiu, urmărim să aducem o contribuție </w:t>
      </w:r>
      <w:r w:rsidR="00E20780">
        <w:rPr>
          <w:rFonts w:ascii="Times New Roman" w:hAnsi="Times New Roman" w:cs="Times New Roman"/>
          <w:sz w:val="24"/>
          <w:lang w:val="ro-RO"/>
        </w:rPr>
        <w:t xml:space="preserve">cunoașterii prin identificarea factorilor macroeconomici deteminanți în </w:t>
      </w:r>
      <w:r w:rsidR="005778DD">
        <w:rPr>
          <w:rFonts w:ascii="Times New Roman" w:hAnsi="Times New Roman" w:cs="Times New Roman"/>
          <w:sz w:val="24"/>
          <w:lang w:val="ro-RO"/>
        </w:rPr>
        <w:t xml:space="preserve">creșterea riscurilor de faliment. În acest sens, am identificat </w:t>
      </w:r>
      <w:r w:rsidR="00A619CE">
        <w:rPr>
          <w:rFonts w:ascii="Times New Roman" w:hAnsi="Times New Roman" w:cs="Times New Roman"/>
          <w:sz w:val="24"/>
          <w:lang w:val="ro-RO"/>
        </w:rPr>
        <w:t xml:space="preserve">3 variabile macro-economice fundamentale în </w:t>
      </w:r>
      <w:r w:rsidR="003911BE">
        <w:rPr>
          <w:rFonts w:ascii="Times New Roman" w:hAnsi="Times New Roman" w:cs="Times New Roman"/>
          <w:sz w:val="24"/>
          <w:lang w:val="ro-RO"/>
        </w:rPr>
        <w:t>literatura de specialitate dar și cele mai utilizate în raportarile oficiale la nivelu</w:t>
      </w:r>
      <w:r w:rsidR="00E42433">
        <w:rPr>
          <w:rFonts w:ascii="Times New Roman" w:hAnsi="Times New Roman" w:cs="Times New Roman"/>
          <w:sz w:val="24"/>
          <w:lang w:val="ro-RO"/>
        </w:rPr>
        <w:t xml:space="preserve">l </w:t>
      </w:r>
      <w:r w:rsidR="00BC4C78">
        <w:rPr>
          <w:rFonts w:ascii="Times New Roman" w:hAnsi="Times New Roman" w:cs="Times New Roman"/>
          <w:sz w:val="24"/>
          <w:lang w:val="ro-RO"/>
        </w:rPr>
        <w:t xml:space="preserve">Uniunii Europene și anume creșterea economică, rata inflației și rata șomajului </w:t>
      </w:r>
      <w:r w:rsidR="00F668F7">
        <w:rPr>
          <w:rFonts w:ascii="Times New Roman" w:hAnsi="Times New Roman" w:cs="Times New Roman"/>
          <w:sz w:val="24"/>
          <w:lang w:val="ro-RO"/>
        </w:rPr>
        <w:t>pentru perioada 2015-2023</w:t>
      </w:r>
      <w:r w:rsidR="00F416B3">
        <w:rPr>
          <w:rFonts w:ascii="Times New Roman" w:hAnsi="Times New Roman" w:cs="Times New Roman"/>
          <w:sz w:val="24"/>
          <w:lang w:val="ro-RO"/>
        </w:rPr>
        <w:t xml:space="preserve">, urmarind influența </w:t>
      </w:r>
      <w:r w:rsidR="002A4A55">
        <w:rPr>
          <w:rFonts w:ascii="Times New Roman" w:hAnsi="Times New Roman" w:cs="Times New Roman"/>
          <w:sz w:val="24"/>
          <w:lang w:val="ro-RO"/>
        </w:rPr>
        <w:t xml:space="preserve">pe care îl excercită </w:t>
      </w:r>
      <w:r w:rsidR="00F416B3">
        <w:rPr>
          <w:rFonts w:ascii="Times New Roman" w:hAnsi="Times New Roman" w:cs="Times New Roman"/>
          <w:sz w:val="24"/>
          <w:lang w:val="ro-RO"/>
        </w:rPr>
        <w:t>asupra indicelui de faliment</w:t>
      </w:r>
      <w:r w:rsidR="002A4A55">
        <w:rPr>
          <w:rFonts w:ascii="Times New Roman" w:hAnsi="Times New Roman" w:cs="Times New Roman"/>
          <w:sz w:val="24"/>
          <w:lang w:val="ro-RO"/>
        </w:rPr>
        <w:t>, indice p</w:t>
      </w:r>
      <w:r w:rsidR="00F416B3">
        <w:rPr>
          <w:rFonts w:ascii="Times New Roman" w:hAnsi="Times New Roman" w:cs="Times New Roman"/>
          <w:sz w:val="24"/>
          <w:lang w:val="ro-RO"/>
        </w:rPr>
        <w:t xml:space="preserve">ublicat de Uniunea Europeană pe site-ul </w:t>
      </w:r>
      <w:hyperlink r:id="rId13" w:history="1">
        <w:r w:rsidR="00135FF9" w:rsidRPr="001C546E">
          <w:rPr>
            <w:rFonts w:ascii="Times New Roman" w:hAnsi="Times New Roman" w:cs="Times New Roman"/>
            <w:sz w:val="24"/>
            <w:lang w:val="ro-RO"/>
          </w:rPr>
          <w:t xml:space="preserve">https://ec.europa.eu/eurostat. Modelul econometric a fost dezvoltat folosind  </w:t>
        </w:r>
      </w:hyperlink>
      <w:r w:rsidR="001C546E">
        <w:rPr>
          <w:rFonts w:ascii="Times New Roman" w:hAnsi="Times New Roman" w:cs="Times New Roman"/>
          <w:sz w:val="24"/>
          <w:lang w:val="ro-RO"/>
        </w:rPr>
        <w:t>software-ul statistic</w:t>
      </w:r>
      <w:r w:rsidR="00C804EA" w:rsidRPr="001C546E">
        <w:rPr>
          <w:rFonts w:ascii="Times New Roman" w:hAnsi="Times New Roman" w:cs="Times New Roman"/>
          <w:sz w:val="24"/>
          <w:lang w:val="ro-RO"/>
        </w:rPr>
        <w:t xml:space="preserve"> IBM SPSS Statistics 26</w:t>
      </w:r>
      <w:r w:rsidR="001C546E">
        <w:rPr>
          <w:rFonts w:ascii="Times New Roman" w:hAnsi="Times New Roman" w:cs="Times New Roman"/>
          <w:sz w:val="24"/>
          <w:lang w:val="ro-RO"/>
        </w:rPr>
        <w:t xml:space="preserve"> care ne-a pe</w:t>
      </w:r>
      <w:r w:rsidR="00464746">
        <w:rPr>
          <w:rFonts w:ascii="Times New Roman" w:hAnsi="Times New Roman" w:cs="Times New Roman"/>
          <w:sz w:val="24"/>
          <w:lang w:val="ro-RO"/>
        </w:rPr>
        <w:t>rmis atingerea obiectivelor propuse.</w:t>
      </w:r>
    </w:p>
    <w:p w14:paraId="628C549A" w14:textId="77777777" w:rsidR="003869B3" w:rsidRDefault="00D876B7" w:rsidP="00C3234D">
      <w:pPr>
        <w:spacing w:after="0" w:line="240" w:lineRule="auto"/>
        <w:ind w:firstLine="567"/>
        <w:jc w:val="both"/>
        <w:rPr>
          <w:rFonts w:ascii="Times New Roman" w:hAnsi="Times New Roman" w:cs="Times New Roman"/>
          <w:sz w:val="24"/>
          <w:lang w:val="ro-RO"/>
        </w:rPr>
      </w:pPr>
      <w:r>
        <w:rPr>
          <w:rFonts w:ascii="Times New Roman" w:hAnsi="Times New Roman" w:cs="Times New Roman"/>
          <w:sz w:val="24"/>
          <w:lang w:val="ro-RO"/>
        </w:rPr>
        <w:t>Ipotezele emise inițial au fost validate, astfel</w:t>
      </w:r>
      <w:r w:rsidR="00594794">
        <w:rPr>
          <w:rFonts w:ascii="Times New Roman" w:hAnsi="Times New Roman" w:cs="Times New Roman"/>
          <w:sz w:val="24"/>
          <w:lang w:val="ro-RO"/>
        </w:rPr>
        <w:t xml:space="preserve"> putem afirma ca</w:t>
      </w:r>
      <w:r w:rsidR="00E05A01">
        <w:rPr>
          <w:rFonts w:ascii="Times New Roman" w:hAnsi="Times New Roman" w:cs="Times New Roman"/>
          <w:sz w:val="24"/>
          <w:lang w:val="ro-RO"/>
        </w:rPr>
        <w:t xml:space="preserve"> mediul extern influențează prin </w:t>
      </w:r>
      <w:r w:rsidR="00594794">
        <w:rPr>
          <w:rFonts w:ascii="Times New Roman" w:hAnsi="Times New Roman" w:cs="Times New Roman"/>
          <w:sz w:val="24"/>
          <w:lang w:val="ro-RO"/>
        </w:rPr>
        <w:t>factorii  macroeconomic</w:t>
      </w:r>
      <w:r w:rsidR="00E05A01">
        <w:rPr>
          <w:rFonts w:ascii="Times New Roman" w:hAnsi="Times New Roman" w:cs="Times New Roman"/>
          <w:sz w:val="24"/>
          <w:lang w:val="ro-RO"/>
        </w:rPr>
        <w:t>i</w:t>
      </w:r>
      <w:r w:rsidR="00594794">
        <w:rPr>
          <w:rFonts w:ascii="Times New Roman" w:hAnsi="Times New Roman" w:cs="Times New Roman"/>
          <w:sz w:val="24"/>
          <w:lang w:val="ro-RO"/>
        </w:rPr>
        <w:t xml:space="preserve"> riscul de faliment la nivelul Uniunii Europene</w:t>
      </w:r>
      <w:r w:rsidR="00E05A01">
        <w:rPr>
          <w:rFonts w:ascii="Times New Roman" w:hAnsi="Times New Roman" w:cs="Times New Roman"/>
          <w:sz w:val="24"/>
          <w:lang w:val="ro-RO"/>
        </w:rPr>
        <w:t xml:space="preserve">. Nivelul </w:t>
      </w:r>
      <w:r w:rsidR="00272BE7">
        <w:rPr>
          <w:rFonts w:ascii="Times New Roman" w:hAnsi="Times New Roman" w:cs="Times New Roman"/>
          <w:sz w:val="24"/>
          <w:lang w:val="ro-RO"/>
        </w:rPr>
        <w:t>creșterii economice înregistrate influențează semnificativ în sens pozitiv</w:t>
      </w:r>
      <w:r w:rsidR="000363CF">
        <w:rPr>
          <w:rFonts w:ascii="Times New Roman" w:hAnsi="Times New Roman" w:cs="Times New Roman"/>
          <w:sz w:val="24"/>
          <w:lang w:val="ro-RO"/>
        </w:rPr>
        <w:t xml:space="preserve">, în sensul că în perioade de creștere economică, numărul de înființări de companii </w:t>
      </w:r>
      <w:r w:rsidR="00F46413">
        <w:rPr>
          <w:rFonts w:ascii="Times New Roman" w:hAnsi="Times New Roman" w:cs="Times New Roman"/>
          <w:sz w:val="24"/>
          <w:lang w:val="ro-RO"/>
        </w:rPr>
        <w:t>crește</w:t>
      </w:r>
      <w:r w:rsidR="00316C60">
        <w:rPr>
          <w:rFonts w:ascii="Times New Roman" w:hAnsi="Times New Roman" w:cs="Times New Roman"/>
          <w:sz w:val="24"/>
          <w:lang w:val="ro-RO"/>
        </w:rPr>
        <w:t xml:space="preserve"> dar concomitent și numărul de falimente crește ca urmare a exercitării legilor economiei</w:t>
      </w:r>
      <w:r w:rsidR="00447E74">
        <w:rPr>
          <w:rFonts w:ascii="Times New Roman" w:hAnsi="Times New Roman" w:cs="Times New Roman"/>
          <w:sz w:val="24"/>
          <w:lang w:val="ro-RO"/>
        </w:rPr>
        <w:t>. Rata șomajului are o influență semnificativă puternica, dar de sens invers</w:t>
      </w:r>
      <w:r w:rsidR="00FA2B9E">
        <w:rPr>
          <w:rFonts w:ascii="Times New Roman" w:hAnsi="Times New Roman" w:cs="Times New Roman"/>
          <w:sz w:val="24"/>
          <w:lang w:val="ro-RO"/>
        </w:rPr>
        <w:t xml:space="preserve"> </w:t>
      </w:r>
      <w:r w:rsidR="00FA2B9E">
        <w:rPr>
          <w:rFonts w:ascii="Times New Roman" w:hAnsi="Times New Roman" w:cs="Times New Roman"/>
          <w:sz w:val="24"/>
          <w:lang w:val="ro-RO"/>
        </w:rPr>
        <w:lastRenderedPageBreak/>
        <w:t>existănd premisele că scăderea somajului să fie atribuit unei creșteri economice, a creșterii nivelului de trai al populației</w:t>
      </w:r>
      <w:r w:rsidR="00CA5E1A">
        <w:rPr>
          <w:rFonts w:ascii="Times New Roman" w:hAnsi="Times New Roman" w:cs="Times New Roman"/>
          <w:sz w:val="24"/>
          <w:lang w:val="ro-RO"/>
        </w:rPr>
        <w:t xml:space="preserve"> care vor consuma mai mult, se </w:t>
      </w:r>
      <w:r w:rsidR="00CE1703">
        <w:rPr>
          <w:rFonts w:ascii="Times New Roman" w:hAnsi="Times New Roman" w:cs="Times New Roman"/>
          <w:sz w:val="24"/>
          <w:lang w:val="ro-RO"/>
        </w:rPr>
        <w:t xml:space="preserve">înființează </w:t>
      </w:r>
      <w:r w:rsidR="00CA5E1A">
        <w:rPr>
          <w:rFonts w:ascii="Times New Roman" w:hAnsi="Times New Roman" w:cs="Times New Roman"/>
          <w:sz w:val="24"/>
          <w:lang w:val="ro-RO"/>
        </w:rPr>
        <w:t>noi companii și</w:t>
      </w:r>
      <w:r w:rsidR="00CE1703">
        <w:rPr>
          <w:rFonts w:ascii="Times New Roman" w:hAnsi="Times New Roman" w:cs="Times New Roman"/>
          <w:sz w:val="24"/>
          <w:lang w:val="ro-RO"/>
        </w:rPr>
        <w:t xml:space="preserve"> ceea ce atrage și </w:t>
      </w:r>
      <w:r w:rsidR="00A7551C">
        <w:rPr>
          <w:rFonts w:ascii="Times New Roman" w:hAnsi="Times New Roman" w:cs="Times New Roman"/>
          <w:sz w:val="24"/>
          <w:lang w:val="ro-RO"/>
        </w:rPr>
        <w:t>faliementul unor companii care au fost ținute artificial în viață</w:t>
      </w:r>
      <w:r w:rsidR="00B51DB2">
        <w:rPr>
          <w:rFonts w:ascii="Times New Roman" w:hAnsi="Times New Roman" w:cs="Times New Roman"/>
          <w:sz w:val="24"/>
          <w:lang w:val="ro-RO"/>
        </w:rPr>
        <w:t xml:space="preserve">, urmare a intensificării </w:t>
      </w:r>
      <w:r w:rsidR="007B4219">
        <w:rPr>
          <w:rFonts w:ascii="Times New Roman" w:hAnsi="Times New Roman" w:cs="Times New Roman"/>
          <w:sz w:val="24"/>
          <w:lang w:val="ro-RO"/>
        </w:rPr>
        <w:t>concurenței. De asemenea, si un decalaj al manifestării simptomelor poate avea loc</w:t>
      </w:r>
      <w:r w:rsidR="003869B3">
        <w:rPr>
          <w:rFonts w:ascii="Times New Roman" w:hAnsi="Times New Roman" w:cs="Times New Roman"/>
          <w:sz w:val="24"/>
          <w:lang w:val="ro-RO"/>
        </w:rPr>
        <w:t xml:space="preserve">. </w:t>
      </w:r>
    </w:p>
    <w:p w14:paraId="3CA0F92B" w14:textId="6B43D2DF" w:rsidR="00AB45F6" w:rsidRPr="00C677AC" w:rsidRDefault="003869B3" w:rsidP="00F549F7">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In concluzie, factorii macroecono</w:t>
      </w:r>
      <w:r w:rsidR="00D812F2">
        <w:rPr>
          <w:rFonts w:ascii="Times New Roman" w:hAnsi="Times New Roman" w:cs="Times New Roman"/>
          <w:sz w:val="24"/>
          <w:szCs w:val="24"/>
          <w:lang w:val="ro-RO"/>
        </w:rPr>
        <w:t>mici sunt relevanți atunci când analizăm trendul evoluției falimentelor</w:t>
      </w:r>
      <w:r w:rsidR="000B2810">
        <w:rPr>
          <w:rFonts w:ascii="Times New Roman" w:hAnsi="Times New Roman" w:cs="Times New Roman"/>
          <w:sz w:val="24"/>
          <w:szCs w:val="24"/>
          <w:lang w:val="ro-RO"/>
        </w:rPr>
        <w:t xml:space="preserve">, care influențează activitatea economică alături de factorii interni, între care </w:t>
      </w:r>
      <w:r w:rsidR="00737452">
        <w:rPr>
          <w:rFonts w:ascii="Times New Roman" w:hAnsi="Times New Roman" w:cs="Times New Roman"/>
          <w:sz w:val="24"/>
          <w:szCs w:val="24"/>
          <w:lang w:val="ro-RO"/>
        </w:rPr>
        <w:t>managementul companiei fiind unul esențial.</w:t>
      </w:r>
      <w:r w:rsidR="00D812F2">
        <w:rPr>
          <w:rFonts w:ascii="Times New Roman" w:hAnsi="Times New Roman" w:cs="Times New Roman"/>
          <w:sz w:val="24"/>
          <w:szCs w:val="24"/>
          <w:lang w:val="ro-RO"/>
        </w:rPr>
        <w:t xml:space="preserve"> </w:t>
      </w:r>
    </w:p>
    <w:p w14:paraId="17313195" w14:textId="77777777" w:rsidR="00982403" w:rsidRPr="00C677AC" w:rsidRDefault="00982403" w:rsidP="00F549F7">
      <w:pPr>
        <w:autoSpaceDE w:val="0"/>
        <w:autoSpaceDN w:val="0"/>
        <w:adjustRightInd w:val="0"/>
        <w:spacing w:after="0" w:line="240" w:lineRule="auto"/>
        <w:ind w:firstLine="708"/>
        <w:jc w:val="both"/>
        <w:rPr>
          <w:rFonts w:ascii="Times New Roman" w:hAnsi="Times New Roman" w:cs="Times New Roman"/>
          <w:sz w:val="24"/>
          <w:szCs w:val="24"/>
          <w:lang w:val="ro-RO"/>
        </w:rPr>
      </w:pPr>
    </w:p>
    <w:p w14:paraId="316F6A4F" w14:textId="7C3F2E53" w:rsidR="00AB45F6" w:rsidRPr="00C677AC" w:rsidRDefault="00747E91" w:rsidP="00982403">
      <w:pPr>
        <w:autoSpaceDE w:val="0"/>
        <w:autoSpaceDN w:val="0"/>
        <w:adjustRightInd w:val="0"/>
        <w:spacing w:line="240" w:lineRule="auto"/>
        <w:jc w:val="both"/>
        <w:rPr>
          <w:rFonts w:ascii="Times New Roman" w:eastAsia="Times New Roman" w:hAnsi="Times New Roman" w:cs="Times New Roman"/>
          <w:b/>
          <w:bCs/>
          <w:color w:val="000000" w:themeColor="text1"/>
          <w:sz w:val="24"/>
          <w:szCs w:val="24"/>
          <w:lang w:val="ro-RO"/>
        </w:rPr>
      </w:pPr>
      <w:r w:rsidRPr="00C677AC">
        <w:rPr>
          <w:rFonts w:ascii="Times New Roman" w:eastAsia="Times New Roman" w:hAnsi="Times New Roman" w:cs="Times New Roman"/>
          <w:b/>
          <w:bCs/>
          <w:color w:val="000000" w:themeColor="text1"/>
          <w:sz w:val="24"/>
          <w:szCs w:val="24"/>
          <w:lang w:val="ro-RO"/>
        </w:rPr>
        <w:t>Bibliogra</w:t>
      </w:r>
      <w:r w:rsidR="009D2F5E">
        <w:rPr>
          <w:rFonts w:ascii="Times New Roman" w:eastAsia="Times New Roman" w:hAnsi="Times New Roman" w:cs="Times New Roman"/>
          <w:b/>
          <w:bCs/>
          <w:color w:val="000000" w:themeColor="text1"/>
          <w:sz w:val="24"/>
          <w:szCs w:val="24"/>
          <w:lang w:val="ro-RO"/>
        </w:rPr>
        <w:t>fie</w:t>
      </w:r>
    </w:p>
    <w:p w14:paraId="3A708AF6" w14:textId="3499EC20" w:rsidR="001733C5" w:rsidRDefault="001733C5" w:rsidP="001733C5">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15C3E">
        <w:rPr>
          <w:rFonts w:ascii="Times New Roman" w:eastAsia="Times New Roman" w:hAnsi="Times New Roman" w:cs="Times New Roman"/>
          <w:color w:val="000000"/>
          <w:sz w:val="24"/>
          <w:szCs w:val="24"/>
          <w:bdr w:val="none" w:sz="0" w:space="0" w:color="auto" w:frame="1"/>
          <w:lang w:val="ro-RO" w:eastAsia="ro-RO"/>
        </w:rPr>
        <w:t>Altman, E</w:t>
      </w:r>
      <w:r>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I</w:t>
      </w:r>
      <w:r>
        <w:rPr>
          <w:rFonts w:ascii="Times New Roman" w:eastAsia="Times New Roman" w:hAnsi="Times New Roman" w:cs="Times New Roman"/>
          <w:color w:val="000000"/>
          <w:sz w:val="24"/>
          <w:szCs w:val="24"/>
          <w:bdr w:val="none" w:sz="0" w:space="0" w:color="auto" w:frame="1"/>
          <w:lang w:val="ro-RO" w:eastAsia="ro-RO"/>
        </w:rPr>
        <w:t xml:space="preserve">., </w:t>
      </w:r>
      <w:r w:rsidRPr="00715C3E">
        <w:rPr>
          <w:rFonts w:ascii="Times New Roman" w:eastAsia="Times New Roman" w:hAnsi="Times New Roman" w:cs="Times New Roman"/>
          <w:color w:val="000000"/>
          <w:sz w:val="24"/>
          <w:szCs w:val="24"/>
          <w:bdr w:val="none" w:sz="0" w:space="0" w:color="auto" w:frame="1"/>
          <w:lang w:val="ro-RO" w:eastAsia="ro-RO"/>
        </w:rPr>
        <w:t>Dai, R</w:t>
      </w:r>
      <w:r>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Wang, W</w:t>
      </w:r>
      <w:r>
        <w:rPr>
          <w:rFonts w:ascii="Times New Roman" w:eastAsia="Times New Roman" w:hAnsi="Times New Roman" w:cs="Times New Roman"/>
          <w:color w:val="000000"/>
          <w:sz w:val="24"/>
          <w:szCs w:val="24"/>
          <w:bdr w:val="none" w:sz="0" w:space="0" w:color="auto" w:frame="1"/>
          <w:lang w:val="ro-RO" w:eastAsia="ro-RO"/>
        </w:rPr>
        <w:t>. (</w:t>
      </w:r>
      <w:r w:rsidRPr="00715C3E">
        <w:rPr>
          <w:rFonts w:ascii="Times New Roman" w:eastAsia="Times New Roman" w:hAnsi="Times New Roman" w:cs="Times New Roman"/>
          <w:color w:val="000000"/>
          <w:sz w:val="24"/>
          <w:szCs w:val="24"/>
          <w:bdr w:val="none" w:sz="0" w:space="0" w:color="auto" w:frame="1"/>
          <w:lang w:val="ro-RO" w:eastAsia="ro-RO"/>
        </w:rPr>
        <w:t>2024</w:t>
      </w:r>
      <w:r>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Global zombie companies: measurements, determinants, and outcomes, Journal Of International Business Studies</w:t>
      </w:r>
    </w:p>
    <w:p w14:paraId="5F15FBF3" w14:textId="445DFB19" w:rsidR="007C251A" w:rsidRDefault="007C251A"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Anghel, I., Enache, C., Merino, F. (2020). Macroeconomic determinants of corporate failures. Evidence from Romania and Spain, Journal of Business Economics and  Management, Volume 21, Issue 3, pp. 743-759, DOI 10.3846/jbem.2020.12217</w:t>
      </w:r>
    </w:p>
    <w:p w14:paraId="52DC4162" w14:textId="77777777" w:rsidR="00CD7FD0" w:rsidRPr="00CD7FD0" w:rsidRDefault="003110AB" w:rsidP="00CD7FD0">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hyperlink r:id="rId14" w:anchor=":~:text=Globally%2C%20Allianz%20Trade%20estimates" w:history="1">
        <w:r w:rsidR="00CD7FD0" w:rsidRPr="00CD7FD0">
          <w:rPr>
            <w:rFonts w:ascii="Times New Roman" w:eastAsia="Times New Roman" w:hAnsi="Times New Roman" w:cs="Times New Roman"/>
            <w:color w:val="000000"/>
            <w:sz w:val="24"/>
            <w:szCs w:val="24"/>
            <w:bdr w:val="none" w:sz="0" w:space="0" w:color="auto" w:frame="1"/>
            <w:lang w:val="ro-RO" w:eastAsia="ro-RO"/>
          </w:rPr>
          <w:t>https://commercial.allianz.com/news-and-insights/expert-risk-articles/allianz-risk-barometer-2024-macroeconomic developments.html#:~:text=Globally%2C%20Allianz%20Trade%20estimates</w:t>
        </w:r>
      </w:hyperlink>
      <w:r w:rsidR="00CD7FD0" w:rsidRPr="00CD7FD0">
        <w:rPr>
          <w:rFonts w:ascii="Times New Roman" w:eastAsia="Times New Roman" w:hAnsi="Times New Roman" w:cs="Times New Roman"/>
          <w:color w:val="000000"/>
          <w:sz w:val="24"/>
          <w:szCs w:val="24"/>
          <w:bdr w:val="none" w:sz="0" w:space="0" w:color="auto" w:frame="1"/>
          <w:lang w:val="ro-RO" w:eastAsia="ro-RO"/>
        </w:rPr>
        <w:t xml:space="preserve"> %20that,the%20US%20(%2B5%25).</w:t>
      </w:r>
    </w:p>
    <w:p w14:paraId="71552E9A" w14:textId="25A97D3D" w:rsidR="007C251A" w:rsidRPr="007C251A" w:rsidRDefault="007C251A"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Erkens, M., Paugam, L., Stolowy, H. (2015). Non-financial information: state of the art and research perspectives based on a bibliometric study. Comptabilité – Contrôle – Audit, 21 (3), 15–9</w:t>
      </w:r>
    </w:p>
    <w:p w14:paraId="117AFE62" w14:textId="2B76E32F" w:rsidR="007C251A" w:rsidRDefault="00CF262D"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 xml:space="preserve">Fuertes-Callén, Y, Cuellar-Fernández, B, Serrano-Cinca, C. </w:t>
      </w:r>
      <w:r w:rsidR="00F87E43">
        <w:rPr>
          <w:rFonts w:ascii="Times New Roman" w:eastAsia="Times New Roman" w:hAnsi="Times New Roman" w:cs="Times New Roman"/>
          <w:color w:val="000000"/>
          <w:sz w:val="24"/>
          <w:szCs w:val="24"/>
          <w:bdr w:val="none" w:sz="0" w:space="0" w:color="auto" w:frame="1"/>
          <w:lang w:val="ro-RO" w:eastAsia="ro-RO"/>
        </w:rPr>
        <w:t>(</w:t>
      </w:r>
      <w:r w:rsidRPr="007C251A">
        <w:rPr>
          <w:rFonts w:ascii="Times New Roman" w:eastAsia="Times New Roman" w:hAnsi="Times New Roman" w:cs="Times New Roman"/>
          <w:color w:val="000000"/>
          <w:sz w:val="24"/>
          <w:szCs w:val="24"/>
          <w:bdr w:val="none" w:sz="0" w:space="0" w:color="auto" w:frame="1"/>
          <w:lang w:val="ro-RO" w:eastAsia="ro-RO"/>
        </w:rPr>
        <w:t>2023</w:t>
      </w:r>
      <w:r w:rsidR="00F87E43">
        <w:rPr>
          <w:rFonts w:ascii="Times New Roman" w:eastAsia="Times New Roman" w:hAnsi="Times New Roman" w:cs="Times New Roman"/>
          <w:color w:val="000000"/>
          <w:sz w:val="24"/>
          <w:szCs w:val="24"/>
          <w:bdr w:val="none" w:sz="0" w:space="0" w:color="auto" w:frame="1"/>
          <w:lang w:val="ro-RO" w:eastAsia="ro-RO"/>
        </w:rPr>
        <w:t>)</w:t>
      </w:r>
      <w:r w:rsidRPr="007C251A">
        <w:rPr>
          <w:rFonts w:ascii="Times New Roman" w:eastAsia="Times New Roman" w:hAnsi="Times New Roman" w:cs="Times New Roman"/>
          <w:color w:val="000000"/>
          <w:sz w:val="24"/>
          <w:szCs w:val="24"/>
          <w:bdr w:val="none" w:sz="0" w:space="0" w:color="auto" w:frame="1"/>
          <w:lang w:val="ro-RO" w:eastAsia="ro-RO"/>
        </w:rPr>
        <w:t>, The role of organisational factors and environmental conditions on the success of newly founded firms</w:t>
      </w:r>
      <w:r w:rsidR="00286672" w:rsidRPr="007C251A">
        <w:rPr>
          <w:rFonts w:ascii="Times New Roman" w:eastAsia="Times New Roman" w:hAnsi="Times New Roman" w:cs="Times New Roman"/>
          <w:color w:val="000000"/>
          <w:sz w:val="24"/>
          <w:szCs w:val="24"/>
          <w:bdr w:val="none" w:sz="0" w:space="0" w:color="auto" w:frame="1"/>
          <w:lang w:val="ro-RO" w:eastAsia="ro-RO"/>
        </w:rPr>
        <w:t>,</w:t>
      </w:r>
      <w:r w:rsidRPr="007C251A">
        <w:rPr>
          <w:rFonts w:ascii="Times New Roman" w:eastAsia="Times New Roman" w:hAnsi="Times New Roman" w:cs="Times New Roman"/>
          <w:color w:val="000000"/>
          <w:sz w:val="24"/>
          <w:szCs w:val="24"/>
          <w:bdr w:val="none" w:sz="0" w:space="0" w:color="auto" w:frame="1"/>
          <w:lang w:val="ro-RO" w:eastAsia="ro-RO"/>
        </w:rPr>
        <w:t xml:space="preserve"> </w:t>
      </w:r>
      <w:r w:rsidR="00286672" w:rsidRPr="007C251A">
        <w:rPr>
          <w:rFonts w:ascii="Times New Roman" w:eastAsia="Times New Roman" w:hAnsi="Times New Roman" w:cs="Times New Roman"/>
          <w:color w:val="000000"/>
          <w:sz w:val="24"/>
          <w:szCs w:val="24"/>
          <w:bdr w:val="none" w:sz="0" w:space="0" w:color="auto" w:frame="1"/>
          <w:lang w:val="ro-RO" w:eastAsia="ro-RO"/>
        </w:rPr>
        <w:t xml:space="preserve">Journal Of Management &amp; </w:t>
      </w:r>
      <w:r w:rsidR="005D0976" w:rsidRPr="007C251A">
        <w:rPr>
          <w:rFonts w:ascii="Times New Roman" w:eastAsia="Times New Roman" w:hAnsi="Times New Roman" w:cs="Times New Roman"/>
          <w:color w:val="000000"/>
          <w:sz w:val="24"/>
          <w:szCs w:val="24"/>
          <w:bdr w:val="none" w:sz="0" w:space="0" w:color="auto" w:frame="1"/>
          <w:lang w:val="ro-RO" w:eastAsia="ro-RO"/>
        </w:rPr>
        <w:t>Organization</w:t>
      </w:r>
      <w:r w:rsidR="00A76C41" w:rsidRPr="007C251A">
        <w:rPr>
          <w:rFonts w:ascii="Times New Roman" w:eastAsia="Times New Roman" w:hAnsi="Times New Roman" w:cs="Times New Roman"/>
          <w:color w:val="000000"/>
          <w:sz w:val="24"/>
          <w:szCs w:val="24"/>
          <w:bdr w:val="none" w:sz="0" w:space="0" w:color="auto" w:frame="1"/>
          <w:lang w:val="ro-RO" w:eastAsia="ro-RO"/>
        </w:rPr>
        <w:t>,  </w:t>
      </w:r>
      <w:hyperlink r:id="rId15" w:history="1">
        <w:r w:rsidR="00A76C41" w:rsidRPr="007C251A">
          <w:rPr>
            <w:rFonts w:ascii="Times New Roman" w:eastAsia="Times New Roman" w:hAnsi="Times New Roman" w:cs="Times New Roman"/>
            <w:color w:val="000000"/>
            <w:sz w:val="24"/>
            <w:szCs w:val="24"/>
            <w:lang w:val="ro-RO" w:eastAsia="ro-RO"/>
          </w:rPr>
          <w:t>First View </w:t>
        </w:r>
      </w:hyperlink>
      <w:r w:rsidR="00A76C41" w:rsidRPr="007C251A">
        <w:rPr>
          <w:rFonts w:ascii="Times New Roman" w:eastAsia="Times New Roman" w:hAnsi="Times New Roman" w:cs="Times New Roman"/>
          <w:color w:val="000000"/>
          <w:sz w:val="24"/>
          <w:szCs w:val="24"/>
          <w:bdr w:val="none" w:sz="0" w:space="0" w:color="auto" w:frame="1"/>
          <w:lang w:val="ro-RO" w:eastAsia="ro-RO"/>
        </w:rPr>
        <w:t xml:space="preserve">, pp. 1 </w:t>
      </w:r>
      <w:r w:rsidR="007C251A" w:rsidRPr="007C251A">
        <w:rPr>
          <w:rFonts w:ascii="Times New Roman" w:eastAsia="Times New Roman" w:hAnsi="Times New Roman" w:cs="Times New Roman"/>
          <w:color w:val="000000"/>
          <w:sz w:val="24"/>
          <w:szCs w:val="24"/>
          <w:bdr w:val="none" w:sz="0" w:space="0" w:color="auto" w:frame="1"/>
          <w:lang w:val="ro-RO" w:eastAsia="ro-RO"/>
        </w:rPr>
        <w:t>–</w:t>
      </w:r>
      <w:r w:rsidR="00A76C41" w:rsidRPr="007C251A">
        <w:rPr>
          <w:rFonts w:ascii="Times New Roman" w:eastAsia="Times New Roman" w:hAnsi="Times New Roman" w:cs="Times New Roman"/>
          <w:color w:val="000000"/>
          <w:sz w:val="24"/>
          <w:szCs w:val="24"/>
          <w:bdr w:val="none" w:sz="0" w:space="0" w:color="auto" w:frame="1"/>
          <w:lang w:val="ro-RO" w:eastAsia="ro-RO"/>
        </w:rPr>
        <w:t xml:space="preserve"> 34</w:t>
      </w:r>
      <w:r w:rsidR="007C251A" w:rsidRPr="007C251A">
        <w:rPr>
          <w:rFonts w:ascii="Times New Roman" w:eastAsia="Times New Roman" w:hAnsi="Times New Roman" w:cs="Times New Roman"/>
          <w:color w:val="000000"/>
          <w:sz w:val="24"/>
          <w:szCs w:val="24"/>
          <w:bdr w:val="none" w:sz="0" w:space="0" w:color="auto" w:frame="1"/>
          <w:lang w:val="ro-RO" w:eastAsia="ro-RO"/>
        </w:rPr>
        <w:t>, DOI: </w:t>
      </w:r>
      <w:hyperlink r:id="rId16" w:tgtFrame="_blank" w:history="1">
        <w:r w:rsidR="007C251A" w:rsidRPr="007C251A">
          <w:rPr>
            <w:rFonts w:ascii="Times New Roman" w:eastAsia="Times New Roman" w:hAnsi="Times New Roman" w:cs="Times New Roman"/>
            <w:color w:val="000000"/>
            <w:sz w:val="24"/>
            <w:szCs w:val="24"/>
            <w:lang w:val="ro-RO" w:eastAsia="ro-RO"/>
          </w:rPr>
          <w:t>https://doi.org/10.1017/jmo.2023.13</w:t>
        </w:r>
      </w:hyperlink>
    </w:p>
    <w:p w14:paraId="0C3D7321" w14:textId="77777777" w:rsidR="007C251A" w:rsidRPr="000B1859" w:rsidRDefault="007C251A"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hAnsi="Times New Roman" w:cs="Times New Roman"/>
          <w:bCs/>
          <w:noProof/>
          <w:color w:val="000000" w:themeColor="text1" w:themeShade="BF"/>
          <w:sz w:val="24"/>
          <w:szCs w:val="24"/>
          <w:lang w:eastAsia="ro-RO"/>
        </w:rPr>
        <w:t xml:space="preserve">Liu, J. (2004). Macroeconomic determinants of corporate failures: evidence from the UK. Applied Economics, 36(9), pp. 939–945. </w:t>
      </w:r>
      <w:hyperlink r:id="rId17" w:history="1">
        <w:r w:rsidRPr="007C251A">
          <w:rPr>
            <w:rStyle w:val="Hyperlink"/>
            <w:rFonts w:ascii="Times New Roman" w:hAnsi="Times New Roman" w:cs="Times New Roman"/>
            <w:bCs/>
            <w:sz w:val="24"/>
            <w:szCs w:val="24"/>
            <w:lang w:eastAsia="ro-RO"/>
          </w:rPr>
          <w:t>https://doi.org/10.1080/0003684042000233168</w:t>
        </w:r>
      </w:hyperlink>
      <w:r w:rsidRPr="007C251A">
        <w:rPr>
          <w:rFonts w:ascii="Times New Roman" w:hAnsi="Times New Roman" w:cs="Times New Roman"/>
          <w:bCs/>
          <w:noProof/>
          <w:color w:val="000000" w:themeColor="text1" w:themeShade="BF"/>
          <w:sz w:val="24"/>
          <w:szCs w:val="24"/>
          <w:lang w:eastAsia="ro-RO"/>
        </w:rPr>
        <w:t>)</w:t>
      </w:r>
    </w:p>
    <w:p w14:paraId="6EC9556B" w14:textId="77777777" w:rsidR="000B1859" w:rsidRPr="000B1859" w:rsidRDefault="000B1859" w:rsidP="000B1859">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0B1859">
        <w:rPr>
          <w:rFonts w:ascii="Times New Roman" w:eastAsia="Times New Roman" w:hAnsi="Times New Roman" w:cs="Times New Roman"/>
          <w:color w:val="000000"/>
          <w:sz w:val="24"/>
          <w:szCs w:val="24"/>
          <w:bdr w:val="none" w:sz="0" w:space="0" w:color="auto" w:frame="1"/>
          <w:lang w:val="ro-RO" w:eastAsia="ro-RO"/>
        </w:rPr>
        <w:t>Pittiglio, R. (2023). Counterfeiting and firm survival. Do international trade activities matter? International Business Review</w:t>
      </w:r>
    </w:p>
    <w:p w14:paraId="152FE36D" w14:textId="09352411" w:rsidR="00F87E43" w:rsidRPr="00715C3E" w:rsidRDefault="00F87E43" w:rsidP="001733C5">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947D9">
        <w:rPr>
          <w:rFonts w:ascii="Times New Roman" w:eastAsia="Times New Roman" w:hAnsi="Times New Roman" w:cs="Times New Roman"/>
          <w:color w:val="000000"/>
          <w:sz w:val="24"/>
          <w:szCs w:val="24"/>
          <w:bdr w:val="none" w:sz="0" w:space="0" w:color="auto" w:frame="1"/>
          <w:lang w:val="ro-RO" w:eastAsia="ro-RO"/>
        </w:rPr>
        <w:t>Situm, M</w:t>
      </w:r>
      <w:r w:rsidR="001733C5">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w:t>
      </w:r>
      <w:r w:rsidR="001733C5">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2023</w:t>
      </w:r>
      <w:r w:rsidR="001733C5">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w:t>
      </w:r>
      <w:r w:rsidRPr="007947D9">
        <w:rPr>
          <w:rFonts w:ascii="Times New Roman" w:eastAsia="Times New Roman" w:hAnsi="Times New Roman" w:cs="Times New Roman"/>
          <w:color w:val="000000"/>
          <w:sz w:val="24"/>
          <w:szCs w:val="24"/>
          <w:bdr w:val="none" w:sz="0" w:space="0" w:color="auto" w:frame="1"/>
          <w:lang w:val="ro-RO" w:eastAsia="ro-RO"/>
        </w:rPr>
        <w:t>Factors affecting micro and small business distress in Austria</w:t>
      </w:r>
      <w:r w:rsidRPr="00715C3E">
        <w:rPr>
          <w:rFonts w:ascii="Times New Roman" w:eastAsia="Times New Roman" w:hAnsi="Times New Roman" w:cs="Times New Roman"/>
          <w:color w:val="000000"/>
          <w:sz w:val="24"/>
          <w:szCs w:val="24"/>
          <w:bdr w:val="none" w:sz="0" w:space="0" w:color="auto" w:frame="1"/>
          <w:lang w:val="ro-RO" w:eastAsia="ro-RO"/>
        </w:rPr>
        <w:t xml:space="preserve">, </w:t>
      </w:r>
      <w:r w:rsidR="001733C5" w:rsidRPr="007947D9">
        <w:rPr>
          <w:rFonts w:ascii="Times New Roman" w:eastAsia="Times New Roman" w:hAnsi="Times New Roman" w:cs="Times New Roman"/>
          <w:color w:val="000000"/>
          <w:sz w:val="24"/>
          <w:szCs w:val="24"/>
          <w:bdr w:val="none" w:sz="0" w:space="0" w:color="auto" w:frame="1"/>
          <w:lang w:val="ro-RO" w:eastAsia="ro-RO"/>
        </w:rPr>
        <w:t>International Journal Of Entrepreneurial Venturing</w:t>
      </w:r>
    </w:p>
    <w:p w14:paraId="765CB7FD" w14:textId="77777777" w:rsidR="00C937AC" w:rsidRDefault="007C251A" w:rsidP="00C937A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Tokarski, A; Tokarski, M</w:t>
      </w:r>
      <w:r>
        <w:rPr>
          <w:rFonts w:ascii="Times New Roman" w:eastAsia="Times New Roman" w:hAnsi="Times New Roman" w:cs="Times New Roman"/>
          <w:color w:val="000000"/>
          <w:sz w:val="24"/>
          <w:szCs w:val="24"/>
          <w:bdr w:val="none" w:sz="0" w:space="0" w:color="auto" w:frame="1"/>
          <w:lang w:val="ro-RO" w:eastAsia="ro-RO"/>
        </w:rPr>
        <w:t xml:space="preserve">. </w:t>
      </w:r>
      <w:r w:rsidR="00F87E43">
        <w:rPr>
          <w:rFonts w:ascii="Times New Roman" w:eastAsia="Times New Roman" w:hAnsi="Times New Roman" w:cs="Times New Roman"/>
          <w:color w:val="000000"/>
          <w:sz w:val="24"/>
          <w:szCs w:val="24"/>
          <w:bdr w:val="none" w:sz="0" w:space="0" w:color="auto" w:frame="1"/>
          <w:lang w:val="ro-RO" w:eastAsia="ro-RO"/>
        </w:rPr>
        <w:t>(</w:t>
      </w:r>
      <w:r>
        <w:rPr>
          <w:rFonts w:ascii="Times New Roman" w:eastAsia="Times New Roman" w:hAnsi="Times New Roman" w:cs="Times New Roman"/>
          <w:color w:val="000000"/>
          <w:sz w:val="24"/>
          <w:szCs w:val="24"/>
          <w:bdr w:val="none" w:sz="0" w:space="0" w:color="auto" w:frame="1"/>
          <w:lang w:val="ro-RO" w:eastAsia="ro-RO"/>
        </w:rPr>
        <w:t>2018</w:t>
      </w:r>
      <w:r w:rsidR="00F87E43">
        <w:rPr>
          <w:rFonts w:ascii="Times New Roman" w:eastAsia="Times New Roman" w:hAnsi="Times New Roman" w:cs="Times New Roman"/>
          <w:color w:val="000000"/>
          <w:sz w:val="24"/>
          <w:szCs w:val="24"/>
          <w:bdr w:val="none" w:sz="0" w:space="0" w:color="auto" w:frame="1"/>
          <w:lang w:val="ro-RO" w:eastAsia="ro-RO"/>
        </w:rPr>
        <w:t>)</w:t>
      </w:r>
      <w:r>
        <w:rPr>
          <w:rFonts w:ascii="Times New Roman" w:eastAsia="Times New Roman" w:hAnsi="Times New Roman" w:cs="Times New Roman"/>
          <w:color w:val="000000"/>
          <w:sz w:val="24"/>
          <w:szCs w:val="24"/>
          <w:bdr w:val="none" w:sz="0" w:space="0" w:color="auto" w:frame="1"/>
          <w:lang w:val="ro-RO" w:eastAsia="ro-RO"/>
        </w:rPr>
        <w:t xml:space="preserve">. </w:t>
      </w:r>
      <w:r w:rsidRPr="007C251A">
        <w:rPr>
          <w:rFonts w:ascii="Times New Roman" w:eastAsia="Times New Roman" w:hAnsi="Times New Roman" w:cs="Times New Roman"/>
          <w:color w:val="000000"/>
          <w:sz w:val="24"/>
          <w:szCs w:val="24"/>
          <w:bdr w:val="none" w:sz="0" w:space="0" w:color="auto" w:frame="1"/>
          <w:lang w:val="ro-RO" w:eastAsia="ro-RO"/>
        </w:rPr>
        <w:t xml:space="preserve">The Influence Of The Macroeconomic Factors On The Scale And Dynamics Of The Bankruptcy Od Enterprises In The Polish Economy In The Years 2000-2015, Transformations In Business &amp; Economics, 2018 </w:t>
      </w:r>
    </w:p>
    <w:p w14:paraId="272B2487" w14:textId="4D376102" w:rsidR="000C53AD" w:rsidRDefault="000C53AD" w:rsidP="00C937A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C937AC">
        <w:rPr>
          <w:rFonts w:ascii="Times New Roman" w:eastAsia="Times New Roman" w:hAnsi="Times New Roman" w:cs="Times New Roman"/>
          <w:color w:val="000000"/>
          <w:sz w:val="24"/>
          <w:szCs w:val="24"/>
          <w:bdr w:val="none" w:sz="0" w:space="0" w:color="auto" w:frame="1"/>
          <w:lang w:val="ro-RO" w:eastAsia="ro-RO"/>
        </w:rPr>
        <w:t>Wei, C</w:t>
      </w:r>
      <w:r w:rsidR="00C937AC">
        <w:rPr>
          <w:rFonts w:ascii="Times New Roman" w:eastAsia="Times New Roman" w:hAnsi="Times New Roman" w:cs="Times New Roman"/>
          <w:color w:val="000000"/>
          <w:sz w:val="24"/>
          <w:szCs w:val="24"/>
          <w:bdr w:val="none" w:sz="0" w:space="0" w:color="auto" w:frame="1"/>
          <w:lang w:val="ro-RO" w:eastAsia="ro-RO"/>
        </w:rPr>
        <w:t>.</w:t>
      </w:r>
      <w:r w:rsidRPr="00C937AC">
        <w:rPr>
          <w:rFonts w:ascii="Times New Roman" w:eastAsia="Times New Roman" w:hAnsi="Times New Roman" w:cs="Times New Roman"/>
          <w:color w:val="000000"/>
          <w:sz w:val="24"/>
          <w:szCs w:val="24"/>
          <w:bdr w:val="none" w:sz="0" w:space="0" w:color="auto" w:frame="1"/>
          <w:lang w:val="ro-RO" w:eastAsia="ro-RO"/>
        </w:rPr>
        <w:t>Y</w:t>
      </w:r>
      <w:r w:rsidR="00C937AC">
        <w:rPr>
          <w:rFonts w:ascii="Times New Roman" w:eastAsia="Times New Roman" w:hAnsi="Times New Roman" w:cs="Times New Roman"/>
          <w:color w:val="000000"/>
          <w:sz w:val="24"/>
          <w:szCs w:val="24"/>
          <w:bdr w:val="none" w:sz="0" w:space="0" w:color="auto" w:frame="1"/>
          <w:lang w:val="ro-RO" w:eastAsia="ro-RO"/>
        </w:rPr>
        <w:t xml:space="preserve">., </w:t>
      </w:r>
      <w:r w:rsidRPr="00C937AC">
        <w:rPr>
          <w:rFonts w:ascii="Times New Roman" w:eastAsia="Times New Roman" w:hAnsi="Times New Roman" w:cs="Times New Roman"/>
          <w:color w:val="000000"/>
          <w:sz w:val="24"/>
          <w:szCs w:val="24"/>
          <w:bdr w:val="none" w:sz="0" w:space="0" w:color="auto" w:frame="1"/>
          <w:lang w:val="ro-RO" w:eastAsia="ro-RO"/>
        </w:rPr>
        <w:t>McCormack, G</w:t>
      </w:r>
      <w:r w:rsidR="00C937AC">
        <w:rPr>
          <w:rFonts w:ascii="Times New Roman" w:eastAsia="Times New Roman" w:hAnsi="Times New Roman" w:cs="Times New Roman"/>
          <w:color w:val="000000"/>
          <w:sz w:val="24"/>
          <w:szCs w:val="24"/>
          <w:bdr w:val="none" w:sz="0" w:space="0" w:color="auto" w:frame="1"/>
          <w:lang w:val="ro-RO" w:eastAsia="ro-RO"/>
        </w:rPr>
        <w:t>.,</w:t>
      </w:r>
      <w:r w:rsidRPr="00C937AC">
        <w:rPr>
          <w:rFonts w:ascii="Times New Roman" w:eastAsia="Times New Roman" w:hAnsi="Times New Roman" w:cs="Times New Roman"/>
          <w:color w:val="000000"/>
          <w:sz w:val="24"/>
          <w:szCs w:val="24"/>
          <w:bdr w:val="none" w:sz="0" w:space="0" w:color="auto" w:frame="1"/>
          <w:lang w:val="ro-RO" w:eastAsia="ro-RO"/>
        </w:rPr>
        <w:t xml:space="preserve"> Zhao, J</w:t>
      </w:r>
      <w:r w:rsidR="00C937AC">
        <w:rPr>
          <w:rFonts w:ascii="Times New Roman" w:eastAsia="Times New Roman" w:hAnsi="Times New Roman" w:cs="Times New Roman"/>
          <w:color w:val="000000"/>
          <w:sz w:val="24"/>
          <w:szCs w:val="24"/>
          <w:bdr w:val="none" w:sz="0" w:space="0" w:color="auto" w:frame="1"/>
          <w:lang w:val="ro-RO" w:eastAsia="ro-RO"/>
        </w:rPr>
        <w:t>.</w:t>
      </w:r>
      <w:r w:rsidRPr="00C937AC">
        <w:rPr>
          <w:rFonts w:ascii="Times New Roman" w:eastAsia="Times New Roman" w:hAnsi="Times New Roman" w:cs="Times New Roman"/>
          <w:color w:val="000000"/>
          <w:sz w:val="24"/>
          <w:szCs w:val="24"/>
          <w:bdr w:val="none" w:sz="0" w:space="0" w:color="auto" w:frame="1"/>
          <w:lang w:val="ro-RO" w:eastAsia="ro-RO"/>
        </w:rPr>
        <w:t>C</w:t>
      </w:r>
      <w:r w:rsidR="00C937AC">
        <w:rPr>
          <w:rFonts w:ascii="Times New Roman" w:eastAsia="Times New Roman" w:hAnsi="Times New Roman" w:cs="Times New Roman"/>
          <w:color w:val="000000"/>
          <w:sz w:val="24"/>
          <w:szCs w:val="24"/>
          <w:bdr w:val="none" w:sz="0" w:space="0" w:color="auto" w:frame="1"/>
          <w:lang w:val="ro-RO" w:eastAsia="ro-RO"/>
        </w:rPr>
        <w:t>. (2023).</w:t>
      </w:r>
      <w:r w:rsidRPr="00C937AC">
        <w:rPr>
          <w:rFonts w:ascii="Times New Roman" w:eastAsia="Times New Roman" w:hAnsi="Times New Roman" w:cs="Times New Roman"/>
          <w:color w:val="000000"/>
          <w:sz w:val="24"/>
          <w:szCs w:val="24"/>
          <w:bdr w:val="none" w:sz="0" w:space="0" w:color="auto" w:frame="1"/>
          <w:lang w:val="ro-RO" w:eastAsia="ro-RO"/>
        </w:rPr>
        <w:t xml:space="preserve"> Bargaining in the shadow of law and finance: the market-oriented debt to equity swap in China</w:t>
      </w:r>
      <w:r w:rsidR="00C937AC" w:rsidRPr="00C937AC">
        <w:rPr>
          <w:rFonts w:ascii="Times New Roman" w:eastAsia="Times New Roman" w:hAnsi="Times New Roman" w:cs="Times New Roman"/>
          <w:color w:val="000000"/>
          <w:sz w:val="24"/>
          <w:szCs w:val="24"/>
          <w:bdr w:val="none" w:sz="0" w:space="0" w:color="auto" w:frame="1"/>
          <w:lang w:val="ro-RO" w:eastAsia="ro-RO"/>
        </w:rPr>
        <w:t>, Journal Of Corporate Law Studies</w:t>
      </w:r>
    </w:p>
    <w:p w14:paraId="173967C5" w14:textId="52033153" w:rsidR="002E7164" w:rsidRDefault="002E7164" w:rsidP="00C937A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25289B">
        <w:rPr>
          <w:rFonts w:ascii="Times New Roman" w:eastAsia="Times New Roman" w:hAnsi="Times New Roman" w:cs="Times New Roman"/>
          <w:color w:val="000000"/>
          <w:sz w:val="24"/>
          <w:szCs w:val="24"/>
          <w:bdr w:val="none" w:sz="0" w:space="0" w:color="auto" w:frame="1"/>
          <w:lang w:val="ro-RO" w:eastAsia="ro-RO"/>
        </w:rPr>
        <w:t>Shanmugam, G. (2023). 200 Years of Fossil Fuels and Climate Change (1900-2100)</w:t>
      </w:r>
      <w:r w:rsidR="0025289B" w:rsidRPr="0025289B">
        <w:rPr>
          <w:rFonts w:ascii="Times New Roman" w:eastAsia="Times New Roman" w:hAnsi="Times New Roman" w:cs="Times New Roman"/>
          <w:color w:val="000000"/>
          <w:sz w:val="24"/>
          <w:szCs w:val="24"/>
          <w:bdr w:val="none" w:sz="0" w:space="0" w:color="auto" w:frame="1"/>
          <w:lang w:val="ro-RO" w:eastAsia="ro-RO"/>
        </w:rPr>
        <w:t>, Journal Of The Geological Society Of India</w:t>
      </w:r>
    </w:p>
    <w:p w14:paraId="3C4D25BC" w14:textId="77777777" w:rsidR="002868FC" w:rsidRDefault="009A4DE5" w:rsidP="002868F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3D4F21">
        <w:rPr>
          <w:rFonts w:ascii="Times New Roman" w:eastAsia="Times New Roman" w:hAnsi="Times New Roman" w:cs="Times New Roman"/>
          <w:color w:val="000000"/>
          <w:sz w:val="24"/>
          <w:szCs w:val="24"/>
          <w:bdr w:val="none" w:sz="0" w:space="0" w:color="auto" w:frame="1"/>
          <w:lang w:val="ro-RO" w:eastAsia="ro-RO"/>
        </w:rPr>
        <w:t>Kara, O</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 xml:space="preserve"> Altinay, L</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 xml:space="preserve"> Bagis, M</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 xml:space="preserve"> Kurutkan, M</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N</w:t>
      </w:r>
      <w:r w:rsidR="003D4F21" w:rsidRPr="003D4F21">
        <w:rPr>
          <w:rFonts w:ascii="Times New Roman" w:eastAsia="Times New Roman" w:hAnsi="Times New Roman" w:cs="Times New Roman"/>
          <w:color w:val="000000"/>
          <w:sz w:val="24"/>
          <w:szCs w:val="24"/>
          <w:bdr w:val="none" w:sz="0" w:space="0" w:color="auto" w:frame="1"/>
          <w:lang w:val="ro-RO" w:eastAsia="ro-RO"/>
        </w:rPr>
        <w:t xml:space="preserve">., </w:t>
      </w:r>
      <w:r w:rsidRPr="003D4F21">
        <w:rPr>
          <w:rFonts w:ascii="Times New Roman" w:eastAsia="Times New Roman" w:hAnsi="Times New Roman" w:cs="Times New Roman"/>
          <w:color w:val="000000"/>
          <w:sz w:val="24"/>
          <w:szCs w:val="24"/>
          <w:bdr w:val="none" w:sz="0" w:space="0" w:color="auto" w:frame="1"/>
          <w:lang w:val="ro-RO" w:eastAsia="ro-RO"/>
        </w:rPr>
        <w:t>Vatankhah, S. (2024). Institutions and macroeconomic indicators: entrepreneurial activities across the world</w:t>
      </w:r>
      <w:r w:rsidR="003D4F21" w:rsidRPr="003D4F21">
        <w:rPr>
          <w:rFonts w:ascii="Times New Roman" w:eastAsia="Times New Roman" w:hAnsi="Times New Roman" w:cs="Times New Roman"/>
          <w:color w:val="000000"/>
          <w:sz w:val="24"/>
          <w:szCs w:val="24"/>
          <w:bdr w:val="none" w:sz="0" w:space="0" w:color="auto" w:frame="1"/>
          <w:lang w:val="ro-RO" w:eastAsia="ro-RO"/>
        </w:rPr>
        <w:t>, Management Decision</w:t>
      </w:r>
    </w:p>
    <w:p w14:paraId="4406CDB3" w14:textId="77777777" w:rsidR="00B77909" w:rsidRDefault="002868FC" w:rsidP="00B77909">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2868FC">
        <w:rPr>
          <w:rFonts w:ascii="Times New Roman" w:eastAsia="Times New Roman" w:hAnsi="Times New Roman" w:cs="Times New Roman"/>
          <w:color w:val="000000"/>
          <w:sz w:val="24"/>
          <w:szCs w:val="24"/>
          <w:bdr w:val="none" w:sz="0" w:space="0" w:color="auto" w:frame="1"/>
          <w:lang w:val="ro-RO" w:eastAsia="ro-RO"/>
        </w:rPr>
        <w:t>Valaskova, K</w:t>
      </w:r>
      <w:r>
        <w:rPr>
          <w:rFonts w:ascii="Times New Roman" w:eastAsia="Times New Roman" w:hAnsi="Times New Roman" w:cs="Times New Roman"/>
          <w:color w:val="000000"/>
          <w:sz w:val="24"/>
          <w:szCs w:val="24"/>
          <w:bdr w:val="none" w:sz="0" w:space="0" w:color="auto" w:frame="1"/>
          <w:lang w:val="ro-RO" w:eastAsia="ro-RO"/>
        </w:rPr>
        <w:t>.,</w:t>
      </w:r>
      <w:r w:rsidRPr="002868FC">
        <w:rPr>
          <w:rFonts w:ascii="Times New Roman" w:eastAsia="Times New Roman" w:hAnsi="Times New Roman" w:cs="Times New Roman"/>
          <w:color w:val="000000"/>
          <w:sz w:val="24"/>
          <w:szCs w:val="24"/>
          <w:bdr w:val="none" w:sz="0" w:space="0" w:color="auto" w:frame="1"/>
          <w:lang w:val="ro-RO" w:eastAsia="ro-RO"/>
        </w:rPr>
        <w:t xml:space="preserve"> Gajdosikova, D</w:t>
      </w:r>
      <w:r>
        <w:rPr>
          <w:rFonts w:ascii="Times New Roman" w:eastAsia="Times New Roman" w:hAnsi="Times New Roman" w:cs="Times New Roman"/>
          <w:color w:val="000000"/>
          <w:sz w:val="24"/>
          <w:szCs w:val="24"/>
          <w:bdr w:val="none" w:sz="0" w:space="0" w:color="auto" w:frame="1"/>
          <w:lang w:val="ro-RO" w:eastAsia="ro-RO"/>
        </w:rPr>
        <w:t>.,</w:t>
      </w:r>
      <w:r w:rsidRPr="002868FC">
        <w:rPr>
          <w:rFonts w:ascii="Times New Roman" w:eastAsia="Times New Roman" w:hAnsi="Times New Roman" w:cs="Times New Roman"/>
          <w:color w:val="000000"/>
          <w:sz w:val="24"/>
          <w:szCs w:val="24"/>
          <w:bdr w:val="none" w:sz="0" w:space="0" w:color="auto" w:frame="1"/>
          <w:lang w:val="ro-RO" w:eastAsia="ro-RO"/>
        </w:rPr>
        <w:t xml:space="preserve"> Lazaroiu, G. (2023). Has the COVID-19 pandemic affected the corporate financial performance? A case study of Slovak enterprises, Equilibrium-Quarterly Journal Of Economics And Economic Policy</w:t>
      </w:r>
    </w:p>
    <w:p w14:paraId="56C3D665" w14:textId="609FF00C" w:rsidR="00B77909" w:rsidRPr="00B77909" w:rsidRDefault="00B77909" w:rsidP="00B77909">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B77909">
        <w:rPr>
          <w:rFonts w:ascii="Times New Roman" w:eastAsia="Times New Roman" w:hAnsi="Times New Roman" w:cs="Times New Roman"/>
          <w:color w:val="000000"/>
          <w:sz w:val="24"/>
          <w:szCs w:val="24"/>
          <w:bdr w:val="none" w:sz="0" w:space="0" w:color="auto" w:frame="1"/>
          <w:lang w:val="ro-RO" w:eastAsia="ro-RO"/>
        </w:rPr>
        <w:t>Faré, L</w:t>
      </w:r>
      <w:r>
        <w:rPr>
          <w:rFonts w:ascii="Times New Roman" w:eastAsia="Times New Roman" w:hAnsi="Times New Roman" w:cs="Times New Roman"/>
          <w:color w:val="000000"/>
          <w:sz w:val="24"/>
          <w:szCs w:val="24"/>
          <w:bdr w:val="none" w:sz="0" w:space="0" w:color="auto" w:frame="1"/>
          <w:lang w:val="ro-RO" w:eastAsia="ro-RO"/>
        </w:rPr>
        <w:t>.,</w:t>
      </w:r>
      <w:r w:rsidRPr="00B77909">
        <w:rPr>
          <w:rFonts w:ascii="Times New Roman" w:eastAsia="Times New Roman" w:hAnsi="Times New Roman" w:cs="Times New Roman"/>
          <w:color w:val="000000"/>
          <w:sz w:val="24"/>
          <w:szCs w:val="24"/>
          <w:bdr w:val="none" w:sz="0" w:space="0" w:color="auto" w:frame="1"/>
          <w:lang w:val="ro-RO" w:eastAsia="ro-RO"/>
        </w:rPr>
        <w:t xml:space="preserve"> Audretsch, D</w:t>
      </w:r>
      <w:r>
        <w:rPr>
          <w:rFonts w:ascii="Times New Roman" w:eastAsia="Times New Roman" w:hAnsi="Times New Roman" w:cs="Times New Roman"/>
          <w:color w:val="000000"/>
          <w:sz w:val="24"/>
          <w:szCs w:val="24"/>
          <w:bdr w:val="none" w:sz="0" w:space="0" w:color="auto" w:frame="1"/>
          <w:lang w:val="ro-RO" w:eastAsia="ro-RO"/>
        </w:rPr>
        <w:t>.</w:t>
      </w:r>
      <w:r w:rsidRPr="00B77909">
        <w:rPr>
          <w:rFonts w:ascii="Times New Roman" w:eastAsia="Times New Roman" w:hAnsi="Times New Roman" w:cs="Times New Roman"/>
          <w:color w:val="000000"/>
          <w:sz w:val="24"/>
          <w:szCs w:val="24"/>
          <w:bdr w:val="none" w:sz="0" w:space="0" w:color="auto" w:frame="1"/>
          <w:lang w:val="ro-RO" w:eastAsia="ro-RO"/>
        </w:rPr>
        <w:t>B</w:t>
      </w:r>
      <w:r>
        <w:rPr>
          <w:rFonts w:ascii="Times New Roman" w:eastAsia="Times New Roman" w:hAnsi="Times New Roman" w:cs="Times New Roman"/>
          <w:color w:val="000000"/>
          <w:sz w:val="24"/>
          <w:szCs w:val="24"/>
          <w:bdr w:val="none" w:sz="0" w:space="0" w:color="auto" w:frame="1"/>
          <w:lang w:val="ro-RO" w:eastAsia="ro-RO"/>
        </w:rPr>
        <w:t>.,</w:t>
      </w:r>
      <w:r w:rsidRPr="00B77909">
        <w:rPr>
          <w:rFonts w:ascii="Times New Roman" w:eastAsia="Times New Roman" w:hAnsi="Times New Roman" w:cs="Times New Roman"/>
          <w:color w:val="000000"/>
          <w:sz w:val="24"/>
          <w:szCs w:val="24"/>
          <w:bdr w:val="none" w:sz="0" w:space="0" w:color="auto" w:frame="1"/>
          <w:lang w:val="ro-RO" w:eastAsia="ro-RO"/>
        </w:rPr>
        <w:t xml:space="preserve"> Dejardin, M. (2023). Does democracy foster entrepreneurship? Small Business Economics</w:t>
      </w:r>
    </w:p>
    <w:sectPr w:rsidR="00B77909" w:rsidRPr="00B77909" w:rsidSect="00F549F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9365" w14:textId="77777777" w:rsidR="00AE103D" w:rsidRDefault="00AE103D" w:rsidP="00AB45F6">
      <w:pPr>
        <w:spacing w:after="0" w:line="240" w:lineRule="auto"/>
      </w:pPr>
      <w:r>
        <w:separator/>
      </w:r>
    </w:p>
  </w:endnote>
  <w:endnote w:type="continuationSeparator" w:id="0">
    <w:p w14:paraId="616DB2DF" w14:textId="77777777" w:rsidR="00AE103D" w:rsidRDefault="00AE103D" w:rsidP="00AB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BA20" w14:textId="77777777" w:rsidR="00AE103D" w:rsidRDefault="00AE103D" w:rsidP="00AB45F6">
      <w:pPr>
        <w:spacing w:after="0" w:line="240" w:lineRule="auto"/>
      </w:pPr>
      <w:r>
        <w:separator/>
      </w:r>
    </w:p>
  </w:footnote>
  <w:footnote w:type="continuationSeparator" w:id="0">
    <w:p w14:paraId="533BC40B" w14:textId="77777777" w:rsidR="00AE103D" w:rsidRDefault="00AE103D" w:rsidP="00AB4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FB1"/>
    <w:multiLevelType w:val="hybridMultilevel"/>
    <w:tmpl w:val="57D646D6"/>
    <w:lvl w:ilvl="0" w:tplc="CF2ED644">
      <w:start w:val="1"/>
      <w:numFmt w:val="bullet"/>
      <w:lvlText w:val="•"/>
      <w:lvlJc w:val="left"/>
      <w:pPr>
        <w:tabs>
          <w:tab w:val="num" w:pos="720"/>
        </w:tabs>
        <w:ind w:left="720" w:hanging="360"/>
      </w:pPr>
      <w:rPr>
        <w:rFonts w:ascii="Times New Roman" w:hAnsi="Times New Roman" w:hint="default"/>
      </w:rPr>
    </w:lvl>
    <w:lvl w:ilvl="1" w:tplc="990E451E">
      <w:start w:val="1"/>
      <w:numFmt w:val="bullet"/>
      <w:lvlText w:val="•"/>
      <w:lvlJc w:val="left"/>
      <w:pPr>
        <w:tabs>
          <w:tab w:val="num" w:pos="1440"/>
        </w:tabs>
        <w:ind w:left="1440" w:hanging="360"/>
      </w:pPr>
      <w:rPr>
        <w:rFonts w:ascii="Times New Roman" w:hAnsi="Times New Roman" w:hint="default"/>
      </w:rPr>
    </w:lvl>
    <w:lvl w:ilvl="2" w:tplc="FF589ABE" w:tentative="1">
      <w:start w:val="1"/>
      <w:numFmt w:val="bullet"/>
      <w:lvlText w:val="•"/>
      <w:lvlJc w:val="left"/>
      <w:pPr>
        <w:tabs>
          <w:tab w:val="num" w:pos="2160"/>
        </w:tabs>
        <w:ind w:left="2160" w:hanging="360"/>
      </w:pPr>
      <w:rPr>
        <w:rFonts w:ascii="Times New Roman" w:hAnsi="Times New Roman" w:hint="default"/>
      </w:rPr>
    </w:lvl>
    <w:lvl w:ilvl="3" w:tplc="F9BE9432" w:tentative="1">
      <w:start w:val="1"/>
      <w:numFmt w:val="bullet"/>
      <w:lvlText w:val="•"/>
      <w:lvlJc w:val="left"/>
      <w:pPr>
        <w:tabs>
          <w:tab w:val="num" w:pos="2880"/>
        </w:tabs>
        <w:ind w:left="2880" w:hanging="360"/>
      </w:pPr>
      <w:rPr>
        <w:rFonts w:ascii="Times New Roman" w:hAnsi="Times New Roman" w:hint="default"/>
      </w:rPr>
    </w:lvl>
    <w:lvl w:ilvl="4" w:tplc="E1E25450" w:tentative="1">
      <w:start w:val="1"/>
      <w:numFmt w:val="bullet"/>
      <w:lvlText w:val="•"/>
      <w:lvlJc w:val="left"/>
      <w:pPr>
        <w:tabs>
          <w:tab w:val="num" w:pos="3600"/>
        </w:tabs>
        <w:ind w:left="3600" w:hanging="360"/>
      </w:pPr>
      <w:rPr>
        <w:rFonts w:ascii="Times New Roman" w:hAnsi="Times New Roman" w:hint="default"/>
      </w:rPr>
    </w:lvl>
    <w:lvl w:ilvl="5" w:tplc="FEB659C4" w:tentative="1">
      <w:start w:val="1"/>
      <w:numFmt w:val="bullet"/>
      <w:lvlText w:val="•"/>
      <w:lvlJc w:val="left"/>
      <w:pPr>
        <w:tabs>
          <w:tab w:val="num" w:pos="4320"/>
        </w:tabs>
        <w:ind w:left="4320" w:hanging="360"/>
      </w:pPr>
      <w:rPr>
        <w:rFonts w:ascii="Times New Roman" w:hAnsi="Times New Roman" w:hint="default"/>
      </w:rPr>
    </w:lvl>
    <w:lvl w:ilvl="6" w:tplc="39FAB576" w:tentative="1">
      <w:start w:val="1"/>
      <w:numFmt w:val="bullet"/>
      <w:lvlText w:val="•"/>
      <w:lvlJc w:val="left"/>
      <w:pPr>
        <w:tabs>
          <w:tab w:val="num" w:pos="5040"/>
        </w:tabs>
        <w:ind w:left="5040" w:hanging="360"/>
      </w:pPr>
      <w:rPr>
        <w:rFonts w:ascii="Times New Roman" w:hAnsi="Times New Roman" w:hint="default"/>
      </w:rPr>
    </w:lvl>
    <w:lvl w:ilvl="7" w:tplc="F53C9F48" w:tentative="1">
      <w:start w:val="1"/>
      <w:numFmt w:val="bullet"/>
      <w:lvlText w:val="•"/>
      <w:lvlJc w:val="left"/>
      <w:pPr>
        <w:tabs>
          <w:tab w:val="num" w:pos="5760"/>
        </w:tabs>
        <w:ind w:left="5760" w:hanging="360"/>
      </w:pPr>
      <w:rPr>
        <w:rFonts w:ascii="Times New Roman" w:hAnsi="Times New Roman" w:hint="default"/>
      </w:rPr>
    </w:lvl>
    <w:lvl w:ilvl="8" w:tplc="119A91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6E7300"/>
    <w:multiLevelType w:val="hybridMultilevel"/>
    <w:tmpl w:val="16DC533C"/>
    <w:lvl w:ilvl="0" w:tplc="78A8551C">
      <w:start w:val="1"/>
      <w:numFmt w:val="bullet"/>
      <w:lvlText w:val="•"/>
      <w:lvlJc w:val="left"/>
      <w:pPr>
        <w:tabs>
          <w:tab w:val="num" w:pos="720"/>
        </w:tabs>
        <w:ind w:left="720" w:hanging="360"/>
      </w:pPr>
      <w:rPr>
        <w:rFonts w:ascii="Times New Roman" w:hAnsi="Times New Roman" w:hint="default"/>
      </w:rPr>
    </w:lvl>
    <w:lvl w:ilvl="1" w:tplc="8E200CCA">
      <w:numFmt w:val="bullet"/>
      <w:lvlText w:val="•"/>
      <w:lvlJc w:val="left"/>
      <w:pPr>
        <w:tabs>
          <w:tab w:val="num" w:pos="1440"/>
        </w:tabs>
        <w:ind w:left="1440" w:hanging="360"/>
      </w:pPr>
      <w:rPr>
        <w:rFonts w:ascii="Times New Roman" w:hAnsi="Times New Roman" w:hint="default"/>
      </w:rPr>
    </w:lvl>
    <w:lvl w:ilvl="2" w:tplc="E3945000" w:tentative="1">
      <w:start w:val="1"/>
      <w:numFmt w:val="bullet"/>
      <w:lvlText w:val="•"/>
      <w:lvlJc w:val="left"/>
      <w:pPr>
        <w:tabs>
          <w:tab w:val="num" w:pos="2160"/>
        </w:tabs>
        <w:ind w:left="2160" w:hanging="360"/>
      </w:pPr>
      <w:rPr>
        <w:rFonts w:ascii="Times New Roman" w:hAnsi="Times New Roman" w:hint="default"/>
      </w:rPr>
    </w:lvl>
    <w:lvl w:ilvl="3" w:tplc="A6EC2212" w:tentative="1">
      <w:start w:val="1"/>
      <w:numFmt w:val="bullet"/>
      <w:lvlText w:val="•"/>
      <w:lvlJc w:val="left"/>
      <w:pPr>
        <w:tabs>
          <w:tab w:val="num" w:pos="2880"/>
        </w:tabs>
        <w:ind w:left="2880" w:hanging="360"/>
      </w:pPr>
      <w:rPr>
        <w:rFonts w:ascii="Times New Roman" w:hAnsi="Times New Roman" w:hint="default"/>
      </w:rPr>
    </w:lvl>
    <w:lvl w:ilvl="4" w:tplc="751C206E" w:tentative="1">
      <w:start w:val="1"/>
      <w:numFmt w:val="bullet"/>
      <w:lvlText w:val="•"/>
      <w:lvlJc w:val="left"/>
      <w:pPr>
        <w:tabs>
          <w:tab w:val="num" w:pos="3600"/>
        </w:tabs>
        <w:ind w:left="3600" w:hanging="360"/>
      </w:pPr>
      <w:rPr>
        <w:rFonts w:ascii="Times New Roman" w:hAnsi="Times New Roman" w:hint="default"/>
      </w:rPr>
    </w:lvl>
    <w:lvl w:ilvl="5" w:tplc="9A58D1A6" w:tentative="1">
      <w:start w:val="1"/>
      <w:numFmt w:val="bullet"/>
      <w:lvlText w:val="•"/>
      <w:lvlJc w:val="left"/>
      <w:pPr>
        <w:tabs>
          <w:tab w:val="num" w:pos="4320"/>
        </w:tabs>
        <w:ind w:left="4320" w:hanging="360"/>
      </w:pPr>
      <w:rPr>
        <w:rFonts w:ascii="Times New Roman" w:hAnsi="Times New Roman" w:hint="default"/>
      </w:rPr>
    </w:lvl>
    <w:lvl w:ilvl="6" w:tplc="60F02F68" w:tentative="1">
      <w:start w:val="1"/>
      <w:numFmt w:val="bullet"/>
      <w:lvlText w:val="•"/>
      <w:lvlJc w:val="left"/>
      <w:pPr>
        <w:tabs>
          <w:tab w:val="num" w:pos="5040"/>
        </w:tabs>
        <w:ind w:left="5040" w:hanging="360"/>
      </w:pPr>
      <w:rPr>
        <w:rFonts w:ascii="Times New Roman" w:hAnsi="Times New Roman" w:hint="default"/>
      </w:rPr>
    </w:lvl>
    <w:lvl w:ilvl="7" w:tplc="F07A1B64" w:tentative="1">
      <w:start w:val="1"/>
      <w:numFmt w:val="bullet"/>
      <w:lvlText w:val="•"/>
      <w:lvlJc w:val="left"/>
      <w:pPr>
        <w:tabs>
          <w:tab w:val="num" w:pos="5760"/>
        </w:tabs>
        <w:ind w:left="5760" w:hanging="360"/>
      </w:pPr>
      <w:rPr>
        <w:rFonts w:ascii="Times New Roman" w:hAnsi="Times New Roman" w:hint="default"/>
      </w:rPr>
    </w:lvl>
    <w:lvl w:ilvl="8" w:tplc="4BD82A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FC183C"/>
    <w:multiLevelType w:val="hybridMultilevel"/>
    <w:tmpl w:val="C9707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2008A5"/>
    <w:multiLevelType w:val="hybridMultilevel"/>
    <w:tmpl w:val="C070249A"/>
    <w:lvl w:ilvl="0" w:tplc="848EE18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3D3D116B"/>
    <w:multiLevelType w:val="hybridMultilevel"/>
    <w:tmpl w:val="C97072D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15207FF"/>
    <w:multiLevelType w:val="multilevel"/>
    <w:tmpl w:val="E78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77755"/>
    <w:multiLevelType w:val="hybridMultilevel"/>
    <w:tmpl w:val="4036E586"/>
    <w:lvl w:ilvl="0" w:tplc="41002F1A">
      <w:start w:val="201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5FC55F2E"/>
    <w:multiLevelType w:val="hybridMultilevel"/>
    <w:tmpl w:val="F91E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B29E5"/>
    <w:multiLevelType w:val="multilevel"/>
    <w:tmpl w:val="F13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B0C7E"/>
    <w:multiLevelType w:val="hybridMultilevel"/>
    <w:tmpl w:val="6E3A0E0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6332313">
    <w:abstractNumId w:val="9"/>
  </w:num>
  <w:num w:numId="2" w16cid:durableId="711999565">
    <w:abstractNumId w:val="0"/>
  </w:num>
  <w:num w:numId="3" w16cid:durableId="2089033818">
    <w:abstractNumId w:val="1"/>
  </w:num>
  <w:num w:numId="4" w16cid:durableId="1394086312">
    <w:abstractNumId w:val="6"/>
  </w:num>
  <w:num w:numId="5" w16cid:durableId="1065567387">
    <w:abstractNumId w:val="3"/>
  </w:num>
  <w:num w:numId="6" w16cid:durableId="28068439">
    <w:abstractNumId w:val="4"/>
  </w:num>
  <w:num w:numId="7" w16cid:durableId="125705924">
    <w:abstractNumId w:val="5"/>
  </w:num>
  <w:num w:numId="8" w16cid:durableId="154273077">
    <w:abstractNumId w:val="8"/>
  </w:num>
  <w:num w:numId="9" w16cid:durableId="172764441">
    <w:abstractNumId w:val="7"/>
  </w:num>
  <w:num w:numId="10" w16cid:durableId="179254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C1"/>
    <w:rsid w:val="00006EF6"/>
    <w:rsid w:val="00011663"/>
    <w:rsid w:val="00023F29"/>
    <w:rsid w:val="000363CF"/>
    <w:rsid w:val="00056557"/>
    <w:rsid w:val="000573BB"/>
    <w:rsid w:val="00057B0D"/>
    <w:rsid w:val="00086B96"/>
    <w:rsid w:val="0009666A"/>
    <w:rsid w:val="00096F87"/>
    <w:rsid w:val="000A43E5"/>
    <w:rsid w:val="000A5B08"/>
    <w:rsid w:val="000B1859"/>
    <w:rsid w:val="000B2810"/>
    <w:rsid w:val="000B49D3"/>
    <w:rsid w:val="000C53AD"/>
    <w:rsid w:val="000C550F"/>
    <w:rsid w:val="000D0522"/>
    <w:rsid w:val="000D345F"/>
    <w:rsid w:val="000E3888"/>
    <w:rsid w:val="000F11AB"/>
    <w:rsid w:val="00103867"/>
    <w:rsid w:val="00135FF9"/>
    <w:rsid w:val="0014382F"/>
    <w:rsid w:val="0015449C"/>
    <w:rsid w:val="0015512A"/>
    <w:rsid w:val="001733C5"/>
    <w:rsid w:val="00176312"/>
    <w:rsid w:val="00191A71"/>
    <w:rsid w:val="001A1BAE"/>
    <w:rsid w:val="001B57D8"/>
    <w:rsid w:val="001C2E12"/>
    <w:rsid w:val="001C546E"/>
    <w:rsid w:val="001D5316"/>
    <w:rsid w:val="001F0A4E"/>
    <w:rsid w:val="001F2189"/>
    <w:rsid w:val="001F71D1"/>
    <w:rsid w:val="00206987"/>
    <w:rsid w:val="002110AC"/>
    <w:rsid w:val="002269D9"/>
    <w:rsid w:val="00245B77"/>
    <w:rsid w:val="002472D8"/>
    <w:rsid w:val="0025289B"/>
    <w:rsid w:val="00272BE7"/>
    <w:rsid w:val="002757A5"/>
    <w:rsid w:val="00280930"/>
    <w:rsid w:val="00286672"/>
    <w:rsid w:val="002868FC"/>
    <w:rsid w:val="002910E0"/>
    <w:rsid w:val="00292BB4"/>
    <w:rsid w:val="00292ED1"/>
    <w:rsid w:val="00293116"/>
    <w:rsid w:val="002A4A55"/>
    <w:rsid w:val="002A6ABA"/>
    <w:rsid w:val="002B62B3"/>
    <w:rsid w:val="002C2900"/>
    <w:rsid w:val="002D7913"/>
    <w:rsid w:val="002E3CE7"/>
    <w:rsid w:val="002E6846"/>
    <w:rsid w:val="002E7164"/>
    <w:rsid w:val="00301073"/>
    <w:rsid w:val="00305686"/>
    <w:rsid w:val="00310BAF"/>
    <w:rsid w:val="003110AB"/>
    <w:rsid w:val="00314900"/>
    <w:rsid w:val="00316C60"/>
    <w:rsid w:val="00326F33"/>
    <w:rsid w:val="003349D7"/>
    <w:rsid w:val="003413BB"/>
    <w:rsid w:val="003475C1"/>
    <w:rsid w:val="0035569E"/>
    <w:rsid w:val="00356B80"/>
    <w:rsid w:val="00374A2E"/>
    <w:rsid w:val="003869B3"/>
    <w:rsid w:val="003911BE"/>
    <w:rsid w:val="00397F6C"/>
    <w:rsid w:val="003A6FCC"/>
    <w:rsid w:val="003B1632"/>
    <w:rsid w:val="003B7D09"/>
    <w:rsid w:val="003C44D5"/>
    <w:rsid w:val="003D4F21"/>
    <w:rsid w:val="003E14AD"/>
    <w:rsid w:val="003E78CF"/>
    <w:rsid w:val="00412348"/>
    <w:rsid w:val="00420B8D"/>
    <w:rsid w:val="00433F4E"/>
    <w:rsid w:val="00447E74"/>
    <w:rsid w:val="0046105E"/>
    <w:rsid w:val="00464746"/>
    <w:rsid w:val="00466538"/>
    <w:rsid w:val="004734E7"/>
    <w:rsid w:val="004772DE"/>
    <w:rsid w:val="00480096"/>
    <w:rsid w:val="00495407"/>
    <w:rsid w:val="004D3543"/>
    <w:rsid w:val="004F01E6"/>
    <w:rsid w:val="00504075"/>
    <w:rsid w:val="00522BF2"/>
    <w:rsid w:val="00547C3A"/>
    <w:rsid w:val="0056279C"/>
    <w:rsid w:val="00565CED"/>
    <w:rsid w:val="005778DD"/>
    <w:rsid w:val="00581FC7"/>
    <w:rsid w:val="00594794"/>
    <w:rsid w:val="005A3A68"/>
    <w:rsid w:val="005A5D3F"/>
    <w:rsid w:val="005B1BC3"/>
    <w:rsid w:val="005C360A"/>
    <w:rsid w:val="005D0976"/>
    <w:rsid w:val="005D1CD3"/>
    <w:rsid w:val="0060046E"/>
    <w:rsid w:val="00602651"/>
    <w:rsid w:val="006136FC"/>
    <w:rsid w:val="00622A03"/>
    <w:rsid w:val="0063007A"/>
    <w:rsid w:val="00630D95"/>
    <w:rsid w:val="006460DE"/>
    <w:rsid w:val="00667D9E"/>
    <w:rsid w:val="00684541"/>
    <w:rsid w:val="006A55AD"/>
    <w:rsid w:val="006B0E6A"/>
    <w:rsid w:val="006B5E55"/>
    <w:rsid w:val="006D1342"/>
    <w:rsid w:val="006F2B03"/>
    <w:rsid w:val="00703570"/>
    <w:rsid w:val="00715C3E"/>
    <w:rsid w:val="00727FF3"/>
    <w:rsid w:val="00737452"/>
    <w:rsid w:val="00747E91"/>
    <w:rsid w:val="00750257"/>
    <w:rsid w:val="00756149"/>
    <w:rsid w:val="00763594"/>
    <w:rsid w:val="00766CC6"/>
    <w:rsid w:val="00785CB1"/>
    <w:rsid w:val="007947D9"/>
    <w:rsid w:val="00795E2C"/>
    <w:rsid w:val="007B0298"/>
    <w:rsid w:val="007B4219"/>
    <w:rsid w:val="007B7C99"/>
    <w:rsid w:val="007C251A"/>
    <w:rsid w:val="007E21AE"/>
    <w:rsid w:val="007E3946"/>
    <w:rsid w:val="007F2156"/>
    <w:rsid w:val="008201DB"/>
    <w:rsid w:val="008367E2"/>
    <w:rsid w:val="0085220B"/>
    <w:rsid w:val="008953A8"/>
    <w:rsid w:val="008A37CA"/>
    <w:rsid w:val="008C5519"/>
    <w:rsid w:val="008E2555"/>
    <w:rsid w:val="00922467"/>
    <w:rsid w:val="0093060E"/>
    <w:rsid w:val="00931222"/>
    <w:rsid w:val="00931A39"/>
    <w:rsid w:val="0094172A"/>
    <w:rsid w:val="0094620C"/>
    <w:rsid w:val="009649F5"/>
    <w:rsid w:val="00974723"/>
    <w:rsid w:val="00980597"/>
    <w:rsid w:val="00982403"/>
    <w:rsid w:val="00982DBC"/>
    <w:rsid w:val="009A4DE5"/>
    <w:rsid w:val="009B5A73"/>
    <w:rsid w:val="009B65F1"/>
    <w:rsid w:val="009C436B"/>
    <w:rsid w:val="009D2F5E"/>
    <w:rsid w:val="009F5D3C"/>
    <w:rsid w:val="00A058B2"/>
    <w:rsid w:val="00A0779C"/>
    <w:rsid w:val="00A2210C"/>
    <w:rsid w:val="00A24468"/>
    <w:rsid w:val="00A312B9"/>
    <w:rsid w:val="00A348EC"/>
    <w:rsid w:val="00A3539E"/>
    <w:rsid w:val="00A55BA9"/>
    <w:rsid w:val="00A56FE3"/>
    <w:rsid w:val="00A619CE"/>
    <w:rsid w:val="00A7551C"/>
    <w:rsid w:val="00A76C41"/>
    <w:rsid w:val="00A80286"/>
    <w:rsid w:val="00A853B5"/>
    <w:rsid w:val="00A861A2"/>
    <w:rsid w:val="00AB45F6"/>
    <w:rsid w:val="00AB5DB1"/>
    <w:rsid w:val="00AE103D"/>
    <w:rsid w:val="00AE25E7"/>
    <w:rsid w:val="00AE5A59"/>
    <w:rsid w:val="00B4632D"/>
    <w:rsid w:val="00B51DB2"/>
    <w:rsid w:val="00B6557D"/>
    <w:rsid w:val="00B716B3"/>
    <w:rsid w:val="00B72F06"/>
    <w:rsid w:val="00B77909"/>
    <w:rsid w:val="00B818A6"/>
    <w:rsid w:val="00BC0BBC"/>
    <w:rsid w:val="00BC0D3E"/>
    <w:rsid w:val="00BC4C78"/>
    <w:rsid w:val="00BD545C"/>
    <w:rsid w:val="00BD5976"/>
    <w:rsid w:val="00BE1FAE"/>
    <w:rsid w:val="00BE36C1"/>
    <w:rsid w:val="00C028C8"/>
    <w:rsid w:val="00C07209"/>
    <w:rsid w:val="00C128A5"/>
    <w:rsid w:val="00C14CF0"/>
    <w:rsid w:val="00C3234D"/>
    <w:rsid w:val="00C50717"/>
    <w:rsid w:val="00C549F3"/>
    <w:rsid w:val="00C62874"/>
    <w:rsid w:val="00C677AC"/>
    <w:rsid w:val="00C804EA"/>
    <w:rsid w:val="00C82459"/>
    <w:rsid w:val="00C87D55"/>
    <w:rsid w:val="00C937AC"/>
    <w:rsid w:val="00CA1C66"/>
    <w:rsid w:val="00CA5E1A"/>
    <w:rsid w:val="00CB61A7"/>
    <w:rsid w:val="00CD7FD0"/>
    <w:rsid w:val="00CE1703"/>
    <w:rsid w:val="00CE1736"/>
    <w:rsid w:val="00CF262D"/>
    <w:rsid w:val="00D11AFA"/>
    <w:rsid w:val="00D15835"/>
    <w:rsid w:val="00D43AED"/>
    <w:rsid w:val="00D812F2"/>
    <w:rsid w:val="00D86EDE"/>
    <w:rsid w:val="00D876B7"/>
    <w:rsid w:val="00DE25DD"/>
    <w:rsid w:val="00DE2FA8"/>
    <w:rsid w:val="00DF6F4B"/>
    <w:rsid w:val="00DF7564"/>
    <w:rsid w:val="00E02AE8"/>
    <w:rsid w:val="00E05A01"/>
    <w:rsid w:val="00E20780"/>
    <w:rsid w:val="00E36186"/>
    <w:rsid w:val="00E363E7"/>
    <w:rsid w:val="00E37A10"/>
    <w:rsid w:val="00E406BC"/>
    <w:rsid w:val="00E42433"/>
    <w:rsid w:val="00E543CD"/>
    <w:rsid w:val="00E876DB"/>
    <w:rsid w:val="00E96769"/>
    <w:rsid w:val="00E9699F"/>
    <w:rsid w:val="00EB36DC"/>
    <w:rsid w:val="00EC12B1"/>
    <w:rsid w:val="00EC1E14"/>
    <w:rsid w:val="00EC7B52"/>
    <w:rsid w:val="00ED6D23"/>
    <w:rsid w:val="00ED7F92"/>
    <w:rsid w:val="00EF40E9"/>
    <w:rsid w:val="00EF519C"/>
    <w:rsid w:val="00F416B3"/>
    <w:rsid w:val="00F46413"/>
    <w:rsid w:val="00F47134"/>
    <w:rsid w:val="00F5255C"/>
    <w:rsid w:val="00F549F7"/>
    <w:rsid w:val="00F668F7"/>
    <w:rsid w:val="00F67C00"/>
    <w:rsid w:val="00F87E43"/>
    <w:rsid w:val="00F94FD1"/>
    <w:rsid w:val="00FA185F"/>
    <w:rsid w:val="00FA2B9E"/>
    <w:rsid w:val="00FA72E1"/>
    <w:rsid w:val="00FB3277"/>
    <w:rsid w:val="00FB40B5"/>
    <w:rsid w:val="00FC73F7"/>
    <w:rsid w:val="00FE2799"/>
    <w:rsid w:val="00FE6F2F"/>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EE8"/>
  <w15:chartTrackingRefBased/>
  <w15:docId w15:val="{212EDDDF-E31C-4473-B76A-F2B66102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F6"/>
    <w:rPr>
      <w:kern w:val="0"/>
    </w:rPr>
  </w:style>
  <w:style w:type="paragraph" w:styleId="Heading1">
    <w:name w:val="heading 1"/>
    <w:basedOn w:val="Normal"/>
    <w:next w:val="Normal"/>
    <w:link w:val="Heading1Char"/>
    <w:uiPriority w:val="9"/>
    <w:qFormat/>
    <w:rsid w:val="00347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7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C1"/>
    <w:rPr>
      <w:rFonts w:asciiTheme="majorHAnsi" w:eastAsiaTheme="majorEastAsia" w:hAnsiTheme="majorHAnsi" w:cstheme="majorBidi"/>
      <w:noProof/>
      <w:color w:val="0F4761" w:themeColor="accent1" w:themeShade="BF"/>
      <w:sz w:val="40"/>
      <w:szCs w:val="40"/>
      <w:lang w:val="en"/>
    </w:rPr>
  </w:style>
  <w:style w:type="character" w:customStyle="1" w:styleId="Heading2Char">
    <w:name w:val="Heading 2 Char"/>
    <w:basedOn w:val="DefaultParagraphFont"/>
    <w:link w:val="Heading2"/>
    <w:uiPriority w:val="9"/>
    <w:rsid w:val="003475C1"/>
    <w:rPr>
      <w:rFonts w:asciiTheme="majorHAnsi" w:eastAsiaTheme="majorEastAsia" w:hAnsiTheme="majorHAnsi" w:cstheme="majorBidi"/>
      <w:noProof/>
      <w:color w:val="0F4761" w:themeColor="accent1" w:themeShade="BF"/>
      <w:sz w:val="32"/>
      <w:szCs w:val="32"/>
      <w:lang w:val="en"/>
    </w:rPr>
  </w:style>
  <w:style w:type="character" w:customStyle="1" w:styleId="Heading3Char">
    <w:name w:val="Heading 3 Char"/>
    <w:basedOn w:val="DefaultParagraphFont"/>
    <w:link w:val="Heading3"/>
    <w:uiPriority w:val="9"/>
    <w:semiHidden/>
    <w:rsid w:val="003475C1"/>
    <w:rPr>
      <w:rFonts w:eastAsiaTheme="majorEastAsia" w:cstheme="majorBidi"/>
      <w:noProof/>
      <w:color w:val="0F4761" w:themeColor="accent1" w:themeShade="BF"/>
      <w:sz w:val="28"/>
      <w:szCs w:val="28"/>
      <w:lang w:val="en"/>
    </w:rPr>
  </w:style>
  <w:style w:type="character" w:customStyle="1" w:styleId="Heading4Char">
    <w:name w:val="Heading 4 Char"/>
    <w:basedOn w:val="DefaultParagraphFont"/>
    <w:link w:val="Heading4"/>
    <w:uiPriority w:val="9"/>
    <w:semiHidden/>
    <w:rsid w:val="003475C1"/>
    <w:rPr>
      <w:rFonts w:eastAsiaTheme="majorEastAsia" w:cstheme="majorBidi"/>
      <w:i/>
      <w:iCs/>
      <w:noProof/>
      <w:color w:val="0F4761" w:themeColor="accent1" w:themeShade="BF"/>
      <w:lang w:val="en"/>
    </w:rPr>
  </w:style>
  <w:style w:type="character" w:customStyle="1" w:styleId="Heading5Char">
    <w:name w:val="Heading 5 Char"/>
    <w:basedOn w:val="DefaultParagraphFont"/>
    <w:link w:val="Heading5"/>
    <w:uiPriority w:val="9"/>
    <w:semiHidden/>
    <w:rsid w:val="003475C1"/>
    <w:rPr>
      <w:rFonts w:eastAsiaTheme="majorEastAsia" w:cstheme="majorBidi"/>
      <w:noProof/>
      <w:color w:val="0F4761" w:themeColor="accent1" w:themeShade="BF"/>
      <w:lang w:val="en"/>
    </w:rPr>
  </w:style>
  <w:style w:type="character" w:customStyle="1" w:styleId="Heading6Char">
    <w:name w:val="Heading 6 Char"/>
    <w:basedOn w:val="DefaultParagraphFont"/>
    <w:link w:val="Heading6"/>
    <w:uiPriority w:val="9"/>
    <w:semiHidden/>
    <w:rsid w:val="003475C1"/>
    <w:rPr>
      <w:rFonts w:eastAsiaTheme="majorEastAsia" w:cstheme="majorBidi"/>
      <w:i/>
      <w:iCs/>
      <w:noProof/>
      <w:color w:val="595959" w:themeColor="text1" w:themeTint="A6"/>
      <w:lang w:val="en"/>
    </w:rPr>
  </w:style>
  <w:style w:type="character" w:customStyle="1" w:styleId="Heading7Char">
    <w:name w:val="Heading 7 Char"/>
    <w:basedOn w:val="DefaultParagraphFont"/>
    <w:link w:val="Heading7"/>
    <w:uiPriority w:val="9"/>
    <w:semiHidden/>
    <w:rsid w:val="003475C1"/>
    <w:rPr>
      <w:rFonts w:eastAsiaTheme="majorEastAsia" w:cstheme="majorBidi"/>
      <w:noProof/>
      <w:color w:val="595959" w:themeColor="text1" w:themeTint="A6"/>
      <w:lang w:val="en"/>
    </w:rPr>
  </w:style>
  <w:style w:type="character" w:customStyle="1" w:styleId="Heading8Char">
    <w:name w:val="Heading 8 Char"/>
    <w:basedOn w:val="DefaultParagraphFont"/>
    <w:link w:val="Heading8"/>
    <w:uiPriority w:val="9"/>
    <w:semiHidden/>
    <w:rsid w:val="003475C1"/>
    <w:rPr>
      <w:rFonts w:eastAsiaTheme="majorEastAsia" w:cstheme="majorBidi"/>
      <w:i/>
      <w:iCs/>
      <w:noProof/>
      <w:color w:val="272727" w:themeColor="text1" w:themeTint="D8"/>
      <w:lang w:val="en"/>
    </w:rPr>
  </w:style>
  <w:style w:type="character" w:customStyle="1" w:styleId="Heading9Char">
    <w:name w:val="Heading 9 Char"/>
    <w:basedOn w:val="DefaultParagraphFont"/>
    <w:link w:val="Heading9"/>
    <w:uiPriority w:val="9"/>
    <w:semiHidden/>
    <w:rsid w:val="003475C1"/>
    <w:rPr>
      <w:rFonts w:eastAsiaTheme="majorEastAsia" w:cstheme="majorBidi"/>
      <w:noProof/>
      <w:color w:val="272727" w:themeColor="text1" w:themeTint="D8"/>
      <w:lang w:val="en"/>
    </w:rPr>
  </w:style>
  <w:style w:type="paragraph" w:styleId="Title">
    <w:name w:val="Title"/>
    <w:basedOn w:val="Normal"/>
    <w:next w:val="Normal"/>
    <w:link w:val="TitleChar"/>
    <w:uiPriority w:val="10"/>
    <w:qFormat/>
    <w:rsid w:val="00347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C1"/>
    <w:rPr>
      <w:rFonts w:asciiTheme="majorHAnsi" w:eastAsiaTheme="majorEastAsia" w:hAnsiTheme="majorHAnsi" w:cstheme="majorBidi"/>
      <w:noProof/>
      <w:spacing w:val="-10"/>
      <w:kern w:val="28"/>
      <w:sz w:val="56"/>
      <w:szCs w:val="56"/>
      <w:lang w:val="en"/>
    </w:rPr>
  </w:style>
  <w:style w:type="paragraph" w:styleId="Subtitle">
    <w:name w:val="Subtitle"/>
    <w:basedOn w:val="Normal"/>
    <w:next w:val="Normal"/>
    <w:link w:val="SubtitleChar"/>
    <w:uiPriority w:val="11"/>
    <w:qFormat/>
    <w:rsid w:val="00347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C1"/>
    <w:rPr>
      <w:rFonts w:eastAsiaTheme="majorEastAsia" w:cstheme="majorBidi"/>
      <w:noProof/>
      <w:color w:val="595959" w:themeColor="text1" w:themeTint="A6"/>
      <w:spacing w:val="15"/>
      <w:sz w:val="28"/>
      <w:szCs w:val="28"/>
      <w:lang w:val="en"/>
    </w:rPr>
  </w:style>
  <w:style w:type="paragraph" w:styleId="Quote">
    <w:name w:val="Quote"/>
    <w:basedOn w:val="Normal"/>
    <w:next w:val="Normal"/>
    <w:link w:val="QuoteChar"/>
    <w:uiPriority w:val="29"/>
    <w:qFormat/>
    <w:rsid w:val="003475C1"/>
    <w:pPr>
      <w:spacing w:before="160"/>
      <w:jc w:val="center"/>
    </w:pPr>
    <w:rPr>
      <w:i/>
      <w:iCs/>
      <w:color w:val="404040" w:themeColor="text1" w:themeTint="BF"/>
    </w:rPr>
  </w:style>
  <w:style w:type="character" w:customStyle="1" w:styleId="QuoteChar">
    <w:name w:val="Quote Char"/>
    <w:basedOn w:val="DefaultParagraphFont"/>
    <w:link w:val="Quote"/>
    <w:uiPriority w:val="29"/>
    <w:rsid w:val="003475C1"/>
    <w:rPr>
      <w:i/>
      <w:iCs/>
      <w:noProof/>
      <w:color w:val="404040" w:themeColor="text1" w:themeTint="BF"/>
      <w:lang w:val="en"/>
    </w:rPr>
  </w:style>
  <w:style w:type="paragraph" w:styleId="ListParagraph">
    <w:name w:val="List Paragraph"/>
    <w:basedOn w:val="Normal"/>
    <w:uiPriority w:val="34"/>
    <w:qFormat/>
    <w:rsid w:val="003475C1"/>
    <w:pPr>
      <w:ind w:left="720"/>
      <w:contextualSpacing/>
    </w:pPr>
  </w:style>
  <w:style w:type="character" w:styleId="IntenseEmphasis">
    <w:name w:val="Intense Emphasis"/>
    <w:basedOn w:val="DefaultParagraphFont"/>
    <w:uiPriority w:val="21"/>
    <w:qFormat/>
    <w:rsid w:val="003475C1"/>
    <w:rPr>
      <w:i/>
      <w:iCs/>
      <w:color w:val="0F4761" w:themeColor="accent1" w:themeShade="BF"/>
    </w:rPr>
  </w:style>
  <w:style w:type="paragraph" w:styleId="IntenseQuote">
    <w:name w:val="Intense Quote"/>
    <w:basedOn w:val="Normal"/>
    <w:next w:val="Normal"/>
    <w:link w:val="IntenseQuoteChar"/>
    <w:uiPriority w:val="30"/>
    <w:qFormat/>
    <w:rsid w:val="00347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C1"/>
    <w:rPr>
      <w:i/>
      <w:iCs/>
      <w:noProof/>
      <w:color w:val="0F4761" w:themeColor="accent1" w:themeShade="BF"/>
      <w:lang w:val="en"/>
    </w:rPr>
  </w:style>
  <w:style w:type="character" w:styleId="IntenseReference">
    <w:name w:val="Intense Reference"/>
    <w:basedOn w:val="DefaultParagraphFont"/>
    <w:uiPriority w:val="32"/>
    <w:qFormat/>
    <w:rsid w:val="003475C1"/>
    <w:rPr>
      <w:b/>
      <w:bCs/>
      <w:smallCaps/>
      <w:color w:val="0F4761" w:themeColor="accent1" w:themeShade="BF"/>
      <w:spacing w:val="5"/>
    </w:rPr>
  </w:style>
  <w:style w:type="paragraph" w:styleId="FootnoteText">
    <w:name w:val="footnote text"/>
    <w:basedOn w:val="Normal"/>
    <w:link w:val="FootnoteTextChar"/>
    <w:uiPriority w:val="99"/>
    <w:unhideWhenUsed/>
    <w:rsid w:val="00AB45F6"/>
    <w:pPr>
      <w:spacing w:after="0" w:line="240" w:lineRule="auto"/>
    </w:pPr>
    <w:rPr>
      <w:sz w:val="20"/>
      <w:szCs w:val="20"/>
    </w:rPr>
  </w:style>
  <w:style w:type="character" w:customStyle="1" w:styleId="FootnoteTextChar">
    <w:name w:val="Footnote Text Char"/>
    <w:basedOn w:val="DefaultParagraphFont"/>
    <w:link w:val="FootnoteText"/>
    <w:uiPriority w:val="99"/>
    <w:rsid w:val="00AB45F6"/>
    <w:rPr>
      <w:kern w:val="0"/>
      <w:sz w:val="20"/>
      <w:szCs w:val="20"/>
      <w:lang w:val="en"/>
    </w:rPr>
  </w:style>
  <w:style w:type="character" w:styleId="FootnoteReference">
    <w:name w:val="footnote reference"/>
    <w:basedOn w:val="DefaultParagraphFont"/>
    <w:uiPriority w:val="99"/>
    <w:semiHidden/>
    <w:unhideWhenUsed/>
    <w:rsid w:val="00AB45F6"/>
    <w:rPr>
      <w:vertAlign w:val="superscript"/>
    </w:rPr>
  </w:style>
  <w:style w:type="character" w:styleId="Hyperlink">
    <w:name w:val="Hyperlink"/>
    <w:basedOn w:val="DefaultParagraphFont"/>
    <w:uiPriority w:val="99"/>
    <w:unhideWhenUsed/>
    <w:rsid w:val="00AB45F6"/>
    <w:rPr>
      <w:color w:val="0000FF"/>
      <w:u w:val="single"/>
    </w:rPr>
  </w:style>
  <w:style w:type="table" w:styleId="TableGrid">
    <w:name w:val="Table Grid"/>
    <w:basedOn w:val="TableNormal"/>
    <w:uiPriority w:val="39"/>
    <w:rsid w:val="0032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460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6460DE"/>
    <w:rPr>
      <w:color w:val="605E5C"/>
      <w:shd w:val="clear" w:color="auto" w:fill="E1DFDD"/>
    </w:rPr>
  </w:style>
  <w:style w:type="paragraph" w:styleId="EndnoteText">
    <w:name w:val="endnote text"/>
    <w:basedOn w:val="Normal"/>
    <w:link w:val="EndnoteTextChar"/>
    <w:uiPriority w:val="99"/>
    <w:semiHidden/>
    <w:unhideWhenUsed/>
    <w:rsid w:val="00EF4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40E9"/>
    <w:rPr>
      <w:kern w:val="0"/>
      <w:sz w:val="20"/>
      <w:szCs w:val="20"/>
      <w:lang w:val="en"/>
    </w:rPr>
  </w:style>
  <w:style w:type="character" w:styleId="EndnoteReference">
    <w:name w:val="endnote reference"/>
    <w:basedOn w:val="DefaultParagraphFont"/>
    <w:uiPriority w:val="99"/>
    <w:semiHidden/>
    <w:unhideWhenUsed/>
    <w:rsid w:val="00EF40E9"/>
    <w:rPr>
      <w:vertAlign w:val="superscript"/>
    </w:rPr>
  </w:style>
  <w:style w:type="paragraph" w:styleId="Caption">
    <w:name w:val="caption"/>
    <w:basedOn w:val="Normal"/>
    <w:next w:val="Normal"/>
    <w:uiPriority w:val="35"/>
    <w:unhideWhenUsed/>
    <w:qFormat/>
    <w:rsid w:val="001F0A4E"/>
    <w:pPr>
      <w:spacing w:after="200" w:line="240" w:lineRule="auto"/>
    </w:pPr>
    <w:rPr>
      <w:rFonts w:ascii="Calibri" w:eastAsia="Calibri" w:hAnsi="Calibri" w:cs="Calibri"/>
      <w:i/>
      <w:iCs/>
      <w:color w:val="0E2841" w:themeColor="text2"/>
      <w:sz w:val="18"/>
      <w:szCs w:val="18"/>
      <w:lang w:val="ro-RO" w:eastAsia="ro-RO"/>
      <w14:ligatures w14:val="none"/>
    </w:rPr>
  </w:style>
  <w:style w:type="character" w:customStyle="1" w:styleId="text">
    <w:name w:val="text"/>
    <w:basedOn w:val="DefaultParagraphFont"/>
    <w:rsid w:val="00A7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5009">
      <w:bodyDiv w:val="1"/>
      <w:marLeft w:val="0"/>
      <w:marRight w:val="0"/>
      <w:marTop w:val="0"/>
      <w:marBottom w:val="0"/>
      <w:divBdr>
        <w:top w:val="none" w:sz="0" w:space="0" w:color="auto"/>
        <w:left w:val="none" w:sz="0" w:space="0" w:color="auto"/>
        <w:bottom w:val="none" w:sz="0" w:space="0" w:color="auto"/>
        <w:right w:val="none" w:sz="0" w:space="0" w:color="auto"/>
      </w:divBdr>
    </w:div>
    <w:div w:id="78983619">
      <w:bodyDiv w:val="1"/>
      <w:marLeft w:val="0"/>
      <w:marRight w:val="0"/>
      <w:marTop w:val="0"/>
      <w:marBottom w:val="0"/>
      <w:divBdr>
        <w:top w:val="none" w:sz="0" w:space="0" w:color="auto"/>
        <w:left w:val="none" w:sz="0" w:space="0" w:color="auto"/>
        <w:bottom w:val="none" w:sz="0" w:space="0" w:color="auto"/>
        <w:right w:val="none" w:sz="0" w:space="0" w:color="auto"/>
      </w:divBdr>
    </w:div>
    <w:div w:id="100610550">
      <w:bodyDiv w:val="1"/>
      <w:marLeft w:val="0"/>
      <w:marRight w:val="0"/>
      <w:marTop w:val="0"/>
      <w:marBottom w:val="0"/>
      <w:divBdr>
        <w:top w:val="none" w:sz="0" w:space="0" w:color="auto"/>
        <w:left w:val="none" w:sz="0" w:space="0" w:color="auto"/>
        <w:bottom w:val="none" w:sz="0" w:space="0" w:color="auto"/>
        <w:right w:val="none" w:sz="0" w:space="0" w:color="auto"/>
      </w:divBdr>
    </w:div>
    <w:div w:id="144470687">
      <w:bodyDiv w:val="1"/>
      <w:marLeft w:val="0"/>
      <w:marRight w:val="0"/>
      <w:marTop w:val="0"/>
      <w:marBottom w:val="0"/>
      <w:divBdr>
        <w:top w:val="none" w:sz="0" w:space="0" w:color="auto"/>
        <w:left w:val="none" w:sz="0" w:space="0" w:color="auto"/>
        <w:bottom w:val="none" w:sz="0" w:space="0" w:color="auto"/>
        <w:right w:val="none" w:sz="0" w:space="0" w:color="auto"/>
      </w:divBdr>
    </w:div>
    <w:div w:id="254824043">
      <w:bodyDiv w:val="1"/>
      <w:marLeft w:val="0"/>
      <w:marRight w:val="0"/>
      <w:marTop w:val="0"/>
      <w:marBottom w:val="0"/>
      <w:divBdr>
        <w:top w:val="none" w:sz="0" w:space="0" w:color="auto"/>
        <w:left w:val="none" w:sz="0" w:space="0" w:color="auto"/>
        <w:bottom w:val="none" w:sz="0" w:space="0" w:color="auto"/>
        <w:right w:val="none" w:sz="0" w:space="0" w:color="auto"/>
      </w:divBdr>
      <w:divsChild>
        <w:div w:id="173765861">
          <w:marLeft w:val="1166"/>
          <w:marRight w:val="0"/>
          <w:marTop w:val="0"/>
          <w:marBottom w:val="0"/>
          <w:divBdr>
            <w:top w:val="none" w:sz="0" w:space="0" w:color="auto"/>
            <w:left w:val="none" w:sz="0" w:space="0" w:color="auto"/>
            <w:bottom w:val="none" w:sz="0" w:space="0" w:color="auto"/>
            <w:right w:val="none" w:sz="0" w:space="0" w:color="auto"/>
          </w:divBdr>
        </w:div>
        <w:div w:id="238907709">
          <w:marLeft w:val="547"/>
          <w:marRight w:val="0"/>
          <w:marTop w:val="0"/>
          <w:marBottom w:val="0"/>
          <w:divBdr>
            <w:top w:val="none" w:sz="0" w:space="0" w:color="auto"/>
            <w:left w:val="none" w:sz="0" w:space="0" w:color="auto"/>
            <w:bottom w:val="none" w:sz="0" w:space="0" w:color="auto"/>
            <w:right w:val="none" w:sz="0" w:space="0" w:color="auto"/>
          </w:divBdr>
        </w:div>
        <w:div w:id="640891217">
          <w:marLeft w:val="1166"/>
          <w:marRight w:val="0"/>
          <w:marTop w:val="0"/>
          <w:marBottom w:val="0"/>
          <w:divBdr>
            <w:top w:val="none" w:sz="0" w:space="0" w:color="auto"/>
            <w:left w:val="none" w:sz="0" w:space="0" w:color="auto"/>
            <w:bottom w:val="none" w:sz="0" w:space="0" w:color="auto"/>
            <w:right w:val="none" w:sz="0" w:space="0" w:color="auto"/>
          </w:divBdr>
        </w:div>
        <w:div w:id="643043256">
          <w:marLeft w:val="1166"/>
          <w:marRight w:val="0"/>
          <w:marTop w:val="0"/>
          <w:marBottom w:val="0"/>
          <w:divBdr>
            <w:top w:val="none" w:sz="0" w:space="0" w:color="auto"/>
            <w:left w:val="none" w:sz="0" w:space="0" w:color="auto"/>
            <w:bottom w:val="none" w:sz="0" w:space="0" w:color="auto"/>
            <w:right w:val="none" w:sz="0" w:space="0" w:color="auto"/>
          </w:divBdr>
        </w:div>
        <w:div w:id="1116407308">
          <w:marLeft w:val="1166"/>
          <w:marRight w:val="0"/>
          <w:marTop w:val="0"/>
          <w:marBottom w:val="0"/>
          <w:divBdr>
            <w:top w:val="none" w:sz="0" w:space="0" w:color="auto"/>
            <w:left w:val="none" w:sz="0" w:space="0" w:color="auto"/>
            <w:bottom w:val="none" w:sz="0" w:space="0" w:color="auto"/>
            <w:right w:val="none" w:sz="0" w:space="0" w:color="auto"/>
          </w:divBdr>
        </w:div>
        <w:div w:id="1470127193">
          <w:marLeft w:val="547"/>
          <w:marRight w:val="0"/>
          <w:marTop w:val="0"/>
          <w:marBottom w:val="0"/>
          <w:divBdr>
            <w:top w:val="none" w:sz="0" w:space="0" w:color="auto"/>
            <w:left w:val="none" w:sz="0" w:space="0" w:color="auto"/>
            <w:bottom w:val="none" w:sz="0" w:space="0" w:color="auto"/>
            <w:right w:val="none" w:sz="0" w:space="0" w:color="auto"/>
          </w:divBdr>
        </w:div>
        <w:div w:id="1919099561">
          <w:marLeft w:val="1166"/>
          <w:marRight w:val="0"/>
          <w:marTop w:val="0"/>
          <w:marBottom w:val="0"/>
          <w:divBdr>
            <w:top w:val="none" w:sz="0" w:space="0" w:color="auto"/>
            <w:left w:val="none" w:sz="0" w:space="0" w:color="auto"/>
            <w:bottom w:val="none" w:sz="0" w:space="0" w:color="auto"/>
            <w:right w:val="none" w:sz="0" w:space="0" w:color="auto"/>
          </w:divBdr>
        </w:div>
        <w:div w:id="2019306655">
          <w:marLeft w:val="1166"/>
          <w:marRight w:val="0"/>
          <w:marTop w:val="0"/>
          <w:marBottom w:val="0"/>
          <w:divBdr>
            <w:top w:val="none" w:sz="0" w:space="0" w:color="auto"/>
            <w:left w:val="none" w:sz="0" w:space="0" w:color="auto"/>
            <w:bottom w:val="none" w:sz="0" w:space="0" w:color="auto"/>
            <w:right w:val="none" w:sz="0" w:space="0" w:color="auto"/>
          </w:divBdr>
        </w:div>
      </w:divsChild>
    </w:div>
    <w:div w:id="276300238">
      <w:bodyDiv w:val="1"/>
      <w:marLeft w:val="0"/>
      <w:marRight w:val="0"/>
      <w:marTop w:val="0"/>
      <w:marBottom w:val="0"/>
      <w:divBdr>
        <w:top w:val="none" w:sz="0" w:space="0" w:color="auto"/>
        <w:left w:val="none" w:sz="0" w:space="0" w:color="auto"/>
        <w:bottom w:val="none" w:sz="0" w:space="0" w:color="auto"/>
        <w:right w:val="none" w:sz="0" w:space="0" w:color="auto"/>
      </w:divBdr>
    </w:div>
    <w:div w:id="316686612">
      <w:bodyDiv w:val="1"/>
      <w:marLeft w:val="0"/>
      <w:marRight w:val="0"/>
      <w:marTop w:val="0"/>
      <w:marBottom w:val="0"/>
      <w:divBdr>
        <w:top w:val="none" w:sz="0" w:space="0" w:color="auto"/>
        <w:left w:val="none" w:sz="0" w:space="0" w:color="auto"/>
        <w:bottom w:val="none" w:sz="0" w:space="0" w:color="auto"/>
        <w:right w:val="none" w:sz="0" w:space="0" w:color="auto"/>
      </w:divBdr>
    </w:div>
    <w:div w:id="381944817">
      <w:bodyDiv w:val="1"/>
      <w:marLeft w:val="0"/>
      <w:marRight w:val="0"/>
      <w:marTop w:val="0"/>
      <w:marBottom w:val="0"/>
      <w:divBdr>
        <w:top w:val="none" w:sz="0" w:space="0" w:color="auto"/>
        <w:left w:val="none" w:sz="0" w:space="0" w:color="auto"/>
        <w:bottom w:val="none" w:sz="0" w:space="0" w:color="auto"/>
        <w:right w:val="none" w:sz="0" w:space="0" w:color="auto"/>
      </w:divBdr>
    </w:div>
    <w:div w:id="448402516">
      <w:bodyDiv w:val="1"/>
      <w:marLeft w:val="0"/>
      <w:marRight w:val="0"/>
      <w:marTop w:val="0"/>
      <w:marBottom w:val="0"/>
      <w:divBdr>
        <w:top w:val="none" w:sz="0" w:space="0" w:color="auto"/>
        <w:left w:val="none" w:sz="0" w:space="0" w:color="auto"/>
        <w:bottom w:val="none" w:sz="0" w:space="0" w:color="auto"/>
        <w:right w:val="none" w:sz="0" w:space="0" w:color="auto"/>
      </w:divBdr>
    </w:div>
    <w:div w:id="476646742">
      <w:bodyDiv w:val="1"/>
      <w:marLeft w:val="0"/>
      <w:marRight w:val="0"/>
      <w:marTop w:val="0"/>
      <w:marBottom w:val="0"/>
      <w:divBdr>
        <w:top w:val="none" w:sz="0" w:space="0" w:color="auto"/>
        <w:left w:val="none" w:sz="0" w:space="0" w:color="auto"/>
        <w:bottom w:val="none" w:sz="0" w:space="0" w:color="auto"/>
        <w:right w:val="none" w:sz="0" w:space="0" w:color="auto"/>
      </w:divBdr>
    </w:div>
    <w:div w:id="484397052">
      <w:bodyDiv w:val="1"/>
      <w:marLeft w:val="0"/>
      <w:marRight w:val="0"/>
      <w:marTop w:val="0"/>
      <w:marBottom w:val="0"/>
      <w:divBdr>
        <w:top w:val="none" w:sz="0" w:space="0" w:color="auto"/>
        <w:left w:val="none" w:sz="0" w:space="0" w:color="auto"/>
        <w:bottom w:val="none" w:sz="0" w:space="0" w:color="auto"/>
        <w:right w:val="none" w:sz="0" w:space="0" w:color="auto"/>
      </w:divBdr>
    </w:div>
    <w:div w:id="487283877">
      <w:bodyDiv w:val="1"/>
      <w:marLeft w:val="0"/>
      <w:marRight w:val="0"/>
      <w:marTop w:val="0"/>
      <w:marBottom w:val="0"/>
      <w:divBdr>
        <w:top w:val="none" w:sz="0" w:space="0" w:color="auto"/>
        <w:left w:val="none" w:sz="0" w:space="0" w:color="auto"/>
        <w:bottom w:val="none" w:sz="0" w:space="0" w:color="auto"/>
        <w:right w:val="none" w:sz="0" w:space="0" w:color="auto"/>
      </w:divBdr>
    </w:div>
    <w:div w:id="500661893">
      <w:bodyDiv w:val="1"/>
      <w:marLeft w:val="0"/>
      <w:marRight w:val="0"/>
      <w:marTop w:val="0"/>
      <w:marBottom w:val="0"/>
      <w:divBdr>
        <w:top w:val="none" w:sz="0" w:space="0" w:color="auto"/>
        <w:left w:val="none" w:sz="0" w:space="0" w:color="auto"/>
        <w:bottom w:val="none" w:sz="0" w:space="0" w:color="auto"/>
        <w:right w:val="none" w:sz="0" w:space="0" w:color="auto"/>
      </w:divBdr>
    </w:div>
    <w:div w:id="516039282">
      <w:bodyDiv w:val="1"/>
      <w:marLeft w:val="0"/>
      <w:marRight w:val="0"/>
      <w:marTop w:val="0"/>
      <w:marBottom w:val="0"/>
      <w:divBdr>
        <w:top w:val="none" w:sz="0" w:space="0" w:color="auto"/>
        <w:left w:val="none" w:sz="0" w:space="0" w:color="auto"/>
        <w:bottom w:val="none" w:sz="0" w:space="0" w:color="auto"/>
        <w:right w:val="none" w:sz="0" w:space="0" w:color="auto"/>
      </w:divBdr>
    </w:div>
    <w:div w:id="526797794">
      <w:bodyDiv w:val="1"/>
      <w:marLeft w:val="0"/>
      <w:marRight w:val="0"/>
      <w:marTop w:val="0"/>
      <w:marBottom w:val="0"/>
      <w:divBdr>
        <w:top w:val="none" w:sz="0" w:space="0" w:color="auto"/>
        <w:left w:val="none" w:sz="0" w:space="0" w:color="auto"/>
        <w:bottom w:val="none" w:sz="0" w:space="0" w:color="auto"/>
        <w:right w:val="none" w:sz="0" w:space="0" w:color="auto"/>
      </w:divBdr>
    </w:div>
    <w:div w:id="539051499">
      <w:bodyDiv w:val="1"/>
      <w:marLeft w:val="0"/>
      <w:marRight w:val="0"/>
      <w:marTop w:val="0"/>
      <w:marBottom w:val="0"/>
      <w:divBdr>
        <w:top w:val="none" w:sz="0" w:space="0" w:color="auto"/>
        <w:left w:val="none" w:sz="0" w:space="0" w:color="auto"/>
        <w:bottom w:val="none" w:sz="0" w:space="0" w:color="auto"/>
        <w:right w:val="none" w:sz="0" w:space="0" w:color="auto"/>
      </w:divBdr>
    </w:div>
    <w:div w:id="567502040">
      <w:bodyDiv w:val="1"/>
      <w:marLeft w:val="0"/>
      <w:marRight w:val="0"/>
      <w:marTop w:val="0"/>
      <w:marBottom w:val="0"/>
      <w:divBdr>
        <w:top w:val="none" w:sz="0" w:space="0" w:color="auto"/>
        <w:left w:val="none" w:sz="0" w:space="0" w:color="auto"/>
        <w:bottom w:val="none" w:sz="0" w:space="0" w:color="auto"/>
        <w:right w:val="none" w:sz="0" w:space="0" w:color="auto"/>
      </w:divBdr>
    </w:div>
    <w:div w:id="591742033">
      <w:bodyDiv w:val="1"/>
      <w:marLeft w:val="0"/>
      <w:marRight w:val="0"/>
      <w:marTop w:val="0"/>
      <w:marBottom w:val="0"/>
      <w:divBdr>
        <w:top w:val="none" w:sz="0" w:space="0" w:color="auto"/>
        <w:left w:val="none" w:sz="0" w:space="0" w:color="auto"/>
        <w:bottom w:val="none" w:sz="0" w:space="0" w:color="auto"/>
        <w:right w:val="none" w:sz="0" w:space="0" w:color="auto"/>
      </w:divBdr>
    </w:div>
    <w:div w:id="597103792">
      <w:bodyDiv w:val="1"/>
      <w:marLeft w:val="0"/>
      <w:marRight w:val="0"/>
      <w:marTop w:val="0"/>
      <w:marBottom w:val="0"/>
      <w:divBdr>
        <w:top w:val="none" w:sz="0" w:space="0" w:color="auto"/>
        <w:left w:val="none" w:sz="0" w:space="0" w:color="auto"/>
        <w:bottom w:val="none" w:sz="0" w:space="0" w:color="auto"/>
        <w:right w:val="none" w:sz="0" w:space="0" w:color="auto"/>
      </w:divBdr>
    </w:div>
    <w:div w:id="612440586">
      <w:bodyDiv w:val="1"/>
      <w:marLeft w:val="0"/>
      <w:marRight w:val="0"/>
      <w:marTop w:val="0"/>
      <w:marBottom w:val="0"/>
      <w:divBdr>
        <w:top w:val="none" w:sz="0" w:space="0" w:color="auto"/>
        <w:left w:val="none" w:sz="0" w:space="0" w:color="auto"/>
        <w:bottom w:val="none" w:sz="0" w:space="0" w:color="auto"/>
        <w:right w:val="none" w:sz="0" w:space="0" w:color="auto"/>
      </w:divBdr>
    </w:div>
    <w:div w:id="627707225">
      <w:bodyDiv w:val="1"/>
      <w:marLeft w:val="0"/>
      <w:marRight w:val="0"/>
      <w:marTop w:val="0"/>
      <w:marBottom w:val="0"/>
      <w:divBdr>
        <w:top w:val="none" w:sz="0" w:space="0" w:color="auto"/>
        <w:left w:val="none" w:sz="0" w:space="0" w:color="auto"/>
        <w:bottom w:val="none" w:sz="0" w:space="0" w:color="auto"/>
        <w:right w:val="none" w:sz="0" w:space="0" w:color="auto"/>
      </w:divBdr>
    </w:div>
    <w:div w:id="644774630">
      <w:bodyDiv w:val="1"/>
      <w:marLeft w:val="0"/>
      <w:marRight w:val="0"/>
      <w:marTop w:val="0"/>
      <w:marBottom w:val="0"/>
      <w:divBdr>
        <w:top w:val="none" w:sz="0" w:space="0" w:color="auto"/>
        <w:left w:val="none" w:sz="0" w:space="0" w:color="auto"/>
        <w:bottom w:val="none" w:sz="0" w:space="0" w:color="auto"/>
        <w:right w:val="none" w:sz="0" w:space="0" w:color="auto"/>
      </w:divBdr>
    </w:div>
    <w:div w:id="898445713">
      <w:bodyDiv w:val="1"/>
      <w:marLeft w:val="0"/>
      <w:marRight w:val="0"/>
      <w:marTop w:val="0"/>
      <w:marBottom w:val="0"/>
      <w:divBdr>
        <w:top w:val="none" w:sz="0" w:space="0" w:color="auto"/>
        <w:left w:val="none" w:sz="0" w:space="0" w:color="auto"/>
        <w:bottom w:val="none" w:sz="0" w:space="0" w:color="auto"/>
        <w:right w:val="none" w:sz="0" w:space="0" w:color="auto"/>
      </w:divBdr>
    </w:div>
    <w:div w:id="937325696">
      <w:bodyDiv w:val="1"/>
      <w:marLeft w:val="0"/>
      <w:marRight w:val="0"/>
      <w:marTop w:val="0"/>
      <w:marBottom w:val="0"/>
      <w:divBdr>
        <w:top w:val="none" w:sz="0" w:space="0" w:color="auto"/>
        <w:left w:val="none" w:sz="0" w:space="0" w:color="auto"/>
        <w:bottom w:val="none" w:sz="0" w:space="0" w:color="auto"/>
        <w:right w:val="none" w:sz="0" w:space="0" w:color="auto"/>
      </w:divBdr>
    </w:div>
    <w:div w:id="950548497">
      <w:bodyDiv w:val="1"/>
      <w:marLeft w:val="0"/>
      <w:marRight w:val="0"/>
      <w:marTop w:val="0"/>
      <w:marBottom w:val="0"/>
      <w:divBdr>
        <w:top w:val="none" w:sz="0" w:space="0" w:color="auto"/>
        <w:left w:val="none" w:sz="0" w:space="0" w:color="auto"/>
        <w:bottom w:val="none" w:sz="0" w:space="0" w:color="auto"/>
        <w:right w:val="none" w:sz="0" w:space="0" w:color="auto"/>
      </w:divBdr>
    </w:div>
    <w:div w:id="1091463619">
      <w:bodyDiv w:val="1"/>
      <w:marLeft w:val="0"/>
      <w:marRight w:val="0"/>
      <w:marTop w:val="0"/>
      <w:marBottom w:val="0"/>
      <w:divBdr>
        <w:top w:val="none" w:sz="0" w:space="0" w:color="auto"/>
        <w:left w:val="none" w:sz="0" w:space="0" w:color="auto"/>
        <w:bottom w:val="none" w:sz="0" w:space="0" w:color="auto"/>
        <w:right w:val="none" w:sz="0" w:space="0" w:color="auto"/>
      </w:divBdr>
    </w:div>
    <w:div w:id="1103837076">
      <w:bodyDiv w:val="1"/>
      <w:marLeft w:val="0"/>
      <w:marRight w:val="0"/>
      <w:marTop w:val="0"/>
      <w:marBottom w:val="0"/>
      <w:divBdr>
        <w:top w:val="none" w:sz="0" w:space="0" w:color="auto"/>
        <w:left w:val="none" w:sz="0" w:space="0" w:color="auto"/>
        <w:bottom w:val="none" w:sz="0" w:space="0" w:color="auto"/>
        <w:right w:val="none" w:sz="0" w:space="0" w:color="auto"/>
      </w:divBdr>
    </w:div>
    <w:div w:id="1134831617">
      <w:bodyDiv w:val="1"/>
      <w:marLeft w:val="0"/>
      <w:marRight w:val="0"/>
      <w:marTop w:val="0"/>
      <w:marBottom w:val="0"/>
      <w:divBdr>
        <w:top w:val="none" w:sz="0" w:space="0" w:color="auto"/>
        <w:left w:val="none" w:sz="0" w:space="0" w:color="auto"/>
        <w:bottom w:val="none" w:sz="0" w:space="0" w:color="auto"/>
        <w:right w:val="none" w:sz="0" w:space="0" w:color="auto"/>
      </w:divBdr>
    </w:div>
    <w:div w:id="1154030243">
      <w:bodyDiv w:val="1"/>
      <w:marLeft w:val="0"/>
      <w:marRight w:val="0"/>
      <w:marTop w:val="0"/>
      <w:marBottom w:val="0"/>
      <w:divBdr>
        <w:top w:val="none" w:sz="0" w:space="0" w:color="auto"/>
        <w:left w:val="none" w:sz="0" w:space="0" w:color="auto"/>
        <w:bottom w:val="none" w:sz="0" w:space="0" w:color="auto"/>
        <w:right w:val="none" w:sz="0" w:space="0" w:color="auto"/>
      </w:divBdr>
    </w:div>
    <w:div w:id="1223760520">
      <w:bodyDiv w:val="1"/>
      <w:marLeft w:val="0"/>
      <w:marRight w:val="0"/>
      <w:marTop w:val="0"/>
      <w:marBottom w:val="0"/>
      <w:divBdr>
        <w:top w:val="none" w:sz="0" w:space="0" w:color="auto"/>
        <w:left w:val="none" w:sz="0" w:space="0" w:color="auto"/>
        <w:bottom w:val="none" w:sz="0" w:space="0" w:color="auto"/>
        <w:right w:val="none" w:sz="0" w:space="0" w:color="auto"/>
      </w:divBdr>
    </w:div>
    <w:div w:id="1275556011">
      <w:bodyDiv w:val="1"/>
      <w:marLeft w:val="0"/>
      <w:marRight w:val="0"/>
      <w:marTop w:val="0"/>
      <w:marBottom w:val="0"/>
      <w:divBdr>
        <w:top w:val="none" w:sz="0" w:space="0" w:color="auto"/>
        <w:left w:val="none" w:sz="0" w:space="0" w:color="auto"/>
        <w:bottom w:val="none" w:sz="0" w:space="0" w:color="auto"/>
        <w:right w:val="none" w:sz="0" w:space="0" w:color="auto"/>
      </w:divBdr>
    </w:div>
    <w:div w:id="1276213555">
      <w:bodyDiv w:val="1"/>
      <w:marLeft w:val="0"/>
      <w:marRight w:val="0"/>
      <w:marTop w:val="0"/>
      <w:marBottom w:val="0"/>
      <w:divBdr>
        <w:top w:val="none" w:sz="0" w:space="0" w:color="auto"/>
        <w:left w:val="none" w:sz="0" w:space="0" w:color="auto"/>
        <w:bottom w:val="none" w:sz="0" w:space="0" w:color="auto"/>
        <w:right w:val="none" w:sz="0" w:space="0" w:color="auto"/>
      </w:divBdr>
    </w:div>
    <w:div w:id="1408502299">
      <w:bodyDiv w:val="1"/>
      <w:marLeft w:val="0"/>
      <w:marRight w:val="0"/>
      <w:marTop w:val="0"/>
      <w:marBottom w:val="0"/>
      <w:divBdr>
        <w:top w:val="none" w:sz="0" w:space="0" w:color="auto"/>
        <w:left w:val="none" w:sz="0" w:space="0" w:color="auto"/>
        <w:bottom w:val="none" w:sz="0" w:space="0" w:color="auto"/>
        <w:right w:val="none" w:sz="0" w:space="0" w:color="auto"/>
      </w:divBdr>
    </w:div>
    <w:div w:id="1477718467">
      <w:bodyDiv w:val="1"/>
      <w:marLeft w:val="0"/>
      <w:marRight w:val="0"/>
      <w:marTop w:val="0"/>
      <w:marBottom w:val="0"/>
      <w:divBdr>
        <w:top w:val="none" w:sz="0" w:space="0" w:color="auto"/>
        <w:left w:val="none" w:sz="0" w:space="0" w:color="auto"/>
        <w:bottom w:val="none" w:sz="0" w:space="0" w:color="auto"/>
        <w:right w:val="none" w:sz="0" w:space="0" w:color="auto"/>
      </w:divBdr>
    </w:div>
    <w:div w:id="1502156296">
      <w:bodyDiv w:val="1"/>
      <w:marLeft w:val="0"/>
      <w:marRight w:val="0"/>
      <w:marTop w:val="0"/>
      <w:marBottom w:val="0"/>
      <w:divBdr>
        <w:top w:val="none" w:sz="0" w:space="0" w:color="auto"/>
        <w:left w:val="none" w:sz="0" w:space="0" w:color="auto"/>
        <w:bottom w:val="none" w:sz="0" w:space="0" w:color="auto"/>
        <w:right w:val="none" w:sz="0" w:space="0" w:color="auto"/>
      </w:divBdr>
    </w:div>
    <w:div w:id="1517033942">
      <w:bodyDiv w:val="1"/>
      <w:marLeft w:val="0"/>
      <w:marRight w:val="0"/>
      <w:marTop w:val="0"/>
      <w:marBottom w:val="0"/>
      <w:divBdr>
        <w:top w:val="none" w:sz="0" w:space="0" w:color="auto"/>
        <w:left w:val="none" w:sz="0" w:space="0" w:color="auto"/>
        <w:bottom w:val="none" w:sz="0" w:space="0" w:color="auto"/>
        <w:right w:val="none" w:sz="0" w:space="0" w:color="auto"/>
      </w:divBdr>
      <w:divsChild>
        <w:div w:id="347368214">
          <w:marLeft w:val="547"/>
          <w:marRight w:val="0"/>
          <w:marTop w:val="0"/>
          <w:marBottom w:val="0"/>
          <w:divBdr>
            <w:top w:val="none" w:sz="0" w:space="0" w:color="auto"/>
            <w:left w:val="none" w:sz="0" w:space="0" w:color="auto"/>
            <w:bottom w:val="none" w:sz="0" w:space="0" w:color="auto"/>
            <w:right w:val="none" w:sz="0" w:space="0" w:color="auto"/>
          </w:divBdr>
        </w:div>
        <w:div w:id="863985657">
          <w:marLeft w:val="547"/>
          <w:marRight w:val="0"/>
          <w:marTop w:val="0"/>
          <w:marBottom w:val="0"/>
          <w:divBdr>
            <w:top w:val="none" w:sz="0" w:space="0" w:color="auto"/>
            <w:left w:val="none" w:sz="0" w:space="0" w:color="auto"/>
            <w:bottom w:val="none" w:sz="0" w:space="0" w:color="auto"/>
            <w:right w:val="none" w:sz="0" w:space="0" w:color="auto"/>
          </w:divBdr>
        </w:div>
      </w:divsChild>
    </w:div>
    <w:div w:id="1553151434">
      <w:bodyDiv w:val="1"/>
      <w:marLeft w:val="0"/>
      <w:marRight w:val="0"/>
      <w:marTop w:val="0"/>
      <w:marBottom w:val="0"/>
      <w:divBdr>
        <w:top w:val="none" w:sz="0" w:space="0" w:color="auto"/>
        <w:left w:val="none" w:sz="0" w:space="0" w:color="auto"/>
        <w:bottom w:val="none" w:sz="0" w:space="0" w:color="auto"/>
        <w:right w:val="none" w:sz="0" w:space="0" w:color="auto"/>
      </w:divBdr>
    </w:div>
    <w:div w:id="1554655210">
      <w:bodyDiv w:val="1"/>
      <w:marLeft w:val="0"/>
      <w:marRight w:val="0"/>
      <w:marTop w:val="0"/>
      <w:marBottom w:val="0"/>
      <w:divBdr>
        <w:top w:val="none" w:sz="0" w:space="0" w:color="auto"/>
        <w:left w:val="none" w:sz="0" w:space="0" w:color="auto"/>
        <w:bottom w:val="none" w:sz="0" w:space="0" w:color="auto"/>
        <w:right w:val="none" w:sz="0" w:space="0" w:color="auto"/>
      </w:divBdr>
    </w:div>
    <w:div w:id="1570574877">
      <w:bodyDiv w:val="1"/>
      <w:marLeft w:val="0"/>
      <w:marRight w:val="0"/>
      <w:marTop w:val="0"/>
      <w:marBottom w:val="0"/>
      <w:divBdr>
        <w:top w:val="none" w:sz="0" w:space="0" w:color="auto"/>
        <w:left w:val="none" w:sz="0" w:space="0" w:color="auto"/>
        <w:bottom w:val="none" w:sz="0" w:space="0" w:color="auto"/>
        <w:right w:val="none" w:sz="0" w:space="0" w:color="auto"/>
      </w:divBdr>
    </w:div>
    <w:div w:id="1650793120">
      <w:bodyDiv w:val="1"/>
      <w:marLeft w:val="0"/>
      <w:marRight w:val="0"/>
      <w:marTop w:val="0"/>
      <w:marBottom w:val="0"/>
      <w:divBdr>
        <w:top w:val="none" w:sz="0" w:space="0" w:color="auto"/>
        <w:left w:val="none" w:sz="0" w:space="0" w:color="auto"/>
        <w:bottom w:val="none" w:sz="0" w:space="0" w:color="auto"/>
        <w:right w:val="none" w:sz="0" w:space="0" w:color="auto"/>
      </w:divBdr>
    </w:div>
    <w:div w:id="1715736539">
      <w:bodyDiv w:val="1"/>
      <w:marLeft w:val="0"/>
      <w:marRight w:val="0"/>
      <w:marTop w:val="0"/>
      <w:marBottom w:val="0"/>
      <w:divBdr>
        <w:top w:val="none" w:sz="0" w:space="0" w:color="auto"/>
        <w:left w:val="none" w:sz="0" w:space="0" w:color="auto"/>
        <w:bottom w:val="none" w:sz="0" w:space="0" w:color="auto"/>
        <w:right w:val="none" w:sz="0" w:space="0" w:color="auto"/>
      </w:divBdr>
    </w:div>
    <w:div w:id="1753045379">
      <w:bodyDiv w:val="1"/>
      <w:marLeft w:val="0"/>
      <w:marRight w:val="0"/>
      <w:marTop w:val="0"/>
      <w:marBottom w:val="0"/>
      <w:divBdr>
        <w:top w:val="none" w:sz="0" w:space="0" w:color="auto"/>
        <w:left w:val="none" w:sz="0" w:space="0" w:color="auto"/>
        <w:bottom w:val="none" w:sz="0" w:space="0" w:color="auto"/>
        <w:right w:val="none" w:sz="0" w:space="0" w:color="auto"/>
      </w:divBdr>
    </w:div>
    <w:div w:id="1883637471">
      <w:bodyDiv w:val="1"/>
      <w:marLeft w:val="0"/>
      <w:marRight w:val="0"/>
      <w:marTop w:val="0"/>
      <w:marBottom w:val="0"/>
      <w:divBdr>
        <w:top w:val="none" w:sz="0" w:space="0" w:color="auto"/>
        <w:left w:val="none" w:sz="0" w:space="0" w:color="auto"/>
        <w:bottom w:val="none" w:sz="0" w:space="0" w:color="auto"/>
        <w:right w:val="none" w:sz="0" w:space="0" w:color="auto"/>
      </w:divBdr>
    </w:div>
    <w:div w:id="1908104554">
      <w:bodyDiv w:val="1"/>
      <w:marLeft w:val="0"/>
      <w:marRight w:val="0"/>
      <w:marTop w:val="0"/>
      <w:marBottom w:val="0"/>
      <w:divBdr>
        <w:top w:val="none" w:sz="0" w:space="0" w:color="auto"/>
        <w:left w:val="none" w:sz="0" w:space="0" w:color="auto"/>
        <w:bottom w:val="none" w:sz="0" w:space="0" w:color="auto"/>
        <w:right w:val="none" w:sz="0" w:space="0" w:color="auto"/>
      </w:divBdr>
    </w:div>
    <w:div w:id="1914385328">
      <w:bodyDiv w:val="1"/>
      <w:marLeft w:val="0"/>
      <w:marRight w:val="0"/>
      <w:marTop w:val="0"/>
      <w:marBottom w:val="0"/>
      <w:divBdr>
        <w:top w:val="none" w:sz="0" w:space="0" w:color="auto"/>
        <w:left w:val="none" w:sz="0" w:space="0" w:color="auto"/>
        <w:bottom w:val="none" w:sz="0" w:space="0" w:color="auto"/>
        <w:right w:val="none" w:sz="0" w:space="0" w:color="auto"/>
      </w:divBdr>
    </w:div>
    <w:div w:id="1958098692">
      <w:bodyDiv w:val="1"/>
      <w:marLeft w:val="0"/>
      <w:marRight w:val="0"/>
      <w:marTop w:val="0"/>
      <w:marBottom w:val="0"/>
      <w:divBdr>
        <w:top w:val="none" w:sz="0" w:space="0" w:color="auto"/>
        <w:left w:val="none" w:sz="0" w:space="0" w:color="auto"/>
        <w:bottom w:val="none" w:sz="0" w:space="0" w:color="auto"/>
        <w:right w:val="none" w:sz="0" w:space="0" w:color="auto"/>
      </w:divBdr>
    </w:div>
    <w:div w:id="2004316322">
      <w:bodyDiv w:val="1"/>
      <w:marLeft w:val="0"/>
      <w:marRight w:val="0"/>
      <w:marTop w:val="0"/>
      <w:marBottom w:val="0"/>
      <w:divBdr>
        <w:top w:val="none" w:sz="0" w:space="0" w:color="auto"/>
        <w:left w:val="none" w:sz="0" w:space="0" w:color="auto"/>
        <w:bottom w:val="none" w:sz="0" w:space="0" w:color="auto"/>
        <w:right w:val="none" w:sz="0" w:space="0" w:color="auto"/>
      </w:divBdr>
    </w:div>
    <w:div w:id="2032683897">
      <w:bodyDiv w:val="1"/>
      <w:marLeft w:val="0"/>
      <w:marRight w:val="0"/>
      <w:marTop w:val="0"/>
      <w:marBottom w:val="0"/>
      <w:divBdr>
        <w:top w:val="none" w:sz="0" w:space="0" w:color="auto"/>
        <w:left w:val="none" w:sz="0" w:space="0" w:color="auto"/>
        <w:bottom w:val="none" w:sz="0" w:space="0" w:color="auto"/>
        <w:right w:val="none" w:sz="0" w:space="0" w:color="auto"/>
      </w:divBdr>
    </w:div>
    <w:div w:id="2086762045">
      <w:bodyDiv w:val="1"/>
      <w:marLeft w:val="0"/>
      <w:marRight w:val="0"/>
      <w:marTop w:val="0"/>
      <w:marBottom w:val="0"/>
      <w:divBdr>
        <w:top w:val="none" w:sz="0" w:space="0" w:color="auto"/>
        <w:left w:val="none" w:sz="0" w:space="0" w:color="auto"/>
        <w:bottom w:val="none" w:sz="0" w:space="0" w:color="auto"/>
        <w:right w:val="none" w:sz="0" w:space="0" w:color="auto"/>
      </w:divBdr>
    </w:div>
    <w:div w:id="21277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n.somitca@gmail.co" TargetMode="External"/><Relationship Id="rId13" Type="http://schemas.openxmlformats.org/officeDocument/2006/relationships/hyperlink" Target="https://ec.europa.eu/eurostat.%20Modelul%20econometric%20a%20fost%20dezvoltat%20folosind%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80/0003684042000233168" TargetMode="External"/><Relationship Id="rId2" Type="http://schemas.openxmlformats.org/officeDocument/2006/relationships/numbering" Target="numbering.xml"/><Relationship Id="rId16" Type="http://schemas.openxmlformats.org/officeDocument/2006/relationships/hyperlink" Target="https://doi.org/10.1017/jmo.202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ambridge.org/core/journals/journal-of-management-and-organization/firstvie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ena.hlaciuc@usm.ro" TargetMode="External"/><Relationship Id="rId14" Type="http://schemas.openxmlformats.org/officeDocument/2006/relationships/hyperlink" Target="https://commercial.allianz.com/news-and-insights/expert-risk-articles/allianz-risk-barometer-2024-macroeconomic%20developments.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B993-70F5-4D2A-9020-806A7E21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9</Pages>
  <Words>4238</Words>
  <Characters>24581</Characters>
  <Application>Microsoft Office Word</Application>
  <DocSecurity>0</DocSecurity>
  <Lines>204</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Șomitcă</dc:creator>
  <cp:keywords/>
  <dc:description/>
  <cp:lastModifiedBy>Somitca, S. (Sorin)</cp:lastModifiedBy>
  <cp:revision>123</cp:revision>
  <dcterms:created xsi:type="dcterms:W3CDTF">2024-07-16T09:52:00Z</dcterms:created>
  <dcterms:modified xsi:type="dcterms:W3CDTF">2024-09-05T12:54:00Z</dcterms:modified>
</cp:coreProperties>
</file>