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772" w14:textId="1C107D71" w:rsidR="00726D61" w:rsidRPr="00CC28EC" w:rsidRDefault="00726D61" w:rsidP="00887E7D">
      <w:pPr>
        <w:jc w:val="center"/>
        <w:rPr>
          <w:b/>
          <w:bCs/>
          <w:sz w:val="32"/>
          <w:szCs w:val="32"/>
          <w:lang w:val="ro-RO"/>
        </w:rPr>
      </w:pPr>
      <w:r w:rsidRPr="00CC28EC">
        <w:rPr>
          <w:b/>
          <w:bCs/>
          <w:sz w:val="32"/>
          <w:szCs w:val="32"/>
        </w:rPr>
        <w:t>ASPECTE PRIVIN</w:t>
      </w:r>
      <w:r w:rsidR="00941631" w:rsidRPr="00CC28EC">
        <w:rPr>
          <w:b/>
          <w:bCs/>
          <w:sz w:val="32"/>
          <w:szCs w:val="32"/>
        </w:rPr>
        <w:t>D DATORIA PUBLICĂ</w:t>
      </w:r>
      <w:r w:rsidRPr="00CC28EC">
        <w:rPr>
          <w:b/>
          <w:bCs/>
          <w:sz w:val="32"/>
          <w:szCs w:val="32"/>
        </w:rPr>
        <w:t xml:space="preserve"> </w:t>
      </w:r>
      <w:r w:rsidRPr="00CC28EC">
        <w:rPr>
          <w:b/>
          <w:bCs/>
          <w:sz w:val="32"/>
          <w:szCs w:val="32"/>
          <w:lang w:val="ro-RO"/>
        </w:rPr>
        <w:t>ÎN ROMÂNIA</w:t>
      </w:r>
    </w:p>
    <w:p w14:paraId="2ADB42A2" w14:textId="77777777" w:rsidR="00726D61" w:rsidRPr="00CC28EC" w:rsidRDefault="00726D61" w:rsidP="00726D61">
      <w:pPr>
        <w:jc w:val="center"/>
      </w:pPr>
    </w:p>
    <w:p w14:paraId="3ED091A7" w14:textId="77777777" w:rsidR="000D5BFE" w:rsidRPr="00CC28EC" w:rsidRDefault="00726D61" w:rsidP="00151552">
      <w:pPr>
        <w:jc w:val="both"/>
        <w:rPr>
          <w:b/>
          <w:bCs/>
          <w:lang w:val="ro-RO"/>
        </w:rPr>
      </w:pPr>
      <w:r w:rsidRPr="00CC28EC">
        <w:rPr>
          <w:b/>
          <w:bCs/>
        </w:rPr>
        <w:t>Abstract</w:t>
      </w:r>
      <w:r w:rsidRPr="00CC28EC">
        <w:rPr>
          <w:b/>
          <w:bCs/>
          <w:lang w:val="ro-RO"/>
        </w:rPr>
        <w:t>:</w:t>
      </w:r>
      <w:r w:rsidR="00151552" w:rsidRPr="00CC28EC">
        <w:rPr>
          <w:b/>
          <w:bCs/>
          <w:lang w:val="ro-RO"/>
        </w:rPr>
        <w:t xml:space="preserve"> </w:t>
      </w:r>
    </w:p>
    <w:p w14:paraId="714912FA" w14:textId="34DB0636" w:rsidR="00A75C9C" w:rsidRPr="00CC28EC" w:rsidRDefault="00703105" w:rsidP="00151552">
      <w:pPr>
        <w:jc w:val="both"/>
        <w:rPr>
          <w:i/>
          <w:iCs/>
          <w:lang w:val="ro-RO"/>
        </w:rPr>
      </w:pPr>
      <w:r w:rsidRPr="00CC28EC">
        <w:rPr>
          <w:i/>
          <w:iCs/>
          <w:lang w:val="ro-RO"/>
        </w:rPr>
        <w:t>Datoria publică în România a cunoscut în ultimii 2 ani o creștere spectaculoasă.Tot mai mulți an</w:t>
      </w:r>
      <w:r w:rsidR="00307018" w:rsidRPr="00CC28EC">
        <w:rPr>
          <w:i/>
          <w:iCs/>
          <w:lang w:val="ro-RO"/>
        </w:rPr>
        <w:t>al</w:t>
      </w:r>
      <w:r w:rsidRPr="00CC28EC">
        <w:rPr>
          <w:i/>
          <w:iCs/>
          <w:lang w:val="ro-RO"/>
        </w:rPr>
        <w:t>iști economici trag un semnal de alarmă și atenționează guvernul</w:t>
      </w:r>
      <w:r w:rsidR="00B549FA" w:rsidRPr="00CC28EC">
        <w:rPr>
          <w:i/>
          <w:iCs/>
          <w:lang w:val="ro-RO"/>
        </w:rPr>
        <w:t xml:space="preserve"> despre</w:t>
      </w:r>
      <w:r w:rsidRPr="00CC28EC">
        <w:rPr>
          <w:i/>
          <w:iCs/>
          <w:lang w:val="ro-RO"/>
        </w:rPr>
        <w:t xml:space="preserve"> efectel</w:t>
      </w:r>
      <w:r w:rsidR="00B549FA" w:rsidRPr="00CC28EC">
        <w:rPr>
          <w:i/>
          <w:iCs/>
          <w:lang w:val="ro-RO"/>
        </w:rPr>
        <w:t>e</w:t>
      </w:r>
      <w:r w:rsidRPr="00CC28EC">
        <w:rPr>
          <w:i/>
          <w:iCs/>
          <w:lang w:val="ro-RO"/>
        </w:rPr>
        <w:t xml:space="preserve"> periculoase ale acestui fenomen asupra economiei țării. </w:t>
      </w:r>
      <w:r w:rsidR="00151552" w:rsidRPr="00CC28EC">
        <w:rPr>
          <w:i/>
          <w:iCs/>
          <w:lang w:val="ro-RO"/>
        </w:rPr>
        <w:t xml:space="preserve"> </w:t>
      </w:r>
      <w:r w:rsidR="009C7FB1" w:rsidRPr="00CC28EC">
        <w:rPr>
          <w:i/>
          <w:iCs/>
          <w:lang w:val="ro-RO"/>
        </w:rPr>
        <w:t xml:space="preserve"> </w:t>
      </w:r>
      <w:r w:rsidR="00307018" w:rsidRPr="00CC28EC">
        <w:rPr>
          <w:i/>
          <w:iCs/>
          <w:lang w:val="ro-RO"/>
        </w:rPr>
        <w:t xml:space="preserve">Se va </w:t>
      </w:r>
      <w:r w:rsidR="00151552" w:rsidRPr="00CC28EC">
        <w:rPr>
          <w:i/>
          <w:iCs/>
          <w:lang w:val="ro-RO"/>
        </w:rPr>
        <w:t xml:space="preserve">analiza </w:t>
      </w:r>
      <w:r w:rsidR="00307018" w:rsidRPr="00CC28EC">
        <w:rPr>
          <w:i/>
          <w:iCs/>
          <w:lang w:val="ro-RO"/>
        </w:rPr>
        <w:t xml:space="preserve">evoluția </w:t>
      </w:r>
      <w:r w:rsidR="00151552" w:rsidRPr="00CC28EC">
        <w:rPr>
          <w:i/>
          <w:iCs/>
          <w:lang w:val="ro-RO"/>
        </w:rPr>
        <w:t xml:space="preserve">și structura </w:t>
      </w:r>
      <w:r w:rsidR="00307018" w:rsidRPr="00CC28EC">
        <w:rPr>
          <w:i/>
          <w:iCs/>
          <w:lang w:val="ro-RO"/>
        </w:rPr>
        <w:t>datoriei publice în perioada 2015-iunie 2021, cauzele acestei creșteri precum și consecințele asupra economiei românești</w:t>
      </w:r>
      <w:r w:rsidR="00E74335" w:rsidRPr="00CC28EC">
        <w:rPr>
          <w:i/>
          <w:iCs/>
          <w:lang w:val="ro-RO"/>
        </w:rPr>
        <w:t>.</w:t>
      </w:r>
      <w:r w:rsidR="00307018" w:rsidRPr="00CC28EC">
        <w:rPr>
          <w:i/>
          <w:iCs/>
          <w:lang w:val="ro-RO"/>
        </w:rPr>
        <w:t>În același timp vom studia comportamentul și deciziile conducerii statului care au dus la această evoluție</w:t>
      </w:r>
      <w:r w:rsidR="003C3671" w:rsidRPr="00CC28EC">
        <w:rPr>
          <w:i/>
          <w:iCs/>
          <w:lang w:val="ro-RO"/>
        </w:rPr>
        <w:t>.</w:t>
      </w:r>
      <w:r w:rsidR="00A75C9C" w:rsidRPr="00CC28EC">
        <w:rPr>
          <w:i/>
          <w:iCs/>
          <w:lang w:val="ro-RO"/>
        </w:rPr>
        <w:t xml:space="preserve">Lucrarea </w:t>
      </w:r>
      <w:r w:rsidR="00307018" w:rsidRPr="00CC28EC">
        <w:rPr>
          <w:i/>
          <w:iCs/>
          <w:lang w:val="ro-RO"/>
        </w:rPr>
        <w:t>cuprinde 5</w:t>
      </w:r>
      <w:r w:rsidR="00A75C9C" w:rsidRPr="00CC28EC">
        <w:rPr>
          <w:i/>
          <w:iCs/>
          <w:lang w:val="ro-RO"/>
        </w:rPr>
        <w:t xml:space="preserve"> capitole</w:t>
      </w:r>
      <w:r w:rsidR="00307018" w:rsidRPr="00CC28EC">
        <w:rPr>
          <w:i/>
          <w:iCs/>
          <w:lang w:val="ro-RO"/>
        </w:rPr>
        <w:t>.</w:t>
      </w:r>
      <w:r w:rsidR="009C7FB1" w:rsidRPr="00CC28EC">
        <w:rPr>
          <w:i/>
          <w:iCs/>
          <w:lang w:val="ro-RO"/>
        </w:rPr>
        <w:t xml:space="preserve"> </w:t>
      </w:r>
      <w:r w:rsidR="00A75C9C" w:rsidRPr="00CC28EC">
        <w:rPr>
          <w:i/>
          <w:iCs/>
          <w:lang w:val="ro-RO"/>
        </w:rPr>
        <w:t xml:space="preserve">Introducere, în care vom defini </w:t>
      </w:r>
      <w:r w:rsidR="00307018" w:rsidRPr="00CC28EC">
        <w:rPr>
          <w:i/>
          <w:iCs/>
          <w:lang w:val="ro-RO"/>
        </w:rPr>
        <w:t xml:space="preserve">datoria publică și contextul actual legat de acest aspect.Tot aici ne vom referi la motivația abordării acestei analize.Următorul capitol este </w:t>
      </w:r>
      <w:r w:rsidR="00A75C9C" w:rsidRPr="00CC28EC">
        <w:rPr>
          <w:i/>
          <w:iCs/>
          <w:lang w:val="ro-RO"/>
        </w:rPr>
        <w:t xml:space="preserve"> </w:t>
      </w:r>
      <w:r w:rsidR="00A75C9C" w:rsidRPr="00CC28EC">
        <w:rPr>
          <w:i/>
          <w:iCs/>
        </w:rPr>
        <w:t>Literature Review,</w:t>
      </w:r>
      <w:r w:rsidR="000A2741" w:rsidRPr="00CC28EC">
        <w:rPr>
          <w:i/>
          <w:iCs/>
        </w:rPr>
        <w:t xml:space="preserve"> </w:t>
      </w:r>
      <w:proofErr w:type="spellStart"/>
      <w:r w:rsidR="00893678" w:rsidRPr="00CC28EC">
        <w:rPr>
          <w:i/>
          <w:iCs/>
        </w:rPr>
        <w:t>în</w:t>
      </w:r>
      <w:proofErr w:type="spellEnd"/>
      <w:r w:rsidR="00893678" w:rsidRPr="00CC28EC">
        <w:rPr>
          <w:i/>
          <w:iCs/>
        </w:rPr>
        <w:t xml:space="preserve"> care </w:t>
      </w:r>
      <w:proofErr w:type="spellStart"/>
      <w:r w:rsidR="00893678" w:rsidRPr="00CC28EC">
        <w:rPr>
          <w:i/>
          <w:iCs/>
        </w:rPr>
        <w:t>vom</w:t>
      </w:r>
      <w:proofErr w:type="spellEnd"/>
      <w:r w:rsidR="00893678" w:rsidRPr="00CC28EC">
        <w:rPr>
          <w:i/>
          <w:iCs/>
        </w:rPr>
        <w:t xml:space="preserve"> </w:t>
      </w:r>
      <w:proofErr w:type="spellStart"/>
      <w:r w:rsidR="00893678" w:rsidRPr="00CC28EC">
        <w:rPr>
          <w:i/>
          <w:iCs/>
        </w:rPr>
        <w:t>prezenta</w:t>
      </w:r>
      <w:proofErr w:type="spellEnd"/>
      <w:r w:rsidR="00893678" w:rsidRPr="00CC28EC">
        <w:rPr>
          <w:i/>
          <w:iCs/>
        </w:rPr>
        <w:t xml:space="preserve"> </w:t>
      </w:r>
      <w:proofErr w:type="spellStart"/>
      <w:r w:rsidR="00893678" w:rsidRPr="00CC28EC">
        <w:rPr>
          <w:i/>
          <w:iCs/>
        </w:rPr>
        <w:t>studii</w:t>
      </w:r>
      <w:proofErr w:type="spellEnd"/>
      <w:r w:rsidR="00893678" w:rsidRPr="00CC28EC">
        <w:rPr>
          <w:i/>
          <w:iCs/>
        </w:rPr>
        <w:t xml:space="preserve"> </w:t>
      </w:r>
      <w:proofErr w:type="spellStart"/>
      <w:r w:rsidR="00307018" w:rsidRPr="00CC28EC">
        <w:rPr>
          <w:i/>
          <w:iCs/>
        </w:rPr>
        <w:t>recente</w:t>
      </w:r>
      <w:proofErr w:type="spellEnd"/>
      <w:r w:rsidR="00307018" w:rsidRPr="00CC28EC">
        <w:rPr>
          <w:i/>
          <w:iCs/>
        </w:rPr>
        <w:t xml:space="preserve"> </w:t>
      </w:r>
      <w:proofErr w:type="spellStart"/>
      <w:r w:rsidR="00893678" w:rsidRPr="00CC28EC">
        <w:rPr>
          <w:i/>
          <w:iCs/>
        </w:rPr>
        <w:t>referitoare</w:t>
      </w:r>
      <w:proofErr w:type="spellEnd"/>
      <w:r w:rsidR="00893678" w:rsidRPr="00CC28EC">
        <w:rPr>
          <w:i/>
          <w:iCs/>
        </w:rPr>
        <w:t xml:space="preserve"> la </w:t>
      </w:r>
      <w:proofErr w:type="spellStart"/>
      <w:r w:rsidR="00307018" w:rsidRPr="00CC28EC">
        <w:rPr>
          <w:i/>
          <w:iCs/>
        </w:rPr>
        <w:t>datoria</w:t>
      </w:r>
      <w:proofErr w:type="spellEnd"/>
      <w:r w:rsidR="00307018" w:rsidRPr="00CC28EC">
        <w:rPr>
          <w:i/>
          <w:iCs/>
        </w:rPr>
        <w:t xml:space="preserve"> </w:t>
      </w:r>
      <w:proofErr w:type="spellStart"/>
      <w:r w:rsidR="00307018" w:rsidRPr="00CC28EC">
        <w:rPr>
          <w:i/>
          <w:iCs/>
        </w:rPr>
        <w:t>publică</w:t>
      </w:r>
      <w:proofErr w:type="spellEnd"/>
      <w:r w:rsidR="00307018" w:rsidRPr="00CC28EC">
        <w:rPr>
          <w:i/>
          <w:iCs/>
        </w:rPr>
        <w:t xml:space="preserve"> </w:t>
      </w:r>
      <w:proofErr w:type="spellStart"/>
      <w:r w:rsidR="00307018" w:rsidRPr="00CC28EC">
        <w:rPr>
          <w:i/>
          <w:iCs/>
        </w:rPr>
        <w:t>în</w:t>
      </w:r>
      <w:proofErr w:type="spellEnd"/>
      <w:r w:rsidR="00307018" w:rsidRPr="00CC28EC">
        <w:rPr>
          <w:i/>
          <w:iCs/>
        </w:rPr>
        <w:t xml:space="preserve"> general </w:t>
      </w:r>
      <w:proofErr w:type="spellStart"/>
      <w:r w:rsidR="00307018" w:rsidRPr="00CC28EC">
        <w:rPr>
          <w:i/>
          <w:iCs/>
        </w:rPr>
        <w:t>și</w:t>
      </w:r>
      <w:proofErr w:type="spellEnd"/>
      <w:r w:rsidR="00307018" w:rsidRPr="00CC28EC">
        <w:rPr>
          <w:i/>
          <w:iCs/>
        </w:rPr>
        <w:t xml:space="preserve"> la </w:t>
      </w:r>
      <w:proofErr w:type="spellStart"/>
      <w:r w:rsidR="00307018" w:rsidRPr="00CC28EC">
        <w:rPr>
          <w:i/>
          <w:iCs/>
        </w:rPr>
        <w:t>datoria</w:t>
      </w:r>
      <w:proofErr w:type="spellEnd"/>
      <w:r w:rsidR="00307018" w:rsidRPr="00CC28EC">
        <w:rPr>
          <w:i/>
          <w:iCs/>
        </w:rPr>
        <w:t xml:space="preserve"> </w:t>
      </w:r>
      <w:proofErr w:type="spellStart"/>
      <w:r w:rsidR="00307018" w:rsidRPr="00CC28EC">
        <w:rPr>
          <w:i/>
          <w:iCs/>
        </w:rPr>
        <w:t>publică</w:t>
      </w:r>
      <w:proofErr w:type="spellEnd"/>
      <w:r w:rsidR="00307018" w:rsidRPr="00CC28EC">
        <w:rPr>
          <w:i/>
          <w:iCs/>
        </w:rPr>
        <w:t xml:space="preserve"> </w:t>
      </w:r>
      <w:proofErr w:type="spellStart"/>
      <w:r w:rsidR="00307018" w:rsidRPr="00CC28EC">
        <w:rPr>
          <w:i/>
          <w:iCs/>
        </w:rPr>
        <w:t>în</w:t>
      </w:r>
      <w:proofErr w:type="spellEnd"/>
      <w:r w:rsidR="00307018" w:rsidRPr="00CC28EC">
        <w:rPr>
          <w:i/>
          <w:iCs/>
        </w:rPr>
        <w:t xml:space="preserve"> </w:t>
      </w:r>
      <w:proofErr w:type="spellStart"/>
      <w:r w:rsidR="00307018" w:rsidRPr="00CC28EC">
        <w:rPr>
          <w:i/>
          <w:iCs/>
        </w:rPr>
        <w:t>România</w:t>
      </w:r>
      <w:proofErr w:type="spellEnd"/>
      <w:r w:rsidR="00307018" w:rsidRPr="00CC28EC">
        <w:rPr>
          <w:i/>
          <w:iCs/>
        </w:rPr>
        <w:t>.</w:t>
      </w:r>
      <w:r w:rsidR="00A75C9C" w:rsidRPr="00CC28EC">
        <w:rPr>
          <w:i/>
          <w:iCs/>
        </w:rPr>
        <w:t xml:space="preserve"> </w:t>
      </w:r>
      <w:r w:rsidR="003C3671" w:rsidRPr="00CC28EC">
        <w:rPr>
          <w:i/>
          <w:iCs/>
        </w:rPr>
        <w:t xml:space="preserve">Legal stipulations regarding public debt in </w:t>
      </w:r>
      <w:proofErr w:type="spellStart"/>
      <w:r w:rsidR="00501252" w:rsidRPr="00CC28EC">
        <w:rPr>
          <w:i/>
          <w:iCs/>
        </w:rPr>
        <w:t>România</w:t>
      </w:r>
      <w:proofErr w:type="spellEnd"/>
      <w:r w:rsidR="00501252" w:rsidRPr="00CC28EC">
        <w:rPr>
          <w:i/>
          <w:iCs/>
        </w:rPr>
        <w:t xml:space="preserve"> </w:t>
      </w:r>
      <w:proofErr w:type="spellStart"/>
      <w:r w:rsidR="00501252" w:rsidRPr="00CC28EC">
        <w:rPr>
          <w:i/>
          <w:iCs/>
        </w:rPr>
        <w:t>este</w:t>
      </w:r>
      <w:proofErr w:type="spellEnd"/>
      <w:r w:rsidR="00501252" w:rsidRPr="00CC28EC">
        <w:rPr>
          <w:i/>
          <w:iCs/>
        </w:rPr>
        <w:t xml:space="preserve"> un capitol</w:t>
      </w:r>
      <w:r w:rsidR="00893678" w:rsidRPr="00CC28EC">
        <w:rPr>
          <w:i/>
          <w:iCs/>
        </w:rPr>
        <w:t xml:space="preserve"> </w:t>
      </w:r>
      <w:proofErr w:type="spellStart"/>
      <w:r w:rsidR="00893678" w:rsidRPr="00CC28EC">
        <w:rPr>
          <w:i/>
          <w:iCs/>
        </w:rPr>
        <w:t>în</w:t>
      </w:r>
      <w:proofErr w:type="spellEnd"/>
      <w:r w:rsidR="00893678" w:rsidRPr="00CC28EC">
        <w:rPr>
          <w:i/>
          <w:iCs/>
        </w:rPr>
        <w:t xml:space="preserve"> care se </w:t>
      </w:r>
      <w:proofErr w:type="spellStart"/>
      <w:r w:rsidR="00893678" w:rsidRPr="00CC28EC">
        <w:rPr>
          <w:i/>
          <w:iCs/>
        </w:rPr>
        <w:t>v</w:t>
      </w:r>
      <w:r w:rsidR="00501252" w:rsidRPr="00CC28EC">
        <w:rPr>
          <w:i/>
          <w:iCs/>
        </w:rPr>
        <w:t>or</w:t>
      </w:r>
      <w:proofErr w:type="spellEnd"/>
      <w:r w:rsidR="00501252" w:rsidRPr="00CC28EC">
        <w:rPr>
          <w:i/>
          <w:iCs/>
        </w:rPr>
        <w:t xml:space="preserve"> </w:t>
      </w:r>
      <w:proofErr w:type="spellStart"/>
      <w:r w:rsidR="00501252" w:rsidRPr="00CC28EC">
        <w:rPr>
          <w:i/>
          <w:iCs/>
        </w:rPr>
        <w:t>prezenta</w:t>
      </w:r>
      <w:proofErr w:type="spellEnd"/>
      <w:r w:rsidR="00501252" w:rsidRPr="00CC28EC">
        <w:rPr>
          <w:i/>
          <w:iCs/>
        </w:rPr>
        <w:t xml:space="preserve"> </w:t>
      </w:r>
      <w:proofErr w:type="spellStart"/>
      <w:r w:rsidR="00501252" w:rsidRPr="00CC28EC">
        <w:rPr>
          <w:i/>
          <w:iCs/>
        </w:rPr>
        <w:t>principale</w:t>
      </w:r>
      <w:proofErr w:type="spellEnd"/>
      <w:r w:rsidR="00501252" w:rsidRPr="00CC28EC">
        <w:rPr>
          <w:i/>
          <w:iCs/>
        </w:rPr>
        <w:t xml:space="preserve"> </w:t>
      </w:r>
      <w:proofErr w:type="spellStart"/>
      <w:r w:rsidR="00501252" w:rsidRPr="00CC28EC">
        <w:rPr>
          <w:i/>
          <w:iCs/>
        </w:rPr>
        <w:t>acte</w:t>
      </w:r>
      <w:proofErr w:type="spellEnd"/>
      <w:r w:rsidR="00501252" w:rsidRPr="00CC28EC">
        <w:rPr>
          <w:i/>
          <w:iCs/>
        </w:rPr>
        <w:t xml:space="preserve"> normative </w:t>
      </w:r>
      <w:proofErr w:type="spellStart"/>
      <w:r w:rsidR="00501252" w:rsidRPr="00CC28EC">
        <w:rPr>
          <w:i/>
          <w:iCs/>
        </w:rPr>
        <w:t>referitoare</w:t>
      </w:r>
      <w:proofErr w:type="spellEnd"/>
      <w:r w:rsidR="00501252" w:rsidRPr="00CC28EC">
        <w:rPr>
          <w:i/>
          <w:iCs/>
        </w:rPr>
        <w:t xml:space="preserve"> la </w:t>
      </w:r>
      <w:proofErr w:type="spellStart"/>
      <w:r w:rsidR="00501252" w:rsidRPr="00CC28EC">
        <w:rPr>
          <w:i/>
          <w:iCs/>
        </w:rPr>
        <w:t>acest</w:t>
      </w:r>
      <w:proofErr w:type="spellEnd"/>
      <w:r w:rsidR="00501252" w:rsidRPr="00CC28EC">
        <w:rPr>
          <w:i/>
          <w:iCs/>
        </w:rPr>
        <w:t xml:space="preserve"> aspect. </w:t>
      </w:r>
      <w:proofErr w:type="spellStart"/>
      <w:r w:rsidR="00501252" w:rsidRPr="00CC28EC">
        <w:rPr>
          <w:i/>
          <w:iCs/>
        </w:rPr>
        <w:t>În</w:t>
      </w:r>
      <w:proofErr w:type="spellEnd"/>
      <w:r w:rsidR="000A2741" w:rsidRPr="00CC28EC">
        <w:rPr>
          <w:i/>
          <w:iCs/>
        </w:rPr>
        <w:t xml:space="preserve"> </w:t>
      </w:r>
      <w:r w:rsidR="004D1D1D" w:rsidRPr="00CC28EC">
        <w:rPr>
          <w:i/>
          <w:iCs/>
        </w:rPr>
        <w:t>D</w:t>
      </w:r>
      <w:r w:rsidR="00A75C9C" w:rsidRPr="00CC28EC">
        <w:rPr>
          <w:i/>
          <w:iCs/>
        </w:rPr>
        <w:t xml:space="preserve">atabase </w:t>
      </w:r>
      <w:r w:rsidR="00501252" w:rsidRPr="00CC28EC">
        <w:rPr>
          <w:i/>
          <w:iCs/>
        </w:rPr>
        <w:t>and</w:t>
      </w:r>
      <w:r w:rsidR="00A75C9C" w:rsidRPr="00CC28EC">
        <w:rPr>
          <w:i/>
          <w:iCs/>
        </w:rPr>
        <w:t xml:space="preserve"> </w:t>
      </w:r>
      <w:r w:rsidR="004D1D1D" w:rsidRPr="00CC28EC">
        <w:rPr>
          <w:i/>
          <w:iCs/>
        </w:rPr>
        <w:t>a</w:t>
      </w:r>
      <w:r w:rsidR="00A75C9C" w:rsidRPr="00CC28EC">
        <w:rPr>
          <w:i/>
          <w:iCs/>
        </w:rPr>
        <w:t>nalysis,</w:t>
      </w:r>
      <w:r w:rsidR="00501252" w:rsidRPr="00CC28EC">
        <w:rPr>
          <w:i/>
          <w:iCs/>
        </w:rPr>
        <w:t xml:space="preserve"> </w:t>
      </w:r>
      <w:r w:rsidR="000A2741" w:rsidRPr="00CC28EC">
        <w:rPr>
          <w:i/>
          <w:iCs/>
        </w:rPr>
        <w:t xml:space="preserve">se </w:t>
      </w:r>
      <w:proofErr w:type="spellStart"/>
      <w:r w:rsidR="000A2741" w:rsidRPr="00CC28EC">
        <w:rPr>
          <w:i/>
          <w:iCs/>
        </w:rPr>
        <w:t>va</w:t>
      </w:r>
      <w:proofErr w:type="spellEnd"/>
      <w:r w:rsidR="000A2741" w:rsidRPr="00CC28EC">
        <w:rPr>
          <w:i/>
          <w:iCs/>
        </w:rPr>
        <w:t xml:space="preserve"> </w:t>
      </w:r>
      <w:proofErr w:type="spellStart"/>
      <w:r w:rsidR="000A2741" w:rsidRPr="00CC28EC">
        <w:rPr>
          <w:i/>
          <w:iCs/>
        </w:rPr>
        <w:t>prezenta</w:t>
      </w:r>
      <w:proofErr w:type="spellEnd"/>
      <w:r w:rsidR="000A2741" w:rsidRPr="00CC28EC">
        <w:rPr>
          <w:i/>
          <w:iCs/>
        </w:rPr>
        <w:t xml:space="preserve"> </w:t>
      </w:r>
      <w:proofErr w:type="spellStart"/>
      <w:r w:rsidR="000A2741" w:rsidRPr="00CC28EC">
        <w:rPr>
          <w:i/>
          <w:iCs/>
        </w:rPr>
        <w:t>în</w:t>
      </w:r>
      <w:proofErr w:type="spellEnd"/>
      <w:r w:rsidR="000A2741" w:rsidRPr="00CC28EC">
        <w:rPr>
          <w:i/>
          <w:iCs/>
        </w:rPr>
        <w:t xml:space="preserve"> </w:t>
      </w:r>
      <w:proofErr w:type="spellStart"/>
      <w:r w:rsidR="000A2741" w:rsidRPr="00CC28EC">
        <w:rPr>
          <w:i/>
          <w:iCs/>
        </w:rPr>
        <w:t>cifre</w:t>
      </w:r>
      <w:proofErr w:type="spellEnd"/>
      <w:r w:rsidR="000A2741" w:rsidRPr="00CC28EC">
        <w:rPr>
          <w:i/>
          <w:iCs/>
        </w:rPr>
        <w:t xml:space="preserve"> </w:t>
      </w:r>
      <w:proofErr w:type="spellStart"/>
      <w:r w:rsidR="000A2741" w:rsidRPr="00CC28EC">
        <w:rPr>
          <w:i/>
          <w:iCs/>
        </w:rPr>
        <w:t>evoluția</w:t>
      </w:r>
      <w:proofErr w:type="spellEnd"/>
      <w:r w:rsidR="00B824C3" w:rsidRPr="00CC28EC">
        <w:rPr>
          <w:i/>
          <w:iCs/>
        </w:rPr>
        <w:t xml:space="preserve"> </w:t>
      </w:r>
      <w:r w:rsidR="00B824C3" w:rsidRPr="00CC28EC">
        <w:rPr>
          <w:i/>
          <w:iCs/>
          <w:lang w:val="ro-RO"/>
        </w:rPr>
        <w:t>și structura datoriei publice</w:t>
      </w:r>
      <w:r w:rsidR="000A2741" w:rsidRPr="00CC28EC">
        <w:rPr>
          <w:i/>
          <w:iCs/>
        </w:rPr>
        <w:t xml:space="preserve"> </w:t>
      </w:r>
      <w:proofErr w:type="spellStart"/>
      <w:r w:rsidR="000A2741" w:rsidRPr="00CC28EC">
        <w:rPr>
          <w:i/>
          <w:iCs/>
        </w:rPr>
        <w:t>în</w:t>
      </w:r>
      <w:proofErr w:type="spellEnd"/>
      <w:r w:rsidR="000A2741" w:rsidRPr="00CC28EC">
        <w:rPr>
          <w:i/>
          <w:iCs/>
        </w:rPr>
        <w:t xml:space="preserve"> </w:t>
      </w:r>
      <w:proofErr w:type="spellStart"/>
      <w:r w:rsidR="000A2741" w:rsidRPr="00CC28EC">
        <w:rPr>
          <w:i/>
          <w:iCs/>
        </w:rPr>
        <w:t>perioada</w:t>
      </w:r>
      <w:proofErr w:type="spellEnd"/>
      <w:r w:rsidR="000A2741" w:rsidRPr="00CC28EC">
        <w:rPr>
          <w:i/>
          <w:iCs/>
        </w:rPr>
        <w:t xml:space="preserve"> 2015-2</w:t>
      </w:r>
      <w:r w:rsidR="00B824C3" w:rsidRPr="00CC28EC">
        <w:rPr>
          <w:i/>
          <w:iCs/>
        </w:rPr>
        <w:t>021</w:t>
      </w:r>
      <w:r w:rsidR="00501252" w:rsidRPr="00CC28EC">
        <w:rPr>
          <w:i/>
          <w:iCs/>
        </w:rPr>
        <w:t xml:space="preserve">precum </w:t>
      </w:r>
      <w:proofErr w:type="spellStart"/>
      <w:r w:rsidR="00501252" w:rsidRPr="00CC28EC">
        <w:rPr>
          <w:i/>
          <w:iCs/>
        </w:rPr>
        <w:t>și</w:t>
      </w:r>
      <w:proofErr w:type="spellEnd"/>
      <w:r w:rsidR="00501252" w:rsidRPr="00CC28EC">
        <w:rPr>
          <w:i/>
          <w:iCs/>
        </w:rPr>
        <w:t xml:space="preserve"> </w:t>
      </w:r>
      <w:proofErr w:type="spellStart"/>
      <w:r w:rsidR="00501252" w:rsidRPr="00CC28EC">
        <w:rPr>
          <w:i/>
          <w:iCs/>
        </w:rPr>
        <w:t>alte</w:t>
      </w:r>
      <w:proofErr w:type="spellEnd"/>
      <w:r w:rsidR="00501252" w:rsidRPr="00CC28EC">
        <w:rPr>
          <w:i/>
          <w:iCs/>
        </w:rPr>
        <w:t xml:space="preserve"> </w:t>
      </w:r>
      <w:proofErr w:type="spellStart"/>
      <w:r w:rsidR="00501252" w:rsidRPr="00CC28EC">
        <w:rPr>
          <w:i/>
          <w:iCs/>
        </w:rPr>
        <w:t>aspecte</w:t>
      </w:r>
      <w:proofErr w:type="spellEnd"/>
      <w:r w:rsidR="00501252" w:rsidRPr="00CC28EC">
        <w:rPr>
          <w:i/>
          <w:iCs/>
        </w:rPr>
        <w:t xml:space="preserve"> </w:t>
      </w:r>
      <w:proofErr w:type="spellStart"/>
      <w:r w:rsidR="00501252" w:rsidRPr="00CC28EC">
        <w:rPr>
          <w:i/>
          <w:iCs/>
        </w:rPr>
        <w:t>referitoare</w:t>
      </w:r>
      <w:proofErr w:type="spellEnd"/>
      <w:r w:rsidR="00501252" w:rsidRPr="00CC28EC">
        <w:rPr>
          <w:i/>
          <w:iCs/>
        </w:rPr>
        <w:t xml:space="preserve"> la </w:t>
      </w:r>
      <w:proofErr w:type="spellStart"/>
      <w:r w:rsidR="00501252" w:rsidRPr="00CC28EC">
        <w:rPr>
          <w:i/>
          <w:iCs/>
        </w:rPr>
        <w:t>costul</w:t>
      </w:r>
      <w:proofErr w:type="spellEnd"/>
      <w:r w:rsidR="00501252" w:rsidRPr="00CC28EC">
        <w:rPr>
          <w:i/>
          <w:iCs/>
        </w:rPr>
        <w:t xml:space="preserve"> </w:t>
      </w:r>
      <w:proofErr w:type="spellStart"/>
      <w:r w:rsidR="00501252" w:rsidRPr="00CC28EC">
        <w:rPr>
          <w:i/>
          <w:iCs/>
        </w:rPr>
        <w:t>datoriei</w:t>
      </w:r>
      <w:proofErr w:type="spellEnd"/>
      <w:r w:rsidR="00501252" w:rsidRPr="00CC28EC">
        <w:rPr>
          <w:i/>
          <w:iCs/>
        </w:rPr>
        <w:t xml:space="preserve"> </w:t>
      </w:r>
      <w:proofErr w:type="spellStart"/>
      <w:r w:rsidR="00501252" w:rsidRPr="00CC28EC">
        <w:rPr>
          <w:i/>
          <w:iCs/>
        </w:rPr>
        <w:t>publice</w:t>
      </w:r>
      <w:proofErr w:type="spellEnd"/>
      <w:r w:rsidR="00501252" w:rsidRPr="00CC28EC">
        <w:rPr>
          <w:i/>
          <w:iCs/>
        </w:rPr>
        <w:t xml:space="preserve"> </w:t>
      </w:r>
      <w:proofErr w:type="spellStart"/>
      <w:r w:rsidR="00501252" w:rsidRPr="00CC28EC">
        <w:rPr>
          <w:i/>
          <w:iCs/>
        </w:rPr>
        <w:t>și</w:t>
      </w:r>
      <w:proofErr w:type="spellEnd"/>
      <w:r w:rsidR="00501252" w:rsidRPr="00CC28EC">
        <w:rPr>
          <w:i/>
          <w:iCs/>
        </w:rPr>
        <w:t xml:space="preserve"> </w:t>
      </w:r>
      <w:proofErr w:type="spellStart"/>
      <w:r w:rsidR="00501252" w:rsidRPr="00CC28EC">
        <w:rPr>
          <w:i/>
          <w:iCs/>
        </w:rPr>
        <w:t>ratingul</w:t>
      </w:r>
      <w:proofErr w:type="spellEnd"/>
      <w:r w:rsidR="00501252" w:rsidRPr="00CC28EC">
        <w:rPr>
          <w:i/>
          <w:iCs/>
        </w:rPr>
        <w:t xml:space="preserve"> </w:t>
      </w:r>
      <w:proofErr w:type="spellStart"/>
      <w:r w:rsidR="00501252" w:rsidRPr="00CC28EC">
        <w:rPr>
          <w:i/>
          <w:iCs/>
        </w:rPr>
        <w:t>suveran</w:t>
      </w:r>
      <w:proofErr w:type="spellEnd"/>
      <w:r w:rsidR="000D5BFE" w:rsidRPr="00CC28EC">
        <w:rPr>
          <w:i/>
          <w:iCs/>
        </w:rPr>
        <w:t>.</w:t>
      </w:r>
      <w:r w:rsidR="00C16CAE" w:rsidRPr="00CC28EC">
        <w:rPr>
          <w:i/>
          <w:iCs/>
          <w:lang w:val="ro-RO"/>
        </w:rPr>
        <w:t xml:space="preserve"> </w:t>
      </w:r>
      <w:proofErr w:type="spellStart"/>
      <w:r w:rsidR="00E97E8A" w:rsidRPr="00CC28EC">
        <w:rPr>
          <w:i/>
          <w:iCs/>
        </w:rPr>
        <w:t>Lucrarea</w:t>
      </w:r>
      <w:proofErr w:type="spellEnd"/>
      <w:r w:rsidR="00E84B20" w:rsidRPr="00CC28EC">
        <w:rPr>
          <w:i/>
          <w:iCs/>
        </w:rPr>
        <w:t xml:space="preserve"> </w:t>
      </w:r>
      <w:r w:rsidR="00E97E8A" w:rsidRPr="00CC28EC">
        <w:rPr>
          <w:i/>
          <w:iCs/>
        </w:rPr>
        <w:t xml:space="preserve">are la </w:t>
      </w:r>
      <w:proofErr w:type="spellStart"/>
      <w:r w:rsidR="00E97E8A" w:rsidRPr="00CC28EC">
        <w:rPr>
          <w:i/>
          <w:iCs/>
        </w:rPr>
        <w:t>bază</w:t>
      </w:r>
      <w:proofErr w:type="spellEnd"/>
      <w:r w:rsidR="00E97E8A" w:rsidRPr="00CC28EC">
        <w:rPr>
          <w:i/>
          <w:iCs/>
        </w:rPr>
        <w:t xml:space="preserve"> </w:t>
      </w:r>
      <w:proofErr w:type="spellStart"/>
      <w:r w:rsidR="00E84B20" w:rsidRPr="00CC28EC">
        <w:rPr>
          <w:i/>
          <w:iCs/>
        </w:rPr>
        <w:t>datel</w:t>
      </w:r>
      <w:r w:rsidR="00E97E8A" w:rsidRPr="00CC28EC">
        <w:rPr>
          <w:i/>
          <w:iCs/>
        </w:rPr>
        <w:t>e</w:t>
      </w:r>
      <w:proofErr w:type="spellEnd"/>
      <w:r w:rsidR="00E97E8A" w:rsidRPr="00CC28EC">
        <w:rPr>
          <w:i/>
          <w:iCs/>
        </w:rPr>
        <w:t xml:space="preserve"> </w:t>
      </w:r>
      <w:proofErr w:type="spellStart"/>
      <w:r w:rsidR="00E97E8A" w:rsidRPr="00CC28EC">
        <w:rPr>
          <w:i/>
          <w:iCs/>
        </w:rPr>
        <w:t>furnizate</w:t>
      </w:r>
      <w:proofErr w:type="spellEnd"/>
      <w:r w:rsidR="00E97E8A" w:rsidRPr="00CC28EC">
        <w:rPr>
          <w:i/>
          <w:iCs/>
        </w:rPr>
        <w:t xml:space="preserve"> </w:t>
      </w:r>
      <w:r w:rsidR="00E84B20" w:rsidRPr="00CC28EC">
        <w:rPr>
          <w:i/>
          <w:iCs/>
        </w:rPr>
        <w:t xml:space="preserve">de </w:t>
      </w:r>
      <w:proofErr w:type="spellStart"/>
      <w:r w:rsidR="00E84B20" w:rsidRPr="00CC28EC">
        <w:rPr>
          <w:i/>
          <w:iCs/>
        </w:rPr>
        <w:t>Ministerul</w:t>
      </w:r>
      <w:proofErr w:type="spellEnd"/>
      <w:r w:rsidR="00E84B20" w:rsidRPr="00CC28EC">
        <w:rPr>
          <w:i/>
          <w:iCs/>
        </w:rPr>
        <w:t xml:space="preserve"> </w:t>
      </w:r>
      <w:proofErr w:type="spellStart"/>
      <w:r w:rsidR="00E84B20" w:rsidRPr="00CC28EC">
        <w:rPr>
          <w:i/>
          <w:iCs/>
        </w:rPr>
        <w:t>Finanțelor</w:t>
      </w:r>
      <w:proofErr w:type="spellEnd"/>
      <w:r w:rsidR="00E84B20" w:rsidRPr="00CC28EC">
        <w:rPr>
          <w:i/>
          <w:iCs/>
        </w:rPr>
        <w:t xml:space="preserve"> </w:t>
      </w:r>
      <w:proofErr w:type="spellStart"/>
      <w:r w:rsidR="00E84B20" w:rsidRPr="00CC28EC">
        <w:rPr>
          <w:i/>
          <w:iCs/>
        </w:rPr>
        <w:t>Publice</w:t>
      </w:r>
      <w:proofErr w:type="spellEnd"/>
      <w:r w:rsidR="00E84B20" w:rsidRPr="00CC28EC">
        <w:rPr>
          <w:i/>
          <w:iCs/>
        </w:rPr>
        <w:t xml:space="preserve"> </w:t>
      </w:r>
      <w:proofErr w:type="spellStart"/>
      <w:r w:rsidR="00E84B20" w:rsidRPr="00CC28EC">
        <w:rPr>
          <w:i/>
          <w:iCs/>
        </w:rPr>
        <w:t>și</w:t>
      </w:r>
      <w:proofErr w:type="spellEnd"/>
      <w:r w:rsidR="00E97E8A" w:rsidRPr="00CC28EC">
        <w:rPr>
          <w:i/>
          <w:iCs/>
        </w:rPr>
        <w:t xml:space="preserve"> Banca </w:t>
      </w:r>
      <w:proofErr w:type="spellStart"/>
      <w:r w:rsidR="00E97E8A" w:rsidRPr="00CC28EC">
        <w:rPr>
          <w:i/>
          <w:iCs/>
        </w:rPr>
        <w:t>Națională</w:t>
      </w:r>
      <w:proofErr w:type="spellEnd"/>
      <w:r w:rsidR="00E97E8A" w:rsidRPr="00CC28EC">
        <w:rPr>
          <w:i/>
          <w:iCs/>
        </w:rPr>
        <w:t xml:space="preserve"> a </w:t>
      </w:r>
      <w:proofErr w:type="spellStart"/>
      <w:r w:rsidR="00E97E8A" w:rsidRPr="00CC28EC">
        <w:rPr>
          <w:i/>
          <w:iCs/>
        </w:rPr>
        <w:t>României</w:t>
      </w:r>
      <w:proofErr w:type="spellEnd"/>
      <w:r w:rsidR="00E84B20" w:rsidRPr="00CC28EC">
        <w:rPr>
          <w:i/>
          <w:iCs/>
        </w:rPr>
        <w:t xml:space="preserve"> </w:t>
      </w:r>
      <w:r w:rsidR="00E97E8A" w:rsidRPr="00CC28EC">
        <w:rPr>
          <w:i/>
          <w:iCs/>
        </w:rPr>
        <w:t xml:space="preserve">precum </w:t>
      </w:r>
      <w:proofErr w:type="spellStart"/>
      <w:r w:rsidR="00E97E8A" w:rsidRPr="00CC28EC">
        <w:rPr>
          <w:i/>
          <w:iCs/>
        </w:rPr>
        <w:t>și</w:t>
      </w:r>
      <w:proofErr w:type="spellEnd"/>
      <w:r w:rsidR="00E84B20" w:rsidRPr="00CC28EC">
        <w:rPr>
          <w:i/>
          <w:iCs/>
        </w:rPr>
        <w:t xml:space="preserve"> </w:t>
      </w:r>
      <w:proofErr w:type="spellStart"/>
      <w:r w:rsidR="00E84B20" w:rsidRPr="00CC28EC">
        <w:rPr>
          <w:i/>
          <w:iCs/>
        </w:rPr>
        <w:t>legislației</w:t>
      </w:r>
      <w:proofErr w:type="spellEnd"/>
      <w:r w:rsidR="00E84B20" w:rsidRPr="00CC28EC">
        <w:rPr>
          <w:i/>
          <w:iCs/>
        </w:rPr>
        <w:t xml:space="preserve"> </w:t>
      </w:r>
      <w:proofErr w:type="spellStart"/>
      <w:r w:rsidR="00E84B20" w:rsidRPr="00CC28EC">
        <w:rPr>
          <w:i/>
          <w:iCs/>
        </w:rPr>
        <w:t>fiscal</w:t>
      </w:r>
      <w:r w:rsidR="00E97E8A" w:rsidRPr="00CC28EC">
        <w:rPr>
          <w:i/>
          <w:iCs/>
        </w:rPr>
        <w:t>ă</w:t>
      </w:r>
      <w:proofErr w:type="spellEnd"/>
      <w:r w:rsidR="00E84B20" w:rsidRPr="00CC28EC">
        <w:rPr>
          <w:i/>
          <w:iCs/>
        </w:rPr>
        <w:t xml:space="preserve"> </w:t>
      </w:r>
      <w:proofErr w:type="spellStart"/>
      <w:r w:rsidR="00E84B20" w:rsidRPr="00CC28EC">
        <w:rPr>
          <w:i/>
          <w:iCs/>
        </w:rPr>
        <w:t>relevant</w:t>
      </w:r>
      <w:r w:rsidR="00E97E8A" w:rsidRPr="00CC28EC">
        <w:rPr>
          <w:i/>
          <w:iCs/>
        </w:rPr>
        <w:t>ă</w:t>
      </w:r>
      <w:proofErr w:type="spellEnd"/>
      <w:r w:rsidR="00E84B20" w:rsidRPr="00CC28EC">
        <w:rPr>
          <w:i/>
          <w:iCs/>
        </w:rPr>
        <w:t xml:space="preserve"> din </w:t>
      </w:r>
      <w:proofErr w:type="spellStart"/>
      <w:r w:rsidR="00E84B20" w:rsidRPr="00CC28EC">
        <w:rPr>
          <w:i/>
          <w:iCs/>
        </w:rPr>
        <w:t>România</w:t>
      </w:r>
      <w:proofErr w:type="spellEnd"/>
      <w:r w:rsidR="00E84B20" w:rsidRPr="00CC28EC">
        <w:rPr>
          <w:i/>
          <w:iCs/>
        </w:rPr>
        <w:t>.</w:t>
      </w:r>
      <w:r w:rsidR="00C16CAE" w:rsidRPr="00CC28EC">
        <w:rPr>
          <w:i/>
          <w:iCs/>
          <w:lang w:val="ro-RO"/>
        </w:rPr>
        <w:t xml:space="preserve"> </w:t>
      </w:r>
      <w:r w:rsidR="00E97E8A" w:rsidRPr="00CC28EC">
        <w:rPr>
          <w:i/>
          <w:iCs/>
          <w:lang w:val="ro-RO"/>
        </w:rPr>
        <w:t>S-au efectuat calcule și corelații proprii pe baza acestor informații. Concluzi</w:t>
      </w:r>
      <w:r w:rsidR="00501252" w:rsidRPr="00CC28EC">
        <w:rPr>
          <w:i/>
          <w:iCs/>
          <w:lang w:val="ro-RO"/>
        </w:rPr>
        <w:t xml:space="preserve">ile din ultimul capitol sunt </w:t>
      </w:r>
      <w:r w:rsidR="00E97E8A" w:rsidRPr="00CC28EC">
        <w:rPr>
          <w:i/>
          <w:iCs/>
          <w:lang w:val="ro-RO"/>
        </w:rPr>
        <w:t>că datoria publică a „explodat” într-un mod nepermis, netransparent</w:t>
      </w:r>
      <w:r w:rsidR="00B549FA" w:rsidRPr="00CC28EC">
        <w:rPr>
          <w:i/>
          <w:iCs/>
          <w:lang w:val="ro-RO"/>
        </w:rPr>
        <w:t xml:space="preserve"> și nesustenabil,</w:t>
      </w:r>
      <w:r w:rsidR="00E97E8A" w:rsidRPr="00CC28EC">
        <w:rPr>
          <w:i/>
          <w:iCs/>
          <w:lang w:val="ro-RO"/>
        </w:rPr>
        <w:t xml:space="preserve"> fără ca entitățile publice răspunzătoare să explice clar fenomenul.</w:t>
      </w:r>
      <w:r w:rsidR="00501252" w:rsidRPr="00CC28EC">
        <w:rPr>
          <w:i/>
          <w:iCs/>
          <w:lang w:val="ro-RO"/>
        </w:rPr>
        <w:t xml:space="preserve"> </w:t>
      </w:r>
      <w:r w:rsidR="00E97E8A" w:rsidRPr="00CC28EC">
        <w:rPr>
          <w:i/>
          <w:iCs/>
          <w:lang w:val="ro-RO"/>
        </w:rPr>
        <w:t>Consecințele  în viitor asupra economiei nu se cunosc dar se pot intui, avand în vedere statutul de țară emergentă a României.</w:t>
      </w:r>
    </w:p>
    <w:p w14:paraId="72A6C18D" w14:textId="77777777" w:rsidR="00726D61" w:rsidRPr="00CC28EC" w:rsidRDefault="00726D61" w:rsidP="00726D61">
      <w:pPr>
        <w:jc w:val="both"/>
        <w:rPr>
          <w:i/>
          <w:iCs/>
        </w:rPr>
      </w:pPr>
    </w:p>
    <w:p w14:paraId="025C2148" w14:textId="790F6F32" w:rsidR="00726D61" w:rsidRPr="00CC28EC" w:rsidRDefault="00726D61" w:rsidP="00726D61">
      <w:pPr>
        <w:jc w:val="both"/>
        <w:rPr>
          <w:i/>
          <w:iCs/>
        </w:rPr>
      </w:pPr>
      <w:r w:rsidRPr="00CC28EC">
        <w:rPr>
          <w:b/>
          <w:bCs/>
        </w:rPr>
        <w:t>Keyword:</w:t>
      </w:r>
      <w:r w:rsidR="00C2479E" w:rsidRPr="00CC28EC">
        <w:t xml:space="preserve"> </w:t>
      </w:r>
      <w:proofErr w:type="spellStart"/>
      <w:r w:rsidR="00E06A4F" w:rsidRPr="00CC28EC">
        <w:rPr>
          <w:i/>
          <w:iCs/>
        </w:rPr>
        <w:t>datoria</w:t>
      </w:r>
      <w:proofErr w:type="spellEnd"/>
      <w:r w:rsidR="00E06A4F" w:rsidRPr="00CC28EC">
        <w:rPr>
          <w:i/>
          <w:iCs/>
        </w:rPr>
        <w:t xml:space="preserve"> </w:t>
      </w:r>
      <w:proofErr w:type="spellStart"/>
      <w:r w:rsidR="00E06A4F" w:rsidRPr="00CC28EC">
        <w:rPr>
          <w:i/>
          <w:iCs/>
        </w:rPr>
        <w:t>publică</w:t>
      </w:r>
      <w:proofErr w:type="spellEnd"/>
      <w:r w:rsidR="00E06A4F" w:rsidRPr="00CC28EC">
        <w:rPr>
          <w:i/>
          <w:iCs/>
        </w:rPr>
        <w:t xml:space="preserve">, MMT, </w:t>
      </w:r>
      <w:proofErr w:type="spellStart"/>
      <w:r w:rsidR="00501252" w:rsidRPr="00CC28EC">
        <w:rPr>
          <w:i/>
          <w:iCs/>
        </w:rPr>
        <w:t>costul</w:t>
      </w:r>
      <w:proofErr w:type="spellEnd"/>
      <w:r w:rsidR="00501252" w:rsidRPr="00CC28EC">
        <w:rPr>
          <w:i/>
          <w:iCs/>
        </w:rPr>
        <w:t xml:space="preserve"> </w:t>
      </w:r>
      <w:proofErr w:type="spellStart"/>
      <w:r w:rsidR="00501252" w:rsidRPr="00CC28EC">
        <w:rPr>
          <w:i/>
          <w:iCs/>
        </w:rPr>
        <w:t>datoriei</w:t>
      </w:r>
      <w:proofErr w:type="spellEnd"/>
      <w:r w:rsidR="00501252" w:rsidRPr="00CC28EC">
        <w:rPr>
          <w:i/>
          <w:iCs/>
        </w:rPr>
        <w:t xml:space="preserve"> </w:t>
      </w:r>
      <w:proofErr w:type="spellStart"/>
      <w:r w:rsidR="00501252" w:rsidRPr="00CC28EC">
        <w:rPr>
          <w:i/>
          <w:iCs/>
        </w:rPr>
        <w:t>publice</w:t>
      </w:r>
      <w:proofErr w:type="spellEnd"/>
      <w:r w:rsidR="00501252" w:rsidRPr="00CC28EC">
        <w:rPr>
          <w:i/>
          <w:iCs/>
        </w:rPr>
        <w:t xml:space="preserve">, </w:t>
      </w:r>
      <w:proofErr w:type="spellStart"/>
      <w:r w:rsidR="00501252" w:rsidRPr="00CC28EC">
        <w:rPr>
          <w:i/>
          <w:iCs/>
        </w:rPr>
        <w:t>structura</w:t>
      </w:r>
      <w:proofErr w:type="spellEnd"/>
      <w:r w:rsidR="00501252" w:rsidRPr="00CC28EC">
        <w:rPr>
          <w:i/>
          <w:iCs/>
        </w:rPr>
        <w:t xml:space="preserve"> </w:t>
      </w:r>
      <w:proofErr w:type="spellStart"/>
      <w:r w:rsidR="00501252" w:rsidRPr="00CC28EC">
        <w:rPr>
          <w:i/>
          <w:iCs/>
        </w:rPr>
        <w:t>datoriei</w:t>
      </w:r>
      <w:proofErr w:type="spellEnd"/>
      <w:r w:rsidR="00501252" w:rsidRPr="00CC28EC">
        <w:rPr>
          <w:i/>
          <w:iCs/>
        </w:rPr>
        <w:t xml:space="preserve"> </w:t>
      </w:r>
      <w:proofErr w:type="spellStart"/>
      <w:r w:rsidR="00501252" w:rsidRPr="00CC28EC">
        <w:rPr>
          <w:i/>
          <w:iCs/>
        </w:rPr>
        <w:t>publice</w:t>
      </w:r>
      <w:proofErr w:type="spellEnd"/>
      <w:r w:rsidR="00501252" w:rsidRPr="00CC28EC">
        <w:rPr>
          <w:i/>
          <w:iCs/>
        </w:rPr>
        <w:t xml:space="preserve">, deficit </w:t>
      </w:r>
      <w:proofErr w:type="spellStart"/>
      <w:r w:rsidR="00501252" w:rsidRPr="00CC28EC">
        <w:rPr>
          <w:i/>
          <w:iCs/>
        </w:rPr>
        <w:t>excesiv</w:t>
      </w:r>
      <w:proofErr w:type="spellEnd"/>
    </w:p>
    <w:p w14:paraId="23757FBB" w14:textId="77777777" w:rsidR="00726D61" w:rsidRPr="00CC28EC" w:rsidRDefault="00726D61" w:rsidP="00726D61">
      <w:pPr>
        <w:jc w:val="both"/>
      </w:pPr>
    </w:p>
    <w:p w14:paraId="5E84F6D9" w14:textId="37CF2E56" w:rsidR="00726D61" w:rsidRPr="00CC28EC" w:rsidRDefault="00726D61" w:rsidP="00726D61">
      <w:r w:rsidRPr="00CC28EC">
        <w:rPr>
          <w:b/>
          <w:bCs/>
        </w:rPr>
        <w:t>JEL Classification:</w:t>
      </w:r>
      <w:r w:rsidRPr="00CC28EC">
        <w:t xml:space="preserve"> </w:t>
      </w:r>
      <w:r w:rsidR="00A668E1" w:rsidRPr="00CC28EC">
        <w:rPr>
          <w:i/>
          <w:iCs/>
        </w:rPr>
        <w:t>H</w:t>
      </w:r>
      <w:r w:rsidR="00CA2445" w:rsidRPr="00CC28EC">
        <w:rPr>
          <w:i/>
          <w:iCs/>
        </w:rPr>
        <w:t>60</w:t>
      </w:r>
      <w:r w:rsidR="00A668E1" w:rsidRPr="00CC28EC">
        <w:rPr>
          <w:i/>
          <w:iCs/>
        </w:rPr>
        <w:t>, H</w:t>
      </w:r>
      <w:r w:rsidR="00CA2445" w:rsidRPr="00CC28EC">
        <w:rPr>
          <w:i/>
          <w:iCs/>
        </w:rPr>
        <w:t>62</w:t>
      </w:r>
      <w:r w:rsidR="00A668E1" w:rsidRPr="00CC28EC">
        <w:rPr>
          <w:i/>
          <w:iCs/>
        </w:rPr>
        <w:t>, H</w:t>
      </w:r>
      <w:r w:rsidR="00CA2445" w:rsidRPr="00CC28EC">
        <w:rPr>
          <w:i/>
          <w:iCs/>
        </w:rPr>
        <w:t>63, H68</w:t>
      </w:r>
    </w:p>
    <w:p w14:paraId="42941B9F" w14:textId="0DFB2A4B" w:rsidR="00887E7D" w:rsidRPr="00CC28EC" w:rsidRDefault="00887E7D" w:rsidP="006C1549">
      <w:pPr>
        <w:spacing w:before="120" w:after="120"/>
        <w:jc w:val="both"/>
        <w:rPr>
          <w:b/>
          <w:bCs/>
          <w:sz w:val="24"/>
          <w:szCs w:val="24"/>
        </w:rPr>
      </w:pPr>
      <w:r w:rsidRPr="00CC28EC">
        <w:rPr>
          <w:b/>
          <w:bCs/>
          <w:sz w:val="24"/>
          <w:szCs w:val="24"/>
        </w:rPr>
        <w:t>I. INTRODUCTION</w:t>
      </w:r>
    </w:p>
    <w:p w14:paraId="6EADFC1B" w14:textId="2F96FFE7" w:rsidR="00E3463D" w:rsidRPr="00CC28EC" w:rsidRDefault="00887E7D" w:rsidP="006C1549">
      <w:pPr>
        <w:jc w:val="both"/>
        <w:rPr>
          <w:sz w:val="24"/>
          <w:szCs w:val="24"/>
        </w:rPr>
      </w:pPr>
      <w:r w:rsidRPr="00CC28EC">
        <w:rPr>
          <w:sz w:val="24"/>
          <w:szCs w:val="24"/>
        </w:rPr>
        <w:tab/>
      </w:r>
      <w:proofErr w:type="spellStart"/>
      <w:r w:rsidR="00CA2445" w:rsidRPr="00CC28EC">
        <w:rPr>
          <w:sz w:val="24"/>
          <w:szCs w:val="24"/>
        </w:rPr>
        <w:t>În</w:t>
      </w:r>
      <w:proofErr w:type="spellEnd"/>
      <w:r w:rsidR="00CA2445" w:rsidRPr="00CC28EC">
        <w:rPr>
          <w:sz w:val="24"/>
          <w:szCs w:val="24"/>
        </w:rPr>
        <w:t xml:space="preserve"> </w:t>
      </w:r>
      <w:proofErr w:type="spellStart"/>
      <w:r w:rsidR="00CA2445" w:rsidRPr="00CC28EC">
        <w:rPr>
          <w:sz w:val="24"/>
          <w:szCs w:val="24"/>
        </w:rPr>
        <w:t>ultimele</w:t>
      </w:r>
      <w:proofErr w:type="spellEnd"/>
      <w:r w:rsidR="00CA2445" w:rsidRPr="00CC28EC">
        <w:rPr>
          <w:sz w:val="24"/>
          <w:szCs w:val="24"/>
        </w:rPr>
        <w:t xml:space="preserve"> </w:t>
      </w:r>
      <w:proofErr w:type="spellStart"/>
      <w:r w:rsidR="009A37CC" w:rsidRPr="00CC28EC">
        <w:rPr>
          <w:sz w:val="24"/>
          <w:szCs w:val="24"/>
        </w:rPr>
        <w:t>patru</w:t>
      </w:r>
      <w:proofErr w:type="spellEnd"/>
      <w:r w:rsidR="00CA2445" w:rsidRPr="00CC28EC">
        <w:rPr>
          <w:sz w:val="24"/>
          <w:szCs w:val="24"/>
        </w:rPr>
        <w:t xml:space="preserve"> </w:t>
      </w:r>
      <w:proofErr w:type="spellStart"/>
      <w:r w:rsidR="00CA2445" w:rsidRPr="00CC28EC">
        <w:rPr>
          <w:sz w:val="24"/>
          <w:szCs w:val="24"/>
        </w:rPr>
        <w:t>decenii</w:t>
      </w:r>
      <w:proofErr w:type="spellEnd"/>
      <w:r w:rsidR="00CA2445" w:rsidRPr="00CC28EC">
        <w:rPr>
          <w:sz w:val="24"/>
          <w:szCs w:val="24"/>
        </w:rPr>
        <w:t xml:space="preserve"> </w:t>
      </w:r>
      <w:proofErr w:type="spellStart"/>
      <w:r w:rsidR="00CA2445" w:rsidRPr="00CC28EC">
        <w:rPr>
          <w:sz w:val="24"/>
          <w:szCs w:val="24"/>
        </w:rPr>
        <w:t>datoria</w:t>
      </w:r>
      <w:proofErr w:type="spellEnd"/>
      <w:r w:rsidR="00CA2445" w:rsidRPr="00CC28EC">
        <w:rPr>
          <w:sz w:val="24"/>
          <w:szCs w:val="24"/>
        </w:rPr>
        <w:t xml:space="preserve"> </w:t>
      </w:r>
      <w:proofErr w:type="spellStart"/>
      <w:r w:rsidR="00CA2445" w:rsidRPr="00CC28EC">
        <w:rPr>
          <w:sz w:val="24"/>
          <w:szCs w:val="24"/>
        </w:rPr>
        <w:t>publică</w:t>
      </w:r>
      <w:proofErr w:type="spellEnd"/>
      <w:r w:rsidR="00CA2445" w:rsidRPr="00CC28EC">
        <w:rPr>
          <w:sz w:val="24"/>
          <w:szCs w:val="24"/>
        </w:rPr>
        <w:t xml:space="preserve"> a </w:t>
      </w:r>
      <w:proofErr w:type="spellStart"/>
      <w:r w:rsidR="00CA2445" w:rsidRPr="00CC28EC">
        <w:rPr>
          <w:sz w:val="24"/>
          <w:szCs w:val="24"/>
        </w:rPr>
        <w:t>devenit</w:t>
      </w:r>
      <w:proofErr w:type="spellEnd"/>
      <w:r w:rsidR="00CA2445" w:rsidRPr="00CC28EC">
        <w:rPr>
          <w:sz w:val="24"/>
          <w:szCs w:val="24"/>
        </w:rPr>
        <w:t xml:space="preserve"> un </w:t>
      </w:r>
      <w:proofErr w:type="spellStart"/>
      <w:r w:rsidR="00CA2445" w:rsidRPr="00CC28EC">
        <w:rPr>
          <w:sz w:val="24"/>
          <w:szCs w:val="24"/>
        </w:rPr>
        <w:t>subiect</w:t>
      </w:r>
      <w:proofErr w:type="spellEnd"/>
      <w:r w:rsidR="00CA2445" w:rsidRPr="00CC28EC">
        <w:rPr>
          <w:sz w:val="24"/>
          <w:szCs w:val="24"/>
        </w:rPr>
        <w:t xml:space="preserve"> de </w:t>
      </w:r>
      <w:proofErr w:type="spellStart"/>
      <w:r w:rsidR="00CA2445" w:rsidRPr="00CC28EC">
        <w:rPr>
          <w:sz w:val="24"/>
          <w:szCs w:val="24"/>
        </w:rPr>
        <w:t>analiză</w:t>
      </w:r>
      <w:proofErr w:type="spellEnd"/>
      <w:r w:rsidR="00CA2445" w:rsidRPr="00CC28EC">
        <w:rPr>
          <w:sz w:val="24"/>
          <w:szCs w:val="24"/>
        </w:rPr>
        <w:t xml:space="preserve"> </w:t>
      </w:r>
      <w:proofErr w:type="spellStart"/>
      <w:r w:rsidR="00CA2445" w:rsidRPr="00CC28EC">
        <w:rPr>
          <w:sz w:val="24"/>
          <w:szCs w:val="24"/>
        </w:rPr>
        <w:t>foarte</w:t>
      </w:r>
      <w:proofErr w:type="spellEnd"/>
      <w:r w:rsidR="00CA2445" w:rsidRPr="00CC28EC">
        <w:rPr>
          <w:sz w:val="24"/>
          <w:szCs w:val="24"/>
        </w:rPr>
        <w:t xml:space="preserve"> important </w:t>
      </w:r>
      <w:proofErr w:type="spellStart"/>
      <w:r w:rsidR="00CA2445" w:rsidRPr="00CC28EC">
        <w:rPr>
          <w:sz w:val="24"/>
          <w:szCs w:val="24"/>
        </w:rPr>
        <w:t>atât</w:t>
      </w:r>
      <w:proofErr w:type="spellEnd"/>
      <w:r w:rsidR="00CA2445" w:rsidRPr="00CC28EC">
        <w:rPr>
          <w:sz w:val="24"/>
          <w:szCs w:val="24"/>
        </w:rPr>
        <w:t xml:space="preserve"> </w:t>
      </w:r>
      <w:proofErr w:type="spellStart"/>
      <w:r w:rsidR="00CA2445" w:rsidRPr="00CC28EC">
        <w:rPr>
          <w:sz w:val="24"/>
          <w:szCs w:val="24"/>
        </w:rPr>
        <w:t>pentru</w:t>
      </w:r>
      <w:proofErr w:type="spellEnd"/>
      <w:r w:rsidR="00CA2445" w:rsidRPr="00CC28EC">
        <w:rPr>
          <w:sz w:val="24"/>
          <w:szCs w:val="24"/>
        </w:rPr>
        <w:t xml:space="preserve"> </w:t>
      </w:r>
      <w:proofErr w:type="spellStart"/>
      <w:r w:rsidR="00CA2445" w:rsidRPr="00CC28EC">
        <w:rPr>
          <w:sz w:val="24"/>
          <w:szCs w:val="24"/>
        </w:rPr>
        <w:t>analiști</w:t>
      </w:r>
      <w:proofErr w:type="spellEnd"/>
      <w:r w:rsidR="00CA2445" w:rsidRPr="00CC28EC">
        <w:rPr>
          <w:sz w:val="24"/>
          <w:szCs w:val="24"/>
        </w:rPr>
        <w:t xml:space="preserve"> </w:t>
      </w:r>
      <w:proofErr w:type="spellStart"/>
      <w:r w:rsidR="00CA2445" w:rsidRPr="00CC28EC">
        <w:rPr>
          <w:sz w:val="24"/>
          <w:szCs w:val="24"/>
        </w:rPr>
        <w:t>c</w:t>
      </w:r>
      <w:r w:rsidR="007313AC" w:rsidRPr="00CC28EC">
        <w:rPr>
          <w:sz w:val="24"/>
          <w:szCs w:val="24"/>
        </w:rPr>
        <w:t>ât</w:t>
      </w:r>
      <w:proofErr w:type="spellEnd"/>
      <w:r w:rsidR="00CA2445" w:rsidRPr="00CC28EC">
        <w:rPr>
          <w:sz w:val="24"/>
          <w:szCs w:val="24"/>
        </w:rPr>
        <w:t xml:space="preserve"> </w:t>
      </w:r>
      <w:proofErr w:type="spellStart"/>
      <w:r w:rsidR="00CA2445" w:rsidRPr="00CC28EC">
        <w:rPr>
          <w:sz w:val="24"/>
          <w:szCs w:val="24"/>
        </w:rPr>
        <w:t>mai</w:t>
      </w:r>
      <w:proofErr w:type="spellEnd"/>
      <w:r w:rsidR="00CA2445" w:rsidRPr="00CC28EC">
        <w:rPr>
          <w:sz w:val="24"/>
          <w:szCs w:val="24"/>
        </w:rPr>
        <w:t xml:space="preserve"> ales </w:t>
      </w:r>
      <w:proofErr w:type="spellStart"/>
      <w:r w:rsidR="00CA2445" w:rsidRPr="00CC28EC">
        <w:rPr>
          <w:sz w:val="24"/>
          <w:szCs w:val="24"/>
        </w:rPr>
        <w:t>pentru</w:t>
      </w:r>
      <w:proofErr w:type="spellEnd"/>
      <w:r w:rsidR="00CA2445" w:rsidRPr="00CC28EC">
        <w:rPr>
          <w:sz w:val="24"/>
          <w:szCs w:val="24"/>
        </w:rPr>
        <w:t xml:space="preserve"> </w:t>
      </w:r>
      <w:proofErr w:type="spellStart"/>
      <w:r w:rsidR="00CA2445" w:rsidRPr="00CC28EC">
        <w:rPr>
          <w:sz w:val="24"/>
          <w:szCs w:val="24"/>
        </w:rPr>
        <w:t>guvernanți</w:t>
      </w:r>
      <w:proofErr w:type="spellEnd"/>
      <w:r w:rsidR="00CA2445" w:rsidRPr="00CC28EC">
        <w:rPr>
          <w:sz w:val="24"/>
          <w:szCs w:val="24"/>
        </w:rPr>
        <w:t xml:space="preserve"> </w:t>
      </w:r>
      <w:proofErr w:type="spellStart"/>
      <w:r w:rsidR="00CA2445" w:rsidRPr="00CC28EC">
        <w:rPr>
          <w:sz w:val="24"/>
          <w:szCs w:val="24"/>
        </w:rPr>
        <w:t>și</w:t>
      </w:r>
      <w:proofErr w:type="spellEnd"/>
      <w:r w:rsidR="00CA2445" w:rsidRPr="00CC28EC">
        <w:rPr>
          <w:sz w:val="24"/>
          <w:szCs w:val="24"/>
        </w:rPr>
        <w:t xml:space="preserve"> </w:t>
      </w:r>
      <w:proofErr w:type="spellStart"/>
      <w:r w:rsidR="00CA2445" w:rsidRPr="00CC28EC">
        <w:rPr>
          <w:sz w:val="24"/>
          <w:szCs w:val="24"/>
        </w:rPr>
        <w:t>organismele</w:t>
      </w:r>
      <w:proofErr w:type="spellEnd"/>
      <w:r w:rsidR="00CA2445" w:rsidRPr="00CC28EC">
        <w:rPr>
          <w:sz w:val="24"/>
          <w:szCs w:val="24"/>
        </w:rPr>
        <w:t xml:space="preserve"> </w:t>
      </w:r>
      <w:proofErr w:type="spellStart"/>
      <w:r w:rsidR="00CA2445" w:rsidRPr="00CC28EC">
        <w:rPr>
          <w:sz w:val="24"/>
          <w:szCs w:val="24"/>
        </w:rPr>
        <w:t>finan</w:t>
      </w:r>
      <w:r w:rsidR="007313AC" w:rsidRPr="00CC28EC">
        <w:rPr>
          <w:sz w:val="24"/>
          <w:szCs w:val="24"/>
        </w:rPr>
        <w:t>c</w:t>
      </w:r>
      <w:r w:rsidR="00CA2445" w:rsidRPr="00CC28EC">
        <w:rPr>
          <w:sz w:val="24"/>
          <w:szCs w:val="24"/>
        </w:rPr>
        <w:t>iare</w:t>
      </w:r>
      <w:proofErr w:type="spellEnd"/>
      <w:r w:rsidR="00CA2445" w:rsidRPr="00CC28EC">
        <w:rPr>
          <w:sz w:val="24"/>
          <w:szCs w:val="24"/>
        </w:rPr>
        <w:t xml:space="preserve"> </w:t>
      </w:r>
      <w:proofErr w:type="spellStart"/>
      <w:r w:rsidR="00CA2445" w:rsidRPr="00CC28EC">
        <w:rPr>
          <w:sz w:val="24"/>
          <w:szCs w:val="24"/>
        </w:rPr>
        <w:t>internaționale</w:t>
      </w:r>
      <w:proofErr w:type="spellEnd"/>
      <w:r w:rsidR="00CA2445" w:rsidRPr="00CC28EC">
        <w:rPr>
          <w:sz w:val="24"/>
          <w:szCs w:val="24"/>
        </w:rPr>
        <w:t xml:space="preserve">. </w:t>
      </w:r>
      <w:proofErr w:type="spellStart"/>
      <w:r w:rsidR="00B139E6" w:rsidRPr="00CC28EC">
        <w:rPr>
          <w:sz w:val="24"/>
          <w:szCs w:val="24"/>
        </w:rPr>
        <w:t>Datoria</w:t>
      </w:r>
      <w:proofErr w:type="spellEnd"/>
      <w:r w:rsidR="00B139E6" w:rsidRPr="00CC28EC">
        <w:rPr>
          <w:sz w:val="24"/>
          <w:szCs w:val="24"/>
        </w:rPr>
        <w:t xml:space="preserve"> </w:t>
      </w:r>
      <w:proofErr w:type="spellStart"/>
      <w:r w:rsidR="00B139E6" w:rsidRPr="00CC28EC">
        <w:rPr>
          <w:sz w:val="24"/>
          <w:szCs w:val="24"/>
        </w:rPr>
        <w:t>publică</w:t>
      </w:r>
      <w:proofErr w:type="spellEnd"/>
      <w:r w:rsidR="00B139E6" w:rsidRPr="00CC28EC">
        <w:rPr>
          <w:sz w:val="24"/>
          <w:szCs w:val="24"/>
        </w:rPr>
        <w:t xml:space="preserve"> </w:t>
      </w:r>
      <w:proofErr w:type="spellStart"/>
      <w:r w:rsidR="00B139E6" w:rsidRPr="00CC28EC">
        <w:rPr>
          <w:sz w:val="24"/>
          <w:szCs w:val="24"/>
        </w:rPr>
        <w:t>este</w:t>
      </w:r>
      <w:proofErr w:type="spellEnd"/>
      <w:r w:rsidR="00B139E6" w:rsidRPr="00CC28EC">
        <w:rPr>
          <w:sz w:val="24"/>
          <w:szCs w:val="24"/>
        </w:rPr>
        <w:t xml:space="preserve"> </w:t>
      </w:r>
      <w:proofErr w:type="spellStart"/>
      <w:r w:rsidR="00B139E6" w:rsidRPr="00CC28EC">
        <w:rPr>
          <w:sz w:val="24"/>
          <w:szCs w:val="24"/>
        </w:rPr>
        <w:t>definită</w:t>
      </w:r>
      <w:proofErr w:type="spellEnd"/>
      <w:r w:rsidR="00B139E6" w:rsidRPr="00CC28EC">
        <w:rPr>
          <w:sz w:val="24"/>
          <w:szCs w:val="24"/>
        </w:rPr>
        <w:t xml:space="preserve">, </w:t>
      </w:r>
      <w:proofErr w:type="spellStart"/>
      <w:r w:rsidR="00B139E6" w:rsidRPr="00CC28EC">
        <w:rPr>
          <w:sz w:val="24"/>
          <w:szCs w:val="24"/>
        </w:rPr>
        <w:t>în</w:t>
      </w:r>
      <w:proofErr w:type="spellEnd"/>
      <w:r w:rsidR="00B139E6" w:rsidRPr="00CC28EC">
        <w:rPr>
          <w:sz w:val="24"/>
          <w:szCs w:val="24"/>
        </w:rPr>
        <w:t xml:space="preserve"> general, ca</w:t>
      </w:r>
      <w:r w:rsidR="00E3463D" w:rsidRPr="00CC28EC">
        <w:rPr>
          <w:sz w:val="24"/>
          <w:szCs w:val="24"/>
        </w:rPr>
        <w:t xml:space="preserve">: </w:t>
      </w:r>
      <w:r w:rsidR="009A37CC" w:rsidRPr="00CC28EC">
        <w:rPr>
          <w:sz w:val="24"/>
          <w:szCs w:val="24"/>
        </w:rPr>
        <w:t>„</w:t>
      </w:r>
      <w:proofErr w:type="spellStart"/>
      <w:r w:rsidR="00E3463D" w:rsidRPr="00CC28EC">
        <w:rPr>
          <w:i/>
          <w:iCs/>
          <w:sz w:val="24"/>
          <w:szCs w:val="24"/>
        </w:rPr>
        <w:t>totalitatea</w:t>
      </w:r>
      <w:proofErr w:type="spellEnd"/>
      <w:r w:rsidR="00E3463D" w:rsidRPr="00CC28EC">
        <w:rPr>
          <w:i/>
          <w:iCs/>
          <w:sz w:val="24"/>
          <w:szCs w:val="24"/>
        </w:rPr>
        <w:t xml:space="preserve"> </w:t>
      </w:r>
      <w:proofErr w:type="spellStart"/>
      <w:r w:rsidR="00E3463D" w:rsidRPr="00CC28EC">
        <w:rPr>
          <w:i/>
          <w:iCs/>
          <w:sz w:val="24"/>
          <w:szCs w:val="24"/>
        </w:rPr>
        <w:t>obliga</w:t>
      </w:r>
      <w:r w:rsidR="00E844A4" w:rsidRPr="00CC28EC">
        <w:rPr>
          <w:i/>
          <w:iCs/>
          <w:sz w:val="24"/>
          <w:szCs w:val="24"/>
        </w:rPr>
        <w:t>ț</w:t>
      </w:r>
      <w:r w:rsidR="00E3463D" w:rsidRPr="00CC28EC">
        <w:rPr>
          <w:i/>
          <w:iCs/>
          <w:sz w:val="24"/>
          <w:szCs w:val="24"/>
        </w:rPr>
        <w:t>iilor</w:t>
      </w:r>
      <w:proofErr w:type="spellEnd"/>
      <w:r w:rsidR="00E3463D" w:rsidRPr="00CC28EC">
        <w:rPr>
          <w:i/>
          <w:iCs/>
          <w:sz w:val="24"/>
          <w:szCs w:val="24"/>
        </w:rPr>
        <w:t xml:space="preserve"> </w:t>
      </w:r>
      <w:proofErr w:type="spellStart"/>
      <w:r w:rsidR="00E3463D" w:rsidRPr="00CC28EC">
        <w:rPr>
          <w:i/>
          <w:iCs/>
          <w:sz w:val="24"/>
          <w:szCs w:val="24"/>
        </w:rPr>
        <w:t>b</w:t>
      </w:r>
      <w:r w:rsidR="00E844A4" w:rsidRPr="00CC28EC">
        <w:rPr>
          <w:i/>
          <w:iCs/>
          <w:sz w:val="24"/>
          <w:szCs w:val="24"/>
        </w:rPr>
        <w:t>ă</w:t>
      </w:r>
      <w:r w:rsidR="00E3463D" w:rsidRPr="00CC28EC">
        <w:rPr>
          <w:i/>
          <w:iCs/>
          <w:sz w:val="24"/>
          <w:szCs w:val="24"/>
        </w:rPr>
        <w:t>ne</w:t>
      </w:r>
      <w:r w:rsidR="00E844A4" w:rsidRPr="00CC28EC">
        <w:rPr>
          <w:i/>
          <w:iCs/>
          <w:sz w:val="24"/>
          <w:szCs w:val="24"/>
        </w:rPr>
        <w:t>ș</w:t>
      </w:r>
      <w:r w:rsidR="00E3463D" w:rsidRPr="00CC28EC">
        <w:rPr>
          <w:i/>
          <w:iCs/>
          <w:sz w:val="24"/>
          <w:szCs w:val="24"/>
        </w:rPr>
        <w:t>ti</w:t>
      </w:r>
      <w:proofErr w:type="spellEnd"/>
      <w:r w:rsidR="00E3463D" w:rsidRPr="00CC28EC">
        <w:rPr>
          <w:i/>
          <w:iCs/>
          <w:sz w:val="24"/>
          <w:szCs w:val="24"/>
        </w:rPr>
        <w:t xml:space="preserve"> ale </w:t>
      </w:r>
      <w:proofErr w:type="spellStart"/>
      <w:r w:rsidR="00E3463D" w:rsidRPr="00CC28EC">
        <w:rPr>
          <w:i/>
          <w:iCs/>
          <w:sz w:val="24"/>
          <w:szCs w:val="24"/>
        </w:rPr>
        <w:t>statului</w:t>
      </w:r>
      <w:proofErr w:type="spellEnd"/>
      <w:r w:rsidR="00E3463D" w:rsidRPr="00CC28EC">
        <w:rPr>
          <w:i/>
          <w:iCs/>
          <w:sz w:val="24"/>
          <w:szCs w:val="24"/>
        </w:rPr>
        <w:t xml:space="preserve"> (</w:t>
      </w:r>
      <w:proofErr w:type="spellStart"/>
      <w:r w:rsidR="00E3463D" w:rsidRPr="00CC28EC">
        <w:rPr>
          <w:i/>
          <w:iCs/>
          <w:sz w:val="24"/>
          <w:szCs w:val="24"/>
        </w:rPr>
        <w:t>guvern</w:t>
      </w:r>
      <w:proofErr w:type="spellEnd"/>
      <w:r w:rsidR="00E3463D" w:rsidRPr="00CC28EC">
        <w:rPr>
          <w:i/>
          <w:iCs/>
          <w:sz w:val="24"/>
          <w:szCs w:val="24"/>
        </w:rPr>
        <w:t xml:space="preserve">, </w:t>
      </w:r>
      <w:proofErr w:type="spellStart"/>
      <w:r w:rsidR="00E3463D" w:rsidRPr="00CC28EC">
        <w:rPr>
          <w:i/>
          <w:iCs/>
          <w:sz w:val="24"/>
          <w:szCs w:val="24"/>
        </w:rPr>
        <w:t>institu</w:t>
      </w:r>
      <w:r w:rsidR="00E844A4" w:rsidRPr="00CC28EC">
        <w:rPr>
          <w:i/>
          <w:iCs/>
          <w:sz w:val="24"/>
          <w:szCs w:val="24"/>
        </w:rPr>
        <w:t>ț</w:t>
      </w:r>
      <w:r w:rsidR="00E3463D" w:rsidRPr="00CC28EC">
        <w:rPr>
          <w:i/>
          <w:iCs/>
          <w:sz w:val="24"/>
          <w:szCs w:val="24"/>
        </w:rPr>
        <w:t>ii</w:t>
      </w:r>
      <w:proofErr w:type="spellEnd"/>
      <w:r w:rsidR="00E3463D" w:rsidRPr="00CC28EC">
        <w:rPr>
          <w:i/>
          <w:iCs/>
          <w:sz w:val="24"/>
          <w:szCs w:val="24"/>
        </w:rPr>
        <w:t xml:space="preserve"> </w:t>
      </w:r>
      <w:proofErr w:type="spellStart"/>
      <w:r w:rsidR="00E3463D" w:rsidRPr="00CC28EC">
        <w:rPr>
          <w:i/>
          <w:iCs/>
          <w:sz w:val="24"/>
          <w:szCs w:val="24"/>
        </w:rPr>
        <w:t>publice</w:t>
      </w:r>
      <w:proofErr w:type="spellEnd"/>
      <w:r w:rsidR="00E3463D" w:rsidRPr="00CC28EC">
        <w:rPr>
          <w:i/>
          <w:iCs/>
          <w:sz w:val="24"/>
          <w:szCs w:val="24"/>
        </w:rPr>
        <w:t xml:space="preserve">, </w:t>
      </w:r>
      <w:proofErr w:type="spellStart"/>
      <w:r w:rsidR="00E3463D" w:rsidRPr="00CC28EC">
        <w:rPr>
          <w:i/>
          <w:iCs/>
          <w:sz w:val="24"/>
          <w:szCs w:val="24"/>
        </w:rPr>
        <w:t>financiare</w:t>
      </w:r>
      <w:proofErr w:type="spellEnd"/>
      <w:r w:rsidR="00E3463D" w:rsidRPr="00CC28EC">
        <w:rPr>
          <w:i/>
          <w:iCs/>
          <w:sz w:val="24"/>
          <w:szCs w:val="24"/>
        </w:rPr>
        <w:t xml:space="preserve">, </w:t>
      </w:r>
      <w:proofErr w:type="spellStart"/>
      <w:r w:rsidR="00E3463D" w:rsidRPr="00CC28EC">
        <w:rPr>
          <w:i/>
          <w:iCs/>
          <w:sz w:val="24"/>
          <w:szCs w:val="24"/>
        </w:rPr>
        <w:t>unit</w:t>
      </w:r>
      <w:r w:rsidR="00E844A4" w:rsidRPr="00CC28EC">
        <w:rPr>
          <w:i/>
          <w:iCs/>
          <w:sz w:val="24"/>
          <w:szCs w:val="24"/>
        </w:rPr>
        <w:t>ăț</w:t>
      </w:r>
      <w:r w:rsidR="00E3463D" w:rsidRPr="00CC28EC">
        <w:rPr>
          <w:i/>
          <w:iCs/>
          <w:sz w:val="24"/>
          <w:szCs w:val="24"/>
        </w:rPr>
        <w:t>i</w:t>
      </w:r>
      <w:proofErr w:type="spellEnd"/>
      <w:r w:rsidR="00E3463D" w:rsidRPr="00CC28EC">
        <w:rPr>
          <w:i/>
          <w:iCs/>
          <w:sz w:val="24"/>
          <w:szCs w:val="24"/>
        </w:rPr>
        <w:t xml:space="preserve"> </w:t>
      </w:r>
      <w:proofErr w:type="spellStart"/>
      <w:r w:rsidR="00E3463D" w:rsidRPr="00CC28EC">
        <w:rPr>
          <w:i/>
          <w:iCs/>
          <w:sz w:val="24"/>
          <w:szCs w:val="24"/>
        </w:rPr>
        <w:t>administrativ-teritoriale</w:t>
      </w:r>
      <w:proofErr w:type="spellEnd"/>
      <w:r w:rsidR="00E3463D" w:rsidRPr="00CC28EC">
        <w:rPr>
          <w:i/>
          <w:iCs/>
          <w:sz w:val="24"/>
          <w:szCs w:val="24"/>
        </w:rPr>
        <w:t xml:space="preserve">) la un moment </w:t>
      </w:r>
      <w:proofErr w:type="spellStart"/>
      <w:r w:rsidR="00E3463D" w:rsidRPr="00CC28EC">
        <w:rPr>
          <w:i/>
          <w:iCs/>
          <w:sz w:val="24"/>
          <w:szCs w:val="24"/>
        </w:rPr>
        <w:t>dat</w:t>
      </w:r>
      <w:proofErr w:type="spellEnd"/>
      <w:r w:rsidR="00E3463D" w:rsidRPr="00CC28EC">
        <w:rPr>
          <w:i/>
          <w:iCs/>
          <w:sz w:val="24"/>
          <w:szCs w:val="24"/>
        </w:rPr>
        <w:t xml:space="preserve">, </w:t>
      </w:r>
      <w:proofErr w:type="spellStart"/>
      <w:r w:rsidR="00E3463D" w:rsidRPr="00CC28EC">
        <w:rPr>
          <w:i/>
          <w:iCs/>
          <w:sz w:val="24"/>
          <w:szCs w:val="24"/>
        </w:rPr>
        <w:t>rezultate</w:t>
      </w:r>
      <w:proofErr w:type="spellEnd"/>
      <w:r w:rsidR="00E3463D" w:rsidRPr="00CC28EC">
        <w:rPr>
          <w:i/>
          <w:iCs/>
          <w:sz w:val="24"/>
          <w:szCs w:val="24"/>
        </w:rPr>
        <w:t xml:space="preserve"> din </w:t>
      </w:r>
      <w:proofErr w:type="spellStart"/>
      <w:r w:rsidR="00E3463D" w:rsidRPr="00CC28EC">
        <w:rPr>
          <w:i/>
          <w:iCs/>
          <w:sz w:val="24"/>
          <w:szCs w:val="24"/>
        </w:rPr>
        <w:t>împrumuturi</w:t>
      </w:r>
      <w:proofErr w:type="spellEnd"/>
      <w:r w:rsidR="00E3463D" w:rsidRPr="00CC28EC">
        <w:rPr>
          <w:i/>
          <w:iCs/>
          <w:sz w:val="24"/>
          <w:szCs w:val="24"/>
        </w:rPr>
        <w:t xml:space="preserve"> interne </w:t>
      </w:r>
      <w:proofErr w:type="spellStart"/>
      <w:r w:rsidR="00E844A4" w:rsidRPr="00CC28EC">
        <w:rPr>
          <w:i/>
          <w:iCs/>
          <w:sz w:val="24"/>
          <w:szCs w:val="24"/>
        </w:rPr>
        <w:t>ș</w:t>
      </w:r>
      <w:r w:rsidR="00E3463D" w:rsidRPr="00CC28EC">
        <w:rPr>
          <w:i/>
          <w:iCs/>
          <w:sz w:val="24"/>
          <w:szCs w:val="24"/>
        </w:rPr>
        <w:t>i</w:t>
      </w:r>
      <w:proofErr w:type="spellEnd"/>
      <w:r w:rsidR="00E3463D" w:rsidRPr="00CC28EC">
        <w:rPr>
          <w:i/>
          <w:iCs/>
          <w:sz w:val="24"/>
          <w:szCs w:val="24"/>
        </w:rPr>
        <w:t xml:space="preserve"> </w:t>
      </w:r>
      <w:proofErr w:type="spellStart"/>
      <w:r w:rsidR="00E3463D" w:rsidRPr="00CC28EC">
        <w:rPr>
          <w:i/>
          <w:iCs/>
          <w:sz w:val="24"/>
          <w:szCs w:val="24"/>
        </w:rPr>
        <w:t>externe</w:t>
      </w:r>
      <w:proofErr w:type="spellEnd"/>
      <w:r w:rsidR="00E3463D" w:rsidRPr="00CC28EC">
        <w:rPr>
          <w:i/>
          <w:iCs/>
          <w:sz w:val="24"/>
          <w:szCs w:val="24"/>
        </w:rPr>
        <w:t xml:space="preserve"> (</w:t>
      </w:r>
      <w:proofErr w:type="spellStart"/>
      <w:r w:rsidR="00E3463D" w:rsidRPr="00CC28EC">
        <w:rPr>
          <w:i/>
          <w:iCs/>
          <w:sz w:val="24"/>
          <w:szCs w:val="24"/>
        </w:rPr>
        <w:t>în</w:t>
      </w:r>
      <w:proofErr w:type="spellEnd"/>
      <w:r w:rsidR="00E3463D" w:rsidRPr="00CC28EC">
        <w:rPr>
          <w:i/>
          <w:iCs/>
          <w:sz w:val="24"/>
          <w:szCs w:val="24"/>
        </w:rPr>
        <w:t xml:space="preserve"> lei </w:t>
      </w:r>
      <w:proofErr w:type="spellStart"/>
      <w:r w:rsidR="00E844A4" w:rsidRPr="00CC28EC">
        <w:rPr>
          <w:i/>
          <w:iCs/>
          <w:sz w:val="24"/>
          <w:szCs w:val="24"/>
        </w:rPr>
        <w:t>ș</w:t>
      </w:r>
      <w:r w:rsidR="00E3463D" w:rsidRPr="00CC28EC">
        <w:rPr>
          <w:i/>
          <w:iCs/>
          <w:sz w:val="24"/>
          <w:szCs w:val="24"/>
        </w:rPr>
        <w:t>i</w:t>
      </w:r>
      <w:proofErr w:type="spellEnd"/>
      <w:r w:rsidR="00E3463D" w:rsidRPr="00CC28EC">
        <w:rPr>
          <w:i/>
          <w:iCs/>
          <w:sz w:val="24"/>
          <w:szCs w:val="24"/>
        </w:rPr>
        <w:t xml:space="preserve"> </w:t>
      </w:r>
      <w:proofErr w:type="spellStart"/>
      <w:r w:rsidR="00E3463D" w:rsidRPr="00CC28EC">
        <w:rPr>
          <w:i/>
          <w:iCs/>
          <w:sz w:val="24"/>
          <w:szCs w:val="24"/>
        </w:rPr>
        <w:t>în</w:t>
      </w:r>
      <w:proofErr w:type="spellEnd"/>
      <w:r w:rsidR="00E3463D" w:rsidRPr="00CC28EC">
        <w:rPr>
          <w:i/>
          <w:iCs/>
          <w:sz w:val="24"/>
          <w:szCs w:val="24"/>
        </w:rPr>
        <w:t xml:space="preserve"> </w:t>
      </w:r>
      <w:proofErr w:type="spellStart"/>
      <w:r w:rsidR="00E3463D" w:rsidRPr="00CC28EC">
        <w:rPr>
          <w:i/>
          <w:iCs/>
          <w:sz w:val="24"/>
          <w:szCs w:val="24"/>
        </w:rPr>
        <w:t>valut</w:t>
      </w:r>
      <w:r w:rsidR="00E844A4" w:rsidRPr="00CC28EC">
        <w:rPr>
          <w:i/>
          <w:iCs/>
          <w:sz w:val="24"/>
          <w:szCs w:val="24"/>
        </w:rPr>
        <w:t>ă</w:t>
      </w:r>
      <w:proofErr w:type="spellEnd"/>
      <w:r w:rsidR="00E3463D" w:rsidRPr="00CC28EC">
        <w:rPr>
          <w:i/>
          <w:iCs/>
          <w:sz w:val="24"/>
          <w:szCs w:val="24"/>
        </w:rPr>
        <w:t xml:space="preserve">) </w:t>
      </w:r>
      <w:proofErr w:type="spellStart"/>
      <w:r w:rsidR="00E3463D" w:rsidRPr="00CC28EC">
        <w:rPr>
          <w:i/>
          <w:iCs/>
          <w:sz w:val="24"/>
          <w:szCs w:val="24"/>
        </w:rPr>
        <w:t>contractate</w:t>
      </w:r>
      <w:proofErr w:type="spellEnd"/>
      <w:r w:rsidR="00E3463D" w:rsidRPr="00CC28EC">
        <w:rPr>
          <w:i/>
          <w:iCs/>
          <w:sz w:val="24"/>
          <w:szCs w:val="24"/>
        </w:rPr>
        <w:t xml:space="preserve"> pe termen </w:t>
      </w:r>
      <w:proofErr w:type="spellStart"/>
      <w:r w:rsidR="00E3463D" w:rsidRPr="00CC28EC">
        <w:rPr>
          <w:i/>
          <w:iCs/>
          <w:sz w:val="24"/>
          <w:szCs w:val="24"/>
        </w:rPr>
        <w:t>scurt</w:t>
      </w:r>
      <w:proofErr w:type="spellEnd"/>
      <w:r w:rsidR="00E3463D" w:rsidRPr="00CC28EC">
        <w:rPr>
          <w:i/>
          <w:iCs/>
          <w:sz w:val="24"/>
          <w:szCs w:val="24"/>
        </w:rPr>
        <w:t xml:space="preserve">, </w:t>
      </w:r>
      <w:proofErr w:type="spellStart"/>
      <w:r w:rsidR="00E3463D" w:rsidRPr="00CC28EC">
        <w:rPr>
          <w:i/>
          <w:iCs/>
          <w:sz w:val="24"/>
          <w:szCs w:val="24"/>
        </w:rPr>
        <w:t>mediu</w:t>
      </w:r>
      <w:proofErr w:type="spellEnd"/>
      <w:r w:rsidR="00E3463D" w:rsidRPr="00CC28EC">
        <w:rPr>
          <w:i/>
          <w:iCs/>
          <w:sz w:val="24"/>
          <w:szCs w:val="24"/>
        </w:rPr>
        <w:t xml:space="preserve"> </w:t>
      </w:r>
      <w:proofErr w:type="spellStart"/>
      <w:r w:rsidR="00E844A4" w:rsidRPr="00CC28EC">
        <w:rPr>
          <w:i/>
          <w:iCs/>
          <w:sz w:val="24"/>
          <w:szCs w:val="24"/>
        </w:rPr>
        <w:t>ș</w:t>
      </w:r>
      <w:r w:rsidR="00E3463D" w:rsidRPr="00CC28EC">
        <w:rPr>
          <w:i/>
          <w:iCs/>
          <w:sz w:val="24"/>
          <w:szCs w:val="24"/>
        </w:rPr>
        <w:t>i</w:t>
      </w:r>
      <w:proofErr w:type="spellEnd"/>
      <w:r w:rsidR="00E3463D" w:rsidRPr="00CC28EC">
        <w:rPr>
          <w:i/>
          <w:iCs/>
          <w:sz w:val="24"/>
          <w:szCs w:val="24"/>
        </w:rPr>
        <w:t xml:space="preserve"> lung, precum </w:t>
      </w:r>
      <w:proofErr w:type="spellStart"/>
      <w:r w:rsidR="00E844A4" w:rsidRPr="00CC28EC">
        <w:rPr>
          <w:i/>
          <w:iCs/>
          <w:sz w:val="24"/>
          <w:szCs w:val="24"/>
        </w:rPr>
        <w:t>ș</w:t>
      </w:r>
      <w:r w:rsidR="00E3463D" w:rsidRPr="00CC28EC">
        <w:rPr>
          <w:i/>
          <w:iCs/>
          <w:sz w:val="24"/>
          <w:szCs w:val="24"/>
        </w:rPr>
        <w:t>i</w:t>
      </w:r>
      <w:proofErr w:type="spellEnd"/>
      <w:r w:rsidR="00E3463D" w:rsidRPr="00CC28EC">
        <w:rPr>
          <w:i/>
          <w:iCs/>
          <w:sz w:val="24"/>
          <w:szCs w:val="24"/>
        </w:rPr>
        <w:t xml:space="preserve"> </w:t>
      </w:r>
      <w:proofErr w:type="spellStart"/>
      <w:r w:rsidR="00E3463D" w:rsidRPr="00CC28EC">
        <w:rPr>
          <w:i/>
          <w:iCs/>
          <w:sz w:val="24"/>
          <w:szCs w:val="24"/>
        </w:rPr>
        <w:t>obliga</w:t>
      </w:r>
      <w:r w:rsidR="00E844A4" w:rsidRPr="00CC28EC">
        <w:rPr>
          <w:i/>
          <w:iCs/>
          <w:sz w:val="24"/>
          <w:szCs w:val="24"/>
        </w:rPr>
        <w:t>ț</w:t>
      </w:r>
      <w:r w:rsidR="00E3463D" w:rsidRPr="00CC28EC">
        <w:rPr>
          <w:i/>
          <w:iCs/>
          <w:sz w:val="24"/>
          <w:szCs w:val="24"/>
        </w:rPr>
        <w:t>iile</w:t>
      </w:r>
      <w:proofErr w:type="spellEnd"/>
      <w:r w:rsidR="00E3463D" w:rsidRPr="00CC28EC">
        <w:rPr>
          <w:i/>
          <w:iCs/>
          <w:sz w:val="24"/>
          <w:szCs w:val="24"/>
        </w:rPr>
        <w:t xml:space="preserve"> </w:t>
      </w:r>
      <w:proofErr w:type="spellStart"/>
      <w:r w:rsidR="00E3463D" w:rsidRPr="00CC28EC">
        <w:rPr>
          <w:i/>
          <w:iCs/>
          <w:sz w:val="24"/>
          <w:szCs w:val="24"/>
        </w:rPr>
        <w:t>statului</w:t>
      </w:r>
      <w:proofErr w:type="spellEnd"/>
      <w:r w:rsidR="00E3463D" w:rsidRPr="00CC28EC">
        <w:rPr>
          <w:i/>
          <w:iCs/>
          <w:sz w:val="24"/>
          <w:szCs w:val="24"/>
        </w:rPr>
        <w:t xml:space="preserve"> </w:t>
      </w:r>
      <w:proofErr w:type="spellStart"/>
      <w:r w:rsidR="00E3463D" w:rsidRPr="00CC28EC">
        <w:rPr>
          <w:i/>
          <w:iCs/>
          <w:sz w:val="24"/>
          <w:szCs w:val="24"/>
        </w:rPr>
        <w:t>c</w:t>
      </w:r>
      <w:r w:rsidR="00E844A4" w:rsidRPr="00CC28EC">
        <w:rPr>
          <w:i/>
          <w:iCs/>
          <w:sz w:val="24"/>
          <w:szCs w:val="24"/>
        </w:rPr>
        <w:t>ă</w:t>
      </w:r>
      <w:r w:rsidR="00E3463D" w:rsidRPr="00CC28EC">
        <w:rPr>
          <w:i/>
          <w:iCs/>
          <w:sz w:val="24"/>
          <w:szCs w:val="24"/>
        </w:rPr>
        <w:t>tre</w:t>
      </w:r>
      <w:proofErr w:type="spellEnd"/>
      <w:r w:rsidR="00E3463D" w:rsidRPr="00CC28EC">
        <w:rPr>
          <w:i/>
          <w:iCs/>
          <w:sz w:val="24"/>
          <w:szCs w:val="24"/>
        </w:rPr>
        <w:t xml:space="preserve"> </w:t>
      </w:r>
      <w:proofErr w:type="spellStart"/>
      <w:r w:rsidR="00E3463D" w:rsidRPr="00CC28EC">
        <w:rPr>
          <w:i/>
          <w:iCs/>
          <w:sz w:val="24"/>
          <w:szCs w:val="24"/>
        </w:rPr>
        <w:t>trezoreria</w:t>
      </w:r>
      <w:proofErr w:type="spellEnd"/>
      <w:r w:rsidR="00E3463D" w:rsidRPr="00CC28EC">
        <w:rPr>
          <w:i/>
          <w:iCs/>
          <w:sz w:val="24"/>
          <w:szCs w:val="24"/>
        </w:rPr>
        <w:t xml:space="preserve"> </w:t>
      </w:r>
      <w:proofErr w:type="spellStart"/>
      <w:r w:rsidR="00E3463D" w:rsidRPr="00CC28EC">
        <w:rPr>
          <w:i/>
          <w:iCs/>
          <w:sz w:val="24"/>
          <w:szCs w:val="24"/>
        </w:rPr>
        <w:t>proprie</w:t>
      </w:r>
      <w:proofErr w:type="spellEnd"/>
      <w:r w:rsidR="00E3463D" w:rsidRPr="00CC28EC">
        <w:rPr>
          <w:i/>
          <w:iCs/>
          <w:sz w:val="24"/>
          <w:szCs w:val="24"/>
        </w:rPr>
        <w:t xml:space="preserve">, </w:t>
      </w:r>
      <w:proofErr w:type="spellStart"/>
      <w:r w:rsidR="00E3463D" w:rsidRPr="00CC28EC">
        <w:rPr>
          <w:i/>
          <w:iCs/>
          <w:sz w:val="24"/>
          <w:szCs w:val="24"/>
        </w:rPr>
        <w:t>pentru</w:t>
      </w:r>
      <w:proofErr w:type="spellEnd"/>
      <w:r w:rsidR="00E3463D" w:rsidRPr="00CC28EC">
        <w:rPr>
          <w:i/>
          <w:iCs/>
          <w:sz w:val="24"/>
          <w:szCs w:val="24"/>
        </w:rPr>
        <w:t xml:space="preserve"> </w:t>
      </w:r>
      <w:proofErr w:type="spellStart"/>
      <w:r w:rsidR="00E3463D" w:rsidRPr="00CC28EC">
        <w:rPr>
          <w:i/>
          <w:iCs/>
          <w:sz w:val="24"/>
          <w:szCs w:val="24"/>
        </w:rPr>
        <w:t>sumele</w:t>
      </w:r>
      <w:proofErr w:type="spellEnd"/>
      <w:r w:rsidR="00E3463D" w:rsidRPr="00CC28EC">
        <w:rPr>
          <w:i/>
          <w:iCs/>
          <w:sz w:val="24"/>
          <w:szCs w:val="24"/>
        </w:rPr>
        <w:t xml:space="preserve"> </w:t>
      </w:r>
      <w:proofErr w:type="spellStart"/>
      <w:r w:rsidR="00E3463D" w:rsidRPr="00CC28EC">
        <w:rPr>
          <w:i/>
          <w:iCs/>
          <w:sz w:val="24"/>
          <w:szCs w:val="24"/>
        </w:rPr>
        <w:t>avansate</w:t>
      </w:r>
      <w:proofErr w:type="spellEnd"/>
      <w:r w:rsidR="00E3463D" w:rsidRPr="00CC28EC">
        <w:rPr>
          <w:i/>
          <w:iCs/>
          <w:sz w:val="24"/>
          <w:szCs w:val="24"/>
        </w:rPr>
        <w:t xml:space="preserve"> </w:t>
      </w:r>
      <w:proofErr w:type="spellStart"/>
      <w:r w:rsidR="00E3463D" w:rsidRPr="00CC28EC">
        <w:rPr>
          <w:i/>
          <w:iCs/>
          <w:sz w:val="24"/>
          <w:szCs w:val="24"/>
        </w:rPr>
        <w:t>temporar</w:t>
      </w:r>
      <w:proofErr w:type="spellEnd"/>
      <w:r w:rsidR="00E3463D" w:rsidRPr="00CC28EC">
        <w:rPr>
          <w:i/>
          <w:iCs/>
          <w:sz w:val="24"/>
          <w:szCs w:val="24"/>
        </w:rPr>
        <w:t xml:space="preserve"> </w:t>
      </w:r>
      <w:proofErr w:type="spellStart"/>
      <w:r w:rsidR="00E3463D" w:rsidRPr="00CC28EC">
        <w:rPr>
          <w:i/>
          <w:iCs/>
          <w:sz w:val="24"/>
          <w:szCs w:val="24"/>
        </w:rPr>
        <w:t>în</w:t>
      </w:r>
      <w:proofErr w:type="spellEnd"/>
      <w:r w:rsidR="00E3463D" w:rsidRPr="00CC28EC">
        <w:rPr>
          <w:i/>
          <w:iCs/>
          <w:sz w:val="24"/>
          <w:szCs w:val="24"/>
        </w:rPr>
        <w:t xml:space="preserve"> </w:t>
      </w:r>
      <w:proofErr w:type="spellStart"/>
      <w:r w:rsidR="00E3463D" w:rsidRPr="00CC28EC">
        <w:rPr>
          <w:i/>
          <w:iCs/>
          <w:sz w:val="24"/>
          <w:szCs w:val="24"/>
        </w:rPr>
        <w:t>scopul</w:t>
      </w:r>
      <w:proofErr w:type="spellEnd"/>
      <w:r w:rsidR="00E3463D" w:rsidRPr="00CC28EC">
        <w:rPr>
          <w:i/>
          <w:iCs/>
          <w:sz w:val="24"/>
          <w:szCs w:val="24"/>
        </w:rPr>
        <w:t xml:space="preserve"> </w:t>
      </w:r>
      <w:proofErr w:type="spellStart"/>
      <w:r w:rsidR="00E3463D" w:rsidRPr="00CC28EC">
        <w:rPr>
          <w:i/>
          <w:iCs/>
          <w:sz w:val="24"/>
          <w:szCs w:val="24"/>
        </w:rPr>
        <w:t>acoperirii</w:t>
      </w:r>
      <w:proofErr w:type="spellEnd"/>
      <w:r w:rsidR="00E3463D" w:rsidRPr="00CC28EC">
        <w:rPr>
          <w:i/>
          <w:iCs/>
          <w:sz w:val="24"/>
          <w:szCs w:val="24"/>
        </w:rPr>
        <w:t xml:space="preserve"> </w:t>
      </w:r>
      <w:proofErr w:type="spellStart"/>
      <w:r w:rsidR="00E3463D" w:rsidRPr="00CC28EC">
        <w:rPr>
          <w:i/>
          <w:iCs/>
          <w:sz w:val="24"/>
          <w:szCs w:val="24"/>
        </w:rPr>
        <w:t>deficitului</w:t>
      </w:r>
      <w:proofErr w:type="spellEnd"/>
      <w:r w:rsidR="00E3463D" w:rsidRPr="00CC28EC">
        <w:rPr>
          <w:i/>
          <w:iCs/>
          <w:sz w:val="24"/>
          <w:szCs w:val="24"/>
        </w:rPr>
        <w:t xml:space="preserve"> </w:t>
      </w:r>
      <w:proofErr w:type="spellStart"/>
      <w:r w:rsidR="00E3463D" w:rsidRPr="00CC28EC">
        <w:rPr>
          <w:i/>
          <w:iCs/>
          <w:sz w:val="24"/>
          <w:szCs w:val="24"/>
        </w:rPr>
        <w:t>bugetar</w:t>
      </w:r>
      <w:proofErr w:type="spellEnd"/>
      <w:r w:rsidR="00E3463D" w:rsidRPr="00CC28EC">
        <w:rPr>
          <w:i/>
          <w:iCs/>
          <w:sz w:val="24"/>
          <w:szCs w:val="24"/>
        </w:rPr>
        <w:t>.</w:t>
      </w:r>
      <w:r w:rsidR="009A37CC" w:rsidRPr="00CC28EC">
        <w:rPr>
          <w:i/>
          <w:iCs/>
          <w:sz w:val="24"/>
          <w:szCs w:val="24"/>
        </w:rPr>
        <w:t>”</w:t>
      </w:r>
      <w:r w:rsidR="00E3463D" w:rsidRPr="00CC28EC">
        <w:rPr>
          <w:sz w:val="24"/>
          <w:szCs w:val="24"/>
        </w:rPr>
        <w:t xml:space="preserve"> </w:t>
      </w:r>
      <w:r w:rsidR="007313AC" w:rsidRPr="00CC28EC">
        <w:rPr>
          <w:sz w:val="24"/>
          <w:szCs w:val="24"/>
        </w:rPr>
        <w:t>(</w:t>
      </w:r>
      <w:bookmarkStart w:id="0" w:name="_Hlk83575962"/>
      <w:r w:rsidR="007313AC" w:rsidRPr="00CC28EC">
        <w:rPr>
          <w:sz w:val="24"/>
          <w:szCs w:val="24"/>
        </w:rPr>
        <w:fldChar w:fldCharType="begin"/>
      </w:r>
      <w:r w:rsidR="007313AC" w:rsidRPr="00CC28EC">
        <w:rPr>
          <w:sz w:val="24"/>
          <w:szCs w:val="24"/>
        </w:rPr>
        <w:instrText xml:space="preserve"> HYPERLINK "https://www.financialmarket.ro/terms/datorie-publica/" </w:instrText>
      </w:r>
      <w:r w:rsidR="007313AC" w:rsidRPr="00CC28EC">
        <w:rPr>
          <w:sz w:val="24"/>
          <w:szCs w:val="24"/>
        </w:rPr>
        <w:fldChar w:fldCharType="separate"/>
      </w:r>
      <w:r w:rsidR="007313AC" w:rsidRPr="00CC28EC">
        <w:rPr>
          <w:rStyle w:val="Hyperlink"/>
          <w:color w:val="auto"/>
          <w:sz w:val="24"/>
          <w:szCs w:val="24"/>
          <w:u w:val="none"/>
        </w:rPr>
        <w:t>https://www.financialmarket.ro/terms/datorie-publica/</w:t>
      </w:r>
      <w:r w:rsidR="007313AC" w:rsidRPr="00CC28EC">
        <w:rPr>
          <w:sz w:val="24"/>
          <w:szCs w:val="24"/>
        </w:rPr>
        <w:fldChar w:fldCharType="end"/>
      </w:r>
      <w:r w:rsidR="009C7FB1" w:rsidRPr="00CC28EC">
        <w:rPr>
          <w:sz w:val="24"/>
          <w:szCs w:val="24"/>
        </w:rPr>
        <w:t xml:space="preserve"> </w:t>
      </w:r>
      <w:proofErr w:type="spellStart"/>
      <w:r w:rsidR="009C7FB1" w:rsidRPr="00CC28EC">
        <w:rPr>
          <w:sz w:val="24"/>
          <w:szCs w:val="24"/>
        </w:rPr>
        <w:t>accesat</w:t>
      </w:r>
      <w:proofErr w:type="spellEnd"/>
      <w:r w:rsidR="009C7FB1" w:rsidRPr="00CC28EC">
        <w:rPr>
          <w:sz w:val="24"/>
          <w:szCs w:val="24"/>
        </w:rPr>
        <w:t xml:space="preserve"> la 26.09.2021</w:t>
      </w:r>
      <w:bookmarkEnd w:id="0"/>
      <w:r w:rsidR="007313AC" w:rsidRPr="00CC28EC">
        <w:rPr>
          <w:rStyle w:val="Hyperlink"/>
          <w:color w:val="auto"/>
          <w:sz w:val="24"/>
          <w:szCs w:val="24"/>
          <w:u w:val="none"/>
        </w:rPr>
        <w:t>)</w:t>
      </w:r>
    </w:p>
    <w:p w14:paraId="53375805" w14:textId="099870D7" w:rsidR="00D7208F" w:rsidRPr="00CC28EC" w:rsidRDefault="00D7208F" w:rsidP="007313AC">
      <w:pPr>
        <w:ind w:firstLine="720"/>
        <w:jc w:val="both"/>
        <w:rPr>
          <w:sz w:val="24"/>
          <w:szCs w:val="24"/>
        </w:rPr>
      </w:pP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de </w:t>
      </w:r>
      <w:proofErr w:type="spellStart"/>
      <w:r w:rsidRPr="00CC28EC">
        <w:rPr>
          <w:sz w:val="24"/>
          <w:szCs w:val="24"/>
        </w:rPr>
        <w:t>asemenea</w:t>
      </w:r>
      <w:proofErr w:type="spellEnd"/>
      <w:r w:rsidRPr="00CC28EC">
        <w:rPr>
          <w:sz w:val="24"/>
          <w:szCs w:val="24"/>
        </w:rPr>
        <w:t xml:space="preserve">, </w:t>
      </w:r>
      <w:proofErr w:type="spellStart"/>
      <w:r w:rsidRPr="00CC28EC">
        <w:rPr>
          <w:sz w:val="24"/>
          <w:szCs w:val="24"/>
        </w:rPr>
        <w:t>cunoscută</w:t>
      </w:r>
      <w:proofErr w:type="spellEnd"/>
      <w:r w:rsidRPr="00CC28EC">
        <w:rPr>
          <w:sz w:val="24"/>
          <w:szCs w:val="24"/>
        </w:rPr>
        <w:t xml:space="preserve"> sub </w:t>
      </w:r>
      <w:proofErr w:type="spellStart"/>
      <w:r w:rsidRPr="00CC28EC">
        <w:rPr>
          <w:sz w:val="24"/>
          <w:szCs w:val="24"/>
        </w:rPr>
        <w:t>numele</w:t>
      </w:r>
      <w:proofErr w:type="spellEnd"/>
      <w:r w:rsidRPr="00CC28EC">
        <w:rPr>
          <w:sz w:val="24"/>
          <w:szCs w:val="24"/>
        </w:rPr>
        <w:t xml:space="preserve"> </w:t>
      </w:r>
      <w:proofErr w:type="spellStart"/>
      <w:r w:rsidRPr="00CC28EC">
        <w:rPr>
          <w:sz w:val="24"/>
          <w:szCs w:val="24"/>
        </w:rPr>
        <w:t>datorie</w:t>
      </w:r>
      <w:proofErr w:type="spellEnd"/>
      <w:r w:rsidRPr="00CC28EC">
        <w:rPr>
          <w:sz w:val="24"/>
          <w:szCs w:val="24"/>
        </w:rPr>
        <w:t xml:space="preserve"> </w:t>
      </w:r>
      <w:proofErr w:type="spellStart"/>
      <w:r w:rsidRPr="00CC28EC">
        <w:rPr>
          <w:sz w:val="24"/>
          <w:szCs w:val="24"/>
        </w:rPr>
        <w:t>națională</w:t>
      </w:r>
      <w:proofErr w:type="spellEnd"/>
      <w:r w:rsidRPr="00CC28EC">
        <w:rPr>
          <w:sz w:val="24"/>
          <w:szCs w:val="24"/>
        </w:rPr>
        <w:t xml:space="preserve"> </w:t>
      </w:r>
      <w:proofErr w:type="spellStart"/>
      <w:r w:rsidRPr="00CC28EC">
        <w:rPr>
          <w:sz w:val="24"/>
          <w:szCs w:val="24"/>
        </w:rPr>
        <w:t>sau</w:t>
      </w:r>
      <w:proofErr w:type="spellEnd"/>
      <w:r w:rsidRPr="00CC28EC">
        <w:rPr>
          <w:sz w:val="24"/>
          <w:szCs w:val="24"/>
        </w:rPr>
        <w:t xml:space="preserve"> </w:t>
      </w:r>
      <w:proofErr w:type="spellStart"/>
      <w:r w:rsidRPr="00CC28EC">
        <w:rPr>
          <w:sz w:val="24"/>
          <w:szCs w:val="24"/>
        </w:rPr>
        <w:t>datorie</w:t>
      </w:r>
      <w:proofErr w:type="spellEnd"/>
      <w:r w:rsidRPr="00CC28EC">
        <w:rPr>
          <w:sz w:val="24"/>
          <w:szCs w:val="24"/>
        </w:rPr>
        <w:t xml:space="preserve"> </w:t>
      </w:r>
      <w:proofErr w:type="spellStart"/>
      <w:r w:rsidRPr="00CC28EC">
        <w:rPr>
          <w:sz w:val="24"/>
          <w:szCs w:val="24"/>
        </w:rPr>
        <w:t>suverană</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reprezintă</w:t>
      </w:r>
      <w:proofErr w:type="spellEnd"/>
      <w:r w:rsidR="007313AC" w:rsidRPr="00CC28EC">
        <w:rPr>
          <w:sz w:val="24"/>
          <w:szCs w:val="24"/>
        </w:rPr>
        <w:t xml:space="preserve"> </w:t>
      </w:r>
      <w:proofErr w:type="spellStart"/>
      <w:r w:rsidR="007313AC" w:rsidRPr="00CC28EC">
        <w:rPr>
          <w:sz w:val="24"/>
          <w:szCs w:val="24"/>
        </w:rPr>
        <w:t>suma</w:t>
      </w:r>
      <w:proofErr w:type="spellEnd"/>
      <w:r w:rsidR="007313AC" w:rsidRPr="00CC28EC">
        <w:rPr>
          <w:sz w:val="24"/>
          <w:szCs w:val="24"/>
        </w:rPr>
        <w:t xml:space="preserve"> de</w:t>
      </w:r>
      <w:r w:rsidRPr="00CC28EC">
        <w:rPr>
          <w:sz w:val="24"/>
          <w:szCs w:val="24"/>
        </w:rPr>
        <w:t xml:space="preserve"> </w:t>
      </w:r>
      <w:proofErr w:type="spellStart"/>
      <w:r w:rsidRPr="00CC28EC">
        <w:rPr>
          <w:sz w:val="24"/>
          <w:szCs w:val="24"/>
        </w:rPr>
        <w:t>bani</w:t>
      </w:r>
      <w:proofErr w:type="spellEnd"/>
      <w:r w:rsidRPr="00CC28EC">
        <w:rPr>
          <w:sz w:val="24"/>
          <w:szCs w:val="24"/>
        </w:rPr>
        <w:t xml:space="preserve"> (</w:t>
      </w:r>
      <w:proofErr w:type="spellStart"/>
      <w:r w:rsidRPr="00CC28EC">
        <w:rPr>
          <w:sz w:val="24"/>
          <w:szCs w:val="24"/>
        </w:rPr>
        <w:t>sau</w:t>
      </w:r>
      <w:proofErr w:type="spellEnd"/>
      <w:r w:rsidRPr="00CC28EC">
        <w:rPr>
          <w:sz w:val="24"/>
          <w:szCs w:val="24"/>
        </w:rPr>
        <w:t xml:space="preserve"> </w:t>
      </w:r>
      <w:proofErr w:type="spellStart"/>
      <w:r w:rsidR="007313AC" w:rsidRPr="00CC28EC">
        <w:rPr>
          <w:sz w:val="24"/>
          <w:szCs w:val="24"/>
        </w:rPr>
        <w:t>volumul</w:t>
      </w:r>
      <w:proofErr w:type="spellEnd"/>
      <w:r w:rsidR="007313AC" w:rsidRPr="00CC28EC">
        <w:rPr>
          <w:sz w:val="24"/>
          <w:szCs w:val="24"/>
        </w:rPr>
        <w:t xml:space="preserve"> de </w:t>
      </w:r>
      <w:proofErr w:type="spellStart"/>
      <w:r w:rsidRPr="00CC28EC">
        <w:rPr>
          <w:sz w:val="24"/>
          <w:szCs w:val="24"/>
        </w:rPr>
        <w:t>credite</w:t>
      </w:r>
      <w:proofErr w:type="spellEnd"/>
      <w:r w:rsidRPr="00CC28EC">
        <w:rPr>
          <w:sz w:val="24"/>
          <w:szCs w:val="24"/>
        </w:rPr>
        <w:t xml:space="preserve">) </w:t>
      </w:r>
      <w:proofErr w:type="spellStart"/>
      <w:r w:rsidRPr="00CC28EC">
        <w:rPr>
          <w:sz w:val="24"/>
          <w:szCs w:val="24"/>
        </w:rPr>
        <w:t>datorate</w:t>
      </w:r>
      <w:proofErr w:type="spellEnd"/>
      <w:r w:rsidRPr="00CC28EC">
        <w:rPr>
          <w:sz w:val="24"/>
          <w:szCs w:val="24"/>
        </w:rPr>
        <w:t xml:space="preserve"> de </w:t>
      </w:r>
      <w:proofErr w:type="spellStart"/>
      <w:r w:rsidRPr="00CC28EC">
        <w:rPr>
          <w:sz w:val="24"/>
          <w:szCs w:val="24"/>
        </w:rPr>
        <w:t>guvern</w:t>
      </w:r>
      <w:r w:rsidR="007313AC" w:rsidRPr="00CC28EC">
        <w:rPr>
          <w:sz w:val="24"/>
          <w:szCs w:val="24"/>
        </w:rPr>
        <w:t>ul</w:t>
      </w:r>
      <w:proofErr w:type="spellEnd"/>
      <w:r w:rsidRPr="00CC28EC">
        <w:rPr>
          <w:sz w:val="24"/>
          <w:szCs w:val="24"/>
        </w:rPr>
        <w:t xml:space="preserve"> central </w:t>
      </w:r>
      <w:proofErr w:type="spellStart"/>
      <w:r w:rsidRPr="00CC28EC">
        <w:rPr>
          <w:sz w:val="24"/>
          <w:szCs w:val="24"/>
        </w:rPr>
        <w:t>creditorilor</w:t>
      </w:r>
      <w:proofErr w:type="spellEnd"/>
      <w:r w:rsidRPr="00CC28EC">
        <w:rPr>
          <w:sz w:val="24"/>
          <w:szCs w:val="24"/>
        </w:rPr>
        <w:t xml:space="preserve"> din </w:t>
      </w:r>
      <w:proofErr w:type="spellStart"/>
      <w:r w:rsidRPr="00CC28EC">
        <w:rPr>
          <w:sz w:val="24"/>
          <w:szCs w:val="24"/>
        </w:rPr>
        <w:t>țară</w:t>
      </w:r>
      <w:proofErr w:type="spellEnd"/>
      <w:r w:rsidRPr="00CC28EC">
        <w:rPr>
          <w:sz w:val="24"/>
          <w:szCs w:val="24"/>
        </w:rPr>
        <w:t xml:space="preserve"> (</w:t>
      </w:r>
      <w:proofErr w:type="spellStart"/>
      <w:r w:rsidRPr="00CC28EC">
        <w:rPr>
          <w:sz w:val="24"/>
          <w:szCs w:val="24"/>
        </w:rPr>
        <w:t>datorie</w:t>
      </w:r>
      <w:proofErr w:type="spellEnd"/>
      <w:r w:rsidRPr="00CC28EC">
        <w:rPr>
          <w:sz w:val="24"/>
          <w:szCs w:val="24"/>
        </w:rPr>
        <w:t xml:space="preserve"> </w:t>
      </w:r>
      <w:proofErr w:type="spellStart"/>
      <w:r w:rsidRPr="00CC28EC">
        <w:rPr>
          <w:sz w:val="24"/>
          <w:szCs w:val="24"/>
        </w:rPr>
        <w:t>internă</w:t>
      </w:r>
      <w:proofErr w:type="spellEnd"/>
      <w:r w:rsidRPr="00CC28EC">
        <w:rPr>
          <w:sz w:val="24"/>
          <w:szCs w:val="24"/>
        </w:rPr>
        <w:t xml:space="preserve">), precum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creditorilor</w:t>
      </w:r>
      <w:proofErr w:type="spellEnd"/>
      <w:r w:rsidRPr="00CC28EC">
        <w:rPr>
          <w:sz w:val="24"/>
          <w:szCs w:val="24"/>
        </w:rPr>
        <w:t xml:space="preserve"> </w:t>
      </w:r>
      <w:proofErr w:type="spellStart"/>
      <w:r w:rsidRPr="00CC28EC">
        <w:rPr>
          <w:sz w:val="24"/>
          <w:szCs w:val="24"/>
        </w:rPr>
        <w:t>internaționali</w:t>
      </w:r>
      <w:proofErr w:type="spellEnd"/>
      <w:r w:rsidR="007313AC" w:rsidRPr="00CC28EC">
        <w:rPr>
          <w:sz w:val="24"/>
          <w:szCs w:val="24"/>
        </w:rPr>
        <w:t xml:space="preserve"> (</w:t>
      </w:r>
      <w:proofErr w:type="spellStart"/>
      <w:r w:rsidR="007313AC" w:rsidRPr="00CC28EC">
        <w:rPr>
          <w:sz w:val="24"/>
          <w:szCs w:val="24"/>
        </w:rPr>
        <w:t>datorie</w:t>
      </w:r>
      <w:proofErr w:type="spellEnd"/>
      <w:r w:rsidR="007313AC" w:rsidRPr="00CC28EC">
        <w:rPr>
          <w:sz w:val="24"/>
          <w:szCs w:val="24"/>
        </w:rPr>
        <w:t xml:space="preserve"> </w:t>
      </w:r>
      <w:proofErr w:type="spellStart"/>
      <w:r w:rsidR="007313AC" w:rsidRPr="00CC28EC">
        <w:rPr>
          <w:sz w:val="24"/>
          <w:szCs w:val="24"/>
        </w:rPr>
        <w:t>externă</w:t>
      </w:r>
      <w:proofErr w:type="spellEnd"/>
      <w:r w:rsidR="007313AC" w:rsidRPr="00CC28EC">
        <w:rPr>
          <w:sz w:val="24"/>
          <w:szCs w:val="24"/>
        </w:rPr>
        <w:t>)</w:t>
      </w:r>
      <w:r w:rsidRPr="00CC28EC">
        <w:rPr>
          <w:sz w:val="24"/>
          <w:szCs w:val="24"/>
        </w:rPr>
        <w:t>.</w:t>
      </w:r>
    </w:p>
    <w:p w14:paraId="19038C88" w14:textId="77777777" w:rsidR="008944CE" w:rsidRPr="00CC28EC" w:rsidRDefault="00EC08FA" w:rsidP="007313AC">
      <w:pPr>
        <w:ind w:firstLine="720"/>
        <w:jc w:val="both"/>
        <w:rPr>
          <w:sz w:val="24"/>
          <w:szCs w:val="24"/>
        </w:rPr>
      </w:pPr>
      <w:proofErr w:type="spellStart"/>
      <w:r w:rsidRPr="00CC28EC">
        <w:rPr>
          <w:sz w:val="24"/>
          <w:szCs w:val="24"/>
        </w:rPr>
        <w:t>Preocuparea</w:t>
      </w:r>
      <w:proofErr w:type="spellEnd"/>
      <w:r w:rsidRPr="00CC28EC">
        <w:rPr>
          <w:sz w:val="24"/>
          <w:szCs w:val="24"/>
        </w:rPr>
        <w:t xml:space="preserve">, </w:t>
      </w:r>
      <w:proofErr w:type="spellStart"/>
      <w:r w:rsidRPr="00CC28EC">
        <w:rPr>
          <w:sz w:val="24"/>
          <w:szCs w:val="24"/>
        </w:rPr>
        <w:t>s</w:t>
      </w:r>
      <w:r w:rsidR="00FB3795" w:rsidRPr="00CC28EC">
        <w:rPr>
          <w:sz w:val="24"/>
          <w:szCs w:val="24"/>
        </w:rPr>
        <w:t>tudiul</w:t>
      </w:r>
      <w:proofErr w:type="spellEnd"/>
      <w:r w:rsidR="00FB3795" w:rsidRPr="00CC28EC">
        <w:rPr>
          <w:sz w:val="24"/>
          <w:szCs w:val="24"/>
        </w:rPr>
        <w:t xml:space="preserve"> </w:t>
      </w:r>
      <w:proofErr w:type="spellStart"/>
      <w:r w:rsidR="00FB3795" w:rsidRPr="00CC28EC">
        <w:rPr>
          <w:sz w:val="24"/>
          <w:szCs w:val="24"/>
        </w:rPr>
        <w:t>și</w:t>
      </w:r>
      <w:proofErr w:type="spellEnd"/>
      <w:r w:rsidR="00FB3795" w:rsidRPr="00CC28EC">
        <w:rPr>
          <w:sz w:val="24"/>
          <w:szCs w:val="24"/>
        </w:rPr>
        <w:t xml:space="preserve"> </w:t>
      </w:r>
      <w:proofErr w:type="spellStart"/>
      <w:r w:rsidR="00FB3795" w:rsidRPr="00CC28EC">
        <w:rPr>
          <w:sz w:val="24"/>
          <w:szCs w:val="24"/>
        </w:rPr>
        <w:t>analiza</w:t>
      </w:r>
      <w:proofErr w:type="spellEnd"/>
      <w:r w:rsidR="00FB3795" w:rsidRPr="00CC28EC">
        <w:rPr>
          <w:sz w:val="24"/>
          <w:szCs w:val="24"/>
        </w:rPr>
        <w:t xml:space="preserve"> se </w:t>
      </w:r>
      <w:proofErr w:type="spellStart"/>
      <w:r w:rsidR="00FB3795" w:rsidRPr="00CC28EC">
        <w:rPr>
          <w:sz w:val="24"/>
          <w:szCs w:val="24"/>
        </w:rPr>
        <w:t>datorează</w:t>
      </w:r>
      <w:proofErr w:type="spellEnd"/>
      <w:r w:rsidR="00FB3795" w:rsidRPr="00CC28EC">
        <w:rPr>
          <w:sz w:val="24"/>
          <w:szCs w:val="24"/>
        </w:rPr>
        <w:t xml:space="preserve"> </w:t>
      </w:r>
      <w:proofErr w:type="spellStart"/>
      <w:r w:rsidR="00FB3795" w:rsidRPr="00CC28EC">
        <w:rPr>
          <w:sz w:val="24"/>
          <w:szCs w:val="24"/>
        </w:rPr>
        <w:t>faptului</w:t>
      </w:r>
      <w:proofErr w:type="spellEnd"/>
      <w:r w:rsidR="00FB3795" w:rsidRPr="00CC28EC">
        <w:rPr>
          <w:sz w:val="24"/>
          <w:szCs w:val="24"/>
        </w:rPr>
        <w:t xml:space="preserve"> </w:t>
      </w:r>
      <w:proofErr w:type="spellStart"/>
      <w:r w:rsidR="00FB3795" w:rsidRPr="00CC28EC">
        <w:rPr>
          <w:sz w:val="24"/>
          <w:szCs w:val="24"/>
        </w:rPr>
        <w:t>că</w:t>
      </w:r>
      <w:proofErr w:type="spellEnd"/>
      <w:r w:rsidR="00FB3795" w:rsidRPr="00CC28EC">
        <w:rPr>
          <w:sz w:val="24"/>
          <w:szCs w:val="24"/>
        </w:rPr>
        <w:t xml:space="preserve"> </w:t>
      </w:r>
      <w:proofErr w:type="spellStart"/>
      <w:r w:rsidR="00FB3795" w:rsidRPr="00CC28EC">
        <w:rPr>
          <w:sz w:val="24"/>
          <w:szCs w:val="24"/>
        </w:rPr>
        <w:t>d</w:t>
      </w:r>
      <w:r w:rsidR="00CD1BB1" w:rsidRPr="00CC28EC">
        <w:rPr>
          <w:sz w:val="24"/>
          <w:szCs w:val="24"/>
        </w:rPr>
        <w:t>atoria</w:t>
      </w:r>
      <w:proofErr w:type="spellEnd"/>
      <w:r w:rsidR="00CD1BB1" w:rsidRPr="00CC28EC">
        <w:rPr>
          <w:sz w:val="24"/>
          <w:szCs w:val="24"/>
        </w:rPr>
        <w:t xml:space="preserve"> </w:t>
      </w:r>
      <w:proofErr w:type="spellStart"/>
      <w:r w:rsidR="00FB3795" w:rsidRPr="00CC28EC">
        <w:rPr>
          <w:sz w:val="24"/>
          <w:szCs w:val="24"/>
        </w:rPr>
        <w:t>publică</w:t>
      </w:r>
      <w:proofErr w:type="spellEnd"/>
      <w:r w:rsidR="00FB3795" w:rsidRPr="00CC28EC">
        <w:rPr>
          <w:sz w:val="24"/>
          <w:szCs w:val="24"/>
        </w:rPr>
        <w:t xml:space="preserve"> a </w:t>
      </w:r>
      <w:proofErr w:type="spellStart"/>
      <w:r w:rsidR="00FB3795" w:rsidRPr="00CC28EC">
        <w:rPr>
          <w:sz w:val="24"/>
          <w:szCs w:val="24"/>
        </w:rPr>
        <w:t>majorității</w:t>
      </w:r>
      <w:proofErr w:type="spellEnd"/>
      <w:r w:rsidR="00FB3795" w:rsidRPr="00CC28EC">
        <w:rPr>
          <w:sz w:val="24"/>
          <w:szCs w:val="24"/>
        </w:rPr>
        <w:t xml:space="preserve"> </w:t>
      </w:r>
      <w:proofErr w:type="spellStart"/>
      <w:r w:rsidR="00FB3795" w:rsidRPr="00CC28EC">
        <w:rPr>
          <w:sz w:val="24"/>
          <w:szCs w:val="24"/>
        </w:rPr>
        <w:t>statelor</w:t>
      </w:r>
      <w:proofErr w:type="spellEnd"/>
      <w:r w:rsidR="00B037F3" w:rsidRPr="00CC28EC">
        <w:rPr>
          <w:sz w:val="24"/>
          <w:szCs w:val="24"/>
        </w:rPr>
        <w:t xml:space="preserve"> </w:t>
      </w:r>
      <w:proofErr w:type="gramStart"/>
      <w:r w:rsidR="00B037F3" w:rsidRPr="00CC28EC">
        <w:rPr>
          <w:sz w:val="24"/>
          <w:szCs w:val="24"/>
        </w:rPr>
        <w:t>a</w:t>
      </w:r>
      <w:proofErr w:type="gramEnd"/>
      <w:r w:rsidR="00CD1BB1" w:rsidRPr="00CC28EC">
        <w:rPr>
          <w:sz w:val="24"/>
          <w:szCs w:val="24"/>
        </w:rPr>
        <w:t xml:space="preserve"> </w:t>
      </w:r>
      <w:proofErr w:type="spellStart"/>
      <w:r w:rsidR="00CD1BB1" w:rsidRPr="00CC28EC">
        <w:rPr>
          <w:sz w:val="24"/>
          <w:szCs w:val="24"/>
        </w:rPr>
        <w:t>atins</w:t>
      </w:r>
      <w:proofErr w:type="spellEnd"/>
      <w:r w:rsidR="00CD1BB1" w:rsidRPr="00CC28EC">
        <w:rPr>
          <w:sz w:val="24"/>
          <w:szCs w:val="24"/>
        </w:rPr>
        <w:t xml:space="preserve"> </w:t>
      </w:r>
      <w:proofErr w:type="spellStart"/>
      <w:r w:rsidR="00CD1BB1" w:rsidRPr="00CC28EC">
        <w:rPr>
          <w:sz w:val="24"/>
          <w:szCs w:val="24"/>
        </w:rPr>
        <w:t>niveluri</w:t>
      </w:r>
      <w:proofErr w:type="spellEnd"/>
      <w:r w:rsidR="00CD1BB1" w:rsidRPr="00CC28EC">
        <w:rPr>
          <w:sz w:val="24"/>
          <w:szCs w:val="24"/>
        </w:rPr>
        <w:t xml:space="preserve"> </w:t>
      </w:r>
      <w:proofErr w:type="spellStart"/>
      <w:r w:rsidR="00CD1BB1" w:rsidRPr="00CC28EC">
        <w:rPr>
          <w:sz w:val="24"/>
          <w:szCs w:val="24"/>
        </w:rPr>
        <w:t>uriașe</w:t>
      </w:r>
      <w:proofErr w:type="spellEnd"/>
      <w:r w:rsidR="008944CE" w:rsidRPr="00CC28EC">
        <w:rPr>
          <w:sz w:val="24"/>
          <w:szCs w:val="24"/>
        </w:rPr>
        <w:t xml:space="preserve"> </w:t>
      </w:r>
      <w:proofErr w:type="spellStart"/>
      <w:r w:rsidR="008944CE" w:rsidRPr="00CC28EC">
        <w:rPr>
          <w:sz w:val="24"/>
          <w:szCs w:val="24"/>
        </w:rPr>
        <w:t>în</w:t>
      </w:r>
      <w:proofErr w:type="spellEnd"/>
      <w:r w:rsidR="008944CE" w:rsidRPr="00CC28EC">
        <w:rPr>
          <w:sz w:val="24"/>
          <w:szCs w:val="24"/>
        </w:rPr>
        <w:t xml:space="preserve"> </w:t>
      </w:r>
      <w:proofErr w:type="spellStart"/>
      <w:r w:rsidR="008944CE" w:rsidRPr="00CC28EC">
        <w:rPr>
          <w:sz w:val="24"/>
          <w:szCs w:val="24"/>
        </w:rPr>
        <w:t>altima</w:t>
      </w:r>
      <w:proofErr w:type="spellEnd"/>
      <w:r w:rsidR="008944CE" w:rsidRPr="00CC28EC">
        <w:rPr>
          <w:sz w:val="24"/>
          <w:szCs w:val="24"/>
        </w:rPr>
        <w:t xml:space="preserve"> </w:t>
      </w:r>
      <w:proofErr w:type="spellStart"/>
      <w:r w:rsidR="008944CE" w:rsidRPr="00CC28EC">
        <w:rPr>
          <w:sz w:val="24"/>
          <w:szCs w:val="24"/>
        </w:rPr>
        <w:t>perioadă</w:t>
      </w:r>
      <w:proofErr w:type="spellEnd"/>
      <w:r w:rsidR="00CD1BB1" w:rsidRPr="00CC28EC">
        <w:rPr>
          <w:sz w:val="24"/>
          <w:szCs w:val="24"/>
        </w:rPr>
        <w:t xml:space="preserve">. </w:t>
      </w:r>
      <w:proofErr w:type="spellStart"/>
      <w:r w:rsidR="002A4FD2" w:rsidRPr="00CC28EC">
        <w:rPr>
          <w:sz w:val="24"/>
          <w:szCs w:val="24"/>
        </w:rPr>
        <w:t>Asistăm</w:t>
      </w:r>
      <w:proofErr w:type="spellEnd"/>
      <w:r w:rsidR="002A4FD2" w:rsidRPr="00CC28EC">
        <w:rPr>
          <w:sz w:val="24"/>
          <w:szCs w:val="24"/>
        </w:rPr>
        <w:t xml:space="preserve"> la </w:t>
      </w:r>
      <w:proofErr w:type="spellStart"/>
      <w:r w:rsidR="002A4FD2" w:rsidRPr="00CC28EC">
        <w:rPr>
          <w:sz w:val="24"/>
          <w:szCs w:val="24"/>
        </w:rPr>
        <w:t>creșterea</w:t>
      </w:r>
      <w:proofErr w:type="spellEnd"/>
      <w:r w:rsidR="002A4FD2" w:rsidRPr="00CC28EC">
        <w:rPr>
          <w:sz w:val="24"/>
          <w:szCs w:val="24"/>
        </w:rPr>
        <w:t xml:space="preserve"> </w:t>
      </w:r>
      <w:proofErr w:type="spellStart"/>
      <w:r w:rsidR="002A4FD2" w:rsidRPr="00CC28EC">
        <w:rPr>
          <w:sz w:val="24"/>
          <w:szCs w:val="24"/>
        </w:rPr>
        <w:t>nivelului</w:t>
      </w:r>
      <w:proofErr w:type="spellEnd"/>
      <w:r w:rsidR="002A4FD2" w:rsidRPr="00CC28EC">
        <w:rPr>
          <w:sz w:val="24"/>
          <w:szCs w:val="24"/>
        </w:rPr>
        <w:t xml:space="preserve"> </w:t>
      </w:r>
      <w:proofErr w:type="spellStart"/>
      <w:r w:rsidR="002A4FD2" w:rsidRPr="00CC28EC">
        <w:rPr>
          <w:sz w:val="24"/>
          <w:szCs w:val="24"/>
        </w:rPr>
        <w:t>datoriilor</w:t>
      </w:r>
      <w:proofErr w:type="spellEnd"/>
      <w:r w:rsidR="002A4FD2" w:rsidRPr="00CC28EC">
        <w:rPr>
          <w:sz w:val="24"/>
          <w:szCs w:val="24"/>
        </w:rPr>
        <w:t xml:space="preserve"> </w:t>
      </w:r>
      <w:proofErr w:type="spellStart"/>
      <w:r w:rsidR="002A4FD2" w:rsidRPr="00CC28EC">
        <w:rPr>
          <w:sz w:val="24"/>
          <w:szCs w:val="24"/>
        </w:rPr>
        <w:t>în</w:t>
      </w:r>
      <w:proofErr w:type="spellEnd"/>
      <w:r w:rsidR="002A4FD2" w:rsidRPr="00CC28EC">
        <w:rPr>
          <w:sz w:val="24"/>
          <w:szCs w:val="24"/>
        </w:rPr>
        <w:t xml:space="preserve"> </w:t>
      </w:r>
      <w:proofErr w:type="spellStart"/>
      <w:r w:rsidR="002A4FD2" w:rsidRPr="00CC28EC">
        <w:rPr>
          <w:sz w:val="24"/>
          <w:szCs w:val="24"/>
        </w:rPr>
        <w:t>multe</w:t>
      </w:r>
      <w:proofErr w:type="spellEnd"/>
      <w:r w:rsidR="002A4FD2" w:rsidRPr="00CC28EC">
        <w:rPr>
          <w:sz w:val="24"/>
          <w:szCs w:val="24"/>
        </w:rPr>
        <w:t xml:space="preserve"> </w:t>
      </w:r>
      <w:proofErr w:type="spellStart"/>
      <w:r w:rsidR="002A4FD2" w:rsidRPr="00CC28EC">
        <w:rPr>
          <w:sz w:val="24"/>
          <w:szCs w:val="24"/>
        </w:rPr>
        <w:t>țări</w:t>
      </w:r>
      <w:proofErr w:type="spellEnd"/>
      <w:r w:rsidR="002A4FD2" w:rsidRPr="00CC28EC">
        <w:rPr>
          <w:sz w:val="24"/>
          <w:szCs w:val="24"/>
        </w:rPr>
        <w:t xml:space="preserve">, </w:t>
      </w:r>
      <w:proofErr w:type="spellStart"/>
      <w:r w:rsidR="002A4FD2" w:rsidRPr="00CC28EC">
        <w:rPr>
          <w:sz w:val="24"/>
          <w:szCs w:val="24"/>
        </w:rPr>
        <w:t>uneori</w:t>
      </w:r>
      <w:proofErr w:type="spellEnd"/>
      <w:r w:rsidR="002A4FD2" w:rsidRPr="00CC28EC">
        <w:rPr>
          <w:sz w:val="24"/>
          <w:szCs w:val="24"/>
        </w:rPr>
        <w:t xml:space="preserve"> </w:t>
      </w:r>
      <w:proofErr w:type="spellStart"/>
      <w:r w:rsidR="002A4FD2" w:rsidRPr="00CC28EC">
        <w:rPr>
          <w:sz w:val="24"/>
          <w:szCs w:val="24"/>
        </w:rPr>
        <w:t>cuplate</w:t>
      </w:r>
      <w:proofErr w:type="spellEnd"/>
      <w:r w:rsidR="002A4FD2" w:rsidRPr="00CC28EC">
        <w:rPr>
          <w:sz w:val="24"/>
          <w:szCs w:val="24"/>
        </w:rPr>
        <w:t xml:space="preserve"> cu </w:t>
      </w:r>
      <w:proofErr w:type="spellStart"/>
      <w:r w:rsidR="002A4FD2" w:rsidRPr="00CC28EC">
        <w:rPr>
          <w:sz w:val="24"/>
          <w:szCs w:val="24"/>
        </w:rPr>
        <w:t>practici</w:t>
      </w:r>
      <w:proofErr w:type="spellEnd"/>
      <w:r w:rsidR="002A4FD2" w:rsidRPr="00CC28EC">
        <w:rPr>
          <w:sz w:val="24"/>
          <w:szCs w:val="24"/>
        </w:rPr>
        <w:t xml:space="preserve"> de </w:t>
      </w:r>
      <w:proofErr w:type="spellStart"/>
      <w:r w:rsidR="002A4FD2" w:rsidRPr="00CC28EC">
        <w:rPr>
          <w:sz w:val="24"/>
          <w:szCs w:val="24"/>
        </w:rPr>
        <w:t>creditare</w:t>
      </w:r>
      <w:proofErr w:type="spellEnd"/>
      <w:r w:rsidR="002A4FD2" w:rsidRPr="00CC28EC">
        <w:rPr>
          <w:sz w:val="24"/>
          <w:szCs w:val="24"/>
        </w:rPr>
        <w:t xml:space="preserve"> </w:t>
      </w:r>
      <w:proofErr w:type="spellStart"/>
      <w:r w:rsidR="002A4FD2" w:rsidRPr="00CC28EC">
        <w:rPr>
          <w:sz w:val="24"/>
          <w:szCs w:val="24"/>
        </w:rPr>
        <w:t>nesustenabile</w:t>
      </w:r>
      <w:proofErr w:type="spellEnd"/>
      <w:r w:rsidR="002A4FD2" w:rsidRPr="00CC28EC">
        <w:rPr>
          <w:sz w:val="24"/>
          <w:szCs w:val="24"/>
        </w:rPr>
        <w:t xml:space="preserve">, </w:t>
      </w:r>
      <w:proofErr w:type="spellStart"/>
      <w:r w:rsidR="002A4FD2" w:rsidRPr="00CC28EC">
        <w:rPr>
          <w:sz w:val="24"/>
          <w:szCs w:val="24"/>
        </w:rPr>
        <w:t>transparență</w:t>
      </w:r>
      <w:proofErr w:type="spellEnd"/>
      <w:r w:rsidR="002A4FD2" w:rsidRPr="00CC28EC">
        <w:rPr>
          <w:sz w:val="24"/>
          <w:szCs w:val="24"/>
        </w:rPr>
        <w:t xml:space="preserve"> </w:t>
      </w:r>
      <w:proofErr w:type="spellStart"/>
      <w:r w:rsidR="002A4FD2" w:rsidRPr="00CC28EC">
        <w:rPr>
          <w:sz w:val="24"/>
          <w:szCs w:val="24"/>
        </w:rPr>
        <w:t>insuficientă</w:t>
      </w:r>
      <w:proofErr w:type="spellEnd"/>
      <w:r w:rsidR="002A4FD2" w:rsidRPr="00CC28EC">
        <w:rPr>
          <w:sz w:val="24"/>
          <w:szCs w:val="24"/>
        </w:rPr>
        <w:t xml:space="preserve"> </w:t>
      </w:r>
      <w:proofErr w:type="spellStart"/>
      <w:r w:rsidR="002A4FD2" w:rsidRPr="00CC28EC">
        <w:rPr>
          <w:sz w:val="24"/>
          <w:szCs w:val="24"/>
        </w:rPr>
        <w:t>și</w:t>
      </w:r>
      <w:proofErr w:type="spellEnd"/>
      <w:r w:rsidR="002A4FD2" w:rsidRPr="00CC28EC">
        <w:rPr>
          <w:sz w:val="24"/>
          <w:szCs w:val="24"/>
        </w:rPr>
        <w:t xml:space="preserve"> </w:t>
      </w:r>
      <w:proofErr w:type="spellStart"/>
      <w:r w:rsidR="002A4FD2" w:rsidRPr="00CC28EC">
        <w:rPr>
          <w:sz w:val="24"/>
          <w:szCs w:val="24"/>
        </w:rPr>
        <w:t>mecanisme</w:t>
      </w:r>
      <w:proofErr w:type="spellEnd"/>
      <w:r w:rsidR="002A4FD2" w:rsidRPr="00CC28EC">
        <w:rPr>
          <w:sz w:val="24"/>
          <w:szCs w:val="24"/>
        </w:rPr>
        <w:t xml:space="preserve"> </w:t>
      </w:r>
      <w:proofErr w:type="spellStart"/>
      <w:r w:rsidR="002A4FD2" w:rsidRPr="00CC28EC">
        <w:rPr>
          <w:sz w:val="24"/>
          <w:szCs w:val="24"/>
        </w:rPr>
        <w:t>imperfecte</w:t>
      </w:r>
      <w:proofErr w:type="spellEnd"/>
      <w:r w:rsidR="002A4FD2" w:rsidRPr="00CC28EC">
        <w:rPr>
          <w:sz w:val="24"/>
          <w:szCs w:val="24"/>
        </w:rPr>
        <w:t xml:space="preserve"> de </w:t>
      </w:r>
      <w:proofErr w:type="spellStart"/>
      <w:r w:rsidR="002A4FD2" w:rsidRPr="00CC28EC">
        <w:rPr>
          <w:sz w:val="24"/>
          <w:szCs w:val="24"/>
        </w:rPr>
        <w:t>coordonare</w:t>
      </w:r>
      <w:proofErr w:type="spellEnd"/>
      <w:r w:rsidR="002A4FD2" w:rsidRPr="00CC28EC">
        <w:rPr>
          <w:sz w:val="24"/>
          <w:szCs w:val="24"/>
        </w:rPr>
        <w:t xml:space="preserve"> a </w:t>
      </w:r>
      <w:proofErr w:type="spellStart"/>
      <w:r w:rsidR="002A4FD2" w:rsidRPr="00CC28EC">
        <w:rPr>
          <w:sz w:val="24"/>
          <w:szCs w:val="24"/>
        </w:rPr>
        <w:t>creditorilor</w:t>
      </w:r>
      <w:proofErr w:type="spellEnd"/>
      <w:r w:rsidR="002A4FD2" w:rsidRPr="00CC28EC">
        <w:rPr>
          <w:sz w:val="24"/>
          <w:szCs w:val="24"/>
        </w:rPr>
        <w:t xml:space="preserve"> pe </w:t>
      </w:r>
      <w:proofErr w:type="spellStart"/>
      <w:r w:rsidR="002A4FD2" w:rsidRPr="00CC28EC">
        <w:rPr>
          <w:sz w:val="24"/>
          <w:szCs w:val="24"/>
        </w:rPr>
        <w:t>fondul</w:t>
      </w:r>
      <w:proofErr w:type="spellEnd"/>
      <w:r w:rsidR="002A4FD2" w:rsidRPr="00CC28EC">
        <w:rPr>
          <w:sz w:val="24"/>
          <w:szCs w:val="24"/>
        </w:rPr>
        <w:t xml:space="preserve"> </w:t>
      </w:r>
      <w:proofErr w:type="spellStart"/>
      <w:r w:rsidR="002A4FD2" w:rsidRPr="00CC28EC">
        <w:rPr>
          <w:sz w:val="24"/>
          <w:szCs w:val="24"/>
        </w:rPr>
        <w:t>ratelor</w:t>
      </w:r>
      <w:proofErr w:type="spellEnd"/>
      <w:r w:rsidR="002A4FD2" w:rsidRPr="00CC28EC">
        <w:rPr>
          <w:sz w:val="24"/>
          <w:szCs w:val="24"/>
        </w:rPr>
        <w:t xml:space="preserve"> </w:t>
      </w:r>
      <w:proofErr w:type="spellStart"/>
      <w:r w:rsidR="002A4FD2" w:rsidRPr="00CC28EC">
        <w:rPr>
          <w:sz w:val="24"/>
          <w:szCs w:val="24"/>
        </w:rPr>
        <w:t>scăzute</w:t>
      </w:r>
      <w:proofErr w:type="spellEnd"/>
      <w:r w:rsidR="002A4FD2" w:rsidRPr="00CC28EC">
        <w:rPr>
          <w:sz w:val="24"/>
          <w:szCs w:val="24"/>
        </w:rPr>
        <w:t xml:space="preserve"> a </w:t>
      </w:r>
      <w:proofErr w:type="spellStart"/>
      <w:r w:rsidR="002A4FD2" w:rsidRPr="00CC28EC">
        <w:rPr>
          <w:sz w:val="24"/>
          <w:szCs w:val="24"/>
        </w:rPr>
        <w:t>dobânzilor</w:t>
      </w:r>
      <w:proofErr w:type="spellEnd"/>
      <w:r w:rsidR="00B549FA" w:rsidRPr="00CC28EC">
        <w:rPr>
          <w:sz w:val="24"/>
          <w:szCs w:val="24"/>
        </w:rPr>
        <w:t xml:space="preserve"> pe plan </w:t>
      </w:r>
      <w:proofErr w:type="spellStart"/>
      <w:r w:rsidR="00B549FA" w:rsidRPr="00CC28EC">
        <w:rPr>
          <w:sz w:val="24"/>
          <w:szCs w:val="24"/>
        </w:rPr>
        <w:t>interna</w:t>
      </w:r>
      <w:r w:rsidR="008944CE" w:rsidRPr="00CC28EC">
        <w:rPr>
          <w:sz w:val="24"/>
          <w:szCs w:val="24"/>
        </w:rPr>
        <w:t>ț</w:t>
      </w:r>
      <w:r w:rsidR="00B549FA" w:rsidRPr="00CC28EC">
        <w:rPr>
          <w:sz w:val="24"/>
          <w:szCs w:val="24"/>
        </w:rPr>
        <w:t>ional</w:t>
      </w:r>
      <w:proofErr w:type="spellEnd"/>
      <w:r w:rsidR="002A4FD2" w:rsidRPr="00CC28EC">
        <w:rPr>
          <w:sz w:val="24"/>
          <w:szCs w:val="24"/>
        </w:rPr>
        <w:t xml:space="preserve">. </w:t>
      </w:r>
    </w:p>
    <w:p w14:paraId="68FF6816" w14:textId="3AE5B2A7" w:rsidR="00FB3795" w:rsidRPr="00CC28EC" w:rsidRDefault="00CD1BB1" w:rsidP="007313AC">
      <w:pPr>
        <w:ind w:firstLine="720"/>
        <w:jc w:val="both"/>
        <w:rPr>
          <w:sz w:val="24"/>
          <w:szCs w:val="24"/>
        </w:rPr>
      </w:pPr>
      <w:proofErr w:type="spellStart"/>
      <w:r w:rsidRPr="00CC28EC">
        <w:rPr>
          <w:sz w:val="24"/>
          <w:szCs w:val="24"/>
        </w:rPr>
        <w:t>Majoritatea</w:t>
      </w:r>
      <w:proofErr w:type="spellEnd"/>
      <w:r w:rsidRPr="00CC28EC">
        <w:rPr>
          <w:sz w:val="24"/>
          <w:szCs w:val="24"/>
        </w:rPr>
        <w:t xml:space="preserve"> </w:t>
      </w:r>
      <w:proofErr w:type="spellStart"/>
      <w:r w:rsidRPr="00CC28EC">
        <w:rPr>
          <w:sz w:val="24"/>
          <w:szCs w:val="24"/>
        </w:rPr>
        <w:t>țărilor</w:t>
      </w:r>
      <w:proofErr w:type="spellEnd"/>
      <w:r w:rsidRPr="00CC28EC">
        <w:rPr>
          <w:sz w:val="24"/>
          <w:szCs w:val="24"/>
        </w:rPr>
        <w:t xml:space="preserve"> </w:t>
      </w:r>
      <w:proofErr w:type="spellStart"/>
      <w:r w:rsidR="00FB3795" w:rsidRPr="00CC28EC">
        <w:rPr>
          <w:sz w:val="24"/>
          <w:szCs w:val="24"/>
        </w:rPr>
        <w:t>întâmpină</w:t>
      </w:r>
      <w:proofErr w:type="spellEnd"/>
      <w:r w:rsidRPr="00CC28EC">
        <w:rPr>
          <w:sz w:val="24"/>
          <w:szCs w:val="24"/>
        </w:rPr>
        <w:t xml:space="preserve"> </w:t>
      </w:r>
      <w:proofErr w:type="spellStart"/>
      <w:r w:rsidRPr="00CC28EC">
        <w:rPr>
          <w:sz w:val="24"/>
          <w:szCs w:val="24"/>
        </w:rPr>
        <w:t>dificultăți</w:t>
      </w:r>
      <w:proofErr w:type="spellEnd"/>
      <w:r w:rsidRPr="00CC28EC">
        <w:rPr>
          <w:sz w:val="24"/>
          <w:szCs w:val="24"/>
        </w:rPr>
        <w:t xml:space="preserve"> </w:t>
      </w:r>
      <w:proofErr w:type="spellStart"/>
      <w:r w:rsidR="00FB3795" w:rsidRPr="00CC28EC">
        <w:rPr>
          <w:sz w:val="24"/>
          <w:szCs w:val="24"/>
        </w:rPr>
        <w:t>datorită</w:t>
      </w:r>
      <w:proofErr w:type="spellEnd"/>
      <w:r w:rsidRPr="00CC28EC">
        <w:rPr>
          <w:sz w:val="24"/>
          <w:szCs w:val="24"/>
        </w:rPr>
        <w:t xml:space="preserve"> </w:t>
      </w:r>
      <w:proofErr w:type="spellStart"/>
      <w:r w:rsidRPr="00CC28EC">
        <w:rPr>
          <w:sz w:val="24"/>
          <w:szCs w:val="24"/>
        </w:rPr>
        <w:t>acumul</w:t>
      </w:r>
      <w:r w:rsidR="00FB3795" w:rsidRPr="00CC28EC">
        <w:rPr>
          <w:sz w:val="24"/>
          <w:szCs w:val="24"/>
        </w:rPr>
        <w:t>ării</w:t>
      </w:r>
      <w:proofErr w:type="spellEnd"/>
      <w:r w:rsidRPr="00CC28EC">
        <w:rPr>
          <w:sz w:val="24"/>
          <w:szCs w:val="24"/>
        </w:rPr>
        <w:t xml:space="preserve"> </w:t>
      </w:r>
      <w:proofErr w:type="spellStart"/>
      <w:r w:rsidRPr="00CC28EC">
        <w:rPr>
          <w:sz w:val="24"/>
          <w:szCs w:val="24"/>
        </w:rPr>
        <w:t>unor</w:t>
      </w:r>
      <w:proofErr w:type="spellEnd"/>
      <w:r w:rsidRPr="00CC28EC">
        <w:rPr>
          <w:sz w:val="24"/>
          <w:szCs w:val="24"/>
        </w:rPr>
        <w:t xml:space="preserve"> </w:t>
      </w:r>
      <w:proofErr w:type="spellStart"/>
      <w:r w:rsidRPr="00CC28EC">
        <w:rPr>
          <w:sz w:val="24"/>
          <w:szCs w:val="24"/>
        </w:rPr>
        <w:t>niveluri</w:t>
      </w:r>
      <w:proofErr w:type="spellEnd"/>
      <w:r w:rsidRPr="00CC28EC">
        <w:rPr>
          <w:sz w:val="24"/>
          <w:szCs w:val="24"/>
        </w:rPr>
        <w:t xml:space="preserve"> </w:t>
      </w:r>
      <w:proofErr w:type="spellStart"/>
      <w:r w:rsidRPr="00CC28EC">
        <w:rPr>
          <w:sz w:val="24"/>
          <w:szCs w:val="24"/>
        </w:rPr>
        <w:t>ridicate</w:t>
      </w:r>
      <w:proofErr w:type="spellEnd"/>
      <w:r w:rsidRPr="00CC28EC">
        <w:rPr>
          <w:sz w:val="24"/>
          <w:szCs w:val="24"/>
        </w:rPr>
        <w:t xml:space="preserve"> </w:t>
      </w:r>
      <w:r w:rsidR="00EC08FA" w:rsidRPr="00CC28EC">
        <w:rPr>
          <w:sz w:val="24"/>
          <w:szCs w:val="24"/>
        </w:rPr>
        <w:t xml:space="preserve">a </w:t>
      </w:r>
      <w:proofErr w:type="spellStart"/>
      <w:r w:rsidR="00FB3795" w:rsidRPr="00CC28EC">
        <w:rPr>
          <w:sz w:val="24"/>
          <w:szCs w:val="24"/>
        </w:rPr>
        <w:t>împrumuturilor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00FB3795" w:rsidRPr="00CC28EC">
        <w:rPr>
          <w:sz w:val="24"/>
          <w:szCs w:val="24"/>
        </w:rPr>
        <w:t>Acest</w:t>
      </w:r>
      <w:proofErr w:type="spellEnd"/>
      <w:r w:rsidR="00FB3795" w:rsidRPr="00CC28EC">
        <w:rPr>
          <w:sz w:val="24"/>
          <w:szCs w:val="24"/>
        </w:rPr>
        <w:t xml:space="preserve"> </w:t>
      </w:r>
      <w:proofErr w:type="spellStart"/>
      <w:r w:rsidR="00FB3795" w:rsidRPr="00CC28EC">
        <w:rPr>
          <w:sz w:val="24"/>
          <w:szCs w:val="24"/>
        </w:rPr>
        <w:t>lucru</w:t>
      </w:r>
      <w:proofErr w:type="spellEnd"/>
      <w:r w:rsidR="00FB3795" w:rsidRPr="00CC28EC">
        <w:rPr>
          <w:sz w:val="24"/>
          <w:szCs w:val="24"/>
        </w:rPr>
        <w:t xml:space="preserve"> </w:t>
      </w:r>
      <w:proofErr w:type="spellStart"/>
      <w:r w:rsidR="00FB3795" w:rsidRPr="00CC28EC">
        <w:rPr>
          <w:sz w:val="24"/>
          <w:szCs w:val="24"/>
        </w:rPr>
        <w:t>reprezintă</w:t>
      </w:r>
      <w:proofErr w:type="spellEnd"/>
      <w:r w:rsidR="00FB3795" w:rsidRPr="00CC28EC">
        <w:rPr>
          <w:sz w:val="24"/>
          <w:szCs w:val="24"/>
        </w:rPr>
        <w:t xml:space="preserve"> o </w:t>
      </w:r>
      <w:proofErr w:type="spellStart"/>
      <w:r w:rsidR="00FB3795" w:rsidRPr="00CC28EC">
        <w:rPr>
          <w:sz w:val="24"/>
          <w:szCs w:val="24"/>
        </w:rPr>
        <w:t>provocare</w:t>
      </w:r>
      <w:proofErr w:type="spellEnd"/>
      <w:r w:rsidR="00FB3795" w:rsidRPr="00CC28EC">
        <w:rPr>
          <w:sz w:val="24"/>
          <w:szCs w:val="24"/>
        </w:rPr>
        <w:t xml:space="preserve"> </w:t>
      </w:r>
      <w:proofErr w:type="spellStart"/>
      <w:r w:rsidR="00FB3795" w:rsidRPr="00CC28EC">
        <w:rPr>
          <w:sz w:val="24"/>
          <w:szCs w:val="24"/>
        </w:rPr>
        <w:t>semnificativă</w:t>
      </w:r>
      <w:proofErr w:type="spellEnd"/>
      <w:r w:rsidR="00FB3795" w:rsidRPr="00CC28EC">
        <w:rPr>
          <w:sz w:val="24"/>
          <w:szCs w:val="24"/>
        </w:rPr>
        <w:t xml:space="preserve"> nu </w:t>
      </w:r>
      <w:proofErr w:type="spellStart"/>
      <w:r w:rsidR="00FB3795" w:rsidRPr="00CC28EC">
        <w:rPr>
          <w:sz w:val="24"/>
          <w:szCs w:val="24"/>
        </w:rPr>
        <w:t>numai</w:t>
      </w:r>
      <w:proofErr w:type="spellEnd"/>
      <w:r w:rsidR="00FB3795" w:rsidRPr="00CC28EC">
        <w:rPr>
          <w:sz w:val="24"/>
          <w:szCs w:val="24"/>
        </w:rPr>
        <w:t xml:space="preserve"> </w:t>
      </w:r>
      <w:proofErr w:type="spellStart"/>
      <w:r w:rsidR="00FB3795" w:rsidRPr="00CC28EC">
        <w:rPr>
          <w:sz w:val="24"/>
          <w:szCs w:val="24"/>
        </w:rPr>
        <w:t>pentru</w:t>
      </w:r>
      <w:proofErr w:type="spellEnd"/>
      <w:r w:rsidR="00FB3795" w:rsidRPr="00CC28EC">
        <w:rPr>
          <w:sz w:val="24"/>
          <w:szCs w:val="24"/>
        </w:rPr>
        <w:t xml:space="preserve"> </w:t>
      </w:r>
      <w:proofErr w:type="spellStart"/>
      <w:r w:rsidR="00FB3795" w:rsidRPr="00CC28EC">
        <w:rPr>
          <w:sz w:val="24"/>
          <w:szCs w:val="24"/>
        </w:rPr>
        <w:t>fiecare</w:t>
      </w:r>
      <w:proofErr w:type="spellEnd"/>
      <w:r w:rsidR="00FB3795" w:rsidRPr="00CC28EC">
        <w:rPr>
          <w:sz w:val="24"/>
          <w:szCs w:val="24"/>
        </w:rPr>
        <w:t xml:space="preserve"> </w:t>
      </w:r>
      <w:proofErr w:type="spellStart"/>
      <w:r w:rsidR="00FB3795" w:rsidRPr="00CC28EC">
        <w:rPr>
          <w:sz w:val="24"/>
          <w:szCs w:val="24"/>
        </w:rPr>
        <w:t>țară</w:t>
      </w:r>
      <w:proofErr w:type="spellEnd"/>
      <w:r w:rsidR="00FB3795" w:rsidRPr="00CC28EC">
        <w:rPr>
          <w:sz w:val="24"/>
          <w:szCs w:val="24"/>
        </w:rPr>
        <w:t xml:space="preserve"> </w:t>
      </w:r>
      <w:proofErr w:type="spellStart"/>
      <w:r w:rsidR="00FB3795" w:rsidRPr="00CC28EC">
        <w:rPr>
          <w:sz w:val="24"/>
          <w:szCs w:val="24"/>
        </w:rPr>
        <w:t>în</w:t>
      </w:r>
      <w:proofErr w:type="spellEnd"/>
      <w:r w:rsidR="00FB3795" w:rsidRPr="00CC28EC">
        <w:rPr>
          <w:sz w:val="24"/>
          <w:szCs w:val="24"/>
        </w:rPr>
        <w:t xml:space="preserve"> </w:t>
      </w:r>
      <w:proofErr w:type="spellStart"/>
      <w:r w:rsidR="00FB3795" w:rsidRPr="00CC28EC">
        <w:rPr>
          <w:sz w:val="24"/>
          <w:szCs w:val="24"/>
        </w:rPr>
        <w:t>parte</w:t>
      </w:r>
      <w:proofErr w:type="spellEnd"/>
      <w:r w:rsidR="00FB3795" w:rsidRPr="00CC28EC">
        <w:rPr>
          <w:sz w:val="24"/>
          <w:szCs w:val="24"/>
        </w:rPr>
        <w:t xml:space="preserve"> ci </w:t>
      </w:r>
      <w:proofErr w:type="spellStart"/>
      <w:r w:rsidR="00FB3795" w:rsidRPr="00CC28EC">
        <w:rPr>
          <w:sz w:val="24"/>
          <w:szCs w:val="24"/>
        </w:rPr>
        <w:t>și</w:t>
      </w:r>
      <w:proofErr w:type="spellEnd"/>
      <w:r w:rsidR="00FB3795" w:rsidRPr="00CC28EC">
        <w:rPr>
          <w:sz w:val="24"/>
          <w:szCs w:val="24"/>
        </w:rPr>
        <w:t xml:space="preserve"> </w:t>
      </w:r>
      <w:proofErr w:type="spellStart"/>
      <w:r w:rsidR="00FB3795" w:rsidRPr="00CC28EC">
        <w:rPr>
          <w:sz w:val="24"/>
          <w:szCs w:val="24"/>
        </w:rPr>
        <w:t>pentru</w:t>
      </w:r>
      <w:proofErr w:type="spellEnd"/>
      <w:r w:rsidR="00FB3795" w:rsidRPr="00CC28EC">
        <w:rPr>
          <w:sz w:val="24"/>
          <w:szCs w:val="24"/>
        </w:rPr>
        <w:t xml:space="preserve"> </w:t>
      </w:r>
      <w:proofErr w:type="spellStart"/>
      <w:r w:rsidR="00FB3795" w:rsidRPr="00CC28EC">
        <w:rPr>
          <w:sz w:val="24"/>
          <w:szCs w:val="24"/>
        </w:rPr>
        <w:t>comunitatea</w:t>
      </w:r>
      <w:proofErr w:type="spellEnd"/>
      <w:r w:rsidR="00FB3795" w:rsidRPr="00CC28EC">
        <w:rPr>
          <w:sz w:val="24"/>
          <w:szCs w:val="24"/>
        </w:rPr>
        <w:t xml:space="preserve"> </w:t>
      </w:r>
      <w:proofErr w:type="spellStart"/>
      <w:r w:rsidR="00FB3795" w:rsidRPr="00CC28EC">
        <w:rPr>
          <w:sz w:val="24"/>
          <w:szCs w:val="24"/>
        </w:rPr>
        <w:t>financiară</w:t>
      </w:r>
      <w:proofErr w:type="spellEnd"/>
      <w:r w:rsidR="00FB3795" w:rsidRPr="00CC28EC">
        <w:rPr>
          <w:sz w:val="24"/>
          <w:szCs w:val="24"/>
        </w:rPr>
        <w:t xml:space="preserve"> </w:t>
      </w:r>
      <w:proofErr w:type="spellStart"/>
      <w:r w:rsidR="00FB3795" w:rsidRPr="00CC28EC">
        <w:rPr>
          <w:sz w:val="24"/>
          <w:szCs w:val="24"/>
        </w:rPr>
        <w:t>internațională</w:t>
      </w:r>
      <w:proofErr w:type="spellEnd"/>
      <w:r w:rsidR="00FB3795" w:rsidRPr="00CC28EC">
        <w:rPr>
          <w:sz w:val="24"/>
          <w:szCs w:val="24"/>
        </w:rPr>
        <w:t xml:space="preserve"> </w:t>
      </w:r>
      <w:proofErr w:type="spellStart"/>
      <w:r w:rsidR="00FB3795" w:rsidRPr="00CC28EC">
        <w:rPr>
          <w:sz w:val="24"/>
          <w:szCs w:val="24"/>
        </w:rPr>
        <w:t>în</w:t>
      </w:r>
      <w:proofErr w:type="spellEnd"/>
      <w:r w:rsidR="00FB3795" w:rsidRPr="00CC28EC">
        <w:rPr>
          <w:sz w:val="24"/>
          <w:szCs w:val="24"/>
        </w:rPr>
        <w:t xml:space="preserve"> </w:t>
      </w:r>
      <w:proofErr w:type="spellStart"/>
      <w:r w:rsidR="00FB3795" w:rsidRPr="00CC28EC">
        <w:rPr>
          <w:sz w:val="24"/>
          <w:szCs w:val="24"/>
        </w:rPr>
        <w:t>efortul</w:t>
      </w:r>
      <w:proofErr w:type="spellEnd"/>
      <w:r w:rsidR="00FB3795" w:rsidRPr="00CC28EC">
        <w:rPr>
          <w:sz w:val="24"/>
          <w:szCs w:val="24"/>
        </w:rPr>
        <w:t xml:space="preserve"> </w:t>
      </w:r>
      <w:proofErr w:type="spellStart"/>
      <w:r w:rsidR="00FB3795" w:rsidRPr="00CC28EC">
        <w:rPr>
          <w:sz w:val="24"/>
          <w:szCs w:val="24"/>
        </w:rPr>
        <w:t>său</w:t>
      </w:r>
      <w:proofErr w:type="spellEnd"/>
      <w:r w:rsidR="00FB3795" w:rsidRPr="00CC28EC">
        <w:rPr>
          <w:sz w:val="24"/>
          <w:szCs w:val="24"/>
        </w:rPr>
        <w:t xml:space="preserve"> de a </w:t>
      </w:r>
      <w:proofErr w:type="spellStart"/>
      <w:r w:rsidR="00FB3795" w:rsidRPr="00CC28EC">
        <w:rPr>
          <w:sz w:val="24"/>
          <w:szCs w:val="24"/>
        </w:rPr>
        <w:t>păstra</w:t>
      </w:r>
      <w:proofErr w:type="spellEnd"/>
      <w:r w:rsidR="00FB3795" w:rsidRPr="00CC28EC">
        <w:rPr>
          <w:sz w:val="24"/>
          <w:szCs w:val="24"/>
        </w:rPr>
        <w:t xml:space="preserve"> </w:t>
      </w:r>
      <w:proofErr w:type="spellStart"/>
      <w:r w:rsidR="00FB3795" w:rsidRPr="00CC28EC">
        <w:rPr>
          <w:sz w:val="24"/>
          <w:szCs w:val="24"/>
        </w:rPr>
        <w:t>stabilitatea</w:t>
      </w:r>
      <w:proofErr w:type="spellEnd"/>
      <w:r w:rsidR="00FB3795" w:rsidRPr="00CC28EC">
        <w:rPr>
          <w:sz w:val="24"/>
          <w:szCs w:val="24"/>
        </w:rPr>
        <w:t xml:space="preserve"> </w:t>
      </w:r>
      <w:proofErr w:type="spellStart"/>
      <w:r w:rsidR="00FB3795" w:rsidRPr="00CC28EC">
        <w:rPr>
          <w:sz w:val="24"/>
          <w:szCs w:val="24"/>
        </w:rPr>
        <w:t>financiară</w:t>
      </w:r>
      <w:proofErr w:type="spellEnd"/>
      <w:r w:rsidR="00FB3795" w:rsidRPr="00CC28EC">
        <w:rPr>
          <w:sz w:val="24"/>
          <w:szCs w:val="24"/>
        </w:rPr>
        <w:t xml:space="preserve"> </w:t>
      </w:r>
      <w:proofErr w:type="spellStart"/>
      <w:r w:rsidR="00FB3795" w:rsidRPr="00CC28EC">
        <w:rPr>
          <w:sz w:val="24"/>
          <w:szCs w:val="24"/>
        </w:rPr>
        <w:t>globală</w:t>
      </w:r>
      <w:proofErr w:type="spellEnd"/>
      <w:r w:rsidR="00FB3795" w:rsidRPr="00CC28EC">
        <w:rPr>
          <w:sz w:val="24"/>
          <w:szCs w:val="24"/>
        </w:rPr>
        <w:t>.</w:t>
      </w:r>
    </w:p>
    <w:p w14:paraId="650129EE" w14:textId="382AC858" w:rsidR="00E21071" w:rsidRPr="00CC28EC" w:rsidRDefault="00E21071" w:rsidP="00E21071">
      <w:pPr>
        <w:ind w:firstLine="720"/>
        <w:jc w:val="both"/>
        <w:rPr>
          <w:sz w:val="24"/>
          <w:szCs w:val="24"/>
        </w:rPr>
      </w:pPr>
      <w:r w:rsidRPr="00CC28EC">
        <w:rPr>
          <w:sz w:val="24"/>
          <w:szCs w:val="24"/>
        </w:rPr>
        <w:t xml:space="preserve">Pe de </w:t>
      </w:r>
      <w:proofErr w:type="spellStart"/>
      <w:r w:rsidRPr="00CC28EC">
        <w:rPr>
          <w:sz w:val="24"/>
          <w:szCs w:val="24"/>
        </w:rPr>
        <w:t>altă</w:t>
      </w:r>
      <w:proofErr w:type="spellEnd"/>
      <w:r w:rsidRPr="00CC28EC">
        <w:rPr>
          <w:sz w:val="24"/>
          <w:szCs w:val="24"/>
        </w:rPr>
        <w:t xml:space="preserve"> </w:t>
      </w:r>
      <w:proofErr w:type="spellStart"/>
      <w:r w:rsidRPr="00CC28EC">
        <w:rPr>
          <w:sz w:val="24"/>
          <w:szCs w:val="24"/>
        </w:rPr>
        <w:t>parte</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o </w:t>
      </w:r>
      <w:proofErr w:type="spellStart"/>
      <w:r w:rsidRPr="00CC28EC">
        <w:rPr>
          <w:sz w:val="24"/>
          <w:szCs w:val="24"/>
        </w:rPr>
        <w:t>modalitate</w:t>
      </w:r>
      <w:proofErr w:type="spellEnd"/>
      <w:r w:rsidRPr="00CC28EC">
        <w:rPr>
          <w:sz w:val="24"/>
          <w:szCs w:val="24"/>
        </w:rPr>
        <w:t xml:space="preserve"> </w:t>
      </w:r>
      <w:proofErr w:type="spellStart"/>
      <w:r w:rsidRPr="00CC28EC">
        <w:rPr>
          <w:sz w:val="24"/>
          <w:szCs w:val="24"/>
        </w:rPr>
        <w:t>importantă</w:t>
      </w:r>
      <w:proofErr w:type="spellEnd"/>
      <w:r w:rsidRPr="00CC28EC">
        <w:rPr>
          <w:sz w:val="24"/>
          <w:szCs w:val="24"/>
        </w:rPr>
        <w:t xml:space="preserve"> </w:t>
      </w:r>
      <w:proofErr w:type="spellStart"/>
      <w:r w:rsidRPr="00CC28EC">
        <w:rPr>
          <w:sz w:val="24"/>
          <w:szCs w:val="24"/>
        </w:rPr>
        <w:t>pentru</w:t>
      </w:r>
      <w:proofErr w:type="spellEnd"/>
      <w:r w:rsidRPr="00CC28EC">
        <w:rPr>
          <w:sz w:val="24"/>
          <w:szCs w:val="24"/>
        </w:rPr>
        <w:t xml:space="preserve"> </w:t>
      </w:r>
      <w:proofErr w:type="spellStart"/>
      <w:r w:rsidRPr="00CC28EC">
        <w:rPr>
          <w:sz w:val="24"/>
          <w:szCs w:val="24"/>
        </w:rPr>
        <w:t>guverne</w:t>
      </w:r>
      <w:proofErr w:type="spellEnd"/>
      <w:r w:rsidRPr="00CC28EC">
        <w:rPr>
          <w:sz w:val="24"/>
          <w:szCs w:val="24"/>
        </w:rPr>
        <w:t xml:space="preserve"> de a </w:t>
      </w:r>
      <w:proofErr w:type="spellStart"/>
      <w:r w:rsidRPr="00CC28EC">
        <w:rPr>
          <w:sz w:val="24"/>
          <w:szCs w:val="24"/>
        </w:rPr>
        <w:t>finanța</w:t>
      </w:r>
      <w:proofErr w:type="spellEnd"/>
      <w:r w:rsidRPr="00CC28EC">
        <w:rPr>
          <w:sz w:val="24"/>
          <w:szCs w:val="24"/>
        </w:rPr>
        <w:t xml:space="preserve"> </w:t>
      </w:r>
      <w:proofErr w:type="spellStart"/>
      <w:r w:rsidRPr="00CC28EC">
        <w:rPr>
          <w:sz w:val="24"/>
          <w:szCs w:val="24"/>
        </w:rPr>
        <w:t>investițiile</w:t>
      </w:r>
      <w:proofErr w:type="spellEnd"/>
      <w:r w:rsidRPr="00CC28EC">
        <w:rPr>
          <w:sz w:val="24"/>
          <w:szCs w:val="24"/>
        </w:rPr>
        <w:t xml:space="preserve"> care </w:t>
      </w:r>
      <w:proofErr w:type="spellStart"/>
      <w:r w:rsidRPr="00CC28EC">
        <w:rPr>
          <w:sz w:val="24"/>
          <w:szCs w:val="24"/>
        </w:rPr>
        <w:t>duc</w:t>
      </w:r>
      <w:proofErr w:type="spellEnd"/>
      <w:r w:rsidRPr="00CC28EC">
        <w:rPr>
          <w:sz w:val="24"/>
          <w:szCs w:val="24"/>
        </w:rPr>
        <w:t xml:space="preserve"> la </w:t>
      </w:r>
      <w:proofErr w:type="spellStart"/>
      <w:r w:rsidRPr="00CC28EC">
        <w:rPr>
          <w:sz w:val="24"/>
          <w:szCs w:val="24"/>
        </w:rPr>
        <w:t>creștere</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dezvoltare</w:t>
      </w:r>
      <w:proofErr w:type="spellEnd"/>
      <w:r w:rsidRPr="00CC28EC">
        <w:rPr>
          <w:sz w:val="24"/>
          <w:szCs w:val="24"/>
        </w:rPr>
        <w:t xml:space="preserve">. Cu </w:t>
      </w:r>
      <w:proofErr w:type="spellStart"/>
      <w:r w:rsidRPr="00CC28EC">
        <w:rPr>
          <w:sz w:val="24"/>
          <w:szCs w:val="24"/>
        </w:rPr>
        <w:t>toate</w:t>
      </w:r>
      <w:proofErr w:type="spellEnd"/>
      <w:r w:rsidRPr="00CC28EC">
        <w:rPr>
          <w:sz w:val="24"/>
          <w:szCs w:val="24"/>
        </w:rPr>
        <w:t xml:space="preserve"> </w:t>
      </w:r>
      <w:proofErr w:type="spellStart"/>
      <w:r w:rsidRPr="00CC28EC">
        <w:rPr>
          <w:sz w:val="24"/>
          <w:szCs w:val="24"/>
        </w:rPr>
        <w:t>acestea</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esențial</w:t>
      </w:r>
      <w:proofErr w:type="spellEnd"/>
      <w:r w:rsidRPr="00CC28EC">
        <w:rPr>
          <w:sz w:val="24"/>
          <w:szCs w:val="24"/>
        </w:rPr>
        <w:t xml:space="preserve"> ca </w:t>
      </w:r>
      <w:proofErr w:type="spellStart"/>
      <w:r w:rsidRPr="00CC28EC">
        <w:rPr>
          <w:sz w:val="24"/>
          <w:szCs w:val="24"/>
        </w:rPr>
        <w:t>guvernele</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poată</w:t>
      </w:r>
      <w:proofErr w:type="spellEnd"/>
      <w:r w:rsidRPr="00CC28EC">
        <w:rPr>
          <w:sz w:val="24"/>
          <w:szCs w:val="24"/>
        </w:rPr>
        <w:t xml:space="preserve"> </w:t>
      </w:r>
      <w:proofErr w:type="spellStart"/>
      <w:r w:rsidRPr="00CC28EC">
        <w:rPr>
          <w:sz w:val="24"/>
          <w:szCs w:val="24"/>
        </w:rPr>
        <w:t>să-și</w:t>
      </w:r>
      <w:proofErr w:type="spellEnd"/>
      <w:r w:rsidRPr="00CC28EC">
        <w:rPr>
          <w:sz w:val="24"/>
          <w:szCs w:val="24"/>
        </w:rPr>
        <w:t xml:space="preserve"> </w:t>
      </w:r>
      <w:proofErr w:type="spellStart"/>
      <w:r w:rsidRPr="00CC28EC">
        <w:rPr>
          <w:sz w:val="24"/>
          <w:szCs w:val="24"/>
        </w:rPr>
        <w:t>ramburseze</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Intrarea</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dificultate</w:t>
      </w:r>
      <w:proofErr w:type="spellEnd"/>
      <w:r w:rsidRPr="00CC28EC">
        <w:rPr>
          <w:sz w:val="24"/>
          <w:szCs w:val="24"/>
        </w:rPr>
        <w:t xml:space="preserve"> din </w:t>
      </w:r>
      <w:proofErr w:type="spellStart"/>
      <w:r w:rsidRPr="00CC28EC">
        <w:rPr>
          <w:sz w:val="24"/>
          <w:szCs w:val="24"/>
        </w:rPr>
        <w:t>cauza</w:t>
      </w:r>
      <w:proofErr w:type="spellEnd"/>
      <w:r w:rsidRPr="00CC28EC">
        <w:rPr>
          <w:sz w:val="24"/>
          <w:szCs w:val="24"/>
        </w:rPr>
        <w:t xml:space="preserve"> </w:t>
      </w:r>
      <w:proofErr w:type="spellStart"/>
      <w:r w:rsidRPr="00CC28EC">
        <w:rPr>
          <w:sz w:val="24"/>
          <w:szCs w:val="24"/>
        </w:rPr>
        <w:t>datoriilor</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adesea</w:t>
      </w:r>
      <w:proofErr w:type="spellEnd"/>
      <w:r w:rsidRPr="00CC28EC">
        <w:rPr>
          <w:sz w:val="24"/>
          <w:szCs w:val="24"/>
        </w:rPr>
        <w:t xml:space="preserve"> un </w:t>
      </w:r>
      <w:proofErr w:type="spellStart"/>
      <w:r w:rsidRPr="00CC28EC">
        <w:rPr>
          <w:sz w:val="24"/>
          <w:szCs w:val="24"/>
        </w:rPr>
        <w:t>proces</w:t>
      </w:r>
      <w:proofErr w:type="spellEnd"/>
      <w:r w:rsidRPr="00CC28EC">
        <w:rPr>
          <w:sz w:val="24"/>
          <w:szCs w:val="24"/>
        </w:rPr>
        <w:t xml:space="preserve"> </w:t>
      </w:r>
      <w:proofErr w:type="spellStart"/>
      <w:r w:rsidRPr="00CC28EC">
        <w:rPr>
          <w:sz w:val="24"/>
          <w:szCs w:val="24"/>
        </w:rPr>
        <w:t>dureros</w:t>
      </w:r>
      <w:proofErr w:type="spellEnd"/>
      <w:r w:rsidRPr="00CC28EC">
        <w:rPr>
          <w:sz w:val="24"/>
          <w:szCs w:val="24"/>
        </w:rPr>
        <w:t xml:space="preserve">, care </w:t>
      </w:r>
      <w:proofErr w:type="spellStart"/>
      <w:r w:rsidRPr="00CC28EC">
        <w:rPr>
          <w:sz w:val="24"/>
          <w:szCs w:val="24"/>
        </w:rPr>
        <w:t>poate</w:t>
      </w:r>
      <w:proofErr w:type="spellEnd"/>
      <w:r w:rsidRPr="00CC28EC">
        <w:rPr>
          <w:sz w:val="24"/>
          <w:szCs w:val="24"/>
        </w:rPr>
        <w:t xml:space="preserve"> </w:t>
      </w:r>
      <w:proofErr w:type="spellStart"/>
      <w:r w:rsidRPr="00CC28EC">
        <w:rPr>
          <w:sz w:val="24"/>
          <w:szCs w:val="24"/>
        </w:rPr>
        <w:t>amenința</w:t>
      </w:r>
      <w:proofErr w:type="spellEnd"/>
      <w:r w:rsidRPr="00CC28EC">
        <w:rPr>
          <w:sz w:val="24"/>
          <w:szCs w:val="24"/>
        </w:rPr>
        <w:t xml:space="preserve"> </w:t>
      </w:r>
      <w:proofErr w:type="spellStart"/>
      <w:r w:rsidRPr="00CC28EC">
        <w:rPr>
          <w:sz w:val="24"/>
          <w:szCs w:val="24"/>
        </w:rPr>
        <w:t>stabilitatea</w:t>
      </w:r>
      <w:proofErr w:type="spellEnd"/>
      <w:r w:rsidRPr="00CC28EC">
        <w:rPr>
          <w:sz w:val="24"/>
          <w:szCs w:val="24"/>
        </w:rPr>
        <w:t xml:space="preserve"> </w:t>
      </w:r>
      <w:proofErr w:type="spellStart"/>
      <w:r w:rsidRPr="00CC28EC">
        <w:rPr>
          <w:sz w:val="24"/>
          <w:szCs w:val="24"/>
        </w:rPr>
        <w:t>macroeconomică</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poate</w:t>
      </w:r>
      <w:proofErr w:type="spellEnd"/>
      <w:r w:rsidRPr="00CC28EC">
        <w:rPr>
          <w:sz w:val="24"/>
          <w:szCs w:val="24"/>
        </w:rPr>
        <w:t xml:space="preserve"> </w:t>
      </w:r>
      <w:proofErr w:type="spellStart"/>
      <w:r w:rsidRPr="00CC28EC">
        <w:rPr>
          <w:sz w:val="24"/>
          <w:szCs w:val="24"/>
        </w:rPr>
        <w:t>împiedica</w:t>
      </w:r>
      <w:proofErr w:type="spellEnd"/>
      <w:r w:rsidRPr="00CC28EC">
        <w:rPr>
          <w:sz w:val="24"/>
          <w:szCs w:val="24"/>
        </w:rPr>
        <w:t xml:space="preserve"> </w:t>
      </w:r>
      <w:proofErr w:type="spellStart"/>
      <w:r w:rsidRPr="00CC28EC">
        <w:rPr>
          <w:sz w:val="24"/>
          <w:szCs w:val="24"/>
        </w:rPr>
        <w:t>dezvoltarea</w:t>
      </w:r>
      <w:proofErr w:type="spellEnd"/>
      <w:r w:rsidRPr="00CC28EC">
        <w:rPr>
          <w:sz w:val="24"/>
          <w:szCs w:val="24"/>
        </w:rPr>
        <w:t xml:space="preserve"> </w:t>
      </w:r>
      <w:proofErr w:type="spellStart"/>
      <w:r w:rsidRPr="00CC28EC">
        <w:rPr>
          <w:sz w:val="24"/>
          <w:szCs w:val="24"/>
        </w:rPr>
        <w:t>unei</w:t>
      </w:r>
      <w:proofErr w:type="spellEnd"/>
      <w:r w:rsidRPr="00CC28EC">
        <w:rPr>
          <w:sz w:val="24"/>
          <w:szCs w:val="24"/>
        </w:rPr>
        <w:t xml:space="preserve"> </w:t>
      </w:r>
      <w:proofErr w:type="spellStart"/>
      <w:r w:rsidRPr="00CC28EC">
        <w:rPr>
          <w:sz w:val="24"/>
          <w:szCs w:val="24"/>
        </w:rPr>
        <w:t>țări</w:t>
      </w:r>
      <w:proofErr w:type="spellEnd"/>
      <w:r w:rsidRPr="00CC28EC">
        <w:rPr>
          <w:sz w:val="24"/>
          <w:szCs w:val="24"/>
        </w:rPr>
        <w:t xml:space="preserve"> </w:t>
      </w:r>
      <w:proofErr w:type="spellStart"/>
      <w:r w:rsidRPr="00CC28EC">
        <w:rPr>
          <w:sz w:val="24"/>
          <w:szCs w:val="24"/>
        </w:rPr>
        <w:t>mulți</w:t>
      </w:r>
      <w:proofErr w:type="spellEnd"/>
      <w:r w:rsidRPr="00CC28EC">
        <w:rPr>
          <w:sz w:val="24"/>
          <w:szCs w:val="24"/>
        </w:rPr>
        <w:t xml:space="preserve"> ani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viitor</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multe</w:t>
      </w:r>
      <w:proofErr w:type="spellEnd"/>
      <w:r w:rsidRPr="00CC28EC">
        <w:rPr>
          <w:sz w:val="24"/>
          <w:szCs w:val="24"/>
        </w:rPr>
        <w:t xml:space="preserve"> </w:t>
      </w:r>
      <w:proofErr w:type="spellStart"/>
      <w:r w:rsidRPr="00CC28EC">
        <w:rPr>
          <w:sz w:val="24"/>
          <w:szCs w:val="24"/>
        </w:rPr>
        <w:t>cazuri</w:t>
      </w:r>
      <w:proofErr w:type="spellEnd"/>
      <w:r w:rsidRPr="00CC28EC">
        <w:rPr>
          <w:sz w:val="24"/>
          <w:szCs w:val="24"/>
        </w:rPr>
        <w:t xml:space="preserve">, au </w:t>
      </w:r>
      <w:proofErr w:type="spellStart"/>
      <w:r w:rsidRPr="00CC28EC">
        <w:rPr>
          <w:sz w:val="24"/>
          <w:szCs w:val="24"/>
        </w:rPr>
        <w:t>existat</w:t>
      </w:r>
      <w:proofErr w:type="spellEnd"/>
      <w:r w:rsidRPr="00CC28EC">
        <w:rPr>
          <w:sz w:val="24"/>
          <w:szCs w:val="24"/>
        </w:rPr>
        <w:t xml:space="preserve"> </w:t>
      </w:r>
      <w:proofErr w:type="spellStart"/>
      <w:r w:rsidRPr="00CC28EC">
        <w:rPr>
          <w:sz w:val="24"/>
          <w:szCs w:val="24"/>
        </w:rPr>
        <w:t>împrumuturi</w:t>
      </w:r>
      <w:proofErr w:type="spellEnd"/>
      <w:r w:rsidRPr="00CC28EC">
        <w:rPr>
          <w:sz w:val="24"/>
          <w:szCs w:val="24"/>
        </w:rPr>
        <w:t xml:space="preserve"> </w:t>
      </w:r>
      <w:proofErr w:type="spellStart"/>
      <w:r w:rsidRPr="00CC28EC">
        <w:rPr>
          <w:sz w:val="24"/>
          <w:szCs w:val="24"/>
        </w:rPr>
        <w:t>nerambursate</w:t>
      </w:r>
      <w:proofErr w:type="spellEnd"/>
      <w:r w:rsidRPr="00CC28EC">
        <w:rPr>
          <w:sz w:val="24"/>
          <w:szCs w:val="24"/>
        </w:rPr>
        <w:t xml:space="preserve">, </w:t>
      </w:r>
      <w:proofErr w:type="spellStart"/>
      <w:r w:rsidRPr="00CC28EC">
        <w:rPr>
          <w:sz w:val="24"/>
          <w:szCs w:val="24"/>
        </w:rPr>
        <w:t>întârzieri</w:t>
      </w:r>
      <w:proofErr w:type="spellEnd"/>
      <w:r w:rsidRPr="00CC28EC">
        <w:rPr>
          <w:sz w:val="24"/>
          <w:szCs w:val="24"/>
        </w:rPr>
        <w:t xml:space="preserve"> la </w:t>
      </w:r>
      <w:proofErr w:type="spellStart"/>
      <w:r w:rsidRPr="00CC28EC">
        <w:rPr>
          <w:sz w:val="24"/>
          <w:szCs w:val="24"/>
        </w:rPr>
        <w:t>plată</w:t>
      </w:r>
      <w:proofErr w:type="spellEnd"/>
      <w:r w:rsidRPr="00CC28EC">
        <w:rPr>
          <w:sz w:val="24"/>
          <w:szCs w:val="24"/>
        </w:rPr>
        <w:t xml:space="preserve"> </w:t>
      </w:r>
      <w:proofErr w:type="spellStart"/>
      <w:r w:rsidRPr="00CC28EC">
        <w:rPr>
          <w:sz w:val="24"/>
          <w:szCs w:val="24"/>
        </w:rPr>
        <w:t>sau</w:t>
      </w:r>
      <w:proofErr w:type="spellEnd"/>
      <w:r w:rsidRPr="00CC28EC">
        <w:rPr>
          <w:sz w:val="24"/>
          <w:szCs w:val="24"/>
        </w:rPr>
        <w:t xml:space="preserve"> </w:t>
      </w:r>
      <w:proofErr w:type="spellStart"/>
      <w:r w:rsidRPr="00CC28EC">
        <w:rPr>
          <w:sz w:val="24"/>
          <w:szCs w:val="24"/>
        </w:rPr>
        <w:t>restructurări</w:t>
      </w:r>
      <w:proofErr w:type="spellEnd"/>
      <w:r w:rsidRPr="00CC28EC">
        <w:rPr>
          <w:sz w:val="24"/>
          <w:szCs w:val="24"/>
        </w:rPr>
        <w:t xml:space="preserve">. </w:t>
      </w:r>
      <w:proofErr w:type="spellStart"/>
      <w:r w:rsidRPr="00CC28EC">
        <w:rPr>
          <w:sz w:val="24"/>
          <w:szCs w:val="24"/>
        </w:rPr>
        <w:t>Scadența</w:t>
      </w:r>
      <w:proofErr w:type="spellEnd"/>
      <w:r w:rsidRPr="00CC28EC">
        <w:rPr>
          <w:sz w:val="24"/>
          <w:szCs w:val="24"/>
        </w:rPr>
        <w:t xml:space="preserve">, precum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compoziția</w:t>
      </w:r>
      <w:proofErr w:type="spellEnd"/>
      <w:r w:rsidRPr="00CC28EC">
        <w:rPr>
          <w:sz w:val="24"/>
          <w:szCs w:val="24"/>
        </w:rPr>
        <w:t xml:space="preserve"> </w:t>
      </w:r>
      <w:proofErr w:type="spellStart"/>
      <w:r w:rsidRPr="00CC28EC">
        <w:rPr>
          <w:sz w:val="24"/>
          <w:szCs w:val="24"/>
        </w:rPr>
        <w:t>valutară</w:t>
      </w:r>
      <w:proofErr w:type="spellEnd"/>
      <w:r w:rsidRPr="00CC28EC">
        <w:rPr>
          <w:sz w:val="24"/>
          <w:szCs w:val="24"/>
        </w:rPr>
        <w:t xml:space="preserve"> a </w:t>
      </w:r>
      <w:proofErr w:type="spellStart"/>
      <w:r w:rsidRPr="00CC28EC">
        <w:rPr>
          <w:sz w:val="24"/>
          <w:szCs w:val="24"/>
        </w:rPr>
        <w:t>datoriilor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au </w:t>
      </w:r>
      <w:proofErr w:type="spellStart"/>
      <w:r w:rsidRPr="00CC28EC">
        <w:rPr>
          <w:sz w:val="24"/>
          <w:szCs w:val="24"/>
        </w:rPr>
        <w:t>efecte</w:t>
      </w:r>
      <w:proofErr w:type="spellEnd"/>
      <w:r w:rsidRPr="00CC28EC">
        <w:rPr>
          <w:sz w:val="24"/>
          <w:szCs w:val="24"/>
        </w:rPr>
        <w:t xml:space="preserve"> </w:t>
      </w:r>
      <w:proofErr w:type="spellStart"/>
      <w:r w:rsidRPr="00CC28EC">
        <w:rPr>
          <w:sz w:val="24"/>
          <w:szCs w:val="24"/>
        </w:rPr>
        <w:t>importante</w:t>
      </w:r>
      <w:proofErr w:type="spellEnd"/>
      <w:r w:rsidRPr="00CC28EC">
        <w:rPr>
          <w:sz w:val="24"/>
          <w:szCs w:val="24"/>
        </w:rPr>
        <w:t xml:space="preserve">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economiei</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finanțelor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Prin</w:t>
      </w:r>
      <w:proofErr w:type="spellEnd"/>
      <w:r w:rsidRPr="00CC28EC">
        <w:rPr>
          <w:sz w:val="24"/>
          <w:szCs w:val="24"/>
        </w:rPr>
        <w:t xml:space="preserve"> </w:t>
      </w:r>
      <w:proofErr w:type="spellStart"/>
      <w:r w:rsidRPr="00CC28EC">
        <w:rPr>
          <w:sz w:val="24"/>
          <w:szCs w:val="24"/>
        </w:rPr>
        <w:t>urmare</w:t>
      </w:r>
      <w:proofErr w:type="spellEnd"/>
      <w:r w:rsidRPr="00CC28EC">
        <w:rPr>
          <w:sz w:val="24"/>
          <w:szCs w:val="24"/>
        </w:rPr>
        <w:t xml:space="preserve">, </w:t>
      </w:r>
      <w:proofErr w:type="spellStart"/>
      <w:r w:rsidRPr="00CC28EC">
        <w:rPr>
          <w:sz w:val="24"/>
          <w:szCs w:val="24"/>
        </w:rPr>
        <w:t>sprijinul</w:t>
      </w:r>
      <w:proofErr w:type="spellEnd"/>
      <w:r w:rsidRPr="00CC28EC">
        <w:rPr>
          <w:sz w:val="24"/>
          <w:szCs w:val="24"/>
        </w:rPr>
        <w:t xml:space="preserve"> </w:t>
      </w:r>
      <w:proofErr w:type="spellStart"/>
      <w:r w:rsidRPr="00CC28EC">
        <w:rPr>
          <w:sz w:val="24"/>
          <w:szCs w:val="24"/>
        </w:rPr>
        <w:t>țărilor</w:t>
      </w:r>
      <w:proofErr w:type="spellEnd"/>
      <w:r w:rsidRPr="00CC28EC">
        <w:rPr>
          <w:sz w:val="24"/>
          <w:szCs w:val="24"/>
        </w:rPr>
        <w:t xml:space="preserve"> </w:t>
      </w:r>
      <w:proofErr w:type="spellStart"/>
      <w:r w:rsidRPr="00CC28EC">
        <w:rPr>
          <w:sz w:val="24"/>
          <w:szCs w:val="24"/>
        </w:rPr>
        <w:t>membre</w:t>
      </w:r>
      <w:proofErr w:type="spellEnd"/>
      <w:r w:rsidRPr="00CC28EC">
        <w:rPr>
          <w:sz w:val="24"/>
          <w:szCs w:val="24"/>
        </w:rPr>
        <w:t xml:space="preserve"> </w:t>
      </w:r>
      <w:r w:rsidR="00B549FA" w:rsidRPr="00CC28EC">
        <w:rPr>
          <w:sz w:val="24"/>
          <w:szCs w:val="24"/>
        </w:rPr>
        <w:t xml:space="preserve">a </w:t>
      </w:r>
      <w:proofErr w:type="spellStart"/>
      <w:r w:rsidR="00B549FA" w:rsidRPr="00CC28EC">
        <w:rPr>
          <w:sz w:val="24"/>
          <w:szCs w:val="24"/>
        </w:rPr>
        <w:t>Uniunii</w:t>
      </w:r>
      <w:proofErr w:type="spellEnd"/>
      <w:r w:rsidR="00B549FA" w:rsidRPr="00CC28EC">
        <w:rPr>
          <w:sz w:val="24"/>
          <w:szCs w:val="24"/>
        </w:rPr>
        <w:t xml:space="preserve"> </w:t>
      </w:r>
      <w:proofErr w:type="spellStart"/>
      <w:r w:rsidR="00B549FA" w:rsidRPr="00CC28EC">
        <w:rPr>
          <w:sz w:val="24"/>
          <w:szCs w:val="24"/>
        </w:rPr>
        <w:t>Europene</w:t>
      </w:r>
      <w:proofErr w:type="spellEnd"/>
      <w:r w:rsidR="00B549FA"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gestionarea</w:t>
      </w:r>
      <w:proofErr w:type="spellEnd"/>
      <w:r w:rsidRPr="00CC28EC">
        <w:rPr>
          <w:sz w:val="24"/>
          <w:szCs w:val="24"/>
        </w:rPr>
        <w:t xml:space="preserve"> </w:t>
      </w:r>
      <w:proofErr w:type="spellStart"/>
      <w:r w:rsidRPr="00CC28EC">
        <w:rPr>
          <w:sz w:val="24"/>
          <w:szCs w:val="24"/>
        </w:rPr>
        <w:t>riscurilor</w:t>
      </w:r>
      <w:proofErr w:type="spellEnd"/>
      <w:r w:rsidRPr="00CC28EC">
        <w:rPr>
          <w:sz w:val="24"/>
          <w:szCs w:val="24"/>
        </w:rPr>
        <w:t xml:space="preserve"> </w:t>
      </w:r>
      <w:proofErr w:type="spellStart"/>
      <w:r w:rsidRPr="00CC28EC">
        <w:rPr>
          <w:sz w:val="24"/>
          <w:szCs w:val="24"/>
        </w:rPr>
        <w:t>datoriei</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rezolvarea</w:t>
      </w:r>
      <w:proofErr w:type="spellEnd"/>
      <w:r w:rsidRPr="00CC28EC">
        <w:rPr>
          <w:sz w:val="24"/>
          <w:szCs w:val="24"/>
        </w:rPr>
        <w:t xml:space="preserve"> </w:t>
      </w:r>
      <w:proofErr w:type="spellStart"/>
      <w:r w:rsidRPr="00CC28EC">
        <w:rPr>
          <w:sz w:val="24"/>
          <w:szCs w:val="24"/>
        </w:rPr>
        <w:t>problemelor</w:t>
      </w:r>
      <w:proofErr w:type="spellEnd"/>
      <w:r w:rsidRPr="00CC28EC">
        <w:rPr>
          <w:sz w:val="24"/>
          <w:szCs w:val="24"/>
        </w:rPr>
        <w:t xml:space="preserve"> </w:t>
      </w:r>
      <w:proofErr w:type="spellStart"/>
      <w:r w:rsidRPr="00CC28EC">
        <w:rPr>
          <w:sz w:val="24"/>
          <w:szCs w:val="24"/>
        </w:rPr>
        <w:t>datoriei</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centrul</w:t>
      </w:r>
      <w:proofErr w:type="spellEnd"/>
      <w:r w:rsidRPr="00CC28EC">
        <w:rPr>
          <w:sz w:val="24"/>
          <w:szCs w:val="24"/>
        </w:rPr>
        <w:t xml:space="preserve"> </w:t>
      </w:r>
      <w:proofErr w:type="spellStart"/>
      <w:r w:rsidRPr="00CC28EC">
        <w:rPr>
          <w:sz w:val="24"/>
          <w:szCs w:val="24"/>
        </w:rPr>
        <w:t>activității</w:t>
      </w:r>
      <w:proofErr w:type="spellEnd"/>
      <w:r w:rsidRPr="00CC28EC">
        <w:rPr>
          <w:sz w:val="24"/>
          <w:szCs w:val="24"/>
        </w:rPr>
        <w:t xml:space="preserve"> </w:t>
      </w:r>
      <w:proofErr w:type="spellStart"/>
      <w:r w:rsidRPr="00CC28EC">
        <w:rPr>
          <w:sz w:val="24"/>
          <w:szCs w:val="24"/>
        </w:rPr>
        <w:t>organismelor</w:t>
      </w:r>
      <w:proofErr w:type="spellEnd"/>
      <w:r w:rsidRPr="00CC28EC">
        <w:rPr>
          <w:sz w:val="24"/>
          <w:szCs w:val="24"/>
        </w:rPr>
        <w:t xml:space="preserve"> </w:t>
      </w:r>
      <w:proofErr w:type="spellStart"/>
      <w:r w:rsidRPr="00CC28EC">
        <w:rPr>
          <w:sz w:val="24"/>
          <w:szCs w:val="24"/>
        </w:rPr>
        <w:t>financiare</w:t>
      </w:r>
      <w:proofErr w:type="spellEnd"/>
      <w:r w:rsidRPr="00CC28EC">
        <w:rPr>
          <w:sz w:val="24"/>
          <w:szCs w:val="24"/>
        </w:rPr>
        <w:t xml:space="preserve"> </w:t>
      </w:r>
      <w:proofErr w:type="spellStart"/>
      <w:r w:rsidRPr="00CC28EC">
        <w:rPr>
          <w:sz w:val="24"/>
          <w:szCs w:val="24"/>
        </w:rPr>
        <w:t>internaționale</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a U</w:t>
      </w:r>
      <w:r w:rsidR="00B549FA" w:rsidRPr="00CC28EC">
        <w:rPr>
          <w:sz w:val="24"/>
          <w:szCs w:val="24"/>
        </w:rPr>
        <w:t>E</w:t>
      </w:r>
      <w:r w:rsidRPr="00CC28EC">
        <w:rPr>
          <w:sz w:val="24"/>
          <w:szCs w:val="24"/>
        </w:rPr>
        <w:t>.</w:t>
      </w:r>
    </w:p>
    <w:p w14:paraId="0FAC4F19" w14:textId="30F04BD0" w:rsidR="002A4FD2" w:rsidRPr="00CC28EC" w:rsidRDefault="00E21071" w:rsidP="00E21071">
      <w:pPr>
        <w:ind w:firstLine="720"/>
        <w:jc w:val="both"/>
        <w:rPr>
          <w:sz w:val="24"/>
          <w:szCs w:val="24"/>
        </w:rPr>
      </w:pPr>
      <w:proofErr w:type="spellStart"/>
      <w:r w:rsidRPr="00CC28EC">
        <w:rPr>
          <w:sz w:val="24"/>
          <w:szCs w:val="24"/>
        </w:rPr>
        <w:t>Ș</w:t>
      </w:r>
      <w:r w:rsidR="002A4FD2" w:rsidRPr="00CC28EC">
        <w:rPr>
          <w:sz w:val="24"/>
          <w:szCs w:val="24"/>
        </w:rPr>
        <w:t>i</w:t>
      </w:r>
      <w:proofErr w:type="spellEnd"/>
      <w:r w:rsidR="002A4FD2" w:rsidRPr="00CC28EC">
        <w:rPr>
          <w:sz w:val="24"/>
          <w:szCs w:val="24"/>
        </w:rPr>
        <w:t xml:space="preserve"> </w:t>
      </w:r>
      <w:proofErr w:type="spellStart"/>
      <w:r w:rsidR="002A4FD2" w:rsidRPr="00CC28EC">
        <w:rPr>
          <w:sz w:val="24"/>
          <w:szCs w:val="24"/>
        </w:rPr>
        <w:t>economia</w:t>
      </w:r>
      <w:proofErr w:type="spellEnd"/>
      <w:r w:rsidR="002A4FD2" w:rsidRPr="00CC28EC">
        <w:rPr>
          <w:sz w:val="24"/>
          <w:szCs w:val="24"/>
        </w:rPr>
        <w:t xml:space="preserve"> de </w:t>
      </w:r>
      <w:proofErr w:type="spellStart"/>
      <w:r w:rsidR="002A4FD2" w:rsidRPr="00CC28EC">
        <w:rPr>
          <w:sz w:val="24"/>
          <w:szCs w:val="24"/>
        </w:rPr>
        <w:t>astăzi</w:t>
      </w:r>
      <w:proofErr w:type="spellEnd"/>
      <w:r w:rsidR="002A4FD2" w:rsidRPr="00CC28EC">
        <w:rPr>
          <w:sz w:val="24"/>
          <w:szCs w:val="24"/>
        </w:rPr>
        <w:t xml:space="preserve"> </w:t>
      </w:r>
      <w:proofErr w:type="spellStart"/>
      <w:r w:rsidR="002A4FD2" w:rsidRPr="00CC28EC">
        <w:rPr>
          <w:sz w:val="24"/>
          <w:szCs w:val="24"/>
        </w:rPr>
        <w:t>este</w:t>
      </w:r>
      <w:proofErr w:type="spellEnd"/>
      <w:r w:rsidR="002A4FD2" w:rsidRPr="00CC28EC">
        <w:rPr>
          <w:sz w:val="24"/>
          <w:szCs w:val="24"/>
        </w:rPr>
        <w:t xml:space="preserve"> radical </w:t>
      </w:r>
      <w:proofErr w:type="spellStart"/>
      <w:r w:rsidR="002A4FD2" w:rsidRPr="00CC28EC">
        <w:rPr>
          <w:sz w:val="24"/>
          <w:szCs w:val="24"/>
        </w:rPr>
        <w:t>diferită</w:t>
      </w:r>
      <w:proofErr w:type="spellEnd"/>
      <w:r w:rsidR="002A4FD2" w:rsidRPr="00CC28EC">
        <w:rPr>
          <w:sz w:val="24"/>
          <w:szCs w:val="24"/>
        </w:rPr>
        <w:t xml:space="preserve"> </w:t>
      </w:r>
      <w:r w:rsidR="00B549FA" w:rsidRPr="00CC28EC">
        <w:rPr>
          <w:sz w:val="24"/>
          <w:szCs w:val="24"/>
        </w:rPr>
        <w:t>de</w:t>
      </w:r>
      <w:r w:rsidR="002A4FD2" w:rsidRPr="00CC28EC">
        <w:rPr>
          <w:sz w:val="24"/>
          <w:szCs w:val="24"/>
        </w:rPr>
        <w:t xml:space="preserve"> </w:t>
      </w:r>
      <w:proofErr w:type="spellStart"/>
      <w:r w:rsidR="002A4FD2" w:rsidRPr="00CC28EC">
        <w:rPr>
          <w:sz w:val="24"/>
          <w:szCs w:val="24"/>
        </w:rPr>
        <w:t>aceea</w:t>
      </w:r>
      <w:proofErr w:type="spellEnd"/>
      <w:r w:rsidR="002A4FD2" w:rsidRPr="00CC28EC">
        <w:rPr>
          <w:sz w:val="24"/>
          <w:szCs w:val="24"/>
        </w:rPr>
        <w:t xml:space="preserve"> de la </w:t>
      </w:r>
      <w:proofErr w:type="spellStart"/>
      <w:r w:rsidR="002A4FD2" w:rsidRPr="00CC28EC">
        <w:rPr>
          <w:sz w:val="24"/>
          <w:szCs w:val="24"/>
        </w:rPr>
        <w:t>începutul</w:t>
      </w:r>
      <w:proofErr w:type="spellEnd"/>
      <w:r w:rsidR="002A4FD2" w:rsidRPr="00CC28EC">
        <w:rPr>
          <w:sz w:val="24"/>
          <w:szCs w:val="24"/>
        </w:rPr>
        <w:t xml:space="preserve"> </w:t>
      </w:r>
      <w:proofErr w:type="spellStart"/>
      <w:r w:rsidR="002A4FD2" w:rsidRPr="00CC28EC">
        <w:rPr>
          <w:sz w:val="24"/>
          <w:szCs w:val="24"/>
        </w:rPr>
        <w:t>anilor</w:t>
      </w:r>
      <w:proofErr w:type="spellEnd"/>
      <w:r w:rsidR="002A4FD2" w:rsidRPr="00CC28EC">
        <w:rPr>
          <w:sz w:val="24"/>
          <w:szCs w:val="24"/>
        </w:rPr>
        <w:t xml:space="preserve"> 1970, </w:t>
      </w:r>
      <w:proofErr w:type="spellStart"/>
      <w:r w:rsidR="002A4FD2" w:rsidRPr="00CC28EC">
        <w:rPr>
          <w:sz w:val="24"/>
          <w:szCs w:val="24"/>
        </w:rPr>
        <w:t>când</w:t>
      </w:r>
      <w:proofErr w:type="spellEnd"/>
      <w:r w:rsidR="002A4FD2" w:rsidRPr="00CC28EC">
        <w:rPr>
          <w:sz w:val="24"/>
          <w:szCs w:val="24"/>
        </w:rPr>
        <w:t xml:space="preserve"> </w:t>
      </w:r>
      <w:proofErr w:type="spellStart"/>
      <w:r w:rsidR="002A4FD2" w:rsidRPr="00CC28EC">
        <w:rPr>
          <w:sz w:val="24"/>
          <w:szCs w:val="24"/>
        </w:rPr>
        <w:t>datoriile</w:t>
      </w:r>
      <w:proofErr w:type="spellEnd"/>
      <w:r w:rsidR="002A4FD2" w:rsidRPr="00CC28EC">
        <w:rPr>
          <w:sz w:val="24"/>
          <w:szCs w:val="24"/>
        </w:rPr>
        <w:t xml:space="preserve"> au </w:t>
      </w:r>
      <w:proofErr w:type="spellStart"/>
      <w:r w:rsidR="002A4FD2" w:rsidRPr="00CC28EC">
        <w:rPr>
          <w:sz w:val="24"/>
          <w:szCs w:val="24"/>
        </w:rPr>
        <w:t>revenit</w:t>
      </w:r>
      <w:proofErr w:type="spellEnd"/>
      <w:r w:rsidR="002A4FD2" w:rsidRPr="00CC28EC">
        <w:rPr>
          <w:sz w:val="24"/>
          <w:szCs w:val="24"/>
        </w:rPr>
        <w:t xml:space="preserve"> la </w:t>
      </w:r>
      <w:proofErr w:type="spellStart"/>
      <w:r w:rsidR="002A4FD2" w:rsidRPr="00CC28EC">
        <w:rPr>
          <w:sz w:val="24"/>
          <w:szCs w:val="24"/>
        </w:rPr>
        <w:t>nivelurile</w:t>
      </w:r>
      <w:proofErr w:type="spellEnd"/>
      <w:r w:rsidR="002A4FD2" w:rsidRPr="00CC28EC">
        <w:rPr>
          <w:sz w:val="24"/>
          <w:szCs w:val="24"/>
        </w:rPr>
        <w:t xml:space="preserve"> </w:t>
      </w:r>
      <w:proofErr w:type="spellStart"/>
      <w:r w:rsidR="002A4FD2" w:rsidRPr="00CC28EC">
        <w:rPr>
          <w:sz w:val="24"/>
          <w:szCs w:val="24"/>
        </w:rPr>
        <w:t>dinaintea</w:t>
      </w:r>
      <w:proofErr w:type="spellEnd"/>
      <w:r w:rsidR="002A4FD2" w:rsidRPr="00CC28EC">
        <w:rPr>
          <w:sz w:val="24"/>
          <w:szCs w:val="24"/>
        </w:rPr>
        <w:t xml:space="preserve"> </w:t>
      </w:r>
      <w:proofErr w:type="spellStart"/>
      <w:r w:rsidR="002A4FD2" w:rsidRPr="00CC28EC">
        <w:rPr>
          <w:sz w:val="24"/>
          <w:szCs w:val="24"/>
        </w:rPr>
        <w:t>războiului</w:t>
      </w:r>
      <w:proofErr w:type="spellEnd"/>
      <w:r w:rsidR="002A4FD2" w:rsidRPr="00CC28EC">
        <w:rPr>
          <w:sz w:val="24"/>
          <w:szCs w:val="24"/>
        </w:rPr>
        <w:t xml:space="preserve">. </w:t>
      </w:r>
      <w:proofErr w:type="spellStart"/>
      <w:r w:rsidR="002A4FD2" w:rsidRPr="00CC28EC">
        <w:rPr>
          <w:sz w:val="24"/>
          <w:szCs w:val="24"/>
        </w:rPr>
        <w:t>Apariția</w:t>
      </w:r>
      <w:proofErr w:type="spellEnd"/>
      <w:r w:rsidR="002A4FD2" w:rsidRPr="00CC28EC">
        <w:rPr>
          <w:sz w:val="24"/>
          <w:szCs w:val="24"/>
        </w:rPr>
        <w:t xml:space="preserve"> </w:t>
      </w:r>
      <w:proofErr w:type="spellStart"/>
      <w:r w:rsidR="002A4FD2" w:rsidRPr="00CC28EC">
        <w:rPr>
          <w:sz w:val="24"/>
          <w:szCs w:val="24"/>
        </w:rPr>
        <w:t>pandemiei</w:t>
      </w:r>
      <w:proofErr w:type="spellEnd"/>
      <w:r w:rsidR="002A4FD2" w:rsidRPr="00CC28EC">
        <w:rPr>
          <w:sz w:val="24"/>
          <w:szCs w:val="24"/>
        </w:rPr>
        <w:t xml:space="preserve"> Covid-19 a </w:t>
      </w:r>
      <w:proofErr w:type="spellStart"/>
      <w:r w:rsidR="002A4FD2" w:rsidRPr="00CC28EC">
        <w:rPr>
          <w:sz w:val="24"/>
          <w:szCs w:val="24"/>
        </w:rPr>
        <w:t>complicat</w:t>
      </w:r>
      <w:proofErr w:type="spellEnd"/>
      <w:r w:rsidR="002A4FD2" w:rsidRPr="00CC28EC">
        <w:rPr>
          <w:sz w:val="24"/>
          <w:szCs w:val="24"/>
        </w:rPr>
        <w:t xml:space="preserve"> </w:t>
      </w:r>
      <w:proofErr w:type="spellStart"/>
      <w:r w:rsidR="002A4FD2" w:rsidRPr="00CC28EC">
        <w:rPr>
          <w:sz w:val="24"/>
          <w:szCs w:val="24"/>
        </w:rPr>
        <w:t>și</w:t>
      </w:r>
      <w:proofErr w:type="spellEnd"/>
      <w:r w:rsidR="002A4FD2" w:rsidRPr="00CC28EC">
        <w:rPr>
          <w:sz w:val="24"/>
          <w:szCs w:val="24"/>
        </w:rPr>
        <w:t xml:space="preserve"> </w:t>
      </w:r>
      <w:proofErr w:type="spellStart"/>
      <w:r w:rsidR="002A4FD2" w:rsidRPr="00CC28EC">
        <w:rPr>
          <w:sz w:val="24"/>
          <w:szCs w:val="24"/>
        </w:rPr>
        <w:t>mai</w:t>
      </w:r>
      <w:proofErr w:type="spellEnd"/>
      <w:r w:rsidR="002A4FD2" w:rsidRPr="00CC28EC">
        <w:rPr>
          <w:sz w:val="24"/>
          <w:szCs w:val="24"/>
        </w:rPr>
        <w:t xml:space="preserve"> </w:t>
      </w:r>
      <w:proofErr w:type="spellStart"/>
      <w:r w:rsidR="002A4FD2" w:rsidRPr="00CC28EC">
        <w:rPr>
          <w:sz w:val="24"/>
          <w:szCs w:val="24"/>
        </w:rPr>
        <w:t>mult</w:t>
      </w:r>
      <w:proofErr w:type="spellEnd"/>
      <w:r w:rsidR="002A4FD2" w:rsidRPr="00CC28EC">
        <w:rPr>
          <w:sz w:val="24"/>
          <w:szCs w:val="24"/>
        </w:rPr>
        <w:t xml:space="preserve"> </w:t>
      </w:r>
      <w:proofErr w:type="spellStart"/>
      <w:r w:rsidR="002A4FD2" w:rsidRPr="00CC28EC">
        <w:rPr>
          <w:sz w:val="24"/>
          <w:szCs w:val="24"/>
        </w:rPr>
        <w:t>viața</w:t>
      </w:r>
      <w:proofErr w:type="spellEnd"/>
      <w:r w:rsidR="002A4FD2" w:rsidRPr="00CC28EC">
        <w:rPr>
          <w:sz w:val="24"/>
          <w:szCs w:val="24"/>
        </w:rPr>
        <w:t xml:space="preserve"> </w:t>
      </w:r>
      <w:proofErr w:type="spellStart"/>
      <w:r w:rsidR="002A4FD2" w:rsidRPr="00CC28EC">
        <w:rPr>
          <w:sz w:val="24"/>
          <w:szCs w:val="24"/>
        </w:rPr>
        <w:t>economică</w:t>
      </w:r>
      <w:proofErr w:type="spellEnd"/>
      <w:r w:rsidR="002A4FD2" w:rsidRPr="00CC28EC">
        <w:rPr>
          <w:sz w:val="24"/>
          <w:szCs w:val="24"/>
        </w:rPr>
        <w:t xml:space="preserve">. Este de </w:t>
      </w:r>
      <w:proofErr w:type="spellStart"/>
      <w:r w:rsidR="002A4FD2" w:rsidRPr="00CC28EC">
        <w:rPr>
          <w:sz w:val="24"/>
          <w:szCs w:val="24"/>
        </w:rPr>
        <w:t>așteptat</w:t>
      </w:r>
      <w:proofErr w:type="spellEnd"/>
      <w:r w:rsidR="002A4FD2" w:rsidRPr="00CC28EC">
        <w:rPr>
          <w:sz w:val="24"/>
          <w:szCs w:val="24"/>
        </w:rPr>
        <w:t xml:space="preserve"> ca </w:t>
      </w:r>
      <w:proofErr w:type="spellStart"/>
      <w:r w:rsidR="002A4FD2" w:rsidRPr="00CC28EC">
        <w:rPr>
          <w:sz w:val="24"/>
          <w:szCs w:val="24"/>
        </w:rPr>
        <w:t>schimbările</w:t>
      </w:r>
      <w:proofErr w:type="spellEnd"/>
      <w:r w:rsidR="002A4FD2" w:rsidRPr="00CC28EC">
        <w:rPr>
          <w:sz w:val="24"/>
          <w:szCs w:val="24"/>
        </w:rPr>
        <w:t xml:space="preserve"> de o </w:t>
      </w:r>
      <w:proofErr w:type="spellStart"/>
      <w:r w:rsidR="002A4FD2" w:rsidRPr="00CC28EC">
        <w:rPr>
          <w:sz w:val="24"/>
          <w:szCs w:val="24"/>
        </w:rPr>
        <w:t>magnitudine</w:t>
      </w:r>
      <w:proofErr w:type="spellEnd"/>
      <w:r w:rsidR="002A4FD2" w:rsidRPr="00CC28EC">
        <w:rPr>
          <w:sz w:val="24"/>
          <w:szCs w:val="24"/>
        </w:rPr>
        <w:t xml:space="preserve"> </w:t>
      </w:r>
      <w:proofErr w:type="spellStart"/>
      <w:r w:rsidR="002A4FD2" w:rsidRPr="00CC28EC">
        <w:rPr>
          <w:sz w:val="24"/>
          <w:szCs w:val="24"/>
        </w:rPr>
        <w:t>similară</w:t>
      </w:r>
      <w:proofErr w:type="spellEnd"/>
      <w:r w:rsidR="002A4FD2" w:rsidRPr="00CC28EC">
        <w:rPr>
          <w:sz w:val="24"/>
          <w:szCs w:val="24"/>
        </w:rPr>
        <w:t xml:space="preserve"> - </w:t>
      </w:r>
      <w:proofErr w:type="spellStart"/>
      <w:r w:rsidR="002A4FD2" w:rsidRPr="00CC28EC">
        <w:rPr>
          <w:sz w:val="24"/>
          <w:szCs w:val="24"/>
        </w:rPr>
        <w:t>în</w:t>
      </w:r>
      <w:proofErr w:type="spellEnd"/>
      <w:r w:rsidR="002A4FD2" w:rsidRPr="00CC28EC">
        <w:rPr>
          <w:sz w:val="24"/>
          <w:szCs w:val="24"/>
        </w:rPr>
        <w:t xml:space="preserve"> bine </w:t>
      </w:r>
      <w:proofErr w:type="spellStart"/>
      <w:r w:rsidR="002A4FD2" w:rsidRPr="00CC28EC">
        <w:rPr>
          <w:sz w:val="24"/>
          <w:szCs w:val="24"/>
        </w:rPr>
        <w:t>și</w:t>
      </w:r>
      <w:proofErr w:type="spellEnd"/>
      <w:r w:rsidR="002A4FD2" w:rsidRPr="00CC28EC">
        <w:rPr>
          <w:sz w:val="24"/>
          <w:szCs w:val="24"/>
        </w:rPr>
        <w:t xml:space="preserve"> </w:t>
      </w:r>
      <w:proofErr w:type="spellStart"/>
      <w:r w:rsidR="002A4FD2" w:rsidRPr="00CC28EC">
        <w:rPr>
          <w:sz w:val="24"/>
          <w:szCs w:val="24"/>
        </w:rPr>
        <w:t>în</w:t>
      </w:r>
      <w:proofErr w:type="spellEnd"/>
      <w:r w:rsidR="002A4FD2" w:rsidRPr="00CC28EC">
        <w:rPr>
          <w:sz w:val="24"/>
          <w:szCs w:val="24"/>
        </w:rPr>
        <w:t xml:space="preserve"> </w:t>
      </w:r>
      <w:proofErr w:type="spellStart"/>
      <w:r w:rsidR="002A4FD2" w:rsidRPr="00CC28EC">
        <w:rPr>
          <w:sz w:val="24"/>
          <w:szCs w:val="24"/>
        </w:rPr>
        <w:t>rău</w:t>
      </w:r>
      <w:proofErr w:type="spellEnd"/>
      <w:r w:rsidR="002A4FD2" w:rsidRPr="00CC28EC">
        <w:rPr>
          <w:sz w:val="24"/>
          <w:szCs w:val="24"/>
        </w:rPr>
        <w:t xml:space="preserve"> - </w:t>
      </w:r>
      <w:proofErr w:type="spellStart"/>
      <w:r w:rsidR="002A4FD2" w:rsidRPr="00CC28EC">
        <w:rPr>
          <w:sz w:val="24"/>
          <w:szCs w:val="24"/>
        </w:rPr>
        <w:t>să</w:t>
      </w:r>
      <w:proofErr w:type="spellEnd"/>
      <w:r w:rsidR="002A4FD2" w:rsidRPr="00CC28EC">
        <w:rPr>
          <w:sz w:val="24"/>
          <w:szCs w:val="24"/>
        </w:rPr>
        <w:t xml:space="preserve"> se </w:t>
      </w:r>
      <w:proofErr w:type="spellStart"/>
      <w:r w:rsidR="002A4FD2" w:rsidRPr="00CC28EC">
        <w:rPr>
          <w:sz w:val="24"/>
          <w:szCs w:val="24"/>
        </w:rPr>
        <w:t>producă</w:t>
      </w:r>
      <w:proofErr w:type="spellEnd"/>
      <w:r w:rsidR="002A4FD2" w:rsidRPr="00CC28EC">
        <w:rPr>
          <w:sz w:val="24"/>
          <w:szCs w:val="24"/>
        </w:rPr>
        <w:t xml:space="preserve"> </w:t>
      </w:r>
      <w:proofErr w:type="spellStart"/>
      <w:r w:rsidR="002A4FD2" w:rsidRPr="00CC28EC">
        <w:rPr>
          <w:sz w:val="24"/>
          <w:szCs w:val="24"/>
        </w:rPr>
        <w:t>în</w:t>
      </w:r>
      <w:proofErr w:type="spellEnd"/>
      <w:r w:rsidR="002A4FD2" w:rsidRPr="00CC28EC">
        <w:rPr>
          <w:sz w:val="24"/>
          <w:szCs w:val="24"/>
        </w:rPr>
        <w:t xml:space="preserve"> </w:t>
      </w:r>
      <w:proofErr w:type="spellStart"/>
      <w:r w:rsidR="002A4FD2" w:rsidRPr="00CC28EC">
        <w:rPr>
          <w:sz w:val="24"/>
          <w:szCs w:val="24"/>
        </w:rPr>
        <w:t>deceniile</w:t>
      </w:r>
      <w:proofErr w:type="spellEnd"/>
      <w:r w:rsidR="002A4FD2" w:rsidRPr="00CC28EC">
        <w:rPr>
          <w:sz w:val="24"/>
          <w:szCs w:val="24"/>
        </w:rPr>
        <w:t xml:space="preserve"> </w:t>
      </w:r>
      <w:proofErr w:type="spellStart"/>
      <w:r w:rsidR="002A4FD2" w:rsidRPr="00CC28EC">
        <w:rPr>
          <w:sz w:val="24"/>
          <w:szCs w:val="24"/>
        </w:rPr>
        <w:t>următoare</w:t>
      </w:r>
      <w:proofErr w:type="spellEnd"/>
      <w:r w:rsidR="002A4FD2" w:rsidRPr="00CC28EC">
        <w:rPr>
          <w:sz w:val="24"/>
          <w:szCs w:val="24"/>
        </w:rPr>
        <w:t>.</w:t>
      </w:r>
    </w:p>
    <w:p w14:paraId="62158E2C" w14:textId="520840E1" w:rsidR="00D20626" w:rsidRPr="00CC28EC" w:rsidRDefault="00D20626" w:rsidP="00E21071">
      <w:pPr>
        <w:ind w:firstLine="720"/>
        <w:jc w:val="both"/>
        <w:rPr>
          <w:sz w:val="24"/>
          <w:szCs w:val="24"/>
        </w:rPr>
      </w:pPr>
      <w:r w:rsidRPr="00CC28EC">
        <w:rPr>
          <w:sz w:val="24"/>
          <w:szCs w:val="24"/>
        </w:rPr>
        <w:lastRenderedPageBreak/>
        <w:t xml:space="preserve">Se </w:t>
      </w:r>
      <w:proofErr w:type="spellStart"/>
      <w:r w:rsidRPr="00CC28EC">
        <w:rPr>
          <w:sz w:val="24"/>
          <w:szCs w:val="24"/>
        </w:rPr>
        <w:t>discută</w:t>
      </w:r>
      <w:proofErr w:type="spellEnd"/>
      <w:r w:rsidRPr="00CC28EC">
        <w:rPr>
          <w:sz w:val="24"/>
          <w:szCs w:val="24"/>
        </w:rPr>
        <w:t xml:space="preserve"> </w:t>
      </w:r>
      <w:proofErr w:type="spellStart"/>
      <w:r w:rsidRPr="00CC28EC">
        <w:rPr>
          <w:sz w:val="24"/>
          <w:szCs w:val="24"/>
        </w:rPr>
        <w:t>foarte</w:t>
      </w:r>
      <w:proofErr w:type="spellEnd"/>
      <w:r w:rsidRPr="00CC28EC">
        <w:rPr>
          <w:sz w:val="24"/>
          <w:szCs w:val="24"/>
        </w:rPr>
        <w:t xml:space="preserve"> </w:t>
      </w:r>
      <w:proofErr w:type="spellStart"/>
      <w:r w:rsidRPr="00CC28EC">
        <w:rPr>
          <w:sz w:val="24"/>
          <w:szCs w:val="24"/>
        </w:rPr>
        <w:t>mult</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despre</w:t>
      </w:r>
      <w:proofErr w:type="spellEnd"/>
      <w:r w:rsidRPr="00CC28EC">
        <w:rPr>
          <w:sz w:val="24"/>
          <w:szCs w:val="24"/>
        </w:rPr>
        <w:t xml:space="preserve"> </w:t>
      </w:r>
      <w:proofErr w:type="spellStart"/>
      <w:r w:rsidRPr="00CC28EC">
        <w:rPr>
          <w:sz w:val="24"/>
          <w:szCs w:val="24"/>
        </w:rPr>
        <w:t>sustenabilitatea</w:t>
      </w:r>
      <w:proofErr w:type="spellEnd"/>
      <w:r w:rsidRPr="00CC28EC">
        <w:rPr>
          <w:sz w:val="24"/>
          <w:szCs w:val="24"/>
        </w:rPr>
        <w:t xml:space="preserve"> </w:t>
      </w:r>
      <w:proofErr w:type="spellStart"/>
      <w:r w:rsidRPr="00CC28EC">
        <w:rPr>
          <w:sz w:val="24"/>
          <w:szCs w:val="24"/>
        </w:rPr>
        <w:t>datoriei</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care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definită</w:t>
      </w:r>
      <w:proofErr w:type="spellEnd"/>
      <w:r w:rsidRPr="00CC28EC">
        <w:rPr>
          <w:sz w:val="24"/>
          <w:szCs w:val="24"/>
        </w:rPr>
        <w:t xml:space="preserve"> ca: </w:t>
      </w:r>
      <w:r w:rsidR="00BA61C8" w:rsidRPr="00CC28EC">
        <w:rPr>
          <w:sz w:val="24"/>
          <w:szCs w:val="24"/>
        </w:rPr>
        <w:t>„</w:t>
      </w:r>
      <w:proofErr w:type="spellStart"/>
      <w:r w:rsidRPr="00CC28EC">
        <w:rPr>
          <w:i/>
          <w:iCs/>
          <w:sz w:val="24"/>
          <w:szCs w:val="24"/>
        </w:rPr>
        <w:t>datoria</w:t>
      </w:r>
      <w:proofErr w:type="spellEnd"/>
      <w:r w:rsidRPr="00CC28EC">
        <w:rPr>
          <w:i/>
          <w:iCs/>
          <w:sz w:val="24"/>
          <w:szCs w:val="24"/>
        </w:rPr>
        <w:t xml:space="preserve"> </w:t>
      </w:r>
      <w:proofErr w:type="spellStart"/>
      <w:r w:rsidRPr="00CC28EC">
        <w:rPr>
          <w:i/>
          <w:iCs/>
          <w:sz w:val="24"/>
          <w:szCs w:val="24"/>
        </w:rPr>
        <w:t>publică</w:t>
      </w:r>
      <w:proofErr w:type="spellEnd"/>
      <w:r w:rsidRPr="00CC28EC">
        <w:rPr>
          <w:i/>
          <w:iCs/>
          <w:sz w:val="24"/>
          <w:szCs w:val="24"/>
        </w:rPr>
        <w:t xml:space="preserve"> </w:t>
      </w:r>
      <w:proofErr w:type="spellStart"/>
      <w:r w:rsidRPr="00CC28EC">
        <w:rPr>
          <w:i/>
          <w:iCs/>
          <w:sz w:val="24"/>
          <w:szCs w:val="24"/>
        </w:rPr>
        <w:t>po</w:t>
      </w:r>
      <w:r w:rsidR="00BA61C8" w:rsidRPr="00CC28EC">
        <w:rPr>
          <w:i/>
          <w:iCs/>
          <w:sz w:val="24"/>
          <w:szCs w:val="24"/>
        </w:rPr>
        <w:t>a</w:t>
      </w:r>
      <w:r w:rsidRPr="00CC28EC">
        <w:rPr>
          <w:i/>
          <w:iCs/>
          <w:sz w:val="24"/>
          <w:szCs w:val="24"/>
        </w:rPr>
        <w:t>t</w:t>
      </w:r>
      <w:r w:rsidR="00BA61C8" w:rsidRPr="00CC28EC">
        <w:rPr>
          <w:i/>
          <w:iCs/>
          <w:sz w:val="24"/>
          <w:szCs w:val="24"/>
        </w:rPr>
        <w:t>e</w:t>
      </w:r>
      <w:proofErr w:type="spellEnd"/>
      <w:r w:rsidRPr="00CC28EC">
        <w:rPr>
          <w:i/>
          <w:iCs/>
          <w:sz w:val="24"/>
          <w:szCs w:val="24"/>
        </w:rPr>
        <w:t xml:space="preserve"> fi </w:t>
      </w:r>
      <w:proofErr w:type="spellStart"/>
      <w:r w:rsidRPr="00CC28EC">
        <w:rPr>
          <w:i/>
          <w:iCs/>
          <w:sz w:val="24"/>
          <w:szCs w:val="24"/>
        </w:rPr>
        <w:t>considerat</w:t>
      </w:r>
      <w:r w:rsidR="00BA61C8" w:rsidRPr="00CC28EC">
        <w:rPr>
          <w:i/>
          <w:iCs/>
          <w:sz w:val="24"/>
          <w:szCs w:val="24"/>
        </w:rPr>
        <w:t>ă</w:t>
      </w:r>
      <w:proofErr w:type="spellEnd"/>
      <w:r w:rsidRPr="00CC28EC">
        <w:rPr>
          <w:i/>
          <w:iCs/>
          <w:sz w:val="24"/>
          <w:szCs w:val="24"/>
        </w:rPr>
        <w:t xml:space="preserve"> </w:t>
      </w:r>
      <w:proofErr w:type="spellStart"/>
      <w:r w:rsidRPr="00CC28EC">
        <w:rPr>
          <w:i/>
          <w:iCs/>
          <w:sz w:val="24"/>
          <w:szCs w:val="24"/>
        </w:rPr>
        <w:t>durabil</w:t>
      </w:r>
      <w:r w:rsidR="00BA61C8" w:rsidRPr="00CC28EC">
        <w:rPr>
          <w:i/>
          <w:iCs/>
          <w:sz w:val="24"/>
          <w:szCs w:val="24"/>
        </w:rPr>
        <w:t>ă</w:t>
      </w:r>
      <w:proofErr w:type="spellEnd"/>
      <w:r w:rsidRPr="00CC28EC">
        <w:rPr>
          <w:i/>
          <w:iCs/>
          <w:sz w:val="24"/>
          <w:szCs w:val="24"/>
        </w:rPr>
        <w:t xml:space="preserve"> </w:t>
      </w:r>
      <w:proofErr w:type="spellStart"/>
      <w:r w:rsidRPr="00CC28EC">
        <w:rPr>
          <w:i/>
          <w:iCs/>
          <w:sz w:val="24"/>
          <w:szCs w:val="24"/>
        </w:rPr>
        <w:t>atunci</w:t>
      </w:r>
      <w:proofErr w:type="spellEnd"/>
      <w:r w:rsidRPr="00CC28EC">
        <w:rPr>
          <w:i/>
          <w:iCs/>
          <w:sz w:val="24"/>
          <w:szCs w:val="24"/>
        </w:rPr>
        <w:t xml:space="preserve"> </w:t>
      </w:r>
      <w:proofErr w:type="spellStart"/>
      <w:r w:rsidRPr="00CC28EC">
        <w:rPr>
          <w:i/>
          <w:iCs/>
          <w:sz w:val="24"/>
          <w:szCs w:val="24"/>
        </w:rPr>
        <w:t>când</w:t>
      </w:r>
      <w:proofErr w:type="spellEnd"/>
      <w:r w:rsidRPr="00CC28EC">
        <w:rPr>
          <w:i/>
          <w:iCs/>
          <w:sz w:val="24"/>
          <w:szCs w:val="24"/>
        </w:rPr>
        <w:t xml:space="preserve"> </w:t>
      </w:r>
      <w:proofErr w:type="spellStart"/>
      <w:r w:rsidRPr="00CC28EC">
        <w:rPr>
          <w:i/>
          <w:iCs/>
          <w:sz w:val="24"/>
          <w:szCs w:val="24"/>
        </w:rPr>
        <w:t>există</w:t>
      </w:r>
      <w:proofErr w:type="spellEnd"/>
      <w:r w:rsidRPr="00CC28EC">
        <w:rPr>
          <w:i/>
          <w:iCs/>
          <w:sz w:val="24"/>
          <w:szCs w:val="24"/>
        </w:rPr>
        <w:t xml:space="preserve"> o mare </w:t>
      </w:r>
      <w:proofErr w:type="spellStart"/>
      <w:r w:rsidRPr="00CC28EC">
        <w:rPr>
          <w:i/>
          <w:iCs/>
          <w:sz w:val="24"/>
          <w:szCs w:val="24"/>
        </w:rPr>
        <w:t>probabilitate</w:t>
      </w:r>
      <w:proofErr w:type="spellEnd"/>
      <w:r w:rsidRPr="00CC28EC">
        <w:rPr>
          <w:i/>
          <w:iCs/>
          <w:sz w:val="24"/>
          <w:szCs w:val="24"/>
        </w:rPr>
        <w:t xml:space="preserve"> ca o </w:t>
      </w:r>
      <w:proofErr w:type="spellStart"/>
      <w:r w:rsidRPr="00CC28EC">
        <w:rPr>
          <w:i/>
          <w:iCs/>
          <w:sz w:val="24"/>
          <w:szCs w:val="24"/>
        </w:rPr>
        <w:t>țară</w:t>
      </w:r>
      <w:proofErr w:type="spellEnd"/>
      <w:r w:rsidRPr="00CC28EC">
        <w:rPr>
          <w:i/>
          <w:iCs/>
          <w:sz w:val="24"/>
          <w:szCs w:val="24"/>
        </w:rPr>
        <w:t xml:space="preserve"> </w:t>
      </w:r>
      <w:proofErr w:type="spellStart"/>
      <w:r w:rsidRPr="00CC28EC">
        <w:rPr>
          <w:i/>
          <w:iCs/>
          <w:sz w:val="24"/>
          <w:szCs w:val="24"/>
        </w:rPr>
        <w:t>să</w:t>
      </w:r>
      <w:proofErr w:type="spellEnd"/>
      <w:r w:rsidRPr="00CC28EC">
        <w:rPr>
          <w:i/>
          <w:iCs/>
          <w:sz w:val="24"/>
          <w:szCs w:val="24"/>
        </w:rPr>
        <w:t xml:space="preserve"> </w:t>
      </w:r>
      <w:proofErr w:type="spellStart"/>
      <w:r w:rsidRPr="00CC28EC">
        <w:rPr>
          <w:i/>
          <w:iCs/>
          <w:sz w:val="24"/>
          <w:szCs w:val="24"/>
        </w:rPr>
        <w:t>își</w:t>
      </w:r>
      <w:proofErr w:type="spellEnd"/>
      <w:r w:rsidRPr="00CC28EC">
        <w:rPr>
          <w:i/>
          <w:iCs/>
          <w:sz w:val="24"/>
          <w:szCs w:val="24"/>
        </w:rPr>
        <w:t xml:space="preserve"> </w:t>
      </w:r>
      <w:proofErr w:type="spellStart"/>
      <w:r w:rsidRPr="00CC28EC">
        <w:rPr>
          <w:i/>
          <w:iCs/>
          <w:sz w:val="24"/>
          <w:szCs w:val="24"/>
        </w:rPr>
        <w:t>poată</w:t>
      </w:r>
      <w:proofErr w:type="spellEnd"/>
      <w:r w:rsidRPr="00CC28EC">
        <w:rPr>
          <w:i/>
          <w:iCs/>
          <w:sz w:val="24"/>
          <w:szCs w:val="24"/>
        </w:rPr>
        <w:t xml:space="preserve"> </w:t>
      </w:r>
      <w:proofErr w:type="spellStart"/>
      <w:r w:rsidRPr="00CC28EC">
        <w:rPr>
          <w:i/>
          <w:iCs/>
          <w:sz w:val="24"/>
          <w:szCs w:val="24"/>
        </w:rPr>
        <w:t>îndeplini</w:t>
      </w:r>
      <w:proofErr w:type="spellEnd"/>
      <w:r w:rsidRPr="00CC28EC">
        <w:rPr>
          <w:i/>
          <w:iCs/>
          <w:sz w:val="24"/>
          <w:szCs w:val="24"/>
        </w:rPr>
        <w:t xml:space="preserve"> </w:t>
      </w:r>
      <w:proofErr w:type="spellStart"/>
      <w:r w:rsidRPr="00CC28EC">
        <w:rPr>
          <w:i/>
          <w:iCs/>
          <w:sz w:val="24"/>
          <w:szCs w:val="24"/>
        </w:rPr>
        <w:t>toate</w:t>
      </w:r>
      <w:proofErr w:type="spellEnd"/>
      <w:r w:rsidRPr="00CC28EC">
        <w:rPr>
          <w:i/>
          <w:iCs/>
          <w:sz w:val="24"/>
          <w:szCs w:val="24"/>
        </w:rPr>
        <w:t xml:space="preserve"> </w:t>
      </w:r>
      <w:proofErr w:type="spellStart"/>
      <w:r w:rsidRPr="00CC28EC">
        <w:rPr>
          <w:i/>
          <w:iCs/>
          <w:sz w:val="24"/>
          <w:szCs w:val="24"/>
        </w:rPr>
        <w:t>obligațiile</w:t>
      </w:r>
      <w:proofErr w:type="spellEnd"/>
      <w:r w:rsidRPr="00CC28EC">
        <w:rPr>
          <w:i/>
          <w:iCs/>
          <w:sz w:val="24"/>
          <w:szCs w:val="24"/>
        </w:rPr>
        <w:t xml:space="preserve"> </w:t>
      </w:r>
      <w:proofErr w:type="spellStart"/>
      <w:r w:rsidRPr="00CC28EC">
        <w:rPr>
          <w:i/>
          <w:iCs/>
          <w:sz w:val="24"/>
          <w:szCs w:val="24"/>
        </w:rPr>
        <w:t>financiare</w:t>
      </w:r>
      <w:proofErr w:type="spellEnd"/>
      <w:r w:rsidRPr="00CC28EC">
        <w:rPr>
          <w:i/>
          <w:iCs/>
          <w:sz w:val="24"/>
          <w:szCs w:val="24"/>
        </w:rPr>
        <w:t xml:space="preserve"> </w:t>
      </w:r>
      <w:proofErr w:type="spellStart"/>
      <w:r w:rsidRPr="00CC28EC">
        <w:rPr>
          <w:i/>
          <w:iCs/>
          <w:sz w:val="24"/>
          <w:szCs w:val="24"/>
        </w:rPr>
        <w:t>actuale</w:t>
      </w:r>
      <w:proofErr w:type="spellEnd"/>
      <w:r w:rsidRPr="00CC28EC">
        <w:rPr>
          <w:i/>
          <w:iCs/>
          <w:sz w:val="24"/>
          <w:szCs w:val="24"/>
        </w:rPr>
        <w:t xml:space="preserve"> </w:t>
      </w:r>
      <w:proofErr w:type="spellStart"/>
      <w:r w:rsidRPr="00CC28EC">
        <w:rPr>
          <w:i/>
          <w:iCs/>
          <w:sz w:val="24"/>
          <w:szCs w:val="24"/>
        </w:rPr>
        <w:t>și</w:t>
      </w:r>
      <w:proofErr w:type="spellEnd"/>
      <w:r w:rsidRPr="00CC28EC">
        <w:rPr>
          <w:i/>
          <w:iCs/>
          <w:sz w:val="24"/>
          <w:szCs w:val="24"/>
        </w:rPr>
        <w:t xml:space="preserve"> </w:t>
      </w:r>
      <w:proofErr w:type="spellStart"/>
      <w:r w:rsidRPr="00CC28EC">
        <w:rPr>
          <w:i/>
          <w:iCs/>
          <w:sz w:val="24"/>
          <w:szCs w:val="24"/>
        </w:rPr>
        <w:t>viitoare</w:t>
      </w:r>
      <w:proofErr w:type="spellEnd"/>
      <w:r w:rsidRPr="00CC28EC">
        <w:rPr>
          <w:i/>
          <w:iCs/>
          <w:sz w:val="24"/>
          <w:szCs w:val="24"/>
        </w:rPr>
        <w:t xml:space="preserve">. </w:t>
      </w:r>
      <w:proofErr w:type="spellStart"/>
      <w:r w:rsidRPr="00CC28EC">
        <w:rPr>
          <w:i/>
          <w:iCs/>
          <w:sz w:val="24"/>
          <w:szCs w:val="24"/>
        </w:rPr>
        <w:t>În</w:t>
      </w:r>
      <w:proofErr w:type="spellEnd"/>
      <w:r w:rsidRPr="00CC28EC">
        <w:rPr>
          <w:i/>
          <w:iCs/>
          <w:sz w:val="24"/>
          <w:szCs w:val="24"/>
        </w:rPr>
        <w:t xml:space="preserve"> </w:t>
      </w:r>
      <w:proofErr w:type="spellStart"/>
      <w:r w:rsidRPr="00CC28EC">
        <w:rPr>
          <w:i/>
          <w:iCs/>
          <w:sz w:val="24"/>
          <w:szCs w:val="24"/>
        </w:rPr>
        <w:t>practică</w:t>
      </w:r>
      <w:proofErr w:type="spellEnd"/>
      <w:r w:rsidRPr="00CC28EC">
        <w:rPr>
          <w:i/>
          <w:iCs/>
          <w:sz w:val="24"/>
          <w:szCs w:val="24"/>
        </w:rPr>
        <w:t xml:space="preserve">, </w:t>
      </w:r>
      <w:proofErr w:type="spellStart"/>
      <w:r w:rsidRPr="00CC28EC">
        <w:rPr>
          <w:i/>
          <w:iCs/>
          <w:sz w:val="24"/>
          <w:szCs w:val="24"/>
        </w:rPr>
        <w:t>sustenabilitatea</w:t>
      </w:r>
      <w:proofErr w:type="spellEnd"/>
      <w:r w:rsidRPr="00CC28EC">
        <w:rPr>
          <w:i/>
          <w:iCs/>
          <w:sz w:val="24"/>
          <w:szCs w:val="24"/>
        </w:rPr>
        <w:t xml:space="preserve"> </w:t>
      </w:r>
      <w:proofErr w:type="spellStart"/>
      <w:r w:rsidRPr="00CC28EC">
        <w:rPr>
          <w:i/>
          <w:iCs/>
          <w:sz w:val="24"/>
          <w:szCs w:val="24"/>
        </w:rPr>
        <w:t>ar</w:t>
      </w:r>
      <w:proofErr w:type="spellEnd"/>
      <w:r w:rsidRPr="00CC28EC">
        <w:rPr>
          <w:i/>
          <w:iCs/>
          <w:sz w:val="24"/>
          <w:szCs w:val="24"/>
        </w:rPr>
        <w:t xml:space="preserve"> </w:t>
      </w:r>
      <w:proofErr w:type="spellStart"/>
      <w:r w:rsidRPr="00CC28EC">
        <w:rPr>
          <w:i/>
          <w:iCs/>
          <w:sz w:val="24"/>
          <w:szCs w:val="24"/>
        </w:rPr>
        <w:t>implica</w:t>
      </w:r>
      <w:proofErr w:type="spellEnd"/>
      <w:r w:rsidRPr="00CC28EC">
        <w:rPr>
          <w:i/>
          <w:iCs/>
          <w:sz w:val="24"/>
          <w:szCs w:val="24"/>
        </w:rPr>
        <w:t xml:space="preserve"> </w:t>
      </w:r>
      <w:proofErr w:type="spellStart"/>
      <w:r w:rsidRPr="00CC28EC">
        <w:rPr>
          <w:i/>
          <w:iCs/>
          <w:sz w:val="24"/>
          <w:szCs w:val="24"/>
        </w:rPr>
        <w:t>faptul</w:t>
      </w:r>
      <w:proofErr w:type="spellEnd"/>
      <w:r w:rsidRPr="00CC28EC">
        <w:rPr>
          <w:i/>
          <w:iCs/>
          <w:sz w:val="24"/>
          <w:szCs w:val="24"/>
        </w:rPr>
        <w:t xml:space="preserve"> </w:t>
      </w:r>
      <w:proofErr w:type="spellStart"/>
      <w:r w:rsidRPr="00CC28EC">
        <w:rPr>
          <w:i/>
          <w:iCs/>
          <w:sz w:val="24"/>
          <w:szCs w:val="24"/>
        </w:rPr>
        <w:t>că</w:t>
      </w:r>
      <w:proofErr w:type="spellEnd"/>
      <w:r w:rsidRPr="00CC28EC">
        <w:rPr>
          <w:i/>
          <w:iCs/>
          <w:sz w:val="24"/>
          <w:szCs w:val="24"/>
        </w:rPr>
        <w:t xml:space="preserve"> </w:t>
      </w:r>
      <w:proofErr w:type="spellStart"/>
      <w:r w:rsidRPr="00CC28EC">
        <w:rPr>
          <w:i/>
          <w:iCs/>
          <w:sz w:val="24"/>
          <w:szCs w:val="24"/>
        </w:rPr>
        <w:t>nivelul</w:t>
      </w:r>
      <w:proofErr w:type="spellEnd"/>
      <w:r w:rsidRPr="00CC28EC">
        <w:rPr>
          <w:i/>
          <w:iCs/>
          <w:sz w:val="24"/>
          <w:szCs w:val="24"/>
        </w:rPr>
        <w:t xml:space="preserve"> </w:t>
      </w:r>
      <w:proofErr w:type="spellStart"/>
      <w:r w:rsidRPr="00CC28EC">
        <w:rPr>
          <w:i/>
          <w:iCs/>
          <w:sz w:val="24"/>
          <w:szCs w:val="24"/>
        </w:rPr>
        <w:t>datoriei</w:t>
      </w:r>
      <w:proofErr w:type="spellEnd"/>
      <w:r w:rsidRPr="00CC28EC">
        <w:rPr>
          <w:i/>
          <w:iCs/>
          <w:sz w:val="24"/>
          <w:szCs w:val="24"/>
        </w:rPr>
        <w:t xml:space="preserve"> </w:t>
      </w:r>
      <w:proofErr w:type="spellStart"/>
      <w:r w:rsidRPr="00CC28EC">
        <w:rPr>
          <w:i/>
          <w:iCs/>
          <w:sz w:val="24"/>
          <w:szCs w:val="24"/>
        </w:rPr>
        <w:t>și</w:t>
      </w:r>
      <w:proofErr w:type="spellEnd"/>
      <w:r w:rsidRPr="00CC28EC">
        <w:rPr>
          <w:i/>
          <w:iCs/>
          <w:sz w:val="24"/>
          <w:szCs w:val="24"/>
        </w:rPr>
        <w:t xml:space="preserve"> </w:t>
      </w:r>
      <w:proofErr w:type="spellStart"/>
      <w:r w:rsidRPr="00CC28EC">
        <w:rPr>
          <w:i/>
          <w:iCs/>
          <w:sz w:val="24"/>
          <w:szCs w:val="24"/>
        </w:rPr>
        <w:t>profilul</w:t>
      </w:r>
      <w:proofErr w:type="spellEnd"/>
      <w:r w:rsidRPr="00CC28EC">
        <w:rPr>
          <w:i/>
          <w:iCs/>
          <w:sz w:val="24"/>
          <w:szCs w:val="24"/>
        </w:rPr>
        <w:t xml:space="preserve"> </w:t>
      </w:r>
      <w:proofErr w:type="spellStart"/>
      <w:r w:rsidRPr="00CC28EC">
        <w:rPr>
          <w:i/>
          <w:iCs/>
          <w:sz w:val="24"/>
          <w:szCs w:val="24"/>
        </w:rPr>
        <w:t>serviciului</w:t>
      </w:r>
      <w:proofErr w:type="spellEnd"/>
      <w:r w:rsidRPr="00CC28EC">
        <w:rPr>
          <w:i/>
          <w:iCs/>
          <w:sz w:val="24"/>
          <w:szCs w:val="24"/>
        </w:rPr>
        <w:t xml:space="preserve"> </w:t>
      </w:r>
      <w:proofErr w:type="spellStart"/>
      <w:r w:rsidRPr="00CC28EC">
        <w:rPr>
          <w:i/>
          <w:iCs/>
          <w:sz w:val="24"/>
          <w:szCs w:val="24"/>
        </w:rPr>
        <w:t>datoriei</w:t>
      </w:r>
      <w:proofErr w:type="spellEnd"/>
      <w:r w:rsidRPr="00CC28EC">
        <w:rPr>
          <w:i/>
          <w:iCs/>
          <w:sz w:val="24"/>
          <w:szCs w:val="24"/>
        </w:rPr>
        <w:t xml:space="preserve"> sunt de </w:t>
      </w:r>
      <w:proofErr w:type="spellStart"/>
      <w:r w:rsidRPr="00CC28EC">
        <w:rPr>
          <w:i/>
          <w:iCs/>
          <w:sz w:val="24"/>
          <w:szCs w:val="24"/>
        </w:rPr>
        <w:t>așa</w:t>
      </w:r>
      <w:proofErr w:type="spellEnd"/>
      <w:r w:rsidRPr="00CC28EC">
        <w:rPr>
          <w:i/>
          <w:iCs/>
          <w:sz w:val="24"/>
          <w:szCs w:val="24"/>
        </w:rPr>
        <w:t xml:space="preserve"> </w:t>
      </w:r>
      <w:proofErr w:type="spellStart"/>
      <w:r w:rsidRPr="00CC28EC">
        <w:rPr>
          <w:i/>
          <w:iCs/>
          <w:sz w:val="24"/>
          <w:szCs w:val="24"/>
        </w:rPr>
        <w:t>natură</w:t>
      </w:r>
      <w:proofErr w:type="spellEnd"/>
      <w:r w:rsidRPr="00CC28EC">
        <w:rPr>
          <w:i/>
          <w:iCs/>
          <w:sz w:val="24"/>
          <w:szCs w:val="24"/>
        </w:rPr>
        <w:t xml:space="preserve"> </w:t>
      </w:r>
      <w:proofErr w:type="spellStart"/>
      <w:r w:rsidRPr="00CC28EC">
        <w:rPr>
          <w:i/>
          <w:iCs/>
          <w:sz w:val="24"/>
          <w:szCs w:val="24"/>
        </w:rPr>
        <w:t>încât</w:t>
      </w:r>
      <w:proofErr w:type="spellEnd"/>
      <w:r w:rsidRPr="00CC28EC">
        <w:rPr>
          <w:i/>
          <w:iCs/>
          <w:sz w:val="24"/>
          <w:szCs w:val="24"/>
        </w:rPr>
        <w:t xml:space="preserve"> </w:t>
      </w:r>
      <w:proofErr w:type="spellStart"/>
      <w:r w:rsidRPr="00CC28EC">
        <w:rPr>
          <w:i/>
          <w:iCs/>
          <w:sz w:val="24"/>
          <w:szCs w:val="24"/>
        </w:rPr>
        <w:t>politicile</w:t>
      </w:r>
      <w:proofErr w:type="spellEnd"/>
      <w:r w:rsidRPr="00CC28EC">
        <w:rPr>
          <w:i/>
          <w:iCs/>
          <w:sz w:val="24"/>
          <w:szCs w:val="24"/>
        </w:rPr>
        <w:t xml:space="preserve"> </w:t>
      </w:r>
      <w:proofErr w:type="spellStart"/>
      <w:r w:rsidRPr="00CC28EC">
        <w:rPr>
          <w:i/>
          <w:iCs/>
          <w:sz w:val="24"/>
          <w:szCs w:val="24"/>
        </w:rPr>
        <w:t>necesare</w:t>
      </w:r>
      <w:proofErr w:type="spellEnd"/>
      <w:r w:rsidRPr="00CC28EC">
        <w:rPr>
          <w:i/>
          <w:iCs/>
          <w:sz w:val="24"/>
          <w:szCs w:val="24"/>
        </w:rPr>
        <w:t xml:space="preserve"> </w:t>
      </w:r>
      <w:proofErr w:type="spellStart"/>
      <w:r w:rsidRPr="00CC28EC">
        <w:rPr>
          <w:i/>
          <w:iCs/>
          <w:sz w:val="24"/>
          <w:szCs w:val="24"/>
        </w:rPr>
        <w:t>stabilizării</w:t>
      </w:r>
      <w:proofErr w:type="spellEnd"/>
      <w:r w:rsidRPr="00CC28EC">
        <w:rPr>
          <w:i/>
          <w:iCs/>
          <w:sz w:val="24"/>
          <w:szCs w:val="24"/>
        </w:rPr>
        <w:t xml:space="preserve"> </w:t>
      </w:r>
      <w:proofErr w:type="spellStart"/>
      <w:r w:rsidRPr="00CC28EC">
        <w:rPr>
          <w:i/>
          <w:iCs/>
          <w:sz w:val="24"/>
          <w:szCs w:val="24"/>
        </w:rPr>
        <w:t>datoriilor</w:t>
      </w:r>
      <w:proofErr w:type="spellEnd"/>
      <w:r w:rsidRPr="00CC28EC">
        <w:rPr>
          <w:i/>
          <w:iCs/>
          <w:sz w:val="24"/>
          <w:szCs w:val="24"/>
        </w:rPr>
        <w:t xml:space="preserve"> </w:t>
      </w:r>
      <w:proofErr w:type="spellStart"/>
      <w:r w:rsidRPr="00CC28EC">
        <w:rPr>
          <w:i/>
          <w:iCs/>
          <w:sz w:val="24"/>
          <w:szCs w:val="24"/>
        </w:rPr>
        <w:t>atât</w:t>
      </w:r>
      <w:proofErr w:type="spellEnd"/>
      <w:r w:rsidRPr="00CC28EC">
        <w:rPr>
          <w:i/>
          <w:iCs/>
          <w:sz w:val="24"/>
          <w:szCs w:val="24"/>
        </w:rPr>
        <w:t xml:space="preserve"> </w:t>
      </w:r>
      <w:proofErr w:type="spellStart"/>
      <w:r w:rsidRPr="00CC28EC">
        <w:rPr>
          <w:i/>
          <w:iCs/>
          <w:sz w:val="24"/>
          <w:szCs w:val="24"/>
        </w:rPr>
        <w:t>în</w:t>
      </w:r>
      <w:proofErr w:type="spellEnd"/>
      <w:r w:rsidRPr="00CC28EC">
        <w:rPr>
          <w:i/>
          <w:iCs/>
          <w:sz w:val="24"/>
          <w:szCs w:val="24"/>
        </w:rPr>
        <w:t xml:space="preserve"> </w:t>
      </w:r>
      <w:proofErr w:type="spellStart"/>
      <w:r w:rsidRPr="00CC28EC">
        <w:rPr>
          <w:i/>
          <w:iCs/>
          <w:sz w:val="24"/>
          <w:szCs w:val="24"/>
        </w:rPr>
        <w:t>scenariul</w:t>
      </w:r>
      <w:proofErr w:type="spellEnd"/>
      <w:r w:rsidRPr="00CC28EC">
        <w:rPr>
          <w:i/>
          <w:iCs/>
          <w:sz w:val="24"/>
          <w:szCs w:val="24"/>
        </w:rPr>
        <w:t xml:space="preserve"> de </w:t>
      </w:r>
      <w:proofErr w:type="spellStart"/>
      <w:r w:rsidRPr="00CC28EC">
        <w:rPr>
          <w:i/>
          <w:iCs/>
          <w:sz w:val="24"/>
          <w:szCs w:val="24"/>
        </w:rPr>
        <w:t>bază</w:t>
      </w:r>
      <w:proofErr w:type="spellEnd"/>
      <w:r w:rsidRPr="00CC28EC">
        <w:rPr>
          <w:i/>
          <w:iCs/>
          <w:sz w:val="24"/>
          <w:szCs w:val="24"/>
        </w:rPr>
        <w:t xml:space="preserve">, </w:t>
      </w:r>
      <w:proofErr w:type="spellStart"/>
      <w:r w:rsidRPr="00CC28EC">
        <w:rPr>
          <w:i/>
          <w:iCs/>
          <w:sz w:val="24"/>
          <w:szCs w:val="24"/>
        </w:rPr>
        <w:t>cât</w:t>
      </w:r>
      <w:proofErr w:type="spellEnd"/>
      <w:r w:rsidRPr="00CC28EC">
        <w:rPr>
          <w:i/>
          <w:iCs/>
          <w:sz w:val="24"/>
          <w:szCs w:val="24"/>
        </w:rPr>
        <w:t xml:space="preserve"> </w:t>
      </w:r>
      <w:proofErr w:type="spellStart"/>
      <w:r w:rsidRPr="00CC28EC">
        <w:rPr>
          <w:i/>
          <w:iCs/>
          <w:sz w:val="24"/>
          <w:szCs w:val="24"/>
        </w:rPr>
        <w:t>și</w:t>
      </w:r>
      <w:proofErr w:type="spellEnd"/>
      <w:r w:rsidRPr="00CC28EC">
        <w:rPr>
          <w:i/>
          <w:iCs/>
          <w:sz w:val="24"/>
          <w:szCs w:val="24"/>
        </w:rPr>
        <w:t xml:space="preserve"> </w:t>
      </w:r>
      <w:proofErr w:type="spellStart"/>
      <w:r w:rsidRPr="00CC28EC">
        <w:rPr>
          <w:i/>
          <w:iCs/>
          <w:sz w:val="24"/>
          <w:szCs w:val="24"/>
        </w:rPr>
        <w:t>în</w:t>
      </w:r>
      <w:proofErr w:type="spellEnd"/>
      <w:r w:rsidRPr="00CC28EC">
        <w:rPr>
          <w:i/>
          <w:iCs/>
          <w:sz w:val="24"/>
          <w:szCs w:val="24"/>
        </w:rPr>
        <w:t xml:space="preserve"> </w:t>
      </w:r>
      <w:proofErr w:type="spellStart"/>
      <w:r w:rsidRPr="00CC28EC">
        <w:rPr>
          <w:i/>
          <w:iCs/>
          <w:sz w:val="24"/>
          <w:szCs w:val="24"/>
        </w:rPr>
        <w:t>scenariile</w:t>
      </w:r>
      <w:proofErr w:type="spellEnd"/>
      <w:r w:rsidRPr="00CC28EC">
        <w:rPr>
          <w:i/>
          <w:iCs/>
          <w:sz w:val="24"/>
          <w:szCs w:val="24"/>
        </w:rPr>
        <w:t xml:space="preserve"> de </w:t>
      </w:r>
      <w:proofErr w:type="spellStart"/>
      <w:r w:rsidRPr="00CC28EC">
        <w:rPr>
          <w:i/>
          <w:iCs/>
          <w:sz w:val="24"/>
          <w:szCs w:val="24"/>
        </w:rPr>
        <w:t>șoc</w:t>
      </w:r>
      <w:proofErr w:type="spellEnd"/>
      <w:r w:rsidRPr="00CC28EC">
        <w:rPr>
          <w:i/>
          <w:iCs/>
          <w:sz w:val="24"/>
          <w:szCs w:val="24"/>
        </w:rPr>
        <w:t xml:space="preserve"> </w:t>
      </w:r>
      <w:proofErr w:type="spellStart"/>
      <w:r w:rsidRPr="00CC28EC">
        <w:rPr>
          <w:i/>
          <w:iCs/>
          <w:sz w:val="24"/>
          <w:szCs w:val="24"/>
        </w:rPr>
        <w:t>realiste</w:t>
      </w:r>
      <w:proofErr w:type="spellEnd"/>
      <w:r w:rsidRPr="00CC28EC">
        <w:rPr>
          <w:i/>
          <w:iCs/>
          <w:sz w:val="24"/>
          <w:szCs w:val="24"/>
        </w:rPr>
        <w:t xml:space="preserve">, sunt </w:t>
      </w:r>
      <w:proofErr w:type="spellStart"/>
      <w:r w:rsidRPr="00CC28EC">
        <w:rPr>
          <w:i/>
          <w:iCs/>
          <w:sz w:val="24"/>
          <w:szCs w:val="24"/>
        </w:rPr>
        <w:t>fezabile</w:t>
      </w:r>
      <w:proofErr w:type="spellEnd"/>
      <w:r w:rsidRPr="00CC28EC">
        <w:rPr>
          <w:i/>
          <w:iCs/>
          <w:sz w:val="24"/>
          <w:szCs w:val="24"/>
        </w:rPr>
        <w:t xml:space="preserve"> din </w:t>
      </w:r>
      <w:proofErr w:type="spellStart"/>
      <w:r w:rsidRPr="00CC28EC">
        <w:rPr>
          <w:i/>
          <w:iCs/>
          <w:sz w:val="24"/>
          <w:szCs w:val="24"/>
        </w:rPr>
        <w:t>punct</w:t>
      </w:r>
      <w:proofErr w:type="spellEnd"/>
      <w:r w:rsidRPr="00CC28EC">
        <w:rPr>
          <w:i/>
          <w:iCs/>
          <w:sz w:val="24"/>
          <w:szCs w:val="24"/>
        </w:rPr>
        <w:t xml:space="preserve"> de </w:t>
      </w:r>
      <w:proofErr w:type="spellStart"/>
      <w:r w:rsidRPr="00CC28EC">
        <w:rPr>
          <w:i/>
          <w:iCs/>
          <w:sz w:val="24"/>
          <w:szCs w:val="24"/>
        </w:rPr>
        <w:t>vedere</w:t>
      </w:r>
      <w:proofErr w:type="spellEnd"/>
      <w:r w:rsidRPr="00CC28EC">
        <w:rPr>
          <w:i/>
          <w:iCs/>
          <w:sz w:val="24"/>
          <w:szCs w:val="24"/>
        </w:rPr>
        <w:t xml:space="preserve"> politic, </w:t>
      </w:r>
      <w:proofErr w:type="spellStart"/>
      <w:r w:rsidRPr="00CC28EC">
        <w:rPr>
          <w:i/>
          <w:iCs/>
          <w:sz w:val="24"/>
          <w:szCs w:val="24"/>
        </w:rPr>
        <w:t>acceptabile</w:t>
      </w:r>
      <w:proofErr w:type="spellEnd"/>
      <w:r w:rsidRPr="00CC28EC">
        <w:rPr>
          <w:i/>
          <w:iCs/>
          <w:sz w:val="24"/>
          <w:szCs w:val="24"/>
        </w:rPr>
        <w:t xml:space="preserve"> din </w:t>
      </w:r>
      <w:proofErr w:type="spellStart"/>
      <w:r w:rsidRPr="00CC28EC">
        <w:rPr>
          <w:i/>
          <w:iCs/>
          <w:sz w:val="24"/>
          <w:szCs w:val="24"/>
        </w:rPr>
        <w:t>punct</w:t>
      </w:r>
      <w:proofErr w:type="spellEnd"/>
      <w:r w:rsidRPr="00CC28EC">
        <w:rPr>
          <w:i/>
          <w:iCs/>
          <w:sz w:val="24"/>
          <w:szCs w:val="24"/>
        </w:rPr>
        <w:t xml:space="preserve"> de </w:t>
      </w:r>
      <w:proofErr w:type="spellStart"/>
      <w:r w:rsidRPr="00CC28EC">
        <w:rPr>
          <w:i/>
          <w:iCs/>
          <w:sz w:val="24"/>
          <w:szCs w:val="24"/>
        </w:rPr>
        <w:t>vedere</w:t>
      </w:r>
      <w:proofErr w:type="spellEnd"/>
      <w:r w:rsidRPr="00CC28EC">
        <w:rPr>
          <w:i/>
          <w:iCs/>
          <w:sz w:val="24"/>
          <w:szCs w:val="24"/>
        </w:rPr>
        <w:t xml:space="preserve"> social </w:t>
      </w:r>
      <w:proofErr w:type="spellStart"/>
      <w:r w:rsidRPr="00CC28EC">
        <w:rPr>
          <w:i/>
          <w:iCs/>
          <w:sz w:val="24"/>
          <w:szCs w:val="24"/>
        </w:rPr>
        <w:t>și</w:t>
      </w:r>
      <w:proofErr w:type="spellEnd"/>
      <w:r w:rsidRPr="00CC28EC">
        <w:rPr>
          <w:i/>
          <w:iCs/>
          <w:sz w:val="24"/>
          <w:szCs w:val="24"/>
        </w:rPr>
        <w:t xml:space="preserve"> </w:t>
      </w:r>
      <w:proofErr w:type="spellStart"/>
      <w:r w:rsidRPr="00CC28EC">
        <w:rPr>
          <w:i/>
          <w:iCs/>
          <w:sz w:val="24"/>
          <w:szCs w:val="24"/>
        </w:rPr>
        <w:t>în</w:t>
      </w:r>
      <w:proofErr w:type="spellEnd"/>
      <w:r w:rsidRPr="00CC28EC">
        <w:rPr>
          <w:i/>
          <w:iCs/>
          <w:sz w:val="24"/>
          <w:szCs w:val="24"/>
        </w:rPr>
        <w:t xml:space="preserve"> </w:t>
      </w:r>
      <w:proofErr w:type="spellStart"/>
      <w:r w:rsidRPr="00CC28EC">
        <w:rPr>
          <w:i/>
          <w:iCs/>
          <w:sz w:val="24"/>
          <w:szCs w:val="24"/>
        </w:rPr>
        <w:t>concordanță</w:t>
      </w:r>
      <w:proofErr w:type="spellEnd"/>
      <w:r w:rsidRPr="00CC28EC">
        <w:rPr>
          <w:i/>
          <w:iCs/>
          <w:sz w:val="24"/>
          <w:szCs w:val="24"/>
        </w:rPr>
        <w:t xml:space="preserve"> cu </w:t>
      </w:r>
      <w:proofErr w:type="spellStart"/>
      <w:r w:rsidRPr="00CC28EC">
        <w:rPr>
          <w:i/>
          <w:iCs/>
          <w:sz w:val="24"/>
          <w:szCs w:val="24"/>
        </w:rPr>
        <w:t>menținerea</w:t>
      </w:r>
      <w:proofErr w:type="spellEnd"/>
      <w:r w:rsidRPr="00CC28EC">
        <w:rPr>
          <w:i/>
          <w:iCs/>
          <w:sz w:val="24"/>
          <w:szCs w:val="24"/>
        </w:rPr>
        <w:t xml:space="preserve"> </w:t>
      </w:r>
      <w:proofErr w:type="spellStart"/>
      <w:r w:rsidRPr="00CC28EC">
        <w:rPr>
          <w:i/>
          <w:iCs/>
          <w:sz w:val="24"/>
          <w:szCs w:val="24"/>
        </w:rPr>
        <w:t>creșterii</w:t>
      </w:r>
      <w:proofErr w:type="spellEnd"/>
      <w:r w:rsidRPr="00CC28EC">
        <w:rPr>
          <w:i/>
          <w:iCs/>
          <w:sz w:val="24"/>
          <w:szCs w:val="24"/>
        </w:rPr>
        <w:t xml:space="preserve"> la un </w:t>
      </w:r>
      <w:proofErr w:type="spellStart"/>
      <w:r w:rsidRPr="00CC28EC">
        <w:rPr>
          <w:i/>
          <w:iCs/>
          <w:sz w:val="24"/>
          <w:szCs w:val="24"/>
        </w:rPr>
        <w:t>nivel</w:t>
      </w:r>
      <w:proofErr w:type="spellEnd"/>
      <w:r w:rsidRPr="00CC28EC">
        <w:rPr>
          <w:i/>
          <w:iCs/>
          <w:sz w:val="24"/>
          <w:szCs w:val="24"/>
        </w:rPr>
        <w:t xml:space="preserve"> </w:t>
      </w:r>
      <w:proofErr w:type="spellStart"/>
      <w:r w:rsidRPr="00CC28EC">
        <w:rPr>
          <w:i/>
          <w:iCs/>
          <w:sz w:val="24"/>
          <w:szCs w:val="24"/>
        </w:rPr>
        <w:t>satisfăcător</w:t>
      </w:r>
      <w:proofErr w:type="spellEnd"/>
      <w:r w:rsidRPr="00CC28EC">
        <w:rPr>
          <w:i/>
          <w:iCs/>
          <w:sz w:val="24"/>
          <w:szCs w:val="24"/>
        </w:rPr>
        <w:t xml:space="preserve">, </w:t>
      </w:r>
      <w:proofErr w:type="spellStart"/>
      <w:r w:rsidRPr="00CC28EC">
        <w:rPr>
          <w:i/>
          <w:iCs/>
          <w:sz w:val="24"/>
          <w:szCs w:val="24"/>
        </w:rPr>
        <w:t>în</w:t>
      </w:r>
      <w:proofErr w:type="spellEnd"/>
      <w:r w:rsidRPr="00CC28EC">
        <w:rPr>
          <w:i/>
          <w:iCs/>
          <w:sz w:val="24"/>
          <w:szCs w:val="24"/>
        </w:rPr>
        <w:t xml:space="preserve"> </w:t>
      </w:r>
      <w:proofErr w:type="spellStart"/>
      <w:r w:rsidRPr="00CC28EC">
        <w:rPr>
          <w:i/>
          <w:iCs/>
          <w:sz w:val="24"/>
          <w:szCs w:val="24"/>
        </w:rPr>
        <w:t>timp</w:t>
      </w:r>
      <w:r w:rsidR="00B037F3" w:rsidRPr="00CC28EC">
        <w:rPr>
          <w:i/>
          <w:iCs/>
          <w:sz w:val="24"/>
          <w:szCs w:val="24"/>
        </w:rPr>
        <w:t>.</w:t>
      </w:r>
      <w:proofErr w:type="spellEnd"/>
      <w:r w:rsidR="00B037F3" w:rsidRPr="00CC28EC">
        <w:rPr>
          <w:i/>
          <w:iCs/>
          <w:sz w:val="24"/>
          <w:szCs w:val="24"/>
        </w:rPr>
        <w:t>”</w:t>
      </w:r>
      <w:r w:rsidR="00BA61C8" w:rsidRPr="00CC28EC">
        <w:rPr>
          <w:sz w:val="24"/>
          <w:szCs w:val="24"/>
        </w:rPr>
        <w:t xml:space="preserve"> </w:t>
      </w:r>
      <w:r w:rsidR="009618C1" w:rsidRPr="00CC28EC">
        <w:rPr>
          <w:sz w:val="24"/>
          <w:szCs w:val="24"/>
        </w:rPr>
        <w:t>(</w:t>
      </w:r>
      <w:r w:rsidR="00E07180" w:rsidRPr="00CC28EC">
        <w:rPr>
          <w:sz w:val="24"/>
          <w:szCs w:val="24"/>
        </w:rPr>
        <w:t xml:space="preserve">Beaumont, </w:t>
      </w:r>
      <w:proofErr w:type="spellStart"/>
      <w:r w:rsidR="00E07180" w:rsidRPr="00CC28EC">
        <w:rPr>
          <w:sz w:val="24"/>
          <w:szCs w:val="24"/>
        </w:rPr>
        <w:t>Hakura</w:t>
      </w:r>
      <w:proofErr w:type="spellEnd"/>
      <w:r w:rsidR="00E07180" w:rsidRPr="00CC28EC">
        <w:rPr>
          <w:sz w:val="24"/>
          <w:szCs w:val="24"/>
        </w:rPr>
        <w:t>, 2021)</w:t>
      </w:r>
    </w:p>
    <w:p w14:paraId="07DF15DE" w14:textId="4F2BA0FE" w:rsidR="00316377" w:rsidRPr="00CC28EC" w:rsidRDefault="00316377" w:rsidP="00AD6C81">
      <w:pPr>
        <w:shd w:val="clear" w:color="auto" w:fill="FFFFFF"/>
        <w:autoSpaceDE/>
        <w:autoSpaceDN/>
        <w:ind w:firstLine="720"/>
        <w:jc w:val="both"/>
        <w:rPr>
          <w:sz w:val="24"/>
          <w:szCs w:val="24"/>
        </w:rPr>
      </w:pPr>
      <w:proofErr w:type="spellStart"/>
      <w:r w:rsidRPr="00CC28EC">
        <w:rPr>
          <w:sz w:val="24"/>
          <w:szCs w:val="24"/>
        </w:rPr>
        <w:t>Despre</w:t>
      </w:r>
      <w:proofErr w:type="spellEnd"/>
      <w:r w:rsidRPr="00CC28EC">
        <w:rPr>
          <w:sz w:val="24"/>
          <w:szCs w:val="24"/>
        </w:rPr>
        <w:t xml:space="preserve"> </w:t>
      </w:r>
      <w:proofErr w:type="spellStart"/>
      <w:r w:rsidRPr="00CC28EC">
        <w:rPr>
          <w:sz w:val="24"/>
          <w:szCs w:val="24"/>
        </w:rPr>
        <w:t>importanța</w:t>
      </w:r>
      <w:proofErr w:type="spellEnd"/>
      <w:r w:rsidRPr="00CC28EC">
        <w:rPr>
          <w:sz w:val="24"/>
          <w:szCs w:val="24"/>
        </w:rPr>
        <w:t xml:space="preserve"> </w:t>
      </w:r>
      <w:proofErr w:type="spellStart"/>
      <w:r w:rsidRPr="00CC28EC">
        <w:rPr>
          <w:sz w:val="24"/>
          <w:szCs w:val="24"/>
        </w:rPr>
        <w:t>menținerii</w:t>
      </w:r>
      <w:proofErr w:type="spellEnd"/>
      <w:r w:rsidRPr="00CC28EC">
        <w:rPr>
          <w:sz w:val="24"/>
          <w:szCs w:val="24"/>
        </w:rPr>
        <w:t xml:space="preserve"> </w:t>
      </w:r>
      <w:proofErr w:type="spellStart"/>
      <w:r w:rsidRPr="00CC28EC">
        <w:rPr>
          <w:sz w:val="24"/>
          <w:szCs w:val="24"/>
        </w:rPr>
        <w:t>unei</w:t>
      </w:r>
      <w:proofErr w:type="spellEnd"/>
      <w:r w:rsidRPr="00CC28EC">
        <w:rPr>
          <w:sz w:val="24"/>
          <w:szCs w:val="24"/>
        </w:rPr>
        <w:t xml:space="preserve"> </w:t>
      </w:r>
      <w:proofErr w:type="spellStart"/>
      <w:r w:rsidRPr="00CC28EC">
        <w:rPr>
          <w:sz w:val="24"/>
          <w:szCs w:val="24"/>
        </w:rPr>
        <w:t>datoriii</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sustenabile</w:t>
      </w:r>
      <w:proofErr w:type="spellEnd"/>
      <w:r w:rsidRPr="00CC28EC">
        <w:rPr>
          <w:sz w:val="24"/>
          <w:szCs w:val="24"/>
        </w:rPr>
        <w:t xml:space="preserve"> </w:t>
      </w:r>
      <w:r w:rsidR="005A1F12" w:rsidRPr="00CC28EC">
        <w:rPr>
          <w:sz w:val="24"/>
          <w:szCs w:val="24"/>
        </w:rPr>
        <w:t xml:space="preserve">face </w:t>
      </w:r>
      <w:proofErr w:type="spellStart"/>
      <w:r w:rsidR="005A1F12" w:rsidRPr="00CC28EC">
        <w:rPr>
          <w:sz w:val="24"/>
          <w:szCs w:val="24"/>
        </w:rPr>
        <w:t>referire</w:t>
      </w:r>
      <w:proofErr w:type="spellEnd"/>
      <w:r w:rsidR="005A1F12" w:rsidRPr="00CC28EC">
        <w:rPr>
          <w:sz w:val="24"/>
          <w:szCs w:val="24"/>
        </w:rPr>
        <w:t xml:space="preserve"> </w:t>
      </w:r>
      <w:proofErr w:type="spellStart"/>
      <w:r w:rsidR="00307018" w:rsidRPr="00CC28EC">
        <w:rPr>
          <w:sz w:val="24"/>
          <w:szCs w:val="24"/>
        </w:rPr>
        <w:t>în</w:t>
      </w:r>
      <w:proofErr w:type="spellEnd"/>
      <w:r w:rsidR="00307018" w:rsidRPr="00CC28EC">
        <w:rPr>
          <w:sz w:val="24"/>
          <w:szCs w:val="24"/>
        </w:rPr>
        <w:t xml:space="preserve"> </w:t>
      </w:r>
      <w:proofErr w:type="spellStart"/>
      <w:r w:rsidRPr="00CC28EC">
        <w:rPr>
          <w:sz w:val="24"/>
          <w:szCs w:val="24"/>
        </w:rPr>
        <w:t>Tratatul</w:t>
      </w:r>
      <w:proofErr w:type="spellEnd"/>
      <w:r w:rsidRPr="00CC28EC">
        <w:rPr>
          <w:sz w:val="24"/>
          <w:szCs w:val="24"/>
        </w:rPr>
        <w:t xml:space="preserve"> de la Maastricht (art.104)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versiunea</w:t>
      </w:r>
      <w:proofErr w:type="spellEnd"/>
      <w:r w:rsidRPr="00CC28EC">
        <w:rPr>
          <w:sz w:val="24"/>
          <w:szCs w:val="24"/>
        </w:rPr>
        <w:t xml:space="preserve"> </w:t>
      </w:r>
      <w:proofErr w:type="spellStart"/>
      <w:r w:rsidRPr="00CC28EC">
        <w:rPr>
          <w:sz w:val="24"/>
          <w:szCs w:val="24"/>
        </w:rPr>
        <w:t>consolidată</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2012 a </w:t>
      </w:r>
      <w:proofErr w:type="spellStart"/>
      <w:r w:rsidRPr="00CC28EC">
        <w:rPr>
          <w:sz w:val="24"/>
          <w:szCs w:val="24"/>
        </w:rPr>
        <w:t>Tratatului</w:t>
      </w:r>
      <w:proofErr w:type="spellEnd"/>
      <w:r w:rsidRPr="00CC28EC">
        <w:rPr>
          <w:sz w:val="24"/>
          <w:szCs w:val="24"/>
        </w:rPr>
        <w:t xml:space="preserve"> </w:t>
      </w:r>
      <w:proofErr w:type="spellStart"/>
      <w:r w:rsidRPr="00CC28EC">
        <w:rPr>
          <w:sz w:val="24"/>
          <w:szCs w:val="24"/>
        </w:rPr>
        <w:t>privind</w:t>
      </w:r>
      <w:proofErr w:type="spellEnd"/>
      <w:r w:rsidRPr="00CC28EC">
        <w:rPr>
          <w:sz w:val="24"/>
          <w:szCs w:val="24"/>
        </w:rPr>
        <w:t xml:space="preserve"> </w:t>
      </w:r>
      <w:proofErr w:type="spellStart"/>
      <w:r w:rsidRPr="00CC28EC">
        <w:rPr>
          <w:sz w:val="24"/>
          <w:szCs w:val="24"/>
        </w:rPr>
        <w:t>funcționarea</w:t>
      </w:r>
      <w:proofErr w:type="spellEnd"/>
      <w:r w:rsidRPr="00CC28EC">
        <w:rPr>
          <w:sz w:val="24"/>
          <w:szCs w:val="24"/>
        </w:rPr>
        <w:t xml:space="preserve"> U</w:t>
      </w:r>
      <w:r w:rsidR="00B549FA" w:rsidRPr="00CC28EC">
        <w:rPr>
          <w:sz w:val="24"/>
          <w:szCs w:val="24"/>
        </w:rPr>
        <w:t>E</w:t>
      </w:r>
      <w:r w:rsidRPr="00CC28EC">
        <w:rPr>
          <w:sz w:val="24"/>
          <w:szCs w:val="24"/>
        </w:rPr>
        <w:t xml:space="preserve"> (art. 126) </w:t>
      </w:r>
      <w:r w:rsidR="005A1F12" w:rsidRPr="00CC28EC">
        <w:rPr>
          <w:sz w:val="24"/>
          <w:szCs w:val="24"/>
        </w:rPr>
        <w:t xml:space="preserve">care </w:t>
      </w:r>
      <w:proofErr w:type="spellStart"/>
      <w:r w:rsidRPr="00CC28EC">
        <w:rPr>
          <w:sz w:val="24"/>
          <w:szCs w:val="24"/>
        </w:rPr>
        <w:t>stabilește</w:t>
      </w:r>
      <w:proofErr w:type="spellEnd"/>
      <w:r w:rsidRPr="00CC28EC">
        <w:rPr>
          <w:sz w:val="24"/>
          <w:szCs w:val="24"/>
        </w:rPr>
        <w:t xml:space="preserve"> </w:t>
      </w:r>
      <w:proofErr w:type="spellStart"/>
      <w:r w:rsidRPr="00CC28EC">
        <w:rPr>
          <w:sz w:val="24"/>
          <w:szCs w:val="24"/>
        </w:rPr>
        <w:t>pentru</w:t>
      </w:r>
      <w:proofErr w:type="spellEnd"/>
      <w:r w:rsidRPr="00CC28EC">
        <w:rPr>
          <w:sz w:val="24"/>
          <w:szCs w:val="24"/>
        </w:rPr>
        <w:t xml:space="preserve"> </w:t>
      </w:r>
      <w:proofErr w:type="spellStart"/>
      <w:r w:rsidRPr="00CC28EC">
        <w:rPr>
          <w:sz w:val="24"/>
          <w:szCs w:val="24"/>
        </w:rPr>
        <w:t>țările</w:t>
      </w:r>
      <w:proofErr w:type="spellEnd"/>
      <w:r w:rsidRPr="00CC28EC">
        <w:rPr>
          <w:sz w:val="24"/>
          <w:szCs w:val="24"/>
        </w:rPr>
        <w:t xml:space="preserve"> </w:t>
      </w:r>
      <w:proofErr w:type="spellStart"/>
      <w:r w:rsidRPr="00CC28EC">
        <w:rPr>
          <w:sz w:val="24"/>
          <w:szCs w:val="24"/>
        </w:rPr>
        <w:t>membre</w:t>
      </w:r>
      <w:proofErr w:type="spellEnd"/>
      <w:r w:rsidRPr="00CC28EC">
        <w:rPr>
          <w:sz w:val="24"/>
          <w:szCs w:val="24"/>
        </w:rPr>
        <w:t xml:space="preserve"> </w:t>
      </w:r>
      <w:proofErr w:type="spellStart"/>
      <w:r w:rsidRPr="00CC28EC">
        <w:rPr>
          <w:sz w:val="24"/>
          <w:szCs w:val="24"/>
        </w:rPr>
        <w:t>procedura</w:t>
      </w:r>
      <w:proofErr w:type="spellEnd"/>
      <w:r w:rsidRPr="00CC28EC">
        <w:rPr>
          <w:sz w:val="24"/>
          <w:szCs w:val="24"/>
        </w:rPr>
        <w:t xml:space="preserve"> de deficit </w:t>
      </w:r>
      <w:proofErr w:type="spellStart"/>
      <w:r w:rsidRPr="00CC28EC">
        <w:rPr>
          <w:sz w:val="24"/>
          <w:szCs w:val="24"/>
        </w:rPr>
        <w:t>excesiv</w:t>
      </w:r>
      <w:proofErr w:type="spellEnd"/>
      <w:r w:rsidRPr="00CC28EC">
        <w:rPr>
          <w:sz w:val="24"/>
          <w:szCs w:val="24"/>
        </w:rPr>
        <w:t xml:space="preserve">. </w:t>
      </w:r>
      <w:proofErr w:type="spellStart"/>
      <w:r w:rsidRPr="00CC28EC">
        <w:rPr>
          <w:sz w:val="24"/>
          <w:szCs w:val="24"/>
        </w:rPr>
        <w:t>Tratatul</w:t>
      </w:r>
      <w:proofErr w:type="spellEnd"/>
      <w:r w:rsidRPr="00CC28EC">
        <w:rPr>
          <w:sz w:val="24"/>
          <w:szCs w:val="24"/>
        </w:rPr>
        <w:t xml:space="preserve"> </w:t>
      </w:r>
      <w:proofErr w:type="spellStart"/>
      <w:r w:rsidRPr="00CC28EC">
        <w:rPr>
          <w:sz w:val="24"/>
          <w:szCs w:val="24"/>
        </w:rPr>
        <w:t>obligă</w:t>
      </w:r>
      <w:proofErr w:type="spellEnd"/>
      <w:r w:rsidRPr="00CC28EC">
        <w:rPr>
          <w:sz w:val="24"/>
          <w:szCs w:val="24"/>
        </w:rPr>
        <w:t xml:space="preserve"> </w:t>
      </w:r>
      <w:proofErr w:type="spellStart"/>
      <w:r w:rsidRPr="00CC28EC">
        <w:rPr>
          <w:sz w:val="24"/>
          <w:szCs w:val="24"/>
        </w:rPr>
        <w:t>statele</w:t>
      </w:r>
      <w:proofErr w:type="spellEnd"/>
      <w:r w:rsidRPr="00CC28EC">
        <w:rPr>
          <w:sz w:val="24"/>
          <w:szCs w:val="24"/>
        </w:rPr>
        <w:t xml:space="preserve"> </w:t>
      </w:r>
      <w:proofErr w:type="spellStart"/>
      <w:r w:rsidRPr="00CC28EC">
        <w:rPr>
          <w:sz w:val="24"/>
          <w:szCs w:val="24"/>
        </w:rPr>
        <w:t>membre</w:t>
      </w:r>
      <w:proofErr w:type="spellEnd"/>
      <w:r w:rsidRPr="00CC28EC">
        <w:rPr>
          <w:sz w:val="24"/>
          <w:szCs w:val="24"/>
        </w:rPr>
        <w:t xml:space="preserve"> UE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respecte</w:t>
      </w:r>
      <w:proofErr w:type="spellEnd"/>
      <w:r w:rsidRPr="00CC28EC">
        <w:rPr>
          <w:sz w:val="24"/>
          <w:szCs w:val="24"/>
        </w:rPr>
        <w:t xml:space="preserve"> </w:t>
      </w:r>
      <w:proofErr w:type="spellStart"/>
      <w:r w:rsidRPr="00CC28EC">
        <w:rPr>
          <w:sz w:val="24"/>
          <w:szCs w:val="24"/>
        </w:rPr>
        <w:t>disciplina</w:t>
      </w:r>
      <w:proofErr w:type="spellEnd"/>
      <w:r w:rsidRPr="00CC28EC">
        <w:rPr>
          <w:sz w:val="24"/>
          <w:szCs w:val="24"/>
        </w:rPr>
        <w:t xml:space="preserve"> </w:t>
      </w:r>
      <w:proofErr w:type="spellStart"/>
      <w:r w:rsidRPr="00CC28EC">
        <w:rPr>
          <w:sz w:val="24"/>
          <w:szCs w:val="24"/>
        </w:rPr>
        <w:t>bugetară</w:t>
      </w:r>
      <w:proofErr w:type="spellEnd"/>
      <w:r w:rsidRPr="00CC28EC">
        <w:rPr>
          <w:sz w:val="24"/>
          <w:szCs w:val="24"/>
        </w:rPr>
        <w:t xml:space="preserve"> </w:t>
      </w:r>
      <w:proofErr w:type="spellStart"/>
      <w:r w:rsidRPr="00CC28EC">
        <w:rPr>
          <w:sz w:val="24"/>
          <w:szCs w:val="24"/>
        </w:rPr>
        <w:t>urmărind</w:t>
      </w:r>
      <w:proofErr w:type="spellEnd"/>
      <w:r w:rsidRPr="00CC28EC">
        <w:rPr>
          <w:sz w:val="24"/>
          <w:szCs w:val="24"/>
        </w:rPr>
        <w:t xml:space="preserve"> </w:t>
      </w:r>
      <w:proofErr w:type="spellStart"/>
      <w:r w:rsidRPr="00CC28EC">
        <w:rPr>
          <w:sz w:val="24"/>
          <w:szCs w:val="24"/>
        </w:rPr>
        <w:t>două</w:t>
      </w:r>
      <w:proofErr w:type="spellEnd"/>
      <w:r w:rsidRPr="00CC28EC">
        <w:rPr>
          <w:sz w:val="24"/>
          <w:szCs w:val="24"/>
        </w:rPr>
        <w:t xml:space="preserve"> </w:t>
      </w:r>
      <w:proofErr w:type="spellStart"/>
      <w:r w:rsidRPr="00CC28EC">
        <w:rPr>
          <w:sz w:val="24"/>
          <w:szCs w:val="24"/>
        </w:rPr>
        <w:t>criterii</w:t>
      </w:r>
      <w:proofErr w:type="spellEnd"/>
      <w:r w:rsidRPr="00CC28EC">
        <w:rPr>
          <w:sz w:val="24"/>
          <w:szCs w:val="24"/>
        </w:rPr>
        <w:t xml:space="preserve">: un </w:t>
      </w:r>
      <w:proofErr w:type="spellStart"/>
      <w:r w:rsidRPr="00CC28EC">
        <w:rPr>
          <w:sz w:val="24"/>
          <w:szCs w:val="24"/>
        </w:rPr>
        <w:t>raport</w:t>
      </w:r>
      <w:proofErr w:type="spellEnd"/>
      <w:r w:rsidRPr="00CC28EC">
        <w:rPr>
          <w:sz w:val="24"/>
          <w:szCs w:val="24"/>
        </w:rPr>
        <w:t xml:space="preserve"> deficit</w:t>
      </w:r>
      <w:r w:rsidR="00B549FA" w:rsidRPr="00CC28EC">
        <w:rPr>
          <w:sz w:val="24"/>
          <w:szCs w:val="24"/>
        </w:rPr>
        <w:t xml:space="preserve"> </w:t>
      </w:r>
      <w:proofErr w:type="spellStart"/>
      <w:r w:rsidR="00B549FA" w:rsidRPr="00CC28EC">
        <w:rPr>
          <w:sz w:val="24"/>
          <w:szCs w:val="24"/>
        </w:rPr>
        <w:t>bugetar</w:t>
      </w:r>
      <w:proofErr w:type="spellEnd"/>
      <w:r w:rsidRPr="00CC28EC">
        <w:rPr>
          <w:sz w:val="24"/>
          <w:szCs w:val="24"/>
        </w:rPr>
        <w:t xml:space="preserve">/PIB </w:t>
      </w:r>
      <w:proofErr w:type="spellStart"/>
      <w:r w:rsidRPr="00CC28EC">
        <w:rPr>
          <w:sz w:val="24"/>
          <w:szCs w:val="24"/>
        </w:rPr>
        <w:t>și</w:t>
      </w:r>
      <w:proofErr w:type="spellEnd"/>
      <w:r w:rsidRPr="00CC28EC">
        <w:rPr>
          <w:sz w:val="24"/>
          <w:szCs w:val="24"/>
        </w:rPr>
        <w:t xml:space="preserve"> un </w:t>
      </w:r>
      <w:proofErr w:type="spellStart"/>
      <w:r w:rsidRPr="00CC28EC">
        <w:rPr>
          <w:sz w:val="24"/>
          <w:szCs w:val="24"/>
        </w:rPr>
        <w:t>raport</w:t>
      </w:r>
      <w:proofErr w:type="spellEnd"/>
      <w:r w:rsidRPr="00CC28EC">
        <w:rPr>
          <w:sz w:val="24"/>
          <w:szCs w:val="24"/>
        </w:rPr>
        <w:t xml:space="preserve"> </w:t>
      </w:r>
      <w:proofErr w:type="spellStart"/>
      <w:r w:rsidRPr="00CC28EC">
        <w:rPr>
          <w:sz w:val="24"/>
          <w:szCs w:val="24"/>
        </w:rPr>
        <w:t>datorie</w:t>
      </w:r>
      <w:proofErr w:type="spellEnd"/>
      <w:r w:rsidR="00B549FA" w:rsidRPr="00CC28EC">
        <w:rPr>
          <w:sz w:val="24"/>
          <w:szCs w:val="24"/>
        </w:rPr>
        <w:t xml:space="preserve"> </w:t>
      </w:r>
      <w:proofErr w:type="spellStart"/>
      <w:r w:rsidR="00B549FA" w:rsidRPr="00CC28EC">
        <w:rPr>
          <w:sz w:val="24"/>
          <w:szCs w:val="24"/>
        </w:rPr>
        <w:t>publică</w:t>
      </w:r>
      <w:proofErr w:type="spellEnd"/>
      <w:r w:rsidRPr="00CC28EC">
        <w:rPr>
          <w:sz w:val="24"/>
          <w:szCs w:val="24"/>
        </w:rPr>
        <w:t xml:space="preserve">/PIB care </w:t>
      </w:r>
      <w:proofErr w:type="spellStart"/>
      <w:r w:rsidRPr="00CC28EC">
        <w:rPr>
          <w:sz w:val="24"/>
          <w:szCs w:val="24"/>
        </w:rPr>
        <w:t>să</w:t>
      </w:r>
      <w:proofErr w:type="spellEnd"/>
      <w:r w:rsidRPr="00CC28EC">
        <w:rPr>
          <w:sz w:val="24"/>
          <w:szCs w:val="24"/>
        </w:rPr>
        <w:t xml:space="preserve"> nu </w:t>
      </w:r>
      <w:proofErr w:type="spellStart"/>
      <w:r w:rsidRPr="00CC28EC">
        <w:rPr>
          <w:sz w:val="24"/>
          <w:szCs w:val="24"/>
        </w:rPr>
        <w:t>depășească</w:t>
      </w:r>
      <w:proofErr w:type="spellEnd"/>
      <w:r w:rsidRPr="00CC28EC">
        <w:rPr>
          <w:sz w:val="24"/>
          <w:szCs w:val="24"/>
        </w:rPr>
        <w:t xml:space="preserve"> </w:t>
      </w:r>
      <w:proofErr w:type="spellStart"/>
      <w:r w:rsidRPr="00CC28EC">
        <w:rPr>
          <w:sz w:val="24"/>
          <w:szCs w:val="24"/>
        </w:rPr>
        <w:t>valorile</w:t>
      </w:r>
      <w:proofErr w:type="spellEnd"/>
      <w:r w:rsidRPr="00CC28EC">
        <w:rPr>
          <w:sz w:val="24"/>
          <w:szCs w:val="24"/>
        </w:rPr>
        <w:t xml:space="preserve"> de </w:t>
      </w:r>
      <w:proofErr w:type="spellStart"/>
      <w:r w:rsidRPr="00CC28EC">
        <w:rPr>
          <w:sz w:val="24"/>
          <w:szCs w:val="24"/>
        </w:rPr>
        <w:t>referință</w:t>
      </w:r>
      <w:proofErr w:type="spellEnd"/>
      <w:r w:rsidRPr="00CC28EC">
        <w:rPr>
          <w:sz w:val="24"/>
          <w:szCs w:val="24"/>
        </w:rPr>
        <w:t xml:space="preserve"> de 3%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respectiv</w:t>
      </w:r>
      <w:proofErr w:type="spellEnd"/>
      <w:r w:rsidRPr="00CC28EC">
        <w:rPr>
          <w:sz w:val="24"/>
          <w:szCs w:val="24"/>
        </w:rPr>
        <w:t xml:space="preserve"> 60%. (</w:t>
      </w:r>
      <w:bookmarkStart w:id="1" w:name="_Hlk83647724"/>
      <w:r w:rsidRPr="00CC28EC">
        <w:rPr>
          <w:sz w:val="24"/>
          <w:szCs w:val="24"/>
        </w:rPr>
        <w:t>Eurostat, 2014</w:t>
      </w:r>
      <w:bookmarkEnd w:id="1"/>
      <w:r w:rsidRPr="00CC28EC">
        <w:rPr>
          <w:sz w:val="24"/>
          <w:szCs w:val="24"/>
        </w:rPr>
        <w:t>)</w:t>
      </w:r>
    </w:p>
    <w:p w14:paraId="59C44C38" w14:textId="7320FE1C" w:rsidR="00316377" w:rsidRPr="00CC28EC" w:rsidRDefault="00883EFD" w:rsidP="00B73E63">
      <w:pPr>
        <w:shd w:val="clear" w:color="auto" w:fill="FFFFFF"/>
        <w:autoSpaceDE/>
        <w:autoSpaceDN/>
        <w:ind w:firstLine="720"/>
        <w:jc w:val="both"/>
        <w:rPr>
          <w:sz w:val="24"/>
          <w:szCs w:val="24"/>
        </w:rPr>
      </w:pPr>
      <w:r w:rsidRPr="00CC28EC">
        <w:rPr>
          <w:sz w:val="24"/>
          <w:szCs w:val="24"/>
        </w:rPr>
        <w:t xml:space="preserve">De </w:t>
      </w:r>
      <w:proofErr w:type="spellStart"/>
      <w:r w:rsidRPr="00CC28EC">
        <w:rPr>
          <w:sz w:val="24"/>
          <w:szCs w:val="24"/>
        </w:rPr>
        <w:t>aceea</w:t>
      </w:r>
      <w:proofErr w:type="spellEnd"/>
      <w:r w:rsidRPr="00CC28EC">
        <w:rPr>
          <w:sz w:val="24"/>
          <w:szCs w:val="24"/>
        </w:rPr>
        <w:t xml:space="preserve"> </w:t>
      </w:r>
      <w:proofErr w:type="spellStart"/>
      <w:r w:rsidRPr="00CC28EC">
        <w:rPr>
          <w:sz w:val="24"/>
          <w:szCs w:val="24"/>
        </w:rPr>
        <w:t>politica</w:t>
      </w:r>
      <w:proofErr w:type="spellEnd"/>
      <w:r w:rsidRPr="00CC28EC">
        <w:rPr>
          <w:sz w:val="24"/>
          <w:szCs w:val="24"/>
        </w:rPr>
        <w:t xml:space="preserve"> </w:t>
      </w:r>
      <w:proofErr w:type="spellStart"/>
      <w:r w:rsidRPr="00CC28EC">
        <w:rPr>
          <w:sz w:val="24"/>
          <w:szCs w:val="24"/>
        </w:rPr>
        <w:t>fiscală</w:t>
      </w:r>
      <w:proofErr w:type="spellEnd"/>
      <w:r w:rsidRPr="00CC28EC">
        <w:rPr>
          <w:sz w:val="24"/>
          <w:szCs w:val="24"/>
        </w:rPr>
        <w:t xml:space="preserve"> a </w:t>
      </w:r>
      <w:proofErr w:type="spellStart"/>
      <w:r w:rsidRPr="00CC28EC">
        <w:rPr>
          <w:sz w:val="24"/>
          <w:szCs w:val="24"/>
        </w:rPr>
        <w:t>fiecărui</w:t>
      </w:r>
      <w:proofErr w:type="spellEnd"/>
      <w:r w:rsidRPr="00CC28EC">
        <w:rPr>
          <w:sz w:val="24"/>
          <w:szCs w:val="24"/>
        </w:rPr>
        <w:t xml:space="preserve"> stat </w:t>
      </w:r>
      <w:proofErr w:type="spellStart"/>
      <w:r w:rsidRPr="00CC28EC">
        <w:rPr>
          <w:sz w:val="24"/>
          <w:szCs w:val="24"/>
        </w:rPr>
        <w:t>membru</w:t>
      </w:r>
      <w:proofErr w:type="spellEnd"/>
      <w:r w:rsidRPr="00CC28EC">
        <w:rPr>
          <w:sz w:val="24"/>
          <w:szCs w:val="24"/>
        </w:rPr>
        <w:t xml:space="preserve"> </w:t>
      </w:r>
      <w:proofErr w:type="spellStart"/>
      <w:r w:rsidRPr="00CC28EC">
        <w:rPr>
          <w:sz w:val="24"/>
          <w:szCs w:val="24"/>
        </w:rPr>
        <w:t>trebuie</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răspundă</w:t>
      </w:r>
      <w:proofErr w:type="spellEnd"/>
      <w:r w:rsidRPr="00CC28EC">
        <w:rPr>
          <w:sz w:val="24"/>
          <w:szCs w:val="24"/>
        </w:rPr>
        <w:t xml:space="preserve"> la </w:t>
      </w:r>
      <w:proofErr w:type="spellStart"/>
      <w:r w:rsidRPr="00CC28EC">
        <w:rPr>
          <w:sz w:val="24"/>
          <w:szCs w:val="24"/>
        </w:rPr>
        <w:t>întrebarea</w:t>
      </w:r>
      <w:proofErr w:type="spellEnd"/>
      <w:r w:rsidRPr="00CC28EC">
        <w:rPr>
          <w:sz w:val="24"/>
          <w:szCs w:val="24"/>
        </w:rPr>
        <w:t xml:space="preserve"> </w:t>
      </w:r>
      <w:proofErr w:type="spellStart"/>
      <w:r w:rsidRPr="00CC28EC">
        <w:rPr>
          <w:sz w:val="24"/>
          <w:szCs w:val="24"/>
        </w:rPr>
        <w:t>câți</w:t>
      </w:r>
      <w:proofErr w:type="spellEnd"/>
      <w:r w:rsidRPr="00CC28EC">
        <w:rPr>
          <w:sz w:val="24"/>
          <w:szCs w:val="24"/>
        </w:rPr>
        <w:t xml:space="preserve"> </w:t>
      </w:r>
      <w:proofErr w:type="spellStart"/>
      <w:r w:rsidRPr="00CC28EC">
        <w:rPr>
          <w:sz w:val="24"/>
          <w:szCs w:val="24"/>
        </w:rPr>
        <w:t>bani</w:t>
      </w:r>
      <w:proofErr w:type="spellEnd"/>
      <w:r w:rsidRPr="00CC28EC">
        <w:rPr>
          <w:sz w:val="24"/>
          <w:szCs w:val="24"/>
        </w:rPr>
        <w:t xml:space="preserve"> </w:t>
      </w:r>
      <w:proofErr w:type="spellStart"/>
      <w:r w:rsidRPr="00CC28EC">
        <w:rPr>
          <w:sz w:val="24"/>
          <w:szCs w:val="24"/>
        </w:rPr>
        <w:t>va</w:t>
      </w:r>
      <w:proofErr w:type="spellEnd"/>
      <w:r w:rsidRPr="00CC28EC">
        <w:rPr>
          <w:sz w:val="24"/>
          <w:szCs w:val="24"/>
        </w:rPr>
        <w:t xml:space="preserve"> </w:t>
      </w:r>
      <w:proofErr w:type="spellStart"/>
      <w:r w:rsidRPr="00CC28EC">
        <w:rPr>
          <w:sz w:val="24"/>
          <w:szCs w:val="24"/>
        </w:rPr>
        <w:t>împrumuta</w:t>
      </w:r>
      <w:proofErr w:type="spellEnd"/>
      <w:r w:rsidRPr="00CC28EC">
        <w:rPr>
          <w:sz w:val="24"/>
          <w:szCs w:val="24"/>
        </w:rPr>
        <w:t xml:space="preserve"> </w:t>
      </w:r>
      <w:proofErr w:type="spellStart"/>
      <w:r w:rsidRPr="00CC28EC">
        <w:rPr>
          <w:sz w:val="24"/>
          <w:szCs w:val="24"/>
        </w:rPr>
        <w:t>statul</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câți</w:t>
      </w:r>
      <w:proofErr w:type="spellEnd"/>
      <w:r w:rsidRPr="00CC28EC">
        <w:rPr>
          <w:sz w:val="24"/>
          <w:szCs w:val="24"/>
        </w:rPr>
        <w:t xml:space="preserve"> </w:t>
      </w:r>
      <w:proofErr w:type="spellStart"/>
      <w:r w:rsidRPr="00CC28EC">
        <w:rPr>
          <w:sz w:val="24"/>
          <w:szCs w:val="24"/>
        </w:rPr>
        <w:t>va</w:t>
      </w:r>
      <w:proofErr w:type="spellEnd"/>
      <w:r w:rsidRPr="00CC28EC">
        <w:rPr>
          <w:sz w:val="24"/>
          <w:szCs w:val="24"/>
        </w:rPr>
        <w:t xml:space="preserve"> </w:t>
      </w:r>
      <w:proofErr w:type="spellStart"/>
      <w:r w:rsidRPr="00CC28EC">
        <w:rPr>
          <w:sz w:val="24"/>
          <w:szCs w:val="24"/>
        </w:rPr>
        <w:t>încasa</w:t>
      </w:r>
      <w:proofErr w:type="spellEnd"/>
      <w:r w:rsidRPr="00CC28EC">
        <w:rPr>
          <w:sz w:val="24"/>
          <w:szCs w:val="24"/>
        </w:rPr>
        <w:t xml:space="preserve"> din </w:t>
      </w:r>
      <w:proofErr w:type="spellStart"/>
      <w:r w:rsidRPr="00CC28EC">
        <w:rPr>
          <w:sz w:val="24"/>
          <w:szCs w:val="24"/>
        </w:rPr>
        <w:t>impozite</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taxe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așa</w:t>
      </w:r>
      <w:proofErr w:type="spellEnd"/>
      <w:r w:rsidRPr="00CC28EC">
        <w:rPr>
          <w:sz w:val="24"/>
          <w:szCs w:val="24"/>
        </w:rPr>
        <w:t xml:space="preserve"> </w:t>
      </w:r>
      <w:proofErr w:type="spellStart"/>
      <w:r w:rsidRPr="00CC28EC">
        <w:rPr>
          <w:sz w:val="24"/>
          <w:szCs w:val="24"/>
        </w:rPr>
        <w:t>fel</w:t>
      </w:r>
      <w:proofErr w:type="spellEnd"/>
      <w:r w:rsidRPr="00CC28EC">
        <w:rPr>
          <w:sz w:val="24"/>
          <w:szCs w:val="24"/>
        </w:rPr>
        <w:t xml:space="preserve"> </w:t>
      </w:r>
      <w:proofErr w:type="spellStart"/>
      <w:r w:rsidRPr="00CC28EC">
        <w:rPr>
          <w:sz w:val="24"/>
          <w:szCs w:val="24"/>
        </w:rPr>
        <w:t>încât</w:t>
      </w:r>
      <w:proofErr w:type="spellEnd"/>
      <w:r w:rsidRPr="00CC28EC">
        <w:rPr>
          <w:sz w:val="24"/>
          <w:szCs w:val="24"/>
        </w:rPr>
        <w:t xml:space="preserve"> </w:t>
      </w:r>
      <w:proofErr w:type="spellStart"/>
      <w:r w:rsidRPr="00CC28EC">
        <w:rPr>
          <w:sz w:val="24"/>
          <w:szCs w:val="24"/>
        </w:rPr>
        <w:t>economia</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nu </w:t>
      </w:r>
      <w:proofErr w:type="spellStart"/>
      <w:r w:rsidRPr="00CC28EC">
        <w:rPr>
          <w:sz w:val="24"/>
          <w:szCs w:val="24"/>
        </w:rPr>
        <w:t>aibă</w:t>
      </w:r>
      <w:proofErr w:type="spellEnd"/>
      <w:r w:rsidRPr="00CC28EC">
        <w:rPr>
          <w:sz w:val="24"/>
          <w:szCs w:val="24"/>
        </w:rPr>
        <w:t xml:space="preserve"> de </w:t>
      </w:r>
      <w:proofErr w:type="spellStart"/>
      <w:r w:rsidRPr="00CC28EC">
        <w:rPr>
          <w:sz w:val="24"/>
          <w:szCs w:val="24"/>
        </w:rPr>
        <w:t>suferit</w:t>
      </w:r>
      <w:proofErr w:type="spellEnd"/>
      <w:r w:rsidRPr="00CC28EC">
        <w:rPr>
          <w:sz w:val="24"/>
          <w:szCs w:val="24"/>
        </w:rPr>
        <w:t xml:space="preserve">. Este </w:t>
      </w:r>
      <w:proofErr w:type="spellStart"/>
      <w:r w:rsidRPr="00CC28EC">
        <w:rPr>
          <w:sz w:val="24"/>
          <w:szCs w:val="24"/>
        </w:rPr>
        <w:t>vorba</w:t>
      </w:r>
      <w:proofErr w:type="spellEnd"/>
      <w:r w:rsidRPr="00CC28EC">
        <w:rPr>
          <w:sz w:val="24"/>
          <w:szCs w:val="24"/>
        </w:rPr>
        <w:t xml:space="preserve"> de management public </w:t>
      </w:r>
      <w:proofErr w:type="spellStart"/>
      <w:r w:rsidRPr="00CC28EC">
        <w:rPr>
          <w:sz w:val="24"/>
          <w:szCs w:val="24"/>
        </w:rPr>
        <w:t>eficient</w:t>
      </w:r>
      <w:proofErr w:type="spellEnd"/>
      <w:r w:rsidRPr="00CC28EC">
        <w:rPr>
          <w:sz w:val="24"/>
          <w:szCs w:val="24"/>
        </w:rPr>
        <w:t xml:space="preserve">, </w:t>
      </w:r>
      <w:proofErr w:type="spellStart"/>
      <w:r w:rsidRPr="00CC28EC">
        <w:rPr>
          <w:sz w:val="24"/>
          <w:szCs w:val="24"/>
        </w:rPr>
        <w:t>ținâdu</w:t>
      </w:r>
      <w:proofErr w:type="spellEnd"/>
      <w:r w:rsidRPr="00CC28EC">
        <w:rPr>
          <w:sz w:val="24"/>
          <w:szCs w:val="24"/>
        </w:rPr>
        <w:t xml:space="preserve">-se </w:t>
      </w:r>
      <w:proofErr w:type="spellStart"/>
      <w:r w:rsidRPr="00CC28EC">
        <w:rPr>
          <w:sz w:val="24"/>
          <w:szCs w:val="24"/>
        </w:rPr>
        <w:t>cont</w:t>
      </w:r>
      <w:proofErr w:type="spellEnd"/>
      <w:r w:rsidRPr="00CC28EC">
        <w:rPr>
          <w:sz w:val="24"/>
          <w:szCs w:val="24"/>
        </w:rPr>
        <w:t xml:space="preserve"> </w:t>
      </w:r>
      <w:proofErr w:type="spellStart"/>
      <w:r w:rsidRPr="00CC28EC">
        <w:rPr>
          <w:sz w:val="24"/>
          <w:szCs w:val="24"/>
        </w:rPr>
        <w:t>faptul</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Pr="00CC28EC">
        <w:rPr>
          <w:sz w:val="24"/>
          <w:szCs w:val="24"/>
        </w:rPr>
        <w:t>aduce</w:t>
      </w:r>
      <w:proofErr w:type="spellEnd"/>
      <w:r w:rsidRPr="00CC28EC">
        <w:rPr>
          <w:sz w:val="24"/>
          <w:szCs w:val="24"/>
        </w:rPr>
        <w:t xml:space="preserve"> </w:t>
      </w:r>
      <w:proofErr w:type="spellStart"/>
      <w:r w:rsidRPr="00CC28EC">
        <w:rPr>
          <w:sz w:val="24"/>
          <w:szCs w:val="24"/>
        </w:rPr>
        <w:t>cheltuieli</w:t>
      </w:r>
      <w:proofErr w:type="spellEnd"/>
      <w:r w:rsidRPr="00CC28EC">
        <w:rPr>
          <w:sz w:val="24"/>
          <w:szCs w:val="24"/>
        </w:rPr>
        <w:t xml:space="preserve"> </w:t>
      </w:r>
      <w:proofErr w:type="spellStart"/>
      <w:r w:rsidRPr="00CC28EC">
        <w:rPr>
          <w:sz w:val="24"/>
          <w:szCs w:val="24"/>
        </w:rPr>
        <w:t>suplimentare</w:t>
      </w:r>
      <w:proofErr w:type="spellEnd"/>
      <w:r w:rsidRPr="00CC28EC">
        <w:rPr>
          <w:sz w:val="24"/>
          <w:szCs w:val="24"/>
        </w:rPr>
        <w:t xml:space="preserve"> </w:t>
      </w:r>
      <w:proofErr w:type="spellStart"/>
      <w:r w:rsidRPr="00CC28EC">
        <w:rPr>
          <w:sz w:val="24"/>
          <w:szCs w:val="24"/>
        </w:rPr>
        <w:t>prin</w:t>
      </w:r>
      <w:proofErr w:type="spellEnd"/>
      <w:r w:rsidRPr="00CC28EC">
        <w:rPr>
          <w:sz w:val="24"/>
          <w:szCs w:val="24"/>
        </w:rPr>
        <w:t xml:space="preserve"> </w:t>
      </w:r>
      <w:proofErr w:type="spellStart"/>
      <w:r w:rsidRPr="00CC28EC">
        <w:rPr>
          <w:sz w:val="24"/>
          <w:szCs w:val="24"/>
        </w:rPr>
        <w:t>comisianele</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dobânzile</w:t>
      </w:r>
      <w:proofErr w:type="spellEnd"/>
      <w:r w:rsidRPr="00CC28EC">
        <w:rPr>
          <w:sz w:val="24"/>
          <w:szCs w:val="24"/>
        </w:rPr>
        <w:t xml:space="preserve"> </w:t>
      </w:r>
      <w:proofErr w:type="spellStart"/>
      <w:r w:rsidRPr="00CC28EC">
        <w:rPr>
          <w:sz w:val="24"/>
          <w:szCs w:val="24"/>
        </w:rPr>
        <w:t>achitate</w:t>
      </w:r>
      <w:proofErr w:type="spellEnd"/>
      <w:r w:rsidRPr="00CC28EC">
        <w:rPr>
          <w:sz w:val="24"/>
          <w:szCs w:val="24"/>
        </w:rPr>
        <w:t xml:space="preserve">, </w:t>
      </w:r>
      <w:proofErr w:type="spellStart"/>
      <w:r w:rsidRPr="00CC28EC">
        <w:rPr>
          <w:sz w:val="24"/>
          <w:szCs w:val="24"/>
        </w:rPr>
        <w:t>lucru</w:t>
      </w:r>
      <w:proofErr w:type="spellEnd"/>
      <w:r w:rsidRPr="00CC28EC">
        <w:rPr>
          <w:sz w:val="24"/>
          <w:szCs w:val="24"/>
        </w:rPr>
        <w:t xml:space="preserve"> </w:t>
      </w:r>
      <w:proofErr w:type="spellStart"/>
      <w:r w:rsidRPr="00CC28EC">
        <w:rPr>
          <w:sz w:val="24"/>
          <w:szCs w:val="24"/>
        </w:rPr>
        <w:t>ce</w:t>
      </w:r>
      <w:proofErr w:type="spellEnd"/>
      <w:r w:rsidRPr="00CC28EC">
        <w:rPr>
          <w:sz w:val="24"/>
          <w:szCs w:val="24"/>
        </w:rPr>
        <w:t xml:space="preserve"> </w:t>
      </w:r>
      <w:proofErr w:type="spellStart"/>
      <w:r w:rsidRPr="00CC28EC">
        <w:rPr>
          <w:sz w:val="24"/>
          <w:szCs w:val="24"/>
        </w:rPr>
        <w:t>presupune</w:t>
      </w:r>
      <w:proofErr w:type="spellEnd"/>
      <w:r w:rsidRPr="00CC28EC">
        <w:rPr>
          <w:sz w:val="24"/>
          <w:szCs w:val="24"/>
        </w:rPr>
        <w:t xml:space="preserve"> o </w:t>
      </w:r>
      <w:proofErr w:type="spellStart"/>
      <w:r w:rsidRPr="00CC28EC">
        <w:rPr>
          <w:sz w:val="24"/>
          <w:szCs w:val="24"/>
        </w:rPr>
        <w:t>creștere</w:t>
      </w:r>
      <w:proofErr w:type="spellEnd"/>
      <w:r w:rsidRPr="00CC28EC">
        <w:rPr>
          <w:sz w:val="24"/>
          <w:szCs w:val="24"/>
        </w:rPr>
        <w:t xml:space="preserve"> </w:t>
      </w:r>
      <w:proofErr w:type="spellStart"/>
      <w:r w:rsidRPr="00CC28EC">
        <w:rPr>
          <w:sz w:val="24"/>
          <w:szCs w:val="24"/>
        </w:rPr>
        <w:t>viitoare</w:t>
      </w:r>
      <w:proofErr w:type="spellEnd"/>
      <w:r w:rsidRPr="00CC28EC">
        <w:rPr>
          <w:sz w:val="24"/>
          <w:szCs w:val="24"/>
        </w:rPr>
        <w:t xml:space="preserve"> a </w:t>
      </w:r>
      <w:proofErr w:type="spellStart"/>
      <w:r w:rsidRPr="00CC28EC">
        <w:rPr>
          <w:sz w:val="24"/>
          <w:szCs w:val="24"/>
        </w:rPr>
        <w:t>ratei</w:t>
      </w:r>
      <w:proofErr w:type="spellEnd"/>
      <w:r w:rsidRPr="00CC28EC">
        <w:rPr>
          <w:sz w:val="24"/>
          <w:szCs w:val="24"/>
        </w:rPr>
        <w:t xml:space="preserve"> </w:t>
      </w:r>
      <w:proofErr w:type="spellStart"/>
      <w:r w:rsidRPr="00CC28EC">
        <w:rPr>
          <w:sz w:val="24"/>
          <w:szCs w:val="24"/>
        </w:rPr>
        <w:t>fiscalității</w:t>
      </w:r>
      <w:proofErr w:type="spellEnd"/>
      <w:r w:rsidRPr="00CC28EC">
        <w:rPr>
          <w:sz w:val="24"/>
          <w:szCs w:val="24"/>
        </w:rPr>
        <w:t>.</w:t>
      </w:r>
      <w:r w:rsidR="00AD6C81" w:rsidRPr="00CC28EC">
        <w:rPr>
          <w:sz w:val="24"/>
          <w:szCs w:val="24"/>
        </w:rPr>
        <w:t xml:space="preserve"> </w:t>
      </w:r>
      <w:r w:rsidRPr="00CC28EC">
        <w:rPr>
          <w:sz w:val="24"/>
          <w:szCs w:val="24"/>
        </w:rPr>
        <w:t>Deci</w:t>
      </w:r>
      <w:r w:rsidR="00AD6C81" w:rsidRPr="00CC28EC">
        <w:rPr>
          <w:sz w:val="24"/>
          <w:szCs w:val="24"/>
        </w:rPr>
        <w:t xml:space="preserve"> </w:t>
      </w:r>
      <w:proofErr w:type="spellStart"/>
      <w:r w:rsidRPr="00CC28EC">
        <w:rPr>
          <w:sz w:val="24"/>
          <w:szCs w:val="24"/>
        </w:rPr>
        <w:t>îndatorarea</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ales </w:t>
      </w:r>
      <w:proofErr w:type="spellStart"/>
      <w:r w:rsidRPr="00CC28EC">
        <w:rPr>
          <w:sz w:val="24"/>
          <w:szCs w:val="24"/>
        </w:rPr>
        <w:t>îndatorarea</w:t>
      </w:r>
      <w:proofErr w:type="spellEnd"/>
      <w:r w:rsidRPr="00CC28EC">
        <w:rPr>
          <w:sz w:val="24"/>
          <w:szCs w:val="24"/>
        </w:rPr>
        <w:t xml:space="preserve"> </w:t>
      </w:r>
      <w:proofErr w:type="spellStart"/>
      <w:r w:rsidRPr="00CC28EC">
        <w:rPr>
          <w:sz w:val="24"/>
          <w:szCs w:val="24"/>
        </w:rPr>
        <w:t>excesivă</w:t>
      </w:r>
      <w:proofErr w:type="spellEnd"/>
      <w:r w:rsidRPr="00CC28EC">
        <w:rPr>
          <w:sz w:val="24"/>
          <w:szCs w:val="24"/>
        </w:rPr>
        <w:t xml:space="preserve">, duce la </w:t>
      </w:r>
      <w:proofErr w:type="spellStart"/>
      <w:r w:rsidRPr="00CC28EC">
        <w:rPr>
          <w:sz w:val="24"/>
          <w:szCs w:val="24"/>
        </w:rPr>
        <w:t>creșterea</w:t>
      </w:r>
      <w:proofErr w:type="spellEnd"/>
      <w:r w:rsidRPr="00CC28EC">
        <w:rPr>
          <w:sz w:val="24"/>
          <w:szCs w:val="24"/>
        </w:rPr>
        <w:t xml:space="preserve"> </w:t>
      </w:r>
      <w:proofErr w:type="spellStart"/>
      <w:r w:rsidRPr="00CC28EC">
        <w:rPr>
          <w:sz w:val="24"/>
          <w:szCs w:val="24"/>
        </w:rPr>
        <w:t>impozitării</w:t>
      </w:r>
      <w:proofErr w:type="spellEnd"/>
      <w:r w:rsidRPr="00CC28EC">
        <w:rPr>
          <w:sz w:val="24"/>
          <w:szCs w:val="24"/>
        </w:rPr>
        <w:t xml:space="preserve"> de </w:t>
      </w:r>
      <w:proofErr w:type="spellStart"/>
      <w:r w:rsidRPr="00CC28EC">
        <w:rPr>
          <w:sz w:val="24"/>
          <w:szCs w:val="24"/>
        </w:rPr>
        <w:t>cele</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w:t>
      </w:r>
      <w:proofErr w:type="spellStart"/>
      <w:r w:rsidRPr="00CC28EC">
        <w:rPr>
          <w:sz w:val="24"/>
          <w:szCs w:val="24"/>
        </w:rPr>
        <w:t>multe</w:t>
      </w:r>
      <w:proofErr w:type="spellEnd"/>
      <w:r w:rsidRPr="00CC28EC">
        <w:rPr>
          <w:sz w:val="24"/>
          <w:szCs w:val="24"/>
        </w:rPr>
        <w:t xml:space="preserve"> </w:t>
      </w:r>
      <w:proofErr w:type="spellStart"/>
      <w:r w:rsidRPr="00CC28EC">
        <w:rPr>
          <w:sz w:val="24"/>
          <w:szCs w:val="24"/>
        </w:rPr>
        <w:t>ori</w:t>
      </w:r>
      <w:proofErr w:type="spellEnd"/>
      <w:r w:rsidRPr="00CC28EC">
        <w:rPr>
          <w:sz w:val="24"/>
          <w:szCs w:val="24"/>
        </w:rPr>
        <w:t xml:space="preserve">, </w:t>
      </w:r>
      <w:proofErr w:type="spellStart"/>
      <w:r w:rsidRPr="00CC28EC">
        <w:rPr>
          <w:sz w:val="24"/>
          <w:szCs w:val="24"/>
        </w:rPr>
        <w:t>nemaivorbind</w:t>
      </w:r>
      <w:proofErr w:type="spellEnd"/>
      <w:r w:rsidRPr="00CC28EC">
        <w:rPr>
          <w:sz w:val="24"/>
          <w:szCs w:val="24"/>
        </w:rPr>
        <w:t xml:space="preserve"> de </w:t>
      </w:r>
      <w:proofErr w:type="spellStart"/>
      <w:r w:rsidRPr="00CC28EC">
        <w:rPr>
          <w:sz w:val="24"/>
          <w:szCs w:val="24"/>
        </w:rPr>
        <w:t>influența</w:t>
      </w:r>
      <w:proofErr w:type="spellEnd"/>
      <w:r w:rsidRPr="00CC28EC">
        <w:rPr>
          <w:sz w:val="24"/>
          <w:szCs w:val="24"/>
        </w:rPr>
        <w:t xml:space="preserve"> </w:t>
      </w:r>
      <w:proofErr w:type="spellStart"/>
      <w:r w:rsidRPr="00CC28EC">
        <w:rPr>
          <w:sz w:val="24"/>
          <w:szCs w:val="24"/>
        </w:rPr>
        <w:t>negativă</w:t>
      </w:r>
      <w:proofErr w:type="spellEnd"/>
      <w:r w:rsidRPr="00CC28EC">
        <w:rPr>
          <w:sz w:val="24"/>
          <w:szCs w:val="24"/>
        </w:rPr>
        <w:t xml:space="preserve">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inflației</w:t>
      </w:r>
      <w:proofErr w:type="spellEnd"/>
      <w:r w:rsidRPr="00CC28EC">
        <w:rPr>
          <w:sz w:val="24"/>
          <w:szCs w:val="24"/>
        </w:rPr>
        <w:t xml:space="preserve">, </w:t>
      </w:r>
      <w:proofErr w:type="spellStart"/>
      <w:r w:rsidRPr="00CC28EC">
        <w:rPr>
          <w:sz w:val="24"/>
          <w:szCs w:val="24"/>
        </w:rPr>
        <w:t>șomajului</w:t>
      </w:r>
      <w:proofErr w:type="spellEnd"/>
      <w:r w:rsidRPr="00CC28EC">
        <w:rPr>
          <w:sz w:val="24"/>
          <w:szCs w:val="24"/>
        </w:rPr>
        <w:t xml:space="preserve"> </w:t>
      </w:r>
      <w:proofErr w:type="spellStart"/>
      <w:r w:rsidRPr="00CC28EC">
        <w:rPr>
          <w:sz w:val="24"/>
          <w:szCs w:val="24"/>
        </w:rPr>
        <w:t>sau</w:t>
      </w:r>
      <w:proofErr w:type="spellEnd"/>
      <w:r w:rsidRPr="00CC28EC">
        <w:rPr>
          <w:sz w:val="24"/>
          <w:szCs w:val="24"/>
        </w:rPr>
        <w:t xml:space="preserve"> </w:t>
      </w:r>
      <w:proofErr w:type="spellStart"/>
      <w:r w:rsidRPr="00CC28EC">
        <w:rPr>
          <w:sz w:val="24"/>
          <w:szCs w:val="24"/>
        </w:rPr>
        <w:t>cursului</w:t>
      </w:r>
      <w:proofErr w:type="spellEnd"/>
      <w:r w:rsidRPr="00CC28EC">
        <w:rPr>
          <w:sz w:val="24"/>
          <w:szCs w:val="24"/>
        </w:rPr>
        <w:t xml:space="preserve"> de </w:t>
      </w:r>
      <w:proofErr w:type="spellStart"/>
      <w:r w:rsidRPr="00CC28EC">
        <w:rPr>
          <w:sz w:val="24"/>
          <w:szCs w:val="24"/>
        </w:rPr>
        <w:t>schimb</w:t>
      </w:r>
      <w:proofErr w:type="spellEnd"/>
      <w:r w:rsidRPr="00CC28EC">
        <w:rPr>
          <w:sz w:val="24"/>
          <w:szCs w:val="24"/>
        </w:rPr>
        <w:t xml:space="preserve"> </w:t>
      </w:r>
      <w:proofErr w:type="spellStart"/>
      <w:r w:rsidRPr="00CC28EC">
        <w:rPr>
          <w:sz w:val="24"/>
          <w:szCs w:val="24"/>
        </w:rPr>
        <w:t>valutar</w:t>
      </w:r>
      <w:proofErr w:type="spellEnd"/>
      <w:r w:rsidRPr="00CC28EC">
        <w:rPr>
          <w:sz w:val="24"/>
          <w:szCs w:val="24"/>
        </w:rPr>
        <w:t>.</w:t>
      </w:r>
    </w:p>
    <w:p w14:paraId="5D7DC2DB" w14:textId="12402635" w:rsidR="00274BAB" w:rsidRPr="00CC28EC" w:rsidRDefault="00883EFD" w:rsidP="0059540C">
      <w:pPr>
        <w:ind w:firstLine="720"/>
        <w:jc w:val="both"/>
        <w:rPr>
          <w:sz w:val="24"/>
          <w:szCs w:val="24"/>
        </w:rPr>
      </w:pPr>
      <w:proofErr w:type="spellStart"/>
      <w:r w:rsidRPr="00CC28EC">
        <w:rPr>
          <w:sz w:val="24"/>
          <w:szCs w:val="24"/>
        </w:rPr>
        <w:t>Iată</w:t>
      </w:r>
      <w:proofErr w:type="spellEnd"/>
      <w:r w:rsidRPr="00CC28EC">
        <w:rPr>
          <w:sz w:val="24"/>
          <w:szCs w:val="24"/>
        </w:rPr>
        <w:t xml:space="preserve"> </w:t>
      </w:r>
      <w:proofErr w:type="spellStart"/>
      <w:r w:rsidRPr="00CC28EC">
        <w:rPr>
          <w:sz w:val="24"/>
          <w:szCs w:val="24"/>
        </w:rPr>
        <w:t>câteva</w:t>
      </w:r>
      <w:proofErr w:type="spellEnd"/>
      <w:r w:rsidRPr="00CC28EC">
        <w:rPr>
          <w:sz w:val="24"/>
          <w:szCs w:val="24"/>
        </w:rPr>
        <w:t xml:space="preserve"> motive care </w:t>
      </w:r>
      <w:r w:rsidR="00AD6C81" w:rsidRPr="00CC28EC">
        <w:rPr>
          <w:sz w:val="24"/>
          <w:szCs w:val="24"/>
        </w:rPr>
        <w:t xml:space="preserve">ne </w:t>
      </w:r>
      <w:proofErr w:type="spellStart"/>
      <w:r w:rsidRPr="00CC28EC">
        <w:rPr>
          <w:sz w:val="24"/>
          <w:szCs w:val="24"/>
        </w:rPr>
        <w:t>determină</w:t>
      </w:r>
      <w:proofErr w:type="spellEnd"/>
      <w:r w:rsidRPr="00CC28EC">
        <w:rPr>
          <w:sz w:val="24"/>
          <w:szCs w:val="24"/>
        </w:rPr>
        <w:t xml:space="preserve"> </w:t>
      </w:r>
      <w:proofErr w:type="spellStart"/>
      <w:r w:rsidR="00AD6C81" w:rsidRPr="00CC28EC">
        <w:rPr>
          <w:sz w:val="24"/>
          <w:szCs w:val="24"/>
        </w:rPr>
        <w:t>să</w:t>
      </w:r>
      <w:proofErr w:type="spellEnd"/>
      <w:r w:rsidR="00AD6C81" w:rsidRPr="00CC28EC">
        <w:rPr>
          <w:sz w:val="24"/>
          <w:szCs w:val="24"/>
        </w:rPr>
        <w:t xml:space="preserve"> </w:t>
      </w:r>
      <w:proofErr w:type="spellStart"/>
      <w:r w:rsidR="00AD6C81" w:rsidRPr="00CC28EC">
        <w:rPr>
          <w:sz w:val="24"/>
          <w:szCs w:val="24"/>
        </w:rPr>
        <w:t>analizăm</w:t>
      </w:r>
      <w:proofErr w:type="spellEnd"/>
      <w:r w:rsidR="00AD6C81" w:rsidRPr="00CC28EC">
        <w:rPr>
          <w:sz w:val="24"/>
          <w:szCs w:val="24"/>
        </w:rPr>
        <w:t xml:space="preserve"> </w:t>
      </w:r>
      <w:proofErr w:type="spellStart"/>
      <w:r w:rsidR="00AD6C81" w:rsidRPr="00CC28EC">
        <w:rPr>
          <w:sz w:val="24"/>
          <w:szCs w:val="24"/>
        </w:rPr>
        <w:t>și</w:t>
      </w:r>
      <w:proofErr w:type="spellEnd"/>
      <w:r w:rsidR="00AD6C81" w:rsidRPr="00CC28EC">
        <w:rPr>
          <w:sz w:val="24"/>
          <w:szCs w:val="24"/>
        </w:rPr>
        <w:t xml:space="preserve"> </w:t>
      </w:r>
      <w:proofErr w:type="spellStart"/>
      <w:r w:rsidR="00AD6C81" w:rsidRPr="00CC28EC">
        <w:rPr>
          <w:sz w:val="24"/>
          <w:szCs w:val="24"/>
        </w:rPr>
        <w:t>să</w:t>
      </w:r>
      <w:proofErr w:type="spellEnd"/>
      <w:r w:rsidR="00AD6C81" w:rsidRPr="00CC28EC">
        <w:rPr>
          <w:sz w:val="24"/>
          <w:szCs w:val="24"/>
        </w:rPr>
        <w:t xml:space="preserve"> </w:t>
      </w:r>
      <w:proofErr w:type="spellStart"/>
      <w:r w:rsidR="00AD6C81" w:rsidRPr="00CC28EC">
        <w:rPr>
          <w:sz w:val="24"/>
          <w:szCs w:val="24"/>
        </w:rPr>
        <w:t>monitorizăm</w:t>
      </w:r>
      <w:proofErr w:type="spellEnd"/>
      <w:r w:rsidR="00AD6C81" w:rsidRPr="00CC28EC">
        <w:rPr>
          <w:sz w:val="24"/>
          <w:szCs w:val="24"/>
        </w:rPr>
        <w:t xml:space="preserve"> </w:t>
      </w:r>
      <w:proofErr w:type="spellStart"/>
      <w:r w:rsidR="00A10B67" w:rsidRPr="00CC28EC">
        <w:rPr>
          <w:sz w:val="24"/>
          <w:szCs w:val="24"/>
        </w:rPr>
        <w:t>atent</w:t>
      </w:r>
      <w:proofErr w:type="spellEnd"/>
      <w:r w:rsidR="00A10B67"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0041721A" w:rsidRPr="00CC28EC">
        <w:rPr>
          <w:sz w:val="24"/>
          <w:szCs w:val="24"/>
        </w:rPr>
        <w:t>prin</w:t>
      </w:r>
      <w:proofErr w:type="spellEnd"/>
      <w:r w:rsidR="0041721A" w:rsidRPr="00CC28EC">
        <w:rPr>
          <w:sz w:val="24"/>
          <w:szCs w:val="24"/>
        </w:rPr>
        <w:t xml:space="preserve"> </w:t>
      </w:r>
      <w:proofErr w:type="spellStart"/>
      <w:r w:rsidRPr="00CC28EC">
        <w:rPr>
          <w:sz w:val="24"/>
          <w:szCs w:val="24"/>
        </w:rPr>
        <w:t>intermediul</w:t>
      </w:r>
      <w:proofErr w:type="spellEnd"/>
      <w:r w:rsidRPr="00CC28EC">
        <w:rPr>
          <w:sz w:val="24"/>
          <w:szCs w:val="24"/>
        </w:rPr>
        <w:t xml:space="preserve"> </w:t>
      </w:r>
      <w:proofErr w:type="spellStart"/>
      <w:r w:rsidRPr="00CC28EC">
        <w:rPr>
          <w:sz w:val="24"/>
          <w:szCs w:val="24"/>
        </w:rPr>
        <w:t>acestei</w:t>
      </w:r>
      <w:proofErr w:type="spellEnd"/>
      <w:r w:rsidRPr="00CC28EC">
        <w:rPr>
          <w:sz w:val="24"/>
          <w:szCs w:val="24"/>
        </w:rPr>
        <w:t xml:space="preserve"> </w:t>
      </w:r>
      <w:proofErr w:type="spellStart"/>
      <w:r w:rsidRPr="00CC28EC">
        <w:rPr>
          <w:sz w:val="24"/>
          <w:szCs w:val="24"/>
        </w:rPr>
        <w:t>lucrări</w:t>
      </w:r>
      <w:proofErr w:type="spellEnd"/>
      <w:r w:rsidRPr="00CC28EC">
        <w:rPr>
          <w:sz w:val="24"/>
          <w:szCs w:val="24"/>
        </w:rPr>
        <w:t>.</w:t>
      </w:r>
      <w:r w:rsidR="00274BAB" w:rsidRPr="00CC28EC">
        <w:rPr>
          <w:vanish/>
          <w:sz w:val="24"/>
          <w:szCs w:val="24"/>
        </w:rPr>
        <w:t>Top of Form</w:t>
      </w:r>
    </w:p>
    <w:p w14:paraId="44A156F6" w14:textId="77777777" w:rsidR="00274BAB" w:rsidRPr="00CC28EC" w:rsidRDefault="00274BAB" w:rsidP="00274BAB">
      <w:pPr>
        <w:pBdr>
          <w:top w:val="single" w:sz="6" w:space="1" w:color="auto"/>
        </w:pBdr>
        <w:autoSpaceDE/>
        <w:autoSpaceDN/>
        <w:jc w:val="center"/>
        <w:rPr>
          <w:rFonts w:ascii="Arial" w:hAnsi="Arial" w:cs="Arial"/>
          <w:vanish/>
          <w:sz w:val="16"/>
          <w:szCs w:val="16"/>
        </w:rPr>
      </w:pPr>
      <w:r w:rsidRPr="00CC28EC">
        <w:rPr>
          <w:rFonts w:ascii="Arial" w:hAnsi="Arial" w:cs="Arial"/>
          <w:vanish/>
          <w:sz w:val="16"/>
          <w:szCs w:val="16"/>
        </w:rPr>
        <w:t>Bottom of Form</w:t>
      </w:r>
    </w:p>
    <w:p w14:paraId="29187037" w14:textId="74CD1582" w:rsidR="0052351C" w:rsidRPr="00CC28EC" w:rsidRDefault="00274BAB" w:rsidP="0059540C">
      <w:pPr>
        <w:shd w:val="clear" w:color="auto" w:fill="FFFFFF"/>
        <w:autoSpaceDE/>
        <w:autoSpaceDN/>
        <w:rPr>
          <w:rFonts w:ascii="Arial" w:hAnsi="Arial" w:cs="Arial"/>
        </w:rPr>
      </w:pPr>
      <w:bookmarkStart w:id="2" w:name="_Hlk85449852"/>
      <w:r w:rsidRPr="00CC28EC">
        <w:rPr>
          <w:rFonts w:ascii="Arial" w:hAnsi="Arial" w:cs="Arial"/>
        </w:rPr>
        <w:t> </w:t>
      </w:r>
      <w:r w:rsidR="005970ED" w:rsidRPr="00CC28EC">
        <w:rPr>
          <w:b/>
          <w:bCs/>
          <w:sz w:val="24"/>
          <w:szCs w:val="24"/>
        </w:rPr>
        <w:t>II. LITERATURE REVIEW</w:t>
      </w:r>
    </w:p>
    <w:bookmarkEnd w:id="2"/>
    <w:p w14:paraId="503CF5BE" w14:textId="419B06A6" w:rsidR="008A6029" w:rsidRPr="00CC28EC" w:rsidRDefault="0052351C" w:rsidP="00C96C6C">
      <w:pPr>
        <w:tabs>
          <w:tab w:val="left" w:pos="360"/>
        </w:tabs>
        <w:jc w:val="both"/>
        <w:rPr>
          <w:sz w:val="24"/>
          <w:szCs w:val="24"/>
        </w:rPr>
      </w:pPr>
      <w:r w:rsidRPr="00CC28EC">
        <w:rPr>
          <w:b/>
          <w:bCs/>
          <w:sz w:val="24"/>
          <w:szCs w:val="24"/>
        </w:rPr>
        <w:tab/>
      </w:r>
      <w:r w:rsidR="00314D6F" w:rsidRPr="00CC28EC">
        <w:rPr>
          <w:b/>
          <w:bCs/>
          <w:sz w:val="24"/>
          <w:szCs w:val="24"/>
        </w:rPr>
        <w:tab/>
      </w:r>
      <w:proofErr w:type="spellStart"/>
      <w:r w:rsidR="008A6029" w:rsidRPr="00CC28EC">
        <w:rPr>
          <w:sz w:val="24"/>
          <w:szCs w:val="24"/>
        </w:rPr>
        <w:t>Datoria</w:t>
      </w:r>
      <w:proofErr w:type="spellEnd"/>
      <w:r w:rsidR="008A6029" w:rsidRPr="00CC28EC">
        <w:rPr>
          <w:sz w:val="24"/>
          <w:szCs w:val="24"/>
        </w:rPr>
        <w:t xml:space="preserve"> public</w:t>
      </w:r>
      <w:r w:rsidR="008A6029" w:rsidRPr="00CC28EC">
        <w:rPr>
          <w:sz w:val="24"/>
          <w:szCs w:val="24"/>
          <w:lang w:val="ro-RO"/>
        </w:rPr>
        <w:t>ă</w:t>
      </w:r>
      <w:r w:rsidR="00314D6F" w:rsidRPr="00CC28EC">
        <w:rPr>
          <w:sz w:val="24"/>
          <w:szCs w:val="24"/>
          <w:lang w:val="ro-RO"/>
        </w:rPr>
        <w:t>, îndatorarea statului, relația dintre datoria publică și creșterea economică, cauze</w:t>
      </w:r>
      <w:r w:rsidR="00AB4A4D" w:rsidRPr="00CC28EC">
        <w:rPr>
          <w:sz w:val="24"/>
          <w:szCs w:val="24"/>
          <w:lang w:val="ro-RO"/>
        </w:rPr>
        <w:t>le</w:t>
      </w:r>
      <w:r w:rsidR="00314D6F" w:rsidRPr="00CC28EC">
        <w:rPr>
          <w:sz w:val="24"/>
          <w:szCs w:val="24"/>
          <w:lang w:val="ro-RO"/>
        </w:rPr>
        <w:t xml:space="preserve"> și consecințe</w:t>
      </w:r>
      <w:r w:rsidR="00AB4A4D" w:rsidRPr="00CC28EC">
        <w:rPr>
          <w:sz w:val="24"/>
          <w:szCs w:val="24"/>
          <w:lang w:val="ro-RO"/>
        </w:rPr>
        <w:t>le</w:t>
      </w:r>
      <w:r w:rsidR="00314D6F" w:rsidRPr="00CC28EC">
        <w:rPr>
          <w:sz w:val="24"/>
          <w:szCs w:val="24"/>
          <w:lang w:val="ro-RO"/>
        </w:rPr>
        <w:t xml:space="preserve"> îndatorării statului au fost tratate de către teoreticieni și practicieni cu mult timp în urmă.</w:t>
      </w:r>
      <w:r w:rsidR="00C7195A" w:rsidRPr="00CC28EC">
        <w:rPr>
          <w:sz w:val="24"/>
          <w:szCs w:val="24"/>
          <w:lang w:val="ro-RO"/>
        </w:rPr>
        <w:t xml:space="preserve"> </w:t>
      </w:r>
      <w:proofErr w:type="spellStart"/>
      <w:r w:rsidR="00314D6F" w:rsidRPr="00CC28EC">
        <w:rPr>
          <w:sz w:val="24"/>
          <w:szCs w:val="24"/>
        </w:rPr>
        <w:t>L</w:t>
      </w:r>
      <w:r w:rsidR="008A6029" w:rsidRPr="00CC28EC">
        <w:rPr>
          <w:sz w:val="24"/>
          <w:szCs w:val="24"/>
        </w:rPr>
        <w:t>iteratura</w:t>
      </w:r>
      <w:proofErr w:type="spellEnd"/>
      <w:r w:rsidR="008A6029" w:rsidRPr="00CC28EC">
        <w:rPr>
          <w:sz w:val="24"/>
          <w:szCs w:val="24"/>
        </w:rPr>
        <w:t xml:space="preserve"> </w:t>
      </w:r>
      <w:r w:rsidR="00314D6F" w:rsidRPr="00CC28EC">
        <w:rPr>
          <w:sz w:val="24"/>
          <w:szCs w:val="24"/>
        </w:rPr>
        <w:t xml:space="preserve">de </w:t>
      </w:r>
      <w:proofErr w:type="spellStart"/>
      <w:r w:rsidR="00314D6F" w:rsidRPr="00CC28EC">
        <w:rPr>
          <w:sz w:val="24"/>
          <w:szCs w:val="24"/>
        </w:rPr>
        <w:t>specialitate</w:t>
      </w:r>
      <w:proofErr w:type="spellEnd"/>
      <w:r w:rsidR="008A6029" w:rsidRPr="00CC28EC">
        <w:rPr>
          <w:sz w:val="24"/>
          <w:szCs w:val="24"/>
        </w:rPr>
        <w:t xml:space="preserve">, </w:t>
      </w:r>
      <w:r w:rsidR="00314D6F" w:rsidRPr="00CC28EC">
        <w:rPr>
          <w:sz w:val="24"/>
          <w:szCs w:val="24"/>
        </w:rPr>
        <w:t xml:space="preserve">de </w:t>
      </w:r>
      <w:proofErr w:type="spellStart"/>
      <w:r w:rsidR="00314D6F" w:rsidRPr="00CC28EC">
        <w:rPr>
          <w:sz w:val="24"/>
          <w:szCs w:val="24"/>
        </w:rPr>
        <w:t>cele</w:t>
      </w:r>
      <w:proofErr w:type="spellEnd"/>
      <w:r w:rsidR="00314D6F" w:rsidRPr="00CC28EC">
        <w:rPr>
          <w:sz w:val="24"/>
          <w:szCs w:val="24"/>
        </w:rPr>
        <w:t xml:space="preserve"> </w:t>
      </w:r>
      <w:proofErr w:type="spellStart"/>
      <w:r w:rsidR="00314D6F" w:rsidRPr="00CC28EC">
        <w:rPr>
          <w:sz w:val="24"/>
          <w:szCs w:val="24"/>
        </w:rPr>
        <w:t>mai</w:t>
      </w:r>
      <w:proofErr w:type="spellEnd"/>
      <w:r w:rsidR="00314D6F" w:rsidRPr="00CC28EC">
        <w:rPr>
          <w:sz w:val="24"/>
          <w:szCs w:val="24"/>
        </w:rPr>
        <w:t xml:space="preserve"> </w:t>
      </w:r>
      <w:proofErr w:type="spellStart"/>
      <w:r w:rsidR="00314D6F" w:rsidRPr="00CC28EC">
        <w:rPr>
          <w:sz w:val="24"/>
          <w:szCs w:val="24"/>
        </w:rPr>
        <w:t>multe</w:t>
      </w:r>
      <w:proofErr w:type="spellEnd"/>
      <w:r w:rsidR="00314D6F" w:rsidRPr="00CC28EC">
        <w:rPr>
          <w:sz w:val="24"/>
          <w:szCs w:val="24"/>
        </w:rPr>
        <w:t xml:space="preserve"> </w:t>
      </w:r>
      <w:proofErr w:type="spellStart"/>
      <w:r w:rsidR="00314D6F" w:rsidRPr="00CC28EC">
        <w:rPr>
          <w:sz w:val="24"/>
          <w:szCs w:val="24"/>
        </w:rPr>
        <w:t>ori</w:t>
      </w:r>
      <w:proofErr w:type="spellEnd"/>
      <w:r w:rsidR="00314D6F" w:rsidRPr="00CC28EC">
        <w:rPr>
          <w:sz w:val="24"/>
          <w:szCs w:val="24"/>
        </w:rPr>
        <w:t xml:space="preserve">, face </w:t>
      </w:r>
      <w:proofErr w:type="spellStart"/>
      <w:r w:rsidR="00314D6F" w:rsidRPr="00CC28EC">
        <w:rPr>
          <w:sz w:val="24"/>
          <w:szCs w:val="24"/>
        </w:rPr>
        <w:t>referire</w:t>
      </w:r>
      <w:proofErr w:type="spellEnd"/>
      <w:r w:rsidR="00314D6F" w:rsidRPr="00CC28EC">
        <w:rPr>
          <w:sz w:val="24"/>
          <w:szCs w:val="24"/>
        </w:rPr>
        <w:t xml:space="preserve"> la </w:t>
      </w:r>
      <w:proofErr w:type="spellStart"/>
      <w:r w:rsidR="00314D6F" w:rsidRPr="00CC28EC">
        <w:rPr>
          <w:sz w:val="24"/>
          <w:szCs w:val="24"/>
        </w:rPr>
        <w:t>cel</w:t>
      </w:r>
      <w:proofErr w:type="spellEnd"/>
      <w:r w:rsidR="00314D6F" w:rsidRPr="00CC28EC">
        <w:rPr>
          <w:sz w:val="24"/>
          <w:szCs w:val="24"/>
        </w:rPr>
        <w:t xml:space="preserve"> </w:t>
      </w:r>
      <w:proofErr w:type="spellStart"/>
      <w:r w:rsidR="00314D6F" w:rsidRPr="00CC28EC">
        <w:rPr>
          <w:sz w:val="24"/>
          <w:szCs w:val="24"/>
        </w:rPr>
        <w:t>puțin</w:t>
      </w:r>
      <w:proofErr w:type="spellEnd"/>
      <w:r w:rsidR="00314D6F" w:rsidRPr="00CC28EC">
        <w:rPr>
          <w:sz w:val="24"/>
          <w:szCs w:val="24"/>
        </w:rPr>
        <w:t xml:space="preserve"> </w:t>
      </w:r>
      <w:proofErr w:type="spellStart"/>
      <w:r w:rsidR="00093BEB" w:rsidRPr="00CC28EC">
        <w:rPr>
          <w:sz w:val="24"/>
          <w:szCs w:val="24"/>
        </w:rPr>
        <w:t>cinci</w:t>
      </w:r>
      <w:proofErr w:type="spellEnd"/>
      <w:r w:rsidR="008A6029" w:rsidRPr="00CC28EC">
        <w:rPr>
          <w:sz w:val="24"/>
          <w:szCs w:val="24"/>
        </w:rPr>
        <w:t xml:space="preserve"> </w:t>
      </w:r>
      <w:proofErr w:type="spellStart"/>
      <w:r w:rsidR="008A6029" w:rsidRPr="00CC28EC">
        <w:rPr>
          <w:sz w:val="24"/>
          <w:szCs w:val="24"/>
        </w:rPr>
        <w:t>școli</w:t>
      </w:r>
      <w:proofErr w:type="spellEnd"/>
      <w:r w:rsidR="008A6029" w:rsidRPr="00CC28EC">
        <w:rPr>
          <w:sz w:val="24"/>
          <w:szCs w:val="24"/>
        </w:rPr>
        <w:t xml:space="preserve"> de </w:t>
      </w:r>
      <w:proofErr w:type="spellStart"/>
      <w:r w:rsidR="008A6029" w:rsidRPr="00CC28EC">
        <w:rPr>
          <w:sz w:val="24"/>
          <w:szCs w:val="24"/>
        </w:rPr>
        <w:t>gândire</w:t>
      </w:r>
      <w:proofErr w:type="spellEnd"/>
      <w:r w:rsidR="00AB4A4D" w:rsidRPr="00CC28EC">
        <w:rPr>
          <w:sz w:val="24"/>
          <w:szCs w:val="24"/>
        </w:rPr>
        <w:t xml:space="preserve"> </w:t>
      </w:r>
      <w:r w:rsidR="00AB4A4D" w:rsidRPr="00CC28EC">
        <w:rPr>
          <w:sz w:val="24"/>
          <w:szCs w:val="24"/>
          <w:lang w:val="ro-RO"/>
        </w:rPr>
        <w:t>ș</w:t>
      </w:r>
      <w:proofErr w:type="spellStart"/>
      <w:r w:rsidR="00AB4A4D" w:rsidRPr="00CC28EC">
        <w:rPr>
          <w:sz w:val="24"/>
          <w:szCs w:val="24"/>
        </w:rPr>
        <w:t>i</w:t>
      </w:r>
      <w:proofErr w:type="spellEnd"/>
      <w:r w:rsidR="00AB4A4D" w:rsidRPr="00CC28EC">
        <w:rPr>
          <w:sz w:val="24"/>
          <w:szCs w:val="24"/>
        </w:rPr>
        <w:t xml:space="preserve"> </w:t>
      </w:r>
      <w:proofErr w:type="spellStart"/>
      <w:r w:rsidR="00AB4A4D" w:rsidRPr="00CC28EC">
        <w:rPr>
          <w:sz w:val="24"/>
          <w:szCs w:val="24"/>
        </w:rPr>
        <w:t>anume</w:t>
      </w:r>
      <w:proofErr w:type="spellEnd"/>
      <w:r w:rsidR="00314D6F" w:rsidRPr="00CC28EC">
        <w:rPr>
          <w:sz w:val="24"/>
          <w:szCs w:val="24"/>
        </w:rPr>
        <w:t xml:space="preserve">: </w:t>
      </w:r>
      <w:proofErr w:type="spellStart"/>
      <w:r w:rsidR="00314D6F" w:rsidRPr="00CC28EC">
        <w:rPr>
          <w:sz w:val="24"/>
          <w:szCs w:val="24"/>
        </w:rPr>
        <w:t>clasică</w:t>
      </w:r>
      <w:proofErr w:type="spellEnd"/>
      <w:r w:rsidR="00314D6F" w:rsidRPr="00CC28EC">
        <w:rPr>
          <w:sz w:val="24"/>
          <w:szCs w:val="24"/>
        </w:rPr>
        <w:t xml:space="preserve">, </w:t>
      </w:r>
      <w:proofErr w:type="spellStart"/>
      <w:r w:rsidR="00314D6F" w:rsidRPr="00CC28EC">
        <w:rPr>
          <w:sz w:val="24"/>
          <w:szCs w:val="24"/>
        </w:rPr>
        <w:t>keynesiană</w:t>
      </w:r>
      <w:proofErr w:type="spellEnd"/>
      <w:r w:rsidR="00314D6F" w:rsidRPr="00CC28EC">
        <w:rPr>
          <w:sz w:val="24"/>
          <w:szCs w:val="24"/>
        </w:rPr>
        <w:t xml:space="preserve">, </w:t>
      </w:r>
      <w:proofErr w:type="spellStart"/>
      <w:r w:rsidR="00314D6F" w:rsidRPr="00CC28EC">
        <w:rPr>
          <w:sz w:val="24"/>
          <w:szCs w:val="24"/>
        </w:rPr>
        <w:t>ricardiană</w:t>
      </w:r>
      <w:proofErr w:type="spellEnd"/>
      <w:r w:rsidR="005B2ECE" w:rsidRPr="00CC28EC">
        <w:rPr>
          <w:sz w:val="24"/>
          <w:szCs w:val="24"/>
        </w:rPr>
        <w:t xml:space="preserve">, </w:t>
      </w:r>
      <w:proofErr w:type="spellStart"/>
      <w:r w:rsidR="00314D6F" w:rsidRPr="00CC28EC">
        <w:rPr>
          <w:sz w:val="24"/>
          <w:szCs w:val="24"/>
        </w:rPr>
        <w:t>modernă</w:t>
      </w:r>
      <w:proofErr w:type="spellEnd"/>
      <w:r w:rsidR="00314D6F" w:rsidRPr="00CC28EC">
        <w:rPr>
          <w:sz w:val="24"/>
          <w:szCs w:val="24"/>
        </w:rPr>
        <w:t xml:space="preserve"> </w:t>
      </w:r>
      <w:proofErr w:type="spellStart"/>
      <w:r w:rsidR="00E06A4F" w:rsidRPr="00CC28EC">
        <w:rPr>
          <w:sz w:val="24"/>
          <w:szCs w:val="24"/>
        </w:rPr>
        <w:t>hybridă</w:t>
      </w:r>
      <w:proofErr w:type="spellEnd"/>
      <w:r w:rsidR="00E06A4F" w:rsidRPr="00CC28EC">
        <w:rPr>
          <w:sz w:val="24"/>
          <w:szCs w:val="24"/>
        </w:rPr>
        <w:t xml:space="preserve"> </w:t>
      </w:r>
      <w:proofErr w:type="spellStart"/>
      <w:r w:rsidR="005B2ECE" w:rsidRPr="00CC28EC">
        <w:rPr>
          <w:sz w:val="24"/>
          <w:szCs w:val="24"/>
        </w:rPr>
        <w:t>și</w:t>
      </w:r>
      <w:proofErr w:type="spellEnd"/>
      <w:r w:rsidR="005B2ECE" w:rsidRPr="00CC28EC">
        <w:rPr>
          <w:sz w:val="24"/>
          <w:szCs w:val="24"/>
        </w:rPr>
        <w:t xml:space="preserve"> </w:t>
      </w:r>
      <w:proofErr w:type="spellStart"/>
      <w:r w:rsidR="005B2ECE" w:rsidRPr="00CC28EC">
        <w:rPr>
          <w:sz w:val="24"/>
          <w:szCs w:val="24"/>
        </w:rPr>
        <w:t>modernă</w:t>
      </w:r>
      <w:proofErr w:type="spellEnd"/>
      <w:r w:rsidR="005B2ECE" w:rsidRPr="00CC28EC">
        <w:rPr>
          <w:sz w:val="24"/>
          <w:szCs w:val="24"/>
        </w:rPr>
        <w:t xml:space="preserve"> </w:t>
      </w:r>
      <w:proofErr w:type="spellStart"/>
      <w:r w:rsidR="005B2ECE" w:rsidRPr="00CC28EC">
        <w:rPr>
          <w:sz w:val="24"/>
          <w:szCs w:val="24"/>
        </w:rPr>
        <w:t>monetară</w:t>
      </w:r>
      <w:proofErr w:type="spellEnd"/>
      <w:r w:rsidR="00AB4A4D" w:rsidRPr="00CC28EC">
        <w:rPr>
          <w:sz w:val="24"/>
          <w:szCs w:val="24"/>
        </w:rPr>
        <w:t>.</w:t>
      </w:r>
      <w:r w:rsidR="00606E3E" w:rsidRPr="00CC28EC">
        <w:rPr>
          <w:sz w:val="24"/>
          <w:szCs w:val="24"/>
        </w:rPr>
        <w:t xml:space="preserve"> (Hilton, 202</w:t>
      </w:r>
      <w:r w:rsidR="00AF5A54" w:rsidRPr="00CC28EC">
        <w:rPr>
          <w:sz w:val="24"/>
          <w:szCs w:val="24"/>
        </w:rPr>
        <w:t>1;</w:t>
      </w:r>
      <w:r w:rsidR="00DD50B4" w:rsidRPr="00CC28EC">
        <w:rPr>
          <w:sz w:val="24"/>
          <w:szCs w:val="24"/>
        </w:rPr>
        <w:t xml:space="preserve"> </w:t>
      </w:r>
      <w:proofErr w:type="spellStart"/>
      <w:r w:rsidR="00AF5A54" w:rsidRPr="00CC28EC">
        <w:rPr>
          <w:sz w:val="24"/>
          <w:szCs w:val="24"/>
        </w:rPr>
        <w:t>Bilan</w:t>
      </w:r>
      <w:proofErr w:type="spellEnd"/>
      <w:r w:rsidR="00AF5A54" w:rsidRPr="00CC28EC">
        <w:rPr>
          <w:sz w:val="24"/>
          <w:szCs w:val="24"/>
        </w:rPr>
        <w:t>, 2016</w:t>
      </w:r>
      <w:r w:rsidR="00E06A4F" w:rsidRPr="00CC28EC">
        <w:rPr>
          <w:sz w:val="24"/>
          <w:szCs w:val="24"/>
        </w:rPr>
        <w:t xml:space="preserve">; </w:t>
      </w:r>
      <w:proofErr w:type="spellStart"/>
      <w:r w:rsidR="00E06A4F" w:rsidRPr="00CC28EC">
        <w:rPr>
          <w:sz w:val="24"/>
          <w:szCs w:val="24"/>
        </w:rPr>
        <w:t>Cerna</w:t>
      </w:r>
      <w:proofErr w:type="spellEnd"/>
      <w:r w:rsidR="00E06A4F" w:rsidRPr="00CC28EC">
        <w:rPr>
          <w:sz w:val="24"/>
          <w:szCs w:val="24"/>
        </w:rPr>
        <w:t>, 2021</w:t>
      </w:r>
      <w:r w:rsidR="00606E3E" w:rsidRPr="00CC28EC">
        <w:rPr>
          <w:sz w:val="24"/>
          <w:szCs w:val="24"/>
        </w:rPr>
        <w:t>)</w:t>
      </w:r>
    </w:p>
    <w:p w14:paraId="6443D8EF" w14:textId="0B96C065" w:rsidR="008A6029" w:rsidRPr="00CC28EC" w:rsidRDefault="00314D6F" w:rsidP="00DA1A5E">
      <w:pPr>
        <w:tabs>
          <w:tab w:val="left" w:pos="360"/>
        </w:tabs>
        <w:jc w:val="both"/>
        <w:rPr>
          <w:sz w:val="24"/>
          <w:szCs w:val="24"/>
        </w:rPr>
      </w:pPr>
      <w:r w:rsidRPr="00CC28EC">
        <w:rPr>
          <w:sz w:val="24"/>
          <w:szCs w:val="24"/>
        </w:rPr>
        <w:tab/>
      </w:r>
      <w:r w:rsidRPr="00CC28EC">
        <w:rPr>
          <w:sz w:val="24"/>
          <w:szCs w:val="24"/>
        </w:rPr>
        <w:tab/>
      </w:r>
      <w:proofErr w:type="spellStart"/>
      <w:r w:rsidRPr="00CC28EC">
        <w:rPr>
          <w:sz w:val="24"/>
          <w:szCs w:val="24"/>
        </w:rPr>
        <w:t>Școala</w:t>
      </w:r>
      <w:proofErr w:type="spellEnd"/>
      <w:r w:rsidRPr="00CC28EC">
        <w:rPr>
          <w:sz w:val="24"/>
          <w:szCs w:val="24"/>
        </w:rPr>
        <w:t xml:space="preserve"> de </w:t>
      </w:r>
      <w:proofErr w:type="spellStart"/>
      <w:r w:rsidRPr="00CC28EC">
        <w:rPr>
          <w:sz w:val="24"/>
          <w:szCs w:val="24"/>
        </w:rPr>
        <w:t>gândire</w:t>
      </w:r>
      <w:proofErr w:type="spellEnd"/>
      <w:r w:rsidRPr="00CC28EC">
        <w:rPr>
          <w:sz w:val="24"/>
          <w:szCs w:val="24"/>
        </w:rPr>
        <w:t xml:space="preserve"> </w:t>
      </w:r>
      <w:proofErr w:type="spellStart"/>
      <w:r w:rsidR="008A6029" w:rsidRPr="00CC28EC">
        <w:rPr>
          <w:sz w:val="24"/>
          <w:szCs w:val="24"/>
        </w:rPr>
        <w:t>clasic</w:t>
      </w:r>
      <w:r w:rsidRPr="00CC28EC">
        <w:rPr>
          <w:sz w:val="24"/>
          <w:szCs w:val="24"/>
        </w:rPr>
        <w:t>ă</w:t>
      </w:r>
      <w:proofErr w:type="spellEnd"/>
      <w:r w:rsidRPr="00CC28EC">
        <w:rPr>
          <w:sz w:val="24"/>
          <w:szCs w:val="24"/>
        </w:rPr>
        <w:t xml:space="preserve"> </w:t>
      </w:r>
      <w:r w:rsidR="00F2261F" w:rsidRPr="00CC28EC">
        <w:rPr>
          <w:sz w:val="24"/>
          <w:szCs w:val="24"/>
        </w:rPr>
        <w:t xml:space="preserve">(A. Smith, R. T. Malthus, D. Ricardo, J.S. Mill, J.B. Say) </w:t>
      </w:r>
      <w:proofErr w:type="spellStart"/>
      <w:r w:rsidR="008A6029" w:rsidRPr="00CC28EC">
        <w:rPr>
          <w:sz w:val="24"/>
          <w:szCs w:val="24"/>
        </w:rPr>
        <w:t>susține</w:t>
      </w:r>
      <w:proofErr w:type="spellEnd"/>
      <w:r w:rsidR="008A6029" w:rsidRPr="00CC28EC">
        <w:rPr>
          <w:sz w:val="24"/>
          <w:szCs w:val="24"/>
        </w:rPr>
        <w:t xml:space="preserve"> </w:t>
      </w:r>
      <w:proofErr w:type="spellStart"/>
      <w:r w:rsidR="008A6029" w:rsidRPr="00CC28EC">
        <w:rPr>
          <w:sz w:val="24"/>
          <w:szCs w:val="24"/>
        </w:rPr>
        <w:t>că</w:t>
      </w:r>
      <w:proofErr w:type="spellEnd"/>
      <w:r w:rsidR="008A6029" w:rsidRPr="00CC28EC">
        <w:rPr>
          <w:sz w:val="24"/>
          <w:szCs w:val="24"/>
        </w:rPr>
        <w:t xml:space="preserve"> </w:t>
      </w:r>
      <w:proofErr w:type="spellStart"/>
      <w:r w:rsidR="008A6029" w:rsidRPr="00CC28EC">
        <w:rPr>
          <w:sz w:val="24"/>
          <w:szCs w:val="24"/>
        </w:rPr>
        <w:t>datoria</w:t>
      </w:r>
      <w:proofErr w:type="spellEnd"/>
      <w:r w:rsidR="008A6029" w:rsidRPr="00CC28EC">
        <w:rPr>
          <w:sz w:val="24"/>
          <w:szCs w:val="24"/>
        </w:rPr>
        <w:t xml:space="preserve"> </w:t>
      </w:r>
      <w:proofErr w:type="spellStart"/>
      <w:r w:rsidR="008A6029" w:rsidRPr="00CC28EC">
        <w:rPr>
          <w:sz w:val="24"/>
          <w:szCs w:val="24"/>
        </w:rPr>
        <w:t>publică</w:t>
      </w:r>
      <w:proofErr w:type="spellEnd"/>
      <w:r w:rsidR="00C96C6C" w:rsidRPr="00CC28EC">
        <w:rPr>
          <w:sz w:val="24"/>
          <w:szCs w:val="24"/>
        </w:rPr>
        <w:t xml:space="preserve"> </w:t>
      </w:r>
      <w:proofErr w:type="spellStart"/>
      <w:r w:rsidR="00C96C6C" w:rsidRPr="00CC28EC">
        <w:rPr>
          <w:sz w:val="24"/>
          <w:szCs w:val="24"/>
        </w:rPr>
        <w:t>afecteaz</w:t>
      </w:r>
      <w:proofErr w:type="spellEnd"/>
      <w:r w:rsidR="00C96C6C" w:rsidRPr="00CC28EC">
        <w:rPr>
          <w:sz w:val="24"/>
          <w:szCs w:val="24"/>
          <w:lang w:val="ro-RO"/>
        </w:rPr>
        <w:t>ă cr</w:t>
      </w:r>
      <w:proofErr w:type="spellStart"/>
      <w:r w:rsidR="008A6029" w:rsidRPr="00CC28EC">
        <w:rPr>
          <w:sz w:val="24"/>
          <w:szCs w:val="24"/>
        </w:rPr>
        <w:t>eșterea</w:t>
      </w:r>
      <w:proofErr w:type="spellEnd"/>
      <w:r w:rsidR="008A6029" w:rsidRPr="00CC28EC">
        <w:rPr>
          <w:sz w:val="24"/>
          <w:szCs w:val="24"/>
        </w:rPr>
        <w:t xml:space="preserve"> </w:t>
      </w:r>
      <w:proofErr w:type="spellStart"/>
      <w:r w:rsidR="008A6029" w:rsidRPr="00CC28EC">
        <w:rPr>
          <w:sz w:val="24"/>
          <w:szCs w:val="24"/>
        </w:rPr>
        <w:t>economică</w:t>
      </w:r>
      <w:proofErr w:type="spellEnd"/>
      <w:r w:rsidR="008A6029" w:rsidRPr="00CC28EC">
        <w:rPr>
          <w:sz w:val="24"/>
          <w:szCs w:val="24"/>
        </w:rPr>
        <w:t xml:space="preserve">, </w:t>
      </w:r>
      <w:proofErr w:type="spellStart"/>
      <w:r w:rsidR="008A6029" w:rsidRPr="00CC28EC">
        <w:rPr>
          <w:sz w:val="24"/>
          <w:szCs w:val="24"/>
        </w:rPr>
        <w:t>deoarece</w:t>
      </w:r>
      <w:proofErr w:type="spellEnd"/>
      <w:r w:rsidR="008A6029" w:rsidRPr="00CC28EC">
        <w:rPr>
          <w:sz w:val="24"/>
          <w:szCs w:val="24"/>
        </w:rPr>
        <w:t xml:space="preserve"> reduce </w:t>
      </w:r>
      <w:proofErr w:type="spellStart"/>
      <w:r w:rsidR="008A6029" w:rsidRPr="00CC28EC">
        <w:rPr>
          <w:sz w:val="24"/>
          <w:szCs w:val="24"/>
        </w:rPr>
        <w:t>atât</w:t>
      </w:r>
      <w:proofErr w:type="spellEnd"/>
      <w:r w:rsidR="00AB4A4D" w:rsidRPr="00CC28EC">
        <w:rPr>
          <w:sz w:val="24"/>
          <w:szCs w:val="24"/>
        </w:rPr>
        <w:t xml:space="preserve"> </w:t>
      </w:r>
      <w:proofErr w:type="spellStart"/>
      <w:r w:rsidR="008A6029" w:rsidRPr="00CC28EC">
        <w:rPr>
          <w:sz w:val="24"/>
          <w:szCs w:val="24"/>
        </w:rPr>
        <w:t>disciplina</w:t>
      </w:r>
      <w:proofErr w:type="spellEnd"/>
      <w:r w:rsidR="008A6029" w:rsidRPr="00CC28EC">
        <w:rPr>
          <w:sz w:val="24"/>
          <w:szCs w:val="24"/>
        </w:rPr>
        <w:t xml:space="preserve"> </w:t>
      </w:r>
      <w:proofErr w:type="spellStart"/>
      <w:r w:rsidR="008A6029" w:rsidRPr="00CC28EC">
        <w:rPr>
          <w:sz w:val="24"/>
          <w:szCs w:val="24"/>
        </w:rPr>
        <w:t>financiară</w:t>
      </w:r>
      <w:proofErr w:type="spellEnd"/>
      <w:r w:rsidR="008A6029" w:rsidRPr="00CC28EC">
        <w:rPr>
          <w:sz w:val="24"/>
          <w:szCs w:val="24"/>
        </w:rPr>
        <w:t xml:space="preserve"> a </w:t>
      </w:r>
      <w:proofErr w:type="spellStart"/>
      <w:r w:rsidR="008A6029" w:rsidRPr="00CC28EC">
        <w:rPr>
          <w:sz w:val="24"/>
          <w:szCs w:val="24"/>
        </w:rPr>
        <w:t>procesului</w:t>
      </w:r>
      <w:proofErr w:type="spellEnd"/>
      <w:r w:rsidR="008A6029" w:rsidRPr="00CC28EC">
        <w:rPr>
          <w:sz w:val="24"/>
          <w:szCs w:val="24"/>
        </w:rPr>
        <w:t xml:space="preserve"> </w:t>
      </w:r>
      <w:proofErr w:type="spellStart"/>
      <w:r w:rsidR="008A6029" w:rsidRPr="00CC28EC">
        <w:rPr>
          <w:sz w:val="24"/>
          <w:szCs w:val="24"/>
        </w:rPr>
        <w:t>bugetar</w:t>
      </w:r>
      <w:proofErr w:type="spellEnd"/>
      <w:r w:rsidR="008A6029" w:rsidRPr="00CC28EC">
        <w:rPr>
          <w:sz w:val="24"/>
          <w:szCs w:val="24"/>
        </w:rPr>
        <w:t xml:space="preserve"> </w:t>
      </w:r>
      <w:proofErr w:type="spellStart"/>
      <w:r w:rsidR="008A6029" w:rsidRPr="00CC28EC">
        <w:rPr>
          <w:sz w:val="24"/>
          <w:szCs w:val="24"/>
        </w:rPr>
        <w:t>și</w:t>
      </w:r>
      <w:proofErr w:type="spellEnd"/>
      <w:r w:rsidR="008A6029" w:rsidRPr="00CC28EC">
        <w:rPr>
          <w:sz w:val="24"/>
          <w:szCs w:val="24"/>
        </w:rPr>
        <w:t xml:space="preserve"> </w:t>
      </w:r>
      <w:proofErr w:type="spellStart"/>
      <w:r w:rsidR="008A6029" w:rsidRPr="00CC28EC">
        <w:rPr>
          <w:sz w:val="24"/>
          <w:szCs w:val="24"/>
        </w:rPr>
        <w:t>accesul</w:t>
      </w:r>
      <w:proofErr w:type="spellEnd"/>
      <w:r w:rsidR="008A6029" w:rsidRPr="00CC28EC">
        <w:rPr>
          <w:sz w:val="24"/>
          <w:szCs w:val="24"/>
        </w:rPr>
        <w:t xml:space="preserve"> </w:t>
      </w:r>
      <w:proofErr w:type="spellStart"/>
      <w:r w:rsidR="008A6029" w:rsidRPr="00CC28EC">
        <w:rPr>
          <w:sz w:val="24"/>
          <w:szCs w:val="24"/>
        </w:rPr>
        <w:t>sectorului</w:t>
      </w:r>
      <w:proofErr w:type="spellEnd"/>
      <w:r w:rsidR="008A6029" w:rsidRPr="00CC28EC">
        <w:rPr>
          <w:sz w:val="24"/>
          <w:szCs w:val="24"/>
        </w:rPr>
        <w:t xml:space="preserve"> </w:t>
      </w:r>
      <w:proofErr w:type="spellStart"/>
      <w:r w:rsidR="008A6029" w:rsidRPr="00CC28EC">
        <w:rPr>
          <w:sz w:val="24"/>
          <w:szCs w:val="24"/>
        </w:rPr>
        <w:t>privat</w:t>
      </w:r>
      <w:proofErr w:type="spellEnd"/>
      <w:r w:rsidR="008A6029" w:rsidRPr="00CC28EC">
        <w:rPr>
          <w:sz w:val="24"/>
          <w:szCs w:val="24"/>
        </w:rPr>
        <w:t xml:space="preserve"> la </w:t>
      </w:r>
      <w:proofErr w:type="spellStart"/>
      <w:r w:rsidR="008A6029" w:rsidRPr="00CC28EC">
        <w:rPr>
          <w:sz w:val="24"/>
          <w:szCs w:val="24"/>
        </w:rPr>
        <w:t>credit</w:t>
      </w:r>
      <w:r w:rsidRPr="00CC28EC">
        <w:rPr>
          <w:sz w:val="24"/>
          <w:szCs w:val="24"/>
        </w:rPr>
        <w:t>are</w:t>
      </w:r>
      <w:proofErr w:type="spellEnd"/>
      <w:r w:rsidR="00F2261F" w:rsidRPr="00CC28EC">
        <w:rPr>
          <w:sz w:val="24"/>
          <w:szCs w:val="24"/>
        </w:rPr>
        <w:t xml:space="preserve">. </w:t>
      </w:r>
      <w:r w:rsidR="00C96C6C" w:rsidRPr="00CC28EC">
        <w:rPr>
          <w:sz w:val="24"/>
          <w:szCs w:val="24"/>
        </w:rPr>
        <w:t>Se</w:t>
      </w:r>
      <w:r w:rsidR="002655EC" w:rsidRPr="00CC28EC">
        <w:rPr>
          <w:sz w:val="24"/>
          <w:szCs w:val="24"/>
        </w:rPr>
        <w:t xml:space="preserve"> </w:t>
      </w:r>
      <w:proofErr w:type="spellStart"/>
      <w:r w:rsidR="00C96C6C" w:rsidRPr="00CC28EC">
        <w:rPr>
          <w:sz w:val="24"/>
          <w:szCs w:val="24"/>
        </w:rPr>
        <w:t>consideră</w:t>
      </w:r>
      <w:proofErr w:type="spellEnd"/>
      <w:r w:rsidR="00C96C6C" w:rsidRPr="00CC28EC">
        <w:rPr>
          <w:sz w:val="24"/>
          <w:szCs w:val="24"/>
        </w:rPr>
        <w:t xml:space="preserve">, de </w:t>
      </w:r>
      <w:proofErr w:type="spellStart"/>
      <w:r w:rsidR="00C96C6C" w:rsidRPr="00CC28EC">
        <w:rPr>
          <w:sz w:val="24"/>
          <w:szCs w:val="24"/>
        </w:rPr>
        <w:t>asemenea</w:t>
      </w:r>
      <w:proofErr w:type="spellEnd"/>
      <w:r w:rsidR="00C96C6C" w:rsidRPr="00CC28EC">
        <w:rPr>
          <w:sz w:val="24"/>
          <w:szCs w:val="24"/>
        </w:rPr>
        <w:t xml:space="preserve"> </w:t>
      </w:r>
      <w:proofErr w:type="spellStart"/>
      <w:r w:rsidR="00C96C6C" w:rsidRPr="00CC28EC">
        <w:rPr>
          <w:sz w:val="24"/>
          <w:szCs w:val="24"/>
        </w:rPr>
        <w:t>că</w:t>
      </w:r>
      <w:proofErr w:type="spellEnd"/>
      <w:r w:rsidR="00AB4A4D" w:rsidRPr="00CC28EC">
        <w:rPr>
          <w:sz w:val="24"/>
          <w:szCs w:val="24"/>
        </w:rPr>
        <w:t xml:space="preserve"> </w:t>
      </w:r>
      <w:proofErr w:type="spellStart"/>
      <w:r w:rsidR="00AB4A4D" w:rsidRPr="00CC28EC">
        <w:rPr>
          <w:sz w:val="24"/>
          <w:szCs w:val="24"/>
        </w:rPr>
        <w:t>r</w:t>
      </w:r>
      <w:r w:rsidR="00C96C6C" w:rsidRPr="00CC28EC">
        <w:rPr>
          <w:sz w:val="24"/>
          <w:szCs w:val="24"/>
        </w:rPr>
        <w:t>ambursare</w:t>
      </w:r>
      <w:r w:rsidR="00AB4A4D" w:rsidRPr="00CC28EC">
        <w:rPr>
          <w:sz w:val="24"/>
          <w:szCs w:val="24"/>
        </w:rPr>
        <w:t>a</w:t>
      </w:r>
      <w:proofErr w:type="spellEnd"/>
      <w:r w:rsidR="00C96C6C" w:rsidRPr="00CC28EC">
        <w:rPr>
          <w:sz w:val="24"/>
          <w:szCs w:val="24"/>
        </w:rPr>
        <w:t xml:space="preserve"> </w:t>
      </w:r>
      <w:proofErr w:type="spellStart"/>
      <w:r w:rsidR="00C96C6C" w:rsidRPr="00CC28EC">
        <w:rPr>
          <w:sz w:val="24"/>
          <w:szCs w:val="24"/>
        </w:rPr>
        <w:t>datoriei</w:t>
      </w:r>
      <w:proofErr w:type="spellEnd"/>
      <w:r w:rsidR="00C96C6C" w:rsidRPr="00CC28EC">
        <w:rPr>
          <w:sz w:val="24"/>
          <w:szCs w:val="24"/>
        </w:rPr>
        <w:t xml:space="preserve"> </w:t>
      </w:r>
      <w:proofErr w:type="spellStart"/>
      <w:r w:rsidR="00C96C6C" w:rsidRPr="00CC28EC">
        <w:rPr>
          <w:sz w:val="24"/>
          <w:szCs w:val="24"/>
        </w:rPr>
        <w:t>publice</w:t>
      </w:r>
      <w:proofErr w:type="spellEnd"/>
      <w:r w:rsidR="00C96C6C" w:rsidRPr="00CC28EC">
        <w:rPr>
          <w:sz w:val="24"/>
          <w:szCs w:val="24"/>
        </w:rPr>
        <w:t xml:space="preserve">, </w:t>
      </w:r>
      <w:proofErr w:type="spellStart"/>
      <w:r w:rsidR="00C96C6C" w:rsidRPr="00CC28EC">
        <w:rPr>
          <w:sz w:val="24"/>
          <w:szCs w:val="24"/>
        </w:rPr>
        <w:t>diminuează</w:t>
      </w:r>
      <w:proofErr w:type="spellEnd"/>
      <w:r w:rsidR="00C96C6C" w:rsidRPr="00CC28EC">
        <w:rPr>
          <w:sz w:val="24"/>
          <w:szCs w:val="24"/>
        </w:rPr>
        <w:t xml:space="preserve"> </w:t>
      </w:r>
      <w:proofErr w:type="spellStart"/>
      <w:r w:rsidR="00C96C6C" w:rsidRPr="00CC28EC">
        <w:rPr>
          <w:sz w:val="24"/>
          <w:szCs w:val="24"/>
        </w:rPr>
        <w:t>creșterea</w:t>
      </w:r>
      <w:proofErr w:type="spellEnd"/>
      <w:r w:rsidR="00C96C6C" w:rsidRPr="00CC28EC">
        <w:rPr>
          <w:sz w:val="24"/>
          <w:szCs w:val="24"/>
        </w:rPr>
        <w:t xml:space="preserve"> </w:t>
      </w:r>
      <w:proofErr w:type="spellStart"/>
      <w:r w:rsidR="00C96C6C" w:rsidRPr="00CC28EC">
        <w:rPr>
          <w:sz w:val="24"/>
          <w:szCs w:val="24"/>
        </w:rPr>
        <w:t>economică</w:t>
      </w:r>
      <w:proofErr w:type="spellEnd"/>
      <w:r w:rsidR="00C96C6C" w:rsidRPr="00CC28EC">
        <w:rPr>
          <w:sz w:val="24"/>
          <w:szCs w:val="24"/>
        </w:rPr>
        <w:t xml:space="preserve"> </w:t>
      </w:r>
      <w:proofErr w:type="spellStart"/>
      <w:r w:rsidR="00C96C6C" w:rsidRPr="00CC28EC">
        <w:rPr>
          <w:sz w:val="24"/>
          <w:szCs w:val="24"/>
        </w:rPr>
        <w:t>prin</w:t>
      </w:r>
      <w:proofErr w:type="spellEnd"/>
      <w:r w:rsidR="00C96C6C" w:rsidRPr="00CC28EC">
        <w:rPr>
          <w:sz w:val="24"/>
          <w:szCs w:val="24"/>
        </w:rPr>
        <w:t xml:space="preserve"> </w:t>
      </w:r>
      <w:proofErr w:type="spellStart"/>
      <w:r w:rsidR="00C96C6C" w:rsidRPr="00CC28EC">
        <w:rPr>
          <w:sz w:val="24"/>
          <w:szCs w:val="24"/>
        </w:rPr>
        <w:t>descurajarea</w:t>
      </w:r>
      <w:proofErr w:type="spellEnd"/>
      <w:r w:rsidR="00C96C6C" w:rsidRPr="00CC28EC">
        <w:rPr>
          <w:sz w:val="24"/>
          <w:szCs w:val="24"/>
        </w:rPr>
        <w:t xml:space="preserve"> </w:t>
      </w:r>
      <w:proofErr w:type="spellStart"/>
      <w:r w:rsidR="00C96C6C" w:rsidRPr="00CC28EC">
        <w:rPr>
          <w:sz w:val="24"/>
          <w:szCs w:val="24"/>
        </w:rPr>
        <w:t>investițiilor</w:t>
      </w:r>
      <w:proofErr w:type="spellEnd"/>
      <w:r w:rsidR="00C96C6C" w:rsidRPr="00CC28EC">
        <w:rPr>
          <w:sz w:val="24"/>
          <w:szCs w:val="24"/>
        </w:rPr>
        <w:t xml:space="preserve"> </w:t>
      </w:r>
      <w:proofErr w:type="spellStart"/>
      <w:r w:rsidR="00D37C89" w:rsidRPr="00CC28EC">
        <w:rPr>
          <w:sz w:val="24"/>
          <w:szCs w:val="24"/>
        </w:rPr>
        <w:t>străine</w:t>
      </w:r>
      <w:proofErr w:type="spellEnd"/>
      <w:r w:rsidR="00D37C89" w:rsidRPr="00CC28EC">
        <w:rPr>
          <w:sz w:val="24"/>
          <w:szCs w:val="24"/>
        </w:rPr>
        <w:t xml:space="preserve"> </w:t>
      </w:r>
      <w:proofErr w:type="spellStart"/>
      <w:r w:rsidR="00D37C89" w:rsidRPr="00CC28EC">
        <w:rPr>
          <w:sz w:val="24"/>
          <w:szCs w:val="24"/>
        </w:rPr>
        <w:t>și</w:t>
      </w:r>
      <w:proofErr w:type="spellEnd"/>
      <w:r w:rsidR="00D37C89" w:rsidRPr="00CC28EC">
        <w:rPr>
          <w:sz w:val="24"/>
          <w:szCs w:val="24"/>
        </w:rPr>
        <w:t xml:space="preserve"> interne</w:t>
      </w:r>
      <w:r w:rsidR="00C96C6C" w:rsidRPr="00CC28EC">
        <w:rPr>
          <w:sz w:val="24"/>
          <w:szCs w:val="24"/>
        </w:rPr>
        <w:t>.</w:t>
      </w:r>
      <w:r w:rsidR="00DA1A5E" w:rsidRPr="00CC28EC">
        <w:rPr>
          <w:sz w:val="24"/>
          <w:szCs w:val="24"/>
        </w:rPr>
        <w:t xml:space="preserve"> (Modigliani,1961)</w:t>
      </w:r>
      <w:r w:rsidR="005B2ECE" w:rsidRPr="00CC28EC">
        <w:rPr>
          <w:sz w:val="24"/>
          <w:szCs w:val="24"/>
        </w:rPr>
        <w:t xml:space="preserve"> </w:t>
      </w:r>
      <w:proofErr w:type="spellStart"/>
      <w:r w:rsidR="005B2ECE" w:rsidRPr="00CC28EC">
        <w:rPr>
          <w:sz w:val="24"/>
          <w:szCs w:val="24"/>
        </w:rPr>
        <w:t>Și</w:t>
      </w:r>
      <w:proofErr w:type="spellEnd"/>
      <w:r w:rsidR="005B2ECE" w:rsidRPr="00CC28EC">
        <w:rPr>
          <w:sz w:val="24"/>
          <w:szCs w:val="24"/>
        </w:rPr>
        <w:t xml:space="preserve"> ulterior, </w:t>
      </w:r>
      <w:proofErr w:type="spellStart"/>
      <w:r w:rsidR="005B2ECE" w:rsidRPr="00CC28EC">
        <w:rPr>
          <w:sz w:val="24"/>
          <w:szCs w:val="24"/>
        </w:rPr>
        <w:t>începând</w:t>
      </w:r>
      <w:proofErr w:type="spellEnd"/>
      <w:r w:rsidR="005B2ECE" w:rsidRPr="00CC28EC">
        <w:rPr>
          <w:sz w:val="24"/>
          <w:szCs w:val="24"/>
        </w:rPr>
        <w:t xml:space="preserve"> cu </w:t>
      </w:r>
      <w:proofErr w:type="spellStart"/>
      <w:r w:rsidR="005B2ECE" w:rsidRPr="00CC28EC">
        <w:rPr>
          <w:sz w:val="24"/>
          <w:szCs w:val="24"/>
        </w:rPr>
        <w:t>anii</w:t>
      </w:r>
      <w:proofErr w:type="spellEnd"/>
      <w:r w:rsidR="005B2ECE" w:rsidRPr="00CC28EC">
        <w:rPr>
          <w:sz w:val="24"/>
          <w:szCs w:val="24"/>
        </w:rPr>
        <w:t xml:space="preserve"> 1970, </w:t>
      </w:r>
      <w:proofErr w:type="spellStart"/>
      <w:r w:rsidR="005B2ECE" w:rsidRPr="00CC28EC">
        <w:rPr>
          <w:sz w:val="24"/>
          <w:szCs w:val="24"/>
        </w:rPr>
        <w:t>perspectiva</w:t>
      </w:r>
      <w:proofErr w:type="spellEnd"/>
      <w:r w:rsidR="005B2ECE" w:rsidRPr="00CC28EC">
        <w:rPr>
          <w:sz w:val="24"/>
          <w:szCs w:val="24"/>
        </w:rPr>
        <w:t xml:space="preserve"> </w:t>
      </w:r>
      <w:proofErr w:type="spellStart"/>
      <w:r w:rsidR="005B2ECE" w:rsidRPr="00CC28EC">
        <w:rPr>
          <w:sz w:val="24"/>
          <w:szCs w:val="24"/>
        </w:rPr>
        <w:t>economiștilor</w:t>
      </w:r>
      <w:proofErr w:type="spellEnd"/>
      <w:r w:rsidR="005B2ECE" w:rsidRPr="00CC28EC">
        <w:rPr>
          <w:sz w:val="24"/>
          <w:szCs w:val="24"/>
        </w:rPr>
        <w:t xml:space="preserve"> </w:t>
      </w:r>
      <w:proofErr w:type="spellStart"/>
      <w:r w:rsidR="005B2ECE" w:rsidRPr="00CC28EC">
        <w:rPr>
          <w:sz w:val="24"/>
          <w:szCs w:val="24"/>
        </w:rPr>
        <w:t>neoliberali</w:t>
      </w:r>
      <w:proofErr w:type="spellEnd"/>
      <w:r w:rsidR="005B2ECE" w:rsidRPr="00CC28EC">
        <w:rPr>
          <w:sz w:val="24"/>
          <w:szCs w:val="24"/>
        </w:rPr>
        <w:t xml:space="preserve"> </w:t>
      </w:r>
      <w:proofErr w:type="spellStart"/>
      <w:r w:rsidR="005B2ECE" w:rsidRPr="00CC28EC">
        <w:rPr>
          <w:sz w:val="24"/>
          <w:szCs w:val="24"/>
        </w:rPr>
        <w:t>privind</w:t>
      </w:r>
      <w:proofErr w:type="spellEnd"/>
      <w:r w:rsidR="005B2ECE" w:rsidRPr="00CC28EC">
        <w:rPr>
          <w:sz w:val="24"/>
          <w:szCs w:val="24"/>
        </w:rPr>
        <w:t xml:space="preserve"> </w:t>
      </w:r>
      <w:proofErr w:type="spellStart"/>
      <w:r w:rsidR="005B2ECE" w:rsidRPr="00CC28EC">
        <w:rPr>
          <w:sz w:val="24"/>
          <w:szCs w:val="24"/>
        </w:rPr>
        <w:t>îndatorarea</w:t>
      </w:r>
      <w:proofErr w:type="spellEnd"/>
      <w:r w:rsidR="005B2ECE" w:rsidRPr="00CC28EC">
        <w:rPr>
          <w:sz w:val="24"/>
          <w:szCs w:val="24"/>
        </w:rPr>
        <w:t xml:space="preserve"> </w:t>
      </w:r>
      <w:proofErr w:type="spellStart"/>
      <w:r w:rsidR="005B2ECE" w:rsidRPr="00CC28EC">
        <w:rPr>
          <w:sz w:val="24"/>
          <w:szCs w:val="24"/>
        </w:rPr>
        <w:t>publică</w:t>
      </w:r>
      <w:proofErr w:type="spellEnd"/>
      <w:r w:rsidR="005B2ECE" w:rsidRPr="00CC28EC">
        <w:rPr>
          <w:sz w:val="24"/>
          <w:szCs w:val="24"/>
        </w:rPr>
        <w:t xml:space="preserve"> </w:t>
      </w:r>
      <w:proofErr w:type="spellStart"/>
      <w:r w:rsidR="005B2ECE" w:rsidRPr="00CC28EC">
        <w:rPr>
          <w:sz w:val="24"/>
          <w:szCs w:val="24"/>
        </w:rPr>
        <w:t>și</w:t>
      </w:r>
      <w:proofErr w:type="spellEnd"/>
      <w:r w:rsidR="005B2ECE" w:rsidRPr="00CC28EC">
        <w:rPr>
          <w:sz w:val="24"/>
          <w:szCs w:val="24"/>
        </w:rPr>
        <w:t xml:space="preserve"> </w:t>
      </w:r>
      <w:proofErr w:type="spellStart"/>
      <w:r w:rsidR="005B2ECE" w:rsidRPr="00CC28EC">
        <w:rPr>
          <w:sz w:val="24"/>
          <w:szCs w:val="24"/>
        </w:rPr>
        <w:t>efectele</w:t>
      </w:r>
      <w:proofErr w:type="spellEnd"/>
      <w:r w:rsidR="005B2ECE" w:rsidRPr="00CC28EC">
        <w:rPr>
          <w:sz w:val="24"/>
          <w:szCs w:val="24"/>
        </w:rPr>
        <w:t xml:space="preserve"> sale </w:t>
      </w:r>
      <w:proofErr w:type="spellStart"/>
      <w:r w:rsidR="005B2ECE" w:rsidRPr="00CC28EC">
        <w:rPr>
          <w:sz w:val="24"/>
          <w:szCs w:val="24"/>
        </w:rPr>
        <w:t>economice</w:t>
      </w:r>
      <w:proofErr w:type="spellEnd"/>
      <w:r w:rsidR="005B2ECE" w:rsidRPr="00CC28EC">
        <w:rPr>
          <w:sz w:val="24"/>
          <w:szCs w:val="24"/>
        </w:rPr>
        <w:t xml:space="preserve"> nu s-a </w:t>
      </w:r>
      <w:proofErr w:type="spellStart"/>
      <w:r w:rsidR="005B2ECE" w:rsidRPr="00CC28EC">
        <w:rPr>
          <w:sz w:val="24"/>
          <w:szCs w:val="24"/>
        </w:rPr>
        <w:t>schimbat</w:t>
      </w:r>
      <w:proofErr w:type="spellEnd"/>
      <w:r w:rsidR="005B2ECE" w:rsidRPr="00CC28EC">
        <w:rPr>
          <w:sz w:val="24"/>
          <w:szCs w:val="24"/>
        </w:rPr>
        <w:t xml:space="preserve"> </w:t>
      </w:r>
      <w:r w:rsidR="00DF5775" w:rsidRPr="00CC28EC">
        <w:rPr>
          <w:sz w:val="24"/>
          <w:szCs w:val="24"/>
        </w:rPr>
        <w:t xml:space="preserve">radical </w:t>
      </w:r>
      <w:proofErr w:type="spellStart"/>
      <w:r w:rsidR="005B2ECE" w:rsidRPr="00CC28EC">
        <w:rPr>
          <w:sz w:val="24"/>
          <w:szCs w:val="24"/>
        </w:rPr>
        <w:t>față</w:t>
      </w:r>
      <w:proofErr w:type="spellEnd"/>
      <w:r w:rsidR="005B2ECE" w:rsidRPr="00CC28EC">
        <w:rPr>
          <w:sz w:val="24"/>
          <w:szCs w:val="24"/>
        </w:rPr>
        <w:t xml:space="preserve"> de </w:t>
      </w:r>
      <w:proofErr w:type="spellStart"/>
      <w:r w:rsidR="005B2ECE" w:rsidRPr="00CC28EC">
        <w:rPr>
          <w:sz w:val="24"/>
          <w:szCs w:val="24"/>
        </w:rPr>
        <w:t>fondatorii</w:t>
      </w:r>
      <w:proofErr w:type="spellEnd"/>
      <w:r w:rsidR="005B2ECE" w:rsidRPr="00CC28EC">
        <w:rPr>
          <w:sz w:val="24"/>
          <w:szCs w:val="24"/>
        </w:rPr>
        <w:t xml:space="preserve"> </w:t>
      </w:r>
      <w:proofErr w:type="spellStart"/>
      <w:r w:rsidR="005B2ECE" w:rsidRPr="00CC28EC">
        <w:rPr>
          <w:sz w:val="24"/>
          <w:szCs w:val="24"/>
        </w:rPr>
        <w:t>gândirii</w:t>
      </w:r>
      <w:proofErr w:type="spellEnd"/>
      <w:r w:rsidR="005B2ECE" w:rsidRPr="00CC28EC">
        <w:rPr>
          <w:sz w:val="24"/>
          <w:szCs w:val="24"/>
        </w:rPr>
        <w:t xml:space="preserve"> </w:t>
      </w:r>
      <w:proofErr w:type="spellStart"/>
      <w:r w:rsidR="005B2ECE" w:rsidRPr="00CC28EC">
        <w:rPr>
          <w:sz w:val="24"/>
          <w:szCs w:val="24"/>
        </w:rPr>
        <w:t>clasice</w:t>
      </w:r>
      <w:proofErr w:type="spellEnd"/>
      <w:r w:rsidR="005B2ECE" w:rsidRPr="00CC28EC">
        <w:rPr>
          <w:sz w:val="24"/>
          <w:szCs w:val="24"/>
        </w:rPr>
        <w:t>.</w:t>
      </w:r>
    </w:p>
    <w:p w14:paraId="58BF1262" w14:textId="77BB6C86" w:rsidR="0041323D" w:rsidRPr="00CC28EC" w:rsidRDefault="00622B28" w:rsidP="0041323D">
      <w:pPr>
        <w:tabs>
          <w:tab w:val="left" w:pos="360"/>
        </w:tabs>
        <w:jc w:val="both"/>
        <w:rPr>
          <w:sz w:val="24"/>
          <w:szCs w:val="24"/>
        </w:rPr>
      </w:pPr>
      <w:r w:rsidRPr="00CC28EC">
        <w:rPr>
          <w:b/>
          <w:bCs/>
          <w:sz w:val="24"/>
          <w:szCs w:val="24"/>
        </w:rPr>
        <w:tab/>
      </w:r>
      <w:r w:rsidRPr="00CC28EC">
        <w:rPr>
          <w:b/>
          <w:bCs/>
          <w:sz w:val="24"/>
          <w:szCs w:val="24"/>
        </w:rPr>
        <w:tab/>
      </w:r>
      <w:proofErr w:type="spellStart"/>
      <w:r w:rsidRPr="00CC28EC">
        <w:rPr>
          <w:sz w:val="24"/>
          <w:szCs w:val="24"/>
        </w:rPr>
        <w:t>Școala</w:t>
      </w:r>
      <w:proofErr w:type="spellEnd"/>
      <w:r w:rsidRPr="00CC28EC">
        <w:rPr>
          <w:sz w:val="24"/>
          <w:szCs w:val="24"/>
        </w:rPr>
        <w:t xml:space="preserve"> de </w:t>
      </w:r>
      <w:proofErr w:type="spellStart"/>
      <w:r w:rsidRPr="00CC28EC">
        <w:rPr>
          <w:sz w:val="24"/>
          <w:szCs w:val="24"/>
        </w:rPr>
        <w:t>gândire</w:t>
      </w:r>
      <w:proofErr w:type="spellEnd"/>
      <w:r w:rsidRPr="00CC28EC">
        <w:rPr>
          <w:sz w:val="24"/>
          <w:szCs w:val="24"/>
        </w:rPr>
        <w:t xml:space="preserve"> </w:t>
      </w:r>
      <w:proofErr w:type="spellStart"/>
      <w:r w:rsidRPr="00CC28EC">
        <w:rPr>
          <w:sz w:val="24"/>
          <w:szCs w:val="24"/>
        </w:rPr>
        <w:t>keynesiană</w:t>
      </w:r>
      <w:proofErr w:type="spellEnd"/>
      <w:r w:rsidRPr="00CC28EC">
        <w:rPr>
          <w:sz w:val="24"/>
          <w:szCs w:val="24"/>
        </w:rPr>
        <w:t xml:space="preserve"> </w:t>
      </w:r>
      <w:proofErr w:type="spellStart"/>
      <w:r w:rsidRPr="00CC28EC">
        <w:rPr>
          <w:sz w:val="24"/>
          <w:szCs w:val="24"/>
        </w:rPr>
        <w:t>susține</w:t>
      </w:r>
      <w:proofErr w:type="spellEnd"/>
      <w:r w:rsidRPr="00CC28EC">
        <w:rPr>
          <w:sz w:val="24"/>
          <w:szCs w:val="24"/>
        </w:rPr>
        <w:t xml:space="preserve"> </w:t>
      </w:r>
      <w:proofErr w:type="spellStart"/>
      <w:r w:rsidR="00AB4A4D" w:rsidRPr="00CC28EC">
        <w:rPr>
          <w:sz w:val="24"/>
          <w:szCs w:val="24"/>
        </w:rPr>
        <w:t>că</w:t>
      </w:r>
      <w:proofErr w:type="spellEnd"/>
      <w:r w:rsidR="00AB4A4D" w:rsidRPr="00CC28EC">
        <w:rPr>
          <w:sz w:val="24"/>
          <w:szCs w:val="24"/>
        </w:rPr>
        <w:t xml:space="preserve"> </w:t>
      </w:r>
      <w:proofErr w:type="spellStart"/>
      <w:r w:rsidRPr="00CC28EC">
        <w:rPr>
          <w:sz w:val="24"/>
          <w:szCs w:val="24"/>
        </w:rPr>
        <w:t>finanțarea</w:t>
      </w:r>
      <w:proofErr w:type="spellEnd"/>
      <w:r w:rsidRPr="00CC28EC">
        <w:rPr>
          <w:sz w:val="24"/>
          <w:szCs w:val="24"/>
        </w:rPr>
        <w:t xml:space="preserve"> </w:t>
      </w:r>
      <w:proofErr w:type="spellStart"/>
      <w:r w:rsidRPr="00CC28EC">
        <w:rPr>
          <w:sz w:val="24"/>
          <w:szCs w:val="24"/>
        </w:rPr>
        <w:t>prin</w:t>
      </w:r>
      <w:proofErr w:type="spellEnd"/>
      <w:r w:rsidRPr="00CC28EC">
        <w:rPr>
          <w:sz w:val="24"/>
          <w:szCs w:val="24"/>
        </w:rPr>
        <w:t xml:space="preserve"> </w:t>
      </w:r>
      <w:proofErr w:type="spellStart"/>
      <w:r w:rsidRPr="00CC28EC">
        <w:rPr>
          <w:sz w:val="24"/>
          <w:szCs w:val="24"/>
        </w:rPr>
        <w:t>datorii</w:t>
      </w:r>
      <w:proofErr w:type="spellEnd"/>
      <w:r w:rsidRPr="00CC28EC">
        <w:rPr>
          <w:sz w:val="24"/>
          <w:szCs w:val="24"/>
        </w:rPr>
        <w:t xml:space="preserve"> a </w:t>
      </w:r>
      <w:proofErr w:type="spellStart"/>
      <w:r w:rsidRPr="00CC28EC">
        <w:rPr>
          <w:sz w:val="24"/>
          <w:szCs w:val="24"/>
        </w:rPr>
        <w:t>cheltuielilor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are un </w:t>
      </w:r>
      <w:proofErr w:type="spellStart"/>
      <w:r w:rsidRPr="00CC28EC">
        <w:rPr>
          <w:sz w:val="24"/>
          <w:szCs w:val="24"/>
        </w:rPr>
        <w:t>efect</w:t>
      </w:r>
      <w:proofErr w:type="spellEnd"/>
      <w:r w:rsidRPr="00CC28EC">
        <w:rPr>
          <w:sz w:val="24"/>
          <w:szCs w:val="24"/>
        </w:rPr>
        <w:t xml:space="preserve"> multiplicator fiscal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producției</w:t>
      </w:r>
      <w:proofErr w:type="spellEnd"/>
      <w:r w:rsidRPr="00CC28EC">
        <w:rPr>
          <w:sz w:val="24"/>
          <w:szCs w:val="24"/>
        </w:rPr>
        <w:t xml:space="preserve"> </w:t>
      </w:r>
      <w:proofErr w:type="spellStart"/>
      <w:r w:rsidRPr="00CC28EC">
        <w:rPr>
          <w:sz w:val="24"/>
          <w:szCs w:val="24"/>
        </w:rPr>
        <w:t>sau</w:t>
      </w:r>
      <w:proofErr w:type="spellEnd"/>
      <w:r w:rsidRPr="00CC28EC">
        <w:rPr>
          <w:sz w:val="24"/>
          <w:szCs w:val="24"/>
        </w:rPr>
        <w:t xml:space="preserve"> </w:t>
      </w:r>
      <w:proofErr w:type="spellStart"/>
      <w:r w:rsidRPr="00CC28EC">
        <w:rPr>
          <w:sz w:val="24"/>
          <w:szCs w:val="24"/>
        </w:rPr>
        <w:t>veniturilor</w:t>
      </w:r>
      <w:proofErr w:type="spellEnd"/>
      <w:r w:rsidRPr="00CC28EC">
        <w:rPr>
          <w:sz w:val="24"/>
          <w:szCs w:val="24"/>
        </w:rPr>
        <w:t xml:space="preserve"> </w:t>
      </w:r>
      <w:proofErr w:type="spellStart"/>
      <w:r w:rsidRPr="00CC28EC">
        <w:rPr>
          <w:sz w:val="24"/>
          <w:szCs w:val="24"/>
        </w:rPr>
        <w:t>unei</w:t>
      </w:r>
      <w:proofErr w:type="spellEnd"/>
      <w:r w:rsidRPr="00CC28EC">
        <w:rPr>
          <w:sz w:val="24"/>
          <w:szCs w:val="24"/>
        </w:rPr>
        <w:t xml:space="preserve"> </w:t>
      </w:r>
      <w:proofErr w:type="spellStart"/>
      <w:r w:rsidRPr="00CC28EC">
        <w:rPr>
          <w:sz w:val="24"/>
          <w:szCs w:val="24"/>
        </w:rPr>
        <w:t>țări</w:t>
      </w:r>
      <w:proofErr w:type="spellEnd"/>
      <w:r w:rsidRPr="00CC28EC">
        <w:rPr>
          <w:sz w:val="24"/>
          <w:szCs w:val="24"/>
        </w:rPr>
        <w:t xml:space="preserve">. Keynes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susținătorii</w:t>
      </w:r>
      <w:proofErr w:type="spellEnd"/>
      <w:r w:rsidRPr="00CC28EC">
        <w:rPr>
          <w:sz w:val="24"/>
          <w:szCs w:val="24"/>
        </w:rPr>
        <w:t xml:space="preserve"> </w:t>
      </w:r>
      <w:proofErr w:type="spellStart"/>
      <w:r w:rsidRPr="00CC28EC">
        <w:rPr>
          <w:sz w:val="24"/>
          <w:szCs w:val="24"/>
        </w:rPr>
        <w:t>săi</w:t>
      </w:r>
      <w:proofErr w:type="spellEnd"/>
      <w:r w:rsidRPr="00CC28EC">
        <w:rPr>
          <w:sz w:val="24"/>
          <w:szCs w:val="24"/>
        </w:rPr>
        <w:t xml:space="preserve"> au </w:t>
      </w:r>
      <w:proofErr w:type="spellStart"/>
      <w:r w:rsidRPr="00CC28EC">
        <w:rPr>
          <w:sz w:val="24"/>
          <w:szCs w:val="24"/>
        </w:rPr>
        <w:t>încercat</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demonstreze</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dacă</w:t>
      </w:r>
      <w:proofErr w:type="spellEnd"/>
      <w:r w:rsidRPr="00CC28EC">
        <w:rPr>
          <w:sz w:val="24"/>
          <w:szCs w:val="24"/>
        </w:rPr>
        <w:t xml:space="preserve"> </w:t>
      </w:r>
      <w:proofErr w:type="spellStart"/>
      <w:r w:rsidRPr="00CC28EC">
        <w:rPr>
          <w:sz w:val="24"/>
          <w:szCs w:val="24"/>
        </w:rPr>
        <w:t>există</w:t>
      </w:r>
      <w:proofErr w:type="spellEnd"/>
      <w:r w:rsidRPr="00CC28EC">
        <w:rPr>
          <w:sz w:val="24"/>
          <w:szCs w:val="24"/>
        </w:rPr>
        <w:t xml:space="preserve"> o </w:t>
      </w:r>
      <w:proofErr w:type="spellStart"/>
      <w:r w:rsidRPr="00CC28EC">
        <w:rPr>
          <w:sz w:val="24"/>
          <w:szCs w:val="24"/>
        </w:rPr>
        <w:t>creșterea</w:t>
      </w:r>
      <w:proofErr w:type="spellEnd"/>
      <w:r w:rsidRPr="00CC28EC">
        <w:rPr>
          <w:sz w:val="24"/>
          <w:szCs w:val="24"/>
        </w:rPr>
        <w:t xml:space="preserve"> a </w:t>
      </w:r>
      <w:proofErr w:type="spellStart"/>
      <w:r w:rsidRPr="00CC28EC">
        <w:rPr>
          <w:sz w:val="24"/>
          <w:szCs w:val="24"/>
        </w:rPr>
        <w:t>cheltuielilor</w:t>
      </w:r>
      <w:proofErr w:type="spellEnd"/>
      <w:r w:rsidRPr="00CC28EC">
        <w:rPr>
          <w:sz w:val="24"/>
          <w:szCs w:val="24"/>
        </w:rPr>
        <w:t xml:space="preserve"> </w:t>
      </w:r>
      <w:proofErr w:type="spellStart"/>
      <w:r w:rsidRPr="00CC28EC">
        <w:rPr>
          <w:sz w:val="24"/>
          <w:szCs w:val="24"/>
        </w:rPr>
        <w:t>guvernamentale</w:t>
      </w:r>
      <w:proofErr w:type="spellEnd"/>
      <w:r w:rsidRPr="00CC28EC">
        <w:rPr>
          <w:sz w:val="24"/>
          <w:szCs w:val="24"/>
        </w:rPr>
        <w:t xml:space="preserve">, </w:t>
      </w:r>
      <w:proofErr w:type="spellStart"/>
      <w:r w:rsidRPr="00CC28EC">
        <w:rPr>
          <w:sz w:val="24"/>
          <w:szCs w:val="24"/>
        </w:rPr>
        <w:t>acest</w:t>
      </w:r>
      <w:proofErr w:type="spellEnd"/>
      <w:r w:rsidRPr="00CC28EC">
        <w:rPr>
          <w:sz w:val="24"/>
          <w:szCs w:val="24"/>
        </w:rPr>
        <w:t xml:space="preserve"> </w:t>
      </w:r>
      <w:proofErr w:type="spellStart"/>
      <w:r w:rsidRPr="00CC28EC">
        <w:rPr>
          <w:sz w:val="24"/>
          <w:szCs w:val="24"/>
        </w:rPr>
        <w:t>lucru</w:t>
      </w:r>
      <w:proofErr w:type="spellEnd"/>
      <w:r w:rsidR="00AD42F3" w:rsidRPr="00CC28EC">
        <w:rPr>
          <w:sz w:val="24"/>
          <w:szCs w:val="24"/>
        </w:rPr>
        <w:t xml:space="preserve"> </w:t>
      </w:r>
      <w:proofErr w:type="spellStart"/>
      <w:r w:rsidR="00AD42F3" w:rsidRPr="00CC28EC">
        <w:rPr>
          <w:sz w:val="24"/>
          <w:szCs w:val="24"/>
        </w:rPr>
        <w:t>dinamizează</w:t>
      </w:r>
      <w:proofErr w:type="spellEnd"/>
      <w:r w:rsidR="00AD42F3" w:rsidRPr="00CC28EC">
        <w:rPr>
          <w:sz w:val="24"/>
          <w:szCs w:val="24"/>
        </w:rPr>
        <w:t xml:space="preserve"> </w:t>
      </w:r>
      <w:proofErr w:type="spellStart"/>
      <w:r w:rsidR="00AD42F3" w:rsidRPr="00CC28EC">
        <w:rPr>
          <w:sz w:val="24"/>
          <w:szCs w:val="24"/>
        </w:rPr>
        <w:t>și</w:t>
      </w:r>
      <w:proofErr w:type="spellEnd"/>
      <w:r w:rsidR="00AD42F3" w:rsidRPr="00CC28EC">
        <w:rPr>
          <w:sz w:val="24"/>
          <w:szCs w:val="24"/>
        </w:rPr>
        <w:t xml:space="preserve"> duce la </w:t>
      </w:r>
      <w:proofErr w:type="spellStart"/>
      <w:r w:rsidR="00AD42F3" w:rsidRPr="00CC28EC">
        <w:rPr>
          <w:sz w:val="24"/>
          <w:szCs w:val="24"/>
        </w:rPr>
        <w:t>creșterea</w:t>
      </w:r>
      <w:proofErr w:type="spellEnd"/>
      <w:r w:rsidRPr="00CC28EC">
        <w:rPr>
          <w:sz w:val="24"/>
          <w:szCs w:val="24"/>
        </w:rPr>
        <w:t xml:space="preserve"> </w:t>
      </w:r>
      <w:proofErr w:type="spellStart"/>
      <w:r w:rsidRPr="00CC28EC">
        <w:rPr>
          <w:sz w:val="24"/>
          <w:szCs w:val="24"/>
        </w:rPr>
        <w:t>activit</w:t>
      </w:r>
      <w:r w:rsidR="00AD42F3" w:rsidRPr="00CC28EC">
        <w:rPr>
          <w:sz w:val="24"/>
          <w:szCs w:val="24"/>
        </w:rPr>
        <w:t>ății</w:t>
      </w:r>
      <w:proofErr w:type="spellEnd"/>
      <w:r w:rsidRPr="00CC28EC">
        <w:rPr>
          <w:sz w:val="24"/>
          <w:szCs w:val="24"/>
        </w:rPr>
        <w:t xml:space="preserve"> </w:t>
      </w:r>
      <w:proofErr w:type="spellStart"/>
      <w:r w:rsidRPr="00CC28EC">
        <w:rPr>
          <w:sz w:val="24"/>
          <w:szCs w:val="24"/>
        </w:rPr>
        <w:t>economic</w:t>
      </w:r>
      <w:r w:rsidR="00AD42F3" w:rsidRPr="00CC28EC">
        <w:rPr>
          <w:sz w:val="24"/>
          <w:szCs w:val="24"/>
        </w:rPr>
        <w:t>e</w:t>
      </w:r>
      <w:proofErr w:type="spellEnd"/>
      <w:r w:rsidRPr="00CC28EC">
        <w:rPr>
          <w:sz w:val="24"/>
          <w:szCs w:val="24"/>
        </w:rPr>
        <w:t xml:space="preserve"> </w:t>
      </w:r>
      <w:proofErr w:type="spellStart"/>
      <w:r w:rsidR="00AD42F3" w:rsidRPr="00CC28EC">
        <w:rPr>
          <w:sz w:val="24"/>
          <w:szCs w:val="24"/>
        </w:rPr>
        <w:t>prin</w:t>
      </w:r>
      <w:proofErr w:type="spellEnd"/>
      <w:r w:rsidR="00AD42F3" w:rsidRPr="00CC28EC">
        <w:rPr>
          <w:sz w:val="24"/>
          <w:szCs w:val="24"/>
        </w:rPr>
        <w:t xml:space="preserve"> </w:t>
      </w:r>
      <w:proofErr w:type="spellStart"/>
      <w:r w:rsidR="00AD42F3" w:rsidRPr="00CC28EC">
        <w:rPr>
          <w:sz w:val="24"/>
          <w:szCs w:val="24"/>
        </w:rPr>
        <w:t>investițiile</w:t>
      </w:r>
      <w:proofErr w:type="spellEnd"/>
      <w:r w:rsidR="00AD42F3" w:rsidRPr="00CC28EC">
        <w:rPr>
          <w:sz w:val="24"/>
          <w:szCs w:val="24"/>
        </w:rPr>
        <w:t xml:space="preserve"> </w:t>
      </w:r>
      <w:proofErr w:type="spellStart"/>
      <w:r w:rsidR="00336AB6" w:rsidRPr="00CC28EC">
        <w:rPr>
          <w:sz w:val="24"/>
          <w:szCs w:val="24"/>
        </w:rPr>
        <w:t>noi</w:t>
      </w:r>
      <w:proofErr w:type="spellEnd"/>
      <w:r w:rsidR="00336AB6" w:rsidRPr="00CC28EC">
        <w:rPr>
          <w:sz w:val="24"/>
          <w:szCs w:val="24"/>
        </w:rPr>
        <w:t xml:space="preserve"> </w:t>
      </w:r>
      <w:proofErr w:type="spellStart"/>
      <w:r w:rsidR="00AD42F3" w:rsidRPr="00CC28EC">
        <w:rPr>
          <w:sz w:val="24"/>
          <w:szCs w:val="24"/>
        </w:rPr>
        <w:t>ce</w:t>
      </w:r>
      <w:proofErr w:type="spellEnd"/>
      <w:r w:rsidR="00AD42F3" w:rsidRPr="00CC28EC">
        <w:rPr>
          <w:sz w:val="24"/>
          <w:szCs w:val="24"/>
        </w:rPr>
        <w:t xml:space="preserve"> sunt generate</w:t>
      </w:r>
      <w:r w:rsidR="00336AB6" w:rsidRPr="00CC28EC">
        <w:rPr>
          <w:sz w:val="24"/>
          <w:szCs w:val="24"/>
        </w:rPr>
        <w:t xml:space="preserve"> cu </w:t>
      </w:r>
      <w:proofErr w:type="spellStart"/>
      <w:r w:rsidR="00336AB6" w:rsidRPr="00CC28EC">
        <w:rPr>
          <w:sz w:val="24"/>
          <w:szCs w:val="24"/>
        </w:rPr>
        <w:t>această</w:t>
      </w:r>
      <w:proofErr w:type="spellEnd"/>
      <w:r w:rsidR="00336AB6" w:rsidRPr="00CC28EC">
        <w:rPr>
          <w:sz w:val="24"/>
          <w:szCs w:val="24"/>
        </w:rPr>
        <w:t xml:space="preserve"> </w:t>
      </w:r>
      <w:proofErr w:type="spellStart"/>
      <w:r w:rsidR="00336AB6" w:rsidRPr="00CC28EC">
        <w:rPr>
          <w:sz w:val="24"/>
          <w:szCs w:val="24"/>
        </w:rPr>
        <w:t>ocazie</w:t>
      </w:r>
      <w:proofErr w:type="spellEnd"/>
      <w:r w:rsidR="00AD42F3" w:rsidRPr="00CC28EC">
        <w:rPr>
          <w:sz w:val="24"/>
          <w:szCs w:val="24"/>
        </w:rPr>
        <w:t>.</w:t>
      </w:r>
      <w:r w:rsidR="00336AB6" w:rsidRPr="00CC28EC">
        <w:rPr>
          <w:sz w:val="24"/>
          <w:szCs w:val="24"/>
        </w:rPr>
        <w:t xml:space="preserve"> </w:t>
      </w:r>
      <w:proofErr w:type="spellStart"/>
      <w:r w:rsidR="00336AB6" w:rsidRPr="00CC28EC">
        <w:rPr>
          <w:sz w:val="24"/>
          <w:szCs w:val="24"/>
        </w:rPr>
        <w:t>Teoreticienii</w:t>
      </w:r>
      <w:proofErr w:type="spellEnd"/>
      <w:r w:rsidR="00336AB6" w:rsidRPr="00CC28EC">
        <w:rPr>
          <w:sz w:val="24"/>
          <w:szCs w:val="24"/>
        </w:rPr>
        <w:t xml:space="preserve"> </w:t>
      </w:r>
      <w:proofErr w:type="spellStart"/>
      <w:r w:rsidR="00336AB6" w:rsidRPr="00CC28EC">
        <w:rPr>
          <w:sz w:val="24"/>
          <w:szCs w:val="24"/>
        </w:rPr>
        <w:t>keynesiști</w:t>
      </w:r>
      <w:proofErr w:type="spellEnd"/>
      <w:r w:rsidR="00336AB6" w:rsidRPr="00CC28EC">
        <w:rPr>
          <w:sz w:val="24"/>
          <w:szCs w:val="24"/>
        </w:rPr>
        <w:t xml:space="preserve"> </w:t>
      </w:r>
      <w:proofErr w:type="spellStart"/>
      <w:r w:rsidR="00EE1BD9" w:rsidRPr="00CC28EC">
        <w:rPr>
          <w:sz w:val="24"/>
          <w:szCs w:val="24"/>
        </w:rPr>
        <w:t>recunosc</w:t>
      </w:r>
      <w:proofErr w:type="spellEnd"/>
      <w:r w:rsidR="00336AB6" w:rsidRPr="00CC28EC">
        <w:rPr>
          <w:sz w:val="24"/>
          <w:szCs w:val="24"/>
        </w:rPr>
        <w:t xml:space="preserve"> </w:t>
      </w:r>
      <w:proofErr w:type="spellStart"/>
      <w:r w:rsidR="00336AB6" w:rsidRPr="00CC28EC">
        <w:rPr>
          <w:sz w:val="24"/>
          <w:szCs w:val="24"/>
        </w:rPr>
        <w:t>că</w:t>
      </w:r>
      <w:proofErr w:type="spellEnd"/>
      <w:r w:rsidR="00336AB6" w:rsidRPr="00CC28EC">
        <w:rPr>
          <w:sz w:val="24"/>
          <w:szCs w:val="24"/>
        </w:rPr>
        <w:t xml:space="preserve"> </w:t>
      </w:r>
      <w:proofErr w:type="spellStart"/>
      <w:r w:rsidR="00336AB6" w:rsidRPr="00CC28EC">
        <w:rPr>
          <w:sz w:val="24"/>
          <w:szCs w:val="24"/>
        </w:rPr>
        <w:t>prin</w:t>
      </w:r>
      <w:proofErr w:type="spellEnd"/>
      <w:r w:rsidR="00336AB6" w:rsidRPr="00CC28EC">
        <w:rPr>
          <w:sz w:val="24"/>
          <w:szCs w:val="24"/>
        </w:rPr>
        <w:t xml:space="preserve"> </w:t>
      </w:r>
      <w:proofErr w:type="spellStart"/>
      <w:r w:rsidR="00336AB6" w:rsidRPr="00CC28EC">
        <w:rPr>
          <w:sz w:val="24"/>
          <w:szCs w:val="24"/>
        </w:rPr>
        <w:t>îndatorare</w:t>
      </w:r>
      <w:proofErr w:type="spellEnd"/>
      <w:r w:rsidR="00336AB6" w:rsidRPr="00CC28EC">
        <w:rPr>
          <w:sz w:val="24"/>
          <w:szCs w:val="24"/>
        </w:rPr>
        <w:t xml:space="preserve"> </w:t>
      </w:r>
      <w:proofErr w:type="spellStart"/>
      <w:r w:rsidR="00336AB6" w:rsidRPr="00CC28EC">
        <w:rPr>
          <w:sz w:val="24"/>
          <w:szCs w:val="24"/>
        </w:rPr>
        <w:t>publică</w:t>
      </w:r>
      <w:proofErr w:type="spellEnd"/>
      <w:r w:rsidR="00336AB6" w:rsidRPr="00CC28EC">
        <w:rPr>
          <w:sz w:val="24"/>
          <w:szCs w:val="24"/>
        </w:rPr>
        <w:t xml:space="preserve"> se </w:t>
      </w:r>
      <w:proofErr w:type="spellStart"/>
      <w:r w:rsidR="00336AB6" w:rsidRPr="00CC28EC">
        <w:rPr>
          <w:sz w:val="24"/>
          <w:szCs w:val="24"/>
        </w:rPr>
        <w:t>retrage</w:t>
      </w:r>
      <w:proofErr w:type="spellEnd"/>
      <w:r w:rsidR="00336AB6" w:rsidRPr="00CC28EC">
        <w:rPr>
          <w:sz w:val="24"/>
          <w:szCs w:val="24"/>
        </w:rPr>
        <w:t xml:space="preserve"> </w:t>
      </w:r>
      <w:proofErr w:type="spellStart"/>
      <w:r w:rsidR="00336AB6" w:rsidRPr="00CC28EC">
        <w:rPr>
          <w:sz w:val="24"/>
          <w:szCs w:val="24"/>
        </w:rPr>
        <w:t>numerar</w:t>
      </w:r>
      <w:proofErr w:type="spellEnd"/>
      <w:r w:rsidR="00336AB6" w:rsidRPr="00CC28EC">
        <w:rPr>
          <w:sz w:val="24"/>
          <w:szCs w:val="24"/>
        </w:rPr>
        <w:t xml:space="preserve"> de la </w:t>
      </w:r>
      <w:proofErr w:type="spellStart"/>
      <w:r w:rsidR="00336AB6" w:rsidRPr="00CC28EC">
        <w:rPr>
          <w:sz w:val="24"/>
          <w:szCs w:val="24"/>
        </w:rPr>
        <w:t>investitorii</w:t>
      </w:r>
      <w:proofErr w:type="spellEnd"/>
      <w:r w:rsidR="00336AB6" w:rsidRPr="00CC28EC">
        <w:rPr>
          <w:sz w:val="24"/>
          <w:szCs w:val="24"/>
        </w:rPr>
        <w:t xml:space="preserve"> </w:t>
      </w:r>
      <w:proofErr w:type="spellStart"/>
      <w:r w:rsidR="00336AB6" w:rsidRPr="00CC28EC">
        <w:rPr>
          <w:sz w:val="24"/>
          <w:szCs w:val="24"/>
        </w:rPr>
        <w:t>privați</w:t>
      </w:r>
      <w:proofErr w:type="spellEnd"/>
      <w:r w:rsidR="00336AB6" w:rsidRPr="00CC28EC">
        <w:rPr>
          <w:sz w:val="24"/>
          <w:szCs w:val="24"/>
        </w:rPr>
        <w:t xml:space="preserve">, </w:t>
      </w:r>
      <w:proofErr w:type="spellStart"/>
      <w:r w:rsidR="00336AB6" w:rsidRPr="00CC28EC">
        <w:rPr>
          <w:sz w:val="24"/>
          <w:szCs w:val="24"/>
        </w:rPr>
        <w:t>însă</w:t>
      </w:r>
      <w:proofErr w:type="spellEnd"/>
      <w:r w:rsidR="00336AB6" w:rsidRPr="00CC28EC">
        <w:rPr>
          <w:sz w:val="24"/>
          <w:szCs w:val="24"/>
        </w:rPr>
        <w:t xml:space="preserve"> nu </w:t>
      </w:r>
      <w:proofErr w:type="spellStart"/>
      <w:r w:rsidR="00336AB6" w:rsidRPr="00CC28EC">
        <w:rPr>
          <w:sz w:val="24"/>
          <w:szCs w:val="24"/>
        </w:rPr>
        <w:t>există</w:t>
      </w:r>
      <w:proofErr w:type="spellEnd"/>
      <w:r w:rsidR="00336AB6" w:rsidRPr="00CC28EC">
        <w:rPr>
          <w:sz w:val="24"/>
          <w:szCs w:val="24"/>
        </w:rPr>
        <w:t xml:space="preserve"> impact </w:t>
      </w:r>
      <w:proofErr w:type="spellStart"/>
      <w:r w:rsidR="00336AB6" w:rsidRPr="00CC28EC">
        <w:rPr>
          <w:sz w:val="24"/>
          <w:szCs w:val="24"/>
        </w:rPr>
        <w:t>asupra</w:t>
      </w:r>
      <w:proofErr w:type="spellEnd"/>
      <w:r w:rsidR="00336AB6" w:rsidRPr="00CC28EC">
        <w:rPr>
          <w:sz w:val="24"/>
          <w:szCs w:val="24"/>
        </w:rPr>
        <w:t xml:space="preserve"> </w:t>
      </w:r>
      <w:proofErr w:type="spellStart"/>
      <w:r w:rsidR="00336AB6" w:rsidRPr="00CC28EC">
        <w:rPr>
          <w:sz w:val="24"/>
          <w:szCs w:val="24"/>
        </w:rPr>
        <w:t>consumului</w:t>
      </w:r>
      <w:proofErr w:type="spellEnd"/>
      <w:r w:rsidR="00336AB6" w:rsidRPr="00CC28EC">
        <w:rPr>
          <w:sz w:val="24"/>
          <w:szCs w:val="24"/>
        </w:rPr>
        <w:t xml:space="preserve"> </w:t>
      </w:r>
      <w:proofErr w:type="spellStart"/>
      <w:r w:rsidR="00336AB6" w:rsidRPr="00CC28EC">
        <w:rPr>
          <w:sz w:val="24"/>
          <w:szCs w:val="24"/>
        </w:rPr>
        <w:t>deoarece</w:t>
      </w:r>
      <w:proofErr w:type="spellEnd"/>
      <w:r w:rsidR="00336AB6" w:rsidRPr="00CC28EC">
        <w:rPr>
          <w:sz w:val="24"/>
          <w:szCs w:val="24"/>
        </w:rPr>
        <w:t xml:space="preserve"> </w:t>
      </w:r>
      <w:proofErr w:type="spellStart"/>
      <w:r w:rsidR="00336AB6" w:rsidRPr="00CC28EC">
        <w:rPr>
          <w:sz w:val="24"/>
          <w:szCs w:val="24"/>
        </w:rPr>
        <w:t>fondurile</w:t>
      </w:r>
      <w:proofErr w:type="spellEnd"/>
      <w:r w:rsidR="00336AB6" w:rsidRPr="00CC28EC">
        <w:rPr>
          <w:sz w:val="24"/>
          <w:szCs w:val="24"/>
        </w:rPr>
        <w:t xml:space="preserve"> de </w:t>
      </w:r>
      <w:proofErr w:type="spellStart"/>
      <w:r w:rsidR="00336AB6" w:rsidRPr="00CC28EC">
        <w:rPr>
          <w:sz w:val="24"/>
          <w:szCs w:val="24"/>
        </w:rPr>
        <w:t>împrumut</w:t>
      </w:r>
      <w:proofErr w:type="spellEnd"/>
      <w:r w:rsidR="00336AB6" w:rsidRPr="00CC28EC">
        <w:rPr>
          <w:sz w:val="24"/>
          <w:szCs w:val="24"/>
        </w:rPr>
        <w:t xml:space="preserve"> sunt injectate din </w:t>
      </w:r>
      <w:proofErr w:type="spellStart"/>
      <w:r w:rsidR="00336AB6" w:rsidRPr="00CC28EC">
        <w:rPr>
          <w:sz w:val="24"/>
          <w:szCs w:val="24"/>
        </w:rPr>
        <w:t>nou</w:t>
      </w:r>
      <w:proofErr w:type="spellEnd"/>
      <w:r w:rsidR="00336AB6" w:rsidRPr="00CC28EC">
        <w:rPr>
          <w:sz w:val="24"/>
          <w:szCs w:val="24"/>
        </w:rPr>
        <w:t xml:space="preserve"> </w:t>
      </w:r>
      <w:proofErr w:type="spellStart"/>
      <w:r w:rsidR="00336AB6" w:rsidRPr="00CC28EC">
        <w:rPr>
          <w:sz w:val="24"/>
          <w:szCs w:val="24"/>
        </w:rPr>
        <w:t>în</w:t>
      </w:r>
      <w:proofErr w:type="spellEnd"/>
      <w:r w:rsidR="00336AB6" w:rsidRPr="00CC28EC">
        <w:rPr>
          <w:sz w:val="24"/>
          <w:szCs w:val="24"/>
        </w:rPr>
        <w:t xml:space="preserve"> </w:t>
      </w:r>
      <w:proofErr w:type="spellStart"/>
      <w:r w:rsidR="00336AB6" w:rsidRPr="00CC28EC">
        <w:rPr>
          <w:sz w:val="24"/>
          <w:szCs w:val="24"/>
        </w:rPr>
        <w:t>economie</w:t>
      </w:r>
      <w:proofErr w:type="spellEnd"/>
      <w:r w:rsidR="00336AB6" w:rsidRPr="00CC28EC">
        <w:rPr>
          <w:sz w:val="24"/>
          <w:szCs w:val="24"/>
        </w:rPr>
        <w:t xml:space="preserve">, </w:t>
      </w:r>
      <w:proofErr w:type="spellStart"/>
      <w:r w:rsidR="00336AB6" w:rsidRPr="00CC28EC">
        <w:rPr>
          <w:sz w:val="24"/>
          <w:szCs w:val="24"/>
        </w:rPr>
        <w:t>lucru</w:t>
      </w:r>
      <w:proofErr w:type="spellEnd"/>
      <w:r w:rsidR="00336AB6" w:rsidRPr="00CC28EC">
        <w:rPr>
          <w:sz w:val="24"/>
          <w:szCs w:val="24"/>
        </w:rPr>
        <w:t xml:space="preserve"> care face </w:t>
      </w:r>
      <w:proofErr w:type="spellStart"/>
      <w:r w:rsidR="00336AB6" w:rsidRPr="00CC28EC">
        <w:rPr>
          <w:sz w:val="24"/>
          <w:szCs w:val="24"/>
        </w:rPr>
        <w:t>posibilă</w:t>
      </w:r>
      <w:proofErr w:type="spellEnd"/>
      <w:r w:rsidR="00336AB6" w:rsidRPr="00CC28EC">
        <w:rPr>
          <w:sz w:val="24"/>
          <w:szCs w:val="24"/>
        </w:rPr>
        <w:t xml:space="preserve"> </w:t>
      </w:r>
      <w:proofErr w:type="spellStart"/>
      <w:r w:rsidR="00336AB6" w:rsidRPr="00CC28EC">
        <w:rPr>
          <w:sz w:val="24"/>
          <w:szCs w:val="24"/>
        </w:rPr>
        <w:t>creșterea</w:t>
      </w:r>
      <w:proofErr w:type="spellEnd"/>
      <w:r w:rsidR="00336AB6" w:rsidRPr="00CC28EC">
        <w:rPr>
          <w:sz w:val="24"/>
          <w:szCs w:val="24"/>
        </w:rPr>
        <w:t xml:space="preserve"> </w:t>
      </w:r>
      <w:proofErr w:type="spellStart"/>
      <w:r w:rsidR="00336AB6" w:rsidRPr="00CC28EC">
        <w:rPr>
          <w:sz w:val="24"/>
          <w:szCs w:val="24"/>
        </w:rPr>
        <w:t>cererii</w:t>
      </w:r>
      <w:proofErr w:type="spellEnd"/>
      <w:r w:rsidR="00336AB6" w:rsidRPr="00CC28EC">
        <w:rPr>
          <w:sz w:val="24"/>
          <w:szCs w:val="24"/>
        </w:rPr>
        <w:t xml:space="preserve"> </w:t>
      </w:r>
      <w:proofErr w:type="spellStart"/>
      <w:r w:rsidR="00336AB6" w:rsidRPr="00CC28EC">
        <w:rPr>
          <w:sz w:val="24"/>
          <w:szCs w:val="24"/>
        </w:rPr>
        <w:t>generale</w:t>
      </w:r>
      <w:proofErr w:type="spellEnd"/>
      <w:r w:rsidR="00336AB6" w:rsidRPr="00CC28EC">
        <w:rPr>
          <w:sz w:val="24"/>
          <w:szCs w:val="24"/>
        </w:rPr>
        <w:t>.</w:t>
      </w:r>
      <w:r w:rsidR="0041323D" w:rsidRPr="00CC28EC">
        <w:rPr>
          <w:sz w:val="24"/>
          <w:szCs w:val="24"/>
        </w:rPr>
        <w:t xml:space="preserve"> De </w:t>
      </w:r>
      <w:proofErr w:type="spellStart"/>
      <w:r w:rsidR="0041323D" w:rsidRPr="00CC28EC">
        <w:rPr>
          <w:sz w:val="24"/>
          <w:szCs w:val="24"/>
        </w:rPr>
        <w:t>aceea</w:t>
      </w:r>
      <w:proofErr w:type="spellEnd"/>
      <w:r w:rsidR="0041323D" w:rsidRPr="00CC28EC">
        <w:rPr>
          <w:sz w:val="24"/>
          <w:szCs w:val="24"/>
        </w:rPr>
        <w:t xml:space="preserve">, </w:t>
      </w:r>
      <w:proofErr w:type="spellStart"/>
      <w:r w:rsidR="0041323D" w:rsidRPr="00CC28EC">
        <w:rPr>
          <w:sz w:val="24"/>
          <w:szCs w:val="24"/>
        </w:rPr>
        <w:t>adepții</w:t>
      </w:r>
      <w:proofErr w:type="spellEnd"/>
      <w:r w:rsidR="0041323D" w:rsidRPr="00CC28EC">
        <w:rPr>
          <w:sz w:val="24"/>
          <w:szCs w:val="24"/>
        </w:rPr>
        <w:t xml:space="preserve"> </w:t>
      </w:r>
      <w:proofErr w:type="spellStart"/>
      <w:r w:rsidR="0041323D" w:rsidRPr="00CC28EC">
        <w:rPr>
          <w:sz w:val="24"/>
          <w:szCs w:val="24"/>
        </w:rPr>
        <w:t>acestei</w:t>
      </w:r>
      <w:proofErr w:type="spellEnd"/>
      <w:r w:rsidR="0041323D" w:rsidRPr="00CC28EC">
        <w:rPr>
          <w:sz w:val="24"/>
          <w:szCs w:val="24"/>
        </w:rPr>
        <w:t xml:space="preserve"> </w:t>
      </w:r>
      <w:proofErr w:type="spellStart"/>
      <w:r w:rsidR="0041323D" w:rsidRPr="00CC28EC">
        <w:rPr>
          <w:sz w:val="24"/>
          <w:szCs w:val="24"/>
        </w:rPr>
        <w:t>teorii</w:t>
      </w:r>
      <w:proofErr w:type="spellEnd"/>
      <w:r w:rsidR="0041323D" w:rsidRPr="00CC28EC">
        <w:rPr>
          <w:sz w:val="24"/>
          <w:szCs w:val="24"/>
        </w:rPr>
        <w:t xml:space="preserve"> sunt de </w:t>
      </w:r>
      <w:proofErr w:type="spellStart"/>
      <w:r w:rsidR="0041323D" w:rsidRPr="00CC28EC">
        <w:rPr>
          <w:sz w:val="24"/>
          <w:szCs w:val="24"/>
        </w:rPr>
        <w:t>părere</w:t>
      </w:r>
      <w:proofErr w:type="spellEnd"/>
      <w:r w:rsidR="0041323D" w:rsidRPr="00CC28EC">
        <w:rPr>
          <w:sz w:val="24"/>
          <w:szCs w:val="24"/>
        </w:rPr>
        <w:t xml:space="preserve"> </w:t>
      </w:r>
      <w:proofErr w:type="spellStart"/>
      <w:r w:rsidR="0041323D" w:rsidRPr="00CC28EC">
        <w:rPr>
          <w:sz w:val="24"/>
          <w:szCs w:val="24"/>
        </w:rPr>
        <w:t>că</w:t>
      </w:r>
      <w:proofErr w:type="spellEnd"/>
      <w:r w:rsidR="0041323D" w:rsidRPr="00CC28EC">
        <w:rPr>
          <w:sz w:val="24"/>
          <w:szCs w:val="24"/>
        </w:rPr>
        <w:t xml:space="preserve"> </w:t>
      </w:r>
      <w:proofErr w:type="spellStart"/>
      <w:r w:rsidR="0041323D" w:rsidRPr="00CC28EC">
        <w:rPr>
          <w:sz w:val="24"/>
          <w:szCs w:val="24"/>
        </w:rPr>
        <w:t>pentru</w:t>
      </w:r>
      <w:proofErr w:type="spellEnd"/>
      <w:r w:rsidR="0041323D" w:rsidRPr="00CC28EC">
        <w:rPr>
          <w:sz w:val="24"/>
          <w:szCs w:val="24"/>
        </w:rPr>
        <w:t xml:space="preserve"> </w:t>
      </w:r>
      <w:proofErr w:type="spellStart"/>
      <w:r w:rsidR="0041323D" w:rsidRPr="00CC28EC">
        <w:rPr>
          <w:sz w:val="24"/>
          <w:szCs w:val="24"/>
        </w:rPr>
        <w:t>sporirea</w:t>
      </w:r>
      <w:proofErr w:type="spellEnd"/>
      <w:r w:rsidR="0041323D" w:rsidRPr="00CC28EC">
        <w:rPr>
          <w:sz w:val="24"/>
          <w:szCs w:val="24"/>
        </w:rPr>
        <w:t xml:space="preserve"> </w:t>
      </w:r>
      <w:proofErr w:type="spellStart"/>
      <w:r w:rsidR="0041323D" w:rsidRPr="00CC28EC">
        <w:rPr>
          <w:sz w:val="24"/>
          <w:szCs w:val="24"/>
        </w:rPr>
        <w:t>cererii</w:t>
      </w:r>
      <w:proofErr w:type="spellEnd"/>
      <w:r w:rsidR="0041323D" w:rsidRPr="00CC28EC">
        <w:rPr>
          <w:sz w:val="24"/>
          <w:szCs w:val="24"/>
        </w:rPr>
        <w:t xml:space="preserve"> </w:t>
      </w:r>
      <w:proofErr w:type="spellStart"/>
      <w:r w:rsidR="0041323D" w:rsidRPr="00CC28EC">
        <w:rPr>
          <w:sz w:val="24"/>
          <w:szCs w:val="24"/>
        </w:rPr>
        <w:t>agregate</w:t>
      </w:r>
      <w:proofErr w:type="spellEnd"/>
      <w:r w:rsidR="0041323D" w:rsidRPr="00CC28EC">
        <w:rPr>
          <w:sz w:val="24"/>
          <w:szCs w:val="24"/>
        </w:rPr>
        <w:t xml:space="preserve">, </w:t>
      </w:r>
      <w:proofErr w:type="spellStart"/>
      <w:r w:rsidR="0041323D" w:rsidRPr="00CC28EC">
        <w:rPr>
          <w:sz w:val="24"/>
          <w:szCs w:val="24"/>
        </w:rPr>
        <w:t>reducerea</w:t>
      </w:r>
      <w:proofErr w:type="spellEnd"/>
      <w:r w:rsidR="0041323D" w:rsidRPr="00CC28EC">
        <w:rPr>
          <w:sz w:val="24"/>
          <w:szCs w:val="24"/>
        </w:rPr>
        <w:t xml:space="preserve"> </w:t>
      </w:r>
      <w:proofErr w:type="spellStart"/>
      <w:r w:rsidR="0041323D" w:rsidRPr="00CC28EC">
        <w:rPr>
          <w:sz w:val="24"/>
          <w:szCs w:val="24"/>
        </w:rPr>
        <w:t>șomajului</w:t>
      </w:r>
      <w:proofErr w:type="spellEnd"/>
      <w:r w:rsidR="00EE1BD9" w:rsidRPr="00CC28EC">
        <w:rPr>
          <w:sz w:val="24"/>
          <w:szCs w:val="24"/>
        </w:rPr>
        <w:t xml:space="preserve"> </w:t>
      </w:r>
      <w:proofErr w:type="spellStart"/>
      <w:r w:rsidR="0041323D" w:rsidRPr="00CC28EC">
        <w:rPr>
          <w:sz w:val="24"/>
          <w:szCs w:val="24"/>
        </w:rPr>
        <w:t>sau</w:t>
      </w:r>
      <w:proofErr w:type="spellEnd"/>
      <w:r w:rsidR="0041323D" w:rsidRPr="00CC28EC">
        <w:rPr>
          <w:sz w:val="24"/>
          <w:szCs w:val="24"/>
        </w:rPr>
        <w:t xml:space="preserve"> </w:t>
      </w:r>
      <w:proofErr w:type="spellStart"/>
      <w:r w:rsidR="0041323D" w:rsidRPr="00CC28EC">
        <w:rPr>
          <w:sz w:val="24"/>
          <w:szCs w:val="24"/>
        </w:rPr>
        <w:t>creșterea</w:t>
      </w:r>
      <w:proofErr w:type="spellEnd"/>
      <w:r w:rsidR="0041323D" w:rsidRPr="00CC28EC">
        <w:rPr>
          <w:sz w:val="24"/>
          <w:szCs w:val="24"/>
        </w:rPr>
        <w:t xml:space="preserve"> </w:t>
      </w:r>
      <w:proofErr w:type="spellStart"/>
      <w:r w:rsidR="0041323D" w:rsidRPr="00CC28EC">
        <w:rPr>
          <w:sz w:val="24"/>
          <w:szCs w:val="24"/>
        </w:rPr>
        <w:t>producției</w:t>
      </w:r>
      <w:proofErr w:type="spellEnd"/>
      <w:r w:rsidR="0041323D" w:rsidRPr="00CC28EC">
        <w:rPr>
          <w:sz w:val="24"/>
          <w:szCs w:val="24"/>
        </w:rPr>
        <w:t xml:space="preserve">, </w:t>
      </w:r>
      <w:proofErr w:type="spellStart"/>
      <w:r w:rsidR="0041323D" w:rsidRPr="00CC28EC">
        <w:rPr>
          <w:sz w:val="24"/>
          <w:szCs w:val="24"/>
        </w:rPr>
        <w:t>cel</w:t>
      </w:r>
      <w:proofErr w:type="spellEnd"/>
      <w:r w:rsidR="0041323D" w:rsidRPr="00CC28EC">
        <w:rPr>
          <w:sz w:val="24"/>
          <w:szCs w:val="24"/>
        </w:rPr>
        <w:t xml:space="preserve"> </w:t>
      </w:r>
      <w:proofErr w:type="spellStart"/>
      <w:r w:rsidR="0041323D" w:rsidRPr="00CC28EC">
        <w:rPr>
          <w:sz w:val="24"/>
          <w:szCs w:val="24"/>
        </w:rPr>
        <w:t>mai</w:t>
      </w:r>
      <w:proofErr w:type="spellEnd"/>
      <w:r w:rsidR="0041323D" w:rsidRPr="00CC28EC">
        <w:rPr>
          <w:sz w:val="24"/>
          <w:szCs w:val="24"/>
        </w:rPr>
        <w:t xml:space="preserve"> bun mod </w:t>
      </w:r>
      <w:proofErr w:type="spellStart"/>
      <w:r w:rsidR="0041323D" w:rsidRPr="00CC28EC">
        <w:rPr>
          <w:sz w:val="24"/>
          <w:szCs w:val="24"/>
        </w:rPr>
        <w:t>este</w:t>
      </w:r>
      <w:proofErr w:type="spellEnd"/>
      <w:r w:rsidR="0041323D" w:rsidRPr="00CC28EC">
        <w:rPr>
          <w:sz w:val="24"/>
          <w:szCs w:val="24"/>
        </w:rPr>
        <w:t xml:space="preserve"> </w:t>
      </w:r>
      <w:proofErr w:type="spellStart"/>
      <w:r w:rsidR="0041323D" w:rsidRPr="00CC28EC">
        <w:rPr>
          <w:sz w:val="24"/>
          <w:szCs w:val="24"/>
        </w:rPr>
        <w:t>folosirea</w:t>
      </w:r>
      <w:proofErr w:type="spellEnd"/>
      <w:r w:rsidR="0041323D" w:rsidRPr="00CC28EC">
        <w:rPr>
          <w:sz w:val="24"/>
          <w:szCs w:val="24"/>
        </w:rPr>
        <w:t xml:space="preserve"> ca instrument de </w:t>
      </w:r>
      <w:proofErr w:type="spellStart"/>
      <w:r w:rsidR="0041323D" w:rsidRPr="00CC28EC">
        <w:rPr>
          <w:sz w:val="24"/>
          <w:szCs w:val="24"/>
        </w:rPr>
        <w:t>politică</w:t>
      </w:r>
      <w:proofErr w:type="spellEnd"/>
      <w:r w:rsidR="0041323D" w:rsidRPr="00CC28EC">
        <w:rPr>
          <w:sz w:val="24"/>
          <w:szCs w:val="24"/>
        </w:rPr>
        <w:t xml:space="preserve"> a </w:t>
      </w:r>
      <w:proofErr w:type="spellStart"/>
      <w:r w:rsidR="0041323D" w:rsidRPr="00CC28EC">
        <w:rPr>
          <w:sz w:val="24"/>
          <w:szCs w:val="24"/>
        </w:rPr>
        <w:t>statului</w:t>
      </w:r>
      <w:proofErr w:type="spellEnd"/>
      <w:r w:rsidR="0041323D" w:rsidRPr="00CC28EC">
        <w:rPr>
          <w:sz w:val="24"/>
          <w:szCs w:val="24"/>
        </w:rPr>
        <w:t xml:space="preserve"> a </w:t>
      </w:r>
      <w:proofErr w:type="spellStart"/>
      <w:r w:rsidR="0041323D" w:rsidRPr="00CC28EC">
        <w:rPr>
          <w:sz w:val="24"/>
          <w:szCs w:val="24"/>
        </w:rPr>
        <w:t>împrumuturilor</w:t>
      </w:r>
      <w:proofErr w:type="spellEnd"/>
      <w:r w:rsidR="0041323D" w:rsidRPr="00CC28EC">
        <w:rPr>
          <w:sz w:val="24"/>
          <w:szCs w:val="24"/>
        </w:rPr>
        <w:t>.</w:t>
      </w:r>
      <w:r w:rsidR="00C7195A" w:rsidRPr="00CC28EC">
        <w:rPr>
          <w:sz w:val="24"/>
          <w:szCs w:val="24"/>
        </w:rPr>
        <w:t xml:space="preserve"> </w:t>
      </w:r>
      <w:proofErr w:type="spellStart"/>
      <w:r w:rsidR="00EE1BD9" w:rsidRPr="00CC28EC">
        <w:rPr>
          <w:sz w:val="24"/>
          <w:szCs w:val="24"/>
        </w:rPr>
        <w:t>Ace</w:t>
      </w:r>
      <w:r w:rsidR="00C7195A" w:rsidRPr="00CC28EC">
        <w:rPr>
          <w:sz w:val="24"/>
          <w:szCs w:val="24"/>
        </w:rPr>
        <w:t>a</w:t>
      </w:r>
      <w:r w:rsidR="00EE1BD9" w:rsidRPr="00CC28EC">
        <w:rPr>
          <w:sz w:val="24"/>
          <w:szCs w:val="24"/>
        </w:rPr>
        <w:t>stă</w:t>
      </w:r>
      <w:proofErr w:type="spellEnd"/>
      <w:r w:rsidR="00EE1BD9" w:rsidRPr="00CC28EC">
        <w:rPr>
          <w:sz w:val="24"/>
          <w:szCs w:val="24"/>
        </w:rPr>
        <w:t xml:space="preserve"> </w:t>
      </w:r>
      <w:proofErr w:type="spellStart"/>
      <w:r w:rsidR="00EE1BD9" w:rsidRPr="00CC28EC">
        <w:rPr>
          <w:sz w:val="24"/>
          <w:szCs w:val="24"/>
        </w:rPr>
        <w:t>teorie</w:t>
      </w:r>
      <w:proofErr w:type="spellEnd"/>
      <w:r w:rsidR="00EE1BD9" w:rsidRPr="00CC28EC">
        <w:rPr>
          <w:sz w:val="24"/>
          <w:szCs w:val="24"/>
        </w:rPr>
        <w:t xml:space="preserve"> a </w:t>
      </w:r>
      <w:proofErr w:type="spellStart"/>
      <w:r w:rsidR="00EE1BD9" w:rsidRPr="00CC28EC">
        <w:rPr>
          <w:sz w:val="24"/>
          <w:szCs w:val="24"/>
        </w:rPr>
        <w:t>constituit</w:t>
      </w:r>
      <w:proofErr w:type="spellEnd"/>
      <w:r w:rsidR="00EE1BD9" w:rsidRPr="00CC28EC">
        <w:rPr>
          <w:sz w:val="24"/>
          <w:szCs w:val="24"/>
        </w:rPr>
        <w:t xml:space="preserve"> </w:t>
      </w:r>
      <w:proofErr w:type="spellStart"/>
      <w:r w:rsidR="00EE1BD9" w:rsidRPr="00CC28EC">
        <w:rPr>
          <w:sz w:val="24"/>
          <w:szCs w:val="24"/>
        </w:rPr>
        <w:t>baza</w:t>
      </w:r>
      <w:proofErr w:type="spellEnd"/>
      <w:r w:rsidR="00EE1BD9" w:rsidRPr="00CC28EC">
        <w:rPr>
          <w:sz w:val="24"/>
          <w:szCs w:val="24"/>
        </w:rPr>
        <w:t xml:space="preserve"> </w:t>
      </w:r>
      <w:proofErr w:type="spellStart"/>
      <w:r w:rsidR="00EE1BD9" w:rsidRPr="00CC28EC">
        <w:rPr>
          <w:sz w:val="24"/>
          <w:szCs w:val="24"/>
        </w:rPr>
        <w:t>teoretică</w:t>
      </w:r>
      <w:proofErr w:type="spellEnd"/>
      <w:r w:rsidR="00EE1BD9" w:rsidRPr="00CC28EC">
        <w:rPr>
          <w:sz w:val="24"/>
          <w:szCs w:val="24"/>
        </w:rPr>
        <w:t xml:space="preserve"> a </w:t>
      </w:r>
      <w:proofErr w:type="spellStart"/>
      <w:r w:rsidR="00EE1BD9" w:rsidRPr="00CC28EC">
        <w:rPr>
          <w:sz w:val="24"/>
          <w:szCs w:val="24"/>
        </w:rPr>
        <w:t>îndatorării</w:t>
      </w:r>
      <w:proofErr w:type="spellEnd"/>
      <w:r w:rsidR="00EE1BD9" w:rsidRPr="00CC28EC">
        <w:rPr>
          <w:sz w:val="24"/>
          <w:szCs w:val="24"/>
        </w:rPr>
        <w:t xml:space="preserve"> continue a </w:t>
      </w:r>
      <w:proofErr w:type="spellStart"/>
      <w:r w:rsidR="00EE1BD9" w:rsidRPr="00CC28EC">
        <w:rPr>
          <w:sz w:val="24"/>
          <w:szCs w:val="24"/>
        </w:rPr>
        <w:t>statele</w:t>
      </w:r>
      <w:proofErr w:type="spellEnd"/>
      <w:r w:rsidR="00EE1BD9" w:rsidRPr="00CC28EC">
        <w:rPr>
          <w:sz w:val="24"/>
          <w:szCs w:val="24"/>
        </w:rPr>
        <w:t xml:space="preserve"> </w:t>
      </w:r>
      <w:proofErr w:type="spellStart"/>
      <w:r w:rsidR="00EE1BD9" w:rsidRPr="00CC28EC">
        <w:rPr>
          <w:sz w:val="24"/>
          <w:szCs w:val="24"/>
        </w:rPr>
        <w:t>lumii</w:t>
      </w:r>
      <w:proofErr w:type="spellEnd"/>
      <w:r w:rsidR="00EE1BD9" w:rsidRPr="00CC28EC">
        <w:rPr>
          <w:sz w:val="24"/>
          <w:szCs w:val="24"/>
        </w:rPr>
        <w:t xml:space="preserve">, de la </w:t>
      </w:r>
      <w:proofErr w:type="spellStart"/>
      <w:r w:rsidR="00EE1BD9" w:rsidRPr="00CC28EC">
        <w:rPr>
          <w:sz w:val="24"/>
          <w:szCs w:val="24"/>
        </w:rPr>
        <w:t>lansare</w:t>
      </w:r>
      <w:proofErr w:type="spellEnd"/>
      <w:r w:rsidR="00EE1BD9" w:rsidRPr="00CC28EC">
        <w:rPr>
          <w:sz w:val="24"/>
          <w:szCs w:val="24"/>
        </w:rPr>
        <w:t xml:space="preserve"> </w:t>
      </w:r>
      <w:proofErr w:type="spellStart"/>
      <w:r w:rsidR="00EE1BD9" w:rsidRPr="00CC28EC">
        <w:rPr>
          <w:sz w:val="24"/>
          <w:szCs w:val="24"/>
        </w:rPr>
        <w:t>până</w:t>
      </w:r>
      <w:proofErr w:type="spellEnd"/>
      <w:r w:rsidR="00EE1BD9" w:rsidRPr="00CC28EC">
        <w:rPr>
          <w:sz w:val="24"/>
          <w:szCs w:val="24"/>
        </w:rPr>
        <w:t xml:space="preserve"> </w:t>
      </w:r>
      <w:proofErr w:type="spellStart"/>
      <w:r w:rsidR="00EE1BD9" w:rsidRPr="00CC28EC">
        <w:rPr>
          <w:sz w:val="24"/>
          <w:szCs w:val="24"/>
        </w:rPr>
        <w:t>în</w:t>
      </w:r>
      <w:proofErr w:type="spellEnd"/>
      <w:r w:rsidR="00EE1BD9" w:rsidRPr="00CC28EC">
        <w:rPr>
          <w:sz w:val="24"/>
          <w:szCs w:val="24"/>
        </w:rPr>
        <w:t xml:space="preserve"> </w:t>
      </w:r>
      <w:proofErr w:type="spellStart"/>
      <w:r w:rsidR="00EE1BD9" w:rsidRPr="00CC28EC">
        <w:rPr>
          <w:sz w:val="24"/>
          <w:szCs w:val="24"/>
        </w:rPr>
        <w:t>prezent</w:t>
      </w:r>
      <w:proofErr w:type="spellEnd"/>
      <w:r w:rsidR="00EE1BD9" w:rsidRPr="00CC28EC">
        <w:rPr>
          <w:sz w:val="24"/>
          <w:szCs w:val="24"/>
        </w:rPr>
        <w:t>.</w:t>
      </w:r>
    </w:p>
    <w:p w14:paraId="3A23C0FB" w14:textId="624A2F25" w:rsidR="009C0BD2" w:rsidRPr="00CC28EC" w:rsidRDefault="009C0BD2" w:rsidP="00C7195A">
      <w:pPr>
        <w:tabs>
          <w:tab w:val="left" w:pos="360"/>
        </w:tabs>
        <w:jc w:val="both"/>
        <w:rPr>
          <w:sz w:val="24"/>
          <w:szCs w:val="24"/>
        </w:rPr>
      </w:pPr>
      <w:r w:rsidRPr="00CC28EC">
        <w:rPr>
          <w:b/>
          <w:bCs/>
          <w:sz w:val="24"/>
          <w:szCs w:val="24"/>
        </w:rPr>
        <w:tab/>
      </w:r>
      <w:r w:rsidRPr="00CC28EC">
        <w:rPr>
          <w:b/>
          <w:bCs/>
          <w:sz w:val="24"/>
          <w:szCs w:val="24"/>
        </w:rPr>
        <w:tab/>
      </w:r>
      <w:r w:rsidRPr="00CC28EC">
        <w:rPr>
          <w:sz w:val="24"/>
          <w:szCs w:val="24"/>
        </w:rPr>
        <w:t xml:space="preserve">Teoria </w:t>
      </w:r>
      <w:proofErr w:type="spellStart"/>
      <w:r w:rsidRPr="00CC28EC">
        <w:rPr>
          <w:sz w:val="24"/>
          <w:szCs w:val="24"/>
        </w:rPr>
        <w:t>echiv</w:t>
      </w:r>
      <w:r w:rsidR="00AB4A4D" w:rsidRPr="00CC28EC">
        <w:rPr>
          <w:sz w:val="24"/>
          <w:szCs w:val="24"/>
        </w:rPr>
        <w:t>ale</w:t>
      </w:r>
      <w:r w:rsidRPr="00CC28EC">
        <w:rPr>
          <w:sz w:val="24"/>
          <w:szCs w:val="24"/>
        </w:rPr>
        <w:t>nței</w:t>
      </w:r>
      <w:proofErr w:type="spellEnd"/>
      <w:r w:rsidR="00AB4A4D" w:rsidRPr="00CC28EC">
        <w:rPr>
          <w:sz w:val="24"/>
          <w:szCs w:val="24"/>
        </w:rPr>
        <w:t>,</w:t>
      </w:r>
      <w:r w:rsidR="00DF7ED8" w:rsidRPr="00CC28EC">
        <w:rPr>
          <w:sz w:val="24"/>
          <w:szCs w:val="24"/>
        </w:rPr>
        <w:t xml:space="preserve"> </w:t>
      </w:r>
      <w:proofErr w:type="spellStart"/>
      <w:r w:rsidR="00DF7ED8" w:rsidRPr="00CC28EC">
        <w:rPr>
          <w:sz w:val="24"/>
          <w:szCs w:val="24"/>
        </w:rPr>
        <w:t>prezentat</w:t>
      </w:r>
      <w:proofErr w:type="spellEnd"/>
      <w:r w:rsidR="00DF7ED8" w:rsidRPr="00CC28EC">
        <w:rPr>
          <w:sz w:val="24"/>
          <w:szCs w:val="24"/>
          <w:lang w:val="ro-RO"/>
        </w:rPr>
        <w:t>ă</w:t>
      </w:r>
      <w:r w:rsidRPr="00CC28EC">
        <w:rPr>
          <w:sz w:val="24"/>
          <w:szCs w:val="24"/>
        </w:rPr>
        <w:t xml:space="preserve"> de </w:t>
      </w:r>
      <w:proofErr w:type="spellStart"/>
      <w:r w:rsidRPr="00CC28EC">
        <w:rPr>
          <w:sz w:val="24"/>
          <w:szCs w:val="24"/>
        </w:rPr>
        <w:t>către</w:t>
      </w:r>
      <w:proofErr w:type="spellEnd"/>
      <w:r w:rsidRPr="00CC28EC">
        <w:rPr>
          <w:sz w:val="24"/>
          <w:szCs w:val="24"/>
        </w:rPr>
        <w:t xml:space="preserve"> David Ricardo</w:t>
      </w:r>
      <w:r w:rsidR="00C7195A" w:rsidRPr="00CC28EC">
        <w:rPr>
          <w:sz w:val="24"/>
          <w:szCs w:val="24"/>
        </w:rPr>
        <w:t xml:space="preserve"> </w:t>
      </w:r>
      <w:proofErr w:type="spellStart"/>
      <w:r w:rsidRPr="00CC28EC">
        <w:rPr>
          <w:sz w:val="24"/>
          <w:szCs w:val="24"/>
        </w:rPr>
        <w:t>susține</w:t>
      </w:r>
      <w:proofErr w:type="spellEnd"/>
      <w:r w:rsidRPr="00CC28EC">
        <w:rPr>
          <w:sz w:val="24"/>
          <w:szCs w:val="24"/>
        </w:rPr>
        <w:t xml:space="preserve"> </w:t>
      </w:r>
      <w:proofErr w:type="spellStart"/>
      <w:r w:rsidR="00C7195A" w:rsidRPr="00CC28EC">
        <w:rPr>
          <w:sz w:val="24"/>
          <w:szCs w:val="24"/>
        </w:rPr>
        <w:t>că</w:t>
      </w:r>
      <w:proofErr w:type="spellEnd"/>
      <w:r w:rsidR="00C7195A" w:rsidRPr="00CC28EC">
        <w:rPr>
          <w:sz w:val="24"/>
          <w:szCs w:val="24"/>
        </w:rPr>
        <w:t xml:space="preserve"> </w:t>
      </w:r>
      <w:proofErr w:type="spellStart"/>
      <w:r w:rsidR="00C7195A" w:rsidRPr="00CC28EC">
        <w:rPr>
          <w:sz w:val="24"/>
          <w:szCs w:val="24"/>
        </w:rPr>
        <w:t>datoriile</w:t>
      </w:r>
      <w:proofErr w:type="spellEnd"/>
      <w:r w:rsidR="00C7195A" w:rsidRPr="00CC28EC">
        <w:rPr>
          <w:sz w:val="24"/>
          <w:szCs w:val="24"/>
        </w:rPr>
        <w:t xml:space="preserve"> </w:t>
      </w:r>
      <w:proofErr w:type="spellStart"/>
      <w:r w:rsidR="00C7195A" w:rsidRPr="00CC28EC">
        <w:rPr>
          <w:sz w:val="24"/>
          <w:szCs w:val="24"/>
        </w:rPr>
        <w:t>publice</w:t>
      </w:r>
      <w:proofErr w:type="spellEnd"/>
      <w:r w:rsidR="00C7195A" w:rsidRPr="00CC28EC">
        <w:rPr>
          <w:sz w:val="24"/>
          <w:szCs w:val="24"/>
        </w:rPr>
        <w:t xml:space="preserve"> </w:t>
      </w:r>
      <w:proofErr w:type="spellStart"/>
      <w:r w:rsidR="00C7195A" w:rsidRPr="00CC28EC">
        <w:rPr>
          <w:sz w:val="24"/>
          <w:szCs w:val="24"/>
        </w:rPr>
        <w:t>au</w:t>
      </w:r>
      <w:proofErr w:type="spellEnd"/>
      <w:r w:rsidR="00C7195A" w:rsidRPr="00CC28EC">
        <w:rPr>
          <w:sz w:val="24"/>
          <w:szCs w:val="24"/>
        </w:rPr>
        <w:t xml:space="preserve"> un impact </w:t>
      </w:r>
      <w:proofErr w:type="spellStart"/>
      <w:r w:rsidR="00C7195A" w:rsidRPr="00CC28EC">
        <w:rPr>
          <w:sz w:val="24"/>
          <w:szCs w:val="24"/>
        </w:rPr>
        <w:t>neutru</w:t>
      </w:r>
      <w:proofErr w:type="spellEnd"/>
      <w:r w:rsidR="00C7195A" w:rsidRPr="00CC28EC">
        <w:rPr>
          <w:sz w:val="24"/>
          <w:szCs w:val="24"/>
        </w:rPr>
        <w:t xml:space="preserve"> </w:t>
      </w:r>
      <w:proofErr w:type="spellStart"/>
      <w:r w:rsidR="00C7195A" w:rsidRPr="00CC28EC">
        <w:rPr>
          <w:sz w:val="24"/>
          <w:szCs w:val="24"/>
        </w:rPr>
        <w:t>asupra</w:t>
      </w:r>
      <w:proofErr w:type="spellEnd"/>
      <w:r w:rsidR="00C7195A" w:rsidRPr="00CC28EC">
        <w:rPr>
          <w:sz w:val="24"/>
          <w:szCs w:val="24"/>
        </w:rPr>
        <w:t xml:space="preserve"> </w:t>
      </w:r>
      <w:proofErr w:type="spellStart"/>
      <w:r w:rsidR="00C7195A" w:rsidRPr="00CC28EC">
        <w:rPr>
          <w:sz w:val="24"/>
          <w:szCs w:val="24"/>
        </w:rPr>
        <w:t>creșterii</w:t>
      </w:r>
      <w:proofErr w:type="spellEnd"/>
      <w:r w:rsidR="00C7195A" w:rsidRPr="00CC28EC">
        <w:rPr>
          <w:sz w:val="24"/>
          <w:szCs w:val="24"/>
        </w:rPr>
        <w:t xml:space="preserve"> </w:t>
      </w:r>
      <w:proofErr w:type="spellStart"/>
      <w:r w:rsidR="00C7195A" w:rsidRPr="00CC28EC">
        <w:rPr>
          <w:sz w:val="24"/>
          <w:szCs w:val="24"/>
        </w:rPr>
        <w:t>economice</w:t>
      </w:r>
      <w:proofErr w:type="spellEnd"/>
      <w:r w:rsidR="00C7195A" w:rsidRPr="00CC28EC">
        <w:rPr>
          <w:sz w:val="24"/>
          <w:szCs w:val="24"/>
        </w:rPr>
        <w:t xml:space="preserve">. </w:t>
      </w:r>
      <w:r w:rsidR="00DF7ED8" w:rsidRPr="00CC28EC">
        <w:rPr>
          <w:sz w:val="24"/>
          <w:szCs w:val="24"/>
        </w:rPr>
        <w:t xml:space="preserve">(Ricardo,1951) </w:t>
      </w:r>
      <w:proofErr w:type="spellStart"/>
      <w:r w:rsidR="00C7195A" w:rsidRPr="00CC28EC">
        <w:rPr>
          <w:sz w:val="24"/>
          <w:szCs w:val="24"/>
        </w:rPr>
        <w:t>Această</w:t>
      </w:r>
      <w:proofErr w:type="spellEnd"/>
      <w:r w:rsidR="00C7195A" w:rsidRPr="00CC28EC">
        <w:rPr>
          <w:sz w:val="24"/>
          <w:szCs w:val="24"/>
        </w:rPr>
        <w:t xml:space="preserve"> </w:t>
      </w:r>
      <w:proofErr w:type="spellStart"/>
      <w:r w:rsidRPr="00CC28EC">
        <w:rPr>
          <w:sz w:val="24"/>
          <w:szCs w:val="24"/>
        </w:rPr>
        <w:t>concluzie</w:t>
      </w:r>
      <w:proofErr w:type="spellEnd"/>
      <w:r w:rsidR="00C7195A" w:rsidRPr="00CC28EC">
        <w:rPr>
          <w:sz w:val="24"/>
          <w:szCs w:val="24"/>
        </w:rPr>
        <w:t xml:space="preserve"> </w:t>
      </w:r>
      <w:proofErr w:type="spellStart"/>
      <w:r w:rsidR="00C7195A" w:rsidRPr="00CC28EC">
        <w:rPr>
          <w:sz w:val="24"/>
          <w:szCs w:val="24"/>
        </w:rPr>
        <w:t>este</w:t>
      </w:r>
      <w:proofErr w:type="spellEnd"/>
      <w:r w:rsidR="00C7195A" w:rsidRPr="00CC28EC">
        <w:rPr>
          <w:sz w:val="24"/>
          <w:szCs w:val="24"/>
        </w:rPr>
        <w:t xml:space="preserve"> </w:t>
      </w:r>
      <w:proofErr w:type="spellStart"/>
      <w:r w:rsidR="00C7195A" w:rsidRPr="00CC28EC">
        <w:rPr>
          <w:sz w:val="24"/>
          <w:szCs w:val="24"/>
        </w:rPr>
        <w:t>construită</w:t>
      </w:r>
      <w:proofErr w:type="spellEnd"/>
      <w:r w:rsidR="00C7195A" w:rsidRPr="00CC28EC">
        <w:rPr>
          <w:sz w:val="24"/>
          <w:szCs w:val="24"/>
        </w:rPr>
        <w:t xml:space="preserve"> pe </w:t>
      </w:r>
      <w:proofErr w:type="spellStart"/>
      <w:r w:rsidR="00C7195A" w:rsidRPr="00CC28EC">
        <w:rPr>
          <w:sz w:val="24"/>
          <w:szCs w:val="24"/>
        </w:rPr>
        <w:t>ipoteza</w:t>
      </w:r>
      <w:proofErr w:type="spellEnd"/>
      <w:r w:rsidR="00C7195A" w:rsidRPr="00CC28EC">
        <w:rPr>
          <w:sz w:val="24"/>
          <w:szCs w:val="24"/>
        </w:rPr>
        <w:t xml:space="preserve"> </w:t>
      </w:r>
      <w:proofErr w:type="spellStart"/>
      <w:r w:rsidR="00C7195A" w:rsidRPr="00CC28EC">
        <w:rPr>
          <w:sz w:val="24"/>
          <w:szCs w:val="24"/>
        </w:rPr>
        <w:t>că</w:t>
      </w:r>
      <w:proofErr w:type="spellEnd"/>
      <w:r w:rsidR="00C7195A" w:rsidRPr="00CC28EC">
        <w:rPr>
          <w:sz w:val="24"/>
          <w:szCs w:val="24"/>
        </w:rPr>
        <w:t xml:space="preserve"> </w:t>
      </w:r>
      <w:proofErr w:type="spellStart"/>
      <w:r w:rsidR="00C7195A" w:rsidRPr="00CC28EC">
        <w:rPr>
          <w:sz w:val="24"/>
          <w:szCs w:val="24"/>
        </w:rPr>
        <w:t>variațiile</w:t>
      </w:r>
      <w:proofErr w:type="spellEnd"/>
      <w:r w:rsidR="00C7195A" w:rsidRPr="00CC28EC">
        <w:rPr>
          <w:sz w:val="24"/>
          <w:szCs w:val="24"/>
        </w:rPr>
        <w:t xml:space="preserve"> </w:t>
      </w:r>
      <w:proofErr w:type="spellStart"/>
      <w:r w:rsidR="00C7195A" w:rsidRPr="00CC28EC">
        <w:rPr>
          <w:sz w:val="24"/>
          <w:szCs w:val="24"/>
        </w:rPr>
        <w:t>cheltuielilor</w:t>
      </w:r>
      <w:proofErr w:type="spellEnd"/>
      <w:r w:rsidR="00C7195A" w:rsidRPr="00CC28EC">
        <w:rPr>
          <w:sz w:val="24"/>
          <w:szCs w:val="24"/>
        </w:rPr>
        <w:t xml:space="preserve"> </w:t>
      </w:r>
      <w:proofErr w:type="spellStart"/>
      <w:r w:rsidR="00C7195A" w:rsidRPr="00CC28EC">
        <w:rPr>
          <w:sz w:val="24"/>
          <w:szCs w:val="24"/>
        </w:rPr>
        <w:t>și</w:t>
      </w:r>
      <w:proofErr w:type="spellEnd"/>
      <w:r w:rsidR="00C7195A" w:rsidRPr="00CC28EC">
        <w:rPr>
          <w:sz w:val="24"/>
          <w:szCs w:val="24"/>
        </w:rPr>
        <w:t xml:space="preserve"> </w:t>
      </w:r>
      <w:proofErr w:type="spellStart"/>
      <w:r w:rsidR="00C7195A" w:rsidRPr="00CC28EC">
        <w:rPr>
          <w:sz w:val="24"/>
          <w:szCs w:val="24"/>
        </w:rPr>
        <w:t>veniturilor</w:t>
      </w:r>
      <w:proofErr w:type="spellEnd"/>
      <w:r w:rsidR="00C7195A" w:rsidRPr="00CC28EC">
        <w:rPr>
          <w:sz w:val="24"/>
          <w:szCs w:val="24"/>
        </w:rPr>
        <w:t xml:space="preserve"> </w:t>
      </w:r>
      <w:proofErr w:type="spellStart"/>
      <w:r w:rsidR="00C7195A" w:rsidRPr="00CC28EC">
        <w:rPr>
          <w:sz w:val="24"/>
          <w:szCs w:val="24"/>
        </w:rPr>
        <w:t>publice</w:t>
      </w:r>
      <w:proofErr w:type="spellEnd"/>
      <w:r w:rsidR="00C7195A" w:rsidRPr="00CC28EC">
        <w:rPr>
          <w:sz w:val="24"/>
          <w:szCs w:val="24"/>
        </w:rPr>
        <w:t xml:space="preserve"> sunt </w:t>
      </w:r>
      <w:proofErr w:type="spellStart"/>
      <w:r w:rsidR="00C7195A" w:rsidRPr="00CC28EC">
        <w:rPr>
          <w:sz w:val="24"/>
          <w:szCs w:val="24"/>
        </w:rPr>
        <w:t>însoțite</w:t>
      </w:r>
      <w:proofErr w:type="spellEnd"/>
      <w:r w:rsidR="00C7195A" w:rsidRPr="00CC28EC">
        <w:rPr>
          <w:sz w:val="24"/>
          <w:szCs w:val="24"/>
        </w:rPr>
        <w:t xml:space="preserve"> de </w:t>
      </w:r>
      <w:proofErr w:type="spellStart"/>
      <w:r w:rsidR="00C7195A" w:rsidRPr="00CC28EC">
        <w:rPr>
          <w:sz w:val="24"/>
          <w:szCs w:val="24"/>
        </w:rPr>
        <w:t>modificări</w:t>
      </w:r>
      <w:proofErr w:type="spellEnd"/>
      <w:r w:rsidR="00C7195A" w:rsidRPr="00CC28EC">
        <w:rPr>
          <w:sz w:val="24"/>
          <w:szCs w:val="24"/>
        </w:rPr>
        <w:t xml:space="preserve"> ale </w:t>
      </w:r>
      <w:proofErr w:type="spellStart"/>
      <w:r w:rsidR="00C7195A" w:rsidRPr="00CC28EC">
        <w:rPr>
          <w:sz w:val="24"/>
          <w:szCs w:val="24"/>
        </w:rPr>
        <w:t>economiilor</w:t>
      </w:r>
      <w:proofErr w:type="spellEnd"/>
      <w:r w:rsidR="00C7195A" w:rsidRPr="00CC28EC">
        <w:rPr>
          <w:sz w:val="24"/>
          <w:szCs w:val="24"/>
        </w:rPr>
        <w:t xml:space="preserve"> private </w:t>
      </w:r>
      <w:proofErr w:type="spellStart"/>
      <w:r w:rsidRPr="00CC28EC">
        <w:rPr>
          <w:sz w:val="24"/>
          <w:szCs w:val="24"/>
        </w:rPr>
        <w:t>și</w:t>
      </w:r>
      <w:proofErr w:type="spellEnd"/>
      <w:r w:rsidRPr="00CC28EC">
        <w:rPr>
          <w:sz w:val="24"/>
          <w:szCs w:val="24"/>
        </w:rPr>
        <w:t xml:space="preserve"> </w:t>
      </w:r>
      <w:proofErr w:type="spellStart"/>
      <w:r w:rsidR="00C7195A" w:rsidRPr="00CC28EC">
        <w:rPr>
          <w:sz w:val="24"/>
          <w:szCs w:val="24"/>
        </w:rPr>
        <w:t>că</w:t>
      </w:r>
      <w:proofErr w:type="spellEnd"/>
      <w:r w:rsidR="00C7195A" w:rsidRPr="00CC28EC">
        <w:rPr>
          <w:sz w:val="24"/>
          <w:szCs w:val="24"/>
        </w:rPr>
        <w:t xml:space="preserve">, </w:t>
      </w:r>
      <w:proofErr w:type="spellStart"/>
      <w:r w:rsidR="00C7195A" w:rsidRPr="00CC28EC">
        <w:rPr>
          <w:sz w:val="24"/>
          <w:szCs w:val="24"/>
        </w:rPr>
        <w:t>indiferent</w:t>
      </w:r>
      <w:proofErr w:type="spellEnd"/>
      <w:r w:rsidR="00C7195A" w:rsidRPr="00CC28EC">
        <w:rPr>
          <w:sz w:val="24"/>
          <w:szCs w:val="24"/>
        </w:rPr>
        <w:t xml:space="preserve"> de </w:t>
      </w:r>
      <w:proofErr w:type="spellStart"/>
      <w:r w:rsidR="00C7195A" w:rsidRPr="00CC28EC">
        <w:rPr>
          <w:sz w:val="24"/>
          <w:szCs w:val="24"/>
        </w:rPr>
        <w:t>finanțarea</w:t>
      </w:r>
      <w:proofErr w:type="spellEnd"/>
      <w:r w:rsidR="00C7195A" w:rsidRPr="00CC28EC">
        <w:rPr>
          <w:sz w:val="24"/>
          <w:szCs w:val="24"/>
        </w:rPr>
        <w:t xml:space="preserve"> </w:t>
      </w:r>
      <w:proofErr w:type="spellStart"/>
      <w:r w:rsidR="00C7195A" w:rsidRPr="00CC28EC">
        <w:rPr>
          <w:sz w:val="24"/>
          <w:szCs w:val="24"/>
        </w:rPr>
        <w:t>cheltuielilor</w:t>
      </w:r>
      <w:proofErr w:type="spellEnd"/>
      <w:r w:rsidR="00C7195A" w:rsidRPr="00CC28EC">
        <w:rPr>
          <w:sz w:val="24"/>
          <w:szCs w:val="24"/>
        </w:rPr>
        <w:t xml:space="preserve"> </w:t>
      </w:r>
      <w:proofErr w:type="spellStart"/>
      <w:r w:rsidR="00C7195A" w:rsidRPr="00CC28EC">
        <w:rPr>
          <w:sz w:val="24"/>
          <w:szCs w:val="24"/>
        </w:rPr>
        <w:t>publice</w:t>
      </w:r>
      <w:proofErr w:type="spellEnd"/>
      <w:r w:rsidR="00C7195A" w:rsidRPr="00CC28EC">
        <w:rPr>
          <w:sz w:val="24"/>
          <w:szCs w:val="24"/>
        </w:rPr>
        <w:t xml:space="preserve"> </w:t>
      </w:r>
      <w:proofErr w:type="spellStart"/>
      <w:r w:rsidR="00C7195A" w:rsidRPr="00CC28EC">
        <w:rPr>
          <w:sz w:val="24"/>
          <w:szCs w:val="24"/>
        </w:rPr>
        <w:t>prin</w:t>
      </w:r>
      <w:proofErr w:type="spellEnd"/>
      <w:r w:rsidR="00C7195A" w:rsidRPr="00CC28EC">
        <w:rPr>
          <w:sz w:val="24"/>
          <w:szCs w:val="24"/>
        </w:rPr>
        <w:t xml:space="preserve"> </w:t>
      </w:r>
      <w:proofErr w:type="spellStart"/>
      <w:r w:rsidR="00C7195A" w:rsidRPr="00CC28EC">
        <w:rPr>
          <w:sz w:val="24"/>
          <w:szCs w:val="24"/>
        </w:rPr>
        <w:t>creșterea</w:t>
      </w:r>
      <w:proofErr w:type="spellEnd"/>
      <w:r w:rsidR="00C7195A" w:rsidRPr="00CC28EC">
        <w:rPr>
          <w:sz w:val="24"/>
          <w:szCs w:val="24"/>
        </w:rPr>
        <w:t xml:space="preserve"> </w:t>
      </w:r>
      <w:proofErr w:type="spellStart"/>
      <w:r w:rsidR="00C7195A" w:rsidRPr="00CC28EC">
        <w:rPr>
          <w:sz w:val="24"/>
          <w:szCs w:val="24"/>
        </w:rPr>
        <w:t>datoriei</w:t>
      </w:r>
      <w:proofErr w:type="spellEnd"/>
      <w:r w:rsidR="00C7195A" w:rsidRPr="00CC28EC">
        <w:rPr>
          <w:sz w:val="24"/>
          <w:szCs w:val="24"/>
        </w:rPr>
        <w:t xml:space="preserve"> </w:t>
      </w:r>
      <w:proofErr w:type="spellStart"/>
      <w:r w:rsidR="00C7195A" w:rsidRPr="00CC28EC">
        <w:rPr>
          <w:sz w:val="24"/>
          <w:szCs w:val="24"/>
        </w:rPr>
        <w:t>sau</w:t>
      </w:r>
      <w:proofErr w:type="spellEnd"/>
      <w:r w:rsidR="00C7195A" w:rsidRPr="00CC28EC">
        <w:rPr>
          <w:sz w:val="24"/>
          <w:szCs w:val="24"/>
        </w:rPr>
        <w:t xml:space="preserve"> </w:t>
      </w:r>
      <w:proofErr w:type="gramStart"/>
      <w:r w:rsidR="00C7195A" w:rsidRPr="00CC28EC">
        <w:rPr>
          <w:sz w:val="24"/>
          <w:szCs w:val="24"/>
        </w:rPr>
        <w:t>a</w:t>
      </w:r>
      <w:proofErr w:type="gramEnd"/>
      <w:r w:rsidR="00C7195A" w:rsidRPr="00CC28EC">
        <w:rPr>
          <w:sz w:val="24"/>
          <w:szCs w:val="24"/>
        </w:rPr>
        <w:t xml:space="preserve"> </w:t>
      </w:r>
      <w:proofErr w:type="spellStart"/>
      <w:r w:rsidR="00C7195A" w:rsidRPr="00CC28EC">
        <w:rPr>
          <w:sz w:val="24"/>
          <w:szCs w:val="24"/>
        </w:rPr>
        <w:t>impozitelor</w:t>
      </w:r>
      <w:proofErr w:type="spellEnd"/>
      <w:r w:rsidR="00C7195A" w:rsidRPr="00CC28EC">
        <w:rPr>
          <w:sz w:val="24"/>
          <w:szCs w:val="24"/>
        </w:rPr>
        <w:t xml:space="preserve">, </w:t>
      </w:r>
      <w:proofErr w:type="spellStart"/>
      <w:r w:rsidR="00C7195A" w:rsidRPr="00CC28EC">
        <w:rPr>
          <w:sz w:val="24"/>
          <w:szCs w:val="24"/>
        </w:rPr>
        <w:t>impactul</w:t>
      </w:r>
      <w:proofErr w:type="spellEnd"/>
      <w:r w:rsidR="00C7195A" w:rsidRPr="00CC28EC">
        <w:rPr>
          <w:sz w:val="24"/>
          <w:szCs w:val="24"/>
        </w:rPr>
        <w:t xml:space="preserve"> </w:t>
      </w:r>
      <w:proofErr w:type="spellStart"/>
      <w:r w:rsidR="00C7195A" w:rsidRPr="00CC28EC">
        <w:rPr>
          <w:sz w:val="24"/>
          <w:szCs w:val="24"/>
        </w:rPr>
        <w:t>nivelului</w:t>
      </w:r>
      <w:proofErr w:type="spellEnd"/>
      <w:r w:rsidR="00C7195A" w:rsidRPr="00CC28EC">
        <w:rPr>
          <w:sz w:val="24"/>
          <w:szCs w:val="24"/>
        </w:rPr>
        <w:t xml:space="preserve"> economic general </w:t>
      </w:r>
      <w:proofErr w:type="spellStart"/>
      <w:r w:rsidR="00C7195A" w:rsidRPr="00CC28EC">
        <w:rPr>
          <w:sz w:val="24"/>
          <w:szCs w:val="24"/>
        </w:rPr>
        <w:t>asupra</w:t>
      </w:r>
      <w:proofErr w:type="spellEnd"/>
      <w:r w:rsidR="00C7195A" w:rsidRPr="00CC28EC">
        <w:rPr>
          <w:sz w:val="24"/>
          <w:szCs w:val="24"/>
        </w:rPr>
        <w:t xml:space="preserve"> </w:t>
      </w:r>
      <w:proofErr w:type="spellStart"/>
      <w:r w:rsidR="00C7195A" w:rsidRPr="00CC28EC">
        <w:rPr>
          <w:sz w:val="24"/>
          <w:szCs w:val="24"/>
        </w:rPr>
        <w:t>cererii</w:t>
      </w:r>
      <w:proofErr w:type="spellEnd"/>
      <w:r w:rsidR="00C7195A" w:rsidRPr="00CC28EC">
        <w:rPr>
          <w:sz w:val="24"/>
          <w:szCs w:val="24"/>
        </w:rPr>
        <w:t xml:space="preserve"> </w:t>
      </w:r>
      <w:proofErr w:type="spellStart"/>
      <w:r w:rsidR="00C7195A" w:rsidRPr="00CC28EC">
        <w:rPr>
          <w:sz w:val="24"/>
          <w:szCs w:val="24"/>
        </w:rPr>
        <w:t>este</w:t>
      </w:r>
      <w:proofErr w:type="spellEnd"/>
      <w:r w:rsidR="00C7195A" w:rsidRPr="00CC28EC">
        <w:rPr>
          <w:sz w:val="24"/>
          <w:szCs w:val="24"/>
        </w:rPr>
        <w:t xml:space="preserve"> identic</w:t>
      </w:r>
      <w:r w:rsidRPr="00CC28EC">
        <w:rPr>
          <w:sz w:val="24"/>
          <w:szCs w:val="24"/>
        </w:rPr>
        <w:t xml:space="preserve">. </w:t>
      </w:r>
      <w:proofErr w:type="spellStart"/>
      <w:r w:rsidR="00AB4A4D" w:rsidRPr="00CC28EC">
        <w:rPr>
          <w:sz w:val="24"/>
          <w:szCs w:val="24"/>
        </w:rPr>
        <w:t>Acum</w:t>
      </w:r>
      <w:proofErr w:type="spellEnd"/>
      <w:r w:rsidR="00AB4A4D" w:rsidRPr="00CC28EC">
        <w:rPr>
          <w:sz w:val="24"/>
          <w:szCs w:val="24"/>
        </w:rPr>
        <w:t xml:space="preserve"> </w:t>
      </w:r>
      <w:proofErr w:type="spellStart"/>
      <w:r w:rsidR="00AB4A4D" w:rsidRPr="00CC28EC">
        <w:rPr>
          <w:sz w:val="24"/>
          <w:szCs w:val="24"/>
        </w:rPr>
        <w:t>câteva</w:t>
      </w:r>
      <w:proofErr w:type="spellEnd"/>
      <w:r w:rsidR="00AB4A4D" w:rsidRPr="00CC28EC">
        <w:rPr>
          <w:sz w:val="24"/>
          <w:szCs w:val="24"/>
        </w:rPr>
        <w:t xml:space="preserve"> </w:t>
      </w:r>
      <w:proofErr w:type="spellStart"/>
      <w:r w:rsidR="00AB4A4D" w:rsidRPr="00CC28EC">
        <w:rPr>
          <w:sz w:val="24"/>
          <w:szCs w:val="24"/>
        </w:rPr>
        <w:t>decenii</w:t>
      </w:r>
      <w:proofErr w:type="spellEnd"/>
      <w:r w:rsidR="00AB4A4D" w:rsidRPr="00CC28EC">
        <w:rPr>
          <w:sz w:val="24"/>
          <w:szCs w:val="24"/>
        </w:rPr>
        <w:t xml:space="preserve">, </w:t>
      </w:r>
      <w:r w:rsidRPr="00CC28EC">
        <w:rPr>
          <w:sz w:val="24"/>
          <w:szCs w:val="24"/>
        </w:rPr>
        <w:t>Robert Barro</w:t>
      </w:r>
      <w:r w:rsidR="002655EC" w:rsidRPr="00CC28EC">
        <w:rPr>
          <w:sz w:val="24"/>
          <w:szCs w:val="24"/>
        </w:rPr>
        <w:t xml:space="preserve"> </w:t>
      </w:r>
      <w:r w:rsidRPr="00CC28EC">
        <w:rPr>
          <w:sz w:val="24"/>
          <w:szCs w:val="24"/>
        </w:rPr>
        <w:t xml:space="preserve">a </w:t>
      </w:r>
      <w:proofErr w:type="spellStart"/>
      <w:r w:rsidRPr="00CC28EC">
        <w:rPr>
          <w:sz w:val="24"/>
          <w:szCs w:val="24"/>
        </w:rPr>
        <w:t>susținut</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anumite</w:t>
      </w:r>
      <w:proofErr w:type="spellEnd"/>
      <w:r w:rsidRPr="00CC28EC">
        <w:rPr>
          <w:sz w:val="24"/>
          <w:szCs w:val="24"/>
        </w:rPr>
        <w:t xml:space="preserve"> </w:t>
      </w:r>
      <w:proofErr w:type="spellStart"/>
      <w:r w:rsidRPr="00CC28EC">
        <w:rPr>
          <w:sz w:val="24"/>
          <w:szCs w:val="24"/>
        </w:rPr>
        <w:t>condiții</w:t>
      </w:r>
      <w:proofErr w:type="spellEnd"/>
      <w:r w:rsidRPr="00CC28EC">
        <w:rPr>
          <w:sz w:val="24"/>
          <w:szCs w:val="24"/>
        </w:rPr>
        <w:t xml:space="preserve">, o </w:t>
      </w:r>
      <w:proofErr w:type="spellStart"/>
      <w:r w:rsidRPr="00CC28EC">
        <w:rPr>
          <w:sz w:val="24"/>
          <w:szCs w:val="24"/>
        </w:rPr>
        <w:t>scădere</w:t>
      </w:r>
      <w:proofErr w:type="spellEnd"/>
      <w:r w:rsidRPr="00CC28EC">
        <w:rPr>
          <w:sz w:val="24"/>
          <w:szCs w:val="24"/>
        </w:rPr>
        <w:t xml:space="preserve"> </w:t>
      </w:r>
      <w:proofErr w:type="gramStart"/>
      <w:r w:rsidRPr="00CC28EC">
        <w:rPr>
          <w:sz w:val="24"/>
          <w:szCs w:val="24"/>
        </w:rPr>
        <w:t>a</w:t>
      </w:r>
      <w:proofErr w:type="gramEnd"/>
      <w:r w:rsidRPr="00CC28EC">
        <w:rPr>
          <w:sz w:val="24"/>
          <w:szCs w:val="24"/>
        </w:rPr>
        <w:t xml:space="preserve"> </w:t>
      </w:r>
      <w:proofErr w:type="spellStart"/>
      <w:r w:rsidRPr="00CC28EC">
        <w:rPr>
          <w:sz w:val="24"/>
          <w:szCs w:val="24"/>
        </w:rPr>
        <w:t>impozitelor</w:t>
      </w:r>
      <w:proofErr w:type="spellEnd"/>
      <w:r w:rsidRPr="00CC28EC">
        <w:rPr>
          <w:sz w:val="24"/>
          <w:szCs w:val="24"/>
        </w:rPr>
        <w:t xml:space="preserve"> </w:t>
      </w:r>
      <w:proofErr w:type="spellStart"/>
      <w:r w:rsidRPr="00CC28EC">
        <w:rPr>
          <w:sz w:val="24"/>
          <w:szCs w:val="24"/>
        </w:rPr>
        <w:t>actuale</w:t>
      </w:r>
      <w:proofErr w:type="spellEnd"/>
      <w:r w:rsidRPr="00CC28EC">
        <w:rPr>
          <w:sz w:val="24"/>
          <w:szCs w:val="24"/>
        </w:rPr>
        <w:t xml:space="preserve">, </w:t>
      </w:r>
      <w:proofErr w:type="spellStart"/>
      <w:r w:rsidRPr="00CC28EC">
        <w:rPr>
          <w:sz w:val="24"/>
          <w:szCs w:val="24"/>
        </w:rPr>
        <w:t>acoperită</w:t>
      </w:r>
      <w:proofErr w:type="spellEnd"/>
      <w:r w:rsidRPr="00CC28EC">
        <w:rPr>
          <w:sz w:val="24"/>
          <w:szCs w:val="24"/>
        </w:rPr>
        <w:t xml:space="preserve"> </w:t>
      </w:r>
      <w:proofErr w:type="spellStart"/>
      <w:r w:rsidRPr="00CC28EC">
        <w:rPr>
          <w:sz w:val="24"/>
          <w:szCs w:val="24"/>
        </w:rPr>
        <w:t>prin</w:t>
      </w:r>
      <w:proofErr w:type="spellEnd"/>
      <w:r w:rsidRPr="00CC28EC">
        <w:rPr>
          <w:sz w:val="24"/>
          <w:szCs w:val="24"/>
        </w:rPr>
        <w:t xml:space="preserve"> </w:t>
      </w:r>
      <w:proofErr w:type="spellStart"/>
      <w:r w:rsidRPr="00CC28EC">
        <w:rPr>
          <w:sz w:val="24"/>
          <w:szCs w:val="24"/>
        </w:rPr>
        <w:t>emiterea</w:t>
      </w:r>
      <w:proofErr w:type="spellEnd"/>
      <w:r w:rsidRPr="00CC28EC">
        <w:rPr>
          <w:sz w:val="24"/>
          <w:szCs w:val="24"/>
        </w:rPr>
        <w:t xml:space="preserve"> de </w:t>
      </w:r>
      <w:proofErr w:type="spellStart"/>
      <w:r w:rsidRPr="00CC28EC">
        <w:rPr>
          <w:sz w:val="24"/>
          <w:szCs w:val="24"/>
        </w:rPr>
        <w:lastRenderedPageBreak/>
        <w:t>obligațiuni</w:t>
      </w:r>
      <w:proofErr w:type="spellEnd"/>
      <w:r w:rsidRPr="00CC28EC">
        <w:rPr>
          <w:sz w:val="24"/>
          <w:szCs w:val="24"/>
        </w:rPr>
        <w:t xml:space="preserve"> de stat, nu </w:t>
      </w:r>
      <w:proofErr w:type="spellStart"/>
      <w:r w:rsidRPr="00CC28EC">
        <w:rPr>
          <w:sz w:val="24"/>
          <w:szCs w:val="24"/>
        </w:rPr>
        <w:t>ar</w:t>
      </w:r>
      <w:proofErr w:type="spellEnd"/>
      <w:r w:rsidRPr="00CC28EC">
        <w:rPr>
          <w:sz w:val="24"/>
          <w:szCs w:val="24"/>
        </w:rPr>
        <w:t xml:space="preserve"> </w:t>
      </w:r>
      <w:proofErr w:type="spellStart"/>
      <w:r w:rsidRPr="00CC28EC">
        <w:rPr>
          <w:sz w:val="24"/>
          <w:szCs w:val="24"/>
        </w:rPr>
        <w:t>avea</w:t>
      </w:r>
      <w:proofErr w:type="spellEnd"/>
      <w:r w:rsidRPr="00CC28EC">
        <w:rPr>
          <w:sz w:val="24"/>
          <w:szCs w:val="24"/>
        </w:rPr>
        <w:t xml:space="preserve"> </w:t>
      </w:r>
      <w:proofErr w:type="spellStart"/>
      <w:r w:rsidRPr="00CC28EC">
        <w:rPr>
          <w:sz w:val="24"/>
          <w:szCs w:val="24"/>
        </w:rPr>
        <w:t>niciun</w:t>
      </w:r>
      <w:proofErr w:type="spellEnd"/>
      <w:r w:rsidRPr="00CC28EC">
        <w:rPr>
          <w:sz w:val="24"/>
          <w:szCs w:val="24"/>
        </w:rPr>
        <w:t xml:space="preserve"> </w:t>
      </w:r>
      <w:proofErr w:type="spellStart"/>
      <w:r w:rsidRPr="00CC28EC">
        <w:rPr>
          <w:sz w:val="24"/>
          <w:szCs w:val="24"/>
        </w:rPr>
        <w:t>efect</w:t>
      </w:r>
      <w:proofErr w:type="spellEnd"/>
      <w:r w:rsidRPr="00CC28EC">
        <w:rPr>
          <w:sz w:val="24"/>
          <w:szCs w:val="24"/>
        </w:rPr>
        <w:t xml:space="preserve">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cheltuielilor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cu </w:t>
      </w:r>
      <w:proofErr w:type="spellStart"/>
      <w:r w:rsidRPr="00CC28EC">
        <w:rPr>
          <w:sz w:val="24"/>
          <w:szCs w:val="24"/>
        </w:rPr>
        <w:t>bunuri</w:t>
      </w:r>
      <w:proofErr w:type="spellEnd"/>
      <w:r w:rsidRPr="00CC28EC">
        <w:rPr>
          <w:sz w:val="24"/>
          <w:szCs w:val="24"/>
        </w:rPr>
        <w:t xml:space="preserve"> de </w:t>
      </w:r>
      <w:proofErr w:type="spellStart"/>
      <w:r w:rsidRPr="00CC28EC">
        <w:rPr>
          <w:sz w:val="24"/>
          <w:szCs w:val="24"/>
        </w:rPr>
        <w:t>consum</w:t>
      </w:r>
      <w:proofErr w:type="spellEnd"/>
      <w:r w:rsidRPr="00CC28EC">
        <w:rPr>
          <w:sz w:val="24"/>
          <w:szCs w:val="24"/>
        </w:rPr>
        <w:t>.</w:t>
      </w:r>
      <w:r w:rsidR="00AB4A4D" w:rsidRPr="00CC28EC">
        <w:rPr>
          <w:sz w:val="24"/>
          <w:szCs w:val="24"/>
        </w:rPr>
        <w:t xml:space="preserve"> (Barro,1974) </w:t>
      </w:r>
      <w:proofErr w:type="spellStart"/>
      <w:r w:rsidRPr="00CC28EC">
        <w:rPr>
          <w:sz w:val="24"/>
          <w:szCs w:val="24"/>
        </w:rPr>
        <w:t>Lucrarea</w:t>
      </w:r>
      <w:proofErr w:type="spellEnd"/>
      <w:r w:rsidRPr="00CC28EC">
        <w:rPr>
          <w:sz w:val="24"/>
          <w:szCs w:val="24"/>
        </w:rPr>
        <w:t xml:space="preserve"> </w:t>
      </w:r>
      <w:proofErr w:type="spellStart"/>
      <w:r w:rsidRPr="00CC28EC">
        <w:rPr>
          <w:sz w:val="24"/>
          <w:szCs w:val="24"/>
        </w:rPr>
        <w:t>răspundea</w:t>
      </w:r>
      <w:proofErr w:type="spellEnd"/>
      <w:r w:rsidRPr="00CC28EC">
        <w:rPr>
          <w:sz w:val="24"/>
          <w:szCs w:val="24"/>
        </w:rPr>
        <w:t xml:space="preserve"> direct la </w:t>
      </w:r>
      <w:proofErr w:type="spellStart"/>
      <w:r w:rsidRPr="00CC28EC">
        <w:rPr>
          <w:sz w:val="24"/>
          <w:szCs w:val="24"/>
        </w:rPr>
        <w:t>rezultatele</w:t>
      </w:r>
      <w:proofErr w:type="spellEnd"/>
      <w:r w:rsidR="00AB4A4D" w:rsidRPr="00CC28EC">
        <w:rPr>
          <w:sz w:val="24"/>
          <w:szCs w:val="24"/>
        </w:rPr>
        <w:t xml:space="preserve"> </w:t>
      </w:r>
      <w:proofErr w:type="spellStart"/>
      <w:r w:rsidR="00AB4A4D" w:rsidRPr="00CC28EC">
        <w:rPr>
          <w:sz w:val="24"/>
          <w:szCs w:val="24"/>
        </w:rPr>
        <w:t>lui</w:t>
      </w:r>
      <w:proofErr w:type="spellEnd"/>
      <w:r w:rsidRPr="00CC28EC">
        <w:rPr>
          <w:sz w:val="24"/>
          <w:szCs w:val="24"/>
        </w:rPr>
        <w:t xml:space="preserve"> Alan Blinder </w:t>
      </w:r>
      <w:proofErr w:type="spellStart"/>
      <w:r w:rsidRPr="00CC28EC">
        <w:rPr>
          <w:sz w:val="24"/>
          <w:szCs w:val="24"/>
        </w:rPr>
        <w:t>și</w:t>
      </w:r>
      <w:proofErr w:type="spellEnd"/>
      <w:r w:rsidRPr="00CC28EC">
        <w:rPr>
          <w:sz w:val="24"/>
          <w:szCs w:val="24"/>
        </w:rPr>
        <w:t xml:space="preserve"> Robert Solow, care </w:t>
      </w:r>
      <w:proofErr w:type="spellStart"/>
      <w:r w:rsidRPr="00CC28EC">
        <w:rPr>
          <w:sz w:val="24"/>
          <w:szCs w:val="24"/>
        </w:rPr>
        <w:t>sugerau</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implicațiile</w:t>
      </w:r>
      <w:proofErr w:type="spellEnd"/>
      <w:r w:rsidRPr="00CC28EC">
        <w:rPr>
          <w:sz w:val="24"/>
          <w:szCs w:val="24"/>
        </w:rPr>
        <w:t xml:space="preserve"> pe termen lung ale </w:t>
      </w:r>
      <w:proofErr w:type="spellStart"/>
      <w:r w:rsidRPr="00CC28EC">
        <w:rPr>
          <w:sz w:val="24"/>
          <w:szCs w:val="24"/>
        </w:rPr>
        <w:t>împrumuturilor</w:t>
      </w:r>
      <w:proofErr w:type="spellEnd"/>
      <w:r w:rsidRPr="00CC28EC">
        <w:rPr>
          <w:sz w:val="24"/>
          <w:szCs w:val="24"/>
        </w:rPr>
        <w:t xml:space="preserve"> </w:t>
      </w:r>
      <w:proofErr w:type="spellStart"/>
      <w:r w:rsidRPr="00CC28EC">
        <w:rPr>
          <w:sz w:val="24"/>
          <w:szCs w:val="24"/>
        </w:rPr>
        <w:t>guvernamentale</w:t>
      </w:r>
      <w:proofErr w:type="spellEnd"/>
      <w:r w:rsidRPr="00CC28EC">
        <w:rPr>
          <w:sz w:val="24"/>
          <w:szCs w:val="24"/>
        </w:rPr>
        <w:t xml:space="preserve"> </w:t>
      </w:r>
      <w:proofErr w:type="spellStart"/>
      <w:r w:rsidRPr="00CC28EC">
        <w:rPr>
          <w:sz w:val="24"/>
          <w:szCs w:val="24"/>
        </w:rPr>
        <w:t>vor</w:t>
      </w:r>
      <w:proofErr w:type="spellEnd"/>
      <w:r w:rsidRPr="00CC28EC">
        <w:rPr>
          <w:sz w:val="24"/>
          <w:szCs w:val="24"/>
        </w:rPr>
        <w:t xml:space="preserve"> fi compensate de </w:t>
      </w:r>
      <w:proofErr w:type="spellStart"/>
      <w:r w:rsidRPr="00CC28EC">
        <w:rPr>
          <w:sz w:val="24"/>
          <w:szCs w:val="24"/>
        </w:rPr>
        <w:t>efectul</w:t>
      </w:r>
      <w:proofErr w:type="spellEnd"/>
      <w:r w:rsidRPr="00CC28EC">
        <w:rPr>
          <w:sz w:val="24"/>
          <w:szCs w:val="24"/>
        </w:rPr>
        <w:t xml:space="preserve"> </w:t>
      </w:r>
      <w:proofErr w:type="spellStart"/>
      <w:r w:rsidRPr="00CC28EC">
        <w:rPr>
          <w:sz w:val="24"/>
          <w:szCs w:val="24"/>
        </w:rPr>
        <w:t>bogăției</w:t>
      </w:r>
      <w:proofErr w:type="spellEnd"/>
      <w:r w:rsidRPr="00CC28EC">
        <w:rPr>
          <w:sz w:val="24"/>
          <w:szCs w:val="24"/>
        </w:rPr>
        <w:t xml:space="preserve">. </w:t>
      </w:r>
      <w:proofErr w:type="spellStart"/>
      <w:r w:rsidRPr="00CC28EC">
        <w:rPr>
          <w:sz w:val="24"/>
          <w:szCs w:val="24"/>
        </w:rPr>
        <w:t>Adevărul</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implicațiile</w:t>
      </w:r>
      <w:proofErr w:type="spellEnd"/>
      <w:r w:rsidRPr="00CC28EC">
        <w:rPr>
          <w:sz w:val="24"/>
          <w:szCs w:val="24"/>
        </w:rPr>
        <w:t xml:space="preserve"> </w:t>
      </w:r>
      <w:proofErr w:type="spellStart"/>
      <w:r w:rsidRPr="00CC28EC">
        <w:rPr>
          <w:sz w:val="24"/>
          <w:szCs w:val="24"/>
        </w:rPr>
        <w:t>echivalenței</w:t>
      </w:r>
      <w:proofErr w:type="spellEnd"/>
      <w:r w:rsidRPr="00CC28EC">
        <w:rPr>
          <w:sz w:val="24"/>
          <w:szCs w:val="24"/>
        </w:rPr>
        <w:t xml:space="preserve"> </w:t>
      </w:r>
      <w:proofErr w:type="spellStart"/>
      <w:r w:rsidRPr="00CC28EC">
        <w:rPr>
          <w:sz w:val="24"/>
          <w:szCs w:val="24"/>
        </w:rPr>
        <w:t>ricardiene</w:t>
      </w:r>
      <w:proofErr w:type="spellEnd"/>
      <w:r w:rsidRPr="00CC28EC">
        <w:rPr>
          <w:sz w:val="24"/>
          <w:szCs w:val="24"/>
        </w:rPr>
        <w:t xml:space="preserve"> </w:t>
      </w:r>
      <w:proofErr w:type="spellStart"/>
      <w:r w:rsidRPr="00CC28EC">
        <w:rPr>
          <w:sz w:val="24"/>
          <w:szCs w:val="24"/>
        </w:rPr>
        <w:t>susținută</w:t>
      </w:r>
      <w:proofErr w:type="spellEnd"/>
      <w:r w:rsidRPr="00CC28EC">
        <w:rPr>
          <w:sz w:val="24"/>
          <w:szCs w:val="24"/>
        </w:rPr>
        <w:t xml:space="preserve"> de Barro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alții</w:t>
      </w:r>
      <w:proofErr w:type="spellEnd"/>
      <w:r w:rsidR="002655EC" w:rsidRPr="00CC28EC">
        <w:rPr>
          <w:sz w:val="24"/>
          <w:szCs w:val="24"/>
        </w:rPr>
        <w:t>,</w:t>
      </w:r>
      <w:r w:rsidRPr="00CC28EC">
        <w:rPr>
          <w:sz w:val="24"/>
          <w:szCs w:val="24"/>
        </w:rPr>
        <w:t xml:space="preserve"> </w:t>
      </w:r>
      <w:proofErr w:type="spellStart"/>
      <w:r w:rsidRPr="00CC28EC">
        <w:rPr>
          <w:sz w:val="24"/>
          <w:szCs w:val="24"/>
        </w:rPr>
        <w:t>suscită</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prezent</w:t>
      </w:r>
      <w:proofErr w:type="spellEnd"/>
      <w:r w:rsidRPr="00CC28EC">
        <w:rPr>
          <w:sz w:val="24"/>
          <w:szCs w:val="24"/>
        </w:rPr>
        <w:t xml:space="preserve"> o </w:t>
      </w:r>
      <w:proofErr w:type="spellStart"/>
      <w:r w:rsidRPr="00CC28EC">
        <w:rPr>
          <w:sz w:val="24"/>
          <w:szCs w:val="24"/>
        </w:rPr>
        <w:t>mulțime</w:t>
      </w:r>
      <w:proofErr w:type="spellEnd"/>
      <w:r w:rsidRPr="00CC28EC">
        <w:rPr>
          <w:sz w:val="24"/>
          <w:szCs w:val="24"/>
        </w:rPr>
        <w:t xml:space="preserve"> de </w:t>
      </w:r>
      <w:proofErr w:type="spellStart"/>
      <w:r w:rsidRPr="00CC28EC">
        <w:rPr>
          <w:sz w:val="24"/>
          <w:szCs w:val="24"/>
        </w:rPr>
        <w:t>păreri</w:t>
      </w:r>
      <w:proofErr w:type="spellEnd"/>
      <w:r w:rsidRPr="00CC28EC">
        <w:rPr>
          <w:sz w:val="24"/>
          <w:szCs w:val="24"/>
        </w:rPr>
        <w:t xml:space="preserve"> pro </w:t>
      </w:r>
      <w:proofErr w:type="spellStart"/>
      <w:r w:rsidRPr="00CC28EC">
        <w:rPr>
          <w:sz w:val="24"/>
          <w:szCs w:val="24"/>
        </w:rPr>
        <w:t>sau</w:t>
      </w:r>
      <w:proofErr w:type="spellEnd"/>
      <w:r w:rsidRPr="00CC28EC">
        <w:rPr>
          <w:sz w:val="24"/>
          <w:szCs w:val="24"/>
        </w:rPr>
        <w:t xml:space="preserve"> contra.</w:t>
      </w:r>
    </w:p>
    <w:p w14:paraId="5800C901" w14:textId="486B76A2" w:rsidR="00B40B47" w:rsidRPr="00CC28EC" w:rsidRDefault="00137A50" w:rsidP="006C1549">
      <w:pPr>
        <w:tabs>
          <w:tab w:val="left" w:pos="360"/>
        </w:tabs>
        <w:jc w:val="both"/>
        <w:rPr>
          <w:sz w:val="24"/>
          <w:szCs w:val="24"/>
        </w:rPr>
      </w:pPr>
      <w:r w:rsidRPr="00CC28EC">
        <w:rPr>
          <w:sz w:val="24"/>
          <w:szCs w:val="24"/>
        </w:rPr>
        <w:tab/>
      </w:r>
      <w:r w:rsidRPr="00CC28EC">
        <w:rPr>
          <w:sz w:val="24"/>
          <w:szCs w:val="24"/>
        </w:rPr>
        <w:tab/>
        <w:t xml:space="preserve"> </w:t>
      </w:r>
      <w:r w:rsidR="0032287D" w:rsidRPr="00CC28EC">
        <w:rPr>
          <w:sz w:val="24"/>
          <w:szCs w:val="24"/>
        </w:rPr>
        <w:t>Teoria modern</w:t>
      </w:r>
      <w:r w:rsidR="0032287D" w:rsidRPr="00CC28EC">
        <w:rPr>
          <w:sz w:val="24"/>
          <w:szCs w:val="24"/>
          <w:lang w:val="ro-RO"/>
        </w:rPr>
        <w:t>ă</w:t>
      </w:r>
      <w:r w:rsidR="005B2ECE" w:rsidRPr="00CC28EC">
        <w:rPr>
          <w:sz w:val="24"/>
          <w:szCs w:val="24"/>
          <w:lang w:val="ro-RO"/>
        </w:rPr>
        <w:t>,</w:t>
      </w:r>
      <w:r w:rsidR="006115CC" w:rsidRPr="00CC28EC">
        <w:rPr>
          <w:sz w:val="24"/>
          <w:szCs w:val="24"/>
          <w:lang w:val="ro-RO"/>
        </w:rPr>
        <w:t xml:space="preserve"> hybridă,</w:t>
      </w:r>
      <w:r w:rsidR="005B2ECE" w:rsidRPr="00CC28EC">
        <w:rPr>
          <w:sz w:val="24"/>
          <w:szCs w:val="24"/>
          <w:lang w:val="ro-RO"/>
        </w:rPr>
        <w:t xml:space="preserve"> </w:t>
      </w:r>
      <w:r w:rsidR="006115CC" w:rsidRPr="00CC28EC">
        <w:rPr>
          <w:sz w:val="24"/>
          <w:szCs w:val="24"/>
          <w:lang w:val="ro-RO"/>
        </w:rPr>
        <w:t>apărută în anii</w:t>
      </w:r>
      <w:r w:rsidR="005B2ECE" w:rsidRPr="00CC28EC">
        <w:rPr>
          <w:sz w:val="24"/>
          <w:szCs w:val="24"/>
          <w:lang w:val="ro-RO"/>
        </w:rPr>
        <w:t xml:space="preserve"> 1990-2000, </w:t>
      </w:r>
      <w:r w:rsidR="0032287D" w:rsidRPr="00CC28EC">
        <w:rPr>
          <w:sz w:val="24"/>
          <w:szCs w:val="24"/>
          <w:lang w:val="ro-RO"/>
        </w:rPr>
        <w:t>se clădește pe ideile liberale</w:t>
      </w:r>
      <w:r w:rsidR="00DC2DAD" w:rsidRPr="00CC28EC">
        <w:rPr>
          <w:sz w:val="24"/>
          <w:szCs w:val="24"/>
          <w:lang w:val="ro-RO"/>
        </w:rPr>
        <w:t>,</w:t>
      </w:r>
      <w:r w:rsidR="0032287D" w:rsidRPr="00CC28EC">
        <w:rPr>
          <w:sz w:val="24"/>
          <w:szCs w:val="24"/>
          <w:lang w:val="ro-RO"/>
        </w:rPr>
        <w:t xml:space="preserve"> le îmbină cu cele a lui Keynes și arată că efectele datoriei publice asupra creșterii </w:t>
      </w:r>
      <w:r w:rsidR="006115CC" w:rsidRPr="00CC28EC">
        <w:rPr>
          <w:sz w:val="24"/>
          <w:szCs w:val="24"/>
          <w:lang w:val="ro-RO"/>
        </w:rPr>
        <w:t xml:space="preserve">economice </w:t>
      </w:r>
      <w:r w:rsidR="0032287D" w:rsidRPr="00CC28EC">
        <w:rPr>
          <w:sz w:val="24"/>
          <w:szCs w:val="24"/>
          <w:lang w:val="ro-RO"/>
        </w:rPr>
        <w:t>pe termen scurt sunt diferite față de cele pe termen mediu și lung.</w:t>
      </w:r>
      <w:r w:rsidR="00DA1232" w:rsidRPr="00CC28EC">
        <w:rPr>
          <w:sz w:val="24"/>
          <w:szCs w:val="24"/>
          <w:lang w:val="ro-RO"/>
        </w:rPr>
        <w:t xml:space="preserve"> </w:t>
      </w:r>
      <w:r w:rsidR="0032287D" w:rsidRPr="00CC28EC">
        <w:rPr>
          <w:sz w:val="24"/>
          <w:szCs w:val="24"/>
          <w:lang w:val="ro-RO"/>
        </w:rPr>
        <w:t xml:space="preserve">Pe termen scurt, efectele datoriei publice asupra creșterii economice sunt pozitive în sensul că </w:t>
      </w:r>
      <w:proofErr w:type="spellStart"/>
      <w:r w:rsidR="0032287D" w:rsidRPr="00CC28EC">
        <w:rPr>
          <w:sz w:val="24"/>
          <w:szCs w:val="24"/>
        </w:rPr>
        <w:t>oferta</w:t>
      </w:r>
      <w:proofErr w:type="spellEnd"/>
      <w:r w:rsidR="0032287D" w:rsidRPr="00CC28EC">
        <w:rPr>
          <w:sz w:val="24"/>
          <w:szCs w:val="24"/>
        </w:rPr>
        <w:t xml:space="preserve"> de </w:t>
      </w:r>
      <w:proofErr w:type="spellStart"/>
      <w:r w:rsidR="0032287D" w:rsidRPr="00CC28EC">
        <w:rPr>
          <w:sz w:val="24"/>
          <w:szCs w:val="24"/>
        </w:rPr>
        <w:t>bunuri</w:t>
      </w:r>
      <w:proofErr w:type="spellEnd"/>
      <w:r w:rsidR="0032287D" w:rsidRPr="00CC28EC">
        <w:rPr>
          <w:sz w:val="24"/>
          <w:szCs w:val="24"/>
        </w:rPr>
        <w:t xml:space="preserve"> </w:t>
      </w:r>
      <w:proofErr w:type="spellStart"/>
      <w:r w:rsidR="0032287D" w:rsidRPr="00CC28EC">
        <w:rPr>
          <w:sz w:val="24"/>
          <w:szCs w:val="24"/>
        </w:rPr>
        <w:t>și</w:t>
      </w:r>
      <w:proofErr w:type="spellEnd"/>
      <w:r w:rsidR="0032287D" w:rsidRPr="00CC28EC">
        <w:rPr>
          <w:sz w:val="24"/>
          <w:szCs w:val="24"/>
        </w:rPr>
        <w:t xml:space="preserve"> </w:t>
      </w:r>
      <w:proofErr w:type="spellStart"/>
      <w:r w:rsidR="0032287D" w:rsidRPr="00CC28EC">
        <w:rPr>
          <w:sz w:val="24"/>
          <w:szCs w:val="24"/>
        </w:rPr>
        <w:t>servicii</w:t>
      </w:r>
      <w:proofErr w:type="spellEnd"/>
      <w:r w:rsidR="0032287D" w:rsidRPr="00CC28EC">
        <w:rPr>
          <w:sz w:val="24"/>
          <w:szCs w:val="24"/>
        </w:rPr>
        <w:t xml:space="preserve"> </w:t>
      </w:r>
      <w:proofErr w:type="spellStart"/>
      <w:r w:rsidR="0032287D" w:rsidRPr="00CC28EC">
        <w:rPr>
          <w:sz w:val="24"/>
          <w:szCs w:val="24"/>
        </w:rPr>
        <w:t>și</w:t>
      </w:r>
      <w:proofErr w:type="spellEnd"/>
      <w:r w:rsidR="0032287D" w:rsidRPr="00CC28EC">
        <w:rPr>
          <w:sz w:val="24"/>
          <w:szCs w:val="24"/>
        </w:rPr>
        <w:t xml:space="preserve">, </w:t>
      </w:r>
      <w:proofErr w:type="spellStart"/>
      <w:r w:rsidR="0032287D" w:rsidRPr="00CC28EC">
        <w:rPr>
          <w:sz w:val="24"/>
          <w:szCs w:val="24"/>
        </w:rPr>
        <w:t>prin</w:t>
      </w:r>
      <w:proofErr w:type="spellEnd"/>
      <w:r w:rsidR="0032287D" w:rsidRPr="00CC28EC">
        <w:rPr>
          <w:sz w:val="24"/>
          <w:szCs w:val="24"/>
        </w:rPr>
        <w:t xml:space="preserve"> </w:t>
      </w:r>
      <w:proofErr w:type="spellStart"/>
      <w:r w:rsidR="0032287D" w:rsidRPr="00CC28EC">
        <w:rPr>
          <w:sz w:val="24"/>
          <w:szCs w:val="24"/>
        </w:rPr>
        <w:t>urmare</w:t>
      </w:r>
      <w:proofErr w:type="spellEnd"/>
      <w:r w:rsidR="0032287D" w:rsidRPr="00CC28EC">
        <w:rPr>
          <w:sz w:val="24"/>
          <w:szCs w:val="24"/>
        </w:rPr>
        <w:t xml:space="preserve">, </w:t>
      </w:r>
      <w:proofErr w:type="spellStart"/>
      <w:r w:rsidR="0032287D" w:rsidRPr="00CC28EC">
        <w:rPr>
          <w:sz w:val="24"/>
          <w:szCs w:val="24"/>
        </w:rPr>
        <w:t>producția</w:t>
      </w:r>
      <w:proofErr w:type="spellEnd"/>
      <w:r w:rsidR="009B6C14" w:rsidRPr="00CC28EC">
        <w:rPr>
          <w:sz w:val="24"/>
          <w:szCs w:val="24"/>
        </w:rPr>
        <w:t>,</w:t>
      </w:r>
      <w:r w:rsidR="0032287D" w:rsidRPr="00CC28EC">
        <w:rPr>
          <w:sz w:val="24"/>
          <w:szCs w:val="24"/>
        </w:rPr>
        <w:t xml:space="preserve"> sunt determinate de </w:t>
      </w:r>
      <w:proofErr w:type="spellStart"/>
      <w:r w:rsidR="0032287D" w:rsidRPr="00CC28EC">
        <w:rPr>
          <w:sz w:val="24"/>
          <w:szCs w:val="24"/>
        </w:rPr>
        <w:t>nivelul</w:t>
      </w:r>
      <w:proofErr w:type="spellEnd"/>
      <w:r w:rsidR="0032287D" w:rsidRPr="00CC28EC">
        <w:rPr>
          <w:sz w:val="24"/>
          <w:szCs w:val="24"/>
        </w:rPr>
        <w:t xml:space="preserve"> </w:t>
      </w:r>
      <w:proofErr w:type="spellStart"/>
      <w:r w:rsidR="0032287D" w:rsidRPr="00CC28EC">
        <w:rPr>
          <w:sz w:val="24"/>
          <w:szCs w:val="24"/>
        </w:rPr>
        <w:t>cererii</w:t>
      </w:r>
      <w:proofErr w:type="spellEnd"/>
      <w:r w:rsidR="0032287D" w:rsidRPr="00CC28EC">
        <w:rPr>
          <w:sz w:val="24"/>
          <w:szCs w:val="24"/>
        </w:rPr>
        <w:t xml:space="preserve">, care la </w:t>
      </w:r>
      <w:proofErr w:type="spellStart"/>
      <w:r w:rsidR="0032287D" w:rsidRPr="00CC28EC">
        <w:rPr>
          <w:sz w:val="24"/>
          <w:szCs w:val="24"/>
        </w:rPr>
        <w:t>rândul</w:t>
      </w:r>
      <w:proofErr w:type="spellEnd"/>
      <w:r w:rsidR="0032287D" w:rsidRPr="00CC28EC">
        <w:rPr>
          <w:sz w:val="24"/>
          <w:szCs w:val="24"/>
        </w:rPr>
        <w:t xml:space="preserve"> </w:t>
      </w:r>
      <w:proofErr w:type="spellStart"/>
      <w:r w:rsidR="0032287D" w:rsidRPr="00CC28EC">
        <w:rPr>
          <w:sz w:val="24"/>
          <w:szCs w:val="24"/>
        </w:rPr>
        <w:t>său</w:t>
      </w:r>
      <w:proofErr w:type="spellEnd"/>
      <w:r w:rsidR="0032287D" w:rsidRPr="00CC28EC">
        <w:rPr>
          <w:sz w:val="24"/>
          <w:szCs w:val="24"/>
        </w:rPr>
        <w:t xml:space="preserve"> </w:t>
      </w:r>
      <w:proofErr w:type="spellStart"/>
      <w:r w:rsidR="0032287D" w:rsidRPr="00CC28EC">
        <w:rPr>
          <w:sz w:val="24"/>
          <w:szCs w:val="24"/>
        </w:rPr>
        <w:t>poate</w:t>
      </w:r>
      <w:proofErr w:type="spellEnd"/>
      <w:r w:rsidR="0032287D" w:rsidRPr="00CC28EC">
        <w:rPr>
          <w:sz w:val="24"/>
          <w:szCs w:val="24"/>
        </w:rPr>
        <w:t xml:space="preserve"> fi </w:t>
      </w:r>
      <w:proofErr w:type="spellStart"/>
      <w:r w:rsidR="0032287D" w:rsidRPr="00CC28EC">
        <w:rPr>
          <w:sz w:val="24"/>
          <w:szCs w:val="24"/>
        </w:rPr>
        <w:t>influențat</w:t>
      </w:r>
      <w:proofErr w:type="spellEnd"/>
      <w:r w:rsidR="0032287D" w:rsidRPr="00CC28EC">
        <w:rPr>
          <w:sz w:val="24"/>
          <w:szCs w:val="24"/>
        </w:rPr>
        <w:t xml:space="preserve"> de </w:t>
      </w:r>
      <w:proofErr w:type="spellStart"/>
      <w:r w:rsidR="0032287D" w:rsidRPr="00CC28EC">
        <w:rPr>
          <w:sz w:val="24"/>
          <w:szCs w:val="24"/>
        </w:rPr>
        <w:t>împrumuturile</w:t>
      </w:r>
      <w:proofErr w:type="spellEnd"/>
      <w:r w:rsidR="0032287D" w:rsidRPr="00CC28EC">
        <w:rPr>
          <w:sz w:val="24"/>
          <w:szCs w:val="24"/>
        </w:rPr>
        <w:t xml:space="preserve"> </w:t>
      </w:r>
      <w:proofErr w:type="spellStart"/>
      <w:r w:rsidR="0032287D" w:rsidRPr="00CC28EC">
        <w:rPr>
          <w:sz w:val="24"/>
          <w:szCs w:val="24"/>
        </w:rPr>
        <w:t>st</w:t>
      </w:r>
      <w:r w:rsidR="00DA1232" w:rsidRPr="00CC28EC">
        <w:rPr>
          <w:sz w:val="24"/>
          <w:szCs w:val="24"/>
        </w:rPr>
        <w:t>a</w:t>
      </w:r>
      <w:r w:rsidR="0032287D" w:rsidRPr="00CC28EC">
        <w:rPr>
          <w:sz w:val="24"/>
          <w:szCs w:val="24"/>
        </w:rPr>
        <w:t>tului</w:t>
      </w:r>
      <w:proofErr w:type="spellEnd"/>
      <w:r w:rsidR="0032287D" w:rsidRPr="00CC28EC">
        <w:rPr>
          <w:sz w:val="24"/>
          <w:szCs w:val="24"/>
        </w:rPr>
        <w:t xml:space="preserve"> </w:t>
      </w:r>
      <w:proofErr w:type="spellStart"/>
      <w:r w:rsidR="0032287D" w:rsidRPr="00CC28EC">
        <w:rPr>
          <w:sz w:val="24"/>
          <w:szCs w:val="24"/>
        </w:rPr>
        <w:t>pentru</w:t>
      </w:r>
      <w:proofErr w:type="spellEnd"/>
      <w:r w:rsidR="0032287D" w:rsidRPr="00CC28EC">
        <w:rPr>
          <w:sz w:val="24"/>
          <w:szCs w:val="24"/>
        </w:rPr>
        <w:t xml:space="preserve"> a </w:t>
      </w:r>
      <w:proofErr w:type="spellStart"/>
      <w:r w:rsidR="0032287D" w:rsidRPr="00CC28EC">
        <w:rPr>
          <w:sz w:val="24"/>
          <w:szCs w:val="24"/>
        </w:rPr>
        <w:t>finanța</w:t>
      </w:r>
      <w:proofErr w:type="spellEnd"/>
      <w:r w:rsidR="0032287D" w:rsidRPr="00CC28EC">
        <w:rPr>
          <w:sz w:val="24"/>
          <w:szCs w:val="24"/>
        </w:rPr>
        <w:t xml:space="preserve"> </w:t>
      </w:r>
      <w:proofErr w:type="spellStart"/>
      <w:r w:rsidR="0032287D" w:rsidRPr="00CC28EC">
        <w:rPr>
          <w:sz w:val="24"/>
          <w:szCs w:val="24"/>
        </w:rPr>
        <w:t>deficite</w:t>
      </w:r>
      <w:proofErr w:type="spellEnd"/>
      <w:r w:rsidR="0032287D" w:rsidRPr="00CC28EC">
        <w:rPr>
          <w:sz w:val="24"/>
          <w:szCs w:val="24"/>
        </w:rPr>
        <w:t xml:space="preserve"> </w:t>
      </w:r>
      <w:proofErr w:type="spellStart"/>
      <w:r w:rsidR="0032287D" w:rsidRPr="00CC28EC">
        <w:rPr>
          <w:sz w:val="24"/>
          <w:szCs w:val="24"/>
        </w:rPr>
        <w:t>bugetare</w:t>
      </w:r>
      <w:proofErr w:type="spellEnd"/>
      <w:r w:rsidR="0032287D" w:rsidRPr="00CC28EC">
        <w:rPr>
          <w:sz w:val="24"/>
          <w:szCs w:val="24"/>
        </w:rPr>
        <w:t xml:space="preserve"> </w:t>
      </w:r>
      <w:proofErr w:type="spellStart"/>
      <w:r w:rsidR="0032287D" w:rsidRPr="00CC28EC">
        <w:rPr>
          <w:sz w:val="24"/>
          <w:szCs w:val="24"/>
        </w:rPr>
        <w:t>crescute</w:t>
      </w:r>
      <w:proofErr w:type="spellEnd"/>
      <w:r w:rsidR="0032287D" w:rsidRPr="00CC28EC">
        <w:rPr>
          <w:sz w:val="24"/>
          <w:szCs w:val="24"/>
        </w:rPr>
        <w:t xml:space="preserve">. Deci, </w:t>
      </w:r>
      <w:proofErr w:type="spellStart"/>
      <w:r w:rsidR="0032287D" w:rsidRPr="00CC28EC">
        <w:rPr>
          <w:sz w:val="24"/>
          <w:szCs w:val="24"/>
        </w:rPr>
        <w:t>datoria</w:t>
      </w:r>
      <w:proofErr w:type="spellEnd"/>
      <w:r w:rsidR="0032287D" w:rsidRPr="00CC28EC">
        <w:rPr>
          <w:sz w:val="24"/>
          <w:szCs w:val="24"/>
        </w:rPr>
        <w:t xml:space="preserve"> </w:t>
      </w:r>
      <w:proofErr w:type="spellStart"/>
      <w:r w:rsidR="0032287D" w:rsidRPr="00CC28EC">
        <w:rPr>
          <w:sz w:val="24"/>
          <w:szCs w:val="24"/>
        </w:rPr>
        <w:t>publică</w:t>
      </w:r>
      <w:proofErr w:type="spellEnd"/>
      <w:r w:rsidR="0032287D" w:rsidRPr="00CC28EC">
        <w:rPr>
          <w:sz w:val="24"/>
          <w:szCs w:val="24"/>
        </w:rPr>
        <w:t xml:space="preserve"> se </w:t>
      </w:r>
      <w:proofErr w:type="spellStart"/>
      <w:r w:rsidR="0032287D" w:rsidRPr="00CC28EC">
        <w:rPr>
          <w:sz w:val="24"/>
          <w:szCs w:val="24"/>
        </w:rPr>
        <w:t>poate</w:t>
      </w:r>
      <w:proofErr w:type="spellEnd"/>
      <w:r w:rsidR="0032287D" w:rsidRPr="00CC28EC">
        <w:rPr>
          <w:sz w:val="24"/>
          <w:szCs w:val="24"/>
        </w:rPr>
        <w:t xml:space="preserve"> </w:t>
      </w:r>
      <w:proofErr w:type="spellStart"/>
      <w:r w:rsidR="0032287D" w:rsidRPr="00CC28EC">
        <w:rPr>
          <w:sz w:val="24"/>
          <w:szCs w:val="24"/>
        </w:rPr>
        <w:t>dovedi</w:t>
      </w:r>
      <w:proofErr w:type="spellEnd"/>
      <w:r w:rsidR="0032287D" w:rsidRPr="00CC28EC">
        <w:rPr>
          <w:sz w:val="24"/>
          <w:szCs w:val="24"/>
        </w:rPr>
        <w:t xml:space="preserve"> </w:t>
      </w:r>
      <w:proofErr w:type="spellStart"/>
      <w:r w:rsidR="0032287D" w:rsidRPr="00CC28EC">
        <w:rPr>
          <w:sz w:val="24"/>
          <w:szCs w:val="24"/>
        </w:rPr>
        <w:t>benefică</w:t>
      </w:r>
      <w:proofErr w:type="spellEnd"/>
      <w:r w:rsidR="0032287D" w:rsidRPr="00CC28EC">
        <w:rPr>
          <w:sz w:val="24"/>
          <w:szCs w:val="24"/>
        </w:rPr>
        <w:t xml:space="preserve"> </w:t>
      </w:r>
      <w:proofErr w:type="spellStart"/>
      <w:r w:rsidR="0032287D" w:rsidRPr="00CC28EC">
        <w:rPr>
          <w:sz w:val="24"/>
          <w:szCs w:val="24"/>
        </w:rPr>
        <w:t>pentru</w:t>
      </w:r>
      <w:proofErr w:type="spellEnd"/>
      <w:r w:rsidR="0032287D" w:rsidRPr="00CC28EC">
        <w:rPr>
          <w:sz w:val="24"/>
          <w:szCs w:val="24"/>
        </w:rPr>
        <w:t xml:space="preserve"> </w:t>
      </w:r>
      <w:proofErr w:type="spellStart"/>
      <w:r w:rsidR="0032287D" w:rsidRPr="00CC28EC">
        <w:rPr>
          <w:sz w:val="24"/>
          <w:szCs w:val="24"/>
        </w:rPr>
        <w:t>economie</w:t>
      </w:r>
      <w:proofErr w:type="spellEnd"/>
      <w:r w:rsidR="0032287D" w:rsidRPr="00CC28EC">
        <w:rPr>
          <w:sz w:val="24"/>
          <w:szCs w:val="24"/>
        </w:rPr>
        <w:t xml:space="preserve"> pe termen </w:t>
      </w:r>
      <w:proofErr w:type="spellStart"/>
      <w:r w:rsidR="0032287D" w:rsidRPr="00CC28EC">
        <w:rPr>
          <w:sz w:val="24"/>
          <w:szCs w:val="24"/>
        </w:rPr>
        <w:t>scurt</w:t>
      </w:r>
      <w:proofErr w:type="spellEnd"/>
      <w:r w:rsidR="0032287D" w:rsidRPr="00CC28EC">
        <w:rPr>
          <w:sz w:val="24"/>
          <w:szCs w:val="24"/>
        </w:rPr>
        <w:t xml:space="preserve">, </w:t>
      </w:r>
      <w:proofErr w:type="spellStart"/>
      <w:r w:rsidR="0032287D" w:rsidRPr="00CC28EC">
        <w:rPr>
          <w:sz w:val="24"/>
          <w:szCs w:val="24"/>
        </w:rPr>
        <w:t>mai</w:t>
      </w:r>
      <w:proofErr w:type="spellEnd"/>
      <w:r w:rsidR="0032287D" w:rsidRPr="00CC28EC">
        <w:rPr>
          <w:sz w:val="24"/>
          <w:szCs w:val="24"/>
        </w:rPr>
        <w:t xml:space="preserve"> ales </w:t>
      </w:r>
      <w:proofErr w:type="spellStart"/>
      <w:r w:rsidR="0032287D" w:rsidRPr="00CC28EC">
        <w:rPr>
          <w:sz w:val="24"/>
          <w:szCs w:val="24"/>
        </w:rPr>
        <w:t>atunci</w:t>
      </w:r>
      <w:proofErr w:type="spellEnd"/>
      <w:r w:rsidR="0032287D" w:rsidRPr="00CC28EC">
        <w:rPr>
          <w:sz w:val="24"/>
          <w:szCs w:val="24"/>
        </w:rPr>
        <w:t xml:space="preserve"> </w:t>
      </w:r>
      <w:proofErr w:type="spellStart"/>
      <w:r w:rsidR="0032287D" w:rsidRPr="00CC28EC">
        <w:rPr>
          <w:sz w:val="24"/>
          <w:szCs w:val="24"/>
        </w:rPr>
        <w:t>când</w:t>
      </w:r>
      <w:proofErr w:type="spellEnd"/>
      <w:r w:rsidR="0032287D" w:rsidRPr="00CC28EC">
        <w:rPr>
          <w:sz w:val="24"/>
          <w:szCs w:val="24"/>
        </w:rPr>
        <w:t xml:space="preserve"> </w:t>
      </w:r>
      <w:proofErr w:type="spellStart"/>
      <w:r w:rsidR="0032287D" w:rsidRPr="00CC28EC">
        <w:rPr>
          <w:sz w:val="24"/>
          <w:szCs w:val="24"/>
        </w:rPr>
        <w:t>economia</w:t>
      </w:r>
      <w:proofErr w:type="spellEnd"/>
      <w:r w:rsidR="0032287D" w:rsidRPr="00CC28EC">
        <w:rPr>
          <w:sz w:val="24"/>
          <w:szCs w:val="24"/>
        </w:rPr>
        <w:t xml:space="preserve"> </w:t>
      </w:r>
      <w:proofErr w:type="spellStart"/>
      <w:r w:rsidR="0032287D" w:rsidRPr="00CC28EC">
        <w:rPr>
          <w:sz w:val="24"/>
          <w:szCs w:val="24"/>
        </w:rPr>
        <w:t>este</w:t>
      </w:r>
      <w:proofErr w:type="spellEnd"/>
      <w:r w:rsidR="0032287D" w:rsidRPr="00CC28EC">
        <w:rPr>
          <w:sz w:val="24"/>
          <w:szCs w:val="24"/>
        </w:rPr>
        <w:t xml:space="preserve"> </w:t>
      </w:r>
      <w:proofErr w:type="spellStart"/>
      <w:r w:rsidR="0032287D" w:rsidRPr="00CC28EC">
        <w:rPr>
          <w:sz w:val="24"/>
          <w:szCs w:val="24"/>
        </w:rPr>
        <w:t>în</w:t>
      </w:r>
      <w:proofErr w:type="spellEnd"/>
      <w:r w:rsidR="0032287D" w:rsidRPr="00CC28EC">
        <w:rPr>
          <w:sz w:val="24"/>
          <w:szCs w:val="24"/>
        </w:rPr>
        <w:t xml:space="preserve"> </w:t>
      </w:r>
      <w:proofErr w:type="spellStart"/>
      <w:r w:rsidR="0032287D" w:rsidRPr="00CC28EC">
        <w:rPr>
          <w:sz w:val="24"/>
          <w:szCs w:val="24"/>
        </w:rPr>
        <w:t>recesiune</w:t>
      </w:r>
      <w:proofErr w:type="spellEnd"/>
      <w:r w:rsidR="0032287D" w:rsidRPr="00CC28EC">
        <w:rPr>
          <w:sz w:val="24"/>
          <w:szCs w:val="24"/>
        </w:rPr>
        <w:t xml:space="preserve"> </w:t>
      </w:r>
      <w:proofErr w:type="spellStart"/>
      <w:r w:rsidR="0032287D" w:rsidRPr="00CC28EC">
        <w:rPr>
          <w:sz w:val="24"/>
          <w:szCs w:val="24"/>
        </w:rPr>
        <w:t>sau</w:t>
      </w:r>
      <w:proofErr w:type="spellEnd"/>
      <w:r w:rsidR="0032287D" w:rsidRPr="00CC28EC">
        <w:rPr>
          <w:sz w:val="24"/>
          <w:szCs w:val="24"/>
        </w:rPr>
        <w:t xml:space="preserve"> se </w:t>
      </w:r>
      <w:proofErr w:type="spellStart"/>
      <w:r w:rsidR="0032287D" w:rsidRPr="00CC28EC">
        <w:rPr>
          <w:sz w:val="24"/>
          <w:szCs w:val="24"/>
        </w:rPr>
        <w:t>confruntă</w:t>
      </w:r>
      <w:proofErr w:type="spellEnd"/>
      <w:r w:rsidR="0032287D" w:rsidRPr="00CC28EC">
        <w:rPr>
          <w:sz w:val="24"/>
          <w:szCs w:val="24"/>
        </w:rPr>
        <w:t xml:space="preserve"> cu rate de </w:t>
      </w:r>
      <w:proofErr w:type="spellStart"/>
      <w:r w:rsidR="0032287D" w:rsidRPr="00CC28EC">
        <w:rPr>
          <w:sz w:val="24"/>
          <w:szCs w:val="24"/>
        </w:rPr>
        <w:t>creștere</w:t>
      </w:r>
      <w:proofErr w:type="spellEnd"/>
      <w:r w:rsidR="0032287D" w:rsidRPr="00CC28EC">
        <w:rPr>
          <w:sz w:val="24"/>
          <w:szCs w:val="24"/>
        </w:rPr>
        <w:t xml:space="preserve"> </w:t>
      </w:r>
      <w:proofErr w:type="spellStart"/>
      <w:r w:rsidR="0032287D" w:rsidRPr="00CC28EC">
        <w:rPr>
          <w:sz w:val="24"/>
          <w:szCs w:val="24"/>
        </w:rPr>
        <w:t>slabe</w:t>
      </w:r>
      <w:proofErr w:type="spellEnd"/>
      <w:r w:rsidR="0032287D" w:rsidRPr="00CC28EC">
        <w:rPr>
          <w:sz w:val="24"/>
          <w:szCs w:val="24"/>
        </w:rPr>
        <w:t xml:space="preserve">. </w:t>
      </w:r>
      <w:proofErr w:type="spellStart"/>
      <w:r w:rsidR="0032287D" w:rsidRPr="00CC28EC">
        <w:rPr>
          <w:sz w:val="24"/>
          <w:szCs w:val="24"/>
        </w:rPr>
        <w:t>Această</w:t>
      </w:r>
      <w:proofErr w:type="spellEnd"/>
      <w:r w:rsidR="0032287D" w:rsidRPr="00CC28EC">
        <w:rPr>
          <w:sz w:val="24"/>
          <w:szCs w:val="24"/>
        </w:rPr>
        <w:t xml:space="preserve"> </w:t>
      </w:r>
      <w:proofErr w:type="spellStart"/>
      <w:r w:rsidR="0032287D" w:rsidRPr="00CC28EC">
        <w:rPr>
          <w:sz w:val="24"/>
          <w:szCs w:val="24"/>
        </w:rPr>
        <w:t>abordare</w:t>
      </w:r>
      <w:proofErr w:type="spellEnd"/>
      <w:r w:rsidR="0032287D" w:rsidRPr="00CC28EC">
        <w:rPr>
          <w:sz w:val="24"/>
          <w:szCs w:val="24"/>
        </w:rPr>
        <w:t xml:space="preserve"> se </w:t>
      </w:r>
      <w:proofErr w:type="spellStart"/>
      <w:r w:rsidR="0032287D" w:rsidRPr="00CC28EC">
        <w:rPr>
          <w:sz w:val="24"/>
          <w:szCs w:val="24"/>
        </w:rPr>
        <w:t>apropie</w:t>
      </w:r>
      <w:proofErr w:type="spellEnd"/>
      <w:r w:rsidR="0032287D" w:rsidRPr="00CC28EC">
        <w:rPr>
          <w:sz w:val="24"/>
          <w:szCs w:val="24"/>
        </w:rPr>
        <w:t xml:space="preserve"> de </w:t>
      </w:r>
      <w:proofErr w:type="spellStart"/>
      <w:r w:rsidR="0032287D" w:rsidRPr="00CC28EC">
        <w:rPr>
          <w:sz w:val="24"/>
          <w:szCs w:val="24"/>
        </w:rPr>
        <w:t>gândirea</w:t>
      </w:r>
      <w:proofErr w:type="spellEnd"/>
      <w:r w:rsidR="0032287D" w:rsidRPr="00CC28EC">
        <w:rPr>
          <w:sz w:val="24"/>
          <w:szCs w:val="24"/>
        </w:rPr>
        <w:t xml:space="preserve"> </w:t>
      </w:r>
      <w:proofErr w:type="spellStart"/>
      <w:r w:rsidR="0032287D" w:rsidRPr="00CC28EC">
        <w:rPr>
          <w:sz w:val="24"/>
          <w:szCs w:val="24"/>
        </w:rPr>
        <w:t>keynesiană</w:t>
      </w:r>
      <w:proofErr w:type="spellEnd"/>
      <w:r w:rsidR="0032287D" w:rsidRPr="00CC28EC">
        <w:rPr>
          <w:sz w:val="24"/>
          <w:szCs w:val="24"/>
        </w:rPr>
        <w:t xml:space="preserve"> </w:t>
      </w:r>
      <w:proofErr w:type="spellStart"/>
      <w:r w:rsidR="0032287D" w:rsidRPr="00CC28EC">
        <w:rPr>
          <w:sz w:val="24"/>
          <w:szCs w:val="24"/>
        </w:rPr>
        <w:t>și</w:t>
      </w:r>
      <w:proofErr w:type="spellEnd"/>
      <w:r w:rsidR="0032287D" w:rsidRPr="00CC28EC">
        <w:rPr>
          <w:sz w:val="24"/>
          <w:szCs w:val="24"/>
        </w:rPr>
        <w:t xml:space="preserve"> se </w:t>
      </w:r>
      <w:proofErr w:type="spellStart"/>
      <w:r w:rsidR="0032287D" w:rsidRPr="00CC28EC">
        <w:rPr>
          <w:sz w:val="24"/>
          <w:szCs w:val="24"/>
        </w:rPr>
        <w:t>regăsește</w:t>
      </w:r>
      <w:proofErr w:type="spellEnd"/>
      <w:r w:rsidR="0032287D" w:rsidRPr="00CC28EC">
        <w:rPr>
          <w:sz w:val="24"/>
          <w:szCs w:val="24"/>
        </w:rPr>
        <w:t xml:space="preserve"> </w:t>
      </w:r>
      <w:proofErr w:type="spellStart"/>
      <w:r w:rsidR="0032287D" w:rsidRPr="00CC28EC">
        <w:rPr>
          <w:sz w:val="24"/>
          <w:szCs w:val="24"/>
        </w:rPr>
        <w:t>în</w:t>
      </w:r>
      <w:proofErr w:type="spellEnd"/>
      <w:r w:rsidR="0032287D" w:rsidRPr="00CC28EC">
        <w:rPr>
          <w:sz w:val="24"/>
          <w:szCs w:val="24"/>
        </w:rPr>
        <w:t xml:space="preserve"> </w:t>
      </w:r>
      <w:proofErr w:type="spellStart"/>
      <w:r w:rsidR="0032287D" w:rsidRPr="00CC28EC">
        <w:rPr>
          <w:sz w:val="24"/>
          <w:szCs w:val="24"/>
        </w:rPr>
        <w:t>politic</w:t>
      </w:r>
      <w:r w:rsidR="00DA1232" w:rsidRPr="00CC28EC">
        <w:rPr>
          <w:sz w:val="24"/>
          <w:szCs w:val="24"/>
        </w:rPr>
        <w:t>a</w:t>
      </w:r>
      <w:proofErr w:type="spellEnd"/>
      <w:r w:rsidR="0032287D" w:rsidRPr="00CC28EC">
        <w:rPr>
          <w:sz w:val="24"/>
          <w:szCs w:val="24"/>
        </w:rPr>
        <w:t xml:space="preserve"> de </w:t>
      </w:r>
      <w:proofErr w:type="spellStart"/>
      <w:r w:rsidR="0032287D" w:rsidRPr="00CC28EC">
        <w:rPr>
          <w:sz w:val="24"/>
          <w:szCs w:val="24"/>
        </w:rPr>
        <w:t>îndatorare</w:t>
      </w:r>
      <w:proofErr w:type="spellEnd"/>
      <w:r w:rsidR="0032287D" w:rsidRPr="00CC28EC">
        <w:rPr>
          <w:sz w:val="24"/>
          <w:szCs w:val="24"/>
        </w:rPr>
        <w:t xml:space="preserve"> </w:t>
      </w:r>
      <w:proofErr w:type="spellStart"/>
      <w:r w:rsidR="0032287D" w:rsidRPr="00CC28EC">
        <w:rPr>
          <w:sz w:val="24"/>
          <w:szCs w:val="24"/>
        </w:rPr>
        <w:t>publică</w:t>
      </w:r>
      <w:proofErr w:type="spellEnd"/>
      <w:r w:rsidR="0032287D" w:rsidRPr="00CC28EC">
        <w:rPr>
          <w:sz w:val="24"/>
          <w:szCs w:val="24"/>
        </w:rPr>
        <w:t xml:space="preserve"> </w:t>
      </w:r>
      <w:proofErr w:type="spellStart"/>
      <w:r w:rsidR="0032287D" w:rsidRPr="00CC28EC">
        <w:rPr>
          <w:sz w:val="24"/>
          <w:szCs w:val="24"/>
        </w:rPr>
        <w:t>promovat</w:t>
      </w:r>
      <w:r w:rsidR="00DA1232" w:rsidRPr="00CC28EC">
        <w:rPr>
          <w:sz w:val="24"/>
          <w:szCs w:val="24"/>
        </w:rPr>
        <w:t>ă</w:t>
      </w:r>
      <w:proofErr w:type="spellEnd"/>
      <w:r w:rsidR="00DA1232" w:rsidRPr="00CC28EC">
        <w:rPr>
          <w:sz w:val="24"/>
          <w:szCs w:val="24"/>
        </w:rPr>
        <w:t xml:space="preserve"> de </w:t>
      </w:r>
      <w:proofErr w:type="spellStart"/>
      <w:r w:rsidR="00DA1232" w:rsidRPr="00CC28EC">
        <w:rPr>
          <w:sz w:val="24"/>
          <w:szCs w:val="24"/>
        </w:rPr>
        <w:t>statele</w:t>
      </w:r>
      <w:proofErr w:type="spellEnd"/>
      <w:r w:rsidR="00DA1232" w:rsidRPr="00CC28EC">
        <w:rPr>
          <w:sz w:val="24"/>
          <w:szCs w:val="24"/>
        </w:rPr>
        <w:t xml:space="preserve"> </w:t>
      </w:r>
      <w:proofErr w:type="spellStart"/>
      <w:r w:rsidR="0032287D" w:rsidRPr="00CC28EC">
        <w:rPr>
          <w:sz w:val="24"/>
          <w:szCs w:val="24"/>
        </w:rPr>
        <w:t>membre</w:t>
      </w:r>
      <w:proofErr w:type="spellEnd"/>
      <w:r w:rsidR="0032287D" w:rsidRPr="00CC28EC">
        <w:rPr>
          <w:sz w:val="24"/>
          <w:szCs w:val="24"/>
        </w:rPr>
        <w:t xml:space="preserve"> ale UE, </w:t>
      </w:r>
      <w:r w:rsidR="00DA1232" w:rsidRPr="00CC28EC">
        <w:rPr>
          <w:sz w:val="24"/>
          <w:szCs w:val="24"/>
        </w:rPr>
        <w:t xml:space="preserve">care au </w:t>
      </w:r>
      <w:proofErr w:type="spellStart"/>
      <w:r w:rsidR="00DA1232" w:rsidRPr="00CC28EC">
        <w:rPr>
          <w:sz w:val="24"/>
          <w:szCs w:val="24"/>
        </w:rPr>
        <w:t>decis</w:t>
      </w:r>
      <w:proofErr w:type="spellEnd"/>
      <w:r w:rsidR="00DA1232" w:rsidRPr="00CC28EC">
        <w:rPr>
          <w:sz w:val="24"/>
          <w:szCs w:val="24"/>
        </w:rPr>
        <w:t xml:space="preserve"> </w:t>
      </w:r>
      <w:proofErr w:type="spellStart"/>
      <w:r w:rsidR="0032287D" w:rsidRPr="00CC28EC">
        <w:rPr>
          <w:sz w:val="24"/>
          <w:szCs w:val="24"/>
        </w:rPr>
        <w:t>să</w:t>
      </w:r>
      <w:proofErr w:type="spellEnd"/>
      <w:r w:rsidR="0032287D" w:rsidRPr="00CC28EC">
        <w:rPr>
          <w:sz w:val="24"/>
          <w:szCs w:val="24"/>
        </w:rPr>
        <w:t xml:space="preserve"> </w:t>
      </w:r>
      <w:proofErr w:type="spellStart"/>
      <w:r w:rsidR="0032287D" w:rsidRPr="00CC28EC">
        <w:rPr>
          <w:sz w:val="24"/>
          <w:szCs w:val="24"/>
        </w:rPr>
        <w:t>crească</w:t>
      </w:r>
      <w:proofErr w:type="spellEnd"/>
      <w:r w:rsidR="0032287D" w:rsidRPr="00CC28EC">
        <w:rPr>
          <w:sz w:val="24"/>
          <w:szCs w:val="24"/>
        </w:rPr>
        <w:t xml:space="preserve"> </w:t>
      </w:r>
      <w:proofErr w:type="spellStart"/>
      <w:r w:rsidR="0032287D" w:rsidRPr="00CC28EC">
        <w:rPr>
          <w:sz w:val="24"/>
          <w:szCs w:val="24"/>
        </w:rPr>
        <w:t>cheltuielile</w:t>
      </w:r>
      <w:proofErr w:type="spellEnd"/>
      <w:r w:rsidR="0032287D" w:rsidRPr="00CC28EC">
        <w:rPr>
          <w:sz w:val="24"/>
          <w:szCs w:val="24"/>
        </w:rPr>
        <w:t xml:space="preserve"> </w:t>
      </w:r>
      <w:proofErr w:type="spellStart"/>
      <w:r w:rsidR="0032287D" w:rsidRPr="00CC28EC">
        <w:rPr>
          <w:sz w:val="24"/>
          <w:szCs w:val="24"/>
        </w:rPr>
        <w:t>publice</w:t>
      </w:r>
      <w:proofErr w:type="spellEnd"/>
      <w:r w:rsidR="0032287D" w:rsidRPr="00CC28EC">
        <w:rPr>
          <w:sz w:val="24"/>
          <w:szCs w:val="24"/>
        </w:rPr>
        <w:t xml:space="preserve"> </w:t>
      </w:r>
      <w:proofErr w:type="spellStart"/>
      <w:r w:rsidR="0032287D" w:rsidRPr="00CC28EC">
        <w:rPr>
          <w:sz w:val="24"/>
          <w:szCs w:val="24"/>
        </w:rPr>
        <w:t>sau</w:t>
      </w:r>
      <w:proofErr w:type="spellEnd"/>
      <w:r w:rsidR="0032287D" w:rsidRPr="00CC28EC">
        <w:rPr>
          <w:sz w:val="24"/>
          <w:szCs w:val="24"/>
        </w:rPr>
        <w:t xml:space="preserve"> </w:t>
      </w:r>
      <w:proofErr w:type="spellStart"/>
      <w:r w:rsidR="0032287D" w:rsidRPr="00CC28EC">
        <w:rPr>
          <w:sz w:val="24"/>
          <w:szCs w:val="24"/>
        </w:rPr>
        <w:t>să</w:t>
      </w:r>
      <w:proofErr w:type="spellEnd"/>
      <w:r w:rsidR="0032287D" w:rsidRPr="00CC28EC">
        <w:rPr>
          <w:sz w:val="24"/>
          <w:szCs w:val="24"/>
        </w:rPr>
        <w:t xml:space="preserve"> </w:t>
      </w:r>
      <w:proofErr w:type="spellStart"/>
      <w:r w:rsidR="0032287D" w:rsidRPr="00CC28EC">
        <w:rPr>
          <w:sz w:val="24"/>
          <w:szCs w:val="24"/>
        </w:rPr>
        <w:t>reducă</w:t>
      </w:r>
      <w:proofErr w:type="spellEnd"/>
      <w:r w:rsidR="0032287D" w:rsidRPr="00CC28EC">
        <w:rPr>
          <w:sz w:val="24"/>
          <w:szCs w:val="24"/>
        </w:rPr>
        <w:t xml:space="preserve"> </w:t>
      </w:r>
      <w:proofErr w:type="spellStart"/>
      <w:r w:rsidR="0032287D" w:rsidRPr="00CC28EC">
        <w:rPr>
          <w:sz w:val="24"/>
          <w:szCs w:val="24"/>
        </w:rPr>
        <w:t>impozitele</w:t>
      </w:r>
      <w:proofErr w:type="spellEnd"/>
      <w:r w:rsidR="0032287D" w:rsidRPr="00CC28EC">
        <w:rPr>
          <w:sz w:val="24"/>
          <w:szCs w:val="24"/>
        </w:rPr>
        <w:t xml:space="preserve">, </w:t>
      </w:r>
      <w:proofErr w:type="spellStart"/>
      <w:r w:rsidR="0032287D" w:rsidRPr="00CC28EC">
        <w:rPr>
          <w:sz w:val="24"/>
          <w:szCs w:val="24"/>
        </w:rPr>
        <w:t>să</w:t>
      </w:r>
      <w:proofErr w:type="spellEnd"/>
      <w:r w:rsidR="0032287D" w:rsidRPr="00CC28EC">
        <w:rPr>
          <w:sz w:val="24"/>
          <w:szCs w:val="24"/>
        </w:rPr>
        <w:t xml:space="preserve"> </w:t>
      </w:r>
      <w:r w:rsidR="009B6C14" w:rsidRPr="00CC28EC">
        <w:rPr>
          <w:sz w:val="24"/>
          <w:szCs w:val="24"/>
        </w:rPr>
        <w:t xml:space="preserve">se </w:t>
      </w:r>
      <w:proofErr w:type="spellStart"/>
      <w:r w:rsidR="0032287D" w:rsidRPr="00CC28EC">
        <w:rPr>
          <w:sz w:val="24"/>
          <w:szCs w:val="24"/>
        </w:rPr>
        <w:t>împrumute</w:t>
      </w:r>
      <w:proofErr w:type="spellEnd"/>
      <w:r w:rsidR="009B6C14" w:rsidRPr="00CC28EC">
        <w:rPr>
          <w:sz w:val="24"/>
          <w:szCs w:val="24"/>
        </w:rPr>
        <w:t xml:space="preserve"> </w:t>
      </w:r>
      <w:r w:rsidR="00DA1232" w:rsidRPr="00CC28EC">
        <w:rPr>
          <w:sz w:val="24"/>
          <w:szCs w:val="24"/>
        </w:rPr>
        <w:t xml:space="preserve">cu </w:t>
      </w:r>
      <w:proofErr w:type="spellStart"/>
      <w:r w:rsidR="00DA1232" w:rsidRPr="00CC28EC">
        <w:rPr>
          <w:sz w:val="24"/>
          <w:szCs w:val="24"/>
        </w:rPr>
        <w:t>alte</w:t>
      </w:r>
      <w:proofErr w:type="spellEnd"/>
      <w:r w:rsidR="00DA1232" w:rsidRPr="00CC28EC">
        <w:rPr>
          <w:sz w:val="24"/>
          <w:szCs w:val="24"/>
        </w:rPr>
        <w:t xml:space="preserve"> </w:t>
      </w:r>
      <w:proofErr w:type="spellStart"/>
      <w:r w:rsidR="00DA1232" w:rsidRPr="00CC28EC">
        <w:rPr>
          <w:sz w:val="24"/>
          <w:szCs w:val="24"/>
        </w:rPr>
        <w:t>cuvinte</w:t>
      </w:r>
      <w:proofErr w:type="spellEnd"/>
      <w:r w:rsidR="00DA1232" w:rsidRPr="00CC28EC">
        <w:rPr>
          <w:sz w:val="24"/>
          <w:szCs w:val="24"/>
        </w:rPr>
        <w:t>,</w:t>
      </w:r>
      <w:r w:rsidR="0032287D" w:rsidRPr="00CC28EC">
        <w:rPr>
          <w:sz w:val="24"/>
          <w:szCs w:val="24"/>
        </w:rPr>
        <w:t xml:space="preserve"> </w:t>
      </w:r>
      <w:proofErr w:type="spellStart"/>
      <w:r w:rsidR="0032287D" w:rsidRPr="00CC28EC">
        <w:rPr>
          <w:sz w:val="24"/>
          <w:szCs w:val="24"/>
        </w:rPr>
        <w:t>pentru</w:t>
      </w:r>
      <w:proofErr w:type="spellEnd"/>
      <w:r w:rsidR="0032287D" w:rsidRPr="00CC28EC">
        <w:rPr>
          <w:sz w:val="24"/>
          <w:szCs w:val="24"/>
        </w:rPr>
        <w:t xml:space="preserve"> a </w:t>
      </w:r>
      <w:proofErr w:type="spellStart"/>
      <w:r w:rsidR="0032287D" w:rsidRPr="00CC28EC">
        <w:rPr>
          <w:sz w:val="24"/>
          <w:szCs w:val="24"/>
        </w:rPr>
        <w:t>sprijini</w:t>
      </w:r>
      <w:proofErr w:type="spellEnd"/>
      <w:r w:rsidR="0032287D" w:rsidRPr="00CC28EC">
        <w:rPr>
          <w:sz w:val="24"/>
          <w:szCs w:val="24"/>
        </w:rPr>
        <w:t xml:space="preserve"> </w:t>
      </w:r>
      <w:proofErr w:type="spellStart"/>
      <w:r w:rsidR="0032287D" w:rsidRPr="00CC28EC">
        <w:rPr>
          <w:sz w:val="24"/>
          <w:szCs w:val="24"/>
        </w:rPr>
        <w:t>economia</w:t>
      </w:r>
      <w:proofErr w:type="spellEnd"/>
      <w:r w:rsidR="0032287D" w:rsidRPr="00CC28EC">
        <w:rPr>
          <w:sz w:val="24"/>
          <w:szCs w:val="24"/>
        </w:rPr>
        <w:t xml:space="preserve"> </w:t>
      </w:r>
      <w:proofErr w:type="spellStart"/>
      <w:r w:rsidR="00DA1232" w:rsidRPr="00CC28EC">
        <w:rPr>
          <w:sz w:val="24"/>
          <w:szCs w:val="24"/>
        </w:rPr>
        <w:t>sau</w:t>
      </w:r>
      <w:proofErr w:type="spellEnd"/>
      <w:r w:rsidR="00DA1232" w:rsidRPr="00CC28EC">
        <w:rPr>
          <w:sz w:val="24"/>
          <w:szCs w:val="24"/>
        </w:rPr>
        <w:t xml:space="preserve"> </w:t>
      </w:r>
      <w:proofErr w:type="spellStart"/>
      <w:r w:rsidR="00DA1232" w:rsidRPr="00CC28EC">
        <w:rPr>
          <w:sz w:val="24"/>
          <w:szCs w:val="24"/>
        </w:rPr>
        <w:t>pentru</w:t>
      </w:r>
      <w:proofErr w:type="spellEnd"/>
      <w:r w:rsidR="00DA1232" w:rsidRPr="00CC28EC">
        <w:rPr>
          <w:sz w:val="24"/>
          <w:szCs w:val="24"/>
        </w:rPr>
        <w:t xml:space="preserve"> a </w:t>
      </w:r>
      <w:proofErr w:type="spellStart"/>
      <w:r w:rsidR="00DA1232" w:rsidRPr="00CC28EC">
        <w:rPr>
          <w:sz w:val="24"/>
          <w:szCs w:val="24"/>
        </w:rPr>
        <w:t>determina</w:t>
      </w:r>
      <w:proofErr w:type="spellEnd"/>
      <w:r w:rsidR="0032287D" w:rsidRPr="00CC28EC">
        <w:rPr>
          <w:sz w:val="24"/>
          <w:szCs w:val="24"/>
        </w:rPr>
        <w:t xml:space="preserve"> o </w:t>
      </w:r>
      <w:proofErr w:type="spellStart"/>
      <w:r w:rsidR="0032287D" w:rsidRPr="00CC28EC">
        <w:rPr>
          <w:sz w:val="24"/>
          <w:szCs w:val="24"/>
        </w:rPr>
        <w:t>tendință</w:t>
      </w:r>
      <w:proofErr w:type="spellEnd"/>
      <w:r w:rsidR="0032287D" w:rsidRPr="00CC28EC">
        <w:rPr>
          <w:sz w:val="24"/>
          <w:szCs w:val="24"/>
        </w:rPr>
        <w:t xml:space="preserve"> </w:t>
      </w:r>
      <w:r w:rsidR="00DA1232" w:rsidRPr="00CC28EC">
        <w:rPr>
          <w:sz w:val="24"/>
          <w:szCs w:val="24"/>
        </w:rPr>
        <w:t xml:space="preserve">de </w:t>
      </w:r>
      <w:proofErr w:type="spellStart"/>
      <w:r w:rsidR="00DA1232" w:rsidRPr="00CC28EC">
        <w:rPr>
          <w:sz w:val="24"/>
          <w:szCs w:val="24"/>
        </w:rPr>
        <w:t>creștere</w:t>
      </w:r>
      <w:proofErr w:type="spellEnd"/>
      <w:r w:rsidR="00DA1232" w:rsidRPr="00CC28EC">
        <w:rPr>
          <w:sz w:val="24"/>
          <w:szCs w:val="24"/>
        </w:rPr>
        <w:t xml:space="preserve"> </w:t>
      </w:r>
      <w:proofErr w:type="spellStart"/>
      <w:r w:rsidR="0032287D" w:rsidRPr="00CC28EC">
        <w:rPr>
          <w:sz w:val="24"/>
          <w:szCs w:val="24"/>
        </w:rPr>
        <w:t>economică</w:t>
      </w:r>
      <w:proofErr w:type="spellEnd"/>
      <w:r w:rsidR="0032287D" w:rsidRPr="00CC28EC">
        <w:rPr>
          <w:sz w:val="24"/>
          <w:szCs w:val="24"/>
        </w:rPr>
        <w:t>.</w:t>
      </w:r>
    </w:p>
    <w:p w14:paraId="0162D817" w14:textId="711F47BE" w:rsidR="00DA1232" w:rsidRPr="00CC28EC" w:rsidRDefault="00DA1232" w:rsidP="006C1549">
      <w:pPr>
        <w:tabs>
          <w:tab w:val="left" w:pos="360"/>
        </w:tabs>
        <w:jc w:val="both"/>
        <w:rPr>
          <w:sz w:val="24"/>
          <w:szCs w:val="24"/>
        </w:rPr>
      </w:pPr>
      <w:r w:rsidRPr="00CC28EC">
        <w:rPr>
          <w:sz w:val="24"/>
          <w:szCs w:val="24"/>
        </w:rPr>
        <w:tab/>
      </w:r>
      <w:r w:rsidRPr="00CC28EC">
        <w:rPr>
          <w:sz w:val="24"/>
          <w:szCs w:val="24"/>
        </w:rPr>
        <w:tab/>
        <w:t xml:space="preserve">Pe o </w:t>
      </w:r>
      <w:proofErr w:type="spellStart"/>
      <w:r w:rsidRPr="00CC28EC">
        <w:rPr>
          <w:sz w:val="24"/>
          <w:szCs w:val="24"/>
        </w:rPr>
        <w:t>perioadă</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w:t>
      </w:r>
      <w:proofErr w:type="spellStart"/>
      <w:r w:rsidRPr="00CC28EC">
        <w:rPr>
          <w:sz w:val="24"/>
          <w:szCs w:val="24"/>
        </w:rPr>
        <w:t>lungă</w:t>
      </w:r>
      <w:proofErr w:type="spellEnd"/>
      <w:r w:rsidRPr="00CC28EC">
        <w:rPr>
          <w:sz w:val="24"/>
          <w:szCs w:val="24"/>
        </w:rPr>
        <w:t xml:space="preserve"> de </w:t>
      </w:r>
      <w:proofErr w:type="spellStart"/>
      <w:r w:rsidRPr="00CC28EC">
        <w:rPr>
          <w:sz w:val="24"/>
          <w:szCs w:val="24"/>
        </w:rPr>
        <w:t>timp</w:t>
      </w:r>
      <w:proofErr w:type="spellEnd"/>
      <w:r w:rsidRPr="00CC28EC">
        <w:rPr>
          <w:sz w:val="24"/>
          <w:szCs w:val="24"/>
        </w:rPr>
        <w:t xml:space="preserve">, </w:t>
      </w:r>
      <w:proofErr w:type="spellStart"/>
      <w:r w:rsidRPr="00CC28EC">
        <w:rPr>
          <w:sz w:val="24"/>
          <w:szCs w:val="24"/>
        </w:rPr>
        <w:t>îndatorarea</w:t>
      </w:r>
      <w:proofErr w:type="spellEnd"/>
      <w:r w:rsidRPr="00CC28EC">
        <w:rPr>
          <w:sz w:val="24"/>
          <w:szCs w:val="24"/>
        </w:rPr>
        <w:t xml:space="preserve"> </w:t>
      </w:r>
      <w:proofErr w:type="spellStart"/>
      <w:r w:rsidRPr="00CC28EC">
        <w:rPr>
          <w:sz w:val="24"/>
          <w:szCs w:val="24"/>
        </w:rPr>
        <w:t>autorităților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pentru</w:t>
      </w:r>
      <w:proofErr w:type="spellEnd"/>
      <w:r w:rsidRPr="00CC28EC">
        <w:rPr>
          <w:sz w:val="24"/>
          <w:szCs w:val="24"/>
        </w:rPr>
        <w:t xml:space="preserve"> </w:t>
      </w:r>
      <w:proofErr w:type="spellStart"/>
      <w:r w:rsidRPr="00CC28EC">
        <w:rPr>
          <w:sz w:val="24"/>
          <w:szCs w:val="24"/>
        </w:rPr>
        <w:t>finanțarea</w:t>
      </w:r>
      <w:proofErr w:type="spellEnd"/>
      <w:r w:rsidRPr="00CC28EC">
        <w:rPr>
          <w:sz w:val="24"/>
          <w:szCs w:val="24"/>
        </w:rPr>
        <w:t xml:space="preserve"> </w:t>
      </w:r>
      <w:proofErr w:type="spellStart"/>
      <w:r w:rsidRPr="00CC28EC">
        <w:rPr>
          <w:sz w:val="24"/>
          <w:szCs w:val="24"/>
        </w:rPr>
        <w:t>deficitelor</w:t>
      </w:r>
      <w:proofErr w:type="spellEnd"/>
      <w:r w:rsidRPr="00CC28EC">
        <w:rPr>
          <w:sz w:val="24"/>
          <w:szCs w:val="24"/>
        </w:rPr>
        <w:t xml:space="preserve"> </w:t>
      </w:r>
      <w:proofErr w:type="spellStart"/>
      <w:r w:rsidRPr="00CC28EC">
        <w:rPr>
          <w:sz w:val="24"/>
          <w:szCs w:val="24"/>
        </w:rPr>
        <w:t>bugetare</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considerată</w:t>
      </w:r>
      <w:proofErr w:type="spellEnd"/>
      <w:r w:rsidRPr="00CC28EC">
        <w:rPr>
          <w:sz w:val="24"/>
          <w:szCs w:val="24"/>
        </w:rPr>
        <w:t xml:space="preserve"> a duce la </w:t>
      </w:r>
      <w:proofErr w:type="spellStart"/>
      <w:r w:rsidRPr="00CC28EC">
        <w:rPr>
          <w:sz w:val="24"/>
          <w:szCs w:val="24"/>
        </w:rPr>
        <w:t>reducerea</w:t>
      </w:r>
      <w:proofErr w:type="spellEnd"/>
      <w:r w:rsidRPr="00CC28EC">
        <w:rPr>
          <w:sz w:val="24"/>
          <w:szCs w:val="24"/>
        </w:rPr>
        <w:t xml:space="preserve"> </w:t>
      </w:r>
      <w:proofErr w:type="spellStart"/>
      <w:r w:rsidRPr="00CC28EC">
        <w:rPr>
          <w:sz w:val="24"/>
          <w:szCs w:val="24"/>
        </w:rPr>
        <w:t>economiilor</w:t>
      </w:r>
      <w:proofErr w:type="spellEnd"/>
      <w:r w:rsidRPr="00CC28EC">
        <w:rPr>
          <w:sz w:val="24"/>
          <w:szCs w:val="24"/>
        </w:rPr>
        <w:t xml:space="preserve"> </w:t>
      </w:r>
      <w:proofErr w:type="spellStart"/>
      <w:r w:rsidRPr="00CC28EC">
        <w:rPr>
          <w:sz w:val="24"/>
          <w:szCs w:val="24"/>
        </w:rPr>
        <w:t>totale</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private), la </w:t>
      </w:r>
      <w:proofErr w:type="spellStart"/>
      <w:r w:rsidRPr="00CC28EC">
        <w:rPr>
          <w:sz w:val="24"/>
          <w:szCs w:val="24"/>
        </w:rPr>
        <w:t>creșterea</w:t>
      </w:r>
      <w:proofErr w:type="spellEnd"/>
      <w:r w:rsidRPr="00CC28EC">
        <w:rPr>
          <w:sz w:val="24"/>
          <w:szCs w:val="24"/>
        </w:rPr>
        <w:t xml:space="preserve"> </w:t>
      </w:r>
      <w:proofErr w:type="spellStart"/>
      <w:r w:rsidRPr="00CC28EC">
        <w:rPr>
          <w:sz w:val="24"/>
          <w:szCs w:val="24"/>
        </w:rPr>
        <w:t>ratei</w:t>
      </w:r>
      <w:proofErr w:type="spellEnd"/>
      <w:r w:rsidRPr="00CC28EC">
        <w:rPr>
          <w:sz w:val="24"/>
          <w:szCs w:val="24"/>
        </w:rPr>
        <w:t xml:space="preserve"> </w:t>
      </w:r>
      <w:proofErr w:type="spellStart"/>
      <w:r w:rsidRPr="00CC28EC">
        <w:rPr>
          <w:sz w:val="24"/>
          <w:szCs w:val="24"/>
        </w:rPr>
        <w:t>dobânzii</w:t>
      </w:r>
      <w:proofErr w:type="spellEnd"/>
      <w:r w:rsidRPr="00CC28EC">
        <w:rPr>
          <w:sz w:val="24"/>
          <w:szCs w:val="24"/>
        </w:rPr>
        <w:t xml:space="preserve">, la </w:t>
      </w:r>
      <w:proofErr w:type="spellStart"/>
      <w:r w:rsidRPr="00CC28EC">
        <w:rPr>
          <w:sz w:val="24"/>
          <w:szCs w:val="24"/>
        </w:rPr>
        <w:t>scăderea</w:t>
      </w:r>
      <w:proofErr w:type="spellEnd"/>
      <w:r w:rsidRPr="00CC28EC">
        <w:rPr>
          <w:sz w:val="24"/>
          <w:szCs w:val="24"/>
        </w:rPr>
        <w:t xml:space="preserve"> </w:t>
      </w:r>
      <w:proofErr w:type="spellStart"/>
      <w:r w:rsidRPr="00CC28EC">
        <w:rPr>
          <w:sz w:val="24"/>
          <w:szCs w:val="24"/>
        </w:rPr>
        <w:t>investițiilor</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la </w:t>
      </w:r>
      <w:proofErr w:type="spellStart"/>
      <w:r w:rsidRPr="00CC28EC">
        <w:rPr>
          <w:sz w:val="24"/>
          <w:szCs w:val="24"/>
        </w:rPr>
        <w:t>reducerea</w:t>
      </w:r>
      <w:proofErr w:type="spellEnd"/>
      <w:r w:rsidRPr="00CC28EC">
        <w:rPr>
          <w:sz w:val="24"/>
          <w:szCs w:val="24"/>
        </w:rPr>
        <w:t xml:space="preserve"> </w:t>
      </w:r>
      <w:proofErr w:type="spellStart"/>
      <w:r w:rsidRPr="00CC28EC">
        <w:rPr>
          <w:sz w:val="24"/>
          <w:szCs w:val="24"/>
        </w:rPr>
        <w:t>stocului</w:t>
      </w:r>
      <w:proofErr w:type="spellEnd"/>
      <w:r w:rsidRPr="00CC28EC">
        <w:rPr>
          <w:sz w:val="24"/>
          <w:szCs w:val="24"/>
        </w:rPr>
        <w:t xml:space="preserve"> de capital. </w:t>
      </w:r>
      <w:proofErr w:type="spellStart"/>
      <w:r w:rsidRPr="00CC28EC">
        <w:rPr>
          <w:sz w:val="24"/>
          <w:szCs w:val="24"/>
        </w:rPr>
        <w:t>Astfel</w:t>
      </w:r>
      <w:proofErr w:type="spellEnd"/>
      <w:r w:rsidRPr="00CC28EC">
        <w:rPr>
          <w:sz w:val="24"/>
          <w:szCs w:val="24"/>
        </w:rPr>
        <w:t xml:space="preserve">, </w:t>
      </w:r>
      <w:proofErr w:type="spellStart"/>
      <w:r w:rsidRPr="00CC28EC">
        <w:rPr>
          <w:sz w:val="24"/>
          <w:szCs w:val="24"/>
        </w:rPr>
        <w:t>efectele</w:t>
      </w:r>
      <w:proofErr w:type="spellEnd"/>
      <w:r w:rsidRPr="00CC28EC">
        <w:rPr>
          <w:sz w:val="24"/>
          <w:szCs w:val="24"/>
        </w:rPr>
        <w:t xml:space="preserve"> sale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creșterii</w:t>
      </w:r>
      <w:proofErr w:type="spellEnd"/>
      <w:r w:rsidRPr="00CC28EC">
        <w:rPr>
          <w:sz w:val="24"/>
          <w:szCs w:val="24"/>
        </w:rPr>
        <w:t xml:space="preserve"> </w:t>
      </w:r>
      <w:proofErr w:type="spellStart"/>
      <w:r w:rsidRPr="00CC28EC">
        <w:rPr>
          <w:sz w:val="24"/>
          <w:szCs w:val="24"/>
        </w:rPr>
        <w:t>economice</w:t>
      </w:r>
      <w:proofErr w:type="spellEnd"/>
      <w:r w:rsidRPr="00CC28EC">
        <w:rPr>
          <w:sz w:val="24"/>
          <w:szCs w:val="24"/>
        </w:rPr>
        <w:t xml:space="preserve"> sunt negative. </w:t>
      </w:r>
      <w:r w:rsidR="00AF2819" w:rsidRPr="00CC28EC">
        <w:rPr>
          <w:sz w:val="24"/>
          <w:szCs w:val="24"/>
        </w:rPr>
        <w:t>(</w:t>
      </w:r>
      <w:proofErr w:type="spellStart"/>
      <w:r w:rsidR="00AF2819" w:rsidRPr="00CC28EC">
        <w:rPr>
          <w:sz w:val="24"/>
          <w:szCs w:val="24"/>
        </w:rPr>
        <w:t>Bilan</w:t>
      </w:r>
      <w:proofErr w:type="spellEnd"/>
      <w:r w:rsidR="00AF2819" w:rsidRPr="00CC28EC">
        <w:rPr>
          <w:sz w:val="24"/>
          <w:szCs w:val="24"/>
        </w:rPr>
        <w:t>,</w:t>
      </w:r>
      <w:r w:rsidR="005B2ECE" w:rsidRPr="00CC28EC">
        <w:rPr>
          <w:sz w:val="24"/>
          <w:szCs w:val="24"/>
        </w:rPr>
        <w:t xml:space="preserve"> </w:t>
      </w:r>
      <w:r w:rsidR="00AF2819" w:rsidRPr="00CC28EC">
        <w:rPr>
          <w:sz w:val="24"/>
          <w:szCs w:val="24"/>
        </w:rPr>
        <w:t xml:space="preserve">2016) </w:t>
      </w:r>
      <w:proofErr w:type="spellStart"/>
      <w:r w:rsidRPr="00CC28EC">
        <w:rPr>
          <w:sz w:val="24"/>
          <w:szCs w:val="24"/>
        </w:rPr>
        <w:t>Aceste</w:t>
      </w:r>
      <w:proofErr w:type="spellEnd"/>
      <w:r w:rsidRPr="00CC28EC">
        <w:rPr>
          <w:sz w:val="24"/>
          <w:szCs w:val="24"/>
        </w:rPr>
        <w:t xml:space="preserve"> </w:t>
      </w:r>
      <w:proofErr w:type="spellStart"/>
      <w:r w:rsidRPr="00CC28EC">
        <w:rPr>
          <w:sz w:val="24"/>
          <w:szCs w:val="24"/>
        </w:rPr>
        <w:t>idei</w:t>
      </w:r>
      <w:proofErr w:type="spellEnd"/>
      <w:r w:rsidRPr="00CC28EC">
        <w:rPr>
          <w:sz w:val="24"/>
          <w:szCs w:val="24"/>
        </w:rPr>
        <w:t xml:space="preserve"> sunt </w:t>
      </w:r>
      <w:proofErr w:type="spellStart"/>
      <w:r w:rsidRPr="00CC28EC">
        <w:rPr>
          <w:sz w:val="24"/>
          <w:szCs w:val="24"/>
        </w:rPr>
        <w:t>mai</w:t>
      </w:r>
      <w:proofErr w:type="spellEnd"/>
      <w:r w:rsidRPr="00CC28EC">
        <w:rPr>
          <w:sz w:val="24"/>
          <w:szCs w:val="24"/>
        </w:rPr>
        <w:t xml:space="preserve"> </w:t>
      </w:r>
      <w:proofErr w:type="spellStart"/>
      <w:r w:rsidRPr="00CC28EC">
        <w:rPr>
          <w:sz w:val="24"/>
          <w:szCs w:val="24"/>
        </w:rPr>
        <w:t>aproape</w:t>
      </w:r>
      <w:proofErr w:type="spellEnd"/>
      <w:r w:rsidRPr="00CC28EC">
        <w:rPr>
          <w:sz w:val="24"/>
          <w:szCs w:val="24"/>
        </w:rPr>
        <w:t xml:space="preserve"> de </w:t>
      </w:r>
      <w:proofErr w:type="spellStart"/>
      <w:r w:rsidRPr="00CC28EC">
        <w:rPr>
          <w:sz w:val="24"/>
          <w:szCs w:val="24"/>
        </w:rPr>
        <w:t>viziunea</w:t>
      </w:r>
      <w:proofErr w:type="spellEnd"/>
      <w:r w:rsidRPr="00CC28EC">
        <w:rPr>
          <w:sz w:val="24"/>
          <w:szCs w:val="24"/>
        </w:rPr>
        <w:t xml:space="preserve"> </w:t>
      </w:r>
      <w:proofErr w:type="spellStart"/>
      <w:r w:rsidRPr="00CC28EC">
        <w:rPr>
          <w:sz w:val="24"/>
          <w:szCs w:val="24"/>
        </w:rPr>
        <w:t>clasică</w:t>
      </w:r>
      <w:proofErr w:type="spellEnd"/>
      <w:r w:rsidRPr="00CC28EC">
        <w:rPr>
          <w:sz w:val="24"/>
          <w:szCs w:val="24"/>
        </w:rPr>
        <w:t>.</w:t>
      </w:r>
    </w:p>
    <w:p w14:paraId="56213582" w14:textId="77777777" w:rsidR="00E06A4F" w:rsidRPr="00CC28EC" w:rsidRDefault="005B2ECE" w:rsidP="0080686C">
      <w:pPr>
        <w:tabs>
          <w:tab w:val="left" w:pos="360"/>
        </w:tabs>
        <w:jc w:val="both"/>
        <w:rPr>
          <w:sz w:val="24"/>
          <w:szCs w:val="24"/>
        </w:rPr>
      </w:pPr>
      <w:r w:rsidRPr="00CC28EC">
        <w:rPr>
          <w:sz w:val="24"/>
          <w:szCs w:val="24"/>
        </w:rPr>
        <w:tab/>
      </w:r>
      <w:r w:rsidRPr="00CC28EC">
        <w:rPr>
          <w:sz w:val="24"/>
          <w:szCs w:val="24"/>
        </w:rPr>
        <w:tab/>
      </w:r>
      <w:r w:rsidR="008414DA" w:rsidRPr="00CC28EC">
        <w:rPr>
          <w:sz w:val="24"/>
          <w:szCs w:val="24"/>
        </w:rPr>
        <w:t xml:space="preserve">Modern Monetary Theory, </w:t>
      </w:r>
      <w:r w:rsidR="00B5053B" w:rsidRPr="00CC28EC">
        <w:rPr>
          <w:sz w:val="24"/>
          <w:szCs w:val="24"/>
        </w:rPr>
        <w:t>(</w:t>
      </w:r>
      <w:r w:rsidR="008414DA" w:rsidRPr="00CC28EC">
        <w:rPr>
          <w:sz w:val="24"/>
          <w:szCs w:val="24"/>
        </w:rPr>
        <w:t xml:space="preserve">MMT) </w:t>
      </w:r>
      <w:proofErr w:type="spellStart"/>
      <w:r w:rsidR="00B5053B" w:rsidRPr="00CC28EC">
        <w:rPr>
          <w:sz w:val="24"/>
          <w:szCs w:val="24"/>
        </w:rPr>
        <w:t>prezentată</w:t>
      </w:r>
      <w:proofErr w:type="spellEnd"/>
      <w:r w:rsidR="00B5053B" w:rsidRPr="00CC28EC">
        <w:rPr>
          <w:sz w:val="24"/>
          <w:szCs w:val="24"/>
        </w:rPr>
        <w:t xml:space="preserve"> </w:t>
      </w:r>
      <w:proofErr w:type="spellStart"/>
      <w:r w:rsidR="00B5053B" w:rsidRPr="00CC28EC">
        <w:rPr>
          <w:sz w:val="24"/>
          <w:szCs w:val="24"/>
        </w:rPr>
        <w:t>inițial</w:t>
      </w:r>
      <w:proofErr w:type="spellEnd"/>
      <w:r w:rsidR="00B5053B" w:rsidRPr="00CC28EC">
        <w:rPr>
          <w:sz w:val="24"/>
          <w:szCs w:val="24"/>
        </w:rPr>
        <w:t xml:space="preserve"> </w:t>
      </w:r>
      <w:proofErr w:type="spellStart"/>
      <w:r w:rsidR="00B5053B" w:rsidRPr="00CC28EC">
        <w:rPr>
          <w:sz w:val="24"/>
          <w:szCs w:val="24"/>
        </w:rPr>
        <w:t>în</w:t>
      </w:r>
      <w:proofErr w:type="spellEnd"/>
      <w:r w:rsidR="00B5053B" w:rsidRPr="00CC28EC">
        <w:rPr>
          <w:sz w:val="24"/>
          <w:szCs w:val="24"/>
        </w:rPr>
        <w:t xml:space="preserve"> </w:t>
      </w:r>
      <w:r w:rsidR="008414DA" w:rsidRPr="00CC28EC">
        <w:rPr>
          <w:sz w:val="24"/>
          <w:szCs w:val="24"/>
        </w:rPr>
        <w:t xml:space="preserve">SUA </w:t>
      </w:r>
      <w:proofErr w:type="spellStart"/>
      <w:r w:rsidR="00B5053B" w:rsidRPr="00CC28EC">
        <w:rPr>
          <w:sz w:val="24"/>
          <w:szCs w:val="24"/>
        </w:rPr>
        <w:t>dar</w:t>
      </w:r>
      <w:proofErr w:type="spellEnd"/>
      <w:r w:rsidR="00B5053B" w:rsidRPr="00CC28EC">
        <w:rPr>
          <w:sz w:val="24"/>
          <w:szCs w:val="24"/>
        </w:rPr>
        <w:t xml:space="preserve"> </w:t>
      </w:r>
      <w:proofErr w:type="spellStart"/>
      <w:r w:rsidR="00B5053B" w:rsidRPr="00CC28EC">
        <w:rPr>
          <w:sz w:val="24"/>
          <w:szCs w:val="24"/>
        </w:rPr>
        <w:t>îmbrățișată</w:t>
      </w:r>
      <w:proofErr w:type="spellEnd"/>
      <w:r w:rsidR="00B5053B" w:rsidRPr="00CC28EC">
        <w:rPr>
          <w:sz w:val="24"/>
          <w:szCs w:val="24"/>
        </w:rPr>
        <w:t xml:space="preserve"> </w:t>
      </w:r>
      <w:proofErr w:type="spellStart"/>
      <w:r w:rsidR="00B5053B" w:rsidRPr="00CC28EC">
        <w:rPr>
          <w:sz w:val="24"/>
          <w:szCs w:val="24"/>
        </w:rPr>
        <w:t>și</w:t>
      </w:r>
      <w:proofErr w:type="spellEnd"/>
      <w:r w:rsidR="00B5053B" w:rsidRPr="00CC28EC">
        <w:rPr>
          <w:sz w:val="24"/>
          <w:szCs w:val="24"/>
        </w:rPr>
        <w:t xml:space="preserve"> </w:t>
      </w:r>
      <w:proofErr w:type="spellStart"/>
      <w:r w:rsidR="00B5053B" w:rsidRPr="00CC28EC">
        <w:rPr>
          <w:sz w:val="24"/>
          <w:szCs w:val="24"/>
        </w:rPr>
        <w:t>în</w:t>
      </w:r>
      <w:proofErr w:type="spellEnd"/>
      <w:r w:rsidR="00B5053B" w:rsidRPr="00CC28EC">
        <w:rPr>
          <w:sz w:val="24"/>
          <w:szCs w:val="24"/>
        </w:rPr>
        <w:t xml:space="preserve"> UE </w:t>
      </w:r>
      <w:proofErr w:type="spellStart"/>
      <w:r w:rsidR="008414DA" w:rsidRPr="00CC28EC">
        <w:rPr>
          <w:sz w:val="24"/>
          <w:szCs w:val="24"/>
        </w:rPr>
        <w:t>pledează</w:t>
      </w:r>
      <w:proofErr w:type="spellEnd"/>
      <w:r w:rsidR="008414DA" w:rsidRPr="00CC28EC">
        <w:rPr>
          <w:sz w:val="24"/>
          <w:szCs w:val="24"/>
        </w:rPr>
        <w:t xml:space="preserve"> </w:t>
      </w:r>
      <w:proofErr w:type="spellStart"/>
      <w:r w:rsidR="008414DA" w:rsidRPr="00CC28EC">
        <w:rPr>
          <w:sz w:val="24"/>
          <w:szCs w:val="24"/>
        </w:rPr>
        <w:t>pentru</w:t>
      </w:r>
      <w:proofErr w:type="spellEnd"/>
      <w:r w:rsidR="008414DA" w:rsidRPr="00CC28EC">
        <w:rPr>
          <w:sz w:val="24"/>
          <w:szCs w:val="24"/>
        </w:rPr>
        <w:t xml:space="preserve"> </w:t>
      </w:r>
      <w:proofErr w:type="spellStart"/>
      <w:r w:rsidR="008414DA" w:rsidRPr="00CC28EC">
        <w:rPr>
          <w:sz w:val="24"/>
          <w:szCs w:val="24"/>
        </w:rPr>
        <w:t>creșterea</w:t>
      </w:r>
      <w:proofErr w:type="spellEnd"/>
      <w:r w:rsidR="008414DA" w:rsidRPr="00CC28EC">
        <w:rPr>
          <w:sz w:val="24"/>
          <w:szCs w:val="24"/>
        </w:rPr>
        <w:t xml:space="preserve"> </w:t>
      </w:r>
      <w:proofErr w:type="spellStart"/>
      <w:r w:rsidR="008414DA" w:rsidRPr="00CC28EC">
        <w:rPr>
          <w:sz w:val="24"/>
          <w:szCs w:val="24"/>
        </w:rPr>
        <w:t>deficitului</w:t>
      </w:r>
      <w:proofErr w:type="spellEnd"/>
      <w:r w:rsidR="008414DA" w:rsidRPr="00CC28EC">
        <w:rPr>
          <w:sz w:val="24"/>
          <w:szCs w:val="24"/>
        </w:rPr>
        <w:t xml:space="preserve"> </w:t>
      </w:r>
      <w:proofErr w:type="spellStart"/>
      <w:r w:rsidR="008414DA" w:rsidRPr="00CC28EC">
        <w:rPr>
          <w:sz w:val="24"/>
          <w:szCs w:val="24"/>
        </w:rPr>
        <w:t>bugetar</w:t>
      </w:r>
      <w:proofErr w:type="spellEnd"/>
      <w:r w:rsidR="008414DA" w:rsidRPr="00CC28EC">
        <w:rPr>
          <w:sz w:val="24"/>
          <w:szCs w:val="24"/>
        </w:rPr>
        <w:t>,</w:t>
      </w:r>
      <w:r w:rsidR="0080686C" w:rsidRPr="00CC28EC">
        <w:rPr>
          <w:sz w:val="24"/>
          <w:szCs w:val="24"/>
        </w:rPr>
        <w:t xml:space="preserve"> </w:t>
      </w:r>
      <w:proofErr w:type="spellStart"/>
      <w:r w:rsidR="008414DA" w:rsidRPr="00CC28EC">
        <w:rPr>
          <w:sz w:val="24"/>
          <w:szCs w:val="24"/>
        </w:rPr>
        <w:t>finanțat</w:t>
      </w:r>
      <w:proofErr w:type="spellEnd"/>
      <w:r w:rsidR="008414DA" w:rsidRPr="00CC28EC">
        <w:rPr>
          <w:sz w:val="24"/>
          <w:szCs w:val="24"/>
        </w:rPr>
        <w:t xml:space="preserve"> </w:t>
      </w:r>
      <w:proofErr w:type="spellStart"/>
      <w:r w:rsidR="008414DA" w:rsidRPr="00CC28EC">
        <w:rPr>
          <w:sz w:val="24"/>
          <w:szCs w:val="24"/>
        </w:rPr>
        <w:t>mai</w:t>
      </w:r>
      <w:proofErr w:type="spellEnd"/>
      <w:r w:rsidR="008414DA" w:rsidRPr="00CC28EC">
        <w:rPr>
          <w:sz w:val="24"/>
          <w:szCs w:val="24"/>
        </w:rPr>
        <w:t xml:space="preserve"> </w:t>
      </w:r>
      <w:proofErr w:type="spellStart"/>
      <w:r w:rsidR="008414DA" w:rsidRPr="00CC28EC">
        <w:rPr>
          <w:sz w:val="24"/>
          <w:szCs w:val="24"/>
        </w:rPr>
        <w:t>degrabă</w:t>
      </w:r>
      <w:proofErr w:type="spellEnd"/>
      <w:r w:rsidR="008414DA" w:rsidRPr="00CC28EC">
        <w:rPr>
          <w:sz w:val="24"/>
          <w:szCs w:val="24"/>
        </w:rPr>
        <w:t xml:space="preserve"> </w:t>
      </w:r>
      <w:proofErr w:type="spellStart"/>
      <w:r w:rsidR="008414DA" w:rsidRPr="00CC28EC">
        <w:rPr>
          <w:sz w:val="24"/>
          <w:szCs w:val="24"/>
        </w:rPr>
        <w:t>prin</w:t>
      </w:r>
      <w:proofErr w:type="spellEnd"/>
      <w:r w:rsidR="008414DA" w:rsidRPr="00CC28EC">
        <w:rPr>
          <w:sz w:val="24"/>
          <w:szCs w:val="24"/>
        </w:rPr>
        <w:t xml:space="preserve"> </w:t>
      </w:r>
      <w:proofErr w:type="spellStart"/>
      <w:r w:rsidR="008414DA" w:rsidRPr="00CC28EC">
        <w:rPr>
          <w:sz w:val="24"/>
          <w:szCs w:val="24"/>
        </w:rPr>
        <w:t>crearea</w:t>
      </w:r>
      <w:proofErr w:type="spellEnd"/>
      <w:r w:rsidR="008414DA" w:rsidRPr="00CC28EC">
        <w:rPr>
          <w:sz w:val="24"/>
          <w:szCs w:val="24"/>
        </w:rPr>
        <w:t xml:space="preserve"> de </w:t>
      </w:r>
      <w:proofErr w:type="spellStart"/>
      <w:r w:rsidR="008414DA" w:rsidRPr="00CC28EC">
        <w:rPr>
          <w:sz w:val="24"/>
          <w:szCs w:val="24"/>
        </w:rPr>
        <w:t>monedă</w:t>
      </w:r>
      <w:proofErr w:type="spellEnd"/>
      <w:r w:rsidR="008414DA" w:rsidRPr="00CC28EC">
        <w:rPr>
          <w:sz w:val="24"/>
          <w:szCs w:val="24"/>
        </w:rPr>
        <w:t xml:space="preserve"> </w:t>
      </w:r>
      <w:proofErr w:type="spellStart"/>
      <w:r w:rsidR="008414DA" w:rsidRPr="00CC28EC">
        <w:rPr>
          <w:sz w:val="24"/>
          <w:szCs w:val="24"/>
        </w:rPr>
        <w:t>decât</w:t>
      </w:r>
      <w:proofErr w:type="spellEnd"/>
      <w:r w:rsidR="008414DA" w:rsidRPr="00CC28EC">
        <w:rPr>
          <w:sz w:val="24"/>
          <w:szCs w:val="24"/>
        </w:rPr>
        <w:t xml:space="preserve"> </w:t>
      </w:r>
      <w:proofErr w:type="spellStart"/>
      <w:r w:rsidR="008414DA" w:rsidRPr="00CC28EC">
        <w:rPr>
          <w:sz w:val="24"/>
          <w:szCs w:val="24"/>
        </w:rPr>
        <w:t>prin</w:t>
      </w:r>
      <w:proofErr w:type="spellEnd"/>
      <w:r w:rsidR="008414DA" w:rsidRPr="00CC28EC">
        <w:rPr>
          <w:sz w:val="24"/>
          <w:szCs w:val="24"/>
        </w:rPr>
        <w:t xml:space="preserve"> </w:t>
      </w:r>
      <w:proofErr w:type="spellStart"/>
      <w:r w:rsidR="008414DA" w:rsidRPr="00CC28EC">
        <w:rPr>
          <w:sz w:val="24"/>
          <w:szCs w:val="24"/>
        </w:rPr>
        <w:t>emiterea</w:t>
      </w:r>
      <w:proofErr w:type="spellEnd"/>
      <w:r w:rsidR="008414DA" w:rsidRPr="00CC28EC">
        <w:rPr>
          <w:sz w:val="24"/>
          <w:szCs w:val="24"/>
        </w:rPr>
        <w:t xml:space="preserve"> de </w:t>
      </w:r>
      <w:proofErr w:type="spellStart"/>
      <w:r w:rsidR="008414DA" w:rsidRPr="00CC28EC">
        <w:rPr>
          <w:sz w:val="24"/>
          <w:szCs w:val="24"/>
        </w:rPr>
        <w:t>titluri</w:t>
      </w:r>
      <w:proofErr w:type="spellEnd"/>
      <w:r w:rsidR="008414DA" w:rsidRPr="00CC28EC">
        <w:rPr>
          <w:sz w:val="24"/>
          <w:szCs w:val="24"/>
        </w:rPr>
        <w:t xml:space="preserve"> de stat. </w:t>
      </w:r>
      <w:proofErr w:type="spellStart"/>
      <w:r w:rsidR="008414DA" w:rsidRPr="00CC28EC">
        <w:rPr>
          <w:sz w:val="24"/>
          <w:szCs w:val="24"/>
        </w:rPr>
        <w:t>Argumentul</w:t>
      </w:r>
      <w:proofErr w:type="spellEnd"/>
      <w:r w:rsidR="008414DA" w:rsidRPr="00CC28EC">
        <w:rPr>
          <w:sz w:val="24"/>
          <w:szCs w:val="24"/>
        </w:rPr>
        <w:t xml:space="preserve"> </w:t>
      </w:r>
      <w:proofErr w:type="spellStart"/>
      <w:r w:rsidR="008414DA" w:rsidRPr="00CC28EC">
        <w:rPr>
          <w:sz w:val="24"/>
          <w:szCs w:val="24"/>
        </w:rPr>
        <w:t>este</w:t>
      </w:r>
      <w:proofErr w:type="spellEnd"/>
      <w:r w:rsidR="008414DA" w:rsidRPr="00CC28EC">
        <w:rPr>
          <w:sz w:val="24"/>
          <w:szCs w:val="24"/>
        </w:rPr>
        <w:t xml:space="preserve"> </w:t>
      </w:r>
      <w:proofErr w:type="spellStart"/>
      <w:r w:rsidR="008414DA" w:rsidRPr="00CC28EC">
        <w:rPr>
          <w:sz w:val="24"/>
          <w:szCs w:val="24"/>
        </w:rPr>
        <w:t>că</w:t>
      </w:r>
      <w:proofErr w:type="spellEnd"/>
      <w:r w:rsidR="008414DA" w:rsidRPr="00CC28EC">
        <w:rPr>
          <w:sz w:val="24"/>
          <w:szCs w:val="24"/>
        </w:rPr>
        <w:t xml:space="preserve"> </w:t>
      </w:r>
      <w:proofErr w:type="spellStart"/>
      <w:r w:rsidR="008414DA" w:rsidRPr="00CC28EC">
        <w:rPr>
          <w:sz w:val="24"/>
          <w:szCs w:val="24"/>
        </w:rPr>
        <w:t>în</w:t>
      </w:r>
      <w:proofErr w:type="spellEnd"/>
      <w:r w:rsidR="00B5053B" w:rsidRPr="00CC28EC">
        <w:rPr>
          <w:sz w:val="24"/>
          <w:szCs w:val="24"/>
        </w:rPr>
        <w:t xml:space="preserve"> </w:t>
      </w:r>
      <w:proofErr w:type="spellStart"/>
      <w:r w:rsidR="008414DA" w:rsidRPr="00CC28EC">
        <w:rPr>
          <w:sz w:val="24"/>
          <w:szCs w:val="24"/>
        </w:rPr>
        <w:t>modul</w:t>
      </w:r>
      <w:proofErr w:type="spellEnd"/>
      <w:r w:rsidR="008414DA" w:rsidRPr="00CC28EC">
        <w:rPr>
          <w:sz w:val="24"/>
          <w:szCs w:val="24"/>
        </w:rPr>
        <w:t xml:space="preserve"> </w:t>
      </w:r>
      <w:proofErr w:type="spellStart"/>
      <w:r w:rsidR="008414DA" w:rsidRPr="00CC28EC">
        <w:rPr>
          <w:sz w:val="24"/>
          <w:szCs w:val="24"/>
        </w:rPr>
        <w:t>acesta</w:t>
      </w:r>
      <w:proofErr w:type="spellEnd"/>
      <w:r w:rsidR="008414DA" w:rsidRPr="00CC28EC">
        <w:rPr>
          <w:sz w:val="24"/>
          <w:szCs w:val="24"/>
        </w:rPr>
        <w:t xml:space="preserve"> </w:t>
      </w:r>
      <w:proofErr w:type="spellStart"/>
      <w:r w:rsidR="008414DA" w:rsidRPr="00CC28EC">
        <w:rPr>
          <w:sz w:val="24"/>
          <w:szCs w:val="24"/>
        </w:rPr>
        <w:t>deficitul</w:t>
      </w:r>
      <w:proofErr w:type="spellEnd"/>
      <w:r w:rsidR="008414DA" w:rsidRPr="00CC28EC">
        <w:rPr>
          <w:sz w:val="24"/>
          <w:szCs w:val="24"/>
        </w:rPr>
        <w:t xml:space="preserve"> </w:t>
      </w:r>
      <w:proofErr w:type="spellStart"/>
      <w:r w:rsidR="008414DA" w:rsidRPr="00CC28EC">
        <w:rPr>
          <w:sz w:val="24"/>
          <w:szCs w:val="24"/>
        </w:rPr>
        <w:t>financiar</w:t>
      </w:r>
      <w:proofErr w:type="spellEnd"/>
      <w:r w:rsidR="008414DA" w:rsidRPr="00CC28EC">
        <w:rPr>
          <w:sz w:val="24"/>
          <w:szCs w:val="24"/>
        </w:rPr>
        <w:t xml:space="preserve"> al </w:t>
      </w:r>
      <w:proofErr w:type="spellStart"/>
      <w:r w:rsidR="008414DA" w:rsidRPr="00CC28EC">
        <w:rPr>
          <w:sz w:val="24"/>
          <w:szCs w:val="24"/>
        </w:rPr>
        <w:t>statului</w:t>
      </w:r>
      <w:proofErr w:type="spellEnd"/>
      <w:r w:rsidR="008414DA" w:rsidRPr="00CC28EC">
        <w:rPr>
          <w:sz w:val="24"/>
          <w:szCs w:val="24"/>
        </w:rPr>
        <w:t xml:space="preserve"> </w:t>
      </w:r>
      <w:proofErr w:type="spellStart"/>
      <w:r w:rsidR="008414DA" w:rsidRPr="00CC28EC">
        <w:rPr>
          <w:sz w:val="24"/>
          <w:szCs w:val="24"/>
        </w:rPr>
        <w:t>este</w:t>
      </w:r>
      <w:proofErr w:type="spellEnd"/>
      <w:r w:rsidR="008414DA" w:rsidRPr="00CC28EC">
        <w:rPr>
          <w:sz w:val="24"/>
          <w:szCs w:val="24"/>
        </w:rPr>
        <w:t xml:space="preserve"> </w:t>
      </w:r>
      <w:proofErr w:type="spellStart"/>
      <w:r w:rsidR="008414DA" w:rsidRPr="00CC28EC">
        <w:rPr>
          <w:sz w:val="24"/>
          <w:szCs w:val="24"/>
        </w:rPr>
        <w:t>mai</w:t>
      </w:r>
      <w:proofErr w:type="spellEnd"/>
      <w:r w:rsidR="008414DA" w:rsidRPr="00CC28EC">
        <w:rPr>
          <w:sz w:val="24"/>
          <w:szCs w:val="24"/>
        </w:rPr>
        <w:t xml:space="preserve"> </w:t>
      </w:r>
      <w:proofErr w:type="spellStart"/>
      <w:r w:rsidR="008414DA" w:rsidRPr="00CC28EC">
        <w:rPr>
          <w:sz w:val="24"/>
          <w:szCs w:val="24"/>
        </w:rPr>
        <w:t>ușor</w:t>
      </w:r>
      <w:proofErr w:type="spellEnd"/>
      <w:r w:rsidR="008414DA" w:rsidRPr="00CC28EC">
        <w:rPr>
          <w:sz w:val="24"/>
          <w:szCs w:val="24"/>
        </w:rPr>
        <w:t xml:space="preserve"> de </w:t>
      </w:r>
      <w:proofErr w:type="spellStart"/>
      <w:r w:rsidR="008414DA" w:rsidRPr="00CC28EC">
        <w:rPr>
          <w:sz w:val="24"/>
          <w:szCs w:val="24"/>
        </w:rPr>
        <w:t>acoperit</w:t>
      </w:r>
      <w:proofErr w:type="spellEnd"/>
      <w:r w:rsidR="008414DA" w:rsidRPr="00CC28EC">
        <w:rPr>
          <w:sz w:val="24"/>
          <w:szCs w:val="24"/>
        </w:rPr>
        <w:t>.</w:t>
      </w:r>
      <w:r w:rsidR="0080686C" w:rsidRPr="00CC28EC">
        <w:rPr>
          <w:sz w:val="24"/>
          <w:szCs w:val="24"/>
        </w:rPr>
        <w:t xml:space="preserve"> </w:t>
      </w:r>
      <w:proofErr w:type="spellStart"/>
      <w:r w:rsidR="00423BC1" w:rsidRPr="00CC28EC">
        <w:rPr>
          <w:sz w:val="24"/>
          <w:szCs w:val="24"/>
        </w:rPr>
        <w:t>Printre</w:t>
      </w:r>
      <w:proofErr w:type="spellEnd"/>
      <w:r w:rsidR="00423BC1" w:rsidRPr="00CC28EC">
        <w:rPr>
          <w:sz w:val="24"/>
          <w:szCs w:val="24"/>
        </w:rPr>
        <w:t xml:space="preserve"> </w:t>
      </w:r>
      <w:proofErr w:type="spellStart"/>
      <w:r w:rsidR="00423BC1" w:rsidRPr="00CC28EC">
        <w:rPr>
          <w:sz w:val="24"/>
          <w:szCs w:val="24"/>
        </w:rPr>
        <w:t>inițiatorii</w:t>
      </w:r>
      <w:proofErr w:type="spellEnd"/>
      <w:r w:rsidR="00423BC1" w:rsidRPr="00CC28EC">
        <w:rPr>
          <w:sz w:val="24"/>
          <w:szCs w:val="24"/>
        </w:rPr>
        <w:t xml:space="preserve"> </w:t>
      </w:r>
      <w:proofErr w:type="spellStart"/>
      <w:r w:rsidR="00423BC1" w:rsidRPr="00CC28EC">
        <w:rPr>
          <w:sz w:val="24"/>
          <w:szCs w:val="24"/>
        </w:rPr>
        <w:t>acestei</w:t>
      </w:r>
      <w:proofErr w:type="spellEnd"/>
      <w:r w:rsidR="00423BC1" w:rsidRPr="00CC28EC">
        <w:rPr>
          <w:sz w:val="24"/>
          <w:szCs w:val="24"/>
        </w:rPr>
        <w:t xml:space="preserve"> </w:t>
      </w:r>
      <w:proofErr w:type="spellStart"/>
      <w:r w:rsidR="00423BC1" w:rsidRPr="00CC28EC">
        <w:rPr>
          <w:sz w:val="24"/>
          <w:szCs w:val="24"/>
        </w:rPr>
        <w:t>teorii</w:t>
      </w:r>
      <w:proofErr w:type="spellEnd"/>
      <w:r w:rsidR="00423BC1" w:rsidRPr="00CC28EC">
        <w:rPr>
          <w:sz w:val="24"/>
          <w:szCs w:val="24"/>
        </w:rPr>
        <w:t xml:space="preserve"> se </w:t>
      </w:r>
      <w:proofErr w:type="spellStart"/>
      <w:r w:rsidR="00423BC1" w:rsidRPr="00CC28EC">
        <w:rPr>
          <w:sz w:val="24"/>
          <w:szCs w:val="24"/>
        </w:rPr>
        <w:t>numără</w:t>
      </w:r>
      <w:proofErr w:type="spellEnd"/>
      <w:r w:rsidR="00423BC1" w:rsidRPr="00CC28EC">
        <w:rPr>
          <w:sz w:val="24"/>
          <w:szCs w:val="24"/>
        </w:rPr>
        <w:t xml:space="preserve">: M. Hudson, W. Black, B. Mitchell, R. </w:t>
      </w:r>
      <w:proofErr w:type="spellStart"/>
      <w:r w:rsidR="00423BC1" w:rsidRPr="00CC28EC">
        <w:rPr>
          <w:sz w:val="24"/>
          <w:szCs w:val="24"/>
        </w:rPr>
        <w:t>Werne</w:t>
      </w:r>
      <w:proofErr w:type="spellEnd"/>
      <w:r w:rsidR="00E06A4F" w:rsidRPr="00CC28EC">
        <w:rPr>
          <w:sz w:val="24"/>
          <w:szCs w:val="24"/>
        </w:rPr>
        <w:t>.</w:t>
      </w:r>
      <w:r w:rsidR="00423BC1" w:rsidRPr="00CC28EC">
        <w:rPr>
          <w:sz w:val="24"/>
          <w:szCs w:val="24"/>
        </w:rPr>
        <w:t xml:space="preserve"> </w:t>
      </w:r>
    </w:p>
    <w:p w14:paraId="0D01A398" w14:textId="4B60379C" w:rsidR="008414DA" w:rsidRPr="00CC28EC" w:rsidRDefault="00E06A4F" w:rsidP="0080686C">
      <w:pPr>
        <w:tabs>
          <w:tab w:val="left" w:pos="360"/>
        </w:tabs>
        <w:jc w:val="both"/>
        <w:rPr>
          <w:sz w:val="24"/>
          <w:szCs w:val="24"/>
        </w:rPr>
      </w:pPr>
      <w:r w:rsidRPr="00CC28EC">
        <w:rPr>
          <w:sz w:val="24"/>
          <w:szCs w:val="24"/>
        </w:rPr>
        <w:tab/>
      </w:r>
      <w:r w:rsidRPr="00CC28EC">
        <w:rPr>
          <w:sz w:val="24"/>
          <w:szCs w:val="24"/>
        </w:rPr>
        <w:tab/>
      </w:r>
      <w:r w:rsidR="0080686C" w:rsidRPr="00CC28EC">
        <w:rPr>
          <w:i/>
          <w:iCs/>
          <w:sz w:val="24"/>
          <w:szCs w:val="24"/>
          <w:lang w:val="ro-RO"/>
        </w:rPr>
        <w:t>„</w:t>
      </w:r>
      <w:proofErr w:type="spellStart"/>
      <w:r w:rsidR="0080686C" w:rsidRPr="00CC28EC">
        <w:rPr>
          <w:i/>
          <w:iCs/>
          <w:sz w:val="24"/>
          <w:szCs w:val="24"/>
        </w:rPr>
        <w:t>Postulatul</w:t>
      </w:r>
      <w:proofErr w:type="spellEnd"/>
      <w:r w:rsidR="0080686C" w:rsidRPr="00CC28EC">
        <w:rPr>
          <w:i/>
          <w:iCs/>
          <w:sz w:val="24"/>
          <w:szCs w:val="24"/>
        </w:rPr>
        <w:t xml:space="preserve"> MMT </w:t>
      </w:r>
      <w:proofErr w:type="spellStart"/>
      <w:r w:rsidR="0080686C" w:rsidRPr="00CC28EC">
        <w:rPr>
          <w:i/>
          <w:iCs/>
          <w:sz w:val="24"/>
          <w:szCs w:val="24"/>
        </w:rPr>
        <w:t>este</w:t>
      </w:r>
      <w:proofErr w:type="spellEnd"/>
      <w:r w:rsidR="0080686C" w:rsidRPr="00CC28EC">
        <w:rPr>
          <w:i/>
          <w:iCs/>
          <w:sz w:val="24"/>
          <w:szCs w:val="24"/>
        </w:rPr>
        <w:t xml:space="preserve"> </w:t>
      </w:r>
      <w:proofErr w:type="spellStart"/>
      <w:r w:rsidR="0080686C" w:rsidRPr="00CC28EC">
        <w:rPr>
          <w:i/>
          <w:iCs/>
          <w:sz w:val="24"/>
          <w:szCs w:val="24"/>
        </w:rPr>
        <w:t>că</w:t>
      </w:r>
      <w:proofErr w:type="spellEnd"/>
      <w:r w:rsidR="0080686C" w:rsidRPr="00CC28EC">
        <w:rPr>
          <w:i/>
          <w:iCs/>
          <w:sz w:val="24"/>
          <w:szCs w:val="24"/>
        </w:rPr>
        <w:t xml:space="preserve"> un stat </w:t>
      </w:r>
      <w:proofErr w:type="spellStart"/>
      <w:r w:rsidR="0080686C" w:rsidRPr="00CC28EC">
        <w:rPr>
          <w:i/>
          <w:iCs/>
          <w:sz w:val="24"/>
          <w:szCs w:val="24"/>
        </w:rPr>
        <w:t>suveran</w:t>
      </w:r>
      <w:proofErr w:type="spellEnd"/>
      <w:r w:rsidR="0080686C" w:rsidRPr="00CC28EC">
        <w:rPr>
          <w:i/>
          <w:iCs/>
          <w:sz w:val="24"/>
          <w:szCs w:val="24"/>
        </w:rPr>
        <w:t xml:space="preserve"> nu </w:t>
      </w:r>
      <w:proofErr w:type="spellStart"/>
      <w:r w:rsidR="0080686C" w:rsidRPr="00CC28EC">
        <w:rPr>
          <w:i/>
          <w:iCs/>
          <w:sz w:val="24"/>
          <w:szCs w:val="24"/>
        </w:rPr>
        <w:t>poate</w:t>
      </w:r>
      <w:proofErr w:type="spellEnd"/>
      <w:r w:rsidR="0080686C" w:rsidRPr="00CC28EC">
        <w:rPr>
          <w:i/>
          <w:iCs/>
          <w:sz w:val="24"/>
          <w:szCs w:val="24"/>
        </w:rPr>
        <w:t xml:space="preserve"> </w:t>
      </w:r>
      <w:proofErr w:type="spellStart"/>
      <w:r w:rsidR="0080686C" w:rsidRPr="00CC28EC">
        <w:rPr>
          <w:i/>
          <w:iCs/>
          <w:sz w:val="24"/>
          <w:szCs w:val="24"/>
        </w:rPr>
        <w:t>ajunge</w:t>
      </w:r>
      <w:proofErr w:type="spellEnd"/>
      <w:r w:rsidR="0080686C" w:rsidRPr="00CC28EC">
        <w:rPr>
          <w:i/>
          <w:iCs/>
          <w:sz w:val="24"/>
          <w:szCs w:val="24"/>
        </w:rPr>
        <w:t xml:space="preserve"> </w:t>
      </w:r>
      <w:proofErr w:type="spellStart"/>
      <w:r w:rsidR="0080686C" w:rsidRPr="00CC28EC">
        <w:rPr>
          <w:i/>
          <w:iCs/>
          <w:sz w:val="24"/>
          <w:szCs w:val="24"/>
        </w:rPr>
        <w:t>niciodată</w:t>
      </w:r>
      <w:proofErr w:type="spellEnd"/>
      <w:r w:rsidR="0080686C" w:rsidRPr="00CC28EC">
        <w:rPr>
          <w:i/>
          <w:iCs/>
          <w:sz w:val="24"/>
          <w:szCs w:val="24"/>
        </w:rPr>
        <w:t xml:space="preserve"> </w:t>
      </w:r>
      <w:proofErr w:type="spellStart"/>
      <w:r w:rsidR="0080686C" w:rsidRPr="00CC28EC">
        <w:rPr>
          <w:i/>
          <w:iCs/>
          <w:sz w:val="24"/>
          <w:szCs w:val="24"/>
        </w:rPr>
        <w:t>în</w:t>
      </w:r>
      <w:proofErr w:type="spellEnd"/>
      <w:r w:rsidR="0080686C" w:rsidRPr="00CC28EC">
        <w:rPr>
          <w:i/>
          <w:iCs/>
          <w:sz w:val="24"/>
          <w:szCs w:val="24"/>
        </w:rPr>
        <w:t xml:space="preserve"> incapacitate de </w:t>
      </w:r>
      <w:proofErr w:type="spellStart"/>
      <w:r w:rsidR="0080686C" w:rsidRPr="00CC28EC">
        <w:rPr>
          <w:i/>
          <w:iCs/>
          <w:sz w:val="24"/>
          <w:szCs w:val="24"/>
        </w:rPr>
        <w:t>plată</w:t>
      </w:r>
      <w:proofErr w:type="spellEnd"/>
      <w:r w:rsidR="0080686C" w:rsidRPr="00CC28EC">
        <w:rPr>
          <w:i/>
          <w:iCs/>
          <w:sz w:val="24"/>
          <w:szCs w:val="24"/>
        </w:rPr>
        <w:t xml:space="preserve"> </w:t>
      </w:r>
      <w:proofErr w:type="spellStart"/>
      <w:r w:rsidR="0080686C" w:rsidRPr="00CC28EC">
        <w:rPr>
          <w:i/>
          <w:iCs/>
          <w:sz w:val="24"/>
          <w:szCs w:val="24"/>
        </w:rPr>
        <w:t>în</w:t>
      </w:r>
      <w:proofErr w:type="spellEnd"/>
      <w:r w:rsidR="0080686C" w:rsidRPr="00CC28EC">
        <w:rPr>
          <w:i/>
          <w:iCs/>
          <w:sz w:val="24"/>
          <w:szCs w:val="24"/>
        </w:rPr>
        <w:t xml:space="preserve"> propria </w:t>
      </w:r>
      <w:proofErr w:type="spellStart"/>
      <w:r w:rsidR="0080686C" w:rsidRPr="00CC28EC">
        <w:rPr>
          <w:i/>
          <w:iCs/>
          <w:sz w:val="24"/>
          <w:szCs w:val="24"/>
        </w:rPr>
        <w:t>sa</w:t>
      </w:r>
      <w:proofErr w:type="spellEnd"/>
      <w:r w:rsidR="0080686C" w:rsidRPr="00CC28EC">
        <w:rPr>
          <w:i/>
          <w:iCs/>
          <w:sz w:val="24"/>
          <w:szCs w:val="24"/>
        </w:rPr>
        <w:t xml:space="preserve"> </w:t>
      </w:r>
      <w:proofErr w:type="spellStart"/>
      <w:r w:rsidR="0080686C" w:rsidRPr="00CC28EC">
        <w:rPr>
          <w:i/>
          <w:iCs/>
          <w:sz w:val="24"/>
          <w:szCs w:val="24"/>
        </w:rPr>
        <w:t>monedă</w:t>
      </w:r>
      <w:proofErr w:type="spellEnd"/>
      <w:r w:rsidR="0080686C" w:rsidRPr="00CC28EC">
        <w:rPr>
          <w:i/>
          <w:iCs/>
          <w:sz w:val="24"/>
          <w:szCs w:val="24"/>
        </w:rPr>
        <w:t xml:space="preserve">, </w:t>
      </w:r>
      <w:proofErr w:type="spellStart"/>
      <w:r w:rsidR="0080686C" w:rsidRPr="00CC28EC">
        <w:rPr>
          <w:i/>
          <w:iCs/>
          <w:sz w:val="24"/>
          <w:szCs w:val="24"/>
        </w:rPr>
        <w:t>deoarece</w:t>
      </w:r>
      <w:proofErr w:type="spellEnd"/>
      <w:r w:rsidR="0080686C" w:rsidRPr="00CC28EC">
        <w:rPr>
          <w:i/>
          <w:iCs/>
          <w:sz w:val="24"/>
          <w:szCs w:val="24"/>
        </w:rPr>
        <w:t xml:space="preserve"> </w:t>
      </w:r>
      <w:proofErr w:type="spellStart"/>
      <w:r w:rsidR="0080686C" w:rsidRPr="00CC28EC">
        <w:rPr>
          <w:i/>
          <w:iCs/>
          <w:sz w:val="24"/>
          <w:szCs w:val="24"/>
        </w:rPr>
        <w:t>este</w:t>
      </w:r>
      <w:proofErr w:type="spellEnd"/>
      <w:r w:rsidR="0080686C" w:rsidRPr="00CC28EC">
        <w:rPr>
          <w:i/>
          <w:iCs/>
          <w:sz w:val="24"/>
          <w:szCs w:val="24"/>
        </w:rPr>
        <w:t xml:space="preserve"> </w:t>
      </w:r>
      <w:proofErr w:type="spellStart"/>
      <w:r w:rsidR="0080686C" w:rsidRPr="00CC28EC">
        <w:rPr>
          <w:i/>
          <w:iCs/>
          <w:sz w:val="24"/>
          <w:szCs w:val="24"/>
        </w:rPr>
        <w:t>întotdeauna</w:t>
      </w:r>
      <w:proofErr w:type="spellEnd"/>
      <w:r w:rsidR="0080686C" w:rsidRPr="00CC28EC">
        <w:rPr>
          <w:i/>
          <w:iCs/>
          <w:sz w:val="24"/>
          <w:szCs w:val="24"/>
        </w:rPr>
        <w:t xml:space="preserve"> </w:t>
      </w:r>
      <w:proofErr w:type="spellStart"/>
      <w:r w:rsidR="0080686C" w:rsidRPr="00CC28EC">
        <w:rPr>
          <w:i/>
          <w:iCs/>
          <w:sz w:val="24"/>
          <w:szCs w:val="24"/>
        </w:rPr>
        <w:t>capabil</w:t>
      </w:r>
      <w:proofErr w:type="spellEnd"/>
      <w:r w:rsidR="0080686C" w:rsidRPr="00CC28EC">
        <w:rPr>
          <w:i/>
          <w:iCs/>
          <w:sz w:val="24"/>
          <w:szCs w:val="24"/>
        </w:rPr>
        <w:t xml:space="preserve"> </w:t>
      </w:r>
      <w:proofErr w:type="spellStart"/>
      <w:r w:rsidR="0080686C" w:rsidRPr="00CC28EC">
        <w:rPr>
          <w:i/>
          <w:iCs/>
          <w:sz w:val="24"/>
          <w:szCs w:val="24"/>
        </w:rPr>
        <w:t>să-și</w:t>
      </w:r>
      <w:proofErr w:type="spellEnd"/>
      <w:r w:rsidR="0080686C" w:rsidRPr="00CC28EC">
        <w:rPr>
          <w:i/>
          <w:iCs/>
          <w:sz w:val="24"/>
          <w:szCs w:val="24"/>
        </w:rPr>
        <w:t xml:space="preserve"> </w:t>
      </w:r>
      <w:proofErr w:type="spellStart"/>
      <w:r w:rsidR="0080686C" w:rsidRPr="00CC28EC">
        <w:rPr>
          <w:i/>
          <w:iCs/>
          <w:sz w:val="24"/>
          <w:szCs w:val="24"/>
        </w:rPr>
        <w:t>onoreze</w:t>
      </w:r>
      <w:proofErr w:type="spellEnd"/>
      <w:r w:rsidR="0080686C" w:rsidRPr="00CC28EC">
        <w:rPr>
          <w:i/>
          <w:iCs/>
          <w:sz w:val="24"/>
          <w:szCs w:val="24"/>
        </w:rPr>
        <w:t xml:space="preserve"> </w:t>
      </w:r>
      <w:proofErr w:type="spellStart"/>
      <w:r w:rsidR="0080686C" w:rsidRPr="00CC28EC">
        <w:rPr>
          <w:i/>
          <w:iCs/>
          <w:sz w:val="24"/>
          <w:szCs w:val="24"/>
        </w:rPr>
        <w:t>angajamentele</w:t>
      </w:r>
      <w:proofErr w:type="spellEnd"/>
      <w:r w:rsidR="0080686C" w:rsidRPr="00CC28EC">
        <w:rPr>
          <w:i/>
          <w:iCs/>
          <w:sz w:val="24"/>
          <w:szCs w:val="24"/>
        </w:rPr>
        <w:t xml:space="preserve"> </w:t>
      </w:r>
      <w:proofErr w:type="spellStart"/>
      <w:r w:rsidR="0080686C" w:rsidRPr="00CC28EC">
        <w:rPr>
          <w:i/>
          <w:iCs/>
          <w:sz w:val="24"/>
          <w:szCs w:val="24"/>
        </w:rPr>
        <w:t>prin</w:t>
      </w:r>
      <w:proofErr w:type="spellEnd"/>
      <w:r w:rsidR="0080686C" w:rsidRPr="00CC28EC">
        <w:rPr>
          <w:i/>
          <w:iCs/>
          <w:sz w:val="24"/>
          <w:szCs w:val="24"/>
        </w:rPr>
        <w:t xml:space="preserve"> </w:t>
      </w:r>
      <w:proofErr w:type="spellStart"/>
      <w:r w:rsidR="0080686C" w:rsidRPr="00CC28EC">
        <w:rPr>
          <w:i/>
          <w:iCs/>
          <w:sz w:val="24"/>
          <w:szCs w:val="24"/>
        </w:rPr>
        <w:t>crearea</w:t>
      </w:r>
      <w:proofErr w:type="spellEnd"/>
      <w:r w:rsidR="0080686C" w:rsidRPr="00CC28EC">
        <w:rPr>
          <w:i/>
          <w:iCs/>
          <w:sz w:val="24"/>
          <w:szCs w:val="24"/>
        </w:rPr>
        <w:t xml:space="preserve"> </w:t>
      </w:r>
      <w:proofErr w:type="spellStart"/>
      <w:r w:rsidR="0080686C" w:rsidRPr="00CC28EC">
        <w:rPr>
          <w:i/>
          <w:iCs/>
          <w:sz w:val="24"/>
          <w:szCs w:val="24"/>
        </w:rPr>
        <w:t>monedei</w:t>
      </w:r>
      <w:proofErr w:type="spellEnd"/>
      <w:r w:rsidR="0080686C" w:rsidRPr="00CC28EC">
        <w:rPr>
          <w:i/>
          <w:iCs/>
          <w:sz w:val="24"/>
          <w:szCs w:val="24"/>
        </w:rPr>
        <w:t xml:space="preserve"> de care are </w:t>
      </w:r>
      <w:proofErr w:type="spellStart"/>
      <w:r w:rsidR="0080686C" w:rsidRPr="00CC28EC">
        <w:rPr>
          <w:i/>
          <w:iCs/>
          <w:sz w:val="24"/>
          <w:szCs w:val="24"/>
        </w:rPr>
        <w:t>nevoie</w:t>
      </w:r>
      <w:proofErr w:type="spellEnd"/>
      <w:r w:rsidR="0080686C" w:rsidRPr="00CC28EC">
        <w:rPr>
          <w:i/>
          <w:iCs/>
          <w:sz w:val="24"/>
          <w:szCs w:val="24"/>
        </w:rPr>
        <w:t xml:space="preserve"> </w:t>
      </w:r>
      <w:proofErr w:type="spellStart"/>
      <w:r w:rsidR="0080686C" w:rsidRPr="00CC28EC">
        <w:rPr>
          <w:i/>
          <w:iCs/>
          <w:sz w:val="24"/>
          <w:szCs w:val="24"/>
        </w:rPr>
        <w:t>pentru</w:t>
      </w:r>
      <w:proofErr w:type="spellEnd"/>
      <w:r w:rsidR="0080686C" w:rsidRPr="00CC28EC">
        <w:rPr>
          <w:i/>
          <w:iCs/>
          <w:sz w:val="24"/>
          <w:szCs w:val="24"/>
        </w:rPr>
        <w:t xml:space="preserve"> </w:t>
      </w:r>
      <w:proofErr w:type="spellStart"/>
      <w:r w:rsidR="0080686C" w:rsidRPr="00CC28EC">
        <w:rPr>
          <w:i/>
          <w:iCs/>
          <w:sz w:val="24"/>
          <w:szCs w:val="24"/>
        </w:rPr>
        <w:t>plata</w:t>
      </w:r>
      <w:proofErr w:type="spellEnd"/>
      <w:r w:rsidR="0080686C" w:rsidRPr="00CC28EC">
        <w:rPr>
          <w:i/>
          <w:iCs/>
          <w:sz w:val="24"/>
          <w:szCs w:val="24"/>
        </w:rPr>
        <w:t xml:space="preserve"> </w:t>
      </w:r>
      <w:proofErr w:type="spellStart"/>
      <w:r w:rsidR="0080686C" w:rsidRPr="00CC28EC">
        <w:rPr>
          <w:i/>
          <w:iCs/>
          <w:sz w:val="24"/>
          <w:szCs w:val="24"/>
        </w:rPr>
        <w:t>serviciului</w:t>
      </w:r>
      <w:proofErr w:type="spellEnd"/>
      <w:r w:rsidR="0080686C" w:rsidRPr="00CC28EC">
        <w:rPr>
          <w:i/>
          <w:iCs/>
          <w:sz w:val="24"/>
          <w:szCs w:val="24"/>
        </w:rPr>
        <w:t xml:space="preserve"> </w:t>
      </w:r>
      <w:proofErr w:type="spellStart"/>
      <w:r w:rsidR="0080686C" w:rsidRPr="00CC28EC">
        <w:rPr>
          <w:i/>
          <w:iCs/>
          <w:sz w:val="24"/>
          <w:szCs w:val="24"/>
        </w:rPr>
        <w:t>datoriei</w:t>
      </w:r>
      <w:proofErr w:type="spellEnd"/>
      <w:r w:rsidR="0080686C" w:rsidRPr="00CC28EC">
        <w:rPr>
          <w:i/>
          <w:iCs/>
          <w:sz w:val="24"/>
          <w:szCs w:val="24"/>
        </w:rPr>
        <w:t xml:space="preserve"> </w:t>
      </w:r>
      <w:proofErr w:type="spellStart"/>
      <w:r w:rsidR="0080686C" w:rsidRPr="00CC28EC">
        <w:rPr>
          <w:i/>
          <w:iCs/>
          <w:sz w:val="24"/>
          <w:szCs w:val="24"/>
        </w:rPr>
        <w:t>publice</w:t>
      </w:r>
      <w:proofErr w:type="spellEnd"/>
      <w:r w:rsidR="0080686C" w:rsidRPr="00CC28EC">
        <w:rPr>
          <w:i/>
          <w:iCs/>
          <w:sz w:val="24"/>
          <w:szCs w:val="24"/>
        </w:rPr>
        <w:t xml:space="preserve"> (</w:t>
      </w:r>
      <w:proofErr w:type="spellStart"/>
      <w:r w:rsidR="0080686C" w:rsidRPr="00CC28EC">
        <w:rPr>
          <w:i/>
          <w:iCs/>
          <w:sz w:val="24"/>
          <w:szCs w:val="24"/>
        </w:rPr>
        <w:t>dobânzi</w:t>
      </w:r>
      <w:proofErr w:type="spellEnd"/>
      <w:r w:rsidR="0080686C" w:rsidRPr="00CC28EC">
        <w:rPr>
          <w:i/>
          <w:iCs/>
          <w:sz w:val="24"/>
          <w:szCs w:val="24"/>
        </w:rPr>
        <w:t xml:space="preserve"> + rate </w:t>
      </w:r>
      <w:proofErr w:type="spellStart"/>
      <w:r w:rsidR="0080686C" w:rsidRPr="00CC28EC">
        <w:rPr>
          <w:i/>
          <w:iCs/>
          <w:sz w:val="24"/>
          <w:szCs w:val="24"/>
        </w:rPr>
        <w:t>scadente</w:t>
      </w:r>
      <w:proofErr w:type="spellEnd"/>
      <w:r w:rsidR="0080686C" w:rsidRPr="00CC28EC">
        <w:rPr>
          <w:i/>
          <w:iCs/>
          <w:sz w:val="24"/>
          <w:szCs w:val="24"/>
        </w:rPr>
        <w:t xml:space="preserve">). </w:t>
      </w:r>
      <w:proofErr w:type="spellStart"/>
      <w:r w:rsidR="0080686C" w:rsidRPr="00CC28EC">
        <w:rPr>
          <w:i/>
          <w:iCs/>
          <w:sz w:val="24"/>
          <w:szCs w:val="24"/>
        </w:rPr>
        <w:t>Singurul</w:t>
      </w:r>
      <w:proofErr w:type="spellEnd"/>
      <w:r w:rsidR="0080686C" w:rsidRPr="00CC28EC">
        <w:rPr>
          <w:i/>
          <w:iCs/>
          <w:sz w:val="24"/>
          <w:szCs w:val="24"/>
        </w:rPr>
        <w:t xml:space="preserve"> </w:t>
      </w:r>
      <w:proofErr w:type="spellStart"/>
      <w:r w:rsidR="0080686C" w:rsidRPr="00CC28EC">
        <w:rPr>
          <w:i/>
          <w:iCs/>
          <w:sz w:val="24"/>
          <w:szCs w:val="24"/>
        </w:rPr>
        <w:t>risc</w:t>
      </w:r>
      <w:proofErr w:type="spellEnd"/>
      <w:r w:rsidR="0080686C" w:rsidRPr="00CC28EC">
        <w:rPr>
          <w:i/>
          <w:iCs/>
          <w:sz w:val="24"/>
          <w:szCs w:val="24"/>
        </w:rPr>
        <w:t xml:space="preserve"> </w:t>
      </w:r>
      <w:proofErr w:type="spellStart"/>
      <w:r w:rsidR="0080686C" w:rsidRPr="00CC28EC">
        <w:rPr>
          <w:i/>
          <w:iCs/>
          <w:sz w:val="24"/>
          <w:szCs w:val="24"/>
        </w:rPr>
        <w:t>este</w:t>
      </w:r>
      <w:proofErr w:type="spellEnd"/>
      <w:r w:rsidR="0080686C" w:rsidRPr="00CC28EC">
        <w:rPr>
          <w:i/>
          <w:iCs/>
          <w:sz w:val="24"/>
          <w:szCs w:val="24"/>
        </w:rPr>
        <w:t xml:space="preserve"> </w:t>
      </w:r>
      <w:proofErr w:type="spellStart"/>
      <w:r w:rsidR="0080686C" w:rsidRPr="00CC28EC">
        <w:rPr>
          <w:i/>
          <w:iCs/>
          <w:sz w:val="24"/>
          <w:szCs w:val="24"/>
        </w:rPr>
        <w:t>aici</w:t>
      </w:r>
      <w:proofErr w:type="spellEnd"/>
      <w:r w:rsidR="0080686C" w:rsidRPr="00CC28EC">
        <w:rPr>
          <w:i/>
          <w:iCs/>
          <w:sz w:val="24"/>
          <w:szCs w:val="24"/>
        </w:rPr>
        <w:t xml:space="preserve"> </w:t>
      </w:r>
      <w:proofErr w:type="spellStart"/>
      <w:r w:rsidR="0080686C" w:rsidRPr="00CC28EC">
        <w:rPr>
          <w:i/>
          <w:iCs/>
          <w:sz w:val="24"/>
          <w:szCs w:val="24"/>
        </w:rPr>
        <w:t>inflația</w:t>
      </w:r>
      <w:proofErr w:type="spellEnd"/>
      <w:r w:rsidR="0080686C" w:rsidRPr="00CC28EC">
        <w:rPr>
          <w:i/>
          <w:iCs/>
          <w:sz w:val="24"/>
          <w:szCs w:val="24"/>
        </w:rPr>
        <w:t xml:space="preserve">. </w:t>
      </w:r>
      <w:proofErr w:type="spellStart"/>
      <w:r w:rsidR="0080686C" w:rsidRPr="00CC28EC">
        <w:rPr>
          <w:i/>
          <w:iCs/>
          <w:sz w:val="24"/>
          <w:szCs w:val="24"/>
        </w:rPr>
        <w:t>Însă</w:t>
      </w:r>
      <w:proofErr w:type="spellEnd"/>
      <w:r w:rsidR="0080686C" w:rsidRPr="00CC28EC">
        <w:rPr>
          <w:i/>
          <w:iCs/>
          <w:sz w:val="24"/>
          <w:szCs w:val="24"/>
        </w:rPr>
        <w:t xml:space="preserve">, </w:t>
      </w:r>
      <w:proofErr w:type="spellStart"/>
      <w:r w:rsidR="0080686C" w:rsidRPr="00CC28EC">
        <w:rPr>
          <w:i/>
          <w:iCs/>
          <w:sz w:val="24"/>
          <w:szCs w:val="24"/>
        </w:rPr>
        <w:t>dacă</w:t>
      </w:r>
      <w:proofErr w:type="spellEnd"/>
      <w:r w:rsidR="0080686C" w:rsidRPr="00CC28EC">
        <w:rPr>
          <w:i/>
          <w:iCs/>
          <w:sz w:val="24"/>
          <w:szCs w:val="24"/>
        </w:rPr>
        <w:t xml:space="preserve"> </w:t>
      </w:r>
      <w:proofErr w:type="spellStart"/>
      <w:r w:rsidR="0080686C" w:rsidRPr="00CC28EC">
        <w:rPr>
          <w:i/>
          <w:iCs/>
          <w:sz w:val="24"/>
          <w:szCs w:val="24"/>
        </w:rPr>
        <w:t>în</w:t>
      </w:r>
      <w:proofErr w:type="spellEnd"/>
      <w:r w:rsidR="0080686C" w:rsidRPr="00CC28EC">
        <w:rPr>
          <w:i/>
          <w:iCs/>
          <w:sz w:val="24"/>
          <w:szCs w:val="24"/>
        </w:rPr>
        <w:t xml:space="preserve"> </w:t>
      </w:r>
      <w:proofErr w:type="spellStart"/>
      <w:r w:rsidR="0080686C" w:rsidRPr="00CC28EC">
        <w:rPr>
          <w:i/>
          <w:iCs/>
          <w:sz w:val="24"/>
          <w:szCs w:val="24"/>
        </w:rPr>
        <w:t>țara</w:t>
      </w:r>
      <w:proofErr w:type="spellEnd"/>
      <w:r w:rsidR="0080686C" w:rsidRPr="00CC28EC">
        <w:rPr>
          <w:i/>
          <w:iCs/>
          <w:sz w:val="24"/>
          <w:szCs w:val="24"/>
        </w:rPr>
        <w:t xml:space="preserve"> </w:t>
      </w:r>
      <w:proofErr w:type="spellStart"/>
      <w:r w:rsidR="0080686C" w:rsidRPr="00CC28EC">
        <w:rPr>
          <w:i/>
          <w:iCs/>
          <w:sz w:val="24"/>
          <w:szCs w:val="24"/>
        </w:rPr>
        <w:t>respectivă</w:t>
      </w:r>
      <w:proofErr w:type="spellEnd"/>
      <w:r w:rsidR="0080686C" w:rsidRPr="00CC28EC">
        <w:rPr>
          <w:i/>
          <w:iCs/>
          <w:sz w:val="24"/>
          <w:szCs w:val="24"/>
        </w:rPr>
        <w:t xml:space="preserve"> </w:t>
      </w:r>
      <w:proofErr w:type="spellStart"/>
      <w:r w:rsidR="0080686C" w:rsidRPr="00CC28EC">
        <w:rPr>
          <w:i/>
          <w:iCs/>
          <w:sz w:val="24"/>
          <w:szCs w:val="24"/>
        </w:rPr>
        <w:t>există</w:t>
      </w:r>
      <w:proofErr w:type="spellEnd"/>
      <w:r w:rsidR="0080686C" w:rsidRPr="00CC28EC">
        <w:rPr>
          <w:i/>
          <w:iCs/>
          <w:sz w:val="24"/>
          <w:szCs w:val="24"/>
        </w:rPr>
        <w:t xml:space="preserve"> </w:t>
      </w:r>
      <w:proofErr w:type="spellStart"/>
      <w:r w:rsidR="0080686C" w:rsidRPr="00CC28EC">
        <w:rPr>
          <w:i/>
          <w:iCs/>
          <w:sz w:val="24"/>
          <w:szCs w:val="24"/>
        </w:rPr>
        <w:t>destulă</w:t>
      </w:r>
      <w:proofErr w:type="spellEnd"/>
      <w:r w:rsidR="0080686C" w:rsidRPr="00CC28EC">
        <w:rPr>
          <w:i/>
          <w:iCs/>
          <w:sz w:val="24"/>
          <w:szCs w:val="24"/>
        </w:rPr>
        <w:t xml:space="preserve"> </w:t>
      </w:r>
      <w:proofErr w:type="spellStart"/>
      <w:r w:rsidR="0080686C" w:rsidRPr="00CC28EC">
        <w:rPr>
          <w:i/>
          <w:iCs/>
          <w:sz w:val="24"/>
          <w:szCs w:val="24"/>
        </w:rPr>
        <w:t>forță</w:t>
      </w:r>
      <w:proofErr w:type="spellEnd"/>
      <w:r w:rsidR="0080686C" w:rsidRPr="00CC28EC">
        <w:rPr>
          <w:i/>
          <w:iCs/>
          <w:sz w:val="24"/>
          <w:szCs w:val="24"/>
        </w:rPr>
        <w:t xml:space="preserve"> de </w:t>
      </w:r>
      <w:proofErr w:type="spellStart"/>
      <w:r w:rsidR="0080686C" w:rsidRPr="00CC28EC">
        <w:rPr>
          <w:i/>
          <w:iCs/>
          <w:sz w:val="24"/>
          <w:szCs w:val="24"/>
        </w:rPr>
        <w:t>muncă</w:t>
      </w:r>
      <w:proofErr w:type="spellEnd"/>
      <w:r w:rsidR="0080686C" w:rsidRPr="00CC28EC">
        <w:rPr>
          <w:i/>
          <w:iCs/>
          <w:sz w:val="24"/>
          <w:szCs w:val="24"/>
        </w:rPr>
        <w:t xml:space="preserve"> </w:t>
      </w:r>
      <w:proofErr w:type="spellStart"/>
      <w:r w:rsidR="0080686C" w:rsidRPr="00CC28EC">
        <w:rPr>
          <w:i/>
          <w:iCs/>
          <w:sz w:val="24"/>
          <w:szCs w:val="24"/>
        </w:rPr>
        <w:t>nefolosită</w:t>
      </w:r>
      <w:proofErr w:type="spellEnd"/>
      <w:r w:rsidR="0080686C" w:rsidRPr="00CC28EC">
        <w:rPr>
          <w:i/>
          <w:iCs/>
          <w:sz w:val="24"/>
          <w:szCs w:val="24"/>
        </w:rPr>
        <w:t xml:space="preserve"> </w:t>
      </w:r>
      <w:proofErr w:type="spellStart"/>
      <w:r w:rsidR="0080686C" w:rsidRPr="00CC28EC">
        <w:rPr>
          <w:i/>
          <w:iCs/>
          <w:sz w:val="24"/>
          <w:szCs w:val="24"/>
        </w:rPr>
        <w:t>și</w:t>
      </w:r>
      <w:proofErr w:type="spellEnd"/>
      <w:r w:rsidR="0080686C" w:rsidRPr="00CC28EC">
        <w:rPr>
          <w:i/>
          <w:iCs/>
          <w:sz w:val="24"/>
          <w:szCs w:val="24"/>
        </w:rPr>
        <w:t xml:space="preserve"> o </w:t>
      </w:r>
      <w:proofErr w:type="spellStart"/>
      <w:r w:rsidR="0080686C" w:rsidRPr="00CC28EC">
        <w:rPr>
          <w:i/>
          <w:iCs/>
          <w:sz w:val="24"/>
          <w:szCs w:val="24"/>
        </w:rPr>
        <w:t>infrastructură</w:t>
      </w:r>
      <w:proofErr w:type="spellEnd"/>
      <w:r w:rsidR="0080686C" w:rsidRPr="00CC28EC">
        <w:rPr>
          <w:i/>
          <w:iCs/>
          <w:sz w:val="24"/>
          <w:szCs w:val="24"/>
        </w:rPr>
        <w:t xml:space="preserve"> </w:t>
      </w:r>
      <w:proofErr w:type="spellStart"/>
      <w:r w:rsidR="0080686C" w:rsidRPr="00CC28EC">
        <w:rPr>
          <w:i/>
          <w:iCs/>
          <w:sz w:val="24"/>
          <w:szCs w:val="24"/>
        </w:rPr>
        <w:t>adecvată</w:t>
      </w:r>
      <w:proofErr w:type="spellEnd"/>
      <w:r w:rsidR="0080686C" w:rsidRPr="00CC28EC">
        <w:rPr>
          <w:i/>
          <w:iCs/>
          <w:sz w:val="24"/>
          <w:szCs w:val="24"/>
        </w:rPr>
        <w:t xml:space="preserve">, </w:t>
      </w:r>
      <w:proofErr w:type="spellStart"/>
      <w:r w:rsidR="0080686C" w:rsidRPr="00CC28EC">
        <w:rPr>
          <w:i/>
          <w:iCs/>
          <w:sz w:val="24"/>
          <w:szCs w:val="24"/>
        </w:rPr>
        <w:t>a</w:t>
      </w:r>
      <w:r w:rsidR="00B5053B" w:rsidRPr="00CC28EC">
        <w:rPr>
          <w:i/>
          <w:iCs/>
          <w:sz w:val="24"/>
          <w:szCs w:val="24"/>
        </w:rPr>
        <w:t>u</w:t>
      </w:r>
      <w:r w:rsidR="0080686C" w:rsidRPr="00CC28EC">
        <w:rPr>
          <w:i/>
          <w:iCs/>
          <w:sz w:val="24"/>
          <w:szCs w:val="24"/>
        </w:rPr>
        <w:t>gmentarea</w:t>
      </w:r>
      <w:proofErr w:type="spellEnd"/>
      <w:r w:rsidR="0080686C" w:rsidRPr="00CC28EC">
        <w:rPr>
          <w:i/>
          <w:iCs/>
          <w:sz w:val="24"/>
          <w:szCs w:val="24"/>
        </w:rPr>
        <w:t xml:space="preserve"> </w:t>
      </w:r>
      <w:r w:rsidR="00B5053B" w:rsidRPr="00CC28EC">
        <w:rPr>
          <w:i/>
          <w:iCs/>
          <w:sz w:val="24"/>
          <w:szCs w:val="24"/>
        </w:rPr>
        <w:t>(</w:t>
      </w:r>
      <w:proofErr w:type="spellStart"/>
      <w:r w:rsidR="00B5053B" w:rsidRPr="00CC28EC">
        <w:rPr>
          <w:i/>
          <w:iCs/>
          <w:sz w:val="24"/>
          <w:szCs w:val="24"/>
        </w:rPr>
        <w:t>înseamnă</w:t>
      </w:r>
      <w:proofErr w:type="spellEnd"/>
      <w:r w:rsidR="00B5053B" w:rsidRPr="00CC28EC">
        <w:rPr>
          <w:i/>
          <w:iCs/>
          <w:sz w:val="24"/>
          <w:szCs w:val="24"/>
        </w:rPr>
        <w:t xml:space="preserve"> </w:t>
      </w:r>
      <w:proofErr w:type="spellStart"/>
      <w:r w:rsidR="00B5053B" w:rsidRPr="00CC28EC">
        <w:rPr>
          <w:i/>
          <w:iCs/>
          <w:sz w:val="24"/>
          <w:szCs w:val="24"/>
        </w:rPr>
        <w:t>sporire</w:t>
      </w:r>
      <w:proofErr w:type="spellEnd"/>
      <w:r w:rsidR="00B5053B" w:rsidRPr="00CC28EC">
        <w:rPr>
          <w:i/>
          <w:iCs/>
          <w:sz w:val="24"/>
          <w:szCs w:val="24"/>
        </w:rPr>
        <w:t xml:space="preserve">) </w:t>
      </w:r>
      <w:proofErr w:type="spellStart"/>
      <w:r w:rsidR="0080686C" w:rsidRPr="00CC28EC">
        <w:rPr>
          <w:i/>
          <w:iCs/>
          <w:sz w:val="24"/>
          <w:szCs w:val="24"/>
        </w:rPr>
        <w:t>cererii</w:t>
      </w:r>
      <w:proofErr w:type="spellEnd"/>
      <w:r w:rsidR="0080686C" w:rsidRPr="00CC28EC">
        <w:rPr>
          <w:i/>
          <w:iCs/>
          <w:sz w:val="24"/>
          <w:szCs w:val="24"/>
        </w:rPr>
        <w:t xml:space="preserve"> </w:t>
      </w:r>
      <w:proofErr w:type="spellStart"/>
      <w:r w:rsidR="0080686C" w:rsidRPr="00CC28EC">
        <w:rPr>
          <w:i/>
          <w:iCs/>
          <w:sz w:val="24"/>
          <w:szCs w:val="24"/>
        </w:rPr>
        <w:t>poate</w:t>
      </w:r>
      <w:proofErr w:type="spellEnd"/>
      <w:r w:rsidR="0080686C" w:rsidRPr="00CC28EC">
        <w:rPr>
          <w:i/>
          <w:iCs/>
          <w:sz w:val="24"/>
          <w:szCs w:val="24"/>
        </w:rPr>
        <w:t xml:space="preserve"> fi</w:t>
      </w:r>
      <w:r w:rsidR="00B5053B" w:rsidRPr="00CC28EC">
        <w:rPr>
          <w:i/>
          <w:iCs/>
          <w:sz w:val="24"/>
          <w:szCs w:val="24"/>
        </w:rPr>
        <w:t xml:space="preserve"> </w:t>
      </w:r>
      <w:proofErr w:type="spellStart"/>
      <w:r w:rsidR="0080686C" w:rsidRPr="00CC28EC">
        <w:rPr>
          <w:i/>
          <w:iCs/>
          <w:sz w:val="24"/>
          <w:szCs w:val="24"/>
        </w:rPr>
        <w:t>satisfăcută</w:t>
      </w:r>
      <w:proofErr w:type="spellEnd"/>
      <w:r w:rsidR="0080686C" w:rsidRPr="00CC28EC">
        <w:rPr>
          <w:i/>
          <w:iCs/>
          <w:sz w:val="24"/>
          <w:szCs w:val="24"/>
        </w:rPr>
        <w:t xml:space="preserve"> </w:t>
      </w:r>
      <w:proofErr w:type="spellStart"/>
      <w:r w:rsidR="0080686C" w:rsidRPr="00CC28EC">
        <w:rPr>
          <w:i/>
          <w:iCs/>
          <w:sz w:val="24"/>
          <w:szCs w:val="24"/>
        </w:rPr>
        <w:t>fără</w:t>
      </w:r>
      <w:proofErr w:type="spellEnd"/>
      <w:r w:rsidR="0080686C" w:rsidRPr="00CC28EC">
        <w:rPr>
          <w:i/>
          <w:iCs/>
          <w:sz w:val="24"/>
          <w:szCs w:val="24"/>
        </w:rPr>
        <w:t xml:space="preserve"> </w:t>
      </w:r>
      <w:proofErr w:type="spellStart"/>
      <w:r w:rsidR="0080686C" w:rsidRPr="00CC28EC">
        <w:rPr>
          <w:i/>
          <w:iCs/>
          <w:sz w:val="24"/>
          <w:szCs w:val="24"/>
        </w:rPr>
        <w:t>inflație</w:t>
      </w:r>
      <w:proofErr w:type="spellEnd"/>
      <w:r w:rsidR="0080686C" w:rsidRPr="00CC28EC">
        <w:rPr>
          <w:i/>
          <w:iCs/>
          <w:sz w:val="24"/>
          <w:szCs w:val="24"/>
        </w:rPr>
        <w:t xml:space="preserve">. Ca </w:t>
      </w:r>
      <w:proofErr w:type="spellStart"/>
      <w:r w:rsidR="0080686C" w:rsidRPr="00CC28EC">
        <w:rPr>
          <w:i/>
          <w:iCs/>
          <w:sz w:val="24"/>
          <w:szCs w:val="24"/>
        </w:rPr>
        <w:t>urmare</w:t>
      </w:r>
      <w:proofErr w:type="spellEnd"/>
      <w:r w:rsidR="0080686C" w:rsidRPr="00CC28EC">
        <w:rPr>
          <w:i/>
          <w:iCs/>
          <w:sz w:val="24"/>
          <w:szCs w:val="24"/>
        </w:rPr>
        <w:t xml:space="preserve">, </w:t>
      </w:r>
      <w:proofErr w:type="spellStart"/>
      <w:r w:rsidR="0080686C" w:rsidRPr="00CC28EC">
        <w:rPr>
          <w:i/>
          <w:iCs/>
          <w:sz w:val="24"/>
          <w:szCs w:val="24"/>
        </w:rPr>
        <w:t>statul</w:t>
      </w:r>
      <w:proofErr w:type="spellEnd"/>
      <w:r w:rsidR="0080686C" w:rsidRPr="00CC28EC">
        <w:rPr>
          <w:i/>
          <w:iCs/>
          <w:sz w:val="24"/>
          <w:szCs w:val="24"/>
        </w:rPr>
        <w:t xml:space="preserve"> </w:t>
      </w:r>
      <w:proofErr w:type="spellStart"/>
      <w:r w:rsidR="0080686C" w:rsidRPr="00CC28EC">
        <w:rPr>
          <w:i/>
          <w:iCs/>
          <w:sz w:val="24"/>
          <w:szCs w:val="24"/>
        </w:rPr>
        <w:t>poate</w:t>
      </w:r>
      <w:proofErr w:type="spellEnd"/>
      <w:r w:rsidR="0080686C" w:rsidRPr="00CC28EC">
        <w:rPr>
          <w:i/>
          <w:iCs/>
          <w:sz w:val="24"/>
          <w:szCs w:val="24"/>
        </w:rPr>
        <w:t xml:space="preserve"> </w:t>
      </w:r>
      <w:proofErr w:type="spellStart"/>
      <w:r w:rsidR="0080686C" w:rsidRPr="00CC28EC">
        <w:rPr>
          <w:i/>
          <w:iCs/>
          <w:sz w:val="24"/>
          <w:szCs w:val="24"/>
        </w:rPr>
        <w:t>cheltui</w:t>
      </w:r>
      <w:proofErr w:type="spellEnd"/>
      <w:r w:rsidR="0080686C" w:rsidRPr="00CC28EC">
        <w:rPr>
          <w:i/>
          <w:iCs/>
          <w:sz w:val="24"/>
          <w:szCs w:val="24"/>
        </w:rPr>
        <w:t xml:space="preserve"> </w:t>
      </w:r>
      <w:proofErr w:type="spellStart"/>
      <w:r w:rsidR="0080686C" w:rsidRPr="00CC28EC">
        <w:rPr>
          <w:i/>
          <w:iCs/>
          <w:sz w:val="24"/>
          <w:szCs w:val="24"/>
        </w:rPr>
        <w:t>oricât</w:t>
      </w:r>
      <w:proofErr w:type="spellEnd"/>
      <w:r w:rsidR="0080686C" w:rsidRPr="00CC28EC">
        <w:rPr>
          <w:i/>
          <w:iCs/>
          <w:sz w:val="24"/>
          <w:szCs w:val="24"/>
        </w:rPr>
        <w:t xml:space="preserve"> </w:t>
      </w:r>
      <w:proofErr w:type="spellStart"/>
      <w:r w:rsidR="0080686C" w:rsidRPr="00CC28EC">
        <w:rPr>
          <w:i/>
          <w:iCs/>
          <w:sz w:val="24"/>
          <w:szCs w:val="24"/>
        </w:rPr>
        <w:t>pentru</w:t>
      </w:r>
      <w:proofErr w:type="spellEnd"/>
      <w:r w:rsidR="0080686C" w:rsidRPr="00CC28EC">
        <w:rPr>
          <w:i/>
          <w:iCs/>
          <w:sz w:val="24"/>
          <w:szCs w:val="24"/>
        </w:rPr>
        <w:t xml:space="preserve"> a-</w:t>
      </w:r>
      <w:proofErr w:type="spellStart"/>
      <w:r w:rsidR="0080686C" w:rsidRPr="00CC28EC">
        <w:rPr>
          <w:i/>
          <w:iCs/>
          <w:sz w:val="24"/>
          <w:szCs w:val="24"/>
        </w:rPr>
        <w:t>și</w:t>
      </w:r>
      <w:proofErr w:type="spellEnd"/>
      <w:r w:rsidR="0080686C" w:rsidRPr="00CC28EC">
        <w:rPr>
          <w:i/>
          <w:iCs/>
          <w:sz w:val="24"/>
          <w:szCs w:val="24"/>
        </w:rPr>
        <w:t xml:space="preserve"> </w:t>
      </w:r>
      <w:proofErr w:type="spellStart"/>
      <w:r w:rsidR="0080686C" w:rsidRPr="00CC28EC">
        <w:rPr>
          <w:i/>
          <w:iCs/>
          <w:sz w:val="24"/>
          <w:szCs w:val="24"/>
        </w:rPr>
        <w:t>atinge</w:t>
      </w:r>
      <w:proofErr w:type="spellEnd"/>
      <w:r w:rsidR="0080686C" w:rsidRPr="00CC28EC">
        <w:rPr>
          <w:i/>
          <w:iCs/>
          <w:sz w:val="24"/>
          <w:szCs w:val="24"/>
        </w:rPr>
        <w:t xml:space="preserve"> </w:t>
      </w:r>
      <w:proofErr w:type="spellStart"/>
      <w:r w:rsidR="0080686C" w:rsidRPr="00CC28EC">
        <w:rPr>
          <w:i/>
          <w:iCs/>
          <w:sz w:val="24"/>
          <w:szCs w:val="24"/>
        </w:rPr>
        <w:t>obiectivele</w:t>
      </w:r>
      <w:proofErr w:type="spellEnd"/>
      <w:r w:rsidR="0080686C" w:rsidRPr="00CC28EC">
        <w:rPr>
          <w:i/>
          <w:iCs/>
          <w:sz w:val="24"/>
          <w:szCs w:val="24"/>
        </w:rPr>
        <w:t xml:space="preserve">: de </w:t>
      </w:r>
      <w:proofErr w:type="spellStart"/>
      <w:r w:rsidR="0080686C" w:rsidRPr="00CC28EC">
        <w:rPr>
          <w:i/>
          <w:iCs/>
          <w:sz w:val="24"/>
          <w:szCs w:val="24"/>
        </w:rPr>
        <w:t>exemplu</w:t>
      </w:r>
      <w:proofErr w:type="spellEnd"/>
      <w:r w:rsidR="0080686C" w:rsidRPr="00CC28EC">
        <w:rPr>
          <w:i/>
          <w:iCs/>
          <w:sz w:val="24"/>
          <w:szCs w:val="24"/>
        </w:rPr>
        <w:t xml:space="preserve">, </w:t>
      </w:r>
      <w:proofErr w:type="spellStart"/>
      <w:r w:rsidR="0080686C" w:rsidRPr="00CC28EC">
        <w:rPr>
          <w:i/>
          <w:iCs/>
          <w:sz w:val="24"/>
          <w:szCs w:val="24"/>
        </w:rPr>
        <w:t>pentrure</w:t>
      </w:r>
      <w:proofErr w:type="spellEnd"/>
      <w:r w:rsidR="0080686C" w:rsidRPr="00CC28EC">
        <w:rPr>
          <w:i/>
          <w:iCs/>
          <w:sz w:val="24"/>
          <w:szCs w:val="24"/>
        </w:rPr>
        <w:t xml:space="preserve"> </w:t>
      </w:r>
      <w:proofErr w:type="spellStart"/>
      <w:r w:rsidR="0080686C" w:rsidRPr="00CC28EC">
        <w:rPr>
          <w:i/>
          <w:iCs/>
          <w:sz w:val="24"/>
          <w:szCs w:val="24"/>
        </w:rPr>
        <w:t>lansarea</w:t>
      </w:r>
      <w:proofErr w:type="spellEnd"/>
      <w:r w:rsidR="0080686C" w:rsidRPr="00CC28EC">
        <w:rPr>
          <w:i/>
          <w:iCs/>
          <w:sz w:val="24"/>
          <w:szCs w:val="24"/>
        </w:rPr>
        <w:t xml:space="preserve"> </w:t>
      </w:r>
      <w:proofErr w:type="spellStart"/>
      <w:r w:rsidR="0080686C" w:rsidRPr="00CC28EC">
        <w:rPr>
          <w:i/>
          <w:iCs/>
          <w:sz w:val="24"/>
          <w:szCs w:val="24"/>
        </w:rPr>
        <w:t>creșterii</w:t>
      </w:r>
      <w:proofErr w:type="spellEnd"/>
      <w:r w:rsidR="0080686C" w:rsidRPr="00CC28EC">
        <w:rPr>
          <w:i/>
          <w:iCs/>
          <w:sz w:val="24"/>
          <w:szCs w:val="24"/>
        </w:rPr>
        <w:t xml:space="preserve"> </w:t>
      </w:r>
      <w:proofErr w:type="spellStart"/>
      <w:r w:rsidR="0080686C" w:rsidRPr="00CC28EC">
        <w:rPr>
          <w:i/>
          <w:iCs/>
          <w:sz w:val="24"/>
          <w:szCs w:val="24"/>
        </w:rPr>
        <w:t>economice</w:t>
      </w:r>
      <w:proofErr w:type="spellEnd"/>
      <w:r w:rsidR="0080686C" w:rsidRPr="00CC28EC">
        <w:rPr>
          <w:i/>
          <w:iCs/>
          <w:sz w:val="24"/>
          <w:szCs w:val="24"/>
        </w:rPr>
        <w:t xml:space="preserve"> </w:t>
      </w:r>
      <w:proofErr w:type="spellStart"/>
      <w:r w:rsidR="0080686C" w:rsidRPr="00CC28EC">
        <w:rPr>
          <w:i/>
          <w:iCs/>
          <w:sz w:val="24"/>
          <w:szCs w:val="24"/>
        </w:rPr>
        <w:t>și</w:t>
      </w:r>
      <w:proofErr w:type="spellEnd"/>
      <w:r w:rsidR="0080686C" w:rsidRPr="00CC28EC">
        <w:rPr>
          <w:i/>
          <w:iCs/>
          <w:sz w:val="24"/>
          <w:szCs w:val="24"/>
        </w:rPr>
        <w:t xml:space="preserve"> </w:t>
      </w:r>
      <w:proofErr w:type="spellStart"/>
      <w:r w:rsidR="0080686C" w:rsidRPr="00CC28EC">
        <w:rPr>
          <w:i/>
          <w:iCs/>
          <w:sz w:val="24"/>
          <w:szCs w:val="24"/>
        </w:rPr>
        <w:t>reducerea</w:t>
      </w:r>
      <w:proofErr w:type="spellEnd"/>
      <w:r w:rsidR="0080686C" w:rsidRPr="00CC28EC">
        <w:rPr>
          <w:i/>
          <w:iCs/>
          <w:sz w:val="24"/>
          <w:szCs w:val="24"/>
        </w:rPr>
        <w:t xml:space="preserve"> </w:t>
      </w:r>
      <w:proofErr w:type="spellStart"/>
      <w:r w:rsidR="0080686C" w:rsidRPr="00CC28EC">
        <w:rPr>
          <w:i/>
          <w:iCs/>
          <w:sz w:val="24"/>
          <w:szCs w:val="24"/>
        </w:rPr>
        <w:t>șomajului</w:t>
      </w:r>
      <w:proofErr w:type="spellEnd"/>
      <w:r w:rsidR="0080686C" w:rsidRPr="00CC28EC">
        <w:rPr>
          <w:i/>
          <w:iCs/>
          <w:sz w:val="24"/>
          <w:szCs w:val="24"/>
        </w:rPr>
        <w:t>.”</w:t>
      </w:r>
      <w:r w:rsidR="0080686C" w:rsidRPr="00CC28EC">
        <w:rPr>
          <w:sz w:val="24"/>
          <w:szCs w:val="24"/>
        </w:rPr>
        <w:t xml:space="preserve"> (</w:t>
      </w:r>
      <w:proofErr w:type="spellStart"/>
      <w:r w:rsidR="0080686C" w:rsidRPr="00CC28EC">
        <w:rPr>
          <w:sz w:val="24"/>
          <w:szCs w:val="24"/>
        </w:rPr>
        <w:t>Cerna</w:t>
      </w:r>
      <w:proofErr w:type="spellEnd"/>
      <w:r w:rsidR="0080686C" w:rsidRPr="00CC28EC">
        <w:rPr>
          <w:sz w:val="24"/>
          <w:szCs w:val="24"/>
        </w:rPr>
        <w:t>,</w:t>
      </w:r>
      <w:r w:rsidRPr="00CC28EC">
        <w:rPr>
          <w:sz w:val="24"/>
          <w:szCs w:val="24"/>
        </w:rPr>
        <w:t xml:space="preserve"> </w:t>
      </w:r>
      <w:r w:rsidR="0080686C" w:rsidRPr="00CC28EC">
        <w:rPr>
          <w:sz w:val="24"/>
          <w:szCs w:val="24"/>
        </w:rPr>
        <w:t>2019)</w:t>
      </w:r>
    </w:p>
    <w:p w14:paraId="7785D363" w14:textId="57A47EE1" w:rsidR="00A91206" w:rsidRPr="00CC28EC" w:rsidRDefault="00A91206" w:rsidP="003E04F7">
      <w:pPr>
        <w:tabs>
          <w:tab w:val="left" w:pos="360"/>
        </w:tabs>
        <w:jc w:val="both"/>
        <w:rPr>
          <w:sz w:val="24"/>
          <w:szCs w:val="24"/>
        </w:rPr>
      </w:pPr>
      <w:r w:rsidRPr="00CC28EC">
        <w:rPr>
          <w:sz w:val="24"/>
          <w:szCs w:val="24"/>
        </w:rPr>
        <w:tab/>
      </w:r>
      <w:r w:rsidRPr="00CC28EC">
        <w:rPr>
          <w:sz w:val="24"/>
          <w:szCs w:val="24"/>
        </w:rPr>
        <w:tab/>
        <w:t xml:space="preserve">Am </w:t>
      </w:r>
      <w:proofErr w:type="spellStart"/>
      <w:r w:rsidRPr="00CC28EC">
        <w:rPr>
          <w:sz w:val="24"/>
          <w:szCs w:val="24"/>
        </w:rPr>
        <w:t>arătat</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sus </w:t>
      </w:r>
      <w:proofErr w:type="spellStart"/>
      <w:r w:rsidRPr="00CC28EC">
        <w:rPr>
          <w:sz w:val="24"/>
          <w:szCs w:val="24"/>
        </w:rPr>
        <w:t>principalele</w:t>
      </w:r>
      <w:proofErr w:type="spellEnd"/>
      <w:r w:rsidRPr="00CC28EC">
        <w:rPr>
          <w:sz w:val="24"/>
          <w:szCs w:val="24"/>
        </w:rPr>
        <w:t xml:space="preserve"> </w:t>
      </w:r>
      <w:proofErr w:type="spellStart"/>
      <w:r w:rsidRPr="00CC28EC">
        <w:rPr>
          <w:sz w:val="24"/>
          <w:szCs w:val="24"/>
        </w:rPr>
        <w:t>curente</w:t>
      </w:r>
      <w:proofErr w:type="spellEnd"/>
      <w:r w:rsidRPr="00CC28EC">
        <w:rPr>
          <w:sz w:val="24"/>
          <w:szCs w:val="24"/>
        </w:rPr>
        <w:t xml:space="preserve"> de </w:t>
      </w:r>
      <w:proofErr w:type="spellStart"/>
      <w:r w:rsidRPr="00CC28EC">
        <w:rPr>
          <w:sz w:val="24"/>
          <w:szCs w:val="24"/>
        </w:rPr>
        <w:t>gândire</w:t>
      </w:r>
      <w:proofErr w:type="spellEnd"/>
      <w:r w:rsidRPr="00CC28EC">
        <w:rPr>
          <w:sz w:val="24"/>
          <w:szCs w:val="24"/>
        </w:rPr>
        <w:t xml:space="preserve"> </w:t>
      </w:r>
      <w:proofErr w:type="spellStart"/>
      <w:r w:rsidRPr="00CC28EC">
        <w:rPr>
          <w:sz w:val="24"/>
          <w:szCs w:val="24"/>
        </w:rPr>
        <w:t>despre</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w:t>
      </w:r>
      <w:r w:rsidR="009F7B4B" w:rsidRPr="00CC28EC">
        <w:rPr>
          <w:sz w:val="24"/>
          <w:szCs w:val="24"/>
        </w:rPr>
        <w:t xml:space="preserve"> </w:t>
      </w:r>
      <w:proofErr w:type="spellStart"/>
      <w:r w:rsidRPr="00CC28EC">
        <w:rPr>
          <w:sz w:val="24"/>
          <w:szCs w:val="24"/>
        </w:rPr>
        <w:t>În</w:t>
      </w:r>
      <w:proofErr w:type="spellEnd"/>
      <w:r w:rsidR="009F7B4B" w:rsidRPr="00CC28EC">
        <w:rPr>
          <w:sz w:val="24"/>
          <w:szCs w:val="24"/>
        </w:rPr>
        <w:t xml:space="preserve"> </w:t>
      </w:r>
      <w:proofErr w:type="spellStart"/>
      <w:r w:rsidRPr="00CC28EC">
        <w:rPr>
          <w:sz w:val="24"/>
          <w:szCs w:val="24"/>
        </w:rPr>
        <w:t>continuare</w:t>
      </w:r>
      <w:proofErr w:type="spellEnd"/>
      <w:r w:rsidRPr="00CC28EC">
        <w:rPr>
          <w:sz w:val="24"/>
          <w:szCs w:val="24"/>
        </w:rPr>
        <w:t xml:space="preserve"> </w:t>
      </w:r>
      <w:proofErr w:type="spellStart"/>
      <w:r w:rsidRPr="00CC28EC">
        <w:rPr>
          <w:sz w:val="24"/>
          <w:szCs w:val="24"/>
        </w:rPr>
        <w:t>vom</w:t>
      </w:r>
      <w:proofErr w:type="spellEnd"/>
      <w:r w:rsidRPr="00CC28EC">
        <w:rPr>
          <w:sz w:val="24"/>
          <w:szCs w:val="24"/>
        </w:rPr>
        <w:t xml:space="preserve"> </w:t>
      </w:r>
      <w:proofErr w:type="spellStart"/>
      <w:r w:rsidRPr="00CC28EC">
        <w:rPr>
          <w:sz w:val="24"/>
          <w:szCs w:val="24"/>
        </w:rPr>
        <w:t>trece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revistă</w:t>
      </w:r>
      <w:proofErr w:type="spellEnd"/>
      <w:r w:rsidRPr="00CC28EC">
        <w:rPr>
          <w:sz w:val="24"/>
          <w:szCs w:val="24"/>
        </w:rPr>
        <w:t xml:space="preserve"> </w:t>
      </w:r>
      <w:proofErr w:type="spellStart"/>
      <w:r w:rsidRPr="00CC28EC">
        <w:rPr>
          <w:sz w:val="24"/>
          <w:szCs w:val="24"/>
        </w:rPr>
        <w:t>câteva</w:t>
      </w:r>
      <w:proofErr w:type="spellEnd"/>
      <w:r w:rsidRPr="00CC28EC">
        <w:rPr>
          <w:sz w:val="24"/>
          <w:szCs w:val="24"/>
        </w:rPr>
        <w:t xml:space="preserve"> </w:t>
      </w:r>
      <w:proofErr w:type="spellStart"/>
      <w:r w:rsidRPr="00CC28EC">
        <w:rPr>
          <w:sz w:val="24"/>
          <w:szCs w:val="24"/>
        </w:rPr>
        <w:t>lucrări</w:t>
      </w:r>
      <w:proofErr w:type="spellEnd"/>
      <w:r w:rsidRPr="00CC28EC">
        <w:rPr>
          <w:sz w:val="24"/>
          <w:szCs w:val="24"/>
        </w:rPr>
        <w:t xml:space="preserve"> care </w:t>
      </w:r>
      <w:proofErr w:type="spellStart"/>
      <w:r w:rsidRPr="00CC28EC">
        <w:rPr>
          <w:sz w:val="24"/>
          <w:szCs w:val="24"/>
        </w:rPr>
        <w:t>studiază</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tratează</w:t>
      </w:r>
      <w:proofErr w:type="spellEnd"/>
      <w:r w:rsidRPr="00CC28EC">
        <w:rPr>
          <w:sz w:val="24"/>
          <w:szCs w:val="24"/>
        </w:rPr>
        <w:t xml:space="preserve"> </w:t>
      </w:r>
      <w:proofErr w:type="spellStart"/>
      <w:r w:rsidRPr="00CC28EC">
        <w:rPr>
          <w:sz w:val="24"/>
          <w:szCs w:val="24"/>
        </w:rPr>
        <w:t>concret</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efectele</w:t>
      </w:r>
      <w:proofErr w:type="spellEnd"/>
      <w:r w:rsidRPr="00CC28EC">
        <w:rPr>
          <w:sz w:val="24"/>
          <w:szCs w:val="24"/>
        </w:rPr>
        <w:t xml:space="preserve"> </w:t>
      </w:r>
      <w:proofErr w:type="spellStart"/>
      <w:r w:rsidRPr="00CC28EC">
        <w:rPr>
          <w:sz w:val="24"/>
          <w:szCs w:val="24"/>
        </w:rPr>
        <w:t>ei</w:t>
      </w:r>
      <w:proofErr w:type="spellEnd"/>
      <w:r w:rsidRPr="00CC28EC">
        <w:rPr>
          <w:sz w:val="24"/>
          <w:szCs w:val="24"/>
        </w:rPr>
        <w:t xml:space="preserve">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vieții</w:t>
      </w:r>
      <w:proofErr w:type="spellEnd"/>
      <w:r w:rsidRPr="00CC28EC">
        <w:rPr>
          <w:sz w:val="24"/>
          <w:szCs w:val="24"/>
        </w:rPr>
        <w:t xml:space="preserve"> </w:t>
      </w:r>
      <w:proofErr w:type="spellStart"/>
      <w:r w:rsidRPr="00CC28EC">
        <w:rPr>
          <w:sz w:val="24"/>
          <w:szCs w:val="24"/>
        </w:rPr>
        <w:t>economice</w:t>
      </w:r>
      <w:proofErr w:type="spellEnd"/>
      <w:r w:rsidRPr="00CC28EC">
        <w:rPr>
          <w:sz w:val="24"/>
          <w:szCs w:val="24"/>
        </w:rPr>
        <w:t xml:space="preserve"> pe </w:t>
      </w:r>
      <w:proofErr w:type="spellStart"/>
      <w:r w:rsidRPr="00CC28EC">
        <w:rPr>
          <w:sz w:val="24"/>
          <w:szCs w:val="24"/>
        </w:rPr>
        <w:t>exemplul</w:t>
      </w:r>
      <w:proofErr w:type="spellEnd"/>
      <w:r w:rsidRPr="00CC28EC">
        <w:rPr>
          <w:sz w:val="24"/>
          <w:szCs w:val="24"/>
        </w:rPr>
        <w:t xml:space="preserve"> </w:t>
      </w:r>
      <w:proofErr w:type="spellStart"/>
      <w:r w:rsidRPr="00CC28EC">
        <w:rPr>
          <w:sz w:val="24"/>
          <w:szCs w:val="24"/>
        </w:rPr>
        <w:t>unor</w:t>
      </w:r>
      <w:proofErr w:type="spellEnd"/>
      <w:r w:rsidRPr="00CC28EC">
        <w:rPr>
          <w:sz w:val="24"/>
          <w:szCs w:val="24"/>
        </w:rPr>
        <w:t xml:space="preserve"> </w:t>
      </w:r>
      <w:proofErr w:type="spellStart"/>
      <w:r w:rsidRPr="00CC28EC">
        <w:rPr>
          <w:sz w:val="24"/>
          <w:szCs w:val="24"/>
        </w:rPr>
        <w:t>țări</w:t>
      </w:r>
      <w:proofErr w:type="spellEnd"/>
      <w:r w:rsidRPr="00CC28EC">
        <w:rPr>
          <w:sz w:val="24"/>
          <w:szCs w:val="24"/>
        </w:rPr>
        <w:t xml:space="preserve"> </w:t>
      </w:r>
      <w:proofErr w:type="spellStart"/>
      <w:r w:rsidRPr="00CC28EC">
        <w:rPr>
          <w:sz w:val="24"/>
          <w:szCs w:val="24"/>
        </w:rPr>
        <w:t>sau</w:t>
      </w:r>
      <w:proofErr w:type="spellEnd"/>
      <w:r w:rsidRPr="00CC28EC">
        <w:rPr>
          <w:sz w:val="24"/>
          <w:szCs w:val="24"/>
        </w:rPr>
        <w:t xml:space="preserve"> </w:t>
      </w:r>
      <w:proofErr w:type="spellStart"/>
      <w:r w:rsidRPr="00CC28EC">
        <w:rPr>
          <w:sz w:val="24"/>
          <w:szCs w:val="24"/>
        </w:rPr>
        <w:t>grupuri</w:t>
      </w:r>
      <w:proofErr w:type="spellEnd"/>
      <w:r w:rsidRPr="00CC28EC">
        <w:rPr>
          <w:sz w:val="24"/>
          <w:szCs w:val="24"/>
        </w:rPr>
        <w:t xml:space="preserve"> de </w:t>
      </w:r>
      <w:proofErr w:type="spellStart"/>
      <w:r w:rsidRPr="00CC28EC">
        <w:rPr>
          <w:sz w:val="24"/>
          <w:szCs w:val="24"/>
        </w:rPr>
        <w:t>țări</w:t>
      </w:r>
      <w:proofErr w:type="spellEnd"/>
      <w:r w:rsidRPr="00CC28EC">
        <w:rPr>
          <w:sz w:val="24"/>
          <w:szCs w:val="24"/>
        </w:rPr>
        <w:t xml:space="preserve"> precum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România</w:t>
      </w:r>
      <w:proofErr w:type="spellEnd"/>
      <w:r w:rsidRPr="00CC28EC">
        <w:rPr>
          <w:sz w:val="24"/>
          <w:szCs w:val="24"/>
        </w:rPr>
        <w:t>.</w:t>
      </w:r>
    </w:p>
    <w:p w14:paraId="549634BE" w14:textId="617FD19E" w:rsidR="008414DA" w:rsidRPr="00CC28EC" w:rsidRDefault="00A91206" w:rsidP="003E04F7">
      <w:pPr>
        <w:tabs>
          <w:tab w:val="left" w:pos="360"/>
        </w:tabs>
        <w:jc w:val="both"/>
        <w:rPr>
          <w:sz w:val="24"/>
          <w:szCs w:val="24"/>
        </w:rPr>
      </w:pPr>
      <w:r w:rsidRPr="00CC28EC">
        <w:rPr>
          <w:sz w:val="24"/>
          <w:szCs w:val="24"/>
        </w:rPr>
        <w:t xml:space="preserve"> </w:t>
      </w:r>
      <w:r w:rsidRPr="00CC28EC">
        <w:rPr>
          <w:sz w:val="24"/>
          <w:szCs w:val="24"/>
        </w:rPr>
        <w:tab/>
      </w:r>
      <w:r w:rsidRPr="00CC28EC">
        <w:rPr>
          <w:sz w:val="24"/>
          <w:szCs w:val="24"/>
        </w:rPr>
        <w:tab/>
      </w:r>
      <w:proofErr w:type="spellStart"/>
      <w:r w:rsidR="00107EB4" w:rsidRPr="00CC28EC">
        <w:rPr>
          <w:sz w:val="24"/>
          <w:szCs w:val="24"/>
        </w:rPr>
        <w:t>Astfel</w:t>
      </w:r>
      <w:proofErr w:type="spellEnd"/>
      <w:r w:rsidR="00107EB4" w:rsidRPr="00CC28EC">
        <w:rPr>
          <w:sz w:val="24"/>
          <w:szCs w:val="24"/>
        </w:rPr>
        <w:t xml:space="preserve"> se</w:t>
      </w:r>
      <w:r w:rsidRPr="00CC28EC">
        <w:rPr>
          <w:sz w:val="24"/>
          <w:szCs w:val="24"/>
        </w:rPr>
        <w:t xml:space="preserve"> </w:t>
      </w:r>
      <w:proofErr w:type="spellStart"/>
      <w:r w:rsidRPr="00CC28EC">
        <w:rPr>
          <w:sz w:val="24"/>
          <w:szCs w:val="24"/>
        </w:rPr>
        <w:t>evalu</w:t>
      </w:r>
      <w:r w:rsidR="00107EB4" w:rsidRPr="00CC28EC">
        <w:rPr>
          <w:sz w:val="24"/>
          <w:szCs w:val="24"/>
        </w:rPr>
        <w:t>ează</w:t>
      </w:r>
      <w:proofErr w:type="spellEnd"/>
      <w:r w:rsidRPr="00CC28EC">
        <w:rPr>
          <w:sz w:val="24"/>
          <w:szCs w:val="24"/>
        </w:rPr>
        <w:t xml:space="preserve"> </w:t>
      </w:r>
      <w:proofErr w:type="spellStart"/>
      <w:r w:rsidRPr="00CC28EC">
        <w:rPr>
          <w:sz w:val="24"/>
          <w:szCs w:val="24"/>
        </w:rPr>
        <w:t>efectul</w:t>
      </w:r>
      <w:proofErr w:type="spellEnd"/>
      <w:r w:rsidRPr="00CC28EC">
        <w:rPr>
          <w:sz w:val="24"/>
          <w:szCs w:val="24"/>
        </w:rPr>
        <w:t xml:space="preserve"> direct al </w:t>
      </w:r>
      <w:proofErr w:type="spellStart"/>
      <w:r w:rsidR="00107EB4" w:rsidRPr="00CC28EC">
        <w:rPr>
          <w:sz w:val="24"/>
          <w:szCs w:val="24"/>
        </w:rPr>
        <w:t>datoriei</w:t>
      </w:r>
      <w:proofErr w:type="spellEnd"/>
      <w:r w:rsidR="00107EB4" w:rsidRPr="00CC28EC">
        <w:rPr>
          <w:sz w:val="24"/>
          <w:szCs w:val="24"/>
        </w:rPr>
        <w:t xml:space="preserve"> </w:t>
      </w:r>
      <w:proofErr w:type="spellStart"/>
      <w:r w:rsidR="00107EB4" w:rsidRPr="00CC28EC">
        <w:rPr>
          <w:sz w:val="24"/>
          <w:szCs w:val="24"/>
        </w:rPr>
        <w:t>publice</w:t>
      </w:r>
      <w:proofErr w:type="spellEnd"/>
      <w:r w:rsidR="00107EB4" w:rsidRPr="00CC28EC">
        <w:rPr>
          <w:sz w:val="24"/>
          <w:szCs w:val="24"/>
        </w:rPr>
        <w:t xml:space="preserve"> </w:t>
      </w:r>
      <w:proofErr w:type="spellStart"/>
      <w:r w:rsidR="00107EB4" w:rsidRPr="00CC28EC">
        <w:rPr>
          <w:sz w:val="24"/>
          <w:szCs w:val="24"/>
        </w:rPr>
        <w:t>mari</w:t>
      </w:r>
      <w:proofErr w:type="spellEnd"/>
      <w:r w:rsidRPr="00CC28EC">
        <w:rPr>
          <w:sz w:val="24"/>
          <w:szCs w:val="24"/>
        </w:rPr>
        <w:t xml:space="preserve"> </w:t>
      </w:r>
      <w:proofErr w:type="spellStart"/>
      <w:r w:rsidRPr="00CC28EC">
        <w:rPr>
          <w:sz w:val="24"/>
          <w:szCs w:val="24"/>
        </w:rPr>
        <w:t>asupra</w:t>
      </w:r>
      <w:proofErr w:type="spellEnd"/>
      <w:r w:rsidRPr="00CC28EC">
        <w:rPr>
          <w:sz w:val="24"/>
          <w:szCs w:val="24"/>
        </w:rPr>
        <w:t xml:space="preserve"> </w:t>
      </w:r>
      <w:proofErr w:type="spellStart"/>
      <w:r w:rsidRPr="00CC28EC">
        <w:rPr>
          <w:sz w:val="24"/>
          <w:szCs w:val="24"/>
        </w:rPr>
        <w:t>creşterii</w:t>
      </w:r>
      <w:proofErr w:type="spellEnd"/>
      <w:r w:rsidRPr="00CC28EC">
        <w:rPr>
          <w:sz w:val="24"/>
          <w:szCs w:val="24"/>
        </w:rPr>
        <w:t xml:space="preserve"> </w:t>
      </w:r>
      <w:proofErr w:type="spellStart"/>
      <w:r w:rsidRPr="00CC28EC">
        <w:rPr>
          <w:sz w:val="24"/>
          <w:szCs w:val="24"/>
        </w:rPr>
        <w:t>economice</w:t>
      </w:r>
      <w:proofErr w:type="spellEnd"/>
      <w:r w:rsidR="00107EB4" w:rsidRPr="00CC28EC">
        <w:rPr>
          <w:sz w:val="24"/>
          <w:szCs w:val="24"/>
        </w:rPr>
        <w:t xml:space="preserve"> </w:t>
      </w:r>
      <w:proofErr w:type="spellStart"/>
      <w:r w:rsidR="00107EB4" w:rsidRPr="00CC28EC">
        <w:rPr>
          <w:sz w:val="24"/>
          <w:szCs w:val="24"/>
        </w:rPr>
        <w:t>în</w:t>
      </w:r>
      <w:proofErr w:type="spellEnd"/>
      <w:r w:rsidRPr="00CC28EC">
        <w:rPr>
          <w:sz w:val="24"/>
          <w:szCs w:val="24"/>
        </w:rPr>
        <w:t xml:space="preserve"> </w:t>
      </w:r>
      <w:r w:rsidR="00107EB4" w:rsidRPr="00CC28EC">
        <w:rPr>
          <w:sz w:val="24"/>
          <w:szCs w:val="24"/>
        </w:rPr>
        <w:t xml:space="preserve">25 </w:t>
      </w:r>
      <w:proofErr w:type="spellStart"/>
      <w:r w:rsidR="00107EB4" w:rsidRPr="00CC28EC">
        <w:rPr>
          <w:sz w:val="24"/>
          <w:szCs w:val="24"/>
        </w:rPr>
        <w:t>dintre</w:t>
      </w:r>
      <w:proofErr w:type="spellEnd"/>
      <w:r w:rsidR="00107EB4" w:rsidRPr="00CC28EC">
        <w:rPr>
          <w:sz w:val="24"/>
          <w:szCs w:val="24"/>
        </w:rPr>
        <w:t xml:space="preserve"> </w:t>
      </w:r>
      <w:proofErr w:type="spellStart"/>
      <w:r w:rsidRPr="00CC28EC">
        <w:rPr>
          <w:sz w:val="24"/>
          <w:szCs w:val="24"/>
        </w:rPr>
        <w:t>ţările</w:t>
      </w:r>
      <w:proofErr w:type="spellEnd"/>
      <w:r w:rsidRPr="00CC28EC">
        <w:rPr>
          <w:sz w:val="24"/>
          <w:szCs w:val="24"/>
        </w:rPr>
        <w:t xml:space="preserve"> UE, </w:t>
      </w:r>
      <w:proofErr w:type="spellStart"/>
      <w:r w:rsidR="00107EB4" w:rsidRPr="00CC28EC">
        <w:rPr>
          <w:sz w:val="24"/>
          <w:szCs w:val="24"/>
        </w:rPr>
        <w:t>împărțite</w:t>
      </w:r>
      <w:proofErr w:type="spellEnd"/>
      <w:r w:rsidR="00107EB4" w:rsidRPr="00CC28EC">
        <w:rPr>
          <w:sz w:val="24"/>
          <w:szCs w:val="24"/>
        </w:rPr>
        <w:t xml:space="preserve"> </w:t>
      </w:r>
      <w:proofErr w:type="spellStart"/>
      <w:r w:rsidR="00107EB4" w:rsidRPr="00CC28EC">
        <w:rPr>
          <w:sz w:val="24"/>
          <w:szCs w:val="24"/>
        </w:rPr>
        <w:t>în</w:t>
      </w:r>
      <w:proofErr w:type="spellEnd"/>
      <w:r w:rsidR="00107EB4" w:rsidRPr="00CC28EC">
        <w:rPr>
          <w:sz w:val="24"/>
          <w:szCs w:val="24"/>
        </w:rPr>
        <w:t xml:space="preserve"> </w:t>
      </w:r>
      <w:proofErr w:type="spellStart"/>
      <w:r w:rsidR="00107EB4" w:rsidRPr="00CC28EC">
        <w:rPr>
          <w:sz w:val="24"/>
          <w:szCs w:val="24"/>
        </w:rPr>
        <w:t>două</w:t>
      </w:r>
      <w:proofErr w:type="spellEnd"/>
      <w:r w:rsidR="00107EB4" w:rsidRPr="00CC28EC">
        <w:rPr>
          <w:sz w:val="24"/>
          <w:szCs w:val="24"/>
        </w:rPr>
        <w:t xml:space="preserve"> </w:t>
      </w:r>
      <w:proofErr w:type="spellStart"/>
      <w:r w:rsidR="00107EB4" w:rsidRPr="00CC28EC">
        <w:rPr>
          <w:sz w:val="24"/>
          <w:szCs w:val="24"/>
        </w:rPr>
        <w:t>subgrupuri</w:t>
      </w:r>
      <w:proofErr w:type="spellEnd"/>
      <w:r w:rsidR="00107EB4" w:rsidRPr="00CC28EC">
        <w:rPr>
          <w:sz w:val="24"/>
          <w:szCs w:val="24"/>
        </w:rPr>
        <w:t xml:space="preserve">: </w:t>
      </w:r>
      <w:proofErr w:type="spellStart"/>
      <w:r w:rsidR="00107EB4" w:rsidRPr="00CC28EC">
        <w:rPr>
          <w:sz w:val="24"/>
          <w:szCs w:val="24"/>
        </w:rPr>
        <w:t>cele</w:t>
      </w:r>
      <w:proofErr w:type="spellEnd"/>
      <w:r w:rsidR="00107EB4" w:rsidRPr="00CC28EC">
        <w:rPr>
          <w:sz w:val="24"/>
          <w:szCs w:val="24"/>
        </w:rPr>
        <w:t xml:space="preserve"> care au </w:t>
      </w:r>
      <w:proofErr w:type="spellStart"/>
      <w:r w:rsidR="00107EB4" w:rsidRPr="00CC28EC">
        <w:rPr>
          <w:sz w:val="24"/>
          <w:szCs w:val="24"/>
        </w:rPr>
        <w:t>aderat</w:t>
      </w:r>
      <w:proofErr w:type="spellEnd"/>
      <w:r w:rsidR="00107EB4" w:rsidRPr="00CC28EC">
        <w:rPr>
          <w:sz w:val="24"/>
          <w:szCs w:val="24"/>
        </w:rPr>
        <w:t xml:space="preserve"> </w:t>
      </w:r>
      <w:proofErr w:type="spellStart"/>
      <w:r w:rsidR="00107EB4" w:rsidRPr="00CC28EC">
        <w:rPr>
          <w:sz w:val="24"/>
          <w:szCs w:val="24"/>
        </w:rPr>
        <w:t>până</w:t>
      </w:r>
      <w:proofErr w:type="spellEnd"/>
      <w:r w:rsidR="00107EB4" w:rsidRPr="00CC28EC">
        <w:rPr>
          <w:sz w:val="24"/>
          <w:szCs w:val="24"/>
        </w:rPr>
        <w:t xml:space="preserve"> </w:t>
      </w:r>
      <w:proofErr w:type="spellStart"/>
      <w:r w:rsidR="00107EB4" w:rsidRPr="00CC28EC">
        <w:rPr>
          <w:sz w:val="24"/>
          <w:szCs w:val="24"/>
        </w:rPr>
        <w:t>în</w:t>
      </w:r>
      <w:proofErr w:type="spellEnd"/>
      <w:r w:rsidR="00107EB4" w:rsidRPr="00CC28EC">
        <w:rPr>
          <w:sz w:val="24"/>
          <w:szCs w:val="24"/>
        </w:rPr>
        <w:t xml:space="preserve"> </w:t>
      </w:r>
      <w:proofErr w:type="spellStart"/>
      <w:r w:rsidR="00107EB4" w:rsidRPr="00CC28EC">
        <w:rPr>
          <w:sz w:val="24"/>
          <w:szCs w:val="24"/>
        </w:rPr>
        <w:t>anul</w:t>
      </w:r>
      <w:proofErr w:type="spellEnd"/>
      <w:r w:rsidR="00107EB4" w:rsidRPr="00CC28EC">
        <w:rPr>
          <w:sz w:val="24"/>
          <w:szCs w:val="24"/>
        </w:rPr>
        <w:t xml:space="preserve"> 2010 </w:t>
      </w:r>
      <w:proofErr w:type="spellStart"/>
      <w:r w:rsidR="00107EB4" w:rsidRPr="00CC28EC">
        <w:rPr>
          <w:sz w:val="24"/>
          <w:szCs w:val="24"/>
        </w:rPr>
        <w:t>și</w:t>
      </w:r>
      <w:proofErr w:type="spellEnd"/>
      <w:r w:rsidR="00107EB4" w:rsidRPr="00CC28EC">
        <w:rPr>
          <w:sz w:val="24"/>
          <w:szCs w:val="24"/>
        </w:rPr>
        <w:t xml:space="preserve"> </w:t>
      </w:r>
      <w:proofErr w:type="spellStart"/>
      <w:r w:rsidR="00107EB4" w:rsidRPr="00CC28EC">
        <w:rPr>
          <w:sz w:val="24"/>
          <w:szCs w:val="24"/>
        </w:rPr>
        <w:t>cele</w:t>
      </w:r>
      <w:proofErr w:type="spellEnd"/>
      <w:r w:rsidR="00107EB4" w:rsidRPr="00CC28EC">
        <w:rPr>
          <w:sz w:val="24"/>
          <w:szCs w:val="24"/>
        </w:rPr>
        <w:t xml:space="preserve"> care au </w:t>
      </w:r>
      <w:proofErr w:type="spellStart"/>
      <w:r w:rsidR="00107EB4" w:rsidRPr="00CC28EC">
        <w:rPr>
          <w:sz w:val="24"/>
          <w:szCs w:val="24"/>
        </w:rPr>
        <w:t>aderat</w:t>
      </w:r>
      <w:proofErr w:type="spellEnd"/>
      <w:r w:rsidR="00107EB4" w:rsidRPr="00CC28EC">
        <w:rPr>
          <w:sz w:val="24"/>
          <w:szCs w:val="24"/>
        </w:rPr>
        <w:t xml:space="preserve"> </w:t>
      </w:r>
      <w:proofErr w:type="spellStart"/>
      <w:r w:rsidR="00107EB4" w:rsidRPr="00CC28EC">
        <w:rPr>
          <w:sz w:val="24"/>
          <w:szCs w:val="24"/>
        </w:rPr>
        <w:t>după</w:t>
      </w:r>
      <w:proofErr w:type="spellEnd"/>
      <w:r w:rsidR="00107EB4" w:rsidRPr="00CC28EC">
        <w:rPr>
          <w:sz w:val="24"/>
          <w:szCs w:val="24"/>
        </w:rPr>
        <w:t xml:space="preserve"> </w:t>
      </w:r>
      <w:proofErr w:type="spellStart"/>
      <w:r w:rsidR="00107EB4" w:rsidRPr="00CC28EC">
        <w:rPr>
          <w:sz w:val="24"/>
          <w:szCs w:val="24"/>
        </w:rPr>
        <w:t>acest</w:t>
      </w:r>
      <w:proofErr w:type="spellEnd"/>
      <w:r w:rsidR="00107EB4" w:rsidRPr="00CC28EC">
        <w:rPr>
          <w:sz w:val="24"/>
          <w:szCs w:val="24"/>
        </w:rPr>
        <w:t xml:space="preserve"> an.</w:t>
      </w:r>
      <w:r w:rsidR="003E04F7" w:rsidRPr="00CC28EC">
        <w:rPr>
          <w:sz w:val="24"/>
          <w:szCs w:val="24"/>
        </w:rPr>
        <w:t>„</w:t>
      </w:r>
      <w:proofErr w:type="spellStart"/>
      <w:r w:rsidR="003E04F7" w:rsidRPr="00CC28EC">
        <w:rPr>
          <w:i/>
          <w:iCs/>
          <w:sz w:val="24"/>
          <w:szCs w:val="24"/>
        </w:rPr>
        <w:t>Rezultatele</w:t>
      </w:r>
      <w:proofErr w:type="spellEnd"/>
      <w:r w:rsidR="003E04F7" w:rsidRPr="00CC28EC">
        <w:rPr>
          <w:i/>
          <w:iCs/>
          <w:sz w:val="24"/>
          <w:szCs w:val="24"/>
        </w:rPr>
        <w:t xml:space="preserve"> din </w:t>
      </w:r>
      <w:proofErr w:type="spellStart"/>
      <w:r w:rsidR="003E04F7" w:rsidRPr="00CC28EC">
        <w:rPr>
          <w:i/>
          <w:iCs/>
          <w:sz w:val="24"/>
          <w:szCs w:val="24"/>
        </w:rPr>
        <w:t>toate</w:t>
      </w:r>
      <w:proofErr w:type="spellEnd"/>
      <w:r w:rsidR="003E04F7" w:rsidRPr="00CC28EC">
        <w:rPr>
          <w:i/>
          <w:iCs/>
          <w:sz w:val="24"/>
          <w:szCs w:val="24"/>
        </w:rPr>
        <w:t xml:space="preserve"> </w:t>
      </w:r>
      <w:proofErr w:type="spellStart"/>
      <w:r w:rsidR="003E04F7" w:rsidRPr="00CC28EC">
        <w:rPr>
          <w:i/>
          <w:iCs/>
          <w:sz w:val="24"/>
          <w:szCs w:val="24"/>
        </w:rPr>
        <w:t>modelele</w:t>
      </w:r>
      <w:proofErr w:type="spellEnd"/>
      <w:r w:rsidR="003E04F7" w:rsidRPr="00CC28EC">
        <w:rPr>
          <w:i/>
          <w:iCs/>
          <w:sz w:val="24"/>
          <w:szCs w:val="24"/>
        </w:rPr>
        <w:t xml:space="preserve"> </w:t>
      </w:r>
      <w:proofErr w:type="spellStart"/>
      <w:r w:rsidR="003E04F7" w:rsidRPr="00CC28EC">
        <w:rPr>
          <w:i/>
          <w:iCs/>
          <w:sz w:val="24"/>
          <w:szCs w:val="24"/>
        </w:rPr>
        <w:t>indică</w:t>
      </w:r>
      <w:proofErr w:type="spellEnd"/>
      <w:r w:rsidR="003E04F7" w:rsidRPr="00CC28EC">
        <w:rPr>
          <w:i/>
          <w:iCs/>
          <w:sz w:val="24"/>
          <w:szCs w:val="24"/>
        </w:rPr>
        <w:t xml:space="preserve"> un impact non-linear </w:t>
      </w:r>
      <w:proofErr w:type="spellStart"/>
      <w:r w:rsidR="003E04F7" w:rsidRPr="00CC28EC">
        <w:rPr>
          <w:i/>
          <w:iCs/>
          <w:sz w:val="24"/>
          <w:szCs w:val="24"/>
        </w:rPr>
        <w:t>semnificativ</w:t>
      </w:r>
      <w:proofErr w:type="spellEnd"/>
      <w:r w:rsidR="003E04F7" w:rsidRPr="00CC28EC">
        <w:rPr>
          <w:i/>
          <w:iCs/>
          <w:sz w:val="24"/>
          <w:szCs w:val="24"/>
        </w:rPr>
        <w:t xml:space="preserve"> statistic al </w:t>
      </w:r>
      <w:proofErr w:type="spellStart"/>
      <w:r w:rsidR="003E04F7" w:rsidRPr="00CC28EC">
        <w:rPr>
          <w:i/>
          <w:iCs/>
          <w:sz w:val="24"/>
          <w:szCs w:val="24"/>
        </w:rPr>
        <w:t>ratei</w:t>
      </w:r>
      <w:proofErr w:type="spellEnd"/>
      <w:r w:rsidR="003E04F7" w:rsidRPr="00CC28EC">
        <w:rPr>
          <w:i/>
          <w:iCs/>
          <w:sz w:val="24"/>
          <w:szCs w:val="24"/>
        </w:rPr>
        <w:t xml:space="preserve"> </w:t>
      </w:r>
      <w:proofErr w:type="spellStart"/>
      <w:r w:rsidR="003E04F7" w:rsidRPr="00CC28EC">
        <w:rPr>
          <w:i/>
          <w:iCs/>
          <w:sz w:val="24"/>
          <w:szCs w:val="24"/>
        </w:rPr>
        <w:t>datoriei</w:t>
      </w:r>
      <w:proofErr w:type="spellEnd"/>
      <w:r w:rsidR="003E04F7" w:rsidRPr="00CC28EC">
        <w:rPr>
          <w:i/>
          <w:iCs/>
          <w:sz w:val="24"/>
          <w:szCs w:val="24"/>
        </w:rPr>
        <w:t xml:space="preserve"> </w:t>
      </w:r>
      <w:proofErr w:type="spellStart"/>
      <w:r w:rsidR="003E04F7" w:rsidRPr="00CC28EC">
        <w:rPr>
          <w:i/>
          <w:iCs/>
          <w:sz w:val="24"/>
          <w:szCs w:val="24"/>
        </w:rPr>
        <w:t>publice</w:t>
      </w:r>
      <w:proofErr w:type="spellEnd"/>
      <w:r w:rsidR="003E04F7" w:rsidRPr="00CC28EC">
        <w:rPr>
          <w:i/>
          <w:iCs/>
          <w:sz w:val="24"/>
          <w:szCs w:val="24"/>
        </w:rPr>
        <w:t xml:space="preserve"> </w:t>
      </w:r>
      <w:proofErr w:type="spellStart"/>
      <w:r w:rsidR="003E04F7" w:rsidRPr="00CC28EC">
        <w:rPr>
          <w:i/>
          <w:iCs/>
          <w:sz w:val="24"/>
          <w:szCs w:val="24"/>
        </w:rPr>
        <w:t>asupra</w:t>
      </w:r>
      <w:proofErr w:type="spellEnd"/>
      <w:r w:rsidR="003E04F7" w:rsidRPr="00CC28EC">
        <w:rPr>
          <w:i/>
          <w:iCs/>
          <w:sz w:val="24"/>
          <w:szCs w:val="24"/>
        </w:rPr>
        <w:t xml:space="preserve"> </w:t>
      </w:r>
      <w:proofErr w:type="spellStart"/>
      <w:r w:rsidR="003E04F7" w:rsidRPr="00CC28EC">
        <w:rPr>
          <w:i/>
          <w:iCs/>
          <w:sz w:val="24"/>
          <w:szCs w:val="24"/>
        </w:rPr>
        <w:t>creşterii</w:t>
      </w:r>
      <w:proofErr w:type="spellEnd"/>
      <w:r w:rsidR="003E04F7" w:rsidRPr="00CC28EC">
        <w:rPr>
          <w:i/>
          <w:iCs/>
          <w:sz w:val="24"/>
          <w:szCs w:val="24"/>
        </w:rPr>
        <w:t xml:space="preserve"> PIB-</w:t>
      </w:r>
      <w:proofErr w:type="spellStart"/>
      <w:r w:rsidR="003E04F7" w:rsidRPr="00CC28EC">
        <w:rPr>
          <w:i/>
          <w:iCs/>
          <w:sz w:val="24"/>
          <w:szCs w:val="24"/>
        </w:rPr>
        <w:t>ului</w:t>
      </w:r>
      <w:proofErr w:type="spellEnd"/>
      <w:r w:rsidR="003E04F7" w:rsidRPr="00CC28EC">
        <w:rPr>
          <w:i/>
          <w:iCs/>
          <w:sz w:val="24"/>
          <w:szCs w:val="24"/>
        </w:rPr>
        <w:t xml:space="preserve"> </w:t>
      </w:r>
      <w:proofErr w:type="spellStart"/>
      <w:r w:rsidR="003E04F7" w:rsidRPr="00CC28EC">
        <w:rPr>
          <w:i/>
          <w:iCs/>
          <w:sz w:val="24"/>
          <w:szCs w:val="24"/>
        </w:rPr>
        <w:t>anual</w:t>
      </w:r>
      <w:proofErr w:type="spellEnd"/>
      <w:r w:rsidR="003E04F7" w:rsidRPr="00CC28EC">
        <w:rPr>
          <w:i/>
          <w:iCs/>
          <w:sz w:val="24"/>
          <w:szCs w:val="24"/>
        </w:rPr>
        <w:t xml:space="preserve"> pe</w:t>
      </w:r>
      <w:r w:rsidR="00024FBB" w:rsidRPr="00CC28EC">
        <w:rPr>
          <w:i/>
          <w:iCs/>
          <w:sz w:val="24"/>
          <w:szCs w:val="24"/>
        </w:rPr>
        <w:t xml:space="preserve"> </w:t>
      </w:r>
      <w:r w:rsidR="003E04F7" w:rsidRPr="00CC28EC">
        <w:rPr>
          <w:i/>
          <w:iCs/>
          <w:sz w:val="24"/>
          <w:szCs w:val="24"/>
        </w:rPr>
        <w:t xml:space="preserve">cap de </w:t>
      </w:r>
      <w:proofErr w:type="spellStart"/>
      <w:r w:rsidR="003E04F7" w:rsidRPr="00CC28EC">
        <w:rPr>
          <w:i/>
          <w:iCs/>
          <w:sz w:val="24"/>
          <w:szCs w:val="24"/>
        </w:rPr>
        <w:t>locuitor</w:t>
      </w:r>
      <w:proofErr w:type="spellEnd"/>
      <w:r w:rsidR="003E04F7" w:rsidRPr="00CC28EC">
        <w:rPr>
          <w:i/>
          <w:iCs/>
          <w:sz w:val="24"/>
          <w:szCs w:val="24"/>
        </w:rPr>
        <w:t xml:space="preserve">. </w:t>
      </w:r>
      <w:proofErr w:type="spellStart"/>
      <w:r w:rsidR="003E04F7" w:rsidRPr="00CC28EC">
        <w:rPr>
          <w:i/>
          <w:iCs/>
          <w:sz w:val="24"/>
          <w:szCs w:val="24"/>
        </w:rPr>
        <w:t>În</w:t>
      </w:r>
      <w:proofErr w:type="spellEnd"/>
      <w:r w:rsidR="003E04F7" w:rsidRPr="00CC28EC">
        <w:rPr>
          <w:i/>
          <w:iCs/>
          <w:sz w:val="24"/>
          <w:szCs w:val="24"/>
        </w:rPr>
        <w:t xml:space="preserve"> plus, </w:t>
      </w:r>
      <w:proofErr w:type="spellStart"/>
      <w:r w:rsidR="003E04F7" w:rsidRPr="00CC28EC">
        <w:rPr>
          <w:i/>
          <w:iCs/>
          <w:sz w:val="24"/>
          <w:szCs w:val="24"/>
        </w:rPr>
        <w:t>punctul</w:t>
      </w:r>
      <w:proofErr w:type="spellEnd"/>
      <w:r w:rsidR="003E04F7" w:rsidRPr="00CC28EC">
        <w:rPr>
          <w:i/>
          <w:iCs/>
          <w:sz w:val="24"/>
          <w:szCs w:val="24"/>
        </w:rPr>
        <w:t xml:space="preserve"> de </w:t>
      </w:r>
      <w:proofErr w:type="spellStart"/>
      <w:r w:rsidR="003E04F7" w:rsidRPr="00CC28EC">
        <w:rPr>
          <w:i/>
          <w:iCs/>
          <w:sz w:val="24"/>
          <w:szCs w:val="24"/>
        </w:rPr>
        <w:t>echilibru</w:t>
      </w:r>
      <w:proofErr w:type="spellEnd"/>
      <w:r w:rsidR="003E04F7" w:rsidRPr="00CC28EC">
        <w:rPr>
          <w:i/>
          <w:iCs/>
          <w:sz w:val="24"/>
          <w:szCs w:val="24"/>
        </w:rPr>
        <w:t xml:space="preserve"> al </w:t>
      </w:r>
      <w:proofErr w:type="spellStart"/>
      <w:r w:rsidR="003E04F7" w:rsidRPr="00CC28EC">
        <w:rPr>
          <w:i/>
          <w:iCs/>
          <w:sz w:val="24"/>
          <w:szCs w:val="24"/>
        </w:rPr>
        <w:t>datoriei</w:t>
      </w:r>
      <w:proofErr w:type="spellEnd"/>
      <w:r w:rsidR="003E04F7" w:rsidRPr="00CC28EC">
        <w:rPr>
          <w:i/>
          <w:iCs/>
          <w:sz w:val="24"/>
          <w:szCs w:val="24"/>
        </w:rPr>
        <w:t xml:space="preserve"> </w:t>
      </w:r>
      <w:proofErr w:type="spellStart"/>
      <w:r w:rsidR="003E04F7" w:rsidRPr="00CC28EC">
        <w:rPr>
          <w:i/>
          <w:iCs/>
          <w:sz w:val="24"/>
          <w:szCs w:val="24"/>
        </w:rPr>
        <w:t>în</w:t>
      </w:r>
      <w:proofErr w:type="spellEnd"/>
      <w:r w:rsidR="003E04F7" w:rsidRPr="00CC28EC">
        <w:rPr>
          <w:i/>
          <w:iCs/>
          <w:sz w:val="24"/>
          <w:szCs w:val="24"/>
        </w:rPr>
        <w:t xml:space="preserve"> PIB, </w:t>
      </w:r>
      <w:proofErr w:type="spellStart"/>
      <w:r w:rsidR="003E04F7" w:rsidRPr="00CC28EC">
        <w:rPr>
          <w:i/>
          <w:iCs/>
          <w:sz w:val="24"/>
          <w:szCs w:val="24"/>
        </w:rPr>
        <w:t>în</w:t>
      </w:r>
      <w:proofErr w:type="spellEnd"/>
      <w:r w:rsidR="003E04F7" w:rsidRPr="00CC28EC">
        <w:rPr>
          <w:i/>
          <w:iCs/>
          <w:sz w:val="24"/>
          <w:szCs w:val="24"/>
        </w:rPr>
        <w:t xml:space="preserve"> </w:t>
      </w:r>
      <w:proofErr w:type="spellStart"/>
      <w:r w:rsidR="003E04F7" w:rsidRPr="00CC28EC">
        <w:rPr>
          <w:i/>
          <w:iCs/>
          <w:sz w:val="24"/>
          <w:szCs w:val="24"/>
        </w:rPr>
        <w:t>cazul</w:t>
      </w:r>
      <w:proofErr w:type="spellEnd"/>
      <w:r w:rsidR="003E04F7" w:rsidRPr="00CC28EC">
        <w:rPr>
          <w:i/>
          <w:iCs/>
          <w:sz w:val="24"/>
          <w:szCs w:val="24"/>
        </w:rPr>
        <w:t xml:space="preserve"> </w:t>
      </w:r>
      <w:proofErr w:type="spellStart"/>
      <w:r w:rsidR="003E04F7" w:rsidRPr="00CC28EC">
        <w:rPr>
          <w:i/>
          <w:iCs/>
          <w:sz w:val="24"/>
          <w:szCs w:val="24"/>
        </w:rPr>
        <w:t>în</w:t>
      </w:r>
      <w:proofErr w:type="spellEnd"/>
      <w:r w:rsidR="003E04F7" w:rsidRPr="00CC28EC">
        <w:rPr>
          <w:i/>
          <w:iCs/>
          <w:sz w:val="24"/>
          <w:szCs w:val="24"/>
        </w:rPr>
        <w:t xml:space="preserve"> care </w:t>
      </w:r>
      <w:proofErr w:type="spellStart"/>
      <w:r w:rsidR="003E04F7" w:rsidRPr="00CC28EC">
        <w:rPr>
          <w:i/>
          <w:iCs/>
          <w:sz w:val="24"/>
          <w:szCs w:val="24"/>
        </w:rPr>
        <w:t>efectul</w:t>
      </w:r>
      <w:proofErr w:type="spellEnd"/>
      <w:r w:rsidR="003E04F7" w:rsidRPr="00CC28EC">
        <w:rPr>
          <w:i/>
          <w:iCs/>
          <w:sz w:val="24"/>
          <w:szCs w:val="24"/>
        </w:rPr>
        <w:t xml:space="preserve"> </w:t>
      </w:r>
      <w:proofErr w:type="spellStart"/>
      <w:r w:rsidR="003E04F7" w:rsidRPr="00CC28EC">
        <w:rPr>
          <w:i/>
          <w:iCs/>
          <w:sz w:val="24"/>
          <w:szCs w:val="24"/>
        </w:rPr>
        <w:t>pozitiv</w:t>
      </w:r>
      <w:proofErr w:type="spellEnd"/>
      <w:r w:rsidR="003E04F7" w:rsidRPr="00CC28EC">
        <w:rPr>
          <w:i/>
          <w:iCs/>
          <w:sz w:val="24"/>
          <w:szCs w:val="24"/>
        </w:rPr>
        <w:t xml:space="preserve"> al </w:t>
      </w:r>
      <w:proofErr w:type="spellStart"/>
      <w:r w:rsidR="003E04F7" w:rsidRPr="00CC28EC">
        <w:rPr>
          <w:i/>
          <w:iCs/>
          <w:sz w:val="24"/>
          <w:szCs w:val="24"/>
        </w:rPr>
        <w:t>datoriei</w:t>
      </w:r>
      <w:proofErr w:type="spellEnd"/>
      <w:r w:rsidR="00024FBB" w:rsidRPr="00CC28EC">
        <w:rPr>
          <w:i/>
          <w:iCs/>
          <w:sz w:val="24"/>
          <w:szCs w:val="24"/>
        </w:rPr>
        <w:t xml:space="preserve"> </w:t>
      </w:r>
      <w:proofErr w:type="spellStart"/>
      <w:r w:rsidR="003E04F7" w:rsidRPr="00CC28EC">
        <w:rPr>
          <w:i/>
          <w:iCs/>
          <w:sz w:val="24"/>
          <w:szCs w:val="24"/>
        </w:rPr>
        <w:t>publice</w:t>
      </w:r>
      <w:proofErr w:type="spellEnd"/>
      <w:r w:rsidR="003E04F7" w:rsidRPr="00CC28EC">
        <w:rPr>
          <w:i/>
          <w:iCs/>
          <w:sz w:val="24"/>
          <w:szCs w:val="24"/>
        </w:rPr>
        <w:t xml:space="preserve"> </w:t>
      </w:r>
      <w:proofErr w:type="spellStart"/>
      <w:r w:rsidR="003E04F7" w:rsidRPr="00CC28EC">
        <w:rPr>
          <w:i/>
          <w:iCs/>
          <w:sz w:val="24"/>
          <w:szCs w:val="24"/>
        </w:rPr>
        <w:t>acumulate</w:t>
      </w:r>
      <w:proofErr w:type="spellEnd"/>
      <w:r w:rsidR="003E04F7" w:rsidRPr="00CC28EC">
        <w:rPr>
          <w:i/>
          <w:iCs/>
          <w:sz w:val="24"/>
          <w:szCs w:val="24"/>
        </w:rPr>
        <w:t xml:space="preserve"> se </w:t>
      </w:r>
      <w:proofErr w:type="spellStart"/>
      <w:r w:rsidR="003E04F7" w:rsidRPr="00CC28EC">
        <w:rPr>
          <w:i/>
          <w:iCs/>
          <w:sz w:val="24"/>
          <w:szCs w:val="24"/>
        </w:rPr>
        <w:t>inversează</w:t>
      </w:r>
      <w:proofErr w:type="spellEnd"/>
      <w:r w:rsidR="003E04F7" w:rsidRPr="00CC28EC">
        <w:rPr>
          <w:i/>
          <w:iCs/>
          <w:sz w:val="24"/>
          <w:szCs w:val="24"/>
        </w:rPr>
        <w:t xml:space="preserve"> </w:t>
      </w:r>
      <w:proofErr w:type="spellStart"/>
      <w:r w:rsidR="003E04F7" w:rsidRPr="00CC28EC">
        <w:rPr>
          <w:i/>
          <w:iCs/>
          <w:sz w:val="24"/>
          <w:szCs w:val="24"/>
        </w:rPr>
        <w:t>într</w:t>
      </w:r>
      <w:proofErr w:type="spellEnd"/>
      <w:r w:rsidR="003E04F7" w:rsidRPr="00CC28EC">
        <w:rPr>
          <w:i/>
          <w:iCs/>
          <w:sz w:val="24"/>
          <w:szCs w:val="24"/>
        </w:rPr>
        <w:t xml:space="preserve">-un </w:t>
      </w:r>
      <w:proofErr w:type="spellStart"/>
      <w:r w:rsidR="003E04F7" w:rsidRPr="00CC28EC">
        <w:rPr>
          <w:i/>
          <w:iCs/>
          <w:sz w:val="24"/>
          <w:szCs w:val="24"/>
        </w:rPr>
        <w:t>efect</w:t>
      </w:r>
      <w:proofErr w:type="spellEnd"/>
      <w:r w:rsidR="003E04F7" w:rsidRPr="00CC28EC">
        <w:rPr>
          <w:i/>
          <w:iCs/>
          <w:sz w:val="24"/>
          <w:szCs w:val="24"/>
        </w:rPr>
        <w:t xml:space="preserve"> </w:t>
      </w:r>
      <w:proofErr w:type="spellStart"/>
      <w:r w:rsidR="003E04F7" w:rsidRPr="00CC28EC">
        <w:rPr>
          <w:i/>
          <w:iCs/>
          <w:sz w:val="24"/>
          <w:szCs w:val="24"/>
        </w:rPr>
        <w:t>negativ</w:t>
      </w:r>
      <w:proofErr w:type="spellEnd"/>
      <w:r w:rsidR="003E04F7" w:rsidRPr="00CC28EC">
        <w:rPr>
          <w:i/>
          <w:iCs/>
          <w:sz w:val="24"/>
          <w:szCs w:val="24"/>
        </w:rPr>
        <w:t xml:space="preserve">, </w:t>
      </w:r>
      <w:proofErr w:type="spellStart"/>
      <w:r w:rsidR="003E04F7" w:rsidRPr="00CC28EC">
        <w:rPr>
          <w:i/>
          <w:iCs/>
          <w:sz w:val="24"/>
          <w:szCs w:val="24"/>
        </w:rPr>
        <w:t>este</w:t>
      </w:r>
      <w:proofErr w:type="spellEnd"/>
      <w:r w:rsidR="003E04F7" w:rsidRPr="00CC28EC">
        <w:rPr>
          <w:i/>
          <w:iCs/>
          <w:sz w:val="24"/>
          <w:szCs w:val="24"/>
        </w:rPr>
        <w:t xml:space="preserve"> </w:t>
      </w:r>
      <w:proofErr w:type="spellStart"/>
      <w:r w:rsidR="003E04F7" w:rsidRPr="00CC28EC">
        <w:rPr>
          <w:i/>
          <w:iCs/>
          <w:sz w:val="24"/>
          <w:szCs w:val="24"/>
        </w:rPr>
        <w:t>aproximativ</w:t>
      </w:r>
      <w:proofErr w:type="spellEnd"/>
      <w:r w:rsidR="003E04F7" w:rsidRPr="00CC28EC">
        <w:rPr>
          <w:i/>
          <w:iCs/>
          <w:sz w:val="24"/>
          <w:szCs w:val="24"/>
        </w:rPr>
        <w:t xml:space="preserve"> </w:t>
      </w:r>
      <w:proofErr w:type="spellStart"/>
      <w:r w:rsidR="003E04F7" w:rsidRPr="00CC28EC">
        <w:rPr>
          <w:i/>
          <w:iCs/>
          <w:sz w:val="24"/>
          <w:szCs w:val="24"/>
        </w:rPr>
        <w:t>între</w:t>
      </w:r>
      <w:proofErr w:type="spellEnd"/>
      <w:r w:rsidR="003E04F7" w:rsidRPr="00CC28EC">
        <w:rPr>
          <w:i/>
          <w:iCs/>
          <w:sz w:val="24"/>
          <w:szCs w:val="24"/>
        </w:rPr>
        <w:t xml:space="preserve"> 80% </w:t>
      </w:r>
      <w:proofErr w:type="spellStart"/>
      <w:r w:rsidR="003E04F7" w:rsidRPr="00CC28EC">
        <w:rPr>
          <w:i/>
          <w:iCs/>
          <w:sz w:val="24"/>
          <w:szCs w:val="24"/>
        </w:rPr>
        <w:t>şi</w:t>
      </w:r>
      <w:proofErr w:type="spellEnd"/>
      <w:r w:rsidR="003E04F7" w:rsidRPr="00CC28EC">
        <w:rPr>
          <w:i/>
          <w:iCs/>
          <w:sz w:val="24"/>
          <w:szCs w:val="24"/>
        </w:rPr>
        <w:t xml:space="preserve"> 94% </w:t>
      </w:r>
      <w:proofErr w:type="spellStart"/>
      <w:r w:rsidR="003E04F7" w:rsidRPr="00CC28EC">
        <w:rPr>
          <w:i/>
          <w:iCs/>
          <w:sz w:val="24"/>
          <w:szCs w:val="24"/>
        </w:rPr>
        <w:t>pentru</w:t>
      </w:r>
      <w:proofErr w:type="spellEnd"/>
      <w:r w:rsidR="003E04F7" w:rsidRPr="00CC28EC">
        <w:rPr>
          <w:i/>
          <w:iCs/>
          <w:sz w:val="24"/>
          <w:szCs w:val="24"/>
        </w:rPr>
        <w:t xml:space="preserve"> „</w:t>
      </w:r>
      <w:proofErr w:type="spellStart"/>
      <w:r w:rsidR="003E04F7" w:rsidRPr="00CC28EC">
        <w:rPr>
          <w:i/>
          <w:iCs/>
          <w:sz w:val="24"/>
          <w:szCs w:val="24"/>
        </w:rPr>
        <w:t>vechile</w:t>
      </w:r>
      <w:proofErr w:type="spellEnd"/>
      <w:r w:rsidR="003E04F7" w:rsidRPr="00CC28EC">
        <w:rPr>
          <w:i/>
          <w:iCs/>
          <w:sz w:val="24"/>
          <w:szCs w:val="24"/>
        </w:rPr>
        <w:t xml:space="preserve">” state </w:t>
      </w:r>
      <w:proofErr w:type="spellStart"/>
      <w:r w:rsidR="003E04F7" w:rsidRPr="00CC28EC">
        <w:rPr>
          <w:i/>
          <w:iCs/>
          <w:sz w:val="24"/>
          <w:szCs w:val="24"/>
        </w:rPr>
        <w:t>membre</w:t>
      </w:r>
      <w:proofErr w:type="spellEnd"/>
      <w:r w:rsidR="003E04F7" w:rsidRPr="00CC28EC">
        <w:rPr>
          <w:i/>
          <w:iCs/>
          <w:sz w:val="24"/>
          <w:szCs w:val="24"/>
        </w:rPr>
        <w:t xml:space="preserve">. Cu </w:t>
      </w:r>
      <w:proofErr w:type="spellStart"/>
      <w:r w:rsidR="003E04F7" w:rsidRPr="00CC28EC">
        <w:rPr>
          <w:i/>
          <w:iCs/>
          <w:sz w:val="24"/>
          <w:szCs w:val="24"/>
        </w:rPr>
        <w:t>toate</w:t>
      </w:r>
      <w:proofErr w:type="spellEnd"/>
      <w:r w:rsidR="003E04F7" w:rsidRPr="00CC28EC">
        <w:rPr>
          <w:i/>
          <w:iCs/>
          <w:sz w:val="24"/>
          <w:szCs w:val="24"/>
        </w:rPr>
        <w:t xml:space="preserve"> </w:t>
      </w:r>
      <w:proofErr w:type="spellStart"/>
      <w:r w:rsidR="003E04F7" w:rsidRPr="00CC28EC">
        <w:rPr>
          <w:i/>
          <w:iCs/>
          <w:sz w:val="24"/>
          <w:szCs w:val="24"/>
        </w:rPr>
        <w:t>acestea</w:t>
      </w:r>
      <w:proofErr w:type="spellEnd"/>
      <w:r w:rsidR="003E04F7" w:rsidRPr="00CC28EC">
        <w:rPr>
          <w:i/>
          <w:iCs/>
          <w:sz w:val="24"/>
          <w:szCs w:val="24"/>
        </w:rPr>
        <w:t xml:space="preserve">, </w:t>
      </w:r>
      <w:proofErr w:type="spellStart"/>
      <w:r w:rsidR="003E04F7" w:rsidRPr="00CC28EC">
        <w:rPr>
          <w:i/>
          <w:iCs/>
          <w:sz w:val="24"/>
          <w:szCs w:val="24"/>
        </w:rPr>
        <w:t>pentru</w:t>
      </w:r>
      <w:proofErr w:type="spellEnd"/>
      <w:r w:rsidR="003E04F7" w:rsidRPr="00CC28EC">
        <w:rPr>
          <w:i/>
          <w:iCs/>
          <w:sz w:val="24"/>
          <w:szCs w:val="24"/>
        </w:rPr>
        <w:t xml:space="preserve"> </w:t>
      </w:r>
      <w:proofErr w:type="spellStart"/>
      <w:r w:rsidR="003E04F7" w:rsidRPr="00CC28EC">
        <w:rPr>
          <w:i/>
          <w:iCs/>
          <w:sz w:val="24"/>
          <w:szCs w:val="24"/>
        </w:rPr>
        <w:t>statele</w:t>
      </w:r>
      <w:proofErr w:type="spellEnd"/>
      <w:r w:rsidR="003E04F7" w:rsidRPr="00CC28EC">
        <w:rPr>
          <w:i/>
          <w:iCs/>
          <w:sz w:val="24"/>
          <w:szCs w:val="24"/>
        </w:rPr>
        <w:t xml:space="preserve"> „</w:t>
      </w:r>
      <w:proofErr w:type="spellStart"/>
      <w:r w:rsidR="003E04F7" w:rsidRPr="00CC28EC">
        <w:rPr>
          <w:i/>
          <w:iCs/>
          <w:sz w:val="24"/>
          <w:szCs w:val="24"/>
        </w:rPr>
        <w:t>noi</w:t>
      </w:r>
      <w:proofErr w:type="spellEnd"/>
      <w:r w:rsidR="003E04F7" w:rsidRPr="00CC28EC">
        <w:rPr>
          <w:i/>
          <w:iCs/>
          <w:sz w:val="24"/>
          <w:szCs w:val="24"/>
        </w:rPr>
        <w:t xml:space="preserve">” </w:t>
      </w:r>
      <w:proofErr w:type="spellStart"/>
      <w:r w:rsidR="003E04F7" w:rsidRPr="00CC28EC">
        <w:rPr>
          <w:i/>
          <w:iCs/>
          <w:sz w:val="24"/>
          <w:szCs w:val="24"/>
        </w:rPr>
        <w:t>punctul</w:t>
      </w:r>
      <w:proofErr w:type="spellEnd"/>
      <w:r w:rsidR="003E04F7" w:rsidRPr="00CC28EC">
        <w:rPr>
          <w:i/>
          <w:iCs/>
          <w:sz w:val="24"/>
          <w:szCs w:val="24"/>
        </w:rPr>
        <w:t xml:space="preserve"> de </w:t>
      </w:r>
      <w:proofErr w:type="spellStart"/>
      <w:r w:rsidR="003E04F7" w:rsidRPr="00CC28EC">
        <w:rPr>
          <w:i/>
          <w:iCs/>
          <w:sz w:val="24"/>
          <w:szCs w:val="24"/>
        </w:rPr>
        <w:t>echilibru</w:t>
      </w:r>
      <w:proofErr w:type="spellEnd"/>
      <w:r w:rsidR="003E04F7" w:rsidRPr="00CC28EC">
        <w:rPr>
          <w:i/>
          <w:iCs/>
          <w:sz w:val="24"/>
          <w:szCs w:val="24"/>
        </w:rPr>
        <w:t xml:space="preserve"> al </w:t>
      </w:r>
      <w:proofErr w:type="spellStart"/>
      <w:r w:rsidR="003E04F7" w:rsidRPr="00CC28EC">
        <w:rPr>
          <w:i/>
          <w:iCs/>
          <w:sz w:val="24"/>
          <w:szCs w:val="24"/>
        </w:rPr>
        <w:t>datoriei</w:t>
      </w:r>
      <w:proofErr w:type="spellEnd"/>
      <w:r w:rsidR="003E04F7" w:rsidRPr="00CC28EC">
        <w:rPr>
          <w:i/>
          <w:iCs/>
          <w:sz w:val="24"/>
          <w:szCs w:val="24"/>
        </w:rPr>
        <w:t xml:space="preserve"> </w:t>
      </w:r>
      <w:proofErr w:type="spellStart"/>
      <w:r w:rsidR="003E04F7" w:rsidRPr="00CC28EC">
        <w:rPr>
          <w:i/>
          <w:iCs/>
          <w:sz w:val="24"/>
          <w:szCs w:val="24"/>
        </w:rPr>
        <w:t>în</w:t>
      </w:r>
      <w:proofErr w:type="spellEnd"/>
      <w:r w:rsidR="003E04F7" w:rsidRPr="00CC28EC">
        <w:rPr>
          <w:i/>
          <w:iCs/>
          <w:sz w:val="24"/>
          <w:szCs w:val="24"/>
        </w:rPr>
        <w:t xml:space="preserve"> PIB </w:t>
      </w:r>
      <w:proofErr w:type="spellStart"/>
      <w:r w:rsidR="003E04F7" w:rsidRPr="00CC28EC">
        <w:rPr>
          <w:i/>
          <w:iCs/>
          <w:sz w:val="24"/>
          <w:szCs w:val="24"/>
        </w:rPr>
        <w:t>este</w:t>
      </w:r>
      <w:proofErr w:type="spellEnd"/>
      <w:r w:rsidR="003E04F7" w:rsidRPr="00CC28EC">
        <w:rPr>
          <w:i/>
          <w:iCs/>
          <w:sz w:val="24"/>
          <w:szCs w:val="24"/>
        </w:rPr>
        <w:t xml:space="preserve"> </w:t>
      </w:r>
      <w:proofErr w:type="spellStart"/>
      <w:r w:rsidR="003E04F7" w:rsidRPr="00CC28EC">
        <w:rPr>
          <w:i/>
          <w:iCs/>
          <w:sz w:val="24"/>
          <w:szCs w:val="24"/>
        </w:rPr>
        <w:t>mai</w:t>
      </w:r>
      <w:proofErr w:type="spellEnd"/>
      <w:r w:rsidR="003E04F7" w:rsidRPr="00CC28EC">
        <w:rPr>
          <w:i/>
          <w:iCs/>
          <w:sz w:val="24"/>
          <w:szCs w:val="24"/>
        </w:rPr>
        <w:t xml:space="preserve"> mic, </w:t>
      </w:r>
      <w:proofErr w:type="spellStart"/>
      <w:r w:rsidR="003E04F7" w:rsidRPr="00CC28EC">
        <w:rPr>
          <w:i/>
          <w:iCs/>
          <w:sz w:val="24"/>
          <w:szCs w:val="24"/>
        </w:rPr>
        <w:t>adică</w:t>
      </w:r>
      <w:proofErr w:type="spellEnd"/>
      <w:r w:rsidR="003E04F7" w:rsidRPr="00CC28EC">
        <w:rPr>
          <w:i/>
          <w:iCs/>
          <w:sz w:val="24"/>
          <w:szCs w:val="24"/>
        </w:rPr>
        <w:t xml:space="preserve"> </w:t>
      </w:r>
      <w:proofErr w:type="spellStart"/>
      <w:r w:rsidR="003E04F7" w:rsidRPr="00CC28EC">
        <w:rPr>
          <w:i/>
          <w:iCs/>
          <w:sz w:val="24"/>
          <w:szCs w:val="24"/>
        </w:rPr>
        <w:t>între</w:t>
      </w:r>
      <w:proofErr w:type="spellEnd"/>
      <w:r w:rsidR="003E04F7" w:rsidRPr="00CC28EC">
        <w:rPr>
          <w:i/>
          <w:iCs/>
          <w:sz w:val="24"/>
          <w:szCs w:val="24"/>
        </w:rPr>
        <w:t xml:space="preserve"> 53% </w:t>
      </w:r>
      <w:proofErr w:type="spellStart"/>
      <w:r w:rsidR="003E04F7" w:rsidRPr="00CC28EC">
        <w:rPr>
          <w:i/>
          <w:iCs/>
          <w:sz w:val="24"/>
          <w:szCs w:val="24"/>
        </w:rPr>
        <w:t>şi</w:t>
      </w:r>
      <w:proofErr w:type="spellEnd"/>
      <w:r w:rsidR="003E04F7" w:rsidRPr="00CC28EC">
        <w:rPr>
          <w:i/>
          <w:iCs/>
          <w:sz w:val="24"/>
          <w:szCs w:val="24"/>
        </w:rPr>
        <w:t xml:space="preserve"> 54%. </w:t>
      </w:r>
      <w:proofErr w:type="spellStart"/>
      <w:r w:rsidR="003E04F7" w:rsidRPr="00CC28EC">
        <w:rPr>
          <w:i/>
          <w:iCs/>
          <w:sz w:val="24"/>
          <w:szCs w:val="24"/>
        </w:rPr>
        <w:t>Prin</w:t>
      </w:r>
      <w:proofErr w:type="spellEnd"/>
      <w:r w:rsidR="003E04F7" w:rsidRPr="00CC28EC">
        <w:rPr>
          <w:i/>
          <w:iCs/>
          <w:sz w:val="24"/>
          <w:szCs w:val="24"/>
        </w:rPr>
        <w:t xml:space="preserve"> </w:t>
      </w:r>
      <w:proofErr w:type="spellStart"/>
      <w:r w:rsidR="003E04F7" w:rsidRPr="00CC28EC">
        <w:rPr>
          <w:i/>
          <w:iCs/>
          <w:sz w:val="24"/>
          <w:szCs w:val="24"/>
        </w:rPr>
        <w:t>urmare</w:t>
      </w:r>
      <w:proofErr w:type="spellEnd"/>
      <w:r w:rsidR="003E04F7" w:rsidRPr="00CC28EC">
        <w:rPr>
          <w:i/>
          <w:iCs/>
          <w:sz w:val="24"/>
          <w:szCs w:val="24"/>
        </w:rPr>
        <w:t xml:space="preserve">, se </w:t>
      </w:r>
      <w:proofErr w:type="spellStart"/>
      <w:r w:rsidR="003E04F7" w:rsidRPr="00CC28EC">
        <w:rPr>
          <w:i/>
          <w:iCs/>
          <w:sz w:val="24"/>
          <w:szCs w:val="24"/>
        </w:rPr>
        <w:t>poate</w:t>
      </w:r>
      <w:proofErr w:type="spellEnd"/>
      <w:r w:rsidR="003E04F7" w:rsidRPr="00CC28EC">
        <w:rPr>
          <w:i/>
          <w:iCs/>
          <w:sz w:val="24"/>
          <w:szCs w:val="24"/>
        </w:rPr>
        <w:t xml:space="preserve"> </w:t>
      </w:r>
      <w:proofErr w:type="spellStart"/>
      <w:r w:rsidR="003E04F7" w:rsidRPr="00CC28EC">
        <w:rPr>
          <w:i/>
          <w:iCs/>
          <w:sz w:val="24"/>
          <w:szCs w:val="24"/>
        </w:rPr>
        <w:t>concluziona</w:t>
      </w:r>
      <w:proofErr w:type="spellEnd"/>
      <w:r w:rsidR="003E04F7" w:rsidRPr="00CC28EC">
        <w:rPr>
          <w:i/>
          <w:iCs/>
          <w:sz w:val="24"/>
          <w:szCs w:val="24"/>
        </w:rPr>
        <w:t xml:space="preserve"> </w:t>
      </w:r>
      <w:proofErr w:type="spellStart"/>
      <w:r w:rsidR="003E04F7" w:rsidRPr="00CC28EC">
        <w:rPr>
          <w:i/>
          <w:iCs/>
          <w:sz w:val="24"/>
          <w:szCs w:val="24"/>
        </w:rPr>
        <w:t>că</w:t>
      </w:r>
      <w:proofErr w:type="spellEnd"/>
      <w:r w:rsidR="003E04F7" w:rsidRPr="00CC28EC">
        <w:rPr>
          <w:i/>
          <w:iCs/>
          <w:sz w:val="24"/>
          <w:szCs w:val="24"/>
        </w:rPr>
        <w:t xml:space="preserve"> </w:t>
      </w:r>
      <w:proofErr w:type="spellStart"/>
      <w:r w:rsidR="003E04F7" w:rsidRPr="00CC28EC">
        <w:rPr>
          <w:i/>
          <w:iCs/>
          <w:sz w:val="24"/>
          <w:szCs w:val="24"/>
        </w:rPr>
        <w:t>valoarea</w:t>
      </w:r>
      <w:proofErr w:type="spellEnd"/>
      <w:r w:rsidR="003E04F7" w:rsidRPr="00CC28EC">
        <w:rPr>
          <w:i/>
          <w:iCs/>
          <w:sz w:val="24"/>
          <w:szCs w:val="24"/>
        </w:rPr>
        <w:t xml:space="preserve"> </w:t>
      </w:r>
      <w:proofErr w:type="spellStart"/>
      <w:r w:rsidR="003E04F7" w:rsidRPr="00CC28EC">
        <w:rPr>
          <w:i/>
          <w:iCs/>
          <w:sz w:val="24"/>
          <w:szCs w:val="24"/>
        </w:rPr>
        <w:t>prag</w:t>
      </w:r>
      <w:proofErr w:type="spellEnd"/>
      <w:r w:rsidR="003E04F7" w:rsidRPr="00CC28EC">
        <w:rPr>
          <w:i/>
          <w:iCs/>
          <w:sz w:val="24"/>
          <w:szCs w:val="24"/>
        </w:rPr>
        <w:t xml:space="preserve"> </w:t>
      </w:r>
      <w:proofErr w:type="spellStart"/>
      <w:r w:rsidR="003E04F7" w:rsidRPr="00CC28EC">
        <w:rPr>
          <w:i/>
          <w:iCs/>
          <w:sz w:val="24"/>
          <w:szCs w:val="24"/>
        </w:rPr>
        <w:t>pentru</w:t>
      </w:r>
      <w:proofErr w:type="spellEnd"/>
      <w:r w:rsidR="003E04F7" w:rsidRPr="00CC28EC">
        <w:rPr>
          <w:i/>
          <w:iCs/>
          <w:sz w:val="24"/>
          <w:szCs w:val="24"/>
        </w:rPr>
        <w:t xml:space="preserve"> </w:t>
      </w:r>
      <w:proofErr w:type="spellStart"/>
      <w:r w:rsidR="003E04F7" w:rsidRPr="00CC28EC">
        <w:rPr>
          <w:i/>
          <w:iCs/>
          <w:sz w:val="24"/>
          <w:szCs w:val="24"/>
        </w:rPr>
        <w:t>statele</w:t>
      </w:r>
      <w:proofErr w:type="spellEnd"/>
      <w:r w:rsidR="003E04F7" w:rsidRPr="00CC28EC">
        <w:rPr>
          <w:i/>
          <w:iCs/>
          <w:sz w:val="24"/>
          <w:szCs w:val="24"/>
        </w:rPr>
        <w:t xml:space="preserve"> </w:t>
      </w:r>
      <w:proofErr w:type="spellStart"/>
      <w:r w:rsidR="003E04F7" w:rsidRPr="00CC28EC">
        <w:rPr>
          <w:i/>
          <w:iCs/>
          <w:sz w:val="24"/>
          <w:szCs w:val="24"/>
        </w:rPr>
        <w:t>membre</w:t>
      </w:r>
      <w:proofErr w:type="spellEnd"/>
      <w:r w:rsidR="003E04F7" w:rsidRPr="00CC28EC">
        <w:rPr>
          <w:i/>
          <w:iCs/>
          <w:sz w:val="24"/>
          <w:szCs w:val="24"/>
        </w:rPr>
        <w:t xml:space="preserve"> „</w:t>
      </w:r>
      <w:proofErr w:type="spellStart"/>
      <w:r w:rsidR="003E04F7" w:rsidRPr="00CC28EC">
        <w:rPr>
          <w:i/>
          <w:iCs/>
          <w:sz w:val="24"/>
          <w:szCs w:val="24"/>
        </w:rPr>
        <w:t>noi</w:t>
      </w:r>
      <w:proofErr w:type="spellEnd"/>
      <w:r w:rsidR="003E04F7" w:rsidRPr="00CC28EC">
        <w:rPr>
          <w:i/>
          <w:iCs/>
          <w:sz w:val="24"/>
          <w:szCs w:val="24"/>
        </w:rPr>
        <w:t>”</w:t>
      </w:r>
      <w:r w:rsidR="003468D9" w:rsidRPr="00CC28EC">
        <w:rPr>
          <w:i/>
          <w:iCs/>
          <w:sz w:val="24"/>
          <w:szCs w:val="24"/>
        </w:rPr>
        <w:t xml:space="preserve"> </w:t>
      </w:r>
      <w:proofErr w:type="spellStart"/>
      <w:r w:rsidR="003E04F7" w:rsidRPr="00CC28EC">
        <w:rPr>
          <w:i/>
          <w:iCs/>
          <w:sz w:val="24"/>
          <w:szCs w:val="24"/>
        </w:rPr>
        <w:t>este</w:t>
      </w:r>
      <w:proofErr w:type="spellEnd"/>
      <w:r w:rsidR="003E04F7" w:rsidRPr="00CC28EC">
        <w:rPr>
          <w:i/>
          <w:iCs/>
          <w:sz w:val="24"/>
          <w:szCs w:val="24"/>
        </w:rPr>
        <w:t xml:space="preserve"> </w:t>
      </w:r>
      <w:proofErr w:type="spellStart"/>
      <w:r w:rsidR="003E04F7" w:rsidRPr="00CC28EC">
        <w:rPr>
          <w:i/>
          <w:iCs/>
          <w:sz w:val="24"/>
          <w:szCs w:val="24"/>
        </w:rPr>
        <w:t>mai</w:t>
      </w:r>
      <w:proofErr w:type="spellEnd"/>
      <w:r w:rsidR="003E04F7" w:rsidRPr="00CC28EC">
        <w:rPr>
          <w:i/>
          <w:iCs/>
          <w:sz w:val="24"/>
          <w:szCs w:val="24"/>
        </w:rPr>
        <w:t xml:space="preserve"> </w:t>
      </w:r>
      <w:proofErr w:type="spellStart"/>
      <w:r w:rsidR="003E04F7" w:rsidRPr="00CC28EC">
        <w:rPr>
          <w:i/>
          <w:iCs/>
          <w:sz w:val="24"/>
          <w:szCs w:val="24"/>
        </w:rPr>
        <w:t>mică</w:t>
      </w:r>
      <w:proofErr w:type="spellEnd"/>
      <w:r w:rsidR="003E04F7" w:rsidRPr="00CC28EC">
        <w:rPr>
          <w:i/>
          <w:iCs/>
          <w:sz w:val="24"/>
          <w:szCs w:val="24"/>
        </w:rPr>
        <w:t xml:space="preserve"> </w:t>
      </w:r>
      <w:proofErr w:type="spellStart"/>
      <w:r w:rsidR="003E04F7" w:rsidRPr="00CC28EC">
        <w:rPr>
          <w:i/>
          <w:iCs/>
          <w:sz w:val="24"/>
          <w:szCs w:val="24"/>
        </w:rPr>
        <w:t>decât</w:t>
      </w:r>
      <w:proofErr w:type="spellEnd"/>
      <w:r w:rsidR="003E04F7" w:rsidRPr="00CC28EC">
        <w:rPr>
          <w:i/>
          <w:iCs/>
          <w:sz w:val="24"/>
          <w:szCs w:val="24"/>
        </w:rPr>
        <w:t xml:space="preserve"> </w:t>
      </w:r>
      <w:proofErr w:type="spellStart"/>
      <w:r w:rsidR="003E04F7" w:rsidRPr="00CC28EC">
        <w:rPr>
          <w:i/>
          <w:iCs/>
          <w:sz w:val="24"/>
          <w:szCs w:val="24"/>
        </w:rPr>
        <w:t>pentru</w:t>
      </w:r>
      <w:proofErr w:type="spellEnd"/>
      <w:r w:rsidR="003E04F7" w:rsidRPr="00CC28EC">
        <w:rPr>
          <w:i/>
          <w:iCs/>
          <w:sz w:val="24"/>
          <w:szCs w:val="24"/>
        </w:rPr>
        <w:t xml:space="preserve"> „</w:t>
      </w:r>
      <w:proofErr w:type="spellStart"/>
      <w:r w:rsidR="003E04F7" w:rsidRPr="00CC28EC">
        <w:rPr>
          <w:i/>
          <w:iCs/>
          <w:sz w:val="24"/>
          <w:szCs w:val="24"/>
        </w:rPr>
        <w:t>vechile</w:t>
      </w:r>
      <w:proofErr w:type="spellEnd"/>
      <w:r w:rsidR="003E04F7" w:rsidRPr="00CC28EC">
        <w:rPr>
          <w:i/>
          <w:iCs/>
          <w:sz w:val="24"/>
          <w:szCs w:val="24"/>
        </w:rPr>
        <w:t xml:space="preserve">” state </w:t>
      </w:r>
      <w:proofErr w:type="spellStart"/>
      <w:r w:rsidR="003E04F7" w:rsidRPr="00CC28EC">
        <w:rPr>
          <w:i/>
          <w:iCs/>
          <w:sz w:val="24"/>
          <w:szCs w:val="24"/>
        </w:rPr>
        <w:t>membre</w:t>
      </w:r>
      <w:proofErr w:type="spellEnd"/>
      <w:r w:rsidR="003E04F7" w:rsidRPr="00CC28EC">
        <w:rPr>
          <w:sz w:val="24"/>
          <w:szCs w:val="24"/>
        </w:rPr>
        <w:t>.” (</w:t>
      </w:r>
      <w:proofErr w:type="spellStart"/>
      <w:r w:rsidR="003E04F7" w:rsidRPr="00CC28EC">
        <w:rPr>
          <w:sz w:val="24"/>
          <w:szCs w:val="24"/>
        </w:rPr>
        <w:t>Mencinger</w:t>
      </w:r>
      <w:proofErr w:type="spellEnd"/>
      <w:r w:rsidR="003E04F7" w:rsidRPr="00CC28EC">
        <w:rPr>
          <w:sz w:val="24"/>
          <w:szCs w:val="24"/>
        </w:rPr>
        <w:t xml:space="preserve">, </w:t>
      </w:r>
      <w:proofErr w:type="spellStart"/>
      <w:r w:rsidR="003E04F7" w:rsidRPr="00CC28EC">
        <w:rPr>
          <w:sz w:val="24"/>
          <w:szCs w:val="24"/>
        </w:rPr>
        <w:t>Aristovnik</w:t>
      </w:r>
      <w:proofErr w:type="spellEnd"/>
      <w:r w:rsidR="003E04F7" w:rsidRPr="00CC28EC">
        <w:rPr>
          <w:sz w:val="24"/>
          <w:szCs w:val="24"/>
        </w:rPr>
        <w:t xml:space="preserve">, </w:t>
      </w:r>
      <w:proofErr w:type="spellStart"/>
      <w:r w:rsidR="003E04F7" w:rsidRPr="00CC28EC">
        <w:rPr>
          <w:sz w:val="24"/>
          <w:szCs w:val="24"/>
        </w:rPr>
        <w:t>Verbič</w:t>
      </w:r>
      <w:proofErr w:type="spellEnd"/>
      <w:r w:rsidR="003E04F7" w:rsidRPr="00CC28EC">
        <w:rPr>
          <w:sz w:val="24"/>
          <w:szCs w:val="24"/>
        </w:rPr>
        <w:t>, 2014)</w:t>
      </w:r>
    </w:p>
    <w:p w14:paraId="273A36B3" w14:textId="1D2ADE1B" w:rsidR="00F9623E" w:rsidRPr="00CC28EC" w:rsidRDefault="00001A60" w:rsidP="00F9623E">
      <w:pPr>
        <w:tabs>
          <w:tab w:val="left" w:pos="360"/>
        </w:tabs>
        <w:jc w:val="both"/>
        <w:rPr>
          <w:sz w:val="24"/>
          <w:szCs w:val="24"/>
        </w:rPr>
      </w:pPr>
      <w:r w:rsidRPr="00CC28EC">
        <w:rPr>
          <w:sz w:val="24"/>
          <w:szCs w:val="24"/>
        </w:rPr>
        <w:tab/>
      </w:r>
      <w:r w:rsidRPr="00CC28EC">
        <w:rPr>
          <w:sz w:val="24"/>
          <w:szCs w:val="24"/>
        </w:rPr>
        <w:tab/>
      </w:r>
      <w:proofErr w:type="spellStart"/>
      <w:r w:rsidR="00DA322C" w:rsidRPr="00CC28EC">
        <w:rPr>
          <w:sz w:val="24"/>
          <w:szCs w:val="24"/>
        </w:rPr>
        <w:t>Dac</w:t>
      </w:r>
      <w:proofErr w:type="spellEnd"/>
      <w:r w:rsidR="00DA322C" w:rsidRPr="00CC28EC">
        <w:rPr>
          <w:sz w:val="24"/>
          <w:szCs w:val="24"/>
          <w:lang w:val="ro-RO"/>
        </w:rPr>
        <w:t xml:space="preserve">ă vorbim despre România trebuie să remarcăm câteva articole și analize precum articolul prezentat pe Economedia.ro </w:t>
      </w:r>
      <w:bookmarkStart w:id="3" w:name="_Hlk80615161"/>
      <w:r w:rsidR="005E7E28" w:rsidRPr="00CC28EC">
        <w:rPr>
          <w:sz w:val="24"/>
          <w:szCs w:val="24"/>
          <w:lang w:val="ro-RO"/>
        </w:rPr>
        <w:t>(</w:t>
      </w:r>
      <w:proofErr w:type="spellStart"/>
      <w:r w:rsidR="00F9623E" w:rsidRPr="00CC28EC">
        <w:rPr>
          <w:sz w:val="24"/>
          <w:szCs w:val="24"/>
        </w:rPr>
        <w:t>Deacu</w:t>
      </w:r>
      <w:proofErr w:type="spellEnd"/>
      <w:r w:rsidR="00F9623E" w:rsidRPr="00CC28EC">
        <w:rPr>
          <w:sz w:val="24"/>
          <w:szCs w:val="24"/>
        </w:rPr>
        <w:t>,</w:t>
      </w:r>
      <w:r w:rsidR="005E7E28" w:rsidRPr="00CC28EC">
        <w:rPr>
          <w:sz w:val="24"/>
          <w:szCs w:val="24"/>
        </w:rPr>
        <w:t xml:space="preserve"> </w:t>
      </w:r>
      <w:r w:rsidR="00F9623E" w:rsidRPr="00CC28EC">
        <w:rPr>
          <w:sz w:val="24"/>
          <w:szCs w:val="24"/>
        </w:rPr>
        <w:t xml:space="preserve">2021), </w:t>
      </w:r>
      <w:proofErr w:type="spellStart"/>
      <w:r w:rsidR="005E7E28" w:rsidRPr="00CC28EC">
        <w:rPr>
          <w:sz w:val="24"/>
          <w:szCs w:val="24"/>
        </w:rPr>
        <w:t>prin</w:t>
      </w:r>
      <w:proofErr w:type="spellEnd"/>
      <w:r w:rsidR="005E7E28" w:rsidRPr="00CC28EC">
        <w:rPr>
          <w:sz w:val="24"/>
          <w:szCs w:val="24"/>
        </w:rPr>
        <w:t xml:space="preserve"> care se </w:t>
      </w:r>
      <w:proofErr w:type="spellStart"/>
      <w:r w:rsidR="005E7E28" w:rsidRPr="00CC28EC">
        <w:rPr>
          <w:sz w:val="24"/>
          <w:szCs w:val="24"/>
        </w:rPr>
        <w:t>constată</w:t>
      </w:r>
      <w:proofErr w:type="spellEnd"/>
      <w:r w:rsidR="005E7E28" w:rsidRPr="00CC28EC">
        <w:rPr>
          <w:sz w:val="24"/>
          <w:szCs w:val="24"/>
        </w:rPr>
        <w:t xml:space="preserve"> </w:t>
      </w:r>
      <w:proofErr w:type="spellStart"/>
      <w:r w:rsidR="005E7E28" w:rsidRPr="00CC28EC">
        <w:rPr>
          <w:sz w:val="24"/>
          <w:szCs w:val="24"/>
        </w:rPr>
        <w:t>creșterea</w:t>
      </w:r>
      <w:proofErr w:type="spellEnd"/>
      <w:r w:rsidR="005E7E28" w:rsidRPr="00CC28EC">
        <w:rPr>
          <w:sz w:val="24"/>
          <w:szCs w:val="24"/>
        </w:rPr>
        <w:t xml:space="preserve"> </w:t>
      </w:r>
      <w:proofErr w:type="spellStart"/>
      <w:r w:rsidR="005E7E28" w:rsidRPr="00CC28EC">
        <w:rPr>
          <w:sz w:val="24"/>
          <w:szCs w:val="24"/>
        </w:rPr>
        <w:t>abruptă</w:t>
      </w:r>
      <w:proofErr w:type="spellEnd"/>
      <w:r w:rsidR="005E7E28" w:rsidRPr="00CC28EC">
        <w:rPr>
          <w:sz w:val="24"/>
          <w:szCs w:val="24"/>
        </w:rPr>
        <w:t xml:space="preserve"> a </w:t>
      </w:r>
      <w:proofErr w:type="spellStart"/>
      <w:r w:rsidR="005E7E28" w:rsidRPr="00CC28EC">
        <w:rPr>
          <w:sz w:val="24"/>
          <w:szCs w:val="24"/>
        </w:rPr>
        <w:t>datoriei</w:t>
      </w:r>
      <w:proofErr w:type="spellEnd"/>
      <w:r w:rsidR="005E7E28" w:rsidRPr="00CC28EC">
        <w:rPr>
          <w:sz w:val="24"/>
          <w:szCs w:val="24"/>
        </w:rPr>
        <w:t xml:space="preserve"> </w:t>
      </w:r>
      <w:proofErr w:type="spellStart"/>
      <w:r w:rsidR="005E7E28" w:rsidRPr="00CC28EC">
        <w:rPr>
          <w:sz w:val="24"/>
          <w:szCs w:val="24"/>
        </w:rPr>
        <w:t>publice</w:t>
      </w:r>
      <w:proofErr w:type="spellEnd"/>
      <w:r w:rsidR="005E7E28" w:rsidRPr="00CC28EC">
        <w:rPr>
          <w:sz w:val="24"/>
          <w:szCs w:val="24"/>
        </w:rPr>
        <w:t xml:space="preserve"> precum </w:t>
      </w:r>
      <w:proofErr w:type="spellStart"/>
      <w:r w:rsidR="005E7E28" w:rsidRPr="00CC28EC">
        <w:rPr>
          <w:sz w:val="24"/>
          <w:szCs w:val="24"/>
        </w:rPr>
        <w:t>și</w:t>
      </w:r>
      <w:proofErr w:type="spellEnd"/>
      <w:r w:rsidR="005E7E28" w:rsidRPr="00CC28EC">
        <w:rPr>
          <w:sz w:val="24"/>
          <w:szCs w:val="24"/>
        </w:rPr>
        <w:t xml:space="preserve"> </w:t>
      </w:r>
      <w:proofErr w:type="spellStart"/>
      <w:r w:rsidR="005E7E28" w:rsidRPr="00CC28EC">
        <w:rPr>
          <w:sz w:val="24"/>
          <w:szCs w:val="24"/>
        </w:rPr>
        <w:t>consecințele</w:t>
      </w:r>
      <w:proofErr w:type="spellEnd"/>
      <w:r w:rsidR="005E7E28" w:rsidRPr="00CC28EC">
        <w:rPr>
          <w:sz w:val="24"/>
          <w:szCs w:val="24"/>
        </w:rPr>
        <w:t xml:space="preserve"> </w:t>
      </w:r>
      <w:proofErr w:type="spellStart"/>
      <w:r w:rsidR="005E7E28" w:rsidRPr="00CC28EC">
        <w:rPr>
          <w:sz w:val="24"/>
          <w:szCs w:val="24"/>
        </w:rPr>
        <w:t>legale</w:t>
      </w:r>
      <w:proofErr w:type="spellEnd"/>
      <w:r w:rsidR="005E7E28" w:rsidRPr="00CC28EC">
        <w:rPr>
          <w:sz w:val="24"/>
          <w:szCs w:val="24"/>
        </w:rPr>
        <w:t xml:space="preserve"> </w:t>
      </w:r>
      <w:proofErr w:type="spellStart"/>
      <w:r w:rsidR="005E7E28" w:rsidRPr="00CC28EC">
        <w:rPr>
          <w:sz w:val="24"/>
          <w:szCs w:val="24"/>
        </w:rPr>
        <w:t>ce</w:t>
      </w:r>
      <w:proofErr w:type="spellEnd"/>
      <w:r w:rsidR="005E7E28" w:rsidRPr="00CC28EC">
        <w:rPr>
          <w:sz w:val="24"/>
          <w:szCs w:val="24"/>
        </w:rPr>
        <w:t xml:space="preserve"> </w:t>
      </w:r>
      <w:proofErr w:type="spellStart"/>
      <w:r w:rsidR="005E7E28" w:rsidRPr="00CC28EC">
        <w:rPr>
          <w:sz w:val="24"/>
          <w:szCs w:val="24"/>
        </w:rPr>
        <w:t>derivă</w:t>
      </w:r>
      <w:proofErr w:type="spellEnd"/>
      <w:r w:rsidR="005E7E28" w:rsidRPr="00CC28EC">
        <w:rPr>
          <w:sz w:val="24"/>
          <w:szCs w:val="24"/>
        </w:rPr>
        <w:t xml:space="preserve"> </w:t>
      </w:r>
      <w:proofErr w:type="spellStart"/>
      <w:r w:rsidR="005E7E28" w:rsidRPr="00CC28EC">
        <w:rPr>
          <w:sz w:val="24"/>
          <w:szCs w:val="24"/>
        </w:rPr>
        <w:t>dacă</w:t>
      </w:r>
      <w:proofErr w:type="spellEnd"/>
      <w:r w:rsidR="005E7E28" w:rsidRPr="00CC28EC">
        <w:rPr>
          <w:sz w:val="24"/>
          <w:szCs w:val="24"/>
        </w:rPr>
        <w:t xml:space="preserve"> </w:t>
      </w:r>
      <w:proofErr w:type="spellStart"/>
      <w:r w:rsidR="005E7E28" w:rsidRPr="00CC28EC">
        <w:rPr>
          <w:sz w:val="24"/>
          <w:szCs w:val="24"/>
        </w:rPr>
        <w:t>va</w:t>
      </w:r>
      <w:proofErr w:type="spellEnd"/>
      <w:r w:rsidR="005E7E28" w:rsidRPr="00CC28EC">
        <w:rPr>
          <w:sz w:val="24"/>
          <w:szCs w:val="24"/>
        </w:rPr>
        <w:t xml:space="preserve"> </w:t>
      </w:r>
      <w:proofErr w:type="spellStart"/>
      <w:r w:rsidR="0041721A" w:rsidRPr="00CC28EC">
        <w:rPr>
          <w:sz w:val="24"/>
          <w:szCs w:val="24"/>
        </w:rPr>
        <w:t>trece</w:t>
      </w:r>
      <w:proofErr w:type="spellEnd"/>
      <w:r w:rsidR="0041721A" w:rsidRPr="00CC28EC">
        <w:rPr>
          <w:sz w:val="24"/>
          <w:szCs w:val="24"/>
        </w:rPr>
        <w:t xml:space="preserve"> de</w:t>
      </w:r>
      <w:r w:rsidR="005E7E28" w:rsidRPr="00CC28EC">
        <w:rPr>
          <w:sz w:val="24"/>
          <w:szCs w:val="24"/>
        </w:rPr>
        <w:t xml:space="preserve"> 60% din PIB.</w:t>
      </w:r>
      <w:r w:rsidRPr="00CC28EC">
        <w:rPr>
          <w:sz w:val="24"/>
          <w:szCs w:val="24"/>
        </w:rPr>
        <w:t xml:space="preserve"> </w:t>
      </w:r>
      <w:r w:rsidR="005E7E28" w:rsidRPr="00CC28EC">
        <w:rPr>
          <w:sz w:val="24"/>
          <w:szCs w:val="24"/>
        </w:rPr>
        <w:t xml:space="preserve">Sunt </w:t>
      </w:r>
      <w:proofErr w:type="spellStart"/>
      <w:r w:rsidR="005E7E28" w:rsidRPr="00CC28EC">
        <w:rPr>
          <w:sz w:val="24"/>
          <w:szCs w:val="24"/>
        </w:rPr>
        <w:t>prezentate</w:t>
      </w:r>
      <w:proofErr w:type="spellEnd"/>
      <w:r w:rsidR="005E7E28" w:rsidRPr="00CC28EC">
        <w:rPr>
          <w:sz w:val="24"/>
          <w:szCs w:val="24"/>
        </w:rPr>
        <w:t xml:space="preserve"> date comparative cu </w:t>
      </w:r>
      <w:proofErr w:type="spellStart"/>
      <w:r w:rsidR="005E7E28" w:rsidRPr="00CC28EC">
        <w:rPr>
          <w:sz w:val="24"/>
          <w:szCs w:val="24"/>
        </w:rPr>
        <w:t>celelate</w:t>
      </w:r>
      <w:proofErr w:type="spellEnd"/>
      <w:r w:rsidR="005E7E28" w:rsidRPr="00CC28EC">
        <w:rPr>
          <w:sz w:val="24"/>
          <w:szCs w:val="24"/>
        </w:rPr>
        <w:t xml:space="preserve"> state din UE.</w:t>
      </w:r>
    </w:p>
    <w:p w14:paraId="3E2FDD57" w14:textId="12926A19" w:rsidR="00DF5775" w:rsidRPr="00CC28EC" w:rsidRDefault="00DF5775" w:rsidP="00F9623E">
      <w:pPr>
        <w:tabs>
          <w:tab w:val="left" w:pos="360"/>
        </w:tabs>
        <w:jc w:val="both"/>
        <w:rPr>
          <w:sz w:val="24"/>
          <w:szCs w:val="24"/>
          <w:lang w:val="ro-RO"/>
        </w:rPr>
      </w:pPr>
      <w:r w:rsidRPr="00CC28EC">
        <w:rPr>
          <w:sz w:val="24"/>
          <w:szCs w:val="24"/>
        </w:rPr>
        <w:tab/>
      </w:r>
      <w:r w:rsidRPr="00CC28EC">
        <w:rPr>
          <w:sz w:val="24"/>
          <w:szCs w:val="24"/>
        </w:rPr>
        <w:tab/>
        <w:t>O alt</w:t>
      </w:r>
      <w:r w:rsidRPr="00CC28EC">
        <w:rPr>
          <w:sz w:val="24"/>
          <w:szCs w:val="24"/>
          <w:lang w:val="ro-RO"/>
        </w:rPr>
        <w:t>ă lucrare (Cerna,</w:t>
      </w:r>
      <w:r w:rsidR="00001A60" w:rsidRPr="00CC28EC">
        <w:rPr>
          <w:sz w:val="24"/>
          <w:szCs w:val="24"/>
          <w:lang w:val="ro-RO"/>
        </w:rPr>
        <w:t xml:space="preserve"> </w:t>
      </w:r>
      <w:r w:rsidRPr="00CC28EC">
        <w:rPr>
          <w:sz w:val="24"/>
          <w:szCs w:val="24"/>
          <w:lang w:val="ro-RO"/>
        </w:rPr>
        <w:t>2020) care constată creșterea continuă a datoriei publice</w:t>
      </w:r>
      <w:r w:rsidR="00001A60" w:rsidRPr="00CC28EC">
        <w:rPr>
          <w:sz w:val="24"/>
          <w:szCs w:val="24"/>
          <w:lang w:val="ro-RO"/>
        </w:rPr>
        <w:t>,</w:t>
      </w:r>
      <w:r w:rsidRPr="00CC28EC">
        <w:rPr>
          <w:sz w:val="24"/>
          <w:szCs w:val="24"/>
          <w:lang w:val="ro-RO"/>
        </w:rPr>
        <w:t xml:space="preserve"> adaugă în plus că „</w:t>
      </w:r>
      <w:r w:rsidRPr="00CC28EC">
        <w:rPr>
          <w:i/>
          <w:iCs/>
          <w:sz w:val="24"/>
          <w:szCs w:val="24"/>
          <w:lang w:val="ro-RO"/>
        </w:rPr>
        <w:t xml:space="preserve">în cazul în care situația finanțelor publice se degradează continuu, iar această evoluție este percepută de societate ca fiind îngrijorătoare, influența pozitivă a datoriei publice asupra </w:t>
      </w:r>
      <w:r w:rsidRPr="00CC28EC">
        <w:rPr>
          <w:i/>
          <w:iCs/>
          <w:sz w:val="24"/>
          <w:szCs w:val="24"/>
          <w:lang w:val="ro-RO"/>
        </w:rPr>
        <w:lastRenderedPageBreak/>
        <w:t>creșterii economice este slabă, chiar și pe termen scurt.”</w:t>
      </w:r>
      <w:r w:rsidR="00B419A3" w:rsidRPr="00CC28EC">
        <w:rPr>
          <w:i/>
          <w:iCs/>
          <w:sz w:val="24"/>
          <w:szCs w:val="24"/>
          <w:lang w:val="ro-RO"/>
        </w:rPr>
        <w:t xml:space="preserve"> </w:t>
      </w:r>
      <w:r w:rsidRPr="00CC28EC">
        <w:rPr>
          <w:sz w:val="24"/>
          <w:szCs w:val="24"/>
          <w:lang w:val="ro-RO"/>
        </w:rPr>
        <w:t>Aceasta pare să fie situația în România.</w:t>
      </w:r>
      <w:r w:rsidR="00B419A3" w:rsidRPr="00CC28EC">
        <w:rPr>
          <w:sz w:val="24"/>
          <w:szCs w:val="24"/>
        </w:rPr>
        <w:t xml:space="preserve"> </w:t>
      </w:r>
      <w:proofErr w:type="spellStart"/>
      <w:r w:rsidR="00B419A3" w:rsidRPr="00CC28EC">
        <w:rPr>
          <w:sz w:val="24"/>
          <w:szCs w:val="24"/>
        </w:rPr>
        <w:t>În</w:t>
      </w:r>
      <w:proofErr w:type="spellEnd"/>
      <w:r w:rsidR="00B419A3" w:rsidRPr="00CC28EC">
        <w:rPr>
          <w:sz w:val="24"/>
          <w:szCs w:val="24"/>
        </w:rPr>
        <w:t xml:space="preserve"> plus „</w:t>
      </w:r>
      <w:proofErr w:type="spellStart"/>
      <w:r w:rsidR="00B419A3" w:rsidRPr="00CC28EC">
        <w:rPr>
          <w:i/>
          <w:iCs/>
          <w:sz w:val="24"/>
          <w:szCs w:val="24"/>
        </w:rPr>
        <w:t>i</w:t>
      </w:r>
      <w:proofErr w:type="spellEnd"/>
      <w:r w:rsidR="00B419A3" w:rsidRPr="00CC28EC">
        <w:rPr>
          <w:i/>
          <w:iCs/>
          <w:sz w:val="24"/>
          <w:szCs w:val="24"/>
          <w:lang w:val="ro-RO"/>
        </w:rPr>
        <w:t>ncidența negativă a datoriei publice asupra activității economice se manifestă printr-o serie de alte mecanisme de transmisie, cum ar fi anticiparea unei inflații ridicate, incertitudine mare,</w:t>
      </w:r>
      <w:r w:rsidR="00AA2EFE" w:rsidRPr="00CC28EC">
        <w:rPr>
          <w:i/>
          <w:iCs/>
          <w:sz w:val="24"/>
          <w:szCs w:val="24"/>
          <w:lang w:val="ro-RO"/>
        </w:rPr>
        <w:t xml:space="preserve"> </w:t>
      </w:r>
      <w:r w:rsidR="00B419A3" w:rsidRPr="00CC28EC">
        <w:rPr>
          <w:i/>
          <w:iCs/>
          <w:sz w:val="24"/>
          <w:szCs w:val="24"/>
          <w:lang w:val="ro-RO"/>
        </w:rPr>
        <w:t>volatilitate economică accentuată, slăbirea disciplinei financiare</w:t>
      </w:r>
      <w:r w:rsidR="00AA2EFE" w:rsidRPr="00CC28EC">
        <w:rPr>
          <w:i/>
          <w:iCs/>
          <w:sz w:val="24"/>
          <w:szCs w:val="24"/>
          <w:lang w:val="ro-RO"/>
        </w:rPr>
        <w:t>.</w:t>
      </w:r>
      <w:r w:rsidR="00B419A3" w:rsidRPr="00CC28EC">
        <w:rPr>
          <w:sz w:val="24"/>
          <w:szCs w:val="24"/>
          <w:lang w:val="ro-RO"/>
        </w:rPr>
        <w:t>”</w:t>
      </w:r>
      <w:r w:rsidR="00AA2EFE" w:rsidRPr="00CC28EC">
        <w:rPr>
          <w:sz w:val="24"/>
          <w:szCs w:val="24"/>
          <w:lang w:val="ro-RO"/>
        </w:rPr>
        <w:t xml:space="preserve"> </w:t>
      </w:r>
      <w:r w:rsidR="00001A60" w:rsidRPr="00CC28EC">
        <w:rPr>
          <w:sz w:val="24"/>
          <w:szCs w:val="24"/>
          <w:lang w:val="ro-RO"/>
        </w:rPr>
        <w:t>Este exact cea</w:t>
      </w:r>
      <w:r w:rsidR="00B419A3" w:rsidRPr="00CC28EC">
        <w:rPr>
          <w:sz w:val="24"/>
          <w:szCs w:val="24"/>
          <w:lang w:val="ro-RO"/>
        </w:rPr>
        <w:t xml:space="preserve"> ce vedem în prezent în România.</w:t>
      </w:r>
    </w:p>
    <w:p w14:paraId="42B3B642" w14:textId="5D8A11EE" w:rsidR="00552840" w:rsidRPr="00CC28EC" w:rsidRDefault="00552840" w:rsidP="00F9623E">
      <w:pPr>
        <w:tabs>
          <w:tab w:val="left" w:pos="360"/>
        </w:tabs>
        <w:jc w:val="both"/>
        <w:rPr>
          <w:sz w:val="24"/>
          <w:szCs w:val="24"/>
          <w:lang w:val="ro-RO"/>
        </w:rPr>
      </w:pPr>
      <w:r w:rsidRPr="00CC28EC">
        <w:rPr>
          <w:sz w:val="24"/>
          <w:szCs w:val="24"/>
          <w:lang w:val="ro-RO"/>
        </w:rPr>
        <w:tab/>
      </w:r>
      <w:r w:rsidRPr="00CC28EC">
        <w:rPr>
          <w:sz w:val="24"/>
          <w:szCs w:val="24"/>
          <w:lang w:val="ro-RO"/>
        </w:rPr>
        <w:tab/>
        <w:t xml:space="preserve">Alți autori (Panait, Panait, 2020) analizează datoria publică a României în contextul pandemiei Covid-19 și ajung la concluzia că în ultimele decenii, multe state au acumulat datorii publice uriașe, urmate de obicei de creșteri ale dimensiunii sectorului public și de politici fiscale și bugetare imprudente. Ca atare </w:t>
      </w:r>
      <w:r w:rsidR="007D0CC3" w:rsidRPr="00CC28EC">
        <w:rPr>
          <w:sz w:val="24"/>
          <w:szCs w:val="24"/>
          <w:lang w:val="ro-RO"/>
        </w:rPr>
        <w:t>este necesară o</w:t>
      </w:r>
      <w:r w:rsidRPr="00CC28EC">
        <w:rPr>
          <w:sz w:val="24"/>
          <w:szCs w:val="24"/>
          <w:lang w:val="ro-RO"/>
        </w:rPr>
        <w:t xml:space="preserve"> coordon</w:t>
      </w:r>
      <w:r w:rsidR="007D0CC3" w:rsidRPr="00CC28EC">
        <w:rPr>
          <w:sz w:val="24"/>
          <w:szCs w:val="24"/>
          <w:lang w:val="ro-RO"/>
        </w:rPr>
        <w:t>are</w:t>
      </w:r>
      <w:r w:rsidRPr="00CC28EC">
        <w:rPr>
          <w:sz w:val="24"/>
          <w:szCs w:val="24"/>
          <w:lang w:val="ro-RO"/>
        </w:rPr>
        <w:t xml:space="preserve"> a politicilor fiscale și bugetare în U</w:t>
      </w:r>
      <w:r w:rsidR="007D0CC3" w:rsidRPr="00CC28EC">
        <w:rPr>
          <w:sz w:val="24"/>
          <w:szCs w:val="24"/>
          <w:lang w:val="ro-RO"/>
        </w:rPr>
        <w:t>E.</w:t>
      </w:r>
    </w:p>
    <w:p w14:paraId="738C0E45" w14:textId="16957590" w:rsidR="00896DDC" w:rsidRPr="00CC28EC" w:rsidRDefault="00896DDC" w:rsidP="006E0909">
      <w:pPr>
        <w:adjustRightInd w:val="0"/>
        <w:jc w:val="both"/>
        <w:rPr>
          <w:sz w:val="24"/>
          <w:szCs w:val="24"/>
          <w:lang w:val="ro-RO"/>
        </w:rPr>
      </w:pPr>
      <w:r w:rsidRPr="00CC28EC">
        <w:rPr>
          <w:sz w:val="24"/>
          <w:szCs w:val="24"/>
          <w:lang w:val="ro-RO"/>
        </w:rPr>
        <w:tab/>
        <w:t xml:space="preserve">Să nu uităm și lucrarea care analizează evoluția datoriei publice a României în ultimii 100 de ani care concluzionează că România a avut, de cele mai multe ori, un grad de îndatorare excesiv, </w:t>
      </w:r>
      <w:r w:rsidR="006E0909" w:rsidRPr="00CC28EC">
        <w:rPr>
          <w:sz w:val="24"/>
          <w:szCs w:val="24"/>
          <w:lang w:val="ro-RO"/>
        </w:rPr>
        <w:t>dator</w:t>
      </w:r>
      <w:r w:rsidR="00960387" w:rsidRPr="00CC28EC">
        <w:rPr>
          <w:sz w:val="24"/>
          <w:szCs w:val="24"/>
          <w:lang w:val="ro-RO"/>
        </w:rPr>
        <w:t>ită</w:t>
      </w:r>
      <w:r w:rsidR="006E0909" w:rsidRPr="00CC28EC">
        <w:rPr>
          <w:sz w:val="24"/>
          <w:szCs w:val="24"/>
          <w:lang w:val="ro-RO"/>
        </w:rPr>
        <w:t xml:space="preserve"> cel</w:t>
      </w:r>
      <w:r w:rsidR="00960387" w:rsidRPr="00CC28EC">
        <w:rPr>
          <w:sz w:val="24"/>
          <w:szCs w:val="24"/>
          <w:lang w:val="ro-RO"/>
        </w:rPr>
        <w:t>or</w:t>
      </w:r>
      <w:r w:rsidR="006E0909" w:rsidRPr="00CC28EC">
        <w:rPr>
          <w:sz w:val="24"/>
          <w:szCs w:val="24"/>
          <w:lang w:val="ro-RO"/>
        </w:rPr>
        <w:t xml:space="preserve"> două războaie mondiale iar după 1990</w:t>
      </w:r>
      <w:r w:rsidR="00960387" w:rsidRPr="00CC28EC">
        <w:rPr>
          <w:sz w:val="24"/>
          <w:szCs w:val="24"/>
          <w:lang w:val="ro-RO"/>
        </w:rPr>
        <w:t>,</w:t>
      </w:r>
      <w:r w:rsidR="006E0909" w:rsidRPr="00CC28EC">
        <w:rPr>
          <w:sz w:val="24"/>
          <w:szCs w:val="24"/>
          <w:lang w:val="ro-RO"/>
        </w:rPr>
        <w:t xml:space="preserve"> </w:t>
      </w:r>
      <w:r w:rsidR="00960387" w:rsidRPr="00CC28EC">
        <w:rPr>
          <w:sz w:val="24"/>
          <w:szCs w:val="24"/>
          <w:lang w:val="ro-RO"/>
        </w:rPr>
        <w:t>datorită</w:t>
      </w:r>
      <w:r w:rsidR="006E0909" w:rsidRPr="00CC28EC">
        <w:rPr>
          <w:sz w:val="24"/>
          <w:szCs w:val="24"/>
          <w:lang w:val="ro-RO"/>
        </w:rPr>
        <w:t xml:space="preserve"> costuril</w:t>
      </w:r>
      <w:r w:rsidR="00960387" w:rsidRPr="00CC28EC">
        <w:rPr>
          <w:sz w:val="24"/>
          <w:szCs w:val="24"/>
          <w:lang w:val="ro-RO"/>
        </w:rPr>
        <w:t>or</w:t>
      </w:r>
      <w:r w:rsidR="006E0909" w:rsidRPr="00CC28EC">
        <w:rPr>
          <w:sz w:val="24"/>
          <w:szCs w:val="24"/>
          <w:lang w:val="ro-RO"/>
        </w:rPr>
        <w:t xml:space="preserve"> de tranziție și efectel</w:t>
      </w:r>
      <w:r w:rsidR="00960387" w:rsidRPr="00CC28EC">
        <w:rPr>
          <w:sz w:val="24"/>
          <w:szCs w:val="24"/>
          <w:lang w:val="ro-RO"/>
        </w:rPr>
        <w:t>or</w:t>
      </w:r>
      <w:r w:rsidR="006E0909" w:rsidRPr="00CC28EC">
        <w:rPr>
          <w:sz w:val="24"/>
          <w:szCs w:val="24"/>
          <w:lang w:val="ro-RO"/>
        </w:rPr>
        <w:t xml:space="preserve"> crizei </w:t>
      </w:r>
      <w:r w:rsidR="00960387" w:rsidRPr="00CC28EC">
        <w:rPr>
          <w:sz w:val="24"/>
          <w:szCs w:val="24"/>
          <w:lang w:val="ro-RO"/>
        </w:rPr>
        <w:t>mondiale</w:t>
      </w:r>
      <w:r w:rsidR="006E0909" w:rsidRPr="00CC28EC">
        <w:rPr>
          <w:sz w:val="24"/>
          <w:szCs w:val="24"/>
          <w:lang w:val="ro-RO"/>
        </w:rPr>
        <w:t>, care au afectat situația macroeconomică a țării</w:t>
      </w:r>
      <w:r w:rsidR="00960387" w:rsidRPr="00CC28EC">
        <w:rPr>
          <w:sz w:val="24"/>
          <w:szCs w:val="24"/>
          <w:lang w:val="ro-RO"/>
        </w:rPr>
        <w:t xml:space="preserve"> și </w:t>
      </w:r>
      <w:r w:rsidRPr="00CC28EC">
        <w:rPr>
          <w:sz w:val="24"/>
          <w:szCs w:val="24"/>
          <w:lang w:val="ro-RO"/>
        </w:rPr>
        <w:t xml:space="preserve">sustenabilitatea </w:t>
      </w:r>
      <w:r w:rsidR="00960387" w:rsidRPr="00CC28EC">
        <w:rPr>
          <w:sz w:val="24"/>
          <w:szCs w:val="24"/>
          <w:lang w:val="ro-RO"/>
        </w:rPr>
        <w:t>achitării serviciului datoriei publice. (Georgescu, 2017)</w:t>
      </w:r>
    </w:p>
    <w:bookmarkEnd w:id="3"/>
    <w:p w14:paraId="41CC4BB8" w14:textId="77777777" w:rsidR="00B56033" w:rsidRPr="00CC28EC" w:rsidRDefault="0041721A" w:rsidP="00B56033">
      <w:pPr>
        <w:tabs>
          <w:tab w:val="left" w:pos="360"/>
        </w:tabs>
        <w:jc w:val="both"/>
      </w:pPr>
      <w:r w:rsidRPr="00CC28EC">
        <w:rPr>
          <w:sz w:val="24"/>
          <w:szCs w:val="24"/>
        </w:rPr>
        <w:tab/>
      </w:r>
      <w:r w:rsidRPr="00CC28EC">
        <w:rPr>
          <w:sz w:val="24"/>
          <w:szCs w:val="24"/>
        </w:rPr>
        <w:tab/>
        <w:t xml:space="preserve">Din </w:t>
      </w:r>
      <w:proofErr w:type="spellStart"/>
      <w:r w:rsidRPr="00CC28EC">
        <w:rPr>
          <w:sz w:val="24"/>
          <w:szCs w:val="24"/>
        </w:rPr>
        <w:t>cele</w:t>
      </w:r>
      <w:proofErr w:type="spellEnd"/>
      <w:r w:rsidRPr="00CC28EC">
        <w:rPr>
          <w:sz w:val="24"/>
          <w:szCs w:val="24"/>
        </w:rPr>
        <w:t xml:space="preserve"> </w:t>
      </w:r>
      <w:proofErr w:type="spellStart"/>
      <w:r w:rsidRPr="00CC28EC">
        <w:rPr>
          <w:sz w:val="24"/>
          <w:szCs w:val="24"/>
        </w:rPr>
        <w:t>arătate</w:t>
      </w:r>
      <w:proofErr w:type="spellEnd"/>
      <w:r w:rsidRPr="00CC28EC">
        <w:rPr>
          <w:sz w:val="24"/>
          <w:szCs w:val="24"/>
        </w:rPr>
        <w:t xml:space="preserve"> </w:t>
      </w:r>
      <w:proofErr w:type="spellStart"/>
      <w:r w:rsidRPr="00CC28EC">
        <w:rPr>
          <w:sz w:val="24"/>
          <w:szCs w:val="24"/>
        </w:rPr>
        <w:t>până</w:t>
      </w:r>
      <w:proofErr w:type="spellEnd"/>
      <w:r w:rsidRPr="00CC28EC">
        <w:rPr>
          <w:sz w:val="24"/>
          <w:szCs w:val="24"/>
        </w:rPr>
        <w:t xml:space="preserve"> </w:t>
      </w:r>
      <w:proofErr w:type="spellStart"/>
      <w:r w:rsidRPr="00CC28EC">
        <w:rPr>
          <w:sz w:val="24"/>
          <w:szCs w:val="24"/>
        </w:rPr>
        <w:t>acum</w:t>
      </w:r>
      <w:proofErr w:type="spellEnd"/>
      <w:r w:rsidRPr="00CC28EC">
        <w:rPr>
          <w:sz w:val="24"/>
          <w:szCs w:val="24"/>
        </w:rPr>
        <w:t xml:space="preserve"> </w:t>
      </w:r>
      <w:proofErr w:type="spellStart"/>
      <w:r w:rsidRPr="00CC28EC">
        <w:rPr>
          <w:sz w:val="24"/>
          <w:szCs w:val="24"/>
        </w:rPr>
        <w:t>rezultă</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nu </w:t>
      </w:r>
      <w:proofErr w:type="spellStart"/>
      <w:r w:rsidRPr="00CC28EC">
        <w:rPr>
          <w:sz w:val="24"/>
          <w:szCs w:val="24"/>
        </w:rPr>
        <w:t>există</w:t>
      </w:r>
      <w:proofErr w:type="spellEnd"/>
      <w:r w:rsidRPr="00CC28EC">
        <w:rPr>
          <w:sz w:val="24"/>
          <w:szCs w:val="24"/>
        </w:rPr>
        <w:t xml:space="preserve"> un </w:t>
      </w:r>
      <w:proofErr w:type="spellStart"/>
      <w:r w:rsidRPr="00CC28EC">
        <w:rPr>
          <w:sz w:val="24"/>
          <w:szCs w:val="24"/>
        </w:rPr>
        <w:t>consens</w:t>
      </w:r>
      <w:proofErr w:type="spellEnd"/>
      <w:r w:rsidRPr="00CC28EC">
        <w:rPr>
          <w:sz w:val="24"/>
          <w:szCs w:val="24"/>
        </w:rPr>
        <w:t xml:space="preserve"> al </w:t>
      </w:r>
      <w:proofErr w:type="spellStart"/>
      <w:r w:rsidRPr="00CC28EC">
        <w:rPr>
          <w:sz w:val="24"/>
          <w:szCs w:val="24"/>
        </w:rPr>
        <w:t>specialiștilor</w:t>
      </w:r>
      <w:proofErr w:type="spellEnd"/>
      <w:r w:rsidR="00C06B3E" w:rsidRPr="00CC28EC">
        <w:rPr>
          <w:sz w:val="24"/>
          <w:szCs w:val="24"/>
        </w:rPr>
        <w:t xml:space="preserve"> </w:t>
      </w:r>
      <w:proofErr w:type="spellStart"/>
      <w:r w:rsidR="00C06B3E" w:rsidRPr="00CC28EC">
        <w:rPr>
          <w:sz w:val="24"/>
          <w:szCs w:val="24"/>
        </w:rPr>
        <w:t>despre</w:t>
      </w:r>
      <w:proofErr w:type="spellEnd"/>
      <w:r w:rsidR="00C06B3E" w:rsidRPr="00CC28EC">
        <w:rPr>
          <w:sz w:val="24"/>
          <w:szCs w:val="24"/>
        </w:rPr>
        <w:t xml:space="preserve"> </w:t>
      </w:r>
      <w:proofErr w:type="spellStart"/>
      <w:r w:rsidR="00C06B3E" w:rsidRPr="00CC28EC">
        <w:rPr>
          <w:sz w:val="24"/>
          <w:szCs w:val="24"/>
        </w:rPr>
        <w:t>efectelor</w:t>
      </w:r>
      <w:proofErr w:type="spellEnd"/>
      <w:r w:rsidR="00C06B3E" w:rsidRPr="00CC28EC">
        <w:rPr>
          <w:sz w:val="24"/>
          <w:szCs w:val="24"/>
        </w:rPr>
        <w:t xml:space="preserve"> </w:t>
      </w:r>
      <w:proofErr w:type="spellStart"/>
      <w:r w:rsidR="00C06B3E" w:rsidRPr="00CC28EC">
        <w:rPr>
          <w:sz w:val="24"/>
          <w:szCs w:val="24"/>
        </w:rPr>
        <w:t>datoriei</w:t>
      </w:r>
      <w:proofErr w:type="spellEnd"/>
      <w:r w:rsidR="00C06B3E" w:rsidRPr="00CC28EC">
        <w:rPr>
          <w:sz w:val="24"/>
          <w:szCs w:val="24"/>
        </w:rPr>
        <w:t xml:space="preserve"> </w:t>
      </w:r>
      <w:proofErr w:type="spellStart"/>
      <w:r w:rsidR="00C06B3E" w:rsidRPr="00CC28EC">
        <w:rPr>
          <w:sz w:val="24"/>
          <w:szCs w:val="24"/>
        </w:rPr>
        <w:t>publice</w:t>
      </w:r>
      <w:proofErr w:type="spellEnd"/>
      <w:r w:rsidR="00C06B3E" w:rsidRPr="00CC28EC">
        <w:rPr>
          <w:sz w:val="24"/>
          <w:szCs w:val="24"/>
        </w:rPr>
        <w:t xml:space="preserve"> </w:t>
      </w:r>
      <w:proofErr w:type="spellStart"/>
      <w:r w:rsidR="00C06B3E" w:rsidRPr="00CC28EC">
        <w:rPr>
          <w:sz w:val="24"/>
          <w:szCs w:val="24"/>
        </w:rPr>
        <w:t>asupra</w:t>
      </w:r>
      <w:proofErr w:type="spellEnd"/>
      <w:r w:rsidR="00C06B3E" w:rsidRPr="00CC28EC">
        <w:rPr>
          <w:sz w:val="24"/>
          <w:szCs w:val="24"/>
        </w:rPr>
        <w:t xml:space="preserve"> </w:t>
      </w:r>
      <w:proofErr w:type="spellStart"/>
      <w:r w:rsidR="00C06B3E" w:rsidRPr="00CC28EC">
        <w:rPr>
          <w:sz w:val="24"/>
          <w:szCs w:val="24"/>
        </w:rPr>
        <w:t>economiei</w:t>
      </w:r>
      <w:proofErr w:type="spellEnd"/>
      <w:r w:rsidR="00C06B3E" w:rsidRPr="00CC28EC">
        <w:rPr>
          <w:sz w:val="24"/>
          <w:szCs w:val="24"/>
        </w:rPr>
        <w:t xml:space="preserve">. </w:t>
      </w:r>
      <w:proofErr w:type="spellStart"/>
      <w:r w:rsidR="00C06B3E" w:rsidRPr="00CC28EC">
        <w:rPr>
          <w:sz w:val="24"/>
          <w:szCs w:val="24"/>
        </w:rPr>
        <w:t>Chiar</w:t>
      </w:r>
      <w:proofErr w:type="spellEnd"/>
      <w:r w:rsidR="00C06B3E" w:rsidRPr="00CC28EC">
        <w:rPr>
          <w:sz w:val="24"/>
          <w:szCs w:val="24"/>
        </w:rPr>
        <w:t xml:space="preserve"> </w:t>
      </w:r>
      <w:proofErr w:type="spellStart"/>
      <w:r w:rsidR="00C06B3E" w:rsidRPr="00CC28EC">
        <w:rPr>
          <w:sz w:val="24"/>
          <w:szCs w:val="24"/>
        </w:rPr>
        <w:t>și</w:t>
      </w:r>
      <w:proofErr w:type="spellEnd"/>
      <w:r w:rsidR="00C06B3E" w:rsidRPr="00CC28EC">
        <w:rPr>
          <w:sz w:val="24"/>
          <w:szCs w:val="24"/>
        </w:rPr>
        <w:t xml:space="preserve"> </w:t>
      </w:r>
      <w:proofErr w:type="spellStart"/>
      <w:r w:rsidR="00C06B3E" w:rsidRPr="00CC28EC">
        <w:rPr>
          <w:sz w:val="24"/>
          <w:szCs w:val="24"/>
        </w:rPr>
        <w:t>specialiștii</w:t>
      </w:r>
      <w:proofErr w:type="spellEnd"/>
      <w:r w:rsidR="00C06B3E" w:rsidRPr="00CC28EC">
        <w:rPr>
          <w:sz w:val="24"/>
          <w:szCs w:val="24"/>
        </w:rPr>
        <w:t xml:space="preserve"> </w:t>
      </w:r>
      <w:r w:rsidR="00172ECB" w:rsidRPr="00CC28EC">
        <w:rPr>
          <w:sz w:val="24"/>
          <w:szCs w:val="24"/>
        </w:rPr>
        <w:t>FMI</w:t>
      </w:r>
      <w:r w:rsidR="00DA1232" w:rsidRPr="00CC28EC">
        <w:rPr>
          <w:sz w:val="24"/>
          <w:szCs w:val="24"/>
        </w:rPr>
        <w:t xml:space="preserve"> a</w:t>
      </w:r>
      <w:r w:rsidR="00C06B3E" w:rsidRPr="00CC28EC">
        <w:rPr>
          <w:sz w:val="24"/>
          <w:szCs w:val="24"/>
        </w:rPr>
        <w:t>u</w:t>
      </w:r>
      <w:r w:rsidR="00DA1232" w:rsidRPr="00CC28EC">
        <w:rPr>
          <w:sz w:val="24"/>
          <w:szCs w:val="24"/>
        </w:rPr>
        <w:t xml:space="preserve"> </w:t>
      </w:r>
      <w:proofErr w:type="spellStart"/>
      <w:r w:rsidR="00DA1232" w:rsidRPr="00CC28EC">
        <w:rPr>
          <w:sz w:val="24"/>
          <w:szCs w:val="24"/>
        </w:rPr>
        <w:t>concluzionat</w:t>
      </w:r>
      <w:proofErr w:type="spellEnd"/>
      <w:r w:rsidR="00DA1232" w:rsidRPr="00CC28EC">
        <w:rPr>
          <w:sz w:val="24"/>
          <w:szCs w:val="24"/>
        </w:rPr>
        <w:t xml:space="preserve"> </w:t>
      </w:r>
      <w:proofErr w:type="spellStart"/>
      <w:r w:rsidR="00DA1232" w:rsidRPr="00CC28EC">
        <w:rPr>
          <w:sz w:val="24"/>
          <w:szCs w:val="24"/>
        </w:rPr>
        <w:t>că</w:t>
      </w:r>
      <w:proofErr w:type="spellEnd"/>
      <w:r w:rsidR="00DA1232" w:rsidRPr="00CC28EC">
        <w:rPr>
          <w:sz w:val="24"/>
          <w:szCs w:val="24"/>
        </w:rPr>
        <w:t xml:space="preserve"> „</w:t>
      </w:r>
      <w:r w:rsidR="00DA1232" w:rsidRPr="00CC28EC">
        <w:rPr>
          <w:i/>
          <w:iCs/>
          <w:sz w:val="24"/>
          <w:szCs w:val="24"/>
        </w:rPr>
        <w:t xml:space="preserve">nu </w:t>
      </w:r>
      <w:proofErr w:type="spellStart"/>
      <w:r w:rsidR="00DA1232" w:rsidRPr="00CC28EC">
        <w:rPr>
          <w:i/>
          <w:iCs/>
          <w:sz w:val="24"/>
          <w:szCs w:val="24"/>
        </w:rPr>
        <w:t>există</w:t>
      </w:r>
      <w:proofErr w:type="spellEnd"/>
      <w:r w:rsidR="00DA1232" w:rsidRPr="00CC28EC">
        <w:rPr>
          <w:i/>
          <w:iCs/>
          <w:sz w:val="24"/>
          <w:szCs w:val="24"/>
        </w:rPr>
        <w:t xml:space="preserve"> o </w:t>
      </w:r>
      <w:proofErr w:type="spellStart"/>
      <w:r w:rsidR="00DA1232" w:rsidRPr="00CC28EC">
        <w:rPr>
          <w:i/>
          <w:iCs/>
          <w:sz w:val="24"/>
          <w:szCs w:val="24"/>
        </w:rPr>
        <w:t>relație</w:t>
      </w:r>
      <w:proofErr w:type="spellEnd"/>
      <w:r w:rsidR="00DA1232" w:rsidRPr="00CC28EC">
        <w:rPr>
          <w:i/>
          <w:iCs/>
          <w:sz w:val="24"/>
          <w:szCs w:val="24"/>
        </w:rPr>
        <w:t xml:space="preserve"> </w:t>
      </w:r>
      <w:proofErr w:type="spellStart"/>
      <w:r w:rsidR="00DA1232" w:rsidRPr="00CC28EC">
        <w:rPr>
          <w:i/>
          <w:iCs/>
          <w:sz w:val="24"/>
          <w:szCs w:val="24"/>
        </w:rPr>
        <w:t>simplă</w:t>
      </w:r>
      <w:proofErr w:type="spellEnd"/>
      <w:r w:rsidR="00DA1232" w:rsidRPr="00CC28EC">
        <w:rPr>
          <w:i/>
          <w:iCs/>
          <w:sz w:val="24"/>
          <w:szCs w:val="24"/>
        </w:rPr>
        <w:t xml:space="preserve"> </w:t>
      </w:r>
      <w:proofErr w:type="spellStart"/>
      <w:r w:rsidR="00DA1232" w:rsidRPr="00CC28EC">
        <w:rPr>
          <w:i/>
          <w:iCs/>
          <w:sz w:val="24"/>
          <w:szCs w:val="24"/>
        </w:rPr>
        <w:t>între</w:t>
      </w:r>
      <w:proofErr w:type="spellEnd"/>
      <w:r w:rsidR="00DA1232" w:rsidRPr="00CC28EC">
        <w:rPr>
          <w:i/>
          <w:iCs/>
          <w:sz w:val="24"/>
          <w:szCs w:val="24"/>
        </w:rPr>
        <w:t xml:space="preserve"> </w:t>
      </w:r>
      <w:proofErr w:type="spellStart"/>
      <w:r w:rsidR="00DA1232" w:rsidRPr="00CC28EC">
        <w:rPr>
          <w:i/>
          <w:iCs/>
          <w:sz w:val="24"/>
          <w:szCs w:val="24"/>
        </w:rPr>
        <w:t>datorii</w:t>
      </w:r>
      <w:proofErr w:type="spellEnd"/>
      <w:r w:rsidR="00DA1232" w:rsidRPr="00CC28EC">
        <w:rPr>
          <w:i/>
          <w:iCs/>
          <w:sz w:val="24"/>
          <w:szCs w:val="24"/>
        </w:rPr>
        <w:t xml:space="preserve"> </w:t>
      </w:r>
      <w:proofErr w:type="spellStart"/>
      <w:r w:rsidR="00DA1232" w:rsidRPr="00CC28EC">
        <w:rPr>
          <w:i/>
          <w:iCs/>
          <w:sz w:val="24"/>
          <w:szCs w:val="24"/>
        </w:rPr>
        <w:t>și</w:t>
      </w:r>
      <w:proofErr w:type="spellEnd"/>
      <w:r w:rsidR="00DA1232" w:rsidRPr="00CC28EC">
        <w:rPr>
          <w:i/>
          <w:iCs/>
          <w:sz w:val="24"/>
          <w:szCs w:val="24"/>
        </w:rPr>
        <w:t xml:space="preserve"> </w:t>
      </w:r>
      <w:proofErr w:type="spellStart"/>
      <w:r w:rsidR="00DA1232" w:rsidRPr="00CC28EC">
        <w:rPr>
          <w:i/>
          <w:iCs/>
          <w:sz w:val="24"/>
          <w:szCs w:val="24"/>
        </w:rPr>
        <w:t>creștere</w:t>
      </w:r>
      <w:proofErr w:type="spellEnd"/>
      <w:r w:rsidR="00DA1232" w:rsidRPr="00CC28EC">
        <w:rPr>
          <w:sz w:val="24"/>
          <w:szCs w:val="24"/>
        </w:rPr>
        <w:t>”</w:t>
      </w:r>
      <w:r w:rsidR="00C06B3E" w:rsidRPr="00CC28EC">
        <w:rPr>
          <w:sz w:val="24"/>
          <w:szCs w:val="24"/>
        </w:rPr>
        <w:t>.</w:t>
      </w:r>
      <w:r w:rsidR="00DA1232" w:rsidRPr="00CC28EC">
        <w:rPr>
          <w:sz w:val="24"/>
          <w:szCs w:val="24"/>
        </w:rPr>
        <w:t xml:space="preserve"> (FMI, 2012)</w:t>
      </w:r>
      <w:r w:rsidR="00B56033" w:rsidRPr="00CC28EC">
        <w:t xml:space="preserve"> </w:t>
      </w:r>
    </w:p>
    <w:p w14:paraId="467C3B91" w14:textId="6C511C6D" w:rsidR="008E298E" w:rsidRPr="00CC28EC" w:rsidRDefault="00D259C9" w:rsidP="007F07E6">
      <w:pPr>
        <w:tabs>
          <w:tab w:val="left" w:pos="360"/>
        </w:tabs>
        <w:jc w:val="both"/>
        <w:rPr>
          <w:sz w:val="24"/>
          <w:szCs w:val="24"/>
        </w:rPr>
      </w:pPr>
      <w:r w:rsidRPr="00CC28EC">
        <w:tab/>
      </w:r>
      <w:r w:rsidRPr="00CC28EC">
        <w:rPr>
          <w:sz w:val="24"/>
          <w:szCs w:val="24"/>
        </w:rPr>
        <w:tab/>
      </w:r>
      <w:proofErr w:type="spellStart"/>
      <w:r w:rsidR="00256A1A" w:rsidRPr="00CC28EC">
        <w:rPr>
          <w:sz w:val="24"/>
          <w:szCs w:val="24"/>
        </w:rPr>
        <w:t>În</w:t>
      </w:r>
      <w:proofErr w:type="spellEnd"/>
      <w:r w:rsidR="00256A1A" w:rsidRPr="00CC28EC">
        <w:rPr>
          <w:sz w:val="24"/>
          <w:szCs w:val="24"/>
        </w:rPr>
        <w:t xml:space="preserve"> </w:t>
      </w:r>
      <w:proofErr w:type="spellStart"/>
      <w:r w:rsidR="00256A1A" w:rsidRPr="00CC28EC">
        <w:rPr>
          <w:sz w:val="24"/>
          <w:szCs w:val="24"/>
        </w:rPr>
        <w:t>ultimele</w:t>
      </w:r>
      <w:proofErr w:type="spellEnd"/>
      <w:r w:rsidR="00256A1A" w:rsidRPr="00CC28EC">
        <w:rPr>
          <w:sz w:val="24"/>
          <w:szCs w:val="24"/>
        </w:rPr>
        <w:t xml:space="preserve"> </w:t>
      </w:r>
      <w:proofErr w:type="spellStart"/>
      <w:r w:rsidR="00256A1A" w:rsidRPr="00CC28EC">
        <w:rPr>
          <w:sz w:val="24"/>
          <w:szCs w:val="24"/>
        </w:rPr>
        <w:t>decenii</w:t>
      </w:r>
      <w:proofErr w:type="spellEnd"/>
      <w:r w:rsidR="00256A1A" w:rsidRPr="00CC28EC">
        <w:rPr>
          <w:sz w:val="24"/>
          <w:szCs w:val="24"/>
        </w:rPr>
        <w:t xml:space="preserve">, </w:t>
      </w:r>
      <w:proofErr w:type="spellStart"/>
      <w:r w:rsidR="00256A1A" w:rsidRPr="00CC28EC">
        <w:rPr>
          <w:sz w:val="24"/>
          <w:szCs w:val="24"/>
        </w:rPr>
        <w:t>cele</w:t>
      </w:r>
      <w:proofErr w:type="spellEnd"/>
      <w:r w:rsidR="00256A1A" w:rsidRPr="00CC28EC">
        <w:rPr>
          <w:sz w:val="24"/>
          <w:szCs w:val="24"/>
        </w:rPr>
        <w:t xml:space="preserve"> </w:t>
      </w:r>
      <w:proofErr w:type="spellStart"/>
      <w:r w:rsidR="00256A1A" w:rsidRPr="00CC28EC">
        <w:rPr>
          <w:sz w:val="24"/>
          <w:szCs w:val="24"/>
        </w:rPr>
        <w:t>mai</w:t>
      </w:r>
      <w:proofErr w:type="spellEnd"/>
      <w:r w:rsidR="00256A1A" w:rsidRPr="00CC28EC">
        <w:rPr>
          <w:sz w:val="24"/>
          <w:szCs w:val="24"/>
        </w:rPr>
        <w:t xml:space="preserve"> dese </w:t>
      </w:r>
      <w:proofErr w:type="spellStart"/>
      <w:r w:rsidR="00256A1A" w:rsidRPr="00CC28EC">
        <w:rPr>
          <w:sz w:val="24"/>
          <w:szCs w:val="24"/>
        </w:rPr>
        <w:t>opinii</w:t>
      </w:r>
      <w:proofErr w:type="spellEnd"/>
      <w:r w:rsidR="00256A1A" w:rsidRPr="00CC28EC">
        <w:rPr>
          <w:sz w:val="24"/>
          <w:szCs w:val="24"/>
        </w:rPr>
        <w:t xml:space="preserve"> </w:t>
      </w:r>
      <w:r w:rsidR="00B40B47" w:rsidRPr="00CC28EC">
        <w:rPr>
          <w:sz w:val="24"/>
          <w:szCs w:val="24"/>
        </w:rPr>
        <w:t>f</w:t>
      </w:r>
      <w:r w:rsidR="00256A1A" w:rsidRPr="00CC28EC">
        <w:rPr>
          <w:sz w:val="24"/>
          <w:szCs w:val="24"/>
        </w:rPr>
        <w:t>ac</w:t>
      </w:r>
      <w:r w:rsidR="00B40B47" w:rsidRPr="00CC28EC">
        <w:rPr>
          <w:sz w:val="24"/>
          <w:szCs w:val="24"/>
        </w:rPr>
        <w:t xml:space="preserve"> </w:t>
      </w:r>
      <w:proofErr w:type="spellStart"/>
      <w:r w:rsidR="00B40B47" w:rsidRPr="00CC28EC">
        <w:rPr>
          <w:sz w:val="24"/>
          <w:szCs w:val="24"/>
        </w:rPr>
        <w:t>distincția</w:t>
      </w:r>
      <w:proofErr w:type="spellEnd"/>
      <w:r w:rsidR="00B40B47" w:rsidRPr="00CC28EC">
        <w:rPr>
          <w:sz w:val="24"/>
          <w:szCs w:val="24"/>
        </w:rPr>
        <w:t xml:space="preserve"> </w:t>
      </w:r>
      <w:proofErr w:type="spellStart"/>
      <w:r w:rsidR="00B40B47" w:rsidRPr="00CC28EC">
        <w:rPr>
          <w:sz w:val="24"/>
          <w:szCs w:val="24"/>
        </w:rPr>
        <w:t>între</w:t>
      </w:r>
      <w:proofErr w:type="spellEnd"/>
      <w:r w:rsidR="00B40B47" w:rsidRPr="00CC28EC">
        <w:rPr>
          <w:sz w:val="24"/>
          <w:szCs w:val="24"/>
        </w:rPr>
        <w:t xml:space="preserve"> </w:t>
      </w:r>
      <w:proofErr w:type="spellStart"/>
      <w:r w:rsidR="00B40B47" w:rsidRPr="00CC28EC">
        <w:rPr>
          <w:sz w:val="24"/>
          <w:szCs w:val="24"/>
        </w:rPr>
        <w:t>efectele</w:t>
      </w:r>
      <w:proofErr w:type="spellEnd"/>
      <w:r w:rsidR="00B40B47" w:rsidRPr="00CC28EC">
        <w:rPr>
          <w:sz w:val="24"/>
          <w:szCs w:val="24"/>
        </w:rPr>
        <w:t xml:space="preserve"> </w:t>
      </w:r>
      <w:proofErr w:type="spellStart"/>
      <w:r w:rsidR="00B40B47" w:rsidRPr="00CC28EC">
        <w:rPr>
          <w:sz w:val="24"/>
          <w:szCs w:val="24"/>
        </w:rPr>
        <w:t>datoriei</w:t>
      </w:r>
      <w:proofErr w:type="spellEnd"/>
      <w:r w:rsidR="00B40B47" w:rsidRPr="00CC28EC">
        <w:rPr>
          <w:sz w:val="24"/>
          <w:szCs w:val="24"/>
        </w:rPr>
        <w:t xml:space="preserve"> </w:t>
      </w:r>
      <w:proofErr w:type="spellStart"/>
      <w:r w:rsidR="00B40B47" w:rsidRPr="00CC28EC">
        <w:rPr>
          <w:sz w:val="24"/>
          <w:szCs w:val="24"/>
        </w:rPr>
        <w:t>publice</w:t>
      </w:r>
      <w:proofErr w:type="spellEnd"/>
      <w:r w:rsidR="00B40B47" w:rsidRPr="00CC28EC">
        <w:rPr>
          <w:sz w:val="24"/>
          <w:szCs w:val="24"/>
        </w:rPr>
        <w:t xml:space="preserve"> </w:t>
      </w:r>
      <w:proofErr w:type="spellStart"/>
      <w:r w:rsidR="00B40B47" w:rsidRPr="00CC28EC">
        <w:rPr>
          <w:sz w:val="24"/>
          <w:szCs w:val="24"/>
        </w:rPr>
        <w:t>asupra</w:t>
      </w:r>
      <w:proofErr w:type="spellEnd"/>
      <w:r w:rsidR="00B40B47" w:rsidRPr="00CC28EC">
        <w:rPr>
          <w:sz w:val="24"/>
          <w:szCs w:val="24"/>
        </w:rPr>
        <w:t xml:space="preserve"> </w:t>
      </w:r>
      <w:proofErr w:type="spellStart"/>
      <w:r w:rsidR="00B40B47" w:rsidRPr="00CC28EC">
        <w:rPr>
          <w:sz w:val="24"/>
          <w:szCs w:val="24"/>
        </w:rPr>
        <w:t>creșterii</w:t>
      </w:r>
      <w:proofErr w:type="spellEnd"/>
      <w:r w:rsidR="00B40B47" w:rsidRPr="00CC28EC">
        <w:rPr>
          <w:sz w:val="24"/>
          <w:szCs w:val="24"/>
        </w:rPr>
        <w:t xml:space="preserve"> </w:t>
      </w:r>
      <w:proofErr w:type="spellStart"/>
      <w:r w:rsidR="00B40B47" w:rsidRPr="00CC28EC">
        <w:rPr>
          <w:sz w:val="24"/>
          <w:szCs w:val="24"/>
        </w:rPr>
        <w:t>economice</w:t>
      </w:r>
      <w:proofErr w:type="spellEnd"/>
      <w:r w:rsidR="00B40B47" w:rsidRPr="00CC28EC">
        <w:rPr>
          <w:sz w:val="24"/>
          <w:szCs w:val="24"/>
        </w:rPr>
        <w:t xml:space="preserve"> pe termen </w:t>
      </w:r>
      <w:proofErr w:type="spellStart"/>
      <w:r w:rsidR="00B40B47" w:rsidRPr="00CC28EC">
        <w:rPr>
          <w:sz w:val="24"/>
          <w:szCs w:val="24"/>
        </w:rPr>
        <w:t>scurt</w:t>
      </w:r>
      <w:proofErr w:type="spellEnd"/>
      <w:r w:rsidR="00B40B47" w:rsidRPr="00CC28EC">
        <w:rPr>
          <w:sz w:val="24"/>
          <w:szCs w:val="24"/>
        </w:rPr>
        <w:t xml:space="preserve"> </w:t>
      </w:r>
      <w:proofErr w:type="spellStart"/>
      <w:r w:rsidR="00B40B47" w:rsidRPr="00CC28EC">
        <w:rPr>
          <w:sz w:val="24"/>
          <w:szCs w:val="24"/>
        </w:rPr>
        <w:t>și</w:t>
      </w:r>
      <w:proofErr w:type="spellEnd"/>
      <w:r w:rsidR="00B40B47" w:rsidRPr="00CC28EC">
        <w:rPr>
          <w:sz w:val="24"/>
          <w:szCs w:val="24"/>
        </w:rPr>
        <w:t xml:space="preserve"> pe termen </w:t>
      </w:r>
      <w:proofErr w:type="spellStart"/>
      <w:r w:rsidR="00B40B47" w:rsidRPr="00CC28EC">
        <w:rPr>
          <w:sz w:val="24"/>
          <w:szCs w:val="24"/>
        </w:rPr>
        <w:t>mediu</w:t>
      </w:r>
      <w:proofErr w:type="spellEnd"/>
      <w:r w:rsidR="00B40B47" w:rsidRPr="00CC28EC">
        <w:rPr>
          <w:sz w:val="24"/>
          <w:szCs w:val="24"/>
        </w:rPr>
        <w:t xml:space="preserve"> </w:t>
      </w:r>
      <w:proofErr w:type="spellStart"/>
      <w:r w:rsidR="00B40B47" w:rsidRPr="00CC28EC">
        <w:rPr>
          <w:sz w:val="24"/>
          <w:szCs w:val="24"/>
        </w:rPr>
        <w:t>și</w:t>
      </w:r>
      <w:proofErr w:type="spellEnd"/>
      <w:r w:rsidR="00B40B47" w:rsidRPr="00CC28EC">
        <w:rPr>
          <w:sz w:val="24"/>
          <w:szCs w:val="24"/>
        </w:rPr>
        <w:t xml:space="preserve"> lung. </w:t>
      </w:r>
      <w:proofErr w:type="spellStart"/>
      <w:r w:rsidR="00CF10C3" w:rsidRPr="00CC28EC">
        <w:rPr>
          <w:sz w:val="24"/>
          <w:szCs w:val="24"/>
        </w:rPr>
        <w:t>Practic</w:t>
      </w:r>
      <w:proofErr w:type="spellEnd"/>
      <w:r w:rsidR="00CF10C3" w:rsidRPr="00CC28EC">
        <w:rPr>
          <w:sz w:val="24"/>
          <w:szCs w:val="24"/>
        </w:rPr>
        <w:t xml:space="preserve"> </w:t>
      </w:r>
      <w:proofErr w:type="spellStart"/>
      <w:r w:rsidR="00CF10C3" w:rsidRPr="00CC28EC">
        <w:rPr>
          <w:sz w:val="24"/>
          <w:szCs w:val="24"/>
        </w:rPr>
        <w:t>teoria</w:t>
      </w:r>
      <w:proofErr w:type="spellEnd"/>
      <w:r w:rsidR="00CF10C3" w:rsidRPr="00CC28EC">
        <w:rPr>
          <w:sz w:val="24"/>
          <w:szCs w:val="24"/>
        </w:rPr>
        <w:t xml:space="preserve"> </w:t>
      </w:r>
      <w:proofErr w:type="spellStart"/>
      <w:r w:rsidR="00CF10C3" w:rsidRPr="00CC28EC">
        <w:rPr>
          <w:sz w:val="24"/>
          <w:szCs w:val="24"/>
        </w:rPr>
        <w:t>keynesiană</w:t>
      </w:r>
      <w:proofErr w:type="spellEnd"/>
      <w:r w:rsidR="00CF10C3" w:rsidRPr="00CC28EC">
        <w:rPr>
          <w:sz w:val="24"/>
          <w:szCs w:val="24"/>
        </w:rPr>
        <w:t xml:space="preserve"> </w:t>
      </w:r>
      <w:proofErr w:type="spellStart"/>
      <w:r w:rsidR="00CF10C3" w:rsidRPr="00CC28EC">
        <w:rPr>
          <w:sz w:val="24"/>
          <w:szCs w:val="24"/>
        </w:rPr>
        <w:t>rămâne</w:t>
      </w:r>
      <w:proofErr w:type="spellEnd"/>
      <w:r w:rsidR="00CF10C3" w:rsidRPr="00CC28EC">
        <w:rPr>
          <w:sz w:val="24"/>
          <w:szCs w:val="24"/>
        </w:rPr>
        <w:t xml:space="preserve"> </w:t>
      </w:r>
      <w:proofErr w:type="spellStart"/>
      <w:r w:rsidR="00CF10C3" w:rsidRPr="00CC28EC">
        <w:rPr>
          <w:sz w:val="24"/>
          <w:szCs w:val="24"/>
        </w:rPr>
        <w:t>principala</w:t>
      </w:r>
      <w:proofErr w:type="spellEnd"/>
      <w:r w:rsidR="00CF10C3" w:rsidRPr="00CC28EC">
        <w:rPr>
          <w:sz w:val="24"/>
          <w:szCs w:val="24"/>
        </w:rPr>
        <w:t xml:space="preserve"> </w:t>
      </w:r>
      <w:proofErr w:type="spellStart"/>
      <w:r w:rsidR="00CF10C3" w:rsidRPr="00CC28EC">
        <w:rPr>
          <w:sz w:val="24"/>
          <w:szCs w:val="24"/>
        </w:rPr>
        <w:t>doct</w:t>
      </w:r>
      <w:r w:rsidR="0042647D">
        <w:rPr>
          <w:sz w:val="24"/>
          <w:szCs w:val="24"/>
        </w:rPr>
        <w:t>r</w:t>
      </w:r>
      <w:r w:rsidR="00CF10C3" w:rsidRPr="00CC28EC">
        <w:rPr>
          <w:sz w:val="24"/>
          <w:szCs w:val="24"/>
        </w:rPr>
        <w:t>ină</w:t>
      </w:r>
      <w:proofErr w:type="spellEnd"/>
      <w:r w:rsidR="00CF10C3" w:rsidRPr="00CC28EC">
        <w:rPr>
          <w:sz w:val="24"/>
          <w:szCs w:val="24"/>
        </w:rPr>
        <w:t xml:space="preserve"> care </w:t>
      </w:r>
      <w:proofErr w:type="spellStart"/>
      <w:r w:rsidR="00CF10C3" w:rsidRPr="00CC28EC">
        <w:rPr>
          <w:sz w:val="24"/>
          <w:szCs w:val="24"/>
        </w:rPr>
        <w:t>stă</w:t>
      </w:r>
      <w:proofErr w:type="spellEnd"/>
      <w:r w:rsidR="00CF10C3" w:rsidRPr="00CC28EC">
        <w:rPr>
          <w:sz w:val="24"/>
          <w:szCs w:val="24"/>
        </w:rPr>
        <w:t xml:space="preserve"> la </w:t>
      </w:r>
      <w:proofErr w:type="spellStart"/>
      <w:r w:rsidR="00CF10C3" w:rsidRPr="00CC28EC">
        <w:rPr>
          <w:sz w:val="24"/>
          <w:szCs w:val="24"/>
        </w:rPr>
        <w:t>baza</w:t>
      </w:r>
      <w:proofErr w:type="spellEnd"/>
      <w:r w:rsidR="00CF10C3" w:rsidRPr="00CC28EC">
        <w:rPr>
          <w:sz w:val="24"/>
          <w:szCs w:val="24"/>
        </w:rPr>
        <w:t xml:space="preserve"> </w:t>
      </w:r>
      <w:proofErr w:type="spellStart"/>
      <w:r w:rsidR="00CF10C3" w:rsidRPr="00CC28EC">
        <w:rPr>
          <w:sz w:val="24"/>
          <w:szCs w:val="24"/>
        </w:rPr>
        <w:t>politicilor</w:t>
      </w:r>
      <w:proofErr w:type="spellEnd"/>
      <w:r w:rsidR="00CF10C3" w:rsidRPr="00CC28EC">
        <w:rPr>
          <w:sz w:val="24"/>
          <w:szCs w:val="24"/>
        </w:rPr>
        <w:t xml:space="preserve"> de </w:t>
      </w:r>
      <w:proofErr w:type="spellStart"/>
      <w:r w:rsidR="00CF10C3" w:rsidRPr="00CC28EC">
        <w:rPr>
          <w:sz w:val="24"/>
          <w:szCs w:val="24"/>
        </w:rPr>
        <w:t>îndatorare</w:t>
      </w:r>
      <w:proofErr w:type="spellEnd"/>
      <w:r w:rsidR="00CF10C3" w:rsidRPr="00CC28EC">
        <w:rPr>
          <w:sz w:val="24"/>
          <w:szCs w:val="24"/>
        </w:rPr>
        <w:t xml:space="preserve"> a </w:t>
      </w:r>
      <w:proofErr w:type="spellStart"/>
      <w:r w:rsidR="00CF10C3" w:rsidRPr="00CC28EC">
        <w:rPr>
          <w:sz w:val="24"/>
          <w:szCs w:val="24"/>
        </w:rPr>
        <w:t>statelor</w:t>
      </w:r>
      <w:proofErr w:type="spellEnd"/>
      <w:r w:rsidR="00B40B47" w:rsidRPr="00CC28EC">
        <w:rPr>
          <w:sz w:val="24"/>
          <w:szCs w:val="24"/>
        </w:rPr>
        <w:t xml:space="preserve"> „</w:t>
      </w:r>
      <w:proofErr w:type="spellStart"/>
      <w:r w:rsidR="00B40B47" w:rsidRPr="00CC28EC">
        <w:rPr>
          <w:i/>
          <w:iCs/>
          <w:sz w:val="24"/>
          <w:szCs w:val="24"/>
        </w:rPr>
        <w:t>ei</w:t>
      </w:r>
      <w:proofErr w:type="spellEnd"/>
      <w:r w:rsidR="00B40B47" w:rsidRPr="00CC28EC">
        <w:rPr>
          <w:i/>
          <w:iCs/>
          <w:sz w:val="24"/>
          <w:szCs w:val="24"/>
        </w:rPr>
        <w:t xml:space="preserve">   </w:t>
      </w:r>
      <w:proofErr w:type="spellStart"/>
      <w:r w:rsidR="00B40B47" w:rsidRPr="00CC28EC">
        <w:rPr>
          <w:i/>
          <w:iCs/>
          <w:sz w:val="24"/>
          <w:szCs w:val="24"/>
        </w:rPr>
        <w:t>trebuie</w:t>
      </w:r>
      <w:proofErr w:type="spellEnd"/>
      <w:r w:rsidR="00B40B47" w:rsidRPr="00CC28EC">
        <w:rPr>
          <w:i/>
          <w:iCs/>
          <w:sz w:val="24"/>
          <w:szCs w:val="24"/>
        </w:rPr>
        <w:t xml:space="preserve"> </w:t>
      </w:r>
      <w:proofErr w:type="spellStart"/>
      <w:r w:rsidR="00B40B47" w:rsidRPr="00CC28EC">
        <w:rPr>
          <w:i/>
          <w:iCs/>
          <w:sz w:val="24"/>
          <w:szCs w:val="24"/>
        </w:rPr>
        <w:t>să</w:t>
      </w:r>
      <w:proofErr w:type="spellEnd"/>
      <w:r w:rsidR="00B40B47" w:rsidRPr="00CC28EC">
        <w:rPr>
          <w:i/>
          <w:iCs/>
          <w:sz w:val="24"/>
          <w:szCs w:val="24"/>
        </w:rPr>
        <w:t xml:space="preserve"> </w:t>
      </w:r>
      <w:proofErr w:type="spellStart"/>
      <w:r w:rsidR="00B40B47" w:rsidRPr="00CC28EC">
        <w:rPr>
          <w:i/>
          <w:iCs/>
          <w:sz w:val="24"/>
          <w:szCs w:val="24"/>
        </w:rPr>
        <w:t>recunoască</w:t>
      </w:r>
      <w:proofErr w:type="spellEnd"/>
      <w:r w:rsidR="00B40B47" w:rsidRPr="00CC28EC">
        <w:rPr>
          <w:i/>
          <w:iCs/>
          <w:sz w:val="24"/>
          <w:szCs w:val="24"/>
        </w:rPr>
        <w:t xml:space="preserve"> (...) </w:t>
      </w:r>
      <w:proofErr w:type="spellStart"/>
      <w:r w:rsidR="00B40B47" w:rsidRPr="00CC28EC">
        <w:rPr>
          <w:i/>
          <w:iCs/>
          <w:sz w:val="24"/>
          <w:szCs w:val="24"/>
        </w:rPr>
        <w:t>că</w:t>
      </w:r>
      <w:proofErr w:type="spellEnd"/>
      <w:r w:rsidR="00B40B47" w:rsidRPr="00CC28EC">
        <w:rPr>
          <w:i/>
          <w:iCs/>
          <w:sz w:val="24"/>
          <w:szCs w:val="24"/>
        </w:rPr>
        <w:t xml:space="preserve"> </w:t>
      </w:r>
      <w:proofErr w:type="spellStart"/>
      <w:r w:rsidR="00B40B47" w:rsidRPr="00CC28EC">
        <w:rPr>
          <w:i/>
          <w:iCs/>
          <w:sz w:val="24"/>
          <w:szCs w:val="24"/>
        </w:rPr>
        <w:t>economia</w:t>
      </w:r>
      <w:proofErr w:type="spellEnd"/>
      <w:r w:rsidR="00B40B47" w:rsidRPr="00CC28EC">
        <w:rPr>
          <w:i/>
          <w:iCs/>
          <w:sz w:val="24"/>
          <w:szCs w:val="24"/>
        </w:rPr>
        <w:t xml:space="preserve"> </w:t>
      </w:r>
      <w:proofErr w:type="spellStart"/>
      <w:r w:rsidR="00B40B47" w:rsidRPr="00CC28EC">
        <w:rPr>
          <w:i/>
          <w:iCs/>
          <w:sz w:val="24"/>
          <w:szCs w:val="24"/>
        </w:rPr>
        <w:t>keynesiană</w:t>
      </w:r>
      <w:proofErr w:type="spellEnd"/>
      <w:r w:rsidR="00B40B47" w:rsidRPr="00CC28EC">
        <w:rPr>
          <w:i/>
          <w:iCs/>
          <w:sz w:val="24"/>
          <w:szCs w:val="24"/>
        </w:rPr>
        <w:t xml:space="preserve"> </w:t>
      </w:r>
      <w:proofErr w:type="spellStart"/>
      <w:r w:rsidR="00B40B47" w:rsidRPr="00CC28EC">
        <w:rPr>
          <w:i/>
          <w:iCs/>
          <w:sz w:val="24"/>
          <w:szCs w:val="24"/>
        </w:rPr>
        <w:t>rămâne</w:t>
      </w:r>
      <w:proofErr w:type="spellEnd"/>
      <w:r w:rsidR="00B40B47" w:rsidRPr="00CC28EC">
        <w:rPr>
          <w:i/>
          <w:iCs/>
          <w:sz w:val="24"/>
          <w:szCs w:val="24"/>
        </w:rPr>
        <w:t xml:space="preserve"> </w:t>
      </w:r>
      <w:proofErr w:type="spellStart"/>
      <w:r w:rsidR="00B40B47" w:rsidRPr="00CC28EC">
        <w:rPr>
          <w:i/>
          <w:iCs/>
          <w:sz w:val="24"/>
          <w:szCs w:val="24"/>
        </w:rPr>
        <w:t>cel</w:t>
      </w:r>
      <w:proofErr w:type="spellEnd"/>
      <w:r w:rsidR="00B40B47" w:rsidRPr="00CC28EC">
        <w:rPr>
          <w:i/>
          <w:iCs/>
          <w:sz w:val="24"/>
          <w:szCs w:val="24"/>
        </w:rPr>
        <w:t xml:space="preserve"> </w:t>
      </w:r>
      <w:proofErr w:type="spellStart"/>
      <w:r w:rsidR="00B40B47" w:rsidRPr="00CC28EC">
        <w:rPr>
          <w:i/>
          <w:iCs/>
          <w:sz w:val="24"/>
          <w:szCs w:val="24"/>
        </w:rPr>
        <w:t>mai</w:t>
      </w:r>
      <w:proofErr w:type="spellEnd"/>
      <w:r w:rsidR="00B40B47" w:rsidRPr="00CC28EC">
        <w:rPr>
          <w:i/>
          <w:iCs/>
          <w:sz w:val="24"/>
          <w:szCs w:val="24"/>
        </w:rPr>
        <w:t xml:space="preserve"> bun </w:t>
      </w:r>
      <w:proofErr w:type="spellStart"/>
      <w:r w:rsidR="00B40B47" w:rsidRPr="00CC28EC">
        <w:rPr>
          <w:i/>
          <w:iCs/>
          <w:sz w:val="24"/>
          <w:szCs w:val="24"/>
        </w:rPr>
        <w:t>cadru</w:t>
      </w:r>
      <w:proofErr w:type="spellEnd"/>
      <w:r w:rsidR="00B40B47" w:rsidRPr="00CC28EC">
        <w:rPr>
          <w:i/>
          <w:iCs/>
          <w:sz w:val="24"/>
          <w:szCs w:val="24"/>
        </w:rPr>
        <w:t xml:space="preserve"> pe care </w:t>
      </w:r>
      <w:proofErr w:type="spellStart"/>
      <w:r w:rsidR="00B40B47" w:rsidRPr="00CC28EC">
        <w:rPr>
          <w:i/>
          <w:iCs/>
          <w:sz w:val="24"/>
          <w:szCs w:val="24"/>
        </w:rPr>
        <w:t>îl</w:t>
      </w:r>
      <w:proofErr w:type="spellEnd"/>
      <w:r w:rsidR="00B40B47" w:rsidRPr="00CC28EC">
        <w:rPr>
          <w:i/>
          <w:iCs/>
          <w:sz w:val="24"/>
          <w:szCs w:val="24"/>
        </w:rPr>
        <w:t xml:space="preserve"> </w:t>
      </w:r>
      <w:proofErr w:type="spellStart"/>
      <w:r w:rsidR="00B40B47" w:rsidRPr="00CC28EC">
        <w:rPr>
          <w:i/>
          <w:iCs/>
          <w:sz w:val="24"/>
          <w:szCs w:val="24"/>
        </w:rPr>
        <w:t>avem</w:t>
      </w:r>
      <w:proofErr w:type="spellEnd"/>
      <w:r w:rsidR="00B40B47" w:rsidRPr="00CC28EC">
        <w:rPr>
          <w:i/>
          <w:iCs/>
          <w:sz w:val="24"/>
          <w:szCs w:val="24"/>
        </w:rPr>
        <w:t xml:space="preserve"> </w:t>
      </w:r>
      <w:proofErr w:type="spellStart"/>
      <w:r w:rsidR="00B40B47" w:rsidRPr="00CC28EC">
        <w:rPr>
          <w:i/>
          <w:iCs/>
          <w:sz w:val="24"/>
          <w:szCs w:val="24"/>
        </w:rPr>
        <w:t>în</w:t>
      </w:r>
      <w:proofErr w:type="spellEnd"/>
      <w:r w:rsidR="00B40B47" w:rsidRPr="00CC28EC">
        <w:rPr>
          <w:i/>
          <w:iCs/>
          <w:sz w:val="24"/>
          <w:szCs w:val="24"/>
        </w:rPr>
        <w:t xml:space="preserve"> </w:t>
      </w:r>
      <w:proofErr w:type="spellStart"/>
      <w:r w:rsidR="00B40B47" w:rsidRPr="00CC28EC">
        <w:rPr>
          <w:i/>
          <w:iCs/>
          <w:sz w:val="24"/>
          <w:szCs w:val="24"/>
        </w:rPr>
        <w:t>sensul</w:t>
      </w:r>
      <w:proofErr w:type="spellEnd"/>
      <w:r w:rsidR="00B40B47" w:rsidRPr="00CC28EC">
        <w:rPr>
          <w:i/>
          <w:iCs/>
          <w:sz w:val="24"/>
          <w:szCs w:val="24"/>
        </w:rPr>
        <w:t xml:space="preserve"> </w:t>
      </w:r>
      <w:proofErr w:type="spellStart"/>
      <w:r w:rsidR="00B40B47" w:rsidRPr="00CC28EC">
        <w:rPr>
          <w:i/>
          <w:iCs/>
          <w:sz w:val="24"/>
          <w:szCs w:val="24"/>
        </w:rPr>
        <w:t>recesiunilor</w:t>
      </w:r>
      <w:proofErr w:type="spellEnd"/>
      <w:r w:rsidR="00B40B47" w:rsidRPr="00CC28EC">
        <w:rPr>
          <w:i/>
          <w:iCs/>
          <w:sz w:val="24"/>
          <w:szCs w:val="24"/>
        </w:rPr>
        <w:t xml:space="preserve"> </w:t>
      </w:r>
      <w:proofErr w:type="spellStart"/>
      <w:r w:rsidR="00B40B47" w:rsidRPr="00CC28EC">
        <w:rPr>
          <w:i/>
          <w:iCs/>
          <w:sz w:val="24"/>
          <w:szCs w:val="24"/>
        </w:rPr>
        <w:t>și</w:t>
      </w:r>
      <w:proofErr w:type="spellEnd"/>
      <w:r w:rsidR="00B40B47" w:rsidRPr="00CC28EC">
        <w:rPr>
          <w:i/>
          <w:iCs/>
          <w:sz w:val="24"/>
          <w:szCs w:val="24"/>
        </w:rPr>
        <w:t xml:space="preserve"> </w:t>
      </w:r>
      <w:proofErr w:type="spellStart"/>
      <w:r w:rsidR="00B40B47" w:rsidRPr="00CC28EC">
        <w:rPr>
          <w:i/>
          <w:iCs/>
          <w:sz w:val="24"/>
          <w:szCs w:val="24"/>
        </w:rPr>
        <w:t>depresiilor</w:t>
      </w:r>
      <w:proofErr w:type="spellEnd"/>
      <w:r w:rsidR="00B40B47" w:rsidRPr="00CC28EC">
        <w:rPr>
          <w:i/>
          <w:iCs/>
          <w:sz w:val="24"/>
          <w:szCs w:val="24"/>
        </w:rPr>
        <w:t>.</w:t>
      </w:r>
      <w:r w:rsidR="00B40B47" w:rsidRPr="00CC28EC">
        <w:rPr>
          <w:sz w:val="24"/>
          <w:szCs w:val="24"/>
        </w:rPr>
        <w:t>”</w:t>
      </w:r>
      <w:r w:rsidR="00A631AD" w:rsidRPr="00CC28EC">
        <w:rPr>
          <w:sz w:val="24"/>
          <w:szCs w:val="24"/>
        </w:rPr>
        <w:t xml:space="preserve"> </w:t>
      </w:r>
      <w:r w:rsidR="00256A1A" w:rsidRPr="00CC28EC">
        <w:rPr>
          <w:sz w:val="24"/>
          <w:szCs w:val="24"/>
        </w:rPr>
        <w:t>(Krugman, 2009)</w:t>
      </w:r>
      <w:r w:rsidR="009A250E" w:rsidRPr="00CC28EC">
        <w:rPr>
          <w:sz w:val="24"/>
          <w:szCs w:val="24"/>
        </w:rPr>
        <w:t xml:space="preserve"> </w:t>
      </w:r>
    </w:p>
    <w:p w14:paraId="0C751B70" w14:textId="09A20DDD" w:rsidR="00726D61" w:rsidRPr="00CC28EC" w:rsidRDefault="003E3296" w:rsidP="00B2309C">
      <w:pPr>
        <w:pStyle w:val="Heading2"/>
        <w:spacing w:before="120" w:after="120" w:line="240" w:lineRule="auto"/>
        <w:jc w:val="both"/>
        <w:rPr>
          <w:sz w:val="24"/>
          <w:szCs w:val="24"/>
          <w:lang w:val="ro-RO"/>
        </w:rPr>
      </w:pPr>
      <w:r w:rsidRPr="00CC28EC">
        <w:rPr>
          <w:sz w:val="24"/>
          <w:szCs w:val="24"/>
        </w:rPr>
        <w:t>II</w:t>
      </w:r>
      <w:r w:rsidR="004914BA" w:rsidRPr="00CC28EC">
        <w:rPr>
          <w:sz w:val="24"/>
          <w:szCs w:val="24"/>
        </w:rPr>
        <w:t>I</w:t>
      </w:r>
      <w:r w:rsidRPr="00CC28EC">
        <w:rPr>
          <w:sz w:val="24"/>
          <w:szCs w:val="24"/>
        </w:rPr>
        <w:t xml:space="preserve">. </w:t>
      </w:r>
      <w:r w:rsidR="00B2309C" w:rsidRPr="00CC28EC">
        <w:rPr>
          <w:sz w:val="24"/>
          <w:szCs w:val="24"/>
        </w:rPr>
        <w:t>PREVEDERI LEG</w:t>
      </w:r>
      <w:r w:rsidR="000230EB" w:rsidRPr="00CC28EC">
        <w:rPr>
          <w:sz w:val="24"/>
          <w:szCs w:val="24"/>
        </w:rPr>
        <w:t>ALE</w:t>
      </w:r>
      <w:r w:rsidR="00B2309C" w:rsidRPr="00CC28EC">
        <w:rPr>
          <w:sz w:val="24"/>
          <w:szCs w:val="24"/>
        </w:rPr>
        <w:t xml:space="preserve"> REFERITOARE LA DATORIA PUBLICĂ ÎN ROMÂNIA</w:t>
      </w:r>
    </w:p>
    <w:p w14:paraId="5FAC7B60" w14:textId="77777777" w:rsidR="00FA0E13" w:rsidRPr="00CC28EC" w:rsidRDefault="007B4799" w:rsidP="00FA0E13">
      <w:pPr>
        <w:jc w:val="both"/>
        <w:rPr>
          <w:sz w:val="24"/>
          <w:szCs w:val="24"/>
        </w:rPr>
      </w:pPr>
      <w:r w:rsidRPr="00CC28EC">
        <w:rPr>
          <w:lang w:val="ro-RO"/>
        </w:rPr>
        <w:tab/>
      </w:r>
      <w:r w:rsidR="00B2309C" w:rsidRPr="00CC28EC">
        <w:rPr>
          <w:sz w:val="24"/>
          <w:szCs w:val="24"/>
          <w:lang w:val="ro-RO"/>
        </w:rPr>
        <w:t>Ca țară membră a UE, România trebuie să respecte</w:t>
      </w:r>
      <w:r w:rsidR="00AD6C81" w:rsidRPr="00CC28EC">
        <w:rPr>
          <w:sz w:val="24"/>
          <w:szCs w:val="24"/>
          <w:lang w:val="ro-RO"/>
        </w:rPr>
        <w:t xml:space="preserve"> toate prevederile din </w:t>
      </w:r>
      <w:proofErr w:type="spellStart"/>
      <w:r w:rsidR="00AD6C81" w:rsidRPr="00CC28EC">
        <w:rPr>
          <w:sz w:val="24"/>
          <w:szCs w:val="24"/>
        </w:rPr>
        <w:t>Tratatul</w:t>
      </w:r>
      <w:proofErr w:type="spellEnd"/>
      <w:r w:rsidR="00AD6C81" w:rsidRPr="00CC28EC">
        <w:rPr>
          <w:sz w:val="24"/>
          <w:szCs w:val="24"/>
        </w:rPr>
        <w:t xml:space="preserve"> de la Maastricht </w:t>
      </w:r>
      <w:proofErr w:type="spellStart"/>
      <w:r w:rsidR="00AD6C81" w:rsidRPr="00CC28EC">
        <w:rPr>
          <w:sz w:val="24"/>
          <w:szCs w:val="24"/>
        </w:rPr>
        <w:t>și</w:t>
      </w:r>
      <w:proofErr w:type="spellEnd"/>
      <w:r w:rsidR="00AD6C81" w:rsidRPr="00CC28EC">
        <w:rPr>
          <w:sz w:val="24"/>
          <w:szCs w:val="24"/>
        </w:rPr>
        <w:t xml:space="preserve"> </w:t>
      </w:r>
      <w:proofErr w:type="spellStart"/>
      <w:r w:rsidR="00AD6C81" w:rsidRPr="00CC28EC">
        <w:rPr>
          <w:sz w:val="24"/>
          <w:szCs w:val="24"/>
        </w:rPr>
        <w:t>Tratatul</w:t>
      </w:r>
      <w:proofErr w:type="spellEnd"/>
      <w:r w:rsidR="00AD6C81" w:rsidRPr="00CC28EC">
        <w:rPr>
          <w:sz w:val="24"/>
          <w:szCs w:val="24"/>
        </w:rPr>
        <w:t xml:space="preserve"> </w:t>
      </w:r>
      <w:proofErr w:type="spellStart"/>
      <w:r w:rsidR="00AD6C81" w:rsidRPr="00CC28EC">
        <w:rPr>
          <w:sz w:val="24"/>
          <w:szCs w:val="24"/>
        </w:rPr>
        <w:t>privind</w:t>
      </w:r>
      <w:proofErr w:type="spellEnd"/>
      <w:r w:rsidR="00AD6C81" w:rsidRPr="00CC28EC">
        <w:rPr>
          <w:sz w:val="24"/>
          <w:szCs w:val="24"/>
        </w:rPr>
        <w:t xml:space="preserve"> </w:t>
      </w:r>
      <w:proofErr w:type="spellStart"/>
      <w:r w:rsidR="00AD6C81" w:rsidRPr="00CC28EC">
        <w:rPr>
          <w:sz w:val="24"/>
          <w:szCs w:val="24"/>
        </w:rPr>
        <w:t>funcționarea</w:t>
      </w:r>
      <w:proofErr w:type="spellEnd"/>
      <w:r w:rsidR="00AD6C81" w:rsidRPr="00CC28EC">
        <w:rPr>
          <w:sz w:val="24"/>
          <w:szCs w:val="24"/>
        </w:rPr>
        <w:t xml:space="preserve"> UE </w:t>
      </w:r>
      <w:proofErr w:type="spellStart"/>
      <w:r w:rsidR="00AD6C81" w:rsidRPr="00CC28EC">
        <w:rPr>
          <w:sz w:val="24"/>
          <w:szCs w:val="24"/>
        </w:rPr>
        <w:t>referitoare</w:t>
      </w:r>
      <w:proofErr w:type="spellEnd"/>
      <w:r w:rsidR="00AD6C81" w:rsidRPr="00CC28EC">
        <w:rPr>
          <w:sz w:val="24"/>
          <w:szCs w:val="24"/>
        </w:rPr>
        <w:t xml:space="preserve"> la </w:t>
      </w:r>
      <w:proofErr w:type="spellStart"/>
      <w:r w:rsidR="00AD6C81" w:rsidRPr="00CC28EC">
        <w:rPr>
          <w:sz w:val="24"/>
          <w:szCs w:val="24"/>
        </w:rPr>
        <w:t>procedura</w:t>
      </w:r>
      <w:proofErr w:type="spellEnd"/>
      <w:r w:rsidR="00AD6C81" w:rsidRPr="00CC28EC">
        <w:rPr>
          <w:sz w:val="24"/>
          <w:szCs w:val="24"/>
        </w:rPr>
        <w:t xml:space="preserve"> de deficit </w:t>
      </w:r>
      <w:proofErr w:type="spellStart"/>
      <w:r w:rsidR="00AD6C81" w:rsidRPr="00CC28EC">
        <w:rPr>
          <w:sz w:val="24"/>
          <w:szCs w:val="24"/>
        </w:rPr>
        <w:t>excesiv</w:t>
      </w:r>
      <w:proofErr w:type="spellEnd"/>
      <w:r w:rsidR="00AD6C81" w:rsidRPr="00CC28EC">
        <w:rPr>
          <w:sz w:val="24"/>
          <w:szCs w:val="24"/>
        </w:rPr>
        <w:t>.</w:t>
      </w:r>
      <w:r w:rsidR="000230EB" w:rsidRPr="00CC28EC">
        <w:rPr>
          <w:sz w:val="24"/>
          <w:szCs w:val="24"/>
        </w:rPr>
        <w:t xml:space="preserve"> </w:t>
      </w:r>
      <w:proofErr w:type="spellStart"/>
      <w:r w:rsidR="00FA0E13" w:rsidRPr="00CC28EC">
        <w:rPr>
          <w:sz w:val="24"/>
          <w:szCs w:val="24"/>
        </w:rPr>
        <w:t>Regulamentului</w:t>
      </w:r>
      <w:proofErr w:type="spellEnd"/>
      <w:r w:rsidR="00FA0E13" w:rsidRPr="00CC28EC">
        <w:rPr>
          <w:sz w:val="24"/>
          <w:szCs w:val="24"/>
        </w:rPr>
        <w:t xml:space="preserve"> (CE) nr. 1.466/1997 al </w:t>
      </w:r>
      <w:proofErr w:type="spellStart"/>
      <w:r w:rsidR="00FA0E13" w:rsidRPr="00CC28EC">
        <w:rPr>
          <w:sz w:val="24"/>
          <w:szCs w:val="24"/>
        </w:rPr>
        <w:t>Consiliului</w:t>
      </w:r>
      <w:proofErr w:type="spellEnd"/>
      <w:r w:rsidR="00FA0E13" w:rsidRPr="00CC28EC">
        <w:rPr>
          <w:sz w:val="24"/>
          <w:szCs w:val="24"/>
        </w:rPr>
        <w:t xml:space="preserve"> din 7 </w:t>
      </w:r>
      <w:proofErr w:type="spellStart"/>
      <w:r w:rsidR="00FA0E13" w:rsidRPr="00CC28EC">
        <w:rPr>
          <w:sz w:val="24"/>
          <w:szCs w:val="24"/>
        </w:rPr>
        <w:t>iulie</w:t>
      </w:r>
      <w:proofErr w:type="spellEnd"/>
      <w:r w:rsidR="00FA0E13" w:rsidRPr="00CC28EC">
        <w:rPr>
          <w:sz w:val="24"/>
          <w:szCs w:val="24"/>
        </w:rPr>
        <w:t xml:space="preserve"> 1997 </w:t>
      </w:r>
      <w:proofErr w:type="spellStart"/>
      <w:r w:rsidR="00FA0E13" w:rsidRPr="00CC28EC">
        <w:rPr>
          <w:sz w:val="24"/>
          <w:szCs w:val="24"/>
        </w:rPr>
        <w:t>privind</w:t>
      </w:r>
      <w:proofErr w:type="spellEnd"/>
      <w:r w:rsidR="00FA0E13" w:rsidRPr="00CC28EC">
        <w:rPr>
          <w:sz w:val="24"/>
          <w:szCs w:val="24"/>
        </w:rPr>
        <w:t xml:space="preserve"> </w:t>
      </w:r>
      <w:proofErr w:type="spellStart"/>
      <w:r w:rsidR="00FA0E13" w:rsidRPr="00CC28EC">
        <w:rPr>
          <w:sz w:val="24"/>
          <w:szCs w:val="24"/>
        </w:rPr>
        <w:t>consolidarea</w:t>
      </w:r>
      <w:proofErr w:type="spellEnd"/>
      <w:r w:rsidR="00FA0E13" w:rsidRPr="00CC28EC">
        <w:rPr>
          <w:sz w:val="24"/>
          <w:szCs w:val="24"/>
        </w:rPr>
        <w:t xml:space="preserve"> </w:t>
      </w:r>
      <w:proofErr w:type="spellStart"/>
      <w:r w:rsidR="00FA0E13" w:rsidRPr="00CC28EC">
        <w:rPr>
          <w:sz w:val="24"/>
          <w:szCs w:val="24"/>
        </w:rPr>
        <w:t>supravegherii</w:t>
      </w:r>
      <w:proofErr w:type="spellEnd"/>
      <w:r w:rsidR="00FA0E13" w:rsidRPr="00CC28EC">
        <w:rPr>
          <w:sz w:val="24"/>
          <w:szCs w:val="24"/>
        </w:rPr>
        <w:t xml:space="preserve"> </w:t>
      </w:r>
      <w:proofErr w:type="spellStart"/>
      <w:r w:rsidR="00FA0E13" w:rsidRPr="00CC28EC">
        <w:rPr>
          <w:sz w:val="24"/>
          <w:szCs w:val="24"/>
        </w:rPr>
        <w:t>poziţiilor</w:t>
      </w:r>
      <w:proofErr w:type="spellEnd"/>
      <w:r w:rsidR="00FA0E13" w:rsidRPr="00CC28EC">
        <w:rPr>
          <w:sz w:val="24"/>
          <w:szCs w:val="24"/>
        </w:rPr>
        <w:t xml:space="preserve"> </w:t>
      </w:r>
      <w:proofErr w:type="spellStart"/>
      <w:r w:rsidR="00FA0E13" w:rsidRPr="00CC28EC">
        <w:rPr>
          <w:sz w:val="24"/>
          <w:szCs w:val="24"/>
        </w:rPr>
        <w:t>bugetare</w:t>
      </w:r>
      <w:proofErr w:type="spellEnd"/>
      <w:r w:rsidR="00FA0E13" w:rsidRPr="00CC28EC">
        <w:rPr>
          <w:sz w:val="24"/>
          <w:szCs w:val="24"/>
        </w:rPr>
        <w:t xml:space="preserve"> </w:t>
      </w:r>
      <w:proofErr w:type="spellStart"/>
      <w:r w:rsidR="00FA0E13" w:rsidRPr="00CC28EC">
        <w:rPr>
          <w:sz w:val="24"/>
          <w:szCs w:val="24"/>
        </w:rPr>
        <w:t>şi</w:t>
      </w:r>
      <w:proofErr w:type="spellEnd"/>
      <w:r w:rsidR="00FA0E13" w:rsidRPr="00CC28EC">
        <w:rPr>
          <w:sz w:val="24"/>
          <w:szCs w:val="24"/>
        </w:rPr>
        <w:t xml:space="preserve"> </w:t>
      </w:r>
      <w:proofErr w:type="spellStart"/>
      <w:r w:rsidR="00FA0E13" w:rsidRPr="00CC28EC">
        <w:rPr>
          <w:sz w:val="24"/>
          <w:szCs w:val="24"/>
        </w:rPr>
        <w:t>supravegherea</w:t>
      </w:r>
      <w:proofErr w:type="spellEnd"/>
      <w:r w:rsidR="00FA0E13" w:rsidRPr="00CC28EC">
        <w:rPr>
          <w:sz w:val="24"/>
          <w:szCs w:val="24"/>
        </w:rPr>
        <w:t xml:space="preserve"> </w:t>
      </w:r>
      <w:proofErr w:type="spellStart"/>
      <w:r w:rsidR="00FA0E13" w:rsidRPr="00CC28EC">
        <w:rPr>
          <w:sz w:val="24"/>
          <w:szCs w:val="24"/>
        </w:rPr>
        <w:t>şi</w:t>
      </w:r>
      <w:proofErr w:type="spellEnd"/>
      <w:r w:rsidR="00FA0E13" w:rsidRPr="00CC28EC">
        <w:rPr>
          <w:sz w:val="24"/>
          <w:szCs w:val="24"/>
        </w:rPr>
        <w:t xml:space="preserve"> </w:t>
      </w:r>
      <w:proofErr w:type="spellStart"/>
      <w:r w:rsidR="00FA0E13" w:rsidRPr="00CC28EC">
        <w:rPr>
          <w:sz w:val="24"/>
          <w:szCs w:val="24"/>
        </w:rPr>
        <w:t>coordonarea</w:t>
      </w:r>
      <w:proofErr w:type="spellEnd"/>
      <w:r w:rsidR="00FA0E13" w:rsidRPr="00CC28EC">
        <w:rPr>
          <w:sz w:val="24"/>
          <w:szCs w:val="24"/>
        </w:rPr>
        <w:t xml:space="preserve"> </w:t>
      </w:r>
      <w:proofErr w:type="spellStart"/>
      <w:r w:rsidR="00FA0E13" w:rsidRPr="00CC28EC">
        <w:rPr>
          <w:sz w:val="24"/>
          <w:szCs w:val="24"/>
        </w:rPr>
        <w:t>politicilor</w:t>
      </w:r>
      <w:proofErr w:type="spellEnd"/>
      <w:r w:rsidR="00FA0E13" w:rsidRPr="00CC28EC">
        <w:rPr>
          <w:sz w:val="24"/>
          <w:szCs w:val="24"/>
        </w:rPr>
        <w:t xml:space="preserve"> </w:t>
      </w:r>
      <w:proofErr w:type="spellStart"/>
      <w:r w:rsidR="00FA0E13" w:rsidRPr="00CC28EC">
        <w:rPr>
          <w:sz w:val="24"/>
          <w:szCs w:val="24"/>
        </w:rPr>
        <w:t>economice</w:t>
      </w:r>
      <w:proofErr w:type="spellEnd"/>
      <w:r w:rsidR="00FA0E13" w:rsidRPr="00CC28EC">
        <w:rPr>
          <w:sz w:val="24"/>
          <w:szCs w:val="24"/>
        </w:rPr>
        <w:t xml:space="preserve"> </w:t>
      </w:r>
      <w:proofErr w:type="spellStart"/>
      <w:r w:rsidR="00FA0E13" w:rsidRPr="00CC28EC">
        <w:rPr>
          <w:sz w:val="24"/>
          <w:szCs w:val="24"/>
        </w:rPr>
        <w:t>este</w:t>
      </w:r>
      <w:proofErr w:type="spellEnd"/>
      <w:r w:rsidR="00FA0E13" w:rsidRPr="00CC28EC">
        <w:rPr>
          <w:sz w:val="24"/>
          <w:szCs w:val="24"/>
        </w:rPr>
        <w:t xml:space="preserve"> relevant </w:t>
      </w:r>
      <w:proofErr w:type="spellStart"/>
      <w:r w:rsidR="00FA0E13" w:rsidRPr="00CC28EC">
        <w:rPr>
          <w:sz w:val="24"/>
          <w:szCs w:val="24"/>
        </w:rPr>
        <w:t>în</w:t>
      </w:r>
      <w:proofErr w:type="spellEnd"/>
      <w:r w:rsidR="00FA0E13" w:rsidRPr="00CC28EC">
        <w:rPr>
          <w:sz w:val="24"/>
          <w:szCs w:val="24"/>
        </w:rPr>
        <w:t xml:space="preserve"> </w:t>
      </w:r>
      <w:proofErr w:type="spellStart"/>
      <w:r w:rsidR="00FA0E13" w:rsidRPr="00CC28EC">
        <w:rPr>
          <w:sz w:val="24"/>
          <w:szCs w:val="24"/>
        </w:rPr>
        <w:t>acest</w:t>
      </w:r>
      <w:proofErr w:type="spellEnd"/>
      <w:r w:rsidR="00FA0E13" w:rsidRPr="00CC28EC">
        <w:rPr>
          <w:sz w:val="24"/>
          <w:szCs w:val="24"/>
        </w:rPr>
        <w:t xml:space="preserve"> </w:t>
      </w:r>
      <w:proofErr w:type="spellStart"/>
      <w:r w:rsidR="00FA0E13" w:rsidRPr="00CC28EC">
        <w:rPr>
          <w:sz w:val="24"/>
          <w:szCs w:val="24"/>
        </w:rPr>
        <w:t>domeniu</w:t>
      </w:r>
      <w:proofErr w:type="spellEnd"/>
      <w:r w:rsidR="00FA0E13" w:rsidRPr="00CC28EC">
        <w:rPr>
          <w:sz w:val="24"/>
          <w:szCs w:val="24"/>
        </w:rPr>
        <w:t xml:space="preserve">. </w:t>
      </w:r>
    </w:p>
    <w:p w14:paraId="5956E40C" w14:textId="0F44EC0E" w:rsidR="00B2309C" w:rsidRPr="00CC28EC" w:rsidRDefault="00FA0E13" w:rsidP="00FA0E13">
      <w:pPr>
        <w:ind w:firstLine="720"/>
        <w:jc w:val="both"/>
        <w:rPr>
          <w:sz w:val="24"/>
          <w:szCs w:val="24"/>
        </w:rPr>
      </w:pPr>
      <w:proofErr w:type="spellStart"/>
      <w:r w:rsidRPr="00CC28EC">
        <w:rPr>
          <w:sz w:val="24"/>
          <w:szCs w:val="24"/>
        </w:rPr>
        <w:t>Pentru</w:t>
      </w:r>
      <w:proofErr w:type="spellEnd"/>
      <w:r w:rsidRPr="00CC28EC">
        <w:rPr>
          <w:sz w:val="24"/>
          <w:szCs w:val="24"/>
        </w:rPr>
        <w:t xml:space="preserve"> </w:t>
      </w:r>
      <w:proofErr w:type="spellStart"/>
      <w:r w:rsidRPr="00CC28EC">
        <w:rPr>
          <w:sz w:val="24"/>
          <w:szCs w:val="24"/>
        </w:rPr>
        <w:t>aplicarea</w:t>
      </w:r>
      <w:proofErr w:type="spellEnd"/>
      <w:r w:rsidRPr="00CC28EC">
        <w:rPr>
          <w:sz w:val="24"/>
          <w:szCs w:val="24"/>
        </w:rPr>
        <w:t xml:space="preserve"> </w:t>
      </w:r>
      <w:proofErr w:type="spellStart"/>
      <w:r w:rsidRPr="00CC28EC">
        <w:rPr>
          <w:sz w:val="24"/>
          <w:szCs w:val="24"/>
        </w:rPr>
        <w:t>normelor</w:t>
      </w:r>
      <w:proofErr w:type="spellEnd"/>
      <w:r w:rsidRPr="00CC28EC">
        <w:rPr>
          <w:sz w:val="24"/>
          <w:szCs w:val="24"/>
        </w:rPr>
        <w:t xml:space="preserve"> </w:t>
      </w:r>
      <w:proofErr w:type="spellStart"/>
      <w:r w:rsidRPr="00CC28EC">
        <w:rPr>
          <w:sz w:val="24"/>
          <w:szCs w:val="24"/>
        </w:rPr>
        <w:t>europene</w:t>
      </w:r>
      <w:proofErr w:type="spellEnd"/>
      <w:r w:rsidRPr="00CC28EC">
        <w:rPr>
          <w:sz w:val="24"/>
          <w:szCs w:val="24"/>
        </w:rPr>
        <w:t xml:space="preserve"> </w:t>
      </w:r>
      <w:proofErr w:type="spellStart"/>
      <w:r w:rsidRPr="00CC28EC">
        <w:rPr>
          <w:sz w:val="24"/>
          <w:szCs w:val="24"/>
        </w:rPr>
        <w:t>arătate</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sus</w:t>
      </w:r>
      <w:r w:rsidR="00AD6C81" w:rsidRPr="00CC28EC">
        <w:rPr>
          <w:sz w:val="24"/>
          <w:szCs w:val="24"/>
        </w:rPr>
        <w:t xml:space="preserve">, </w:t>
      </w:r>
      <w:proofErr w:type="spellStart"/>
      <w:r w:rsidR="00AD6C81" w:rsidRPr="00CC28EC">
        <w:rPr>
          <w:sz w:val="24"/>
          <w:szCs w:val="24"/>
        </w:rPr>
        <w:t>cel</w:t>
      </w:r>
      <w:proofErr w:type="spellEnd"/>
      <w:r w:rsidR="00AD6C81" w:rsidRPr="00CC28EC">
        <w:rPr>
          <w:sz w:val="24"/>
          <w:szCs w:val="24"/>
        </w:rPr>
        <w:t xml:space="preserve"> </w:t>
      </w:r>
      <w:proofErr w:type="spellStart"/>
      <w:r w:rsidR="00AD6C81" w:rsidRPr="00CC28EC">
        <w:rPr>
          <w:sz w:val="24"/>
          <w:szCs w:val="24"/>
        </w:rPr>
        <w:t>puțin</w:t>
      </w:r>
      <w:proofErr w:type="spellEnd"/>
      <w:r w:rsidR="00AD6C81" w:rsidRPr="00CC28EC">
        <w:rPr>
          <w:sz w:val="24"/>
          <w:szCs w:val="24"/>
        </w:rPr>
        <w:t xml:space="preserve"> </w:t>
      </w:r>
      <w:proofErr w:type="spellStart"/>
      <w:r w:rsidR="00AD6C81" w:rsidRPr="00CC28EC">
        <w:rPr>
          <w:sz w:val="24"/>
          <w:szCs w:val="24"/>
        </w:rPr>
        <w:t>două</w:t>
      </w:r>
      <w:proofErr w:type="spellEnd"/>
      <w:r w:rsidR="00AD6C81" w:rsidRPr="00CC28EC">
        <w:rPr>
          <w:sz w:val="24"/>
          <w:szCs w:val="24"/>
        </w:rPr>
        <w:t xml:space="preserve"> </w:t>
      </w:r>
      <w:proofErr w:type="spellStart"/>
      <w:r w:rsidR="00AD6C81" w:rsidRPr="00CC28EC">
        <w:rPr>
          <w:sz w:val="24"/>
          <w:szCs w:val="24"/>
        </w:rPr>
        <w:t>acte</w:t>
      </w:r>
      <w:proofErr w:type="spellEnd"/>
      <w:r w:rsidR="00AD6C81" w:rsidRPr="00CC28EC">
        <w:rPr>
          <w:sz w:val="24"/>
          <w:szCs w:val="24"/>
        </w:rPr>
        <w:t xml:space="preserve"> normative sunt </w:t>
      </w:r>
      <w:proofErr w:type="spellStart"/>
      <w:r w:rsidR="00AD6C81" w:rsidRPr="00CC28EC">
        <w:rPr>
          <w:sz w:val="24"/>
          <w:szCs w:val="24"/>
        </w:rPr>
        <w:t>definitorii</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România</w:t>
      </w:r>
      <w:r w:rsidR="00AD6C81" w:rsidRPr="00CC28EC">
        <w:rPr>
          <w:sz w:val="24"/>
          <w:szCs w:val="24"/>
        </w:rPr>
        <w:t>.Ne</w:t>
      </w:r>
      <w:proofErr w:type="spellEnd"/>
      <w:r w:rsidR="00AD6C81" w:rsidRPr="00CC28EC">
        <w:rPr>
          <w:sz w:val="24"/>
          <w:szCs w:val="24"/>
        </w:rPr>
        <w:t xml:space="preserve"> </w:t>
      </w:r>
      <w:proofErr w:type="spellStart"/>
      <w:r w:rsidR="00AD6C81" w:rsidRPr="00CC28EC">
        <w:rPr>
          <w:sz w:val="24"/>
          <w:szCs w:val="24"/>
        </w:rPr>
        <w:t>referim</w:t>
      </w:r>
      <w:proofErr w:type="spellEnd"/>
      <w:r w:rsidR="00AD6C81" w:rsidRPr="00CC28EC">
        <w:rPr>
          <w:sz w:val="24"/>
          <w:szCs w:val="24"/>
        </w:rPr>
        <w:t xml:space="preserve"> la OUG 64/2007 </w:t>
      </w:r>
      <w:proofErr w:type="spellStart"/>
      <w:r w:rsidR="00AD6C81" w:rsidRPr="00CC28EC">
        <w:rPr>
          <w:sz w:val="24"/>
          <w:szCs w:val="24"/>
        </w:rPr>
        <w:t>privind</w:t>
      </w:r>
      <w:proofErr w:type="spellEnd"/>
      <w:r w:rsidR="00AD6C81" w:rsidRPr="00CC28EC">
        <w:rPr>
          <w:sz w:val="24"/>
          <w:szCs w:val="24"/>
        </w:rPr>
        <w:t xml:space="preserve"> </w:t>
      </w:r>
      <w:proofErr w:type="spellStart"/>
      <w:r w:rsidR="00AD6C81" w:rsidRPr="00CC28EC">
        <w:rPr>
          <w:sz w:val="24"/>
          <w:szCs w:val="24"/>
        </w:rPr>
        <w:t>datoria</w:t>
      </w:r>
      <w:proofErr w:type="spellEnd"/>
      <w:r w:rsidR="00AD6C81" w:rsidRPr="00CC28EC">
        <w:rPr>
          <w:sz w:val="24"/>
          <w:szCs w:val="24"/>
        </w:rPr>
        <w:t xml:space="preserve"> </w:t>
      </w:r>
      <w:proofErr w:type="spellStart"/>
      <w:r w:rsidR="00AD6C81" w:rsidRPr="00CC28EC">
        <w:rPr>
          <w:sz w:val="24"/>
          <w:szCs w:val="24"/>
        </w:rPr>
        <w:t>publică</w:t>
      </w:r>
      <w:proofErr w:type="spellEnd"/>
      <w:r w:rsidR="00AD6C81" w:rsidRPr="00CC28EC">
        <w:rPr>
          <w:sz w:val="24"/>
          <w:szCs w:val="24"/>
        </w:rPr>
        <w:t xml:space="preserve"> </w:t>
      </w:r>
      <w:proofErr w:type="spellStart"/>
      <w:r w:rsidR="00AD6C81" w:rsidRPr="00CC28EC">
        <w:rPr>
          <w:sz w:val="24"/>
          <w:szCs w:val="24"/>
        </w:rPr>
        <w:t>și</w:t>
      </w:r>
      <w:proofErr w:type="spellEnd"/>
      <w:r w:rsidR="00AD6C81" w:rsidRPr="00CC28EC">
        <w:rPr>
          <w:sz w:val="24"/>
          <w:szCs w:val="24"/>
        </w:rPr>
        <w:t xml:space="preserve"> la </w:t>
      </w:r>
      <w:proofErr w:type="spellStart"/>
      <w:r w:rsidR="00AD6C81" w:rsidRPr="00CC28EC">
        <w:rPr>
          <w:sz w:val="24"/>
          <w:szCs w:val="24"/>
        </w:rPr>
        <w:t>Legea</w:t>
      </w:r>
      <w:proofErr w:type="spellEnd"/>
      <w:r w:rsidR="00AD6C81" w:rsidRPr="00CC28EC">
        <w:rPr>
          <w:sz w:val="24"/>
          <w:szCs w:val="24"/>
        </w:rPr>
        <w:t xml:space="preserve"> 69/2010 a </w:t>
      </w:r>
      <w:proofErr w:type="spellStart"/>
      <w:r w:rsidR="00AD6C81" w:rsidRPr="00CC28EC">
        <w:rPr>
          <w:sz w:val="24"/>
          <w:szCs w:val="24"/>
        </w:rPr>
        <w:t>responsabilităţii</w:t>
      </w:r>
      <w:proofErr w:type="spellEnd"/>
      <w:r w:rsidR="00AD6C81" w:rsidRPr="00CC28EC">
        <w:rPr>
          <w:sz w:val="24"/>
          <w:szCs w:val="24"/>
        </w:rPr>
        <w:t xml:space="preserve"> fiscal-</w:t>
      </w:r>
      <w:proofErr w:type="spellStart"/>
      <w:r w:rsidR="00AD6C81" w:rsidRPr="00CC28EC">
        <w:rPr>
          <w:sz w:val="24"/>
          <w:szCs w:val="24"/>
        </w:rPr>
        <w:t>bugetare</w:t>
      </w:r>
      <w:proofErr w:type="spellEnd"/>
      <w:r w:rsidR="00AD6C81" w:rsidRPr="00CC28EC">
        <w:rPr>
          <w:sz w:val="24"/>
          <w:szCs w:val="24"/>
        </w:rPr>
        <w:t>.</w:t>
      </w:r>
    </w:p>
    <w:p w14:paraId="5F84C97F" w14:textId="3503DABF" w:rsidR="00F4130F" w:rsidRPr="00CC28EC" w:rsidRDefault="00AD6C81" w:rsidP="006C1549">
      <w:pPr>
        <w:jc w:val="both"/>
        <w:rPr>
          <w:sz w:val="24"/>
          <w:szCs w:val="24"/>
        </w:rPr>
      </w:pPr>
      <w:r w:rsidRPr="00CC28EC">
        <w:rPr>
          <w:sz w:val="24"/>
          <w:szCs w:val="24"/>
        </w:rPr>
        <w:tab/>
      </w:r>
      <w:proofErr w:type="spellStart"/>
      <w:r w:rsidRPr="00CC28EC">
        <w:rPr>
          <w:sz w:val="24"/>
          <w:szCs w:val="24"/>
        </w:rPr>
        <w:t>Primul</w:t>
      </w:r>
      <w:proofErr w:type="spellEnd"/>
      <w:r w:rsidRPr="00CC28EC">
        <w:rPr>
          <w:sz w:val="24"/>
          <w:szCs w:val="24"/>
        </w:rPr>
        <w:t xml:space="preserve"> act </w:t>
      </w:r>
      <w:proofErr w:type="spellStart"/>
      <w:r w:rsidRPr="00CC28EC">
        <w:rPr>
          <w:sz w:val="24"/>
          <w:szCs w:val="24"/>
        </w:rPr>
        <w:t>legislativ</w:t>
      </w:r>
      <w:proofErr w:type="spellEnd"/>
      <w:r w:rsidRPr="00CC28EC">
        <w:rPr>
          <w:sz w:val="24"/>
          <w:szCs w:val="24"/>
        </w:rPr>
        <w:t xml:space="preserve"> </w:t>
      </w:r>
      <w:proofErr w:type="spellStart"/>
      <w:r w:rsidRPr="00CC28EC">
        <w:rPr>
          <w:sz w:val="24"/>
          <w:szCs w:val="24"/>
        </w:rPr>
        <w:t>enumerat</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sus </w:t>
      </w:r>
      <w:r w:rsidR="00575700" w:rsidRPr="00CC28EC">
        <w:rPr>
          <w:sz w:val="24"/>
          <w:szCs w:val="24"/>
        </w:rPr>
        <w:t>„</w:t>
      </w:r>
      <w:proofErr w:type="spellStart"/>
      <w:r w:rsidR="00575700" w:rsidRPr="00CC28EC">
        <w:rPr>
          <w:i/>
          <w:iCs/>
          <w:sz w:val="24"/>
          <w:szCs w:val="24"/>
        </w:rPr>
        <w:t>stabilește</w:t>
      </w:r>
      <w:proofErr w:type="spellEnd"/>
      <w:r w:rsidR="00575700" w:rsidRPr="00CC28EC">
        <w:rPr>
          <w:i/>
          <w:iCs/>
          <w:sz w:val="24"/>
          <w:szCs w:val="24"/>
        </w:rPr>
        <w:t xml:space="preserve"> </w:t>
      </w:r>
      <w:proofErr w:type="spellStart"/>
      <w:r w:rsidR="00575700" w:rsidRPr="00CC28EC">
        <w:rPr>
          <w:i/>
          <w:iCs/>
          <w:sz w:val="24"/>
          <w:szCs w:val="24"/>
        </w:rPr>
        <w:t>cadrul</w:t>
      </w:r>
      <w:proofErr w:type="spellEnd"/>
      <w:r w:rsidR="00575700" w:rsidRPr="00CC28EC">
        <w:rPr>
          <w:i/>
          <w:iCs/>
          <w:sz w:val="24"/>
          <w:szCs w:val="24"/>
        </w:rPr>
        <w:t xml:space="preserve"> general </w:t>
      </w:r>
      <w:proofErr w:type="spellStart"/>
      <w:r w:rsidR="00575700" w:rsidRPr="00CC28EC">
        <w:rPr>
          <w:i/>
          <w:iCs/>
          <w:sz w:val="24"/>
          <w:szCs w:val="24"/>
        </w:rPr>
        <w:t>și</w:t>
      </w:r>
      <w:proofErr w:type="spellEnd"/>
      <w:r w:rsidR="00575700" w:rsidRPr="00CC28EC">
        <w:rPr>
          <w:i/>
          <w:iCs/>
          <w:sz w:val="24"/>
          <w:szCs w:val="24"/>
        </w:rPr>
        <w:t xml:space="preserve"> </w:t>
      </w:r>
      <w:proofErr w:type="spellStart"/>
      <w:r w:rsidR="00575700" w:rsidRPr="00CC28EC">
        <w:rPr>
          <w:i/>
          <w:iCs/>
          <w:sz w:val="24"/>
          <w:szCs w:val="24"/>
        </w:rPr>
        <w:t>principiile</w:t>
      </w:r>
      <w:proofErr w:type="spellEnd"/>
      <w:r w:rsidR="00575700" w:rsidRPr="00CC28EC">
        <w:rPr>
          <w:i/>
          <w:iCs/>
          <w:sz w:val="24"/>
          <w:szCs w:val="24"/>
        </w:rPr>
        <w:t xml:space="preserve"> </w:t>
      </w:r>
      <w:proofErr w:type="spellStart"/>
      <w:r w:rsidR="00575700" w:rsidRPr="00CC28EC">
        <w:rPr>
          <w:i/>
          <w:iCs/>
          <w:sz w:val="24"/>
          <w:szCs w:val="24"/>
        </w:rPr>
        <w:t>administrării</w:t>
      </w:r>
      <w:proofErr w:type="spellEnd"/>
      <w:r w:rsidR="00575700" w:rsidRPr="00CC28EC">
        <w:rPr>
          <w:i/>
          <w:iCs/>
          <w:sz w:val="24"/>
          <w:szCs w:val="24"/>
        </w:rPr>
        <w:t xml:space="preserve"> </w:t>
      </w:r>
      <w:proofErr w:type="spellStart"/>
      <w:r w:rsidR="00575700" w:rsidRPr="00CC28EC">
        <w:rPr>
          <w:i/>
          <w:iCs/>
          <w:sz w:val="24"/>
          <w:szCs w:val="24"/>
        </w:rPr>
        <w:t>datoriei</w:t>
      </w:r>
      <w:proofErr w:type="spellEnd"/>
      <w:r w:rsidR="00575700" w:rsidRPr="00CC28EC">
        <w:rPr>
          <w:i/>
          <w:iCs/>
          <w:sz w:val="24"/>
          <w:szCs w:val="24"/>
        </w:rPr>
        <w:t xml:space="preserve"> </w:t>
      </w:r>
      <w:proofErr w:type="spellStart"/>
      <w:r w:rsidR="00575700" w:rsidRPr="00CC28EC">
        <w:rPr>
          <w:i/>
          <w:iCs/>
          <w:sz w:val="24"/>
          <w:szCs w:val="24"/>
        </w:rPr>
        <w:t>publice</w:t>
      </w:r>
      <w:proofErr w:type="spellEnd"/>
      <w:r w:rsidR="00575700" w:rsidRPr="00CC28EC">
        <w:rPr>
          <w:sz w:val="24"/>
          <w:szCs w:val="24"/>
        </w:rPr>
        <w:t xml:space="preserve">” (art. 1), </w:t>
      </w:r>
      <w:proofErr w:type="spellStart"/>
      <w:r w:rsidR="00575700" w:rsidRPr="00CC28EC">
        <w:rPr>
          <w:sz w:val="24"/>
          <w:szCs w:val="24"/>
        </w:rPr>
        <w:t>defini</w:t>
      </w:r>
      <w:r w:rsidR="000230EB" w:rsidRPr="00CC28EC">
        <w:rPr>
          <w:sz w:val="24"/>
          <w:szCs w:val="24"/>
        </w:rPr>
        <w:t>nd</w:t>
      </w:r>
      <w:proofErr w:type="spellEnd"/>
      <w:r w:rsidR="00575700" w:rsidRPr="00CC28EC">
        <w:rPr>
          <w:sz w:val="24"/>
          <w:szCs w:val="24"/>
        </w:rPr>
        <w:t xml:space="preserve"> o </w:t>
      </w:r>
      <w:proofErr w:type="spellStart"/>
      <w:r w:rsidR="00575700" w:rsidRPr="00CC28EC">
        <w:rPr>
          <w:sz w:val="24"/>
          <w:szCs w:val="24"/>
        </w:rPr>
        <w:t>serie</w:t>
      </w:r>
      <w:proofErr w:type="spellEnd"/>
      <w:r w:rsidR="00575700" w:rsidRPr="00CC28EC">
        <w:rPr>
          <w:sz w:val="24"/>
          <w:szCs w:val="24"/>
        </w:rPr>
        <w:t xml:space="preserve"> de </w:t>
      </w:r>
      <w:proofErr w:type="spellStart"/>
      <w:r w:rsidR="00575700" w:rsidRPr="00CC28EC">
        <w:rPr>
          <w:sz w:val="24"/>
          <w:szCs w:val="24"/>
        </w:rPr>
        <w:t>concepte</w:t>
      </w:r>
      <w:proofErr w:type="spellEnd"/>
      <w:r w:rsidR="00575700" w:rsidRPr="00CC28EC">
        <w:rPr>
          <w:sz w:val="24"/>
          <w:szCs w:val="24"/>
        </w:rPr>
        <w:t xml:space="preserve"> ca: </w:t>
      </w:r>
      <w:proofErr w:type="spellStart"/>
      <w:r w:rsidR="00575700" w:rsidRPr="00CC28EC">
        <w:rPr>
          <w:sz w:val="24"/>
          <w:szCs w:val="24"/>
        </w:rPr>
        <w:t>datorie</w:t>
      </w:r>
      <w:proofErr w:type="spellEnd"/>
      <w:r w:rsidR="00575700" w:rsidRPr="00CC28EC">
        <w:rPr>
          <w:sz w:val="24"/>
          <w:szCs w:val="24"/>
        </w:rPr>
        <w:t xml:space="preserve"> </w:t>
      </w:r>
      <w:proofErr w:type="spellStart"/>
      <w:r w:rsidR="00575700" w:rsidRPr="00CC28EC">
        <w:rPr>
          <w:sz w:val="24"/>
          <w:szCs w:val="24"/>
        </w:rPr>
        <w:t>publică</w:t>
      </w:r>
      <w:proofErr w:type="spellEnd"/>
      <w:r w:rsidR="00575700" w:rsidRPr="00CC28EC">
        <w:rPr>
          <w:sz w:val="24"/>
          <w:szCs w:val="24"/>
        </w:rPr>
        <w:t xml:space="preserve">, fond de </w:t>
      </w:r>
      <w:proofErr w:type="spellStart"/>
      <w:r w:rsidR="00575700" w:rsidRPr="00CC28EC">
        <w:rPr>
          <w:sz w:val="24"/>
          <w:szCs w:val="24"/>
        </w:rPr>
        <w:t>risc</w:t>
      </w:r>
      <w:proofErr w:type="spellEnd"/>
      <w:r w:rsidR="00575700" w:rsidRPr="00CC28EC">
        <w:rPr>
          <w:sz w:val="24"/>
          <w:szCs w:val="24"/>
        </w:rPr>
        <w:t xml:space="preserve">, </w:t>
      </w:r>
      <w:proofErr w:type="spellStart"/>
      <w:r w:rsidR="00575700" w:rsidRPr="00CC28EC">
        <w:rPr>
          <w:sz w:val="24"/>
          <w:szCs w:val="24"/>
        </w:rPr>
        <w:t>garanție</w:t>
      </w:r>
      <w:proofErr w:type="spellEnd"/>
      <w:r w:rsidR="00575700" w:rsidRPr="00CC28EC">
        <w:rPr>
          <w:sz w:val="24"/>
          <w:szCs w:val="24"/>
        </w:rPr>
        <w:t xml:space="preserve">, </w:t>
      </w:r>
      <w:proofErr w:type="spellStart"/>
      <w:r w:rsidR="00575700" w:rsidRPr="00CC28EC">
        <w:rPr>
          <w:sz w:val="24"/>
          <w:szCs w:val="24"/>
        </w:rPr>
        <w:t>serviciul</w:t>
      </w:r>
      <w:proofErr w:type="spellEnd"/>
      <w:r w:rsidR="00575700" w:rsidRPr="00CC28EC">
        <w:rPr>
          <w:sz w:val="24"/>
          <w:szCs w:val="24"/>
        </w:rPr>
        <w:t xml:space="preserve"> </w:t>
      </w:r>
      <w:proofErr w:type="spellStart"/>
      <w:r w:rsidR="00575700" w:rsidRPr="00CC28EC">
        <w:rPr>
          <w:sz w:val="24"/>
          <w:szCs w:val="24"/>
        </w:rPr>
        <w:t>datoriei</w:t>
      </w:r>
      <w:proofErr w:type="spellEnd"/>
      <w:r w:rsidR="00575700" w:rsidRPr="00CC28EC">
        <w:rPr>
          <w:sz w:val="24"/>
          <w:szCs w:val="24"/>
        </w:rPr>
        <w:t xml:space="preserve"> </w:t>
      </w:r>
      <w:proofErr w:type="spellStart"/>
      <w:r w:rsidR="00575700" w:rsidRPr="00CC28EC">
        <w:rPr>
          <w:sz w:val="24"/>
          <w:szCs w:val="24"/>
        </w:rPr>
        <w:t>publice</w:t>
      </w:r>
      <w:proofErr w:type="spellEnd"/>
      <w:r w:rsidR="00575700" w:rsidRPr="00CC28EC">
        <w:rPr>
          <w:sz w:val="24"/>
          <w:szCs w:val="24"/>
        </w:rPr>
        <w:t xml:space="preserve"> precum </w:t>
      </w:r>
      <w:proofErr w:type="spellStart"/>
      <w:r w:rsidR="00575700" w:rsidRPr="00CC28EC">
        <w:rPr>
          <w:sz w:val="24"/>
          <w:szCs w:val="24"/>
        </w:rPr>
        <w:t>și</w:t>
      </w:r>
      <w:proofErr w:type="spellEnd"/>
      <w:r w:rsidR="00575700" w:rsidRPr="00CC28EC">
        <w:rPr>
          <w:sz w:val="24"/>
          <w:szCs w:val="24"/>
        </w:rPr>
        <w:t xml:space="preserve"> </w:t>
      </w:r>
      <w:proofErr w:type="spellStart"/>
      <w:r w:rsidR="00575700" w:rsidRPr="00CC28EC">
        <w:rPr>
          <w:sz w:val="24"/>
          <w:szCs w:val="24"/>
        </w:rPr>
        <w:t>modul</w:t>
      </w:r>
      <w:proofErr w:type="spellEnd"/>
      <w:r w:rsidR="00575700" w:rsidRPr="00CC28EC">
        <w:rPr>
          <w:sz w:val="24"/>
          <w:szCs w:val="24"/>
        </w:rPr>
        <w:t xml:space="preserve"> de </w:t>
      </w:r>
      <w:proofErr w:type="spellStart"/>
      <w:r w:rsidR="00575700" w:rsidRPr="00CC28EC">
        <w:rPr>
          <w:sz w:val="24"/>
          <w:szCs w:val="24"/>
        </w:rPr>
        <w:t>administrare</w:t>
      </w:r>
      <w:proofErr w:type="spellEnd"/>
      <w:r w:rsidR="00575700" w:rsidRPr="00CC28EC">
        <w:rPr>
          <w:sz w:val="24"/>
          <w:szCs w:val="24"/>
        </w:rPr>
        <w:t xml:space="preserve"> </w:t>
      </w:r>
      <w:proofErr w:type="gramStart"/>
      <w:r w:rsidR="00575700" w:rsidRPr="00CC28EC">
        <w:rPr>
          <w:sz w:val="24"/>
          <w:szCs w:val="24"/>
        </w:rPr>
        <w:t>a</w:t>
      </w:r>
      <w:proofErr w:type="gramEnd"/>
      <w:r w:rsidR="00575700" w:rsidRPr="00CC28EC">
        <w:rPr>
          <w:sz w:val="24"/>
          <w:szCs w:val="24"/>
        </w:rPr>
        <w:t xml:space="preserve"> </w:t>
      </w:r>
      <w:proofErr w:type="spellStart"/>
      <w:r w:rsidR="00575700" w:rsidRPr="00CC28EC">
        <w:rPr>
          <w:sz w:val="24"/>
          <w:szCs w:val="24"/>
        </w:rPr>
        <w:t>acesteia</w:t>
      </w:r>
      <w:proofErr w:type="spellEnd"/>
      <w:r w:rsidR="00575700" w:rsidRPr="00CC28EC">
        <w:rPr>
          <w:sz w:val="24"/>
          <w:szCs w:val="24"/>
        </w:rPr>
        <w:t>.</w:t>
      </w:r>
      <w:r w:rsidR="00034286" w:rsidRPr="00CC28EC">
        <w:rPr>
          <w:sz w:val="24"/>
          <w:szCs w:val="24"/>
        </w:rPr>
        <w:t xml:space="preserve"> </w:t>
      </w:r>
      <w:r w:rsidR="00F4130F" w:rsidRPr="00CC28EC">
        <w:rPr>
          <w:sz w:val="24"/>
          <w:szCs w:val="24"/>
        </w:rPr>
        <w:tab/>
      </w:r>
    </w:p>
    <w:p w14:paraId="0C50B006" w14:textId="05272FF1" w:rsidR="00F56EA9" w:rsidRPr="00CC28EC" w:rsidRDefault="00F56EA9" w:rsidP="00F56EA9">
      <w:pPr>
        <w:adjustRightInd w:val="0"/>
        <w:jc w:val="both"/>
        <w:rPr>
          <w:rFonts w:eastAsiaTheme="minorHAnsi"/>
          <w:sz w:val="24"/>
          <w:szCs w:val="24"/>
        </w:rPr>
      </w:pPr>
      <w:r w:rsidRPr="00CC28EC">
        <w:rPr>
          <w:sz w:val="24"/>
          <w:szCs w:val="24"/>
        </w:rPr>
        <w:tab/>
      </w:r>
      <w:proofErr w:type="spellStart"/>
      <w:r w:rsidRPr="00CC28EC">
        <w:rPr>
          <w:rFonts w:eastAsiaTheme="minorHAnsi"/>
          <w:sz w:val="24"/>
          <w:szCs w:val="24"/>
        </w:rPr>
        <w:t>Asigurarea</w:t>
      </w:r>
      <w:proofErr w:type="spellEnd"/>
      <w:r w:rsidRPr="00CC28EC">
        <w:rPr>
          <w:rFonts w:eastAsiaTheme="minorHAnsi"/>
          <w:sz w:val="24"/>
          <w:szCs w:val="24"/>
        </w:rPr>
        <w:t xml:space="preserve"> </w:t>
      </w:r>
      <w:proofErr w:type="spellStart"/>
      <w:r w:rsidRPr="00CC28EC">
        <w:rPr>
          <w:rFonts w:eastAsiaTheme="minorHAnsi"/>
          <w:sz w:val="24"/>
          <w:szCs w:val="24"/>
        </w:rPr>
        <w:t>necesarului</w:t>
      </w:r>
      <w:proofErr w:type="spellEnd"/>
      <w:r w:rsidRPr="00CC28EC">
        <w:rPr>
          <w:rFonts w:eastAsiaTheme="minorHAnsi"/>
          <w:sz w:val="24"/>
          <w:szCs w:val="24"/>
        </w:rPr>
        <w:t xml:space="preserve"> de </w:t>
      </w:r>
      <w:proofErr w:type="spellStart"/>
      <w:r w:rsidRPr="00CC28EC">
        <w:rPr>
          <w:rFonts w:eastAsiaTheme="minorHAnsi"/>
          <w:sz w:val="24"/>
          <w:szCs w:val="24"/>
        </w:rPr>
        <w:t>finanţare</w:t>
      </w:r>
      <w:proofErr w:type="spellEnd"/>
      <w:r w:rsidRPr="00CC28EC">
        <w:rPr>
          <w:rFonts w:eastAsiaTheme="minorHAnsi"/>
          <w:sz w:val="24"/>
          <w:szCs w:val="24"/>
        </w:rPr>
        <w:t xml:space="preserve"> al </w:t>
      </w:r>
      <w:proofErr w:type="spellStart"/>
      <w:r w:rsidRPr="00CC28EC">
        <w:rPr>
          <w:rFonts w:eastAsiaTheme="minorHAnsi"/>
          <w:sz w:val="24"/>
          <w:szCs w:val="24"/>
        </w:rPr>
        <w:t>administraţiei</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 xml:space="preserve"> centrale pe </w:t>
      </w:r>
      <w:proofErr w:type="spellStart"/>
      <w:r w:rsidRPr="00CC28EC">
        <w:rPr>
          <w:rFonts w:eastAsiaTheme="minorHAnsi"/>
          <w:sz w:val="24"/>
          <w:szCs w:val="24"/>
        </w:rPr>
        <w:t>fondul</w:t>
      </w:r>
      <w:proofErr w:type="spellEnd"/>
      <w:r w:rsidRPr="00CC28EC">
        <w:rPr>
          <w:rFonts w:eastAsiaTheme="minorHAnsi"/>
          <w:sz w:val="24"/>
          <w:szCs w:val="24"/>
        </w:rPr>
        <w:t xml:space="preserve"> </w:t>
      </w:r>
      <w:proofErr w:type="spellStart"/>
      <w:r w:rsidRPr="00CC28EC">
        <w:rPr>
          <w:rFonts w:eastAsiaTheme="minorHAnsi"/>
          <w:sz w:val="24"/>
          <w:szCs w:val="24"/>
        </w:rPr>
        <w:t>minimizării</w:t>
      </w:r>
      <w:proofErr w:type="spellEnd"/>
      <w:r w:rsidRPr="00CC28EC">
        <w:rPr>
          <w:rFonts w:eastAsiaTheme="minorHAnsi"/>
          <w:sz w:val="24"/>
          <w:szCs w:val="24"/>
        </w:rPr>
        <w:t xml:space="preserve"> </w:t>
      </w:r>
      <w:proofErr w:type="spellStart"/>
      <w:r w:rsidRPr="00CC28EC">
        <w:rPr>
          <w:rFonts w:eastAsiaTheme="minorHAnsi"/>
          <w:sz w:val="24"/>
          <w:szCs w:val="24"/>
        </w:rPr>
        <w:t>costurilor</w:t>
      </w:r>
      <w:proofErr w:type="spellEnd"/>
      <w:r w:rsidRPr="00CC28EC">
        <w:rPr>
          <w:rFonts w:eastAsiaTheme="minorHAnsi"/>
          <w:sz w:val="24"/>
          <w:szCs w:val="24"/>
        </w:rPr>
        <w:t xml:space="preserve"> pe termen </w:t>
      </w:r>
      <w:proofErr w:type="spellStart"/>
      <w:r w:rsidRPr="00CC28EC">
        <w:rPr>
          <w:rFonts w:eastAsiaTheme="minorHAnsi"/>
          <w:sz w:val="24"/>
          <w:szCs w:val="24"/>
        </w:rPr>
        <w:t>mediu</w:t>
      </w:r>
      <w:proofErr w:type="spellEnd"/>
      <w:r w:rsidRPr="00CC28EC">
        <w:rPr>
          <w:rFonts w:eastAsiaTheme="minorHAnsi"/>
          <w:sz w:val="24"/>
          <w:szCs w:val="24"/>
        </w:rPr>
        <w:t xml:space="preserve"> </w:t>
      </w:r>
      <w:proofErr w:type="spellStart"/>
      <w:r w:rsidRPr="00CC28EC">
        <w:rPr>
          <w:rFonts w:eastAsiaTheme="minorHAnsi"/>
          <w:sz w:val="24"/>
          <w:szCs w:val="24"/>
        </w:rPr>
        <w:t>şi</w:t>
      </w:r>
      <w:proofErr w:type="spellEnd"/>
      <w:r w:rsidRPr="00CC28EC">
        <w:rPr>
          <w:rFonts w:eastAsiaTheme="minorHAnsi"/>
          <w:sz w:val="24"/>
          <w:szCs w:val="24"/>
        </w:rPr>
        <w:t xml:space="preserve"> lung </w:t>
      </w:r>
      <w:r w:rsidRPr="00CC28EC">
        <w:rPr>
          <w:rFonts w:eastAsiaTheme="minorHAnsi"/>
          <w:sz w:val="24"/>
          <w:szCs w:val="24"/>
          <w:lang w:val="ro-RO"/>
        </w:rPr>
        <w:t xml:space="preserve">și </w:t>
      </w:r>
      <w:proofErr w:type="spellStart"/>
      <w:r w:rsidRPr="00CC28EC">
        <w:rPr>
          <w:rFonts w:eastAsiaTheme="minorHAnsi"/>
          <w:sz w:val="24"/>
          <w:szCs w:val="24"/>
        </w:rPr>
        <w:t>limitarea</w:t>
      </w:r>
      <w:proofErr w:type="spellEnd"/>
      <w:r w:rsidRPr="00CC28EC">
        <w:rPr>
          <w:rFonts w:eastAsiaTheme="minorHAnsi"/>
          <w:sz w:val="24"/>
          <w:szCs w:val="24"/>
        </w:rPr>
        <w:t xml:space="preserve"> </w:t>
      </w:r>
      <w:proofErr w:type="spellStart"/>
      <w:r w:rsidRPr="00CC28EC">
        <w:rPr>
          <w:rFonts w:eastAsiaTheme="minorHAnsi"/>
          <w:sz w:val="24"/>
          <w:szCs w:val="24"/>
        </w:rPr>
        <w:t>riscurilor</w:t>
      </w:r>
      <w:proofErr w:type="spellEnd"/>
      <w:r w:rsidRPr="00CC28EC">
        <w:rPr>
          <w:rFonts w:eastAsiaTheme="minorHAnsi"/>
          <w:sz w:val="24"/>
          <w:szCs w:val="24"/>
        </w:rPr>
        <w:t xml:space="preserve"> </w:t>
      </w:r>
      <w:proofErr w:type="spellStart"/>
      <w:r w:rsidRPr="00CC28EC">
        <w:rPr>
          <w:rFonts w:eastAsiaTheme="minorHAnsi"/>
          <w:sz w:val="24"/>
          <w:szCs w:val="24"/>
        </w:rPr>
        <w:t>asociate</w:t>
      </w:r>
      <w:proofErr w:type="spellEnd"/>
      <w:r w:rsidRPr="00CC28EC">
        <w:rPr>
          <w:rFonts w:eastAsiaTheme="minorHAnsi"/>
          <w:sz w:val="24"/>
          <w:szCs w:val="24"/>
        </w:rPr>
        <w:t xml:space="preserve"> </w:t>
      </w:r>
      <w:proofErr w:type="spellStart"/>
      <w:r w:rsidRPr="00CC28EC">
        <w:rPr>
          <w:rFonts w:eastAsiaTheme="minorHAnsi"/>
          <w:sz w:val="24"/>
          <w:szCs w:val="24"/>
        </w:rPr>
        <w:t>portofoliului</w:t>
      </w:r>
      <w:proofErr w:type="spellEnd"/>
      <w:r w:rsidRPr="00CC28EC">
        <w:rPr>
          <w:rFonts w:eastAsiaTheme="minorHAnsi"/>
          <w:sz w:val="24"/>
          <w:szCs w:val="24"/>
        </w:rPr>
        <w:t xml:space="preserve"> </w:t>
      </w:r>
      <w:proofErr w:type="spellStart"/>
      <w:r w:rsidRPr="00CC28EC">
        <w:rPr>
          <w:rFonts w:eastAsiaTheme="minorHAnsi"/>
          <w:sz w:val="24"/>
          <w:szCs w:val="24"/>
        </w:rPr>
        <w:t>datoriei</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 xml:space="preserve"> </w:t>
      </w:r>
      <w:proofErr w:type="spellStart"/>
      <w:r w:rsidRPr="00CC28EC">
        <w:rPr>
          <w:rFonts w:eastAsiaTheme="minorHAnsi"/>
          <w:sz w:val="24"/>
          <w:szCs w:val="24"/>
        </w:rPr>
        <w:t>guvernamentale</w:t>
      </w:r>
      <w:proofErr w:type="spellEnd"/>
      <w:r w:rsidRPr="00CC28EC">
        <w:rPr>
          <w:rFonts w:eastAsiaTheme="minorHAnsi"/>
          <w:sz w:val="24"/>
          <w:szCs w:val="24"/>
        </w:rPr>
        <w:t>,</w:t>
      </w:r>
      <w:r w:rsidR="0041721A" w:rsidRPr="00CC28EC">
        <w:rPr>
          <w:rFonts w:eastAsiaTheme="minorHAnsi"/>
          <w:sz w:val="24"/>
          <w:szCs w:val="24"/>
        </w:rPr>
        <w:t xml:space="preserve"> </w:t>
      </w:r>
      <w:proofErr w:type="spellStart"/>
      <w:r w:rsidR="00B42AB4" w:rsidRPr="00CC28EC">
        <w:rPr>
          <w:rFonts w:eastAsiaTheme="minorHAnsi"/>
          <w:sz w:val="24"/>
          <w:szCs w:val="24"/>
        </w:rPr>
        <w:t>este</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sarcina</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Ministerului</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Finanțelor</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Publice</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în</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acest</w:t>
      </w:r>
      <w:proofErr w:type="spellEnd"/>
      <w:r w:rsidR="00B42AB4" w:rsidRPr="00CC28EC">
        <w:rPr>
          <w:rFonts w:eastAsiaTheme="minorHAnsi"/>
          <w:sz w:val="24"/>
          <w:szCs w:val="24"/>
        </w:rPr>
        <w:t xml:space="preserve"> </w:t>
      </w:r>
      <w:proofErr w:type="spellStart"/>
      <w:r w:rsidR="00B42AB4" w:rsidRPr="00CC28EC">
        <w:rPr>
          <w:rFonts w:eastAsiaTheme="minorHAnsi"/>
          <w:sz w:val="24"/>
          <w:szCs w:val="24"/>
        </w:rPr>
        <w:t>domeniu</w:t>
      </w:r>
      <w:proofErr w:type="spellEnd"/>
      <w:r w:rsidR="00B42AB4" w:rsidRPr="00CC28EC">
        <w:rPr>
          <w:rFonts w:eastAsiaTheme="minorHAnsi"/>
          <w:sz w:val="24"/>
          <w:szCs w:val="24"/>
        </w:rPr>
        <w:t>. (</w:t>
      </w:r>
      <w:r w:rsidR="009D199C" w:rsidRPr="00CC28EC">
        <w:rPr>
          <w:rFonts w:eastAsiaTheme="minorHAnsi"/>
          <w:sz w:val="24"/>
          <w:szCs w:val="24"/>
        </w:rPr>
        <w:t xml:space="preserve">OUG 64/2007, </w:t>
      </w:r>
      <w:r w:rsidR="00B42AB4" w:rsidRPr="00CC28EC">
        <w:rPr>
          <w:rFonts w:eastAsiaTheme="minorHAnsi"/>
          <w:sz w:val="24"/>
          <w:szCs w:val="24"/>
        </w:rPr>
        <w:t>art.3)</w:t>
      </w:r>
    </w:p>
    <w:p w14:paraId="3405A3C6" w14:textId="320EABE5" w:rsidR="00B42AB4" w:rsidRPr="00CC28EC" w:rsidRDefault="00B42AB4" w:rsidP="00B42AB4">
      <w:pPr>
        <w:adjustRightInd w:val="0"/>
        <w:jc w:val="both"/>
        <w:rPr>
          <w:sz w:val="24"/>
          <w:szCs w:val="24"/>
        </w:rPr>
      </w:pPr>
      <w:r w:rsidRPr="00CC28EC">
        <w:rPr>
          <w:rFonts w:eastAsiaTheme="minorHAnsi"/>
          <w:sz w:val="24"/>
          <w:szCs w:val="24"/>
        </w:rPr>
        <w:tab/>
        <w:t xml:space="preserve">De </w:t>
      </w:r>
      <w:proofErr w:type="spellStart"/>
      <w:r w:rsidRPr="00CC28EC">
        <w:rPr>
          <w:rFonts w:eastAsiaTheme="minorHAnsi"/>
          <w:sz w:val="24"/>
          <w:szCs w:val="24"/>
        </w:rPr>
        <w:t>importanță</w:t>
      </w:r>
      <w:proofErr w:type="spellEnd"/>
      <w:r w:rsidRPr="00CC28EC">
        <w:rPr>
          <w:rFonts w:eastAsiaTheme="minorHAnsi"/>
          <w:sz w:val="24"/>
          <w:szCs w:val="24"/>
        </w:rPr>
        <w:t xml:space="preserve"> </w:t>
      </w:r>
      <w:proofErr w:type="spellStart"/>
      <w:r w:rsidRPr="00CC28EC">
        <w:rPr>
          <w:rFonts w:eastAsiaTheme="minorHAnsi"/>
          <w:sz w:val="24"/>
          <w:szCs w:val="24"/>
        </w:rPr>
        <w:t>deosebită</w:t>
      </w:r>
      <w:proofErr w:type="spellEnd"/>
      <w:r w:rsidRPr="00CC28EC">
        <w:rPr>
          <w:rFonts w:eastAsiaTheme="minorHAnsi"/>
          <w:sz w:val="24"/>
          <w:szCs w:val="24"/>
        </w:rPr>
        <w:t xml:space="preserve"> </w:t>
      </w:r>
      <w:proofErr w:type="spellStart"/>
      <w:r w:rsidRPr="00CC28EC">
        <w:rPr>
          <w:rFonts w:eastAsiaTheme="minorHAnsi"/>
          <w:sz w:val="24"/>
          <w:szCs w:val="24"/>
        </w:rPr>
        <w:t>este</w:t>
      </w:r>
      <w:proofErr w:type="spellEnd"/>
      <w:r w:rsidRPr="00CC28EC">
        <w:rPr>
          <w:rFonts w:eastAsiaTheme="minorHAnsi"/>
          <w:sz w:val="24"/>
          <w:szCs w:val="24"/>
        </w:rPr>
        <w:t xml:space="preserve"> </w:t>
      </w:r>
      <w:proofErr w:type="spellStart"/>
      <w:r w:rsidRPr="00CC28EC">
        <w:rPr>
          <w:rFonts w:eastAsiaTheme="minorHAnsi"/>
          <w:sz w:val="24"/>
          <w:szCs w:val="24"/>
        </w:rPr>
        <w:t>modul</w:t>
      </w:r>
      <w:proofErr w:type="spellEnd"/>
      <w:r w:rsidRPr="00CC28EC">
        <w:rPr>
          <w:rFonts w:eastAsiaTheme="minorHAnsi"/>
          <w:sz w:val="24"/>
          <w:szCs w:val="24"/>
        </w:rPr>
        <w:t xml:space="preserve"> cum </w:t>
      </w:r>
      <w:proofErr w:type="spellStart"/>
      <w:r w:rsidRPr="00CC28EC">
        <w:rPr>
          <w:rFonts w:eastAsiaTheme="minorHAnsi"/>
          <w:sz w:val="24"/>
          <w:szCs w:val="24"/>
        </w:rPr>
        <w:t>această</w:t>
      </w:r>
      <w:proofErr w:type="spellEnd"/>
      <w:r w:rsidRPr="00CC28EC">
        <w:rPr>
          <w:rFonts w:eastAsiaTheme="minorHAnsi"/>
          <w:sz w:val="24"/>
          <w:szCs w:val="24"/>
        </w:rPr>
        <w:t xml:space="preserve"> </w:t>
      </w:r>
      <w:proofErr w:type="spellStart"/>
      <w:r w:rsidRPr="00CC28EC">
        <w:rPr>
          <w:rFonts w:eastAsiaTheme="minorHAnsi"/>
          <w:sz w:val="24"/>
          <w:szCs w:val="24"/>
        </w:rPr>
        <w:t>ordonanță</w:t>
      </w:r>
      <w:proofErr w:type="spellEnd"/>
      <w:r w:rsidRPr="00CC28EC">
        <w:rPr>
          <w:rFonts w:eastAsiaTheme="minorHAnsi"/>
          <w:sz w:val="24"/>
          <w:szCs w:val="24"/>
        </w:rPr>
        <w:t xml:space="preserve"> </w:t>
      </w:r>
      <w:proofErr w:type="spellStart"/>
      <w:r w:rsidRPr="00CC28EC">
        <w:rPr>
          <w:rFonts w:eastAsiaTheme="minorHAnsi"/>
          <w:sz w:val="24"/>
          <w:szCs w:val="24"/>
        </w:rPr>
        <w:t>stabilește</w:t>
      </w:r>
      <w:proofErr w:type="spellEnd"/>
      <w:r w:rsidRPr="00CC28EC">
        <w:rPr>
          <w:rFonts w:eastAsiaTheme="minorHAnsi"/>
          <w:sz w:val="24"/>
          <w:szCs w:val="24"/>
        </w:rPr>
        <w:t xml:space="preserve"> </w:t>
      </w:r>
      <w:proofErr w:type="spellStart"/>
      <w:r w:rsidRPr="00CC28EC">
        <w:rPr>
          <w:rFonts w:eastAsiaTheme="minorHAnsi"/>
          <w:sz w:val="24"/>
          <w:szCs w:val="24"/>
        </w:rPr>
        <w:t>în</w:t>
      </w:r>
      <w:proofErr w:type="spellEnd"/>
      <w:r w:rsidRPr="00CC28EC">
        <w:rPr>
          <w:rFonts w:eastAsiaTheme="minorHAnsi"/>
          <w:sz w:val="24"/>
          <w:szCs w:val="24"/>
        </w:rPr>
        <w:t xml:space="preserve"> </w:t>
      </w:r>
      <w:proofErr w:type="spellStart"/>
      <w:r w:rsidRPr="00CC28EC">
        <w:rPr>
          <w:rFonts w:eastAsiaTheme="minorHAnsi"/>
          <w:sz w:val="24"/>
          <w:szCs w:val="24"/>
        </w:rPr>
        <w:t>ce</w:t>
      </w:r>
      <w:proofErr w:type="spellEnd"/>
      <w:r w:rsidRPr="00CC28EC">
        <w:rPr>
          <w:rFonts w:eastAsiaTheme="minorHAnsi"/>
          <w:sz w:val="24"/>
          <w:szCs w:val="24"/>
        </w:rPr>
        <w:t xml:space="preserve"> </w:t>
      </w:r>
      <w:proofErr w:type="spellStart"/>
      <w:r w:rsidRPr="00CC28EC">
        <w:rPr>
          <w:rFonts w:eastAsiaTheme="minorHAnsi"/>
          <w:sz w:val="24"/>
          <w:szCs w:val="24"/>
        </w:rPr>
        <w:t>condiții</w:t>
      </w:r>
      <w:proofErr w:type="spellEnd"/>
      <w:r w:rsidRPr="00CC28EC">
        <w:rPr>
          <w:rFonts w:eastAsiaTheme="minorHAnsi"/>
          <w:sz w:val="24"/>
          <w:szCs w:val="24"/>
        </w:rPr>
        <w:t xml:space="preserve"> se </w:t>
      </w:r>
      <w:proofErr w:type="spellStart"/>
      <w:r w:rsidRPr="00CC28EC">
        <w:rPr>
          <w:rFonts w:eastAsiaTheme="minorHAnsi"/>
          <w:sz w:val="24"/>
          <w:szCs w:val="24"/>
        </w:rPr>
        <w:t>poate</w:t>
      </w:r>
      <w:proofErr w:type="spellEnd"/>
      <w:r w:rsidRPr="00CC28EC">
        <w:rPr>
          <w:rFonts w:eastAsiaTheme="minorHAnsi"/>
          <w:sz w:val="24"/>
          <w:szCs w:val="24"/>
        </w:rPr>
        <w:t xml:space="preserve"> </w:t>
      </w:r>
      <w:proofErr w:type="spellStart"/>
      <w:r w:rsidRPr="00CC28EC">
        <w:rPr>
          <w:rFonts w:eastAsiaTheme="minorHAnsi"/>
          <w:sz w:val="24"/>
          <w:szCs w:val="24"/>
        </w:rPr>
        <w:t>împrumuta</w:t>
      </w:r>
      <w:proofErr w:type="spellEnd"/>
      <w:r w:rsidRPr="00CC28EC">
        <w:rPr>
          <w:rFonts w:eastAsiaTheme="minorHAnsi"/>
          <w:sz w:val="24"/>
          <w:szCs w:val="24"/>
        </w:rPr>
        <w:t xml:space="preserve"> </w:t>
      </w:r>
      <w:bookmarkStart w:id="4" w:name="_Hlk85370396"/>
      <w:proofErr w:type="spellStart"/>
      <w:r w:rsidRPr="00CC28EC">
        <w:rPr>
          <w:rFonts w:eastAsiaTheme="minorHAnsi"/>
          <w:sz w:val="24"/>
          <w:szCs w:val="24"/>
        </w:rPr>
        <w:t>statul</w:t>
      </w:r>
      <w:proofErr w:type="spellEnd"/>
      <w:r w:rsidRPr="00CC28EC">
        <w:rPr>
          <w:rFonts w:eastAsiaTheme="minorHAnsi"/>
          <w:sz w:val="24"/>
          <w:szCs w:val="24"/>
        </w:rPr>
        <w:t xml:space="preserve"> </w:t>
      </w:r>
      <w:proofErr w:type="spellStart"/>
      <w:r w:rsidRPr="00CC28EC">
        <w:rPr>
          <w:rFonts w:eastAsiaTheme="minorHAnsi"/>
          <w:sz w:val="24"/>
          <w:szCs w:val="24"/>
        </w:rPr>
        <w:t>român</w:t>
      </w:r>
      <w:bookmarkEnd w:id="4"/>
      <w:proofErr w:type="spellEnd"/>
      <w:r w:rsidRPr="00CC28EC">
        <w:rPr>
          <w:rFonts w:eastAsiaTheme="minorHAnsi"/>
          <w:sz w:val="24"/>
          <w:szCs w:val="24"/>
        </w:rPr>
        <w:t xml:space="preserve">, precum </w:t>
      </w:r>
      <w:proofErr w:type="spellStart"/>
      <w:r w:rsidRPr="00CC28EC">
        <w:rPr>
          <w:rFonts w:eastAsiaTheme="minorHAnsi"/>
          <w:sz w:val="24"/>
          <w:szCs w:val="24"/>
        </w:rPr>
        <w:t>și</w:t>
      </w:r>
      <w:proofErr w:type="spellEnd"/>
      <w:r w:rsidRPr="00CC28EC">
        <w:rPr>
          <w:rFonts w:eastAsiaTheme="minorHAnsi"/>
          <w:sz w:val="24"/>
          <w:szCs w:val="24"/>
        </w:rPr>
        <w:t xml:space="preserve"> </w:t>
      </w:r>
      <w:proofErr w:type="spellStart"/>
      <w:r w:rsidRPr="00CC28EC">
        <w:rPr>
          <w:rFonts w:eastAsiaTheme="minorHAnsi"/>
          <w:sz w:val="24"/>
          <w:szCs w:val="24"/>
        </w:rPr>
        <w:t>modul</w:t>
      </w:r>
      <w:proofErr w:type="spellEnd"/>
      <w:r w:rsidRPr="00CC28EC">
        <w:rPr>
          <w:rFonts w:eastAsiaTheme="minorHAnsi"/>
          <w:sz w:val="24"/>
          <w:szCs w:val="24"/>
        </w:rPr>
        <w:t xml:space="preserve"> de </w:t>
      </w:r>
      <w:proofErr w:type="spellStart"/>
      <w:r w:rsidRPr="00CC28EC">
        <w:rPr>
          <w:rFonts w:eastAsiaTheme="minorHAnsi"/>
          <w:sz w:val="24"/>
          <w:szCs w:val="24"/>
        </w:rPr>
        <w:t>rambursare</w:t>
      </w:r>
      <w:proofErr w:type="spellEnd"/>
      <w:r w:rsidRPr="00CC28EC">
        <w:rPr>
          <w:rFonts w:eastAsiaTheme="minorHAnsi"/>
          <w:sz w:val="24"/>
          <w:szCs w:val="24"/>
        </w:rPr>
        <w:t xml:space="preserve"> a </w:t>
      </w:r>
      <w:proofErr w:type="spellStart"/>
      <w:r w:rsidRPr="00CC28EC">
        <w:rPr>
          <w:rFonts w:eastAsiaTheme="minorHAnsi"/>
          <w:sz w:val="24"/>
          <w:szCs w:val="24"/>
        </w:rPr>
        <w:t>datoriei</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w:t>
      </w:r>
      <w:r w:rsidRPr="00CC28EC">
        <w:rPr>
          <w:sz w:val="24"/>
          <w:szCs w:val="24"/>
        </w:rPr>
        <w:t xml:space="preserve"> </w:t>
      </w:r>
      <w:proofErr w:type="spellStart"/>
      <w:r w:rsidRPr="00CC28EC">
        <w:rPr>
          <w:sz w:val="24"/>
          <w:szCs w:val="24"/>
        </w:rPr>
        <w:t>Astfel</w:t>
      </w:r>
      <w:proofErr w:type="spellEnd"/>
      <w:r w:rsidRPr="00CC28EC">
        <w:rPr>
          <w:rFonts w:eastAsiaTheme="minorHAnsi"/>
          <w:sz w:val="24"/>
          <w:szCs w:val="24"/>
        </w:rPr>
        <w:t xml:space="preserve"> </w:t>
      </w:r>
      <w:proofErr w:type="spellStart"/>
      <w:r w:rsidRPr="00CC28EC">
        <w:rPr>
          <w:rFonts w:eastAsiaTheme="minorHAnsi"/>
          <w:sz w:val="24"/>
          <w:szCs w:val="24"/>
        </w:rPr>
        <w:t>statul</w:t>
      </w:r>
      <w:proofErr w:type="spellEnd"/>
      <w:r w:rsidRPr="00CC28EC">
        <w:rPr>
          <w:rFonts w:eastAsiaTheme="minorHAnsi"/>
          <w:sz w:val="24"/>
          <w:szCs w:val="24"/>
        </w:rPr>
        <w:t xml:space="preserve"> </w:t>
      </w:r>
      <w:proofErr w:type="spellStart"/>
      <w:r w:rsidRPr="00CC28EC">
        <w:rPr>
          <w:rFonts w:eastAsiaTheme="minorHAnsi"/>
          <w:sz w:val="24"/>
          <w:szCs w:val="24"/>
        </w:rPr>
        <w:t>român</w:t>
      </w:r>
      <w:proofErr w:type="spellEnd"/>
      <w:r w:rsidRPr="00CC28EC">
        <w:rPr>
          <w:rFonts w:eastAsiaTheme="minorHAnsi"/>
          <w:sz w:val="24"/>
          <w:szCs w:val="24"/>
        </w:rPr>
        <w:t xml:space="preserve"> se </w:t>
      </w:r>
      <w:proofErr w:type="spellStart"/>
      <w:r w:rsidRPr="00CC28EC">
        <w:rPr>
          <w:rFonts w:eastAsiaTheme="minorHAnsi"/>
          <w:sz w:val="24"/>
          <w:szCs w:val="24"/>
        </w:rPr>
        <w:t>poate</w:t>
      </w:r>
      <w:proofErr w:type="spellEnd"/>
      <w:r w:rsidRPr="00CC28EC">
        <w:rPr>
          <w:rFonts w:eastAsiaTheme="minorHAnsi"/>
          <w:sz w:val="24"/>
          <w:szCs w:val="24"/>
        </w:rPr>
        <w:t xml:space="preserve"> </w:t>
      </w:r>
      <w:proofErr w:type="spellStart"/>
      <w:r w:rsidRPr="00CC28EC">
        <w:rPr>
          <w:rFonts w:eastAsiaTheme="minorHAnsi"/>
          <w:sz w:val="24"/>
          <w:szCs w:val="24"/>
        </w:rPr>
        <w:t>împrumuta</w:t>
      </w:r>
      <w:proofErr w:type="spellEnd"/>
      <w:r w:rsidRPr="00CC28EC">
        <w:rPr>
          <w:rFonts w:eastAsiaTheme="minorHAnsi"/>
          <w:sz w:val="24"/>
          <w:szCs w:val="24"/>
        </w:rPr>
        <w:t xml:space="preserve"> </w:t>
      </w:r>
      <w:proofErr w:type="spellStart"/>
      <w:r w:rsidRPr="00CC28EC">
        <w:rPr>
          <w:rFonts w:eastAsiaTheme="minorHAnsi"/>
          <w:sz w:val="24"/>
          <w:szCs w:val="24"/>
        </w:rPr>
        <w:t>în</w:t>
      </w:r>
      <w:proofErr w:type="spellEnd"/>
      <w:r w:rsidRPr="00CC28EC">
        <w:rPr>
          <w:rFonts w:eastAsiaTheme="minorHAnsi"/>
          <w:sz w:val="24"/>
          <w:szCs w:val="24"/>
        </w:rPr>
        <w:t xml:space="preserve"> principal </w:t>
      </w:r>
      <w:proofErr w:type="spellStart"/>
      <w:r w:rsidRPr="00CC28EC">
        <w:rPr>
          <w:rFonts w:eastAsiaTheme="minorHAnsi"/>
          <w:sz w:val="24"/>
          <w:szCs w:val="24"/>
        </w:rPr>
        <w:t>pentru</w:t>
      </w:r>
      <w:proofErr w:type="spellEnd"/>
      <w:r w:rsidRPr="00CC28EC">
        <w:rPr>
          <w:rFonts w:eastAsiaTheme="minorHAnsi"/>
          <w:sz w:val="24"/>
          <w:szCs w:val="24"/>
        </w:rPr>
        <w:t>:</w:t>
      </w:r>
    </w:p>
    <w:p w14:paraId="540AF21D" w14:textId="06EC4079" w:rsidR="00B42AB4" w:rsidRPr="00CC28EC" w:rsidRDefault="00B42AB4" w:rsidP="00B42AB4">
      <w:pPr>
        <w:adjustRightInd w:val="0"/>
        <w:jc w:val="both"/>
        <w:rPr>
          <w:rFonts w:eastAsiaTheme="minorHAnsi"/>
          <w:i/>
          <w:iCs/>
          <w:sz w:val="24"/>
          <w:szCs w:val="24"/>
        </w:rPr>
      </w:pPr>
      <w:r w:rsidRPr="00CC28EC">
        <w:rPr>
          <w:rFonts w:eastAsiaTheme="minorHAnsi"/>
          <w:sz w:val="24"/>
          <w:szCs w:val="24"/>
        </w:rPr>
        <w:t>„</w:t>
      </w:r>
      <w:r w:rsidRPr="00CC28EC">
        <w:rPr>
          <w:rFonts w:eastAsiaTheme="minorHAnsi"/>
          <w:i/>
          <w:iCs/>
          <w:sz w:val="24"/>
          <w:szCs w:val="24"/>
        </w:rPr>
        <w:t xml:space="preserve">a) </w:t>
      </w:r>
      <w:proofErr w:type="spellStart"/>
      <w:r w:rsidRPr="00CC28EC">
        <w:rPr>
          <w:rFonts w:eastAsiaTheme="minorHAnsi"/>
          <w:i/>
          <w:iCs/>
          <w:sz w:val="24"/>
          <w:szCs w:val="24"/>
        </w:rPr>
        <w:t>finanţarea</w:t>
      </w:r>
      <w:proofErr w:type="spellEnd"/>
      <w:r w:rsidRPr="00CC28EC">
        <w:rPr>
          <w:rFonts w:eastAsiaTheme="minorHAnsi"/>
          <w:i/>
          <w:iCs/>
          <w:sz w:val="24"/>
          <w:szCs w:val="24"/>
        </w:rPr>
        <w:t xml:space="preserve"> </w:t>
      </w:r>
      <w:proofErr w:type="spellStart"/>
      <w:r w:rsidRPr="00CC28EC">
        <w:rPr>
          <w:rFonts w:eastAsiaTheme="minorHAnsi"/>
          <w:i/>
          <w:iCs/>
          <w:sz w:val="24"/>
          <w:szCs w:val="24"/>
        </w:rPr>
        <w:t>deficitului</w:t>
      </w:r>
      <w:proofErr w:type="spellEnd"/>
      <w:r w:rsidRPr="00CC28EC">
        <w:rPr>
          <w:rFonts w:eastAsiaTheme="minorHAnsi"/>
          <w:i/>
          <w:iCs/>
          <w:sz w:val="24"/>
          <w:szCs w:val="24"/>
        </w:rPr>
        <w:t xml:space="preserve"> </w:t>
      </w:r>
      <w:proofErr w:type="spellStart"/>
      <w:r w:rsidRPr="00CC28EC">
        <w:rPr>
          <w:rFonts w:eastAsiaTheme="minorHAnsi"/>
          <w:i/>
          <w:iCs/>
          <w:sz w:val="24"/>
          <w:szCs w:val="24"/>
        </w:rPr>
        <w:t>bugetului</w:t>
      </w:r>
      <w:proofErr w:type="spellEnd"/>
      <w:r w:rsidRPr="00CC28EC">
        <w:rPr>
          <w:rFonts w:eastAsiaTheme="minorHAnsi"/>
          <w:i/>
          <w:iCs/>
          <w:sz w:val="24"/>
          <w:szCs w:val="24"/>
        </w:rPr>
        <w:t xml:space="preserve"> de stat, </w:t>
      </w:r>
      <w:proofErr w:type="spellStart"/>
      <w:r w:rsidRPr="00CC28EC">
        <w:rPr>
          <w:rFonts w:eastAsiaTheme="minorHAnsi"/>
          <w:i/>
          <w:iCs/>
          <w:sz w:val="24"/>
          <w:szCs w:val="24"/>
        </w:rPr>
        <w:t>finanţarea</w:t>
      </w:r>
      <w:proofErr w:type="spellEnd"/>
      <w:r w:rsidRPr="00CC28EC">
        <w:rPr>
          <w:rFonts w:eastAsiaTheme="minorHAnsi"/>
          <w:i/>
          <w:iCs/>
          <w:sz w:val="24"/>
          <w:szCs w:val="24"/>
        </w:rPr>
        <w:t xml:space="preserve"> </w:t>
      </w:r>
      <w:proofErr w:type="spellStart"/>
      <w:r w:rsidRPr="00CC28EC">
        <w:rPr>
          <w:rFonts w:eastAsiaTheme="minorHAnsi"/>
          <w:i/>
          <w:iCs/>
          <w:sz w:val="24"/>
          <w:szCs w:val="24"/>
        </w:rPr>
        <w:t>temporară</w:t>
      </w:r>
      <w:proofErr w:type="spellEnd"/>
      <w:r w:rsidRPr="00CC28EC">
        <w:rPr>
          <w:rFonts w:eastAsiaTheme="minorHAnsi"/>
          <w:i/>
          <w:iCs/>
          <w:sz w:val="24"/>
          <w:szCs w:val="24"/>
        </w:rPr>
        <w:t xml:space="preserve"> a </w:t>
      </w:r>
      <w:proofErr w:type="spellStart"/>
      <w:r w:rsidRPr="00CC28EC">
        <w:rPr>
          <w:rFonts w:eastAsiaTheme="minorHAnsi"/>
          <w:i/>
          <w:iCs/>
          <w:sz w:val="24"/>
          <w:szCs w:val="24"/>
        </w:rPr>
        <w:t>deficitelor</w:t>
      </w:r>
      <w:proofErr w:type="spellEnd"/>
      <w:r w:rsidRPr="00CC28EC">
        <w:rPr>
          <w:rFonts w:eastAsiaTheme="minorHAnsi"/>
          <w:i/>
          <w:iCs/>
          <w:sz w:val="24"/>
          <w:szCs w:val="24"/>
        </w:rPr>
        <w:t xml:space="preserve"> din </w:t>
      </w:r>
      <w:proofErr w:type="spellStart"/>
      <w:r w:rsidRPr="00CC28EC">
        <w:rPr>
          <w:rFonts w:eastAsiaTheme="minorHAnsi"/>
          <w:i/>
          <w:iCs/>
          <w:sz w:val="24"/>
          <w:szCs w:val="24"/>
        </w:rPr>
        <w:t>anii</w:t>
      </w:r>
      <w:proofErr w:type="spellEnd"/>
      <w:r w:rsidRPr="00CC28EC">
        <w:rPr>
          <w:rFonts w:eastAsiaTheme="minorHAnsi"/>
          <w:i/>
          <w:iCs/>
          <w:sz w:val="24"/>
          <w:szCs w:val="24"/>
        </w:rPr>
        <w:t xml:space="preserve"> </w:t>
      </w:r>
      <w:proofErr w:type="spellStart"/>
      <w:r w:rsidRPr="00CC28EC">
        <w:rPr>
          <w:rFonts w:eastAsiaTheme="minorHAnsi"/>
          <w:i/>
          <w:iCs/>
          <w:sz w:val="24"/>
          <w:szCs w:val="24"/>
        </w:rPr>
        <w:t>precedenţi</w:t>
      </w:r>
      <w:proofErr w:type="spellEnd"/>
      <w:r w:rsidRPr="00CC28EC">
        <w:rPr>
          <w:rFonts w:eastAsiaTheme="minorHAnsi"/>
          <w:i/>
          <w:iCs/>
          <w:sz w:val="24"/>
          <w:szCs w:val="24"/>
        </w:rPr>
        <w:t xml:space="preserve"> ale </w:t>
      </w:r>
      <w:proofErr w:type="spellStart"/>
      <w:r w:rsidRPr="00CC28EC">
        <w:rPr>
          <w:rFonts w:eastAsiaTheme="minorHAnsi"/>
          <w:i/>
          <w:iCs/>
          <w:sz w:val="24"/>
          <w:szCs w:val="24"/>
        </w:rPr>
        <w:t>bugetului</w:t>
      </w:r>
      <w:proofErr w:type="spellEnd"/>
      <w:r w:rsidRPr="00CC28EC">
        <w:rPr>
          <w:rFonts w:eastAsiaTheme="minorHAnsi"/>
          <w:i/>
          <w:iCs/>
          <w:sz w:val="24"/>
          <w:szCs w:val="24"/>
        </w:rPr>
        <w:t xml:space="preserve"> </w:t>
      </w:r>
      <w:proofErr w:type="spellStart"/>
      <w:r w:rsidRPr="00CC28EC">
        <w:rPr>
          <w:rFonts w:eastAsiaTheme="minorHAnsi"/>
          <w:i/>
          <w:iCs/>
          <w:sz w:val="24"/>
          <w:szCs w:val="24"/>
        </w:rPr>
        <w:t>asigurărilor</w:t>
      </w:r>
      <w:proofErr w:type="spellEnd"/>
      <w:r w:rsidRPr="00CC28EC">
        <w:rPr>
          <w:rFonts w:eastAsiaTheme="minorHAnsi"/>
          <w:i/>
          <w:iCs/>
          <w:sz w:val="24"/>
          <w:szCs w:val="24"/>
        </w:rPr>
        <w:t xml:space="preserve"> </w:t>
      </w:r>
      <w:proofErr w:type="spellStart"/>
      <w:r w:rsidRPr="00CC28EC">
        <w:rPr>
          <w:rFonts w:eastAsiaTheme="minorHAnsi"/>
          <w:i/>
          <w:iCs/>
          <w:sz w:val="24"/>
          <w:szCs w:val="24"/>
        </w:rPr>
        <w:t>sociale</w:t>
      </w:r>
      <w:proofErr w:type="spellEnd"/>
      <w:r w:rsidRPr="00CC28EC">
        <w:rPr>
          <w:rFonts w:eastAsiaTheme="minorHAnsi"/>
          <w:i/>
          <w:iCs/>
          <w:sz w:val="24"/>
          <w:szCs w:val="24"/>
        </w:rPr>
        <w:t xml:space="preserve"> de stat, </w:t>
      </w:r>
      <w:proofErr w:type="spellStart"/>
      <w:r w:rsidRPr="00CC28EC">
        <w:rPr>
          <w:rFonts w:eastAsiaTheme="minorHAnsi"/>
          <w:i/>
          <w:iCs/>
          <w:sz w:val="24"/>
          <w:szCs w:val="24"/>
        </w:rPr>
        <w:t>până</w:t>
      </w:r>
      <w:proofErr w:type="spellEnd"/>
      <w:r w:rsidRPr="00CC28EC">
        <w:rPr>
          <w:rFonts w:eastAsiaTheme="minorHAnsi"/>
          <w:i/>
          <w:iCs/>
          <w:sz w:val="24"/>
          <w:szCs w:val="24"/>
        </w:rPr>
        <w:t xml:space="preserve"> la </w:t>
      </w:r>
      <w:proofErr w:type="spellStart"/>
      <w:r w:rsidRPr="00CC28EC">
        <w:rPr>
          <w:rFonts w:eastAsiaTheme="minorHAnsi"/>
          <w:i/>
          <w:iCs/>
          <w:sz w:val="24"/>
          <w:szCs w:val="24"/>
        </w:rPr>
        <w:t>alocarea</w:t>
      </w:r>
      <w:proofErr w:type="spellEnd"/>
      <w:r w:rsidRPr="00CC28EC">
        <w:rPr>
          <w:rFonts w:eastAsiaTheme="minorHAnsi"/>
          <w:i/>
          <w:iCs/>
          <w:sz w:val="24"/>
          <w:szCs w:val="24"/>
        </w:rPr>
        <w:t xml:space="preserve"> de </w:t>
      </w:r>
      <w:proofErr w:type="spellStart"/>
      <w:r w:rsidRPr="00CC28EC">
        <w:rPr>
          <w:rFonts w:eastAsiaTheme="minorHAnsi"/>
          <w:i/>
          <w:iCs/>
          <w:sz w:val="24"/>
          <w:szCs w:val="24"/>
        </w:rPr>
        <w:t>sume</w:t>
      </w:r>
      <w:proofErr w:type="spellEnd"/>
      <w:r w:rsidRPr="00CC28EC">
        <w:rPr>
          <w:rFonts w:eastAsiaTheme="minorHAnsi"/>
          <w:i/>
          <w:iCs/>
          <w:sz w:val="24"/>
          <w:szCs w:val="24"/>
        </w:rPr>
        <w:t xml:space="preserve"> cu </w:t>
      </w:r>
      <w:proofErr w:type="spellStart"/>
      <w:r w:rsidRPr="00CC28EC">
        <w:rPr>
          <w:rFonts w:eastAsiaTheme="minorHAnsi"/>
          <w:i/>
          <w:iCs/>
          <w:sz w:val="24"/>
          <w:szCs w:val="24"/>
        </w:rPr>
        <w:t>această</w:t>
      </w:r>
      <w:proofErr w:type="spellEnd"/>
      <w:r w:rsidRPr="00CC28EC">
        <w:rPr>
          <w:rFonts w:eastAsiaTheme="minorHAnsi"/>
          <w:i/>
          <w:iCs/>
          <w:sz w:val="24"/>
          <w:szCs w:val="24"/>
        </w:rPr>
        <w:t xml:space="preserve"> </w:t>
      </w:r>
      <w:proofErr w:type="spellStart"/>
      <w:r w:rsidRPr="00CC28EC">
        <w:rPr>
          <w:rFonts w:eastAsiaTheme="minorHAnsi"/>
          <w:i/>
          <w:iCs/>
          <w:sz w:val="24"/>
          <w:szCs w:val="24"/>
        </w:rPr>
        <w:t>destinaţie</w:t>
      </w:r>
      <w:proofErr w:type="spellEnd"/>
      <w:r w:rsidRPr="00CC28EC">
        <w:rPr>
          <w:rFonts w:eastAsiaTheme="minorHAnsi"/>
          <w:i/>
          <w:iCs/>
          <w:sz w:val="24"/>
          <w:szCs w:val="24"/>
        </w:rPr>
        <w:t xml:space="preserve">, </w:t>
      </w:r>
      <w:proofErr w:type="spellStart"/>
      <w:r w:rsidRPr="00CC28EC">
        <w:rPr>
          <w:rFonts w:eastAsiaTheme="minorHAnsi"/>
          <w:i/>
          <w:iCs/>
          <w:sz w:val="24"/>
          <w:szCs w:val="24"/>
        </w:rPr>
        <w:t>finanţarea</w:t>
      </w:r>
      <w:proofErr w:type="spellEnd"/>
      <w:r w:rsidRPr="00CC28EC">
        <w:rPr>
          <w:rFonts w:eastAsiaTheme="minorHAnsi"/>
          <w:i/>
          <w:iCs/>
          <w:sz w:val="24"/>
          <w:szCs w:val="24"/>
        </w:rPr>
        <w:t xml:space="preserve"> </w:t>
      </w:r>
      <w:proofErr w:type="spellStart"/>
      <w:r w:rsidRPr="00CC28EC">
        <w:rPr>
          <w:rFonts w:eastAsiaTheme="minorHAnsi"/>
          <w:i/>
          <w:iCs/>
          <w:sz w:val="24"/>
          <w:szCs w:val="24"/>
        </w:rPr>
        <w:t>deficitelor</w:t>
      </w:r>
      <w:proofErr w:type="spellEnd"/>
      <w:r w:rsidRPr="00CC28EC">
        <w:rPr>
          <w:rFonts w:eastAsiaTheme="minorHAnsi"/>
          <w:i/>
          <w:iCs/>
          <w:sz w:val="24"/>
          <w:szCs w:val="24"/>
        </w:rPr>
        <w:t xml:space="preserve"> </w:t>
      </w:r>
      <w:proofErr w:type="spellStart"/>
      <w:r w:rsidRPr="00CC28EC">
        <w:rPr>
          <w:rFonts w:eastAsiaTheme="minorHAnsi"/>
          <w:i/>
          <w:iCs/>
          <w:sz w:val="24"/>
          <w:szCs w:val="24"/>
        </w:rPr>
        <w:t>temporare</w:t>
      </w:r>
      <w:proofErr w:type="spellEnd"/>
      <w:r w:rsidRPr="00CC28EC">
        <w:rPr>
          <w:rFonts w:eastAsiaTheme="minorHAnsi"/>
          <w:i/>
          <w:iCs/>
          <w:sz w:val="24"/>
          <w:szCs w:val="24"/>
        </w:rPr>
        <w:t xml:space="preserve"> ale </w:t>
      </w:r>
      <w:proofErr w:type="spellStart"/>
      <w:r w:rsidRPr="00CC28EC">
        <w:rPr>
          <w:rFonts w:eastAsiaTheme="minorHAnsi"/>
          <w:i/>
          <w:iCs/>
          <w:sz w:val="24"/>
          <w:szCs w:val="24"/>
        </w:rPr>
        <w:t>bugetului</w:t>
      </w:r>
      <w:proofErr w:type="spellEnd"/>
      <w:r w:rsidRPr="00CC28EC">
        <w:rPr>
          <w:rFonts w:eastAsiaTheme="minorHAnsi"/>
          <w:i/>
          <w:iCs/>
          <w:sz w:val="24"/>
          <w:szCs w:val="24"/>
        </w:rPr>
        <w:t xml:space="preserve"> de stat </w:t>
      </w:r>
      <w:proofErr w:type="spellStart"/>
      <w:r w:rsidRPr="00CC28EC">
        <w:rPr>
          <w:rFonts w:eastAsiaTheme="minorHAnsi"/>
          <w:i/>
          <w:iCs/>
          <w:sz w:val="24"/>
          <w:szCs w:val="24"/>
        </w:rPr>
        <w:t>şi</w:t>
      </w:r>
      <w:proofErr w:type="spellEnd"/>
      <w:r w:rsidRPr="00CC28EC">
        <w:rPr>
          <w:rFonts w:eastAsiaTheme="minorHAnsi"/>
          <w:i/>
          <w:iCs/>
          <w:sz w:val="24"/>
          <w:szCs w:val="24"/>
        </w:rPr>
        <w:t xml:space="preserve"> ale </w:t>
      </w:r>
      <w:proofErr w:type="spellStart"/>
      <w:r w:rsidRPr="00CC28EC">
        <w:rPr>
          <w:rFonts w:eastAsiaTheme="minorHAnsi"/>
          <w:i/>
          <w:iCs/>
          <w:sz w:val="24"/>
          <w:szCs w:val="24"/>
        </w:rPr>
        <w:t>bugetului</w:t>
      </w:r>
      <w:proofErr w:type="spellEnd"/>
      <w:r w:rsidRPr="00CC28EC">
        <w:rPr>
          <w:rFonts w:eastAsiaTheme="minorHAnsi"/>
          <w:i/>
          <w:iCs/>
          <w:sz w:val="24"/>
          <w:szCs w:val="24"/>
        </w:rPr>
        <w:t xml:space="preserve"> </w:t>
      </w:r>
      <w:proofErr w:type="spellStart"/>
      <w:r w:rsidRPr="00CC28EC">
        <w:rPr>
          <w:rFonts w:eastAsiaTheme="minorHAnsi"/>
          <w:i/>
          <w:iCs/>
          <w:sz w:val="24"/>
          <w:szCs w:val="24"/>
        </w:rPr>
        <w:t>asigurărilor</w:t>
      </w:r>
      <w:proofErr w:type="spellEnd"/>
      <w:r w:rsidRPr="00CC28EC">
        <w:rPr>
          <w:rFonts w:eastAsiaTheme="minorHAnsi"/>
          <w:i/>
          <w:iCs/>
          <w:sz w:val="24"/>
          <w:szCs w:val="24"/>
        </w:rPr>
        <w:t xml:space="preserve"> </w:t>
      </w:r>
      <w:proofErr w:type="spellStart"/>
      <w:r w:rsidRPr="00CC28EC">
        <w:rPr>
          <w:rFonts w:eastAsiaTheme="minorHAnsi"/>
          <w:i/>
          <w:iCs/>
          <w:sz w:val="24"/>
          <w:szCs w:val="24"/>
        </w:rPr>
        <w:t>sociale</w:t>
      </w:r>
      <w:proofErr w:type="spellEnd"/>
      <w:r w:rsidRPr="00CC28EC">
        <w:rPr>
          <w:rFonts w:eastAsiaTheme="minorHAnsi"/>
          <w:i/>
          <w:iCs/>
          <w:sz w:val="24"/>
          <w:szCs w:val="24"/>
        </w:rPr>
        <w:t xml:space="preserve"> de stat din </w:t>
      </w:r>
      <w:proofErr w:type="spellStart"/>
      <w:r w:rsidRPr="00CC28EC">
        <w:rPr>
          <w:rFonts w:eastAsiaTheme="minorHAnsi"/>
          <w:i/>
          <w:iCs/>
          <w:sz w:val="24"/>
          <w:szCs w:val="24"/>
        </w:rPr>
        <w:t>exerciţiul</w:t>
      </w:r>
      <w:proofErr w:type="spellEnd"/>
      <w:r w:rsidRPr="00CC28EC">
        <w:rPr>
          <w:rFonts w:eastAsiaTheme="minorHAnsi"/>
          <w:i/>
          <w:iCs/>
          <w:sz w:val="24"/>
          <w:szCs w:val="24"/>
        </w:rPr>
        <w:t xml:space="preserve"> </w:t>
      </w:r>
      <w:proofErr w:type="spellStart"/>
      <w:r w:rsidRPr="00CC28EC">
        <w:rPr>
          <w:rFonts w:eastAsiaTheme="minorHAnsi"/>
          <w:i/>
          <w:iCs/>
          <w:sz w:val="24"/>
          <w:szCs w:val="24"/>
        </w:rPr>
        <w:t>curent</w:t>
      </w:r>
      <w:proofErr w:type="spellEnd"/>
      <w:r w:rsidRPr="00CC28EC">
        <w:rPr>
          <w:rFonts w:eastAsiaTheme="minorHAnsi"/>
          <w:i/>
          <w:iCs/>
          <w:sz w:val="24"/>
          <w:szCs w:val="24"/>
        </w:rPr>
        <w:t>;</w:t>
      </w:r>
    </w:p>
    <w:p w14:paraId="42F72FEE" w14:textId="77777777" w:rsidR="00B42AB4" w:rsidRPr="00CC28EC" w:rsidRDefault="00B42AB4" w:rsidP="00B42AB4">
      <w:pPr>
        <w:adjustRightInd w:val="0"/>
        <w:jc w:val="both"/>
        <w:rPr>
          <w:rFonts w:eastAsiaTheme="minorHAnsi"/>
          <w:i/>
          <w:iCs/>
          <w:sz w:val="24"/>
          <w:szCs w:val="24"/>
        </w:rPr>
      </w:pPr>
      <w:r w:rsidRPr="00CC28EC">
        <w:rPr>
          <w:rFonts w:eastAsiaTheme="minorHAnsi"/>
          <w:i/>
          <w:iCs/>
          <w:sz w:val="24"/>
          <w:szCs w:val="24"/>
        </w:rPr>
        <w:t xml:space="preserve">b) </w:t>
      </w:r>
      <w:proofErr w:type="spellStart"/>
      <w:r w:rsidRPr="00CC28EC">
        <w:rPr>
          <w:rFonts w:eastAsiaTheme="minorHAnsi"/>
          <w:i/>
          <w:iCs/>
          <w:sz w:val="24"/>
          <w:szCs w:val="24"/>
        </w:rPr>
        <w:t>refinanţarea</w:t>
      </w:r>
      <w:proofErr w:type="spellEnd"/>
      <w:r w:rsidRPr="00CC28EC">
        <w:rPr>
          <w:rFonts w:eastAsiaTheme="minorHAnsi"/>
          <w:i/>
          <w:iCs/>
          <w:sz w:val="24"/>
          <w:szCs w:val="24"/>
        </w:rPr>
        <w:t xml:space="preserve"> </w:t>
      </w:r>
      <w:proofErr w:type="spellStart"/>
      <w:r w:rsidRPr="00CC28EC">
        <w:rPr>
          <w:rFonts w:eastAsiaTheme="minorHAnsi"/>
          <w:i/>
          <w:iCs/>
          <w:sz w:val="24"/>
          <w:szCs w:val="24"/>
        </w:rPr>
        <w:t>şi</w:t>
      </w:r>
      <w:proofErr w:type="spellEnd"/>
      <w:r w:rsidRPr="00CC28EC">
        <w:rPr>
          <w:rFonts w:eastAsiaTheme="minorHAnsi"/>
          <w:i/>
          <w:iCs/>
          <w:sz w:val="24"/>
          <w:szCs w:val="24"/>
        </w:rPr>
        <w:t xml:space="preserve"> </w:t>
      </w:r>
      <w:proofErr w:type="spellStart"/>
      <w:r w:rsidRPr="00CC28EC">
        <w:rPr>
          <w:rFonts w:eastAsiaTheme="minorHAnsi"/>
          <w:i/>
          <w:iCs/>
          <w:sz w:val="24"/>
          <w:szCs w:val="24"/>
        </w:rPr>
        <w:t>rambursarea</w:t>
      </w:r>
      <w:proofErr w:type="spellEnd"/>
      <w:r w:rsidRPr="00CC28EC">
        <w:rPr>
          <w:rFonts w:eastAsiaTheme="minorHAnsi"/>
          <w:i/>
          <w:iCs/>
          <w:sz w:val="24"/>
          <w:szCs w:val="24"/>
        </w:rPr>
        <w:t xml:space="preserve"> </w:t>
      </w:r>
      <w:proofErr w:type="spellStart"/>
      <w:r w:rsidRPr="00CC28EC">
        <w:rPr>
          <w:rFonts w:eastAsiaTheme="minorHAnsi"/>
          <w:i/>
          <w:iCs/>
          <w:sz w:val="24"/>
          <w:szCs w:val="24"/>
        </w:rPr>
        <w:t>anticipată</w:t>
      </w:r>
      <w:proofErr w:type="spellEnd"/>
      <w:r w:rsidRPr="00CC28EC">
        <w:rPr>
          <w:rFonts w:eastAsiaTheme="minorHAnsi"/>
          <w:i/>
          <w:iCs/>
          <w:sz w:val="24"/>
          <w:szCs w:val="24"/>
        </w:rPr>
        <w:t xml:space="preserve"> a </w:t>
      </w:r>
      <w:proofErr w:type="spellStart"/>
      <w:r w:rsidRPr="00CC28EC">
        <w:rPr>
          <w:rFonts w:eastAsiaTheme="minorHAnsi"/>
          <w:i/>
          <w:iCs/>
          <w:sz w:val="24"/>
          <w:szCs w:val="24"/>
        </w:rPr>
        <w:t>datoriei</w:t>
      </w:r>
      <w:proofErr w:type="spellEnd"/>
      <w:r w:rsidRPr="00CC28EC">
        <w:rPr>
          <w:rFonts w:eastAsiaTheme="minorHAnsi"/>
          <w:i/>
          <w:iCs/>
          <w:sz w:val="24"/>
          <w:szCs w:val="24"/>
        </w:rPr>
        <w:t xml:space="preserve"> </w:t>
      </w:r>
      <w:proofErr w:type="spellStart"/>
      <w:r w:rsidRPr="00CC28EC">
        <w:rPr>
          <w:rFonts w:eastAsiaTheme="minorHAnsi"/>
          <w:i/>
          <w:iCs/>
          <w:sz w:val="24"/>
          <w:szCs w:val="24"/>
        </w:rPr>
        <w:t>publice</w:t>
      </w:r>
      <w:proofErr w:type="spellEnd"/>
      <w:r w:rsidRPr="00CC28EC">
        <w:rPr>
          <w:rFonts w:eastAsiaTheme="minorHAnsi"/>
          <w:i/>
          <w:iCs/>
          <w:sz w:val="24"/>
          <w:szCs w:val="24"/>
        </w:rPr>
        <w:t xml:space="preserve"> </w:t>
      </w:r>
      <w:proofErr w:type="spellStart"/>
      <w:r w:rsidRPr="00CC28EC">
        <w:rPr>
          <w:rFonts w:eastAsiaTheme="minorHAnsi"/>
          <w:i/>
          <w:iCs/>
          <w:sz w:val="24"/>
          <w:szCs w:val="24"/>
        </w:rPr>
        <w:t>guvernamentale</w:t>
      </w:r>
      <w:proofErr w:type="spellEnd"/>
      <w:r w:rsidRPr="00CC28EC">
        <w:rPr>
          <w:rFonts w:eastAsiaTheme="minorHAnsi"/>
          <w:i/>
          <w:iCs/>
          <w:sz w:val="24"/>
          <w:szCs w:val="24"/>
        </w:rPr>
        <w:t>;</w:t>
      </w:r>
    </w:p>
    <w:p w14:paraId="370AB5EF" w14:textId="0B7C8DED" w:rsidR="00B42AB4" w:rsidRPr="00CC28EC" w:rsidRDefault="00B42AB4" w:rsidP="00B42AB4">
      <w:pPr>
        <w:adjustRightInd w:val="0"/>
        <w:jc w:val="both"/>
        <w:rPr>
          <w:rFonts w:eastAsiaTheme="minorHAnsi"/>
          <w:i/>
          <w:iCs/>
          <w:sz w:val="24"/>
          <w:szCs w:val="24"/>
        </w:rPr>
      </w:pPr>
      <w:r w:rsidRPr="00CC28EC">
        <w:rPr>
          <w:rFonts w:eastAsiaTheme="minorHAnsi"/>
          <w:i/>
          <w:iCs/>
          <w:sz w:val="24"/>
          <w:szCs w:val="24"/>
        </w:rPr>
        <w:t xml:space="preserve">c) </w:t>
      </w:r>
      <w:proofErr w:type="spellStart"/>
      <w:r w:rsidRPr="00CC28EC">
        <w:rPr>
          <w:rFonts w:eastAsiaTheme="minorHAnsi"/>
          <w:i/>
          <w:iCs/>
          <w:sz w:val="24"/>
          <w:szCs w:val="24"/>
        </w:rPr>
        <w:t>menţinerea</w:t>
      </w:r>
      <w:proofErr w:type="spellEnd"/>
      <w:r w:rsidRPr="00CC28EC">
        <w:rPr>
          <w:rFonts w:eastAsiaTheme="minorHAnsi"/>
          <w:i/>
          <w:iCs/>
          <w:sz w:val="24"/>
          <w:szCs w:val="24"/>
        </w:rPr>
        <w:t xml:space="preserve"> </w:t>
      </w:r>
      <w:proofErr w:type="spellStart"/>
      <w:r w:rsidRPr="00CC28EC">
        <w:rPr>
          <w:rFonts w:eastAsiaTheme="minorHAnsi"/>
          <w:i/>
          <w:iCs/>
          <w:sz w:val="24"/>
          <w:szCs w:val="24"/>
        </w:rPr>
        <w:t>în</w:t>
      </w:r>
      <w:proofErr w:type="spellEnd"/>
      <w:r w:rsidRPr="00CC28EC">
        <w:rPr>
          <w:rFonts w:eastAsiaTheme="minorHAnsi"/>
          <w:i/>
          <w:iCs/>
          <w:sz w:val="24"/>
          <w:szCs w:val="24"/>
        </w:rPr>
        <w:t xml:space="preserve"> </w:t>
      </w:r>
      <w:proofErr w:type="spellStart"/>
      <w:r w:rsidRPr="00CC28EC">
        <w:rPr>
          <w:rFonts w:eastAsiaTheme="minorHAnsi"/>
          <w:i/>
          <w:iCs/>
          <w:sz w:val="24"/>
          <w:szCs w:val="24"/>
        </w:rPr>
        <w:t>permanenţă</w:t>
      </w:r>
      <w:proofErr w:type="spellEnd"/>
      <w:r w:rsidRPr="00CC28EC">
        <w:rPr>
          <w:rFonts w:eastAsiaTheme="minorHAnsi"/>
          <w:i/>
          <w:iCs/>
          <w:sz w:val="24"/>
          <w:szCs w:val="24"/>
        </w:rPr>
        <w:t xml:space="preserve"> a </w:t>
      </w:r>
      <w:proofErr w:type="spellStart"/>
      <w:r w:rsidRPr="00CC28EC">
        <w:rPr>
          <w:rFonts w:eastAsiaTheme="minorHAnsi"/>
          <w:i/>
          <w:iCs/>
          <w:sz w:val="24"/>
          <w:szCs w:val="24"/>
        </w:rPr>
        <w:t>unui</w:t>
      </w:r>
      <w:proofErr w:type="spellEnd"/>
      <w:r w:rsidRPr="00CC28EC">
        <w:rPr>
          <w:rFonts w:eastAsiaTheme="minorHAnsi"/>
          <w:i/>
          <w:iCs/>
          <w:sz w:val="24"/>
          <w:szCs w:val="24"/>
        </w:rPr>
        <w:t xml:space="preserve"> sold </w:t>
      </w:r>
      <w:proofErr w:type="spellStart"/>
      <w:r w:rsidRPr="00CC28EC">
        <w:rPr>
          <w:rFonts w:eastAsiaTheme="minorHAnsi"/>
          <w:i/>
          <w:iCs/>
          <w:sz w:val="24"/>
          <w:szCs w:val="24"/>
        </w:rPr>
        <w:t>corespunzător</w:t>
      </w:r>
      <w:proofErr w:type="spellEnd"/>
      <w:r w:rsidRPr="00CC28EC">
        <w:rPr>
          <w:rFonts w:eastAsiaTheme="minorHAnsi"/>
          <w:i/>
          <w:iCs/>
          <w:sz w:val="24"/>
          <w:szCs w:val="24"/>
        </w:rPr>
        <w:t xml:space="preserve"> </w:t>
      </w:r>
      <w:proofErr w:type="spellStart"/>
      <w:r w:rsidRPr="00CC28EC">
        <w:rPr>
          <w:rFonts w:eastAsiaTheme="minorHAnsi"/>
          <w:i/>
          <w:iCs/>
          <w:sz w:val="24"/>
          <w:szCs w:val="24"/>
        </w:rPr>
        <w:t>în</w:t>
      </w:r>
      <w:proofErr w:type="spellEnd"/>
      <w:r w:rsidRPr="00CC28EC">
        <w:rPr>
          <w:rFonts w:eastAsiaTheme="minorHAnsi"/>
          <w:i/>
          <w:iCs/>
          <w:sz w:val="24"/>
          <w:szCs w:val="24"/>
        </w:rPr>
        <w:t xml:space="preserve"> </w:t>
      </w:r>
      <w:proofErr w:type="spellStart"/>
      <w:r w:rsidRPr="00CC28EC">
        <w:rPr>
          <w:rFonts w:eastAsiaTheme="minorHAnsi"/>
          <w:i/>
          <w:iCs/>
          <w:sz w:val="24"/>
          <w:szCs w:val="24"/>
        </w:rPr>
        <w:t>contul</w:t>
      </w:r>
      <w:proofErr w:type="spellEnd"/>
      <w:r w:rsidRPr="00CC28EC">
        <w:rPr>
          <w:rFonts w:eastAsiaTheme="minorHAnsi"/>
          <w:i/>
          <w:iCs/>
          <w:sz w:val="24"/>
          <w:szCs w:val="24"/>
        </w:rPr>
        <w:t xml:space="preserve"> </w:t>
      </w:r>
      <w:proofErr w:type="spellStart"/>
      <w:r w:rsidRPr="00CC28EC">
        <w:rPr>
          <w:rFonts w:eastAsiaTheme="minorHAnsi"/>
          <w:i/>
          <w:iCs/>
          <w:sz w:val="24"/>
          <w:szCs w:val="24"/>
        </w:rPr>
        <w:t>curent</w:t>
      </w:r>
      <w:proofErr w:type="spellEnd"/>
      <w:r w:rsidRPr="00CC28EC">
        <w:rPr>
          <w:rFonts w:eastAsiaTheme="minorHAnsi"/>
          <w:i/>
          <w:iCs/>
          <w:sz w:val="24"/>
          <w:szCs w:val="24"/>
        </w:rPr>
        <w:t xml:space="preserve"> general al </w:t>
      </w:r>
      <w:proofErr w:type="spellStart"/>
      <w:r w:rsidRPr="00CC28EC">
        <w:rPr>
          <w:rFonts w:eastAsiaTheme="minorHAnsi"/>
          <w:i/>
          <w:iCs/>
          <w:sz w:val="24"/>
          <w:szCs w:val="24"/>
        </w:rPr>
        <w:t>Trezoreriei</w:t>
      </w:r>
      <w:proofErr w:type="spellEnd"/>
      <w:r w:rsidRPr="00CC28EC">
        <w:rPr>
          <w:rFonts w:eastAsiaTheme="minorHAnsi"/>
          <w:i/>
          <w:iCs/>
          <w:sz w:val="24"/>
          <w:szCs w:val="24"/>
        </w:rPr>
        <w:t xml:space="preserve"> </w:t>
      </w:r>
      <w:proofErr w:type="spellStart"/>
      <w:r w:rsidRPr="00CC28EC">
        <w:rPr>
          <w:rFonts w:eastAsiaTheme="minorHAnsi"/>
          <w:i/>
          <w:iCs/>
          <w:sz w:val="24"/>
          <w:szCs w:val="24"/>
        </w:rPr>
        <w:t>Statului</w:t>
      </w:r>
      <w:proofErr w:type="spellEnd"/>
      <w:r w:rsidRPr="00CC28EC">
        <w:rPr>
          <w:rFonts w:eastAsiaTheme="minorHAnsi"/>
          <w:i/>
          <w:iCs/>
          <w:sz w:val="24"/>
          <w:szCs w:val="24"/>
        </w:rPr>
        <w:t xml:space="preserve">, </w:t>
      </w:r>
      <w:proofErr w:type="spellStart"/>
      <w:r w:rsidRPr="00CC28EC">
        <w:rPr>
          <w:rFonts w:eastAsiaTheme="minorHAnsi"/>
          <w:i/>
          <w:iCs/>
          <w:sz w:val="24"/>
          <w:szCs w:val="24"/>
        </w:rPr>
        <w:t>stabilit</w:t>
      </w:r>
      <w:proofErr w:type="spellEnd"/>
      <w:r w:rsidRPr="00CC28EC">
        <w:rPr>
          <w:rFonts w:eastAsiaTheme="minorHAnsi"/>
          <w:i/>
          <w:iCs/>
          <w:sz w:val="24"/>
          <w:szCs w:val="24"/>
        </w:rPr>
        <w:t xml:space="preserve"> de </w:t>
      </w:r>
      <w:proofErr w:type="spellStart"/>
      <w:r w:rsidRPr="00CC28EC">
        <w:rPr>
          <w:rFonts w:eastAsiaTheme="minorHAnsi"/>
          <w:i/>
          <w:iCs/>
          <w:sz w:val="24"/>
          <w:szCs w:val="24"/>
        </w:rPr>
        <w:t>Ministerul</w:t>
      </w:r>
      <w:proofErr w:type="spellEnd"/>
      <w:r w:rsidRPr="00CC28EC">
        <w:rPr>
          <w:rFonts w:eastAsiaTheme="minorHAnsi"/>
          <w:i/>
          <w:iCs/>
          <w:sz w:val="24"/>
          <w:szCs w:val="24"/>
        </w:rPr>
        <w:t xml:space="preserve"> </w:t>
      </w:r>
      <w:proofErr w:type="spellStart"/>
      <w:r w:rsidRPr="00CC28EC">
        <w:rPr>
          <w:rFonts w:eastAsiaTheme="minorHAnsi"/>
          <w:i/>
          <w:iCs/>
          <w:sz w:val="24"/>
          <w:szCs w:val="24"/>
        </w:rPr>
        <w:t>Economiei</w:t>
      </w:r>
      <w:proofErr w:type="spellEnd"/>
      <w:r w:rsidRPr="00CC28EC">
        <w:rPr>
          <w:rFonts w:eastAsiaTheme="minorHAnsi"/>
          <w:i/>
          <w:iCs/>
          <w:sz w:val="24"/>
          <w:szCs w:val="24"/>
        </w:rPr>
        <w:t xml:space="preserve"> </w:t>
      </w:r>
      <w:proofErr w:type="spellStart"/>
      <w:r w:rsidRPr="00CC28EC">
        <w:rPr>
          <w:rFonts w:eastAsiaTheme="minorHAnsi"/>
          <w:i/>
          <w:iCs/>
          <w:sz w:val="24"/>
          <w:szCs w:val="24"/>
        </w:rPr>
        <w:t>şi</w:t>
      </w:r>
      <w:proofErr w:type="spellEnd"/>
      <w:r w:rsidRPr="00CC28EC">
        <w:rPr>
          <w:rFonts w:eastAsiaTheme="minorHAnsi"/>
          <w:i/>
          <w:iCs/>
          <w:sz w:val="24"/>
          <w:szCs w:val="24"/>
        </w:rPr>
        <w:t xml:space="preserve"> </w:t>
      </w:r>
      <w:proofErr w:type="spellStart"/>
      <w:r w:rsidRPr="00CC28EC">
        <w:rPr>
          <w:rFonts w:eastAsiaTheme="minorHAnsi"/>
          <w:i/>
          <w:iCs/>
          <w:sz w:val="24"/>
          <w:szCs w:val="24"/>
        </w:rPr>
        <w:t>Finanţelor</w:t>
      </w:r>
      <w:proofErr w:type="spellEnd"/>
      <w:r w:rsidRPr="00CC28EC">
        <w:rPr>
          <w:rFonts w:eastAsiaTheme="minorHAnsi"/>
          <w:i/>
          <w:iCs/>
          <w:sz w:val="24"/>
          <w:szCs w:val="24"/>
        </w:rPr>
        <w:t xml:space="preserve">, </w:t>
      </w:r>
      <w:proofErr w:type="spellStart"/>
      <w:r w:rsidRPr="00CC28EC">
        <w:rPr>
          <w:rFonts w:eastAsiaTheme="minorHAnsi"/>
          <w:i/>
          <w:iCs/>
          <w:sz w:val="24"/>
          <w:szCs w:val="24"/>
        </w:rPr>
        <w:t>în</w:t>
      </w:r>
      <w:proofErr w:type="spellEnd"/>
      <w:r w:rsidRPr="00CC28EC">
        <w:rPr>
          <w:rFonts w:eastAsiaTheme="minorHAnsi"/>
          <w:i/>
          <w:iCs/>
          <w:sz w:val="24"/>
          <w:szCs w:val="24"/>
        </w:rPr>
        <w:t xml:space="preserve"> </w:t>
      </w:r>
      <w:proofErr w:type="spellStart"/>
      <w:r w:rsidRPr="00CC28EC">
        <w:rPr>
          <w:rFonts w:eastAsiaTheme="minorHAnsi"/>
          <w:i/>
          <w:iCs/>
          <w:sz w:val="24"/>
          <w:szCs w:val="24"/>
        </w:rPr>
        <w:t>conformitate</w:t>
      </w:r>
      <w:proofErr w:type="spellEnd"/>
      <w:r w:rsidRPr="00CC28EC">
        <w:rPr>
          <w:rFonts w:eastAsiaTheme="minorHAnsi"/>
          <w:i/>
          <w:iCs/>
          <w:sz w:val="24"/>
          <w:szCs w:val="24"/>
        </w:rPr>
        <w:t xml:space="preserve"> cu </w:t>
      </w:r>
      <w:proofErr w:type="spellStart"/>
      <w:r w:rsidRPr="00CC28EC">
        <w:rPr>
          <w:rFonts w:eastAsiaTheme="minorHAnsi"/>
          <w:i/>
          <w:iCs/>
          <w:sz w:val="24"/>
          <w:szCs w:val="24"/>
        </w:rPr>
        <w:t>criteriile</w:t>
      </w:r>
      <w:proofErr w:type="spellEnd"/>
      <w:r w:rsidRPr="00CC28EC">
        <w:rPr>
          <w:rFonts w:eastAsiaTheme="minorHAnsi"/>
          <w:i/>
          <w:iCs/>
          <w:sz w:val="24"/>
          <w:szCs w:val="24"/>
        </w:rPr>
        <w:t xml:space="preserve"> </w:t>
      </w:r>
      <w:proofErr w:type="spellStart"/>
      <w:r w:rsidRPr="00CC28EC">
        <w:rPr>
          <w:rFonts w:eastAsiaTheme="minorHAnsi"/>
          <w:i/>
          <w:iCs/>
          <w:sz w:val="24"/>
          <w:szCs w:val="24"/>
        </w:rPr>
        <w:t>prevăzute</w:t>
      </w:r>
      <w:proofErr w:type="spellEnd"/>
      <w:r w:rsidRPr="00CC28EC">
        <w:rPr>
          <w:rFonts w:eastAsiaTheme="minorHAnsi"/>
          <w:i/>
          <w:iCs/>
          <w:sz w:val="24"/>
          <w:szCs w:val="24"/>
        </w:rPr>
        <w:t xml:space="preserve"> </w:t>
      </w:r>
      <w:proofErr w:type="spellStart"/>
      <w:r w:rsidRPr="00CC28EC">
        <w:rPr>
          <w:rFonts w:eastAsiaTheme="minorHAnsi"/>
          <w:i/>
          <w:iCs/>
          <w:sz w:val="24"/>
          <w:szCs w:val="24"/>
        </w:rPr>
        <w:t>în</w:t>
      </w:r>
      <w:proofErr w:type="spellEnd"/>
      <w:r w:rsidRPr="00CC28EC">
        <w:rPr>
          <w:rFonts w:eastAsiaTheme="minorHAnsi"/>
          <w:i/>
          <w:iCs/>
          <w:sz w:val="24"/>
          <w:szCs w:val="24"/>
        </w:rPr>
        <w:t xml:space="preserve"> </w:t>
      </w:r>
      <w:proofErr w:type="spellStart"/>
      <w:r w:rsidRPr="00CC28EC">
        <w:rPr>
          <w:rFonts w:eastAsiaTheme="minorHAnsi"/>
          <w:i/>
          <w:iCs/>
          <w:sz w:val="24"/>
          <w:szCs w:val="24"/>
        </w:rPr>
        <w:t>normele</w:t>
      </w:r>
      <w:proofErr w:type="spellEnd"/>
      <w:r w:rsidRPr="00CC28EC">
        <w:rPr>
          <w:rFonts w:eastAsiaTheme="minorHAnsi"/>
          <w:i/>
          <w:iCs/>
          <w:sz w:val="24"/>
          <w:szCs w:val="24"/>
        </w:rPr>
        <w:t xml:space="preserve"> </w:t>
      </w:r>
      <w:proofErr w:type="spellStart"/>
      <w:r w:rsidRPr="00CC28EC">
        <w:rPr>
          <w:rFonts w:eastAsiaTheme="minorHAnsi"/>
          <w:i/>
          <w:iCs/>
          <w:sz w:val="24"/>
          <w:szCs w:val="24"/>
        </w:rPr>
        <w:t>metodologice</w:t>
      </w:r>
      <w:proofErr w:type="spellEnd"/>
      <w:r w:rsidRPr="00CC28EC">
        <w:rPr>
          <w:rFonts w:eastAsiaTheme="minorHAnsi"/>
          <w:i/>
          <w:iCs/>
          <w:sz w:val="24"/>
          <w:szCs w:val="24"/>
        </w:rPr>
        <w:t xml:space="preserve"> elaborate </w:t>
      </w:r>
      <w:proofErr w:type="spellStart"/>
      <w:r w:rsidRPr="00CC28EC">
        <w:rPr>
          <w:rFonts w:eastAsiaTheme="minorHAnsi"/>
          <w:i/>
          <w:iCs/>
          <w:sz w:val="24"/>
          <w:szCs w:val="24"/>
        </w:rPr>
        <w:t>în</w:t>
      </w:r>
      <w:proofErr w:type="spellEnd"/>
      <w:r w:rsidRPr="00CC28EC">
        <w:rPr>
          <w:rFonts w:eastAsiaTheme="minorHAnsi"/>
          <w:i/>
          <w:iCs/>
          <w:sz w:val="24"/>
          <w:szCs w:val="24"/>
        </w:rPr>
        <w:t xml:space="preserve"> </w:t>
      </w:r>
      <w:proofErr w:type="spellStart"/>
      <w:r w:rsidRPr="00CC28EC">
        <w:rPr>
          <w:rFonts w:eastAsiaTheme="minorHAnsi"/>
          <w:i/>
          <w:iCs/>
          <w:sz w:val="24"/>
          <w:szCs w:val="24"/>
        </w:rPr>
        <w:t>conformitate</w:t>
      </w:r>
      <w:proofErr w:type="spellEnd"/>
      <w:r w:rsidRPr="00CC28EC">
        <w:rPr>
          <w:rFonts w:eastAsiaTheme="minorHAnsi"/>
          <w:i/>
          <w:iCs/>
          <w:sz w:val="24"/>
          <w:szCs w:val="24"/>
        </w:rPr>
        <w:t xml:space="preserve"> cu art. 12 </w:t>
      </w:r>
      <w:proofErr w:type="spellStart"/>
      <w:r w:rsidRPr="00CC28EC">
        <w:rPr>
          <w:rFonts w:eastAsiaTheme="minorHAnsi"/>
          <w:i/>
          <w:iCs/>
          <w:sz w:val="24"/>
          <w:szCs w:val="24"/>
        </w:rPr>
        <w:t>alin</w:t>
      </w:r>
      <w:proofErr w:type="spellEnd"/>
      <w:r w:rsidRPr="00CC28EC">
        <w:rPr>
          <w:rFonts w:eastAsiaTheme="minorHAnsi"/>
          <w:i/>
          <w:iCs/>
          <w:sz w:val="24"/>
          <w:szCs w:val="24"/>
        </w:rPr>
        <w:t>. (1);</w:t>
      </w:r>
    </w:p>
    <w:p w14:paraId="5F7AE608" w14:textId="66224E9E" w:rsidR="00B42AB4" w:rsidRPr="00CC28EC" w:rsidRDefault="00B42AB4" w:rsidP="00B42AB4">
      <w:pPr>
        <w:adjustRightInd w:val="0"/>
        <w:jc w:val="both"/>
        <w:rPr>
          <w:rFonts w:eastAsiaTheme="minorHAnsi"/>
          <w:i/>
          <w:iCs/>
          <w:sz w:val="24"/>
          <w:szCs w:val="24"/>
        </w:rPr>
      </w:pPr>
      <w:r w:rsidRPr="00CC28EC">
        <w:rPr>
          <w:rFonts w:eastAsiaTheme="minorHAnsi"/>
          <w:i/>
          <w:iCs/>
          <w:sz w:val="24"/>
          <w:szCs w:val="24"/>
        </w:rPr>
        <w:t xml:space="preserve">d) </w:t>
      </w:r>
      <w:proofErr w:type="spellStart"/>
      <w:r w:rsidRPr="00CC28EC">
        <w:rPr>
          <w:rFonts w:eastAsiaTheme="minorHAnsi"/>
          <w:i/>
          <w:iCs/>
          <w:sz w:val="24"/>
          <w:szCs w:val="24"/>
        </w:rPr>
        <w:t>finanţarea</w:t>
      </w:r>
      <w:proofErr w:type="spellEnd"/>
      <w:r w:rsidRPr="00CC28EC">
        <w:rPr>
          <w:rFonts w:eastAsiaTheme="minorHAnsi"/>
          <w:i/>
          <w:iCs/>
          <w:sz w:val="24"/>
          <w:szCs w:val="24"/>
        </w:rPr>
        <w:t xml:space="preserve"> pe </w:t>
      </w:r>
      <w:proofErr w:type="spellStart"/>
      <w:r w:rsidRPr="00CC28EC">
        <w:rPr>
          <w:rFonts w:eastAsiaTheme="minorHAnsi"/>
          <w:i/>
          <w:iCs/>
          <w:sz w:val="24"/>
          <w:szCs w:val="24"/>
        </w:rPr>
        <w:t>bază</w:t>
      </w:r>
      <w:proofErr w:type="spellEnd"/>
      <w:r w:rsidRPr="00CC28EC">
        <w:rPr>
          <w:rFonts w:eastAsiaTheme="minorHAnsi"/>
          <w:i/>
          <w:iCs/>
          <w:sz w:val="24"/>
          <w:szCs w:val="24"/>
        </w:rPr>
        <w:t xml:space="preserve"> de </w:t>
      </w:r>
      <w:proofErr w:type="spellStart"/>
      <w:r w:rsidRPr="00CC28EC">
        <w:rPr>
          <w:rFonts w:eastAsiaTheme="minorHAnsi"/>
          <w:i/>
          <w:iCs/>
          <w:sz w:val="24"/>
          <w:szCs w:val="24"/>
        </w:rPr>
        <w:t>lege</w:t>
      </w:r>
      <w:proofErr w:type="spellEnd"/>
      <w:r w:rsidRPr="00CC28EC">
        <w:rPr>
          <w:rFonts w:eastAsiaTheme="minorHAnsi"/>
          <w:i/>
          <w:iCs/>
          <w:sz w:val="24"/>
          <w:szCs w:val="24"/>
        </w:rPr>
        <w:t xml:space="preserve"> a </w:t>
      </w:r>
      <w:proofErr w:type="spellStart"/>
      <w:r w:rsidRPr="00CC28EC">
        <w:rPr>
          <w:rFonts w:eastAsiaTheme="minorHAnsi"/>
          <w:i/>
          <w:iCs/>
          <w:sz w:val="24"/>
          <w:szCs w:val="24"/>
        </w:rPr>
        <w:t>unor</w:t>
      </w:r>
      <w:proofErr w:type="spellEnd"/>
      <w:r w:rsidRPr="00CC28EC">
        <w:rPr>
          <w:rFonts w:eastAsiaTheme="minorHAnsi"/>
          <w:i/>
          <w:iCs/>
          <w:sz w:val="24"/>
          <w:szCs w:val="24"/>
        </w:rPr>
        <w:t xml:space="preserve"> </w:t>
      </w:r>
      <w:proofErr w:type="spellStart"/>
      <w:r w:rsidRPr="00CC28EC">
        <w:rPr>
          <w:rFonts w:eastAsiaTheme="minorHAnsi"/>
          <w:i/>
          <w:iCs/>
          <w:sz w:val="24"/>
          <w:szCs w:val="24"/>
        </w:rPr>
        <w:t>programe</w:t>
      </w:r>
      <w:proofErr w:type="spellEnd"/>
      <w:r w:rsidRPr="00CC28EC">
        <w:rPr>
          <w:rFonts w:eastAsiaTheme="minorHAnsi"/>
          <w:i/>
          <w:iCs/>
          <w:sz w:val="24"/>
          <w:szCs w:val="24"/>
        </w:rPr>
        <w:t>/</w:t>
      </w:r>
      <w:proofErr w:type="spellStart"/>
      <w:r w:rsidRPr="00CC28EC">
        <w:rPr>
          <w:rFonts w:eastAsiaTheme="minorHAnsi"/>
          <w:i/>
          <w:iCs/>
          <w:sz w:val="24"/>
          <w:szCs w:val="24"/>
        </w:rPr>
        <w:t>proiecte</w:t>
      </w:r>
      <w:proofErr w:type="spellEnd"/>
      <w:r w:rsidRPr="00CC28EC">
        <w:rPr>
          <w:rFonts w:eastAsiaTheme="minorHAnsi"/>
          <w:i/>
          <w:iCs/>
          <w:sz w:val="24"/>
          <w:szCs w:val="24"/>
        </w:rPr>
        <w:t xml:space="preserve"> </w:t>
      </w:r>
      <w:proofErr w:type="spellStart"/>
      <w:r w:rsidRPr="00CC28EC">
        <w:rPr>
          <w:rFonts w:eastAsiaTheme="minorHAnsi"/>
          <w:i/>
          <w:iCs/>
          <w:sz w:val="24"/>
          <w:szCs w:val="24"/>
        </w:rPr>
        <w:t>sau</w:t>
      </w:r>
      <w:proofErr w:type="spellEnd"/>
      <w:r w:rsidRPr="00CC28EC">
        <w:rPr>
          <w:rFonts w:eastAsiaTheme="minorHAnsi"/>
          <w:i/>
          <w:iCs/>
          <w:sz w:val="24"/>
          <w:szCs w:val="24"/>
        </w:rPr>
        <w:t xml:space="preserve"> </w:t>
      </w:r>
      <w:proofErr w:type="gramStart"/>
      <w:r w:rsidRPr="00CC28EC">
        <w:rPr>
          <w:rFonts w:eastAsiaTheme="minorHAnsi"/>
          <w:i/>
          <w:iCs/>
          <w:sz w:val="24"/>
          <w:szCs w:val="24"/>
        </w:rPr>
        <w:t>a</w:t>
      </w:r>
      <w:proofErr w:type="gramEnd"/>
      <w:r w:rsidRPr="00CC28EC">
        <w:rPr>
          <w:rFonts w:eastAsiaTheme="minorHAnsi"/>
          <w:i/>
          <w:iCs/>
          <w:sz w:val="24"/>
          <w:szCs w:val="24"/>
        </w:rPr>
        <w:t xml:space="preserve"> </w:t>
      </w:r>
      <w:proofErr w:type="spellStart"/>
      <w:r w:rsidRPr="00CC28EC">
        <w:rPr>
          <w:rFonts w:eastAsiaTheme="minorHAnsi"/>
          <w:i/>
          <w:iCs/>
          <w:sz w:val="24"/>
          <w:szCs w:val="24"/>
        </w:rPr>
        <w:t>altor</w:t>
      </w:r>
      <w:proofErr w:type="spellEnd"/>
      <w:r w:rsidRPr="00CC28EC">
        <w:rPr>
          <w:rFonts w:eastAsiaTheme="minorHAnsi"/>
          <w:i/>
          <w:iCs/>
          <w:sz w:val="24"/>
          <w:szCs w:val="24"/>
        </w:rPr>
        <w:t xml:space="preserve"> </w:t>
      </w:r>
      <w:proofErr w:type="spellStart"/>
      <w:r w:rsidRPr="00CC28EC">
        <w:rPr>
          <w:rFonts w:eastAsiaTheme="minorHAnsi"/>
          <w:i/>
          <w:iCs/>
          <w:sz w:val="24"/>
          <w:szCs w:val="24"/>
        </w:rPr>
        <w:t>necesităţi</w:t>
      </w:r>
      <w:proofErr w:type="spellEnd"/>
      <w:r w:rsidRPr="00CC28EC">
        <w:rPr>
          <w:rFonts w:eastAsiaTheme="minorHAnsi"/>
          <w:i/>
          <w:iCs/>
          <w:sz w:val="24"/>
          <w:szCs w:val="24"/>
        </w:rPr>
        <w:t xml:space="preserve"> </w:t>
      </w:r>
      <w:proofErr w:type="spellStart"/>
      <w:r w:rsidRPr="00CC28EC">
        <w:rPr>
          <w:rFonts w:eastAsiaTheme="minorHAnsi"/>
          <w:i/>
          <w:iCs/>
          <w:sz w:val="24"/>
          <w:szCs w:val="24"/>
        </w:rPr>
        <w:t>prioritare</w:t>
      </w:r>
      <w:proofErr w:type="spellEnd"/>
      <w:r w:rsidRPr="00CC28EC">
        <w:rPr>
          <w:rFonts w:eastAsiaTheme="minorHAnsi"/>
          <w:i/>
          <w:iCs/>
          <w:sz w:val="24"/>
          <w:szCs w:val="24"/>
        </w:rPr>
        <w:t xml:space="preserve"> </w:t>
      </w:r>
      <w:proofErr w:type="spellStart"/>
      <w:r w:rsidRPr="00CC28EC">
        <w:rPr>
          <w:rFonts w:eastAsiaTheme="minorHAnsi"/>
          <w:i/>
          <w:iCs/>
          <w:sz w:val="24"/>
          <w:szCs w:val="24"/>
        </w:rPr>
        <w:t>pentru</w:t>
      </w:r>
      <w:proofErr w:type="spellEnd"/>
      <w:r w:rsidRPr="00CC28EC">
        <w:rPr>
          <w:rFonts w:eastAsiaTheme="minorHAnsi"/>
          <w:i/>
          <w:iCs/>
          <w:sz w:val="24"/>
          <w:szCs w:val="24"/>
        </w:rPr>
        <w:t xml:space="preserve"> </w:t>
      </w:r>
      <w:proofErr w:type="spellStart"/>
      <w:r w:rsidRPr="00CC28EC">
        <w:rPr>
          <w:rFonts w:eastAsiaTheme="minorHAnsi"/>
          <w:i/>
          <w:iCs/>
          <w:sz w:val="24"/>
          <w:szCs w:val="24"/>
        </w:rPr>
        <w:t>economia</w:t>
      </w:r>
      <w:proofErr w:type="spellEnd"/>
      <w:r w:rsidRPr="00CC28EC">
        <w:rPr>
          <w:rFonts w:eastAsiaTheme="minorHAnsi"/>
          <w:i/>
          <w:iCs/>
          <w:sz w:val="24"/>
          <w:szCs w:val="24"/>
        </w:rPr>
        <w:t xml:space="preserve"> </w:t>
      </w:r>
      <w:proofErr w:type="spellStart"/>
      <w:r w:rsidRPr="00CC28EC">
        <w:rPr>
          <w:rFonts w:eastAsiaTheme="minorHAnsi"/>
          <w:i/>
          <w:iCs/>
          <w:sz w:val="24"/>
          <w:szCs w:val="24"/>
        </w:rPr>
        <w:t>românească</w:t>
      </w:r>
      <w:proofErr w:type="spellEnd"/>
      <w:r w:rsidRPr="00CC28EC">
        <w:rPr>
          <w:rFonts w:eastAsiaTheme="minorHAnsi"/>
          <w:i/>
          <w:iCs/>
          <w:sz w:val="24"/>
          <w:szCs w:val="24"/>
        </w:rPr>
        <w:t>;</w:t>
      </w:r>
    </w:p>
    <w:p w14:paraId="08D7A7A3" w14:textId="4626BA96" w:rsidR="00B42AB4" w:rsidRPr="00CC28EC" w:rsidRDefault="00B42AB4" w:rsidP="00B42AB4">
      <w:pPr>
        <w:adjustRightInd w:val="0"/>
        <w:jc w:val="both"/>
        <w:rPr>
          <w:rFonts w:eastAsiaTheme="minorHAnsi"/>
          <w:i/>
          <w:iCs/>
          <w:sz w:val="24"/>
          <w:szCs w:val="24"/>
        </w:rPr>
      </w:pPr>
      <w:r w:rsidRPr="00CC28EC">
        <w:rPr>
          <w:rFonts w:eastAsiaTheme="minorHAnsi"/>
          <w:i/>
          <w:iCs/>
          <w:sz w:val="24"/>
          <w:szCs w:val="24"/>
        </w:rPr>
        <w:t xml:space="preserve">e) </w:t>
      </w:r>
      <w:proofErr w:type="spellStart"/>
      <w:r w:rsidRPr="00CC28EC">
        <w:rPr>
          <w:rFonts w:eastAsiaTheme="minorHAnsi"/>
          <w:i/>
          <w:iCs/>
          <w:sz w:val="24"/>
          <w:szCs w:val="24"/>
        </w:rPr>
        <w:t>susţinerea</w:t>
      </w:r>
      <w:proofErr w:type="spellEnd"/>
      <w:r w:rsidRPr="00CC28EC">
        <w:rPr>
          <w:rFonts w:eastAsiaTheme="minorHAnsi"/>
          <w:i/>
          <w:iCs/>
          <w:sz w:val="24"/>
          <w:szCs w:val="24"/>
        </w:rPr>
        <w:t xml:space="preserve"> </w:t>
      </w:r>
      <w:proofErr w:type="spellStart"/>
      <w:r w:rsidRPr="00CC28EC">
        <w:rPr>
          <w:rFonts w:eastAsiaTheme="minorHAnsi"/>
          <w:i/>
          <w:iCs/>
          <w:sz w:val="24"/>
          <w:szCs w:val="24"/>
        </w:rPr>
        <w:t>balanţei</w:t>
      </w:r>
      <w:proofErr w:type="spellEnd"/>
      <w:r w:rsidRPr="00CC28EC">
        <w:rPr>
          <w:rFonts w:eastAsiaTheme="minorHAnsi"/>
          <w:i/>
          <w:iCs/>
          <w:sz w:val="24"/>
          <w:szCs w:val="24"/>
        </w:rPr>
        <w:t xml:space="preserve"> de </w:t>
      </w:r>
      <w:proofErr w:type="spellStart"/>
      <w:r w:rsidRPr="00CC28EC">
        <w:rPr>
          <w:rFonts w:eastAsiaTheme="minorHAnsi"/>
          <w:i/>
          <w:iCs/>
          <w:sz w:val="24"/>
          <w:szCs w:val="24"/>
        </w:rPr>
        <w:t>plăţi</w:t>
      </w:r>
      <w:proofErr w:type="spellEnd"/>
      <w:r w:rsidRPr="00CC28EC">
        <w:rPr>
          <w:rFonts w:eastAsiaTheme="minorHAnsi"/>
          <w:i/>
          <w:iCs/>
          <w:sz w:val="24"/>
          <w:szCs w:val="24"/>
        </w:rPr>
        <w:t xml:space="preserve"> </w:t>
      </w:r>
      <w:proofErr w:type="spellStart"/>
      <w:r w:rsidRPr="00CC28EC">
        <w:rPr>
          <w:rFonts w:eastAsiaTheme="minorHAnsi"/>
          <w:i/>
          <w:iCs/>
          <w:sz w:val="24"/>
          <w:szCs w:val="24"/>
        </w:rPr>
        <w:t>în</w:t>
      </w:r>
      <w:proofErr w:type="spellEnd"/>
      <w:r w:rsidRPr="00CC28EC">
        <w:rPr>
          <w:rFonts w:eastAsiaTheme="minorHAnsi"/>
          <w:i/>
          <w:iCs/>
          <w:sz w:val="24"/>
          <w:szCs w:val="24"/>
        </w:rPr>
        <w:t xml:space="preserve"> </w:t>
      </w:r>
      <w:proofErr w:type="spellStart"/>
      <w:r w:rsidRPr="00CC28EC">
        <w:rPr>
          <w:rFonts w:eastAsiaTheme="minorHAnsi"/>
          <w:i/>
          <w:iCs/>
          <w:sz w:val="24"/>
          <w:szCs w:val="24"/>
        </w:rPr>
        <w:t>conformitate</w:t>
      </w:r>
      <w:proofErr w:type="spellEnd"/>
      <w:r w:rsidRPr="00CC28EC">
        <w:rPr>
          <w:rFonts w:eastAsiaTheme="minorHAnsi"/>
          <w:i/>
          <w:iCs/>
          <w:sz w:val="24"/>
          <w:szCs w:val="24"/>
        </w:rPr>
        <w:t xml:space="preserve"> cu </w:t>
      </w:r>
      <w:proofErr w:type="spellStart"/>
      <w:r w:rsidRPr="00CC28EC">
        <w:rPr>
          <w:rFonts w:eastAsiaTheme="minorHAnsi"/>
          <w:i/>
          <w:iCs/>
          <w:sz w:val="24"/>
          <w:szCs w:val="24"/>
        </w:rPr>
        <w:t>Regulamentul</w:t>
      </w:r>
      <w:proofErr w:type="spellEnd"/>
      <w:r w:rsidRPr="00CC28EC">
        <w:rPr>
          <w:rFonts w:eastAsiaTheme="minorHAnsi"/>
          <w:i/>
          <w:iCs/>
          <w:sz w:val="24"/>
          <w:szCs w:val="24"/>
        </w:rPr>
        <w:t xml:space="preserve"> </w:t>
      </w:r>
      <w:proofErr w:type="spellStart"/>
      <w:r w:rsidRPr="00CC28EC">
        <w:rPr>
          <w:rFonts w:eastAsiaTheme="minorHAnsi"/>
          <w:i/>
          <w:iCs/>
          <w:sz w:val="24"/>
          <w:szCs w:val="24"/>
        </w:rPr>
        <w:t>Consiliului</w:t>
      </w:r>
      <w:proofErr w:type="spellEnd"/>
      <w:r w:rsidRPr="00CC28EC">
        <w:rPr>
          <w:rFonts w:eastAsiaTheme="minorHAnsi"/>
          <w:i/>
          <w:iCs/>
          <w:sz w:val="24"/>
          <w:szCs w:val="24"/>
        </w:rPr>
        <w:t xml:space="preserve"> </w:t>
      </w:r>
      <w:proofErr w:type="spellStart"/>
      <w:r w:rsidRPr="00CC28EC">
        <w:rPr>
          <w:rFonts w:eastAsiaTheme="minorHAnsi"/>
          <w:i/>
          <w:iCs/>
          <w:sz w:val="24"/>
          <w:szCs w:val="24"/>
        </w:rPr>
        <w:t>Uniunii</w:t>
      </w:r>
      <w:proofErr w:type="spellEnd"/>
      <w:r w:rsidRPr="00CC28EC">
        <w:rPr>
          <w:rFonts w:eastAsiaTheme="minorHAnsi"/>
          <w:i/>
          <w:iCs/>
          <w:sz w:val="24"/>
          <w:szCs w:val="24"/>
        </w:rPr>
        <w:t xml:space="preserve"> </w:t>
      </w:r>
      <w:proofErr w:type="spellStart"/>
      <w:r w:rsidRPr="00CC28EC">
        <w:rPr>
          <w:rFonts w:eastAsiaTheme="minorHAnsi"/>
          <w:i/>
          <w:iCs/>
          <w:sz w:val="24"/>
          <w:szCs w:val="24"/>
        </w:rPr>
        <w:t>Europene</w:t>
      </w:r>
      <w:proofErr w:type="spellEnd"/>
      <w:r w:rsidRPr="00CC28EC">
        <w:rPr>
          <w:rFonts w:eastAsiaTheme="minorHAnsi"/>
          <w:i/>
          <w:iCs/>
          <w:sz w:val="24"/>
          <w:szCs w:val="24"/>
        </w:rPr>
        <w:t xml:space="preserve"> nr.</w:t>
      </w:r>
    </w:p>
    <w:p w14:paraId="29FB5C35" w14:textId="23092085" w:rsidR="00B42AB4" w:rsidRPr="00CC28EC" w:rsidRDefault="00B42AB4" w:rsidP="00B42AB4">
      <w:pPr>
        <w:adjustRightInd w:val="0"/>
        <w:jc w:val="both"/>
        <w:rPr>
          <w:rFonts w:eastAsiaTheme="minorHAnsi"/>
          <w:i/>
          <w:iCs/>
          <w:sz w:val="24"/>
          <w:szCs w:val="24"/>
        </w:rPr>
      </w:pPr>
      <w:r w:rsidRPr="00CC28EC">
        <w:rPr>
          <w:rFonts w:eastAsiaTheme="minorHAnsi"/>
          <w:i/>
          <w:iCs/>
          <w:sz w:val="24"/>
          <w:szCs w:val="24"/>
        </w:rPr>
        <w:lastRenderedPageBreak/>
        <w:t xml:space="preserve">332/2002 de </w:t>
      </w:r>
      <w:proofErr w:type="spellStart"/>
      <w:r w:rsidRPr="00CC28EC">
        <w:rPr>
          <w:rFonts w:eastAsiaTheme="minorHAnsi"/>
          <w:i/>
          <w:iCs/>
          <w:sz w:val="24"/>
          <w:szCs w:val="24"/>
        </w:rPr>
        <w:t>stabilire</w:t>
      </w:r>
      <w:proofErr w:type="spellEnd"/>
      <w:r w:rsidRPr="00CC28EC">
        <w:rPr>
          <w:rFonts w:eastAsiaTheme="minorHAnsi"/>
          <w:i/>
          <w:iCs/>
          <w:sz w:val="24"/>
          <w:szCs w:val="24"/>
        </w:rPr>
        <w:t xml:space="preserve"> a </w:t>
      </w:r>
      <w:proofErr w:type="spellStart"/>
      <w:r w:rsidRPr="00CC28EC">
        <w:rPr>
          <w:rFonts w:eastAsiaTheme="minorHAnsi"/>
          <w:i/>
          <w:iCs/>
          <w:sz w:val="24"/>
          <w:szCs w:val="24"/>
        </w:rPr>
        <w:t>unui</w:t>
      </w:r>
      <w:proofErr w:type="spellEnd"/>
      <w:r w:rsidRPr="00CC28EC">
        <w:rPr>
          <w:rFonts w:eastAsiaTheme="minorHAnsi"/>
          <w:i/>
          <w:iCs/>
          <w:sz w:val="24"/>
          <w:szCs w:val="24"/>
        </w:rPr>
        <w:t xml:space="preserve"> </w:t>
      </w:r>
      <w:proofErr w:type="spellStart"/>
      <w:r w:rsidRPr="00CC28EC">
        <w:rPr>
          <w:rFonts w:eastAsiaTheme="minorHAnsi"/>
          <w:i/>
          <w:iCs/>
          <w:sz w:val="24"/>
          <w:szCs w:val="24"/>
        </w:rPr>
        <w:t>mecanism</w:t>
      </w:r>
      <w:proofErr w:type="spellEnd"/>
      <w:r w:rsidRPr="00CC28EC">
        <w:rPr>
          <w:rFonts w:eastAsiaTheme="minorHAnsi"/>
          <w:i/>
          <w:iCs/>
          <w:sz w:val="24"/>
          <w:szCs w:val="24"/>
        </w:rPr>
        <w:t xml:space="preserve"> de </w:t>
      </w:r>
      <w:proofErr w:type="spellStart"/>
      <w:r w:rsidRPr="00CC28EC">
        <w:rPr>
          <w:rFonts w:eastAsiaTheme="minorHAnsi"/>
          <w:i/>
          <w:iCs/>
          <w:sz w:val="24"/>
          <w:szCs w:val="24"/>
        </w:rPr>
        <w:t>asistenţă</w:t>
      </w:r>
      <w:proofErr w:type="spellEnd"/>
      <w:r w:rsidRPr="00CC28EC">
        <w:rPr>
          <w:rFonts w:eastAsiaTheme="minorHAnsi"/>
          <w:i/>
          <w:iCs/>
          <w:sz w:val="24"/>
          <w:szCs w:val="24"/>
        </w:rPr>
        <w:t xml:space="preserve"> </w:t>
      </w:r>
      <w:proofErr w:type="spellStart"/>
      <w:r w:rsidRPr="00CC28EC">
        <w:rPr>
          <w:rFonts w:eastAsiaTheme="minorHAnsi"/>
          <w:i/>
          <w:iCs/>
          <w:sz w:val="24"/>
          <w:szCs w:val="24"/>
        </w:rPr>
        <w:t>financiară</w:t>
      </w:r>
      <w:proofErr w:type="spellEnd"/>
      <w:r w:rsidRPr="00CC28EC">
        <w:rPr>
          <w:rFonts w:eastAsiaTheme="minorHAnsi"/>
          <w:i/>
          <w:iCs/>
          <w:sz w:val="24"/>
          <w:szCs w:val="24"/>
        </w:rPr>
        <w:t xml:space="preserve"> pe termen </w:t>
      </w:r>
      <w:proofErr w:type="spellStart"/>
      <w:r w:rsidRPr="00CC28EC">
        <w:rPr>
          <w:rFonts w:eastAsiaTheme="minorHAnsi"/>
          <w:i/>
          <w:iCs/>
          <w:sz w:val="24"/>
          <w:szCs w:val="24"/>
        </w:rPr>
        <w:t>mediu</w:t>
      </w:r>
      <w:proofErr w:type="spellEnd"/>
      <w:r w:rsidRPr="00CC28EC">
        <w:rPr>
          <w:rFonts w:eastAsiaTheme="minorHAnsi"/>
          <w:i/>
          <w:iCs/>
          <w:sz w:val="24"/>
          <w:szCs w:val="24"/>
        </w:rPr>
        <w:t xml:space="preserve"> </w:t>
      </w:r>
      <w:proofErr w:type="spellStart"/>
      <w:r w:rsidRPr="00CC28EC">
        <w:rPr>
          <w:rFonts w:eastAsiaTheme="minorHAnsi"/>
          <w:i/>
          <w:iCs/>
          <w:sz w:val="24"/>
          <w:szCs w:val="24"/>
        </w:rPr>
        <w:t>pentru</w:t>
      </w:r>
      <w:proofErr w:type="spellEnd"/>
      <w:r w:rsidRPr="00CC28EC">
        <w:rPr>
          <w:rFonts w:eastAsiaTheme="minorHAnsi"/>
          <w:i/>
          <w:iCs/>
          <w:sz w:val="24"/>
          <w:szCs w:val="24"/>
        </w:rPr>
        <w:t xml:space="preserve"> </w:t>
      </w:r>
      <w:proofErr w:type="spellStart"/>
      <w:r w:rsidRPr="00CC28EC">
        <w:rPr>
          <w:rFonts w:eastAsiaTheme="minorHAnsi"/>
          <w:i/>
          <w:iCs/>
          <w:sz w:val="24"/>
          <w:szCs w:val="24"/>
        </w:rPr>
        <w:t>balanţele</w:t>
      </w:r>
      <w:proofErr w:type="spellEnd"/>
      <w:r w:rsidRPr="00CC28EC">
        <w:rPr>
          <w:rFonts w:eastAsiaTheme="minorHAnsi"/>
          <w:i/>
          <w:iCs/>
          <w:sz w:val="24"/>
          <w:szCs w:val="24"/>
        </w:rPr>
        <w:t xml:space="preserve"> de </w:t>
      </w:r>
      <w:proofErr w:type="spellStart"/>
      <w:r w:rsidRPr="00CC28EC">
        <w:rPr>
          <w:rFonts w:eastAsiaTheme="minorHAnsi"/>
          <w:i/>
          <w:iCs/>
          <w:sz w:val="24"/>
          <w:szCs w:val="24"/>
        </w:rPr>
        <w:t>plăţi</w:t>
      </w:r>
      <w:proofErr w:type="spellEnd"/>
      <w:r w:rsidRPr="00CC28EC">
        <w:rPr>
          <w:rFonts w:eastAsiaTheme="minorHAnsi"/>
          <w:i/>
          <w:iCs/>
          <w:sz w:val="24"/>
          <w:szCs w:val="24"/>
        </w:rPr>
        <w:t xml:space="preserve"> ale </w:t>
      </w:r>
      <w:proofErr w:type="spellStart"/>
      <w:r w:rsidRPr="00CC28EC">
        <w:rPr>
          <w:rFonts w:eastAsiaTheme="minorHAnsi"/>
          <w:i/>
          <w:iCs/>
          <w:sz w:val="24"/>
          <w:szCs w:val="24"/>
        </w:rPr>
        <w:t>statelor</w:t>
      </w:r>
      <w:proofErr w:type="spellEnd"/>
      <w:r w:rsidRPr="00CC28EC">
        <w:rPr>
          <w:rFonts w:eastAsiaTheme="minorHAnsi"/>
          <w:i/>
          <w:iCs/>
          <w:sz w:val="24"/>
          <w:szCs w:val="24"/>
        </w:rPr>
        <w:t xml:space="preserve"> </w:t>
      </w:r>
      <w:proofErr w:type="spellStart"/>
      <w:r w:rsidRPr="00CC28EC">
        <w:rPr>
          <w:rFonts w:eastAsiaTheme="minorHAnsi"/>
          <w:i/>
          <w:iCs/>
          <w:sz w:val="24"/>
          <w:szCs w:val="24"/>
        </w:rPr>
        <w:t>membre</w:t>
      </w:r>
      <w:proofErr w:type="spellEnd"/>
      <w:r w:rsidRPr="00CC28EC">
        <w:rPr>
          <w:rFonts w:eastAsiaTheme="minorHAnsi"/>
          <w:i/>
          <w:iCs/>
          <w:sz w:val="24"/>
          <w:szCs w:val="24"/>
        </w:rPr>
        <w:t xml:space="preserve">. </w:t>
      </w:r>
    </w:p>
    <w:p w14:paraId="60ACAE76" w14:textId="41A97796" w:rsidR="00B42AB4" w:rsidRPr="00CC28EC" w:rsidRDefault="00B42AB4" w:rsidP="00B42AB4">
      <w:pPr>
        <w:adjustRightInd w:val="0"/>
        <w:jc w:val="both"/>
        <w:rPr>
          <w:rFonts w:eastAsiaTheme="minorHAnsi"/>
          <w:sz w:val="24"/>
          <w:szCs w:val="24"/>
        </w:rPr>
      </w:pPr>
      <w:r w:rsidRPr="00CC28EC">
        <w:rPr>
          <w:rFonts w:eastAsiaTheme="minorHAnsi"/>
          <w:i/>
          <w:iCs/>
          <w:sz w:val="24"/>
          <w:szCs w:val="24"/>
        </w:rPr>
        <w:t xml:space="preserve">f) </w:t>
      </w:r>
      <w:proofErr w:type="spellStart"/>
      <w:r w:rsidRPr="00CC28EC">
        <w:rPr>
          <w:rFonts w:eastAsiaTheme="minorHAnsi"/>
          <w:i/>
          <w:iCs/>
          <w:sz w:val="24"/>
          <w:szCs w:val="24"/>
        </w:rPr>
        <w:t>participarea</w:t>
      </w:r>
      <w:proofErr w:type="spellEnd"/>
      <w:r w:rsidRPr="00CC28EC">
        <w:rPr>
          <w:rFonts w:eastAsiaTheme="minorHAnsi"/>
          <w:i/>
          <w:iCs/>
          <w:sz w:val="24"/>
          <w:szCs w:val="24"/>
        </w:rPr>
        <w:t xml:space="preserve"> la </w:t>
      </w:r>
      <w:proofErr w:type="spellStart"/>
      <w:r w:rsidRPr="00CC28EC">
        <w:rPr>
          <w:rFonts w:eastAsiaTheme="minorHAnsi"/>
          <w:i/>
          <w:iCs/>
          <w:sz w:val="24"/>
          <w:szCs w:val="24"/>
        </w:rPr>
        <w:t>mecanisme</w:t>
      </w:r>
      <w:proofErr w:type="spellEnd"/>
      <w:r w:rsidRPr="00CC28EC">
        <w:rPr>
          <w:rFonts w:eastAsiaTheme="minorHAnsi"/>
          <w:i/>
          <w:iCs/>
          <w:sz w:val="24"/>
          <w:szCs w:val="24"/>
        </w:rPr>
        <w:t xml:space="preserve"> de </w:t>
      </w:r>
      <w:proofErr w:type="spellStart"/>
      <w:r w:rsidRPr="00CC28EC">
        <w:rPr>
          <w:rFonts w:eastAsiaTheme="minorHAnsi"/>
          <w:i/>
          <w:iCs/>
          <w:sz w:val="24"/>
          <w:szCs w:val="24"/>
        </w:rPr>
        <w:t>garantare</w:t>
      </w:r>
      <w:proofErr w:type="spellEnd"/>
      <w:r w:rsidRPr="00CC28EC">
        <w:rPr>
          <w:rFonts w:eastAsiaTheme="minorHAnsi"/>
          <w:i/>
          <w:iCs/>
          <w:sz w:val="24"/>
          <w:szCs w:val="24"/>
        </w:rPr>
        <w:t xml:space="preserve"> </w:t>
      </w:r>
      <w:proofErr w:type="spellStart"/>
      <w:r w:rsidRPr="00CC28EC">
        <w:rPr>
          <w:rFonts w:eastAsiaTheme="minorHAnsi"/>
          <w:i/>
          <w:iCs/>
          <w:sz w:val="24"/>
          <w:szCs w:val="24"/>
        </w:rPr>
        <w:t>sau</w:t>
      </w:r>
      <w:proofErr w:type="spellEnd"/>
      <w:r w:rsidRPr="00CC28EC">
        <w:rPr>
          <w:rFonts w:eastAsiaTheme="minorHAnsi"/>
          <w:i/>
          <w:iCs/>
          <w:sz w:val="24"/>
          <w:szCs w:val="24"/>
        </w:rPr>
        <w:t xml:space="preserve"> </w:t>
      </w:r>
      <w:proofErr w:type="spellStart"/>
      <w:r w:rsidRPr="00CC28EC">
        <w:rPr>
          <w:rFonts w:eastAsiaTheme="minorHAnsi"/>
          <w:i/>
          <w:iCs/>
          <w:sz w:val="24"/>
          <w:szCs w:val="24"/>
        </w:rPr>
        <w:t>instrumente</w:t>
      </w:r>
      <w:proofErr w:type="spellEnd"/>
      <w:r w:rsidRPr="00CC28EC">
        <w:rPr>
          <w:rFonts w:eastAsiaTheme="minorHAnsi"/>
          <w:i/>
          <w:iCs/>
          <w:sz w:val="24"/>
          <w:szCs w:val="24"/>
        </w:rPr>
        <w:t xml:space="preserve"> de </w:t>
      </w:r>
      <w:proofErr w:type="spellStart"/>
      <w:r w:rsidRPr="00CC28EC">
        <w:rPr>
          <w:rFonts w:eastAsiaTheme="minorHAnsi"/>
          <w:i/>
          <w:iCs/>
          <w:sz w:val="24"/>
          <w:szCs w:val="24"/>
        </w:rPr>
        <w:t>finanţare</w:t>
      </w:r>
      <w:proofErr w:type="spellEnd"/>
      <w:r w:rsidRPr="00CC28EC">
        <w:rPr>
          <w:rFonts w:eastAsiaTheme="minorHAnsi"/>
          <w:i/>
          <w:iCs/>
          <w:sz w:val="24"/>
          <w:szCs w:val="24"/>
        </w:rPr>
        <w:t xml:space="preserve"> </w:t>
      </w:r>
      <w:proofErr w:type="spellStart"/>
      <w:r w:rsidRPr="00CC28EC">
        <w:rPr>
          <w:rFonts w:eastAsiaTheme="minorHAnsi"/>
          <w:i/>
          <w:iCs/>
          <w:sz w:val="24"/>
          <w:szCs w:val="24"/>
        </w:rPr>
        <w:t>instituite</w:t>
      </w:r>
      <w:proofErr w:type="spellEnd"/>
      <w:r w:rsidRPr="00CC28EC">
        <w:rPr>
          <w:rFonts w:eastAsiaTheme="minorHAnsi"/>
          <w:i/>
          <w:iCs/>
          <w:sz w:val="24"/>
          <w:szCs w:val="24"/>
        </w:rPr>
        <w:t xml:space="preserve"> la </w:t>
      </w:r>
      <w:proofErr w:type="spellStart"/>
      <w:r w:rsidRPr="00CC28EC">
        <w:rPr>
          <w:rFonts w:eastAsiaTheme="minorHAnsi"/>
          <w:i/>
          <w:iCs/>
          <w:sz w:val="24"/>
          <w:szCs w:val="24"/>
        </w:rPr>
        <w:t>nivelul</w:t>
      </w:r>
      <w:proofErr w:type="spellEnd"/>
      <w:r w:rsidRPr="00CC28EC">
        <w:rPr>
          <w:rFonts w:eastAsiaTheme="minorHAnsi"/>
          <w:i/>
          <w:iCs/>
          <w:sz w:val="24"/>
          <w:szCs w:val="24"/>
        </w:rPr>
        <w:t xml:space="preserve"> </w:t>
      </w:r>
      <w:proofErr w:type="spellStart"/>
      <w:r w:rsidRPr="00CC28EC">
        <w:rPr>
          <w:rFonts w:eastAsiaTheme="minorHAnsi"/>
          <w:i/>
          <w:iCs/>
          <w:sz w:val="24"/>
          <w:szCs w:val="24"/>
        </w:rPr>
        <w:t>Uniunii</w:t>
      </w:r>
      <w:proofErr w:type="spellEnd"/>
      <w:r w:rsidRPr="00CC28EC">
        <w:rPr>
          <w:rFonts w:eastAsiaTheme="minorHAnsi"/>
          <w:i/>
          <w:iCs/>
          <w:sz w:val="24"/>
          <w:szCs w:val="24"/>
        </w:rPr>
        <w:t xml:space="preserve"> </w:t>
      </w:r>
      <w:proofErr w:type="spellStart"/>
      <w:r w:rsidRPr="00CC28EC">
        <w:rPr>
          <w:rFonts w:eastAsiaTheme="minorHAnsi"/>
          <w:i/>
          <w:iCs/>
          <w:sz w:val="24"/>
          <w:szCs w:val="24"/>
        </w:rPr>
        <w:t>Europene</w:t>
      </w:r>
      <w:proofErr w:type="spellEnd"/>
      <w:r w:rsidRPr="00CC28EC">
        <w:rPr>
          <w:rFonts w:eastAsiaTheme="minorHAnsi"/>
          <w:i/>
          <w:iCs/>
          <w:sz w:val="24"/>
          <w:szCs w:val="24"/>
        </w:rPr>
        <w:t xml:space="preserve">, </w:t>
      </w:r>
      <w:proofErr w:type="spellStart"/>
      <w:r w:rsidRPr="00CC28EC">
        <w:rPr>
          <w:rFonts w:eastAsiaTheme="minorHAnsi"/>
          <w:i/>
          <w:iCs/>
          <w:sz w:val="24"/>
          <w:szCs w:val="24"/>
        </w:rPr>
        <w:t>respectiv</w:t>
      </w:r>
      <w:proofErr w:type="spellEnd"/>
      <w:r w:rsidRPr="00CC28EC">
        <w:rPr>
          <w:rFonts w:eastAsiaTheme="minorHAnsi"/>
          <w:i/>
          <w:iCs/>
          <w:sz w:val="24"/>
          <w:szCs w:val="24"/>
        </w:rPr>
        <w:t xml:space="preserve"> la </w:t>
      </w:r>
      <w:proofErr w:type="spellStart"/>
      <w:r w:rsidRPr="00CC28EC">
        <w:rPr>
          <w:rFonts w:eastAsiaTheme="minorHAnsi"/>
          <w:i/>
          <w:iCs/>
          <w:sz w:val="24"/>
          <w:szCs w:val="24"/>
        </w:rPr>
        <w:t>nivelul</w:t>
      </w:r>
      <w:proofErr w:type="spellEnd"/>
      <w:r w:rsidRPr="00CC28EC">
        <w:rPr>
          <w:rFonts w:eastAsiaTheme="minorHAnsi"/>
          <w:i/>
          <w:iCs/>
          <w:sz w:val="24"/>
          <w:szCs w:val="24"/>
        </w:rPr>
        <w:t xml:space="preserve"> </w:t>
      </w:r>
      <w:proofErr w:type="spellStart"/>
      <w:r w:rsidRPr="00CC28EC">
        <w:rPr>
          <w:rFonts w:eastAsiaTheme="minorHAnsi"/>
          <w:i/>
          <w:iCs/>
          <w:sz w:val="24"/>
          <w:szCs w:val="24"/>
        </w:rPr>
        <w:t>instituţiilor</w:t>
      </w:r>
      <w:proofErr w:type="spellEnd"/>
      <w:r w:rsidRPr="00CC28EC">
        <w:rPr>
          <w:rFonts w:eastAsiaTheme="minorHAnsi"/>
          <w:i/>
          <w:iCs/>
          <w:sz w:val="24"/>
          <w:szCs w:val="24"/>
        </w:rPr>
        <w:t xml:space="preserve"> </w:t>
      </w:r>
      <w:proofErr w:type="spellStart"/>
      <w:r w:rsidRPr="00CC28EC">
        <w:rPr>
          <w:rFonts w:eastAsiaTheme="minorHAnsi"/>
          <w:i/>
          <w:iCs/>
          <w:sz w:val="24"/>
          <w:szCs w:val="24"/>
        </w:rPr>
        <w:t>financiare</w:t>
      </w:r>
      <w:proofErr w:type="spellEnd"/>
      <w:r w:rsidRPr="00CC28EC">
        <w:rPr>
          <w:rFonts w:eastAsiaTheme="minorHAnsi"/>
          <w:i/>
          <w:iCs/>
          <w:sz w:val="24"/>
          <w:szCs w:val="24"/>
        </w:rPr>
        <w:t xml:space="preserve"> </w:t>
      </w:r>
      <w:proofErr w:type="spellStart"/>
      <w:r w:rsidRPr="00CC28EC">
        <w:rPr>
          <w:rFonts w:eastAsiaTheme="minorHAnsi"/>
          <w:i/>
          <w:iCs/>
          <w:sz w:val="24"/>
          <w:szCs w:val="24"/>
        </w:rPr>
        <w:t>internaţionale</w:t>
      </w:r>
      <w:proofErr w:type="spellEnd"/>
      <w:r w:rsidRPr="00CC28EC">
        <w:rPr>
          <w:rFonts w:eastAsiaTheme="minorHAnsi"/>
          <w:i/>
          <w:iCs/>
          <w:sz w:val="24"/>
          <w:szCs w:val="24"/>
        </w:rPr>
        <w:t xml:space="preserve"> la care </w:t>
      </w:r>
      <w:proofErr w:type="spellStart"/>
      <w:r w:rsidRPr="00CC28EC">
        <w:rPr>
          <w:rFonts w:eastAsiaTheme="minorHAnsi"/>
          <w:i/>
          <w:iCs/>
          <w:sz w:val="24"/>
          <w:szCs w:val="24"/>
        </w:rPr>
        <w:t>România</w:t>
      </w:r>
      <w:proofErr w:type="spellEnd"/>
      <w:r w:rsidRPr="00CC28EC">
        <w:rPr>
          <w:rFonts w:eastAsiaTheme="minorHAnsi"/>
          <w:i/>
          <w:iCs/>
          <w:sz w:val="24"/>
          <w:szCs w:val="24"/>
        </w:rPr>
        <w:t xml:space="preserve"> </w:t>
      </w:r>
      <w:proofErr w:type="spellStart"/>
      <w:r w:rsidRPr="00CC28EC">
        <w:rPr>
          <w:rFonts w:eastAsiaTheme="minorHAnsi"/>
          <w:i/>
          <w:iCs/>
          <w:sz w:val="24"/>
          <w:szCs w:val="24"/>
        </w:rPr>
        <w:t>este</w:t>
      </w:r>
      <w:proofErr w:type="spellEnd"/>
      <w:r w:rsidRPr="00CC28EC">
        <w:rPr>
          <w:rFonts w:eastAsiaTheme="minorHAnsi"/>
          <w:i/>
          <w:iCs/>
          <w:sz w:val="24"/>
          <w:szCs w:val="24"/>
        </w:rPr>
        <w:t xml:space="preserve"> stat </w:t>
      </w:r>
      <w:proofErr w:type="spellStart"/>
      <w:r w:rsidRPr="00CC28EC">
        <w:rPr>
          <w:rFonts w:eastAsiaTheme="minorHAnsi"/>
          <w:i/>
          <w:iCs/>
          <w:sz w:val="24"/>
          <w:szCs w:val="24"/>
        </w:rPr>
        <w:t>membru</w:t>
      </w:r>
      <w:proofErr w:type="spellEnd"/>
      <w:r w:rsidRPr="00CC28EC">
        <w:rPr>
          <w:rFonts w:eastAsiaTheme="minorHAnsi"/>
          <w:i/>
          <w:iCs/>
          <w:sz w:val="24"/>
          <w:szCs w:val="24"/>
        </w:rPr>
        <w:t>.</w:t>
      </w:r>
      <w:r w:rsidRPr="00CC28EC">
        <w:rPr>
          <w:rFonts w:eastAsiaTheme="minorHAnsi"/>
          <w:sz w:val="24"/>
          <w:szCs w:val="24"/>
        </w:rPr>
        <w:t>” (OUG 64/2007, art.4)</w:t>
      </w:r>
    </w:p>
    <w:p w14:paraId="3BDDA8C5" w14:textId="4F5240BC" w:rsidR="00520FC4" w:rsidRPr="00CC28EC" w:rsidRDefault="00520FC4" w:rsidP="00520FC4">
      <w:pPr>
        <w:jc w:val="both"/>
        <w:rPr>
          <w:sz w:val="24"/>
          <w:szCs w:val="24"/>
        </w:rPr>
      </w:pPr>
      <w:r w:rsidRPr="00CC28EC">
        <w:rPr>
          <w:sz w:val="24"/>
          <w:szCs w:val="24"/>
        </w:rPr>
        <w:tab/>
      </w:r>
      <w:proofErr w:type="spellStart"/>
      <w:r w:rsidRPr="00CC28EC">
        <w:rPr>
          <w:sz w:val="24"/>
          <w:szCs w:val="24"/>
        </w:rPr>
        <w:t>Legea</w:t>
      </w:r>
      <w:proofErr w:type="spellEnd"/>
      <w:r w:rsidRPr="00CC28EC">
        <w:rPr>
          <w:sz w:val="24"/>
          <w:szCs w:val="24"/>
        </w:rPr>
        <w:t xml:space="preserve"> 69/2010 a </w:t>
      </w:r>
      <w:proofErr w:type="spellStart"/>
      <w:r w:rsidRPr="00CC28EC">
        <w:rPr>
          <w:sz w:val="24"/>
          <w:szCs w:val="24"/>
        </w:rPr>
        <w:t>responsabilităţii</w:t>
      </w:r>
      <w:proofErr w:type="spellEnd"/>
      <w:r w:rsidRPr="00CC28EC">
        <w:rPr>
          <w:sz w:val="24"/>
          <w:szCs w:val="24"/>
        </w:rPr>
        <w:t xml:space="preserve"> fiscal-</w:t>
      </w:r>
      <w:proofErr w:type="spellStart"/>
      <w:r w:rsidRPr="00CC28EC">
        <w:rPr>
          <w:sz w:val="24"/>
          <w:szCs w:val="24"/>
        </w:rPr>
        <w:t>bugetare</w:t>
      </w:r>
      <w:proofErr w:type="spellEnd"/>
      <w:r w:rsidR="00034286" w:rsidRPr="00CC28EC">
        <w:rPr>
          <w:sz w:val="24"/>
          <w:szCs w:val="24"/>
        </w:rPr>
        <w:t>,</w:t>
      </w:r>
      <w:r w:rsidRPr="00CC28EC">
        <w:rPr>
          <w:sz w:val="24"/>
          <w:szCs w:val="24"/>
        </w:rPr>
        <w:t xml:space="preserve"> </w:t>
      </w:r>
      <w:proofErr w:type="spellStart"/>
      <w:r w:rsidRPr="00CC28EC">
        <w:rPr>
          <w:sz w:val="24"/>
          <w:szCs w:val="24"/>
        </w:rPr>
        <w:t>prevede</w:t>
      </w:r>
      <w:proofErr w:type="spellEnd"/>
      <w:r w:rsidRPr="00CC28EC">
        <w:rPr>
          <w:sz w:val="24"/>
          <w:szCs w:val="24"/>
        </w:rPr>
        <w:t xml:space="preserve"> </w:t>
      </w:r>
      <w:proofErr w:type="spellStart"/>
      <w:r w:rsidRPr="00CC28EC">
        <w:rPr>
          <w:sz w:val="24"/>
          <w:szCs w:val="24"/>
        </w:rPr>
        <w:t>modul</w:t>
      </w:r>
      <w:proofErr w:type="spellEnd"/>
      <w:r w:rsidRPr="00CC28EC">
        <w:rPr>
          <w:sz w:val="24"/>
          <w:szCs w:val="24"/>
        </w:rPr>
        <w:t xml:space="preserve"> cum se </w:t>
      </w:r>
      <w:proofErr w:type="spellStart"/>
      <w:r w:rsidRPr="00CC28EC">
        <w:rPr>
          <w:sz w:val="24"/>
          <w:szCs w:val="24"/>
        </w:rPr>
        <w:t>asigură</w:t>
      </w:r>
      <w:proofErr w:type="spellEnd"/>
      <w:r w:rsidRPr="00CC28EC">
        <w:rPr>
          <w:sz w:val="24"/>
          <w:szCs w:val="24"/>
        </w:rPr>
        <w:t xml:space="preserve"> </w:t>
      </w:r>
      <w:proofErr w:type="spellStart"/>
      <w:r w:rsidRPr="00CC28EC">
        <w:rPr>
          <w:sz w:val="24"/>
          <w:szCs w:val="24"/>
        </w:rPr>
        <w:t>şi</w:t>
      </w:r>
      <w:proofErr w:type="spellEnd"/>
      <w:r w:rsidRPr="00CC28EC">
        <w:rPr>
          <w:sz w:val="24"/>
          <w:szCs w:val="24"/>
        </w:rPr>
        <w:t xml:space="preserve"> </w:t>
      </w:r>
      <w:proofErr w:type="spellStart"/>
      <w:r w:rsidRPr="00CC28EC">
        <w:rPr>
          <w:sz w:val="24"/>
          <w:szCs w:val="24"/>
        </w:rPr>
        <w:t>menţine</w:t>
      </w:r>
      <w:proofErr w:type="spellEnd"/>
      <w:r w:rsidRPr="00CC28EC">
        <w:rPr>
          <w:sz w:val="24"/>
          <w:szCs w:val="24"/>
        </w:rPr>
        <w:t xml:space="preserve"> </w:t>
      </w:r>
      <w:proofErr w:type="spellStart"/>
      <w:r w:rsidRPr="00CC28EC">
        <w:rPr>
          <w:sz w:val="24"/>
          <w:szCs w:val="24"/>
        </w:rPr>
        <w:t>disciplina</w:t>
      </w:r>
      <w:proofErr w:type="spellEnd"/>
      <w:r w:rsidRPr="00CC28EC">
        <w:rPr>
          <w:sz w:val="24"/>
          <w:szCs w:val="24"/>
        </w:rPr>
        <w:t xml:space="preserve"> fiscal-</w:t>
      </w:r>
      <w:proofErr w:type="spellStart"/>
      <w:r w:rsidRPr="00CC28EC">
        <w:rPr>
          <w:sz w:val="24"/>
          <w:szCs w:val="24"/>
        </w:rPr>
        <w:t>bugetar</w:t>
      </w:r>
      <w:r w:rsidR="000230EB" w:rsidRPr="00CC28EC">
        <w:rPr>
          <w:sz w:val="24"/>
          <w:szCs w:val="24"/>
        </w:rPr>
        <w:t>ă</w:t>
      </w:r>
      <w:proofErr w:type="spellEnd"/>
      <w:r w:rsidRPr="00CC28EC">
        <w:rPr>
          <w:sz w:val="24"/>
          <w:szCs w:val="24"/>
        </w:rPr>
        <w:t xml:space="preserve">, </w:t>
      </w:r>
      <w:proofErr w:type="spellStart"/>
      <w:r w:rsidRPr="00CC28EC">
        <w:rPr>
          <w:sz w:val="24"/>
          <w:szCs w:val="24"/>
        </w:rPr>
        <w:t>transparenţa</w:t>
      </w:r>
      <w:proofErr w:type="spellEnd"/>
      <w:r w:rsidRPr="00CC28EC">
        <w:rPr>
          <w:sz w:val="24"/>
          <w:szCs w:val="24"/>
        </w:rPr>
        <w:t xml:space="preserve"> </w:t>
      </w:r>
      <w:proofErr w:type="spellStart"/>
      <w:r w:rsidRPr="00CC28EC">
        <w:rPr>
          <w:sz w:val="24"/>
          <w:szCs w:val="24"/>
        </w:rPr>
        <w:t>şi</w:t>
      </w:r>
      <w:proofErr w:type="spellEnd"/>
      <w:r w:rsidRPr="00CC28EC">
        <w:rPr>
          <w:sz w:val="24"/>
          <w:szCs w:val="24"/>
        </w:rPr>
        <w:t xml:space="preserve"> </w:t>
      </w:r>
      <w:proofErr w:type="spellStart"/>
      <w:r w:rsidRPr="00CC28EC">
        <w:rPr>
          <w:sz w:val="24"/>
          <w:szCs w:val="24"/>
        </w:rPr>
        <w:t>sustenabilitate</w:t>
      </w:r>
      <w:r w:rsidR="000230EB" w:rsidRPr="00CC28EC">
        <w:rPr>
          <w:sz w:val="24"/>
          <w:szCs w:val="24"/>
        </w:rPr>
        <w:t>a</w:t>
      </w:r>
      <w:proofErr w:type="spellEnd"/>
      <w:r w:rsidRPr="00CC28EC">
        <w:rPr>
          <w:sz w:val="24"/>
          <w:szCs w:val="24"/>
        </w:rPr>
        <w:t xml:space="preserve"> pe termen </w:t>
      </w:r>
      <w:proofErr w:type="spellStart"/>
      <w:r w:rsidRPr="00CC28EC">
        <w:rPr>
          <w:sz w:val="24"/>
          <w:szCs w:val="24"/>
        </w:rPr>
        <w:t>mediu</w:t>
      </w:r>
      <w:proofErr w:type="spellEnd"/>
      <w:r w:rsidRPr="00CC28EC">
        <w:rPr>
          <w:sz w:val="24"/>
          <w:szCs w:val="24"/>
        </w:rPr>
        <w:t xml:space="preserve"> </w:t>
      </w:r>
      <w:proofErr w:type="spellStart"/>
      <w:r w:rsidRPr="00CC28EC">
        <w:rPr>
          <w:sz w:val="24"/>
          <w:szCs w:val="24"/>
        </w:rPr>
        <w:t>şi</w:t>
      </w:r>
      <w:proofErr w:type="spellEnd"/>
      <w:r w:rsidRPr="00CC28EC">
        <w:rPr>
          <w:sz w:val="24"/>
          <w:szCs w:val="24"/>
        </w:rPr>
        <w:t xml:space="preserve"> lung a </w:t>
      </w:r>
      <w:proofErr w:type="spellStart"/>
      <w:r w:rsidRPr="00CC28EC">
        <w:rPr>
          <w:sz w:val="24"/>
          <w:szCs w:val="24"/>
        </w:rPr>
        <w:t>finanţelor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w:t>
      </w:r>
      <w:r w:rsidR="00034286"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acest</w:t>
      </w:r>
      <w:proofErr w:type="spellEnd"/>
      <w:r w:rsidRPr="00CC28EC">
        <w:rPr>
          <w:sz w:val="24"/>
          <w:szCs w:val="24"/>
        </w:rPr>
        <w:t xml:space="preserve"> context, </w:t>
      </w:r>
      <w:proofErr w:type="spellStart"/>
      <w:r w:rsidRPr="00CC28EC">
        <w:rPr>
          <w:sz w:val="24"/>
          <w:szCs w:val="24"/>
        </w:rPr>
        <w:t>articolul</w:t>
      </w:r>
      <w:proofErr w:type="spellEnd"/>
      <w:r w:rsidRPr="00CC28EC">
        <w:rPr>
          <w:sz w:val="24"/>
          <w:szCs w:val="24"/>
        </w:rPr>
        <w:t xml:space="preserve"> 1 </w:t>
      </w:r>
      <w:proofErr w:type="spellStart"/>
      <w:r w:rsidRPr="00CC28EC">
        <w:rPr>
          <w:sz w:val="24"/>
          <w:szCs w:val="24"/>
        </w:rPr>
        <w:t>arată</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se </w:t>
      </w:r>
      <w:proofErr w:type="spellStart"/>
      <w:r w:rsidRPr="00CC28EC">
        <w:rPr>
          <w:sz w:val="24"/>
          <w:szCs w:val="24"/>
        </w:rPr>
        <w:t>stabilesc</w:t>
      </w:r>
      <w:proofErr w:type="spellEnd"/>
      <w:r w:rsidRPr="00CC28EC">
        <w:rPr>
          <w:sz w:val="24"/>
          <w:szCs w:val="24"/>
        </w:rPr>
        <w:t xml:space="preserve"> principii </w:t>
      </w:r>
      <w:proofErr w:type="spellStart"/>
      <w:r w:rsidRPr="00CC28EC">
        <w:rPr>
          <w:sz w:val="24"/>
          <w:szCs w:val="24"/>
        </w:rPr>
        <w:t>şi</w:t>
      </w:r>
      <w:proofErr w:type="spellEnd"/>
      <w:r w:rsidRPr="00CC28EC">
        <w:rPr>
          <w:sz w:val="24"/>
          <w:szCs w:val="24"/>
        </w:rPr>
        <w:t xml:space="preserve"> reguli pe </w:t>
      </w:r>
      <w:proofErr w:type="spellStart"/>
      <w:r w:rsidRPr="00CC28EC">
        <w:rPr>
          <w:sz w:val="24"/>
          <w:szCs w:val="24"/>
        </w:rPr>
        <w:t>baza</w:t>
      </w:r>
      <w:proofErr w:type="spellEnd"/>
      <w:r w:rsidRPr="00CC28EC">
        <w:rPr>
          <w:sz w:val="24"/>
          <w:szCs w:val="24"/>
        </w:rPr>
        <w:t xml:space="preserve"> </w:t>
      </w:r>
      <w:proofErr w:type="spellStart"/>
      <w:r w:rsidRPr="00CC28EC">
        <w:rPr>
          <w:sz w:val="24"/>
          <w:szCs w:val="24"/>
        </w:rPr>
        <w:t>căruia</w:t>
      </w:r>
      <w:proofErr w:type="spellEnd"/>
      <w:r w:rsidRPr="00CC28EC">
        <w:rPr>
          <w:sz w:val="24"/>
          <w:szCs w:val="24"/>
        </w:rPr>
        <w:t xml:space="preserve"> </w:t>
      </w:r>
      <w:proofErr w:type="spellStart"/>
      <w:r w:rsidRPr="00CC28EC">
        <w:rPr>
          <w:sz w:val="24"/>
          <w:szCs w:val="24"/>
        </w:rPr>
        <w:t>Guvernul</w:t>
      </w:r>
      <w:proofErr w:type="spellEnd"/>
      <w:r w:rsidRPr="00CC28EC">
        <w:rPr>
          <w:sz w:val="24"/>
          <w:szCs w:val="24"/>
        </w:rPr>
        <w:t xml:space="preserve"> </w:t>
      </w:r>
      <w:proofErr w:type="spellStart"/>
      <w:r w:rsidR="00034286" w:rsidRPr="00CC28EC">
        <w:rPr>
          <w:sz w:val="24"/>
          <w:szCs w:val="24"/>
        </w:rPr>
        <w:t>trebuie</w:t>
      </w:r>
      <w:proofErr w:type="spellEnd"/>
      <w:r w:rsidR="00034286" w:rsidRPr="00CC28EC">
        <w:rPr>
          <w:sz w:val="24"/>
          <w:szCs w:val="24"/>
        </w:rPr>
        <w:t xml:space="preserve"> </w:t>
      </w:r>
      <w:proofErr w:type="spellStart"/>
      <w:r w:rsidR="00034286" w:rsidRPr="00CC28EC">
        <w:rPr>
          <w:sz w:val="24"/>
          <w:szCs w:val="24"/>
        </w:rPr>
        <w:t>să</w:t>
      </w:r>
      <w:proofErr w:type="spellEnd"/>
      <w:r w:rsidRPr="00CC28EC">
        <w:rPr>
          <w:sz w:val="24"/>
          <w:szCs w:val="24"/>
        </w:rPr>
        <w:t xml:space="preserve"> </w:t>
      </w:r>
      <w:proofErr w:type="spellStart"/>
      <w:r w:rsidRPr="00CC28EC">
        <w:rPr>
          <w:sz w:val="24"/>
          <w:szCs w:val="24"/>
        </w:rPr>
        <w:t>asigure</w:t>
      </w:r>
      <w:proofErr w:type="spellEnd"/>
      <w:r w:rsidR="00034286" w:rsidRPr="00CC28EC">
        <w:rPr>
          <w:sz w:val="24"/>
          <w:szCs w:val="24"/>
        </w:rPr>
        <w:t xml:space="preserve"> </w:t>
      </w:r>
      <w:proofErr w:type="spellStart"/>
      <w:r w:rsidRPr="00CC28EC">
        <w:rPr>
          <w:sz w:val="24"/>
          <w:szCs w:val="24"/>
        </w:rPr>
        <w:t>implementarea</w:t>
      </w:r>
      <w:proofErr w:type="spellEnd"/>
      <w:r w:rsidRPr="00CC28EC">
        <w:rPr>
          <w:sz w:val="24"/>
          <w:szCs w:val="24"/>
        </w:rPr>
        <w:t xml:space="preserve"> </w:t>
      </w:r>
      <w:proofErr w:type="spellStart"/>
      <w:r w:rsidRPr="00CC28EC">
        <w:rPr>
          <w:sz w:val="24"/>
          <w:szCs w:val="24"/>
        </w:rPr>
        <w:t>politicilor</w:t>
      </w:r>
      <w:proofErr w:type="spellEnd"/>
      <w:r w:rsidRPr="00CC28EC">
        <w:rPr>
          <w:sz w:val="24"/>
          <w:szCs w:val="24"/>
        </w:rPr>
        <w:t xml:space="preserve"> fiscal-</w:t>
      </w:r>
      <w:proofErr w:type="spellStart"/>
      <w:r w:rsidRPr="00CC28EC">
        <w:rPr>
          <w:sz w:val="24"/>
          <w:szCs w:val="24"/>
        </w:rPr>
        <w:t>bugetare</w:t>
      </w:r>
      <w:proofErr w:type="spellEnd"/>
      <w:r w:rsidRPr="00CC28EC">
        <w:rPr>
          <w:sz w:val="24"/>
          <w:szCs w:val="24"/>
        </w:rPr>
        <w:t xml:space="preserve"> care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conducă</w:t>
      </w:r>
      <w:proofErr w:type="spellEnd"/>
      <w:r w:rsidRPr="00CC28EC">
        <w:rPr>
          <w:sz w:val="24"/>
          <w:szCs w:val="24"/>
        </w:rPr>
        <w:t xml:space="preserve"> la o </w:t>
      </w:r>
      <w:proofErr w:type="spellStart"/>
      <w:r w:rsidRPr="00CC28EC">
        <w:rPr>
          <w:sz w:val="24"/>
          <w:szCs w:val="24"/>
        </w:rPr>
        <w:t>bună</w:t>
      </w:r>
      <w:proofErr w:type="spellEnd"/>
      <w:r w:rsidRPr="00CC28EC">
        <w:rPr>
          <w:sz w:val="24"/>
          <w:szCs w:val="24"/>
        </w:rPr>
        <w:t xml:space="preserve"> </w:t>
      </w:r>
      <w:proofErr w:type="spellStart"/>
      <w:r w:rsidRPr="00CC28EC">
        <w:rPr>
          <w:sz w:val="24"/>
          <w:szCs w:val="24"/>
        </w:rPr>
        <w:t>gestiune</w:t>
      </w:r>
      <w:proofErr w:type="spellEnd"/>
      <w:r w:rsidRPr="00CC28EC">
        <w:rPr>
          <w:sz w:val="24"/>
          <w:szCs w:val="24"/>
        </w:rPr>
        <w:t xml:space="preserve"> </w:t>
      </w:r>
      <w:proofErr w:type="spellStart"/>
      <w:r w:rsidRPr="00CC28EC">
        <w:rPr>
          <w:sz w:val="24"/>
          <w:szCs w:val="24"/>
        </w:rPr>
        <w:t>financiară</w:t>
      </w:r>
      <w:proofErr w:type="spellEnd"/>
      <w:r w:rsidRPr="00CC28EC">
        <w:rPr>
          <w:sz w:val="24"/>
          <w:szCs w:val="24"/>
        </w:rPr>
        <w:t xml:space="preserve"> a</w:t>
      </w:r>
      <w:r w:rsidR="00034286" w:rsidRPr="00CC28EC">
        <w:rPr>
          <w:sz w:val="24"/>
          <w:szCs w:val="24"/>
        </w:rPr>
        <w:t xml:space="preserve"> </w:t>
      </w:r>
      <w:proofErr w:type="spellStart"/>
      <w:r w:rsidRPr="00CC28EC">
        <w:rPr>
          <w:sz w:val="24"/>
          <w:szCs w:val="24"/>
        </w:rPr>
        <w:t>resurselor</w:t>
      </w:r>
      <w:proofErr w:type="spellEnd"/>
      <w:r w:rsidR="00034286" w:rsidRPr="00CC28EC">
        <w:rPr>
          <w:sz w:val="24"/>
          <w:szCs w:val="24"/>
        </w:rPr>
        <w:t xml:space="preserve"> precum </w:t>
      </w:r>
      <w:proofErr w:type="spellStart"/>
      <w:r w:rsidR="00034286" w:rsidRPr="00CC28EC">
        <w:rPr>
          <w:sz w:val="24"/>
          <w:szCs w:val="24"/>
        </w:rPr>
        <w:t>și</w:t>
      </w:r>
      <w:proofErr w:type="spellEnd"/>
      <w:r w:rsidR="00034286" w:rsidRPr="00CC28EC">
        <w:rPr>
          <w:sz w:val="24"/>
          <w:szCs w:val="24"/>
        </w:rPr>
        <w:t xml:space="preserve"> la „</w:t>
      </w:r>
      <w:proofErr w:type="spellStart"/>
      <w:r w:rsidRPr="00CC28EC">
        <w:rPr>
          <w:i/>
          <w:iCs/>
          <w:sz w:val="24"/>
          <w:szCs w:val="24"/>
        </w:rPr>
        <w:t>gestionarea</w:t>
      </w:r>
      <w:proofErr w:type="spellEnd"/>
      <w:r w:rsidRPr="00CC28EC">
        <w:rPr>
          <w:i/>
          <w:iCs/>
          <w:sz w:val="24"/>
          <w:szCs w:val="24"/>
        </w:rPr>
        <w:t xml:space="preserve"> </w:t>
      </w:r>
      <w:proofErr w:type="spellStart"/>
      <w:r w:rsidRPr="00CC28EC">
        <w:rPr>
          <w:i/>
          <w:iCs/>
          <w:sz w:val="24"/>
          <w:szCs w:val="24"/>
        </w:rPr>
        <w:t>eficientă</w:t>
      </w:r>
      <w:proofErr w:type="spellEnd"/>
      <w:r w:rsidRPr="00CC28EC">
        <w:rPr>
          <w:i/>
          <w:iCs/>
          <w:sz w:val="24"/>
          <w:szCs w:val="24"/>
        </w:rPr>
        <w:t xml:space="preserve"> a </w:t>
      </w:r>
      <w:proofErr w:type="spellStart"/>
      <w:r w:rsidRPr="00CC28EC">
        <w:rPr>
          <w:i/>
          <w:iCs/>
          <w:sz w:val="24"/>
          <w:szCs w:val="24"/>
        </w:rPr>
        <w:t>finanţelor</w:t>
      </w:r>
      <w:proofErr w:type="spellEnd"/>
      <w:r w:rsidRPr="00CC28EC">
        <w:rPr>
          <w:i/>
          <w:iCs/>
          <w:sz w:val="24"/>
          <w:szCs w:val="24"/>
        </w:rPr>
        <w:t xml:space="preserve"> </w:t>
      </w:r>
      <w:proofErr w:type="spellStart"/>
      <w:r w:rsidRPr="00CC28EC">
        <w:rPr>
          <w:i/>
          <w:iCs/>
          <w:sz w:val="24"/>
          <w:szCs w:val="24"/>
        </w:rPr>
        <w:t>publice</w:t>
      </w:r>
      <w:proofErr w:type="spellEnd"/>
      <w:r w:rsidRPr="00CC28EC">
        <w:rPr>
          <w:i/>
          <w:iCs/>
          <w:sz w:val="24"/>
          <w:szCs w:val="24"/>
        </w:rPr>
        <w:t xml:space="preserve"> </w:t>
      </w:r>
      <w:proofErr w:type="spellStart"/>
      <w:r w:rsidRPr="00CC28EC">
        <w:rPr>
          <w:i/>
          <w:iCs/>
          <w:sz w:val="24"/>
          <w:szCs w:val="24"/>
        </w:rPr>
        <w:t>pentru</w:t>
      </w:r>
      <w:proofErr w:type="spellEnd"/>
      <w:r w:rsidRPr="00CC28EC">
        <w:rPr>
          <w:i/>
          <w:iCs/>
          <w:sz w:val="24"/>
          <w:szCs w:val="24"/>
        </w:rPr>
        <w:t xml:space="preserve"> a </w:t>
      </w:r>
      <w:proofErr w:type="spellStart"/>
      <w:r w:rsidRPr="00CC28EC">
        <w:rPr>
          <w:i/>
          <w:iCs/>
          <w:sz w:val="24"/>
          <w:szCs w:val="24"/>
        </w:rPr>
        <w:t>servi</w:t>
      </w:r>
      <w:proofErr w:type="spellEnd"/>
      <w:r w:rsidRPr="00CC28EC">
        <w:rPr>
          <w:i/>
          <w:iCs/>
          <w:sz w:val="24"/>
          <w:szCs w:val="24"/>
        </w:rPr>
        <w:t xml:space="preserve"> </w:t>
      </w:r>
      <w:proofErr w:type="spellStart"/>
      <w:r w:rsidRPr="00CC28EC">
        <w:rPr>
          <w:i/>
          <w:iCs/>
          <w:sz w:val="24"/>
          <w:szCs w:val="24"/>
        </w:rPr>
        <w:t>interesul</w:t>
      </w:r>
      <w:proofErr w:type="spellEnd"/>
      <w:r w:rsidRPr="00CC28EC">
        <w:rPr>
          <w:i/>
          <w:iCs/>
          <w:sz w:val="24"/>
          <w:szCs w:val="24"/>
        </w:rPr>
        <w:t xml:space="preserve"> public pe termen lung,</w:t>
      </w:r>
      <w:r w:rsidR="00034286" w:rsidRPr="00CC28EC">
        <w:rPr>
          <w:i/>
          <w:iCs/>
          <w:sz w:val="24"/>
          <w:szCs w:val="24"/>
        </w:rPr>
        <w:t xml:space="preserve"> </w:t>
      </w:r>
      <w:proofErr w:type="spellStart"/>
      <w:r w:rsidRPr="00CC28EC">
        <w:rPr>
          <w:i/>
          <w:iCs/>
          <w:sz w:val="24"/>
          <w:szCs w:val="24"/>
        </w:rPr>
        <w:t>asigurarea</w:t>
      </w:r>
      <w:proofErr w:type="spellEnd"/>
      <w:r w:rsidRPr="00CC28EC">
        <w:rPr>
          <w:i/>
          <w:iCs/>
          <w:sz w:val="24"/>
          <w:szCs w:val="24"/>
        </w:rPr>
        <w:t xml:space="preserve"> </w:t>
      </w:r>
      <w:proofErr w:type="spellStart"/>
      <w:r w:rsidRPr="00CC28EC">
        <w:rPr>
          <w:i/>
          <w:iCs/>
          <w:sz w:val="24"/>
          <w:szCs w:val="24"/>
        </w:rPr>
        <w:t>prosperităţii</w:t>
      </w:r>
      <w:proofErr w:type="spellEnd"/>
      <w:r w:rsidRPr="00CC28EC">
        <w:rPr>
          <w:i/>
          <w:iCs/>
          <w:sz w:val="24"/>
          <w:szCs w:val="24"/>
        </w:rPr>
        <w:t xml:space="preserve"> </w:t>
      </w:r>
      <w:proofErr w:type="spellStart"/>
      <w:r w:rsidRPr="00CC28EC">
        <w:rPr>
          <w:i/>
          <w:iCs/>
          <w:sz w:val="24"/>
          <w:szCs w:val="24"/>
        </w:rPr>
        <w:t>economice</w:t>
      </w:r>
      <w:proofErr w:type="spellEnd"/>
      <w:r w:rsidRPr="00CC28EC">
        <w:rPr>
          <w:i/>
          <w:iCs/>
          <w:sz w:val="24"/>
          <w:szCs w:val="24"/>
        </w:rPr>
        <w:t xml:space="preserve"> </w:t>
      </w:r>
      <w:proofErr w:type="spellStart"/>
      <w:r w:rsidRPr="00CC28EC">
        <w:rPr>
          <w:i/>
          <w:iCs/>
          <w:sz w:val="24"/>
          <w:szCs w:val="24"/>
        </w:rPr>
        <w:t>şi</w:t>
      </w:r>
      <w:proofErr w:type="spellEnd"/>
      <w:r w:rsidRPr="00CC28EC">
        <w:rPr>
          <w:i/>
          <w:iCs/>
          <w:sz w:val="24"/>
          <w:szCs w:val="24"/>
        </w:rPr>
        <w:t xml:space="preserve"> </w:t>
      </w:r>
      <w:proofErr w:type="spellStart"/>
      <w:r w:rsidRPr="00CC28EC">
        <w:rPr>
          <w:i/>
          <w:iCs/>
          <w:sz w:val="24"/>
          <w:szCs w:val="24"/>
        </w:rPr>
        <w:t>ancorarea</w:t>
      </w:r>
      <w:proofErr w:type="spellEnd"/>
      <w:r w:rsidRPr="00CC28EC">
        <w:rPr>
          <w:i/>
          <w:iCs/>
          <w:sz w:val="24"/>
          <w:szCs w:val="24"/>
        </w:rPr>
        <w:t xml:space="preserve"> </w:t>
      </w:r>
      <w:proofErr w:type="spellStart"/>
      <w:r w:rsidRPr="00CC28EC">
        <w:rPr>
          <w:i/>
          <w:iCs/>
          <w:sz w:val="24"/>
          <w:szCs w:val="24"/>
        </w:rPr>
        <w:t>politicilor</w:t>
      </w:r>
      <w:proofErr w:type="spellEnd"/>
      <w:r w:rsidRPr="00CC28EC">
        <w:rPr>
          <w:i/>
          <w:iCs/>
          <w:sz w:val="24"/>
          <w:szCs w:val="24"/>
        </w:rPr>
        <w:t xml:space="preserve"> fiscal-</w:t>
      </w:r>
      <w:proofErr w:type="spellStart"/>
      <w:r w:rsidRPr="00CC28EC">
        <w:rPr>
          <w:i/>
          <w:iCs/>
          <w:sz w:val="24"/>
          <w:szCs w:val="24"/>
        </w:rPr>
        <w:t>bugetare</w:t>
      </w:r>
      <w:proofErr w:type="spellEnd"/>
      <w:r w:rsidRPr="00CC28EC">
        <w:rPr>
          <w:i/>
          <w:iCs/>
          <w:sz w:val="24"/>
          <w:szCs w:val="24"/>
        </w:rPr>
        <w:t xml:space="preserve"> </w:t>
      </w:r>
      <w:proofErr w:type="spellStart"/>
      <w:r w:rsidRPr="00CC28EC">
        <w:rPr>
          <w:i/>
          <w:iCs/>
          <w:sz w:val="24"/>
          <w:szCs w:val="24"/>
        </w:rPr>
        <w:t>într</w:t>
      </w:r>
      <w:proofErr w:type="spellEnd"/>
      <w:r w:rsidRPr="00CC28EC">
        <w:rPr>
          <w:i/>
          <w:iCs/>
          <w:sz w:val="24"/>
          <w:szCs w:val="24"/>
        </w:rPr>
        <w:t xml:space="preserve">-un </w:t>
      </w:r>
      <w:proofErr w:type="spellStart"/>
      <w:r w:rsidRPr="00CC28EC">
        <w:rPr>
          <w:i/>
          <w:iCs/>
          <w:sz w:val="24"/>
          <w:szCs w:val="24"/>
        </w:rPr>
        <w:t>cadru</w:t>
      </w:r>
      <w:proofErr w:type="spellEnd"/>
      <w:r w:rsidR="00034286" w:rsidRPr="00CC28EC">
        <w:rPr>
          <w:i/>
          <w:iCs/>
          <w:sz w:val="24"/>
          <w:szCs w:val="24"/>
        </w:rPr>
        <w:t xml:space="preserve"> </w:t>
      </w:r>
      <w:proofErr w:type="spellStart"/>
      <w:r w:rsidRPr="00CC28EC">
        <w:rPr>
          <w:i/>
          <w:iCs/>
          <w:sz w:val="24"/>
          <w:szCs w:val="24"/>
        </w:rPr>
        <w:t>durabil</w:t>
      </w:r>
      <w:proofErr w:type="spellEnd"/>
      <w:r w:rsidRPr="00CC28EC">
        <w:rPr>
          <w:i/>
          <w:iCs/>
          <w:sz w:val="24"/>
          <w:szCs w:val="24"/>
        </w:rPr>
        <w:t>.</w:t>
      </w:r>
      <w:r w:rsidR="00034286" w:rsidRPr="00CC28EC">
        <w:rPr>
          <w:sz w:val="24"/>
          <w:szCs w:val="24"/>
        </w:rPr>
        <w:t>”</w:t>
      </w:r>
    </w:p>
    <w:p w14:paraId="688A35D0" w14:textId="3AACB6C9" w:rsidR="00F4130F" w:rsidRPr="00CC28EC" w:rsidRDefault="00F4130F" w:rsidP="00F4130F">
      <w:pPr>
        <w:jc w:val="both"/>
        <w:rPr>
          <w:sz w:val="24"/>
          <w:szCs w:val="24"/>
        </w:rPr>
      </w:pPr>
      <w:r w:rsidRPr="00CC28EC">
        <w:rPr>
          <w:sz w:val="24"/>
          <w:szCs w:val="24"/>
        </w:rPr>
        <w:tab/>
      </w:r>
      <w:proofErr w:type="spellStart"/>
      <w:r w:rsidRPr="00CC28EC">
        <w:rPr>
          <w:sz w:val="24"/>
          <w:szCs w:val="24"/>
        </w:rPr>
        <w:t>Guvernul</w:t>
      </w:r>
      <w:proofErr w:type="spellEnd"/>
      <w:r w:rsidRPr="00CC28EC">
        <w:rPr>
          <w:sz w:val="24"/>
          <w:szCs w:val="24"/>
        </w:rPr>
        <w:t xml:space="preserve"> are </w:t>
      </w:r>
      <w:proofErr w:type="spellStart"/>
      <w:r w:rsidRPr="00CC28EC">
        <w:rPr>
          <w:sz w:val="24"/>
          <w:szCs w:val="24"/>
        </w:rPr>
        <w:t>obligaţia</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îndeplinească</w:t>
      </w:r>
      <w:proofErr w:type="spellEnd"/>
      <w:r w:rsidRPr="00CC28EC">
        <w:rPr>
          <w:sz w:val="24"/>
          <w:szCs w:val="24"/>
        </w:rPr>
        <w:t xml:space="preserve"> </w:t>
      </w:r>
      <w:proofErr w:type="spellStart"/>
      <w:r w:rsidRPr="00CC28EC">
        <w:rPr>
          <w:sz w:val="24"/>
          <w:szCs w:val="24"/>
        </w:rPr>
        <w:t>obiectivele</w:t>
      </w:r>
      <w:proofErr w:type="spellEnd"/>
      <w:r w:rsidRPr="00CC28EC">
        <w:rPr>
          <w:sz w:val="24"/>
          <w:szCs w:val="24"/>
        </w:rPr>
        <w:t xml:space="preserve"> de </w:t>
      </w:r>
      <w:proofErr w:type="spellStart"/>
      <w:r w:rsidRPr="00CC28EC">
        <w:rPr>
          <w:sz w:val="24"/>
          <w:szCs w:val="24"/>
        </w:rPr>
        <w:t>politică</w:t>
      </w:r>
      <w:proofErr w:type="spellEnd"/>
      <w:r w:rsidRPr="00CC28EC">
        <w:rPr>
          <w:sz w:val="24"/>
          <w:szCs w:val="24"/>
        </w:rPr>
        <w:t xml:space="preserve"> fiscal – </w:t>
      </w:r>
      <w:proofErr w:type="spellStart"/>
      <w:r w:rsidRPr="00CC28EC">
        <w:rPr>
          <w:sz w:val="24"/>
          <w:szCs w:val="24"/>
        </w:rPr>
        <w:t>bugetară</w:t>
      </w:r>
      <w:proofErr w:type="spellEnd"/>
      <w:r w:rsidRPr="00CC28EC">
        <w:rPr>
          <w:sz w:val="24"/>
          <w:szCs w:val="24"/>
        </w:rPr>
        <w:t xml:space="preserve">, </w:t>
      </w:r>
      <w:proofErr w:type="spellStart"/>
      <w:r w:rsidRPr="00CC28EC">
        <w:rPr>
          <w:sz w:val="24"/>
          <w:szCs w:val="24"/>
        </w:rPr>
        <w:t>obiectivele</w:t>
      </w:r>
      <w:proofErr w:type="spellEnd"/>
      <w:r w:rsidRPr="00CC28EC">
        <w:rPr>
          <w:sz w:val="24"/>
          <w:szCs w:val="24"/>
        </w:rPr>
        <w:t xml:space="preserve"> </w:t>
      </w:r>
      <w:proofErr w:type="spellStart"/>
      <w:r w:rsidRPr="00CC28EC">
        <w:rPr>
          <w:sz w:val="24"/>
          <w:szCs w:val="24"/>
        </w:rPr>
        <w:t>politicii</w:t>
      </w:r>
      <w:proofErr w:type="spellEnd"/>
      <w:r w:rsidRPr="00CC28EC">
        <w:rPr>
          <w:sz w:val="24"/>
          <w:szCs w:val="24"/>
        </w:rPr>
        <w:t xml:space="preserve"> fiscal - </w:t>
      </w:r>
      <w:proofErr w:type="spellStart"/>
      <w:r w:rsidRPr="00CC28EC">
        <w:rPr>
          <w:sz w:val="24"/>
          <w:szCs w:val="24"/>
        </w:rPr>
        <w:t>bugetare</w:t>
      </w:r>
      <w:proofErr w:type="spellEnd"/>
      <w:r w:rsidRPr="00CC28EC">
        <w:rPr>
          <w:sz w:val="24"/>
          <w:szCs w:val="24"/>
        </w:rPr>
        <w:t xml:space="preserve"> </w:t>
      </w:r>
      <w:proofErr w:type="spellStart"/>
      <w:r w:rsidRPr="00CC28EC">
        <w:rPr>
          <w:sz w:val="24"/>
          <w:szCs w:val="24"/>
        </w:rPr>
        <w:t>fiind</w:t>
      </w:r>
      <w:proofErr w:type="spellEnd"/>
      <w:r w:rsidRPr="00CC28EC">
        <w:rPr>
          <w:sz w:val="24"/>
          <w:szCs w:val="24"/>
        </w:rPr>
        <w:t>:</w:t>
      </w:r>
    </w:p>
    <w:p w14:paraId="193F56E3" w14:textId="0EECFF42" w:rsidR="00F4130F" w:rsidRPr="00CC28EC" w:rsidRDefault="00F4130F" w:rsidP="00F4130F">
      <w:pPr>
        <w:jc w:val="both"/>
        <w:rPr>
          <w:i/>
          <w:iCs/>
          <w:sz w:val="24"/>
          <w:szCs w:val="24"/>
        </w:rPr>
      </w:pPr>
      <w:r w:rsidRPr="00CC28EC">
        <w:rPr>
          <w:i/>
          <w:iCs/>
          <w:sz w:val="24"/>
          <w:szCs w:val="24"/>
        </w:rPr>
        <w:t xml:space="preserve">„a) </w:t>
      </w:r>
      <w:proofErr w:type="spellStart"/>
      <w:r w:rsidRPr="00CC28EC">
        <w:rPr>
          <w:i/>
          <w:iCs/>
          <w:sz w:val="24"/>
          <w:szCs w:val="24"/>
        </w:rPr>
        <w:t>menţinerea</w:t>
      </w:r>
      <w:proofErr w:type="spellEnd"/>
      <w:r w:rsidRPr="00CC28EC">
        <w:rPr>
          <w:i/>
          <w:iCs/>
          <w:sz w:val="24"/>
          <w:szCs w:val="24"/>
        </w:rPr>
        <w:t xml:space="preserve"> </w:t>
      </w:r>
      <w:proofErr w:type="spellStart"/>
      <w:r w:rsidRPr="00CC28EC">
        <w:rPr>
          <w:i/>
          <w:iCs/>
          <w:sz w:val="24"/>
          <w:szCs w:val="24"/>
        </w:rPr>
        <w:t>datoriei</w:t>
      </w:r>
      <w:proofErr w:type="spellEnd"/>
      <w:r w:rsidRPr="00CC28EC">
        <w:rPr>
          <w:i/>
          <w:iCs/>
          <w:sz w:val="24"/>
          <w:szCs w:val="24"/>
        </w:rPr>
        <w:t xml:space="preserve"> </w:t>
      </w:r>
      <w:proofErr w:type="spellStart"/>
      <w:r w:rsidRPr="00CC28EC">
        <w:rPr>
          <w:i/>
          <w:iCs/>
          <w:sz w:val="24"/>
          <w:szCs w:val="24"/>
        </w:rPr>
        <w:t>publice</w:t>
      </w:r>
      <w:proofErr w:type="spellEnd"/>
      <w:r w:rsidRPr="00CC28EC">
        <w:rPr>
          <w:i/>
          <w:iCs/>
          <w:sz w:val="24"/>
          <w:szCs w:val="24"/>
        </w:rPr>
        <w:t xml:space="preserve"> la un </w:t>
      </w:r>
      <w:proofErr w:type="spellStart"/>
      <w:r w:rsidRPr="00CC28EC">
        <w:rPr>
          <w:i/>
          <w:iCs/>
          <w:sz w:val="24"/>
          <w:szCs w:val="24"/>
        </w:rPr>
        <w:t>nivel</w:t>
      </w:r>
      <w:proofErr w:type="spellEnd"/>
      <w:r w:rsidRPr="00CC28EC">
        <w:rPr>
          <w:i/>
          <w:iCs/>
          <w:sz w:val="24"/>
          <w:szCs w:val="24"/>
        </w:rPr>
        <w:t xml:space="preserve"> </w:t>
      </w:r>
      <w:proofErr w:type="spellStart"/>
      <w:r w:rsidRPr="00CC28EC">
        <w:rPr>
          <w:i/>
          <w:iCs/>
          <w:sz w:val="24"/>
          <w:szCs w:val="24"/>
        </w:rPr>
        <w:t>sustenabil</w:t>
      </w:r>
      <w:proofErr w:type="spellEnd"/>
      <w:r w:rsidRPr="00CC28EC">
        <w:rPr>
          <w:i/>
          <w:iCs/>
          <w:sz w:val="24"/>
          <w:szCs w:val="24"/>
        </w:rPr>
        <w:t xml:space="preserve"> pe termen </w:t>
      </w:r>
      <w:proofErr w:type="spellStart"/>
      <w:r w:rsidRPr="00CC28EC">
        <w:rPr>
          <w:i/>
          <w:iCs/>
          <w:sz w:val="24"/>
          <w:szCs w:val="24"/>
        </w:rPr>
        <w:t>mediu</w:t>
      </w:r>
      <w:proofErr w:type="spellEnd"/>
      <w:r w:rsidRPr="00CC28EC">
        <w:rPr>
          <w:i/>
          <w:iCs/>
          <w:sz w:val="24"/>
          <w:szCs w:val="24"/>
        </w:rPr>
        <w:t xml:space="preserve"> </w:t>
      </w:r>
      <w:proofErr w:type="spellStart"/>
      <w:r w:rsidRPr="00CC28EC">
        <w:rPr>
          <w:i/>
          <w:iCs/>
          <w:sz w:val="24"/>
          <w:szCs w:val="24"/>
        </w:rPr>
        <w:t>şi</w:t>
      </w:r>
      <w:proofErr w:type="spellEnd"/>
      <w:r w:rsidRPr="00CC28EC">
        <w:rPr>
          <w:i/>
          <w:iCs/>
          <w:sz w:val="24"/>
          <w:szCs w:val="24"/>
        </w:rPr>
        <w:t xml:space="preserve"> lung;</w:t>
      </w:r>
    </w:p>
    <w:p w14:paraId="2DD8DEB1" w14:textId="75AD7B12" w:rsidR="00F4130F" w:rsidRPr="00CC28EC" w:rsidRDefault="00F4130F" w:rsidP="00F4130F">
      <w:pPr>
        <w:jc w:val="both"/>
        <w:rPr>
          <w:i/>
          <w:iCs/>
          <w:sz w:val="24"/>
          <w:szCs w:val="24"/>
        </w:rPr>
      </w:pPr>
      <w:r w:rsidRPr="00CC28EC">
        <w:rPr>
          <w:i/>
          <w:iCs/>
          <w:sz w:val="24"/>
          <w:szCs w:val="24"/>
        </w:rPr>
        <w:t xml:space="preserve">b) </w:t>
      </w:r>
      <w:proofErr w:type="spellStart"/>
      <w:r w:rsidRPr="00CC28EC">
        <w:rPr>
          <w:i/>
          <w:iCs/>
          <w:sz w:val="24"/>
          <w:szCs w:val="24"/>
        </w:rPr>
        <w:t>gestionarea</w:t>
      </w:r>
      <w:proofErr w:type="spellEnd"/>
      <w:r w:rsidRPr="00CC28EC">
        <w:rPr>
          <w:i/>
          <w:iCs/>
          <w:sz w:val="24"/>
          <w:szCs w:val="24"/>
        </w:rPr>
        <w:t xml:space="preserve"> </w:t>
      </w:r>
      <w:proofErr w:type="spellStart"/>
      <w:r w:rsidRPr="00CC28EC">
        <w:rPr>
          <w:i/>
          <w:iCs/>
          <w:sz w:val="24"/>
          <w:szCs w:val="24"/>
        </w:rPr>
        <w:t>prudentă</w:t>
      </w:r>
      <w:proofErr w:type="spellEnd"/>
      <w:r w:rsidRPr="00CC28EC">
        <w:rPr>
          <w:i/>
          <w:iCs/>
          <w:sz w:val="24"/>
          <w:szCs w:val="24"/>
        </w:rPr>
        <w:t xml:space="preserve"> a </w:t>
      </w:r>
      <w:proofErr w:type="spellStart"/>
      <w:r w:rsidRPr="00CC28EC">
        <w:rPr>
          <w:i/>
          <w:iCs/>
          <w:sz w:val="24"/>
          <w:szCs w:val="24"/>
        </w:rPr>
        <w:t>resurselor</w:t>
      </w:r>
      <w:proofErr w:type="spellEnd"/>
      <w:r w:rsidRPr="00CC28EC">
        <w:rPr>
          <w:i/>
          <w:iCs/>
          <w:sz w:val="24"/>
          <w:szCs w:val="24"/>
        </w:rPr>
        <w:t xml:space="preserve"> </w:t>
      </w:r>
      <w:proofErr w:type="spellStart"/>
      <w:r w:rsidRPr="00CC28EC">
        <w:rPr>
          <w:i/>
          <w:iCs/>
          <w:sz w:val="24"/>
          <w:szCs w:val="24"/>
        </w:rPr>
        <w:t>şi</w:t>
      </w:r>
      <w:proofErr w:type="spellEnd"/>
      <w:r w:rsidRPr="00CC28EC">
        <w:rPr>
          <w:i/>
          <w:iCs/>
          <w:sz w:val="24"/>
          <w:szCs w:val="24"/>
        </w:rPr>
        <w:t xml:space="preserve"> </w:t>
      </w:r>
      <w:proofErr w:type="gramStart"/>
      <w:r w:rsidRPr="00CC28EC">
        <w:rPr>
          <w:i/>
          <w:iCs/>
          <w:sz w:val="24"/>
          <w:szCs w:val="24"/>
        </w:rPr>
        <w:t>a</w:t>
      </w:r>
      <w:proofErr w:type="gramEnd"/>
      <w:r w:rsidRPr="00CC28EC">
        <w:rPr>
          <w:i/>
          <w:iCs/>
          <w:sz w:val="24"/>
          <w:szCs w:val="24"/>
        </w:rPr>
        <w:t xml:space="preserve"> </w:t>
      </w:r>
      <w:proofErr w:type="spellStart"/>
      <w:r w:rsidRPr="00CC28EC">
        <w:rPr>
          <w:i/>
          <w:iCs/>
          <w:sz w:val="24"/>
          <w:szCs w:val="24"/>
        </w:rPr>
        <w:t>obligaţiilor</w:t>
      </w:r>
      <w:proofErr w:type="spellEnd"/>
      <w:r w:rsidRPr="00CC28EC">
        <w:rPr>
          <w:i/>
          <w:iCs/>
          <w:sz w:val="24"/>
          <w:szCs w:val="24"/>
        </w:rPr>
        <w:t xml:space="preserve"> </w:t>
      </w:r>
      <w:proofErr w:type="spellStart"/>
      <w:r w:rsidRPr="00CC28EC">
        <w:rPr>
          <w:i/>
          <w:iCs/>
          <w:sz w:val="24"/>
          <w:szCs w:val="24"/>
        </w:rPr>
        <w:t>asumate</w:t>
      </w:r>
      <w:proofErr w:type="spellEnd"/>
      <w:r w:rsidRPr="00CC28EC">
        <w:rPr>
          <w:i/>
          <w:iCs/>
          <w:sz w:val="24"/>
          <w:szCs w:val="24"/>
        </w:rPr>
        <w:t xml:space="preserve"> ale </w:t>
      </w:r>
      <w:proofErr w:type="spellStart"/>
      <w:r w:rsidRPr="00CC28EC">
        <w:rPr>
          <w:i/>
          <w:iCs/>
          <w:sz w:val="24"/>
          <w:szCs w:val="24"/>
        </w:rPr>
        <w:t>sectorului</w:t>
      </w:r>
      <w:proofErr w:type="spellEnd"/>
      <w:r w:rsidRPr="00CC28EC">
        <w:rPr>
          <w:i/>
          <w:iCs/>
          <w:sz w:val="24"/>
          <w:szCs w:val="24"/>
        </w:rPr>
        <w:t xml:space="preserve"> public </w:t>
      </w:r>
      <w:proofErr w:type="spellStart"/>
      <w:r w:rsidRPr="00CC28EC">
        <w:rPr>
          <w:i/>
          <w:iCs/>
          <w:sz w:val="24"/>
          <w:szCs w:val="24"/>
        </w:rPr>
        <w:t>şi</w:t>
      </w:r>
      <w:proofErr w:type="spellEnd"/>
      <w:r w:rsidRPr="00CC28EC">
        <w:rPr>
          <w:i/>
          <w:iCs/>
          <w:sz w:val="24"/>
          <w:szCs w:val="24"/>
        </w:rPr>
        <w:t xml:space="preserve"> a </w:t>
      </w:r>
      <w:proofErr w:type="spellStart"/>
      <w:r w:rsidRPr="00CC28EC">
        <w:rPr>
          <w:i/>
          <w:iCs/>
          <w:sz w:val="24"/>
          <w:szCs w:val="24"/>
        </w:rPr>
        <w:t>riscurilor</w:t>
      </w:r>
      <w:proofErr w:type="spellEnd"/>
      <w:r w:rsidRPr="00CC28EC">
        <w:rPr>
          <w:i/>
          <w:iCs/>
          <w:sz w:val="24"/>
          <w:szCs w:val="24"/>
        </w:rPr>
        <w:t xml:space="preserve"> fiscal - </w:t>
      </w:r>
      <w:proofErr w:type="spellStart"/>
      <w:r w:rsidRPr="00CC28EC">
        <w:rPr>
          <w:i/>
          <w:iCs/>
          <w:sz w:val="24"/>
          <w:szCs w:val="24"/>
        </w:rPr>
        <w:t>bugetare</w:t>
      </w:r>
      <w:proofErr w:type="spellEnd"/>
      <w:r w:rsidRPr="00CC28EC">
        <w:rPr>
          <w:i/>
          <w:iCs/>
          <w:sz w:val="24"/>
          <w:szCs w:val="24"/>
        </w:rPr>
        <w:t>;</w:t>
      </w:r>
    </w:p>
    <w:p w14:paraId="73E40038" w14:textId="77777777" w:rsidR="00F4130F" w:rsidRPr="00CC28EC" w:rsidRDefault="00F4130F" w:rsidP="00F4130F">
      <w:pPr>
        <w:jc w:val="both"/>
        <w:rPr>
          <w:i/>
          <w:iCs/>
          <w:sz w:val="24"/>
          <w:szCs w:val="24"/>
        </w:rPr>
      </w:pPr>
      <w:r w:rsidRPr="00CC28EC">
        <w:rPr>
          <w:i/>
          <w:iCs/>
          <w:sz w:val="24"/>
          <w:szCs w:val="24"/>
        </w:rPr>
        <w:t xml:space="preserve">c) </w:t>
      </w:r>
      <w:proofErr w:type="spellStart"/>
      <w:r w:rsidRPr="00CC28EC">
        <w:rPr>
          <w:i/>
          <w:iCs/>
          <w:sz w:val="24"/>
          <w:szCs w:val="24"/>
        </w:rPr>
        <w:t>menţinerea</w:t>
      </w:r>
      <w:proofErr w:type="spellEnd"/>
      <w:r w:rsidRPr="00CC28EC">
        <w:rPr>
          <w:i/>
          <w:iCs/>
          <w:sz w:val="24"/>
          <w:szCs w:val="24"/>
        </w:rPr>
        <w:t xml:space="preserve"> </w:t>
      </w:r>
      <w:proofErr w:type="spellStart"/>
      <w:r w:rsidRPr="00CC28EC">
        <w:rPr>
          <w:i/>
          <w:iCs/>
          <w:sz w:val="24"/>
          <w:szCs w:val="24"/>
        </w:rPr>
        <w:t>unui</w:t>
      </w:r>
      <w:proofErr w:type="spellEnd"/>
      <w:r w:rsidRPr="00CC28EC">
        <w:rPr>
          <w:i/>
          <w:iCs/>
          <w:sz w:val="24"/>
          <w:szCs w:val="24"/>
        </w:rPr>
        <w:t xml:space="preserve"> </w:t>
      </w:r>
      <w:proofErr w:type="spellStart"/>
      <w:r w:rsidRPr="00CC28EC">
        <w:rPr>
          <w:i/>
          <w:iCs/>
          <w:sz w:val="24"/>
          <w:szCs w:val="24"/>
        </w:rPr>
        <w:t>nivel</w:t>
      </w:r>
      <w:proofErr w:type="spellEnd"/>
      <w:r w:rsidRPr="00CC28EC">
        <w:rPr>
          <w:i/>
          <w:iCs/>
          <w:sz w:val="24"/>
          <w:szCs w:val="24"/>
        </w:rPr>
        <w:t xml:space="preserve"> </w:t>
      </w:r>
      <w:proofErr w:type="spellStart"/>
      <w:r w:rsidRPr="00CC28EC">
        <w:rPr>
          <w:i/>
          <w:iCs/>
          <w:sz w:val="24"/>
          <w:szCs w:val="24"/>
        </w:rPr>
        <w:t>adecvat</w:t>
      </w:r>
      <w:proofErr w:type="spellEnd"/>
      <w:r w:rsidRPr="00CC28EC">
        <w:rPr>
          <w:i/>
          <w:iCs/>
          <w:sz w:val="24"/>
          <w:szCs w:val="24"/>
        </w:rPr>
        <w:t xml:space="preserve"> al </w:t>
      </w:r>
      <w:proofErr w:type="spellStart"/>
      <w:r w:rsidRPr="00CC28EC">
        <w:rPr>
          <w:i/>
          <w:iCs/>
          <w:sz w:val="24"/>
          <w:szCs w:val="24"/>
        </w:rPr>
        <w:t>resurselor</w:t>
      </w:r>
      <w:proofErr w:type="spellEnd"/>
      <w:r w:rsidRPr="00CC28EC">
        <w:rPr>
          <w:i/>
          <w:iCs/>
          <w:sz w:val="24"/>
          <w:szCs w:val="24"/>
        </w:rPr>
        <w:t xml:space="preserve"> </w:t>
      </w:r>
      <w:proofErr w:type="spellStart"/>
      <w:r w:rsidRPr="00CC28EC">
        <w:rPr>
          <w:i/>
          <w:iCs/>
          <w:sz w:val="24"/>
          <w:szCs w:val="24"/>
        </w:rPr>
        <w:t>bugetare</w:t>
      </w:r>
      <w:proofErr w:type="spellEnd"/>
      <w:r w:rsidRPr="00CC28EC">
        <w:rPr>
          <w:i/>
          <w:iCs/>
          <w:sz w:val="24"/>
          <w:szCs w:val="24"/>
        </w:rPr>
        <w:t xml:space="preserve"> </w:t>
      </w:r>
      <w:proofErr w:type="spellStart"/>
      <w:r w:rsidRPr="00CC28EC">
        <w:rPr>
          <w:i/>
          <w:iCs/>
          <w:sz w:val="24"/>
          <w:szCs w:val="24"/>
        </w:rPr>
        <w:t>pentru</w:t>
      </w:r>
      <w:proofErr w:type="spellEnd"/>
      <w:r w:rsidRPr="00CC28EC">
        <w:rPr>
          <w:i/>
          <w:iCs/>
          <w:sz w:val="24"/>
          <w:szCs w:val="24"/>
        </w:rPr>
        <w:t xml:space="preserve"> </w:t>
      </w:r>
      <w:proofErr w:type="spellStart"/>
      <w:r w:rsidRPr="00CC28EC">
        <w:rPr>
          <w:i/>
          <w:iCs/>
          <w:sz w:val="24"/>
          <w:szCs w:val="24"/>
        </w:rPr>
        <w:t>plata</w:t>
      </w:r>
      <w:proofErr w:type="spellEnd"/>
      <w:r w:rsidRPr="00CC28EC">
        <w:rPr>
          <w:i/>
          <w:iCs/>
          <w:sz w:val="24"/>
          <w:szCs w:val="24"/>
        </w:rPr>
        <w:t xml:space="preserve"> </w:t>
      </w:r>
      <w:proofErr w:type="spellStart"/>
      <w:r w:rsidRPr="00CC28EC">
        <w:rPr>
          <w:i/>
          <w:iCs/>
          <w:sz w:val="24"/>
          <w:szCs w:val="24"/>
        </w:rPr>
        <w:t>serviciului</w:t>
      </w:r>
      <w:proofErr w:type="spellEnd"/>
      <w:r w:rsidRPr="00CC28EC">
        <w:rPr>
          <w:i/>
          <w:iCs/>
          <w:sz w:val="24"/>
          <w:szCs w:val="24"/>
        </w:rPr>
        <w:t xml:space="preserve"> </w:t>
      </w:r>
      <w:proofErr w:type="spellStart"/>
      <w:r w:rsidRPr="00CC28EC">
        <w:rPr>
          <w:i/>
          <w:iCs/>
          <w:sz w:val="24"/>
          <w:szCs w:val="24"/>
        </w:rPr>
        <w:t>datoriei</w:t>
      </w:r>
      <w:proofErr w:type="spellEnd"/>
      <w:r w:rsidRPr="00CC28EC">
        <w:rPr>
          <w:i/>
          <w:iCs/>
          <w:sz w:val="24"/>
          <w:szCs w:val="24"/>
        </w:rPr>
        <w:t xml:space="preserve"> </w:t>
      </w:r>
      <w:proofErr w:type="spellStart"/>
      <w:r w:rsidRPr="00CC28EC">
        <w:rPr>
          <w:i/>
          <w:iCs/>
          <w:sz w:val="24"/>
          <w:szCs w:val="24"/>
        </w:rPr>
        <w:t>publice</w:t>
      </w:r>
      <w:proofErr w:type="spellEnd"/>
      <w:r w:rsidRPr="00CC28EC">
        <w:rPr>
          <w:i/>
          <w:iCs/>
          <w:sz w:val="24"/>
          <w:szCs w:val="24"/>
        </w:rPr>
        <w:t>;</w:t>
      </w:r>
    </w:p>
    <w:p w14:paraId="218A5AD2" w14:textId="6CC5E47F" w:rsidR="00F4130F" w:rsidRPr="00CC28EC" w:rsidRDefault="00F4130F" w:rsidP="00F4130F">
      <w:pPr>
        <w:jc w:val="both"/>
        <w:rPr>
          <w:sz w:val="24"/>
          <w:szCs w:val="24"/>
        </w:rPr>
      </w:pPr>
      <w:r w:rsidRPr="00CC28EC">
        <w:rPr>
          <w:i/>
          <w:iCs/>
          <w:sz w:val="24"/>
          <w:szCs w:val="24"/>
        </w:rPr>
        <w:t xml:space="preserve">d) </w:t>
      </w:r>
      <w:proofErr w:type="spellStart"/>
      <w:r w:rsidRPr="00CC28EC">
        <w:rPr>
          <w:i/>
          <w:iCs/>
          <w:sz w:val="24"/>
          <w:szCs w:val="24"/>
        </w:rPr>
        <w:t>asigurarea</w:t>
      </w:r>
      <w:proofErr w:type="spellEnd"/>
      <w:r w:rsidRPr="00CC28EC">
        <w:rPr>
          <w:i/>
          <w:iCs/>
          <w:sz w:val="24"/>
          <w:szCs w:val="24"/>
        </w:rPr>
        <w:t xml:space="preserve"> </w:t>
      </w:r>
      <w:proofErr w:type="spellStart"/>
      <w:r w:rsidRPr="00CC28EC">
        <w:rPr>
          <w:i/>
          <w:iCs/>
          <w:sz w:val="24"/>
          <w:szCs w:val="24"/>
        </w:rPr>
        <w:t>predictibilităţii</w:t>
      </w:r>
      <w:proofErr w:type="spellEnd"/>
      <w:r w:rsidRPr="00CC28EC">
        <w:rPr>
          <w:i/>
          <w:iCs/>
          <w:sz w:val="24"/>
          <w:szCs w:val="24"/>
        </w:rPr>
        <w:t xml:space="preserve"> </w:t>
      </w:r>
      <w:proofErr w:type="spellStart"/>
      <w:r w:rsidRPr="00CC28EC">
        <w:rPr>
          <w:i/>
          <w:iCs/>
          <w:sz w:val="24"/>
          <w:szCs w:val="24"/>
        </w:rPr>
        <w:t>nivelului</w:t>
      </w:r>
      <w:proofErr w:type="spellEnd"/>
      <w:r w:rsidRPr="00CC28EC">
        <w:rPr>
          <w:i/>
          <w:iCs/>
          <w:sz w:val="24"/>
          <w:szCs w:val="24"/>
        </w:rPr>
        <w:t xml:space="preserve"> </w:t>
      </w:r>
      <w:proofErr w:type="spellStart"/>
      <w:r w:rsidRPr="00CC28EC">
        <w:rPr>
          <w:i/>
          <w:iCs/>
          <w:sz w:val="24"/>
          <w:szCs w:val="24"/>
        </w:rPr>
        <w:t>cotelor</w:t>
      </w:r>
      <w:proofErr w:type="spellEnd"/>
      <w:r w:rsidRPr="00CC28EC">
        <w:rPr>
          <w:i/>
          <w:iCs/>
          <w:sz w:val="24"/>
          <w:szCs w:val="24"/>
        </w:rPr>
        <w:t xml:space="preserve"> </w:t>
      </w:r>
      <w:proofErr w:type="spellStart"/>
      <w:r w:rsidRPr="00CC28EC">
        <w:rPr>
          <w:i/>
          <w:iCs/>
          <w:sz w:val="24"/>
          <w:szCs w:val="24"/>
        </w:rPr>
        <w:t>şi</w:t>
      </w:r>
      <w:proofErr w:type="spellEnd"/>
      <w:r w:rsidRPr="00CC28EC">
        <w:rPr>
          <w:i/>
          <w:iCs/>
          <w:sz w:val="24"/>
          <w:szCs w:val="24"/>
        </w:rPr>
        <w:t xml:space="preserve"> </w:t>
      </w:r>
      <w:proofErr w:type="spellStart"/>
      <w:r w:rsidRPr="00CC28EC">
        <w:rPr>
          <w:i/>
          <w:iCs/>
          <w:sz w:val="24"/>
          <w:szCs w:val="24"/>
        </w:rPr>
        <w:t>bazelor</w:t>
      </w:r>
      <w:proofErr w:type="spellEnd"/>
      <w:r w:rsidRPr="00CC28EC">
        <w:rPr>
          <w:i/>
          <w:iCs/>
          <w:sz w:val="24"/>
          <w:szCs w:val="24"/>
        </w:rPr>
        <w:t xml:space="preserve"> de </w:t>
      </w:r>
      <w:proofErr w:type="spellStart"/>
      <w:r w:rsidRPr="00CC28EC">
        <w:rPr>
          <w:i/>
          <w:iCs/>
          <w:sz w:val="24"/>
          <w:szCs w:val="24"/>
        </w:rPr>
        <w:t>impozitare</w:t>
      </w:r>
      <w:proofErr w:type="spellEnd"/>
      <w:r w:rsidRPr="00CC28EC">
        <w:rPr>
          <w:i/>
          <w:iCs/>
          <w:sz w:val="24"/>
          <w:szCs w:val="24"/>
        </w:rPr>
        <w:t xml:space="preserve"> </w:t>
      </w:r>
      <w:proofErr w:type="spellStart"/>
      <w:r w:rsidRPr="00CC28EC">
        <w:rPr>
          <w:i/>
          <w:iCs/>
          <w:sz w:val="24"/>
          <w:szCs w:val="24"/>
        </w:rPr>
        <w:t>sau</w:t>
      </w:r>
      <w:proofErr w:type="spellEnd"/>
      <w:r w:rsidRPr="00CC28EC">
        <w:rPr>
          <w:i/>
          <w:iCs/>
          <w:sz w:val="24"/>
          <w:szCs w:val="24"/>
        </w:rPr>
        <w:t xml:space="preserve"> </w:t>
      </w:r>
      <w:proofErr w:type="spellStart"/>
      <w:r w:rsidRPr="00CC28EC">
        <w:rPr>
          <w:i/>
          <w:iCs/>
          <w:sz w:val="24"/>
          <w:szCs w:val="24"/>
        </w:rPr>
        <w:t>taxare</w:t>
      </w:r>
      <w:proofErr w:type="spellEnd"/>
      <w:r w:rsidRPr="00CC28EC">
        <w:rPr>
          <w:i/>
          <w:iCs/>
          <w:sz w:val="24"/>
          <w:szCs w:val="24"/>
        </w:rPr>
        <w:t xml:space="preserve">.” </w:t>
      </w:r>
      <w:r w:rsidRPr="00CC28EC">
        <w:rPr>
          <w:sz w:val="24"/>
          <w:szCs w:val="24"/>
        </w:rPr>
        <w:t>(L.69/2010, art.5)</w:t>
      </w:r>
    </w:p>
    <w:p w14:paraId="2EC0E814" w14:textId="726249EB" w:rsidR="003424B3" w:rsidRPr="00CC28EC" w:rsidRDefault="00B2309C" w:rsidP="0009503A">
      <w:pPr>
        <w:ind w:firstLine="720"/>
        <w:jc w:val="both"/>
        <w:rPr>
          <w:sz w:val="24"/>
          <w:szCs w:val="24"/>
        </w:rPr>
      </w:pPr>
      <w:r w:rsidRPr="00CC28EC">
        <w:rPr>
          <w:sz w:val="24"/>
          <w:szCs w:val="24"/>
        </w:rPr>
        <w:t xml:space="preserve">Ce se </w:t>
      </w:r>
      <w:proofErr w:type="spellStart"/>
      <w:r w:rsidRPr="00CC28EC">
        <w:rPr>
          <w:sz w:val="24"/>
          <w:szCs w:val="24"/>
        </w:rPr>
        <w:t>întâmplă</w:t>
      </w:r>
      <w:proofErr w:type="spellEnd"/>
      <w:r w:rsidRPr="00CC28EC">
        <w:rPr>
          <w:sz w:val="24"/>
          <w:szCs w:val="24"/>
        </w:rPr>
        <w:t xml:space="preserve"> </w:t>
      </w:r>
      <w:proofErr w:type="spellStart"/>
      <w:r w:rsidRPr="00CC28EC">
        <w:rPr>
          <w:sz w:val="24"/>
          <w:szCs w:val="24"/>
        </w:rPr>
        <w:t>dacă</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Pr="00CC28EC">
        <w:rPr>
          <w:sz w:val="24"/>
          <w:szCs w:val="24"/>
        </w:rPr>
        <w:t>trece</w:t>
      </w:r>
      <w:proofErr w:type="spellEnd"/>
      <w:r w:rsidRPr="00CC28EC">
        <w:rPr>
          <w:sz w:val="24"/>
          <w:szCs w:val="24"/>
        </w:rPr>
        <w:t xml:space="preserve"> de </w:t>
      </w:r>
      <w:proofErr w:type="spellStart"/>
      <w:r w:rsidRPr="00CC28EC">
        <w:rPr>
          <w:sz w:val="24"/>
          <w:szCs w:val="24"/>
        </w:rPr>
        <w:t>pragul</w:t>
      </w:r>
      <w:proofErr w:type="spellEnd"/>
      <w:r w:rsidRPr="00CC28EC">
        <w:rPr>
          <w:sz w:val="24"/>
          <w:szCs w:val="24"/>
        </w:rPr>
        <w:t xml:space="preserve"> de 50% din PIB</w:t>
      </w:r>
      <w:r w:rsidR="00034286" w:rsidRPr="00CC28EC">
        <w:rPr>
          <w:sz w:val="24"/>
          <w:szCs w:val="24"/>
        </w:rPr>
        <w:t>,</w:t>
      </w:r>
      <w:r w:rsidRPr="00CC28EC">
        <w:rPr>
          <w:sz w:val="24"/>
          <w:szCs w:val="24"/>
        </w:rPr>
        <w:t xml:space="preserve"> </w:t>
      </w:r>
      <w:proofErr w:type="spellStart"/>
      <w:r w:rsidRPr="00CC28EC">
        <w:rPr>
          <w:sz w:val="24"/>
          <w:szCs w:val="24"/>
        </w:rPr>
        <w:t>este</w:t>
      </w:r>
      <w:proofErr w:type="spellEnd"/>
      <w:r w:rsidR="00034286" w:rsidRPr="00CC28EC">
        <w:rPr>
          <w:sz w:val="24"/>
          <w:szCs w:val="24"/>
        </w:rPr>
        <w:t xml:space="preserve"> de </w:t>
      </w:r>
      <w:proofErr w:type="spellStart"/>
      <w:r w:rsidR="00034286" w:rsidRPr="00CC28EC">
        <w:rPr>
          <w:sz w:val="24"/>
          <w:szCs w:val="24"/>
        </w:rPr>
        <w:t>asemenea</w:t>
      </w:r>
      <w:proofErr w:type="spellEnd"/>
      <w:r w:rsidR="00034286" w:rsidRPr="00CC28EC">
        <w:rPr>
          <w:sz w:val="24"/>
          <w:szCs w:val="24"/>
        </w:rPr>
        <w:t xml:space="preserve"> </w:t>
      </w:r>
      <w:proofErr w:type="spellStart"/>
      <w:r w:rsidRPr="00CC28EC">
        <w:rPr>
          <w:sz w:val="24"/>
          <w:szCs w:val="24"/>
        </w:rPr>
        <w:t>prevăzut</w:t>
      </w:r>
      <w:proofErr w:type="spellEnd"/>
      <w:r w:rsidRPr="00CC28EC">
        <w:rPr>
          <w:sz w:val="24"/>
          <w:szCs w:val="24"/>
        </w:rPr>
        <w:t xml:space="preserve"> </w:t>
      </w:r>
      <w:proofErr w:type="spellStart"/>
      <w:r w:rsidRPr="00CC28EC">
        <w:rPr>
          <w:sz w:val="24"/>
          <w:szCs w:val="24"/>
        </w:rPr>
        <w:t>în</w:t>
      </w:r>
      <w:bookmarkStart w:id="5" w:name="_Hlk83732818"/>
      <w:proofErr w:type="spellEnd"/>
      <w:r w:rsidR="00034286" w:rsidRPr="00CC28EC">
        <w:rPr>
          <w:sz w:val="24"/>
          <w:szCs w:val="24"/>
        </w:rPr>
        <w:t xml:space="preserve"> </w:t>
      </w:r>
      <w:proofErr w:type="spellStart"/>
      <w:r w:rsidR="00034286" w:rsidRPr="00CC28EC">
        <w:rPr>
          <w:sz w:val="24"/>
          <w:szCs w:val="24"/>
        </w:rPr>
        <w:t>această</w:t>
      </w:r>
      <w:proofErr w:type="spellEnd"/>
      <w:r w:rsidR="00034286" w:rsidRPr="00CC28EC">
        <w:rPr>
          <w:sz w:val="24"/>
          <w:szCs w:val="24"/>
        </w:rPr>
        <w:t xml:space="preserve"> </w:t>
      </w:r>
      <w:proofErr w:type="spellStart"/>
      <w:r w:rsidR="00034286" w:rsidRPr="00CC28EC">
        <w:rPr>
          <w:sz w:val="24"/>
          <w:szCs w:val="24"/>
        </w:rPr>
        <w:t>lege</w:t>
      </w:r>
      <w:proofErr w:type="spellEnd"/>
      <w:r w:rsidR="00034286" w:rsidRPr="00CC28EC">
        <w:rPr>
          <w:sz w:val="24"/>
          <w:szCs w:val="24"/>
        </w:rPr>
        <w:t>.</w:t>
      </w:r>
      <w:bookmarkEnd w:id="5"/>
      <w:r w:rsidR="00034286" w:rsidRPr="00CC28EC">
        <w:rPr>
          <w:sz w:val="24"/>
          <w:szCs w:val="24"/>
        </w:rPr>
        <w:t xml:space="preserve"> Se </w:t>
      </w:r>
      <w:proofErr w:type="spellStart"/>
      <w:r w:rsidR="00034286" w:rsidRPr="00CC28EC">
        <w:rPr>
          <w:sz w:val="24"/>
          <w:szCs w:val="24"/>
        </w:rPr>
        <w:t>stabilesc</w:t>
      </w:r>
      <w:proofErr w:type="spellEnd"/>
      <w:r w:rsidR="00034286" w:rsidRPr="00CC28EC">
        <w:rPr>
          <w:sz w:val="24"/>
          <w:szCs w:val="24"/>
        </w:rPr>
        <w:t xml:space="preserve"> </w:t>
      </w:r>
      <w:r w:rsidRPr="00CC28EC">
        <w:rPr>
          <w:sz w:val="24"/>
          <w:szCs w:val="24"/>
        </w:rPr>
        <w:t xml:space="preserve">o </w:t>
      </w:r>
      <w:proofErr w:type="spellStart"/>
      <w:r w:rsidRPr="00CC28EC">
        <w:rPr>
          <w:sz w:val="24"/>
          <w:szCs w:val="24"/>
        </w:rPr>
        <w:t>serie</w:t>
      </w:r>
      <w:proofErr w:type="spellEnd"/>
      <w:r w:rsidRPr="00CC28EC">
        <w:rPr>
          <w:sz w:val="24"/>
          <w:szCs w:val="24"/>
        </w:rPr>
        <w:t xml:space="preserve"> de </w:t>
      </w:r>
      <w:proofErr w:type="spellStart"/>
      <w:r w:rsidRPr="00CC28EC">
        <w:rPr>
          <w:sz w:val="24"/>
          <w:szCs w:val="24"/>
        </w:rPr>
        <w:t>praguri</w:t>
      </w:r>
      <w:proofErr w:type="spellEnd"/>
      <w:r w:rsidRPr="00CC28EC">
        <w:rPr>
          <w:sz w:val="24"/>
          <w:szCs w:val="24"/>
        </w:rPr>
        <w:t xml:space="preserve"> </w:t>
      </w:r>
      <w:proofErr w:type="spellStart"/>
      <w:r w:rsidRPr="00CC28EC">
        <w:rPr>
          <w:sz w:val="24"/>
          <w:szCs w:val="24"/>
        </w:rPr>
        <w:t>pentru</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care, </w:t>
      </w:r>
      <w:proofErr w:type="spellStart"/>
      <w:r w:rsidRPr="00CC28EC">
        <w:rPr>
          <w:sz w:val="24"/>
          <w:szCs w:val="24"/>
        </w:rPr>
        <w:t>dacă</w:t>
      </w:r>
      <w:proofErr w:type="spellEnd"/>
      <w:r w:rsidRPr="00CC28EC">
        <w:rPr>
          <w:sz w:val="24"/>
          <w:szCs w:val="24"/>
        </w:rPr>
        <w:t xml:space="preserve"> sunt </w:t>
      </w:r>
      <w:proofErr w:type="spellStart"/>
      <w:r w:rsidRPr="00CC28EC">
        <w:rPr>
          <w:sz w:val="24"/>
          <w:szCs w:val="24"/>
        </w:rPr>
        <w:t>depășite</w:t>
      </w:r>
      <w:proofErr w:type="spellEnd"/>
      <w:r w:rsidR="00034286" w:rsidRPr="00CC28EC">
        <w:rPr>
          <w:sz w:val="24"/>
          <w:szCs w:val="24"/>
        </w:rPr>
        <w:t>,</w:t>
      </w:r>
      <w:r w:rsidRPr="00CC28EC">
        <w:rPr>
          <w:sz w:val="24"/>
          <w:szCs w:val="24"/>
        </w:rPr>
        <w:t xml:space="preserve"> </w:t>
      </w:r>
      <w:r w:rsidR="000230EB" w:rsidRPr="00CC28EC">
        <w:rPr>
          <w:sz w:val="24"/>
          <w:szCs w:val="24"/>
        </w:rPr>
        <w:t xml:space="preserve">un </w:t>
      </w:r>
      <w:proofErr w:type="spellStart"/>
      <w:r w:rsidR="000230EB" w:rsidRPr="00CC28EC">
        <w:rPr>
          <w:sz w:val="24"/>
          <w:szCs w:val="24"/>
        </w:rPr>
        <w:t>număr</w:t>
      </w:r>
      <w:proofErr w:type="spellEnd"/>
      <w:r w:rsidRPr="00CC28EC">
        <w:rPr>
          <w:sz w:val="24"/>
          <w:szCs w:val="24"/>
        </w:rPr>
        <w:t xml:space="preserve"> de </w:t>
      </w:r>
      <w:proofErr w:type="spellStart"/>
      <w:r w:rsidRPr="00CC28EC">
        <w:rPr>
          <w:sz w:val="24"/>
          <w:szCs w:val="24"/>
        </w:rPr>
        <w:t>măsuri</w:t>
      </w:r>
      <w:proofErr w:type="spellEnd"/>
      <w:r w:rsidRPr="00CC28EC">
        <w:rPr>
          <w:sz w:val="24"/>
          <w:szCs w:val="24"/>
        </w:rPr>
        <w:t xml:space="preserve"> de pus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practică</w:t>
      </w:r>
      <w:proofErr w:type="spellEnd"/>
      <w:r w:rsidRPr="00CC28EC">
        <w:rPr>
          <w:sz w:val="24"/>
          <w:szCs w:val="24"/>
        </w:rPr>
        <w:t xml:space="preserve"> </w:t>
      </w:r>
      <w:r w:rsidR="00034286" w:rsidRPr="00CC28EC">
        <w:rPr>
          <w:sz w:val="24"/>
          <w:szCs w:val="24"/>
        </w:rPr>
        <w:t xml:space="preserve">sunt </w:t>
      </w:r>
      <w:proofErr w:type="spellStart"/>
      <w:r w:rsidR="00034286" w:rsidRPr="00CC28EC">
        <w:rPr>
          <w:sz w:val="24"/>
          <w:szCs w:val="24"/>
        </w:rPr>
        <w:t>obligatorii</w:t>
      </w:r>
      <w:proofErr w:type="spellEnd"/>
      <w:r w:rsidR="00034286" w:rsidRPr="00CC28EC">
        <w:rPr>
          <w:sz w:val="24"/>
          <w:szCs w:val="24"/>
        </w:rPr>
        <w:t xml:space="preserve"> </w:t>
      </w:r>
      <w:proofErr w:type="spellStart"/>
      <w:r w:rsidR="00034286" w:rsidRPr="00CC28EC">
        <w:rPr>
          <w:sz w:val="24"/>
          <w:szCs w:val="24"/>
        </w:rPr>
        <w:t>pentru</w:t>
      </w:r>
      <w:proofErr w:type="spellEnd"/>
      <w:r w:rsidR="00034286" w:rsidRPr="00CC28EC">
        <w:rPr>
          <w:sz w:val="24"/>
          <w:szCs w:val="24"/>
        </w:rPr>
        <w:t xml:space="preserve"> </w:t>
      </w:r>
      <w:proofErr w:type="spellStart"/>
      <w:r w:rsidRPr="00CC28EC">
        <w:rPr>
          <w:sz w:val="24"/>
          <w:szCs w:val="24"/>
        </w:rPr>
        <w:t>Guvern</w:t>
      </w:r>
      <w:proofErr w:type="spellEnd"/>
      <w:r w:rsidR="00034286" w:rsidRPr="00CC28EC">
        <w:rPr>
          <w:sz w:val="24"/>
          <w:szCs w:val="24"/>
        </w:rPr>
        <w:t>.</w:t>
      </w:r>
      <w:r w:rsidR="000230EB" w:rsidRPr="00CC28EC">
        <w:rPr>
          <w:sz w:val="24"/>
          <w:szCs w:val="24"/>
        </w:rPr>
        <w:t xml:space="preserve"> </w:t>
      </w:r>
      <w:proofErr w:type="spellStart"/>
      <w:r w:rsidR="00034286" w:rsidRPr="00CC28EC">
        <w:rPr>
          <w:sz w:val="24"/>
          <w:szCs w:val="24"/>
        </w:rPr>
        <w:t>Pragu</w:t>
      </w:r>
      <w:r w:rsidR="000230EB" w:rsidRPr="00CC28EC">
        <w:rPr>
          <w:sz w:val="24"/>
          <w:szCs w:val="24"/>
        </w:rPr>
        <w:t>l</w:t>
      </w:r>
      <w:proofErr w:type="spellEnd"/>
      <w:r w:rsidR="00034286" w:rsidRPr="00CC28EC">
        <w:rPr>
          <w:sz w:val="24"/>
          <w:szCs w:val="24"/>
        </w:rPr>
        <w:t xml:space="preserve"> </w:t>
      </w:r>
      <w:proofErr w:type="spellStart"/>
      <w:r w:rsidR="00034286" w:rsidRPr="00CC28EC">
        <w:rPr>
          <w:sz w:val="24"/>
          <w:szCs w:val="24"/>
        </w:rPr>
        <w:t>încep</w:t>
      </w:r>
      <w:r w:rsidR="000230EB" w:rsidRPr="00CC28EC">
        <w:rPr>
          <w:sz w:val="24"/>
          <w:szCs w:val="24"/>
        </w:rPr>
        <w:t>e</w:t>
      </w:r>
      <w:proofErr w:type="spellEnd"/>
      <w:r w:rsidR="00034286" w:rsidRPr="00CC28EC">
        <w:rPr>
          <w:sz w:val="24"/>
          <w:szCs w:val="24"/>
        </w:rPr>
        <w:t xml:space="preserve"> de la 45% din PIB care </w:t>
      </w:r>
      <w:proofErr w:type="spellStart"/>
      <w:r w:rsidR="00034286" w:rsidRPr="00CC28EC">
        <w:rPr>
          <w:sz w:val="24"/>
          <w:szCs w:val="24"/>
        </w:rPr>
        <w:t>odată</w:t>
      </w:r>
      <w:proofErr w:type="spellEnd"/>
      <w:r w:rsidR="00034286" w:rsidRPr="00CC28EC">
        <w:rPr>
          <w:sz w:val="24"/>
          <w:szCs w:val="24"/>
        </w:rPr>
        <w:t xml:space="preserve"> </w:t>
      </w:r>
      <w:proofErr w:type="spellStart"/>
      <w:r w:rsidR="00034286" w:rsidRPr="00CC28EC">
        <w:rPr>
          <w:sz w:val="24"/>
          <w:szCs w:val="24"/>
        </w:rPr>
        <w:t>depășit</w:t>
      </w:r>
      <w:proofErr w:type="spellEnd"/>
      <w:r w:rsidR="00034286" w:rsidRPr="00CC28EC">
        <w:rPr>
          <w:sz w:val="24"/>
          <w:szCs w:val="24"/>
        </w:rPr>
        <w:t xml:space="preserve">, </w:t>
      </w:r>
      <w:proofErr w:type="spellStart"/>
      <w:r w:rsidR="00034286" w:rsidRPr="00CC28EC">
        <w:rPr>
          <w:sz w:val="24"/>
          <w:szCs w:val="24"/>
        </w:rPr>
        <w:t>obligă</w:t>
      </w:r>
      <w:proofErr w:type="spellEnd"/>
      <w:r w:rsidR="00034286" w:rsidRPr="00CC28EC">
        <w:rPr>
          <w:sz w:val="24"/>
          <w:szCs w:val="24"/>
        </w:rPr>
        <w:t xml:space="preserve"> </w:t>
      </w:r>
      <w:proofErr w:type="spellStart"/>
      <w:r w:rsidR="00034286" w:rsidRPr="00CC28EC">
        <w:rPr>
          <w:sz w:val="24"/>
          <w:szCs w:val="24"/>
        </w:rPr>
        <w:t>Guvernul</w:t>
      </w:r>
      <w:proofErr w:type="spellEnd"/>
      <w:r w:rsidR="00034286" w:rsidRPr="00CC28EC">
        <w:rPr>
          <w:sz w:val="24"/>
          <w:szCs w:val="24"/>
        </w:rPr>
        <w:t xml:space="preserve"> la </w:t>
      </w:r>
      <w:proofErr w:type="spellStart"/>
      <w:r w:rsidR="00034286" w:rsidRPr="00CC28EC">
        <w:rPr>
          <w:sz w:val="24"/>
          <w:szCs w:val="24"/>
        </w:rPr>
        <w:t>justificare</w:t>
      </w:r>
      <w:proofErr w:type="spellEnd"/>
      <w:r w:rsidR="00034286" w:rsidRPr="00CC28EC">
        <w:rPr>
          <w:sz w:val="24"/>
          <w:szCs w:val="24"/>
        </w:rPr>
        <w:t xml:space="preserve"> </w:t>
      </w:r>
      <w:proofErr w:type="spellStart"/>
      <w:r w:rsidR="00034286" w:rsidRPr="00CC28EC">
        <w:rPr>
          <w:sz w:val="24"/>
          <w:szCs w:val="24"/>
        </w:rPr>
        <w:t>și</w:t>
      </w:r>
      <w:proofErr w:type="spellEnd"/>
      <w:r w:rsidR="00034286" w:rsidRPr="00CC28EC">
        <w:rPr>
          <w:sz w:val="24"/>
          <w:szCs w:val="24"/>
        </w:rPr>
        <w:t xml:space="preserve"> </w:t>
      </w:r>
      <w:proofErr w:type="spellStart"/>
      <w:r w:rsidR="00034286" w:rsidRPr="00CC28EC">
        <w:rPr>
          <w:sz w:val="24"/>
          <w:szCs w:val="24"/>
        </w:rPr>
        <w:t>analiză</w:t>
      </w:r>
      <w:proofErr w:type="spellEnd"/>
      <w:r w:rsidR="00034286" w:rsidRPr="00CC28EC">
        <w:rPr>
          <w:sz w:val="24"/>
          <w:szCs w:val="24"/>
        </w:rPr>
        <w:t xml:space="preserve"> precum </w:t>
      </w:r>
      <w:proofErr w:type="spellStart"/>
      <w:r w:rsidR="00034286" w:rsidRPr="00CC28EC">
        <w:rPr>
          <w:sz w:val="24"/>
          <w:szCs w:val="24"/>
        </w:rPr>
        <w:t>și</w:t>
      </w:r>
      <w:proofErr w:type="spellEnd"/>
      <w:r w:rsidR="00034286" w:rsidRPr="00CC28EC">
        <w:rPr>
          <w:sz w:val="24"/>
          <w:szCs w:val="24"/>
        </w:rPr>
        <w:t xml:space="preserve"> la </w:t>
      </w:r>
      <w:proofErr w:type="spellStart"/>
      <w:r w:rsidR="00034286" w:rsidRPr="00CC28EC">
        <w:rPr>
          <w:sz w:val="24"/>
          <w:szCs w:val="24"/>
        </w:rPr>
        <w:t>emiterea</w:t>
      </w:r>
      <w:proofErr w:type="spellEnd"/>
      <w:r w:rsidR="00034286" w:rsidRPr="00CC28EC">
        <w:rPr>
          <w:sz w:val="24"/>
          <w:szCs w:val="24"/>
        </w:rPr>
        <w:t xml:space="preserve"> de </w:t>
      </w:r>
      <w:proofErr w:type="spellStart"/>
      <w:r w:rsidR="00034286" w:rsidRPr="00CC28EC">
        <w:rPr>
          <w:sz w:val="24"/>
          <w:szCs w:val="24"/>
        </w:rPr>
        <w:t>propuneri</w:t>
      </w:r>
      <w:proofErr w:type="spellEnd"/>
      <w:r w:rsidR="00034286" w:rsidRPr="00CC28EC">
        <w:rPr>
          <w:sz w:val="24"/>
          <w:szCs w:val="24"/>
        </w:rPr>
        <w:t xml:space="preserve"> </w:t>
      </w:r>
      <w:proofErr w:type="spellStart"/>
      <w:r w:rsidR="00034286" w:rsidRPr="00CC28EC">
        <w:rPr>
          <w:sz w:val="24"/>
          <w:szCs w:val="24"/>
        </w:rPr>
        <w:t>pentru</w:t>
      </w:r>
      <w:proofErr w:type="spellEnd"/>
      <w:r w:rsidR="00034286" w:rsidRPr="00CC28EC">
        <w:rPr>
          <w:sz w:val="24"/>
          <w:szCs w:val="24"/>
        </w:rPr>
        <w:t xml:space="preserve"> </w:t>
      </w:r>
      <w:proofErr w:type="spellStart"/>
      <w:r w:rsidRPr="00CC28EC">
        <w:rPr>
          <w:sz w:val="24"/>
          <w:szCs w:val="24"/>
        </w:rPr>
        <w:t>menținerea</w:t>
      </w:r>
      <w:proofErr w:type="spellEnd"/>
      <w:r w:rsidRPr="00CC28EC">
        <w:rPr>
          <w:sz w:val="24"/>
          <w:szCs w:val="24"/>
        </w:rPr>
        <w:t xml:space="preserve"> </w:t>
      </w:r>
      <w:proofErr w:type="spellStart"/>
      <w:r w:rsidRPr="00CC28EC">
        <w:rPr>
          <w:sz w:val="24"/>
          <w:szCs w:val="24"/>
        </w:rPr>
        <w:t>acestui</w:t>
      </w:r>
      <w:proofErr w:type="spellEnd"/>
      <w:r w:rsidRPr="00CC28EC">
        <w:rPr>
          <w:sz w:val="24"/>
          <w:szCs w:val="24"/>
        </w:rPr>
        <w:t xml:space="preserve"> indicator la un </w:t>
      </w:r>
      <w:proofErr w:type="spellStart"/>
      <w:r w:rsidRPr="00CC28EC">
        <w:rPr>
          <w:sz w:val="24"/>
          <w:szCs w:val="24"/>
        </w:rPr>
        <w:t>nivel</w:t>
      </w:r>
      <w:proofErr w:type="spellEnd"/>
      <w:r w:rsidRPr="00CC28EC">
        <w:rPr>
          <w:sz w:val="24"/>
          <w:szCs w:val="24"/>
        </w:rPr>
        <w:t xml:space="preserve"> </w:t>
      </w:r>
      <w:proofErr w:type="spellStart"/>
      <w:r w:rsidRPr="00CC28EC">
        <w:rPr>
          <w:sz w:val="24"/>
          <w:szCs w:val="24"/>
        </w:rPr>
        <w:t>sustenabil</w:t>
      </w:r>
      <w:proofErr w:type="spellEnd"/>
      <w:r w:rsidR="00034286" w:rsidRPr="00CC28EC">
        <w:rPr>
          <w:sz w:val="24"/>
          <w:szCs w:val="24"/>
        </w:rPr>
        <w:t>.</w:t>
      </w:r>
      <w:r w:rsidR="000230EB" w:rsidRPr="00CC28EC">
        <w:rPr>
          <w:sz w:val="24"/>
          <w:szCs w:val="24"/>
        </w:rPr>
        <w:t xml:space="preserve"> </w:t>
      </w:r>
      <w:proofErr w:type="spellStart"/>
      <w:r w:rsidR="00034286" w:rsidRPr="00CC28EC">
        <w:rPr>
          <w:sz w:val="24"/>
          <w:szCs w:val="24"/>
        </w:rPr>
        <w:t>Datoria</w:t>
      </w:r>
      <w:proofErr w:type="spellEnd"/>
      <w:r w:rsidR="00034286" w:rsidRPr="00CC28EC">
        <w:rPr>
          <w:sz w:val="24"/>
          <w:szCs w:val="24"/>
        </w:rPr>
        <w:t xml:space="preserve"> </w:t>
      </w:r>
      <w:proofErr w:type="spellStart"/>
      <w:r w:rsidR="00034286" w:rsidRPr="00CC28EC">
        <w:rPr>
          <w:sz w:val="24"/>
          <w:szCs w:val="24"/>
        </w:rPr>
        <w:t>publică</w:t>
      </w:r>
      <w:proofErr w:type="spellEnd"/>
      <w:r w:rsidR="00034286" w:rsidRPr="00CC28EC">
        <w:rPr>
          <w:sz w:val="24"/>
          <w:szCs w:val="24"/>
        </w:rPr>
        <w:t xml:space="preserve"> </w:t>
      </w:r>
      <w:proofErr w:type="spellStart"/>
      <w:r w:rsidR="00034286" w:rsidRPr="00CC28EC">
        <w:rPr>
          <w:sz w:val="24"/>
          <w:szCs w:val="24"/>
        </w:rPr>
        <w:t>aflată</w:t>
      </w:r>
      <w:proofErr w:type="spellEnd"/>
      <w:r w:rsidR="00034286" w:rsidRPr="00CC28EC">
        <w:rPr>
          <w:sz w:val="24"/>
          <w:szCs w:val="24"/>
        </w:rPr>
        <w:t xml:space="preserve"> </w:t>
      </w:r>
      <w:proofErr w:type="spellStart"/>
      <w:r w:rsidR="00034286" w:rsidRPr="00CC28EC">
        <w:rPr>
          <w:sz w:val="24"/>
          <w:szCs w:val="24"/>
        </w:rPr>
        <w:t>în</w:t>
      </w:r>
      <w:proofErr w:type="spellEnd"/>
      <w:r w:rsidR="00034286" w:rsidRPr="00CC28EC">
        <w:rPr>
          <w:sz w:val="24"/>
          <w:szCs w:val="24"/>
        </w:rPr>
        <w:t xml:space="preserve"> </w:t>
      </w:r>
      <w:proofErr w:type="spellStart"/>
      <w:r w:rsidR="00034286" w:rsidRPr="00CC28EC">
        <w:rPr>
          <w:sz w:val="24"/>
          <w:szCs w:val="24"/>
        </w:rPr>
        <w:t>intervalul</w:t>
      </w:r>
      <w:proofErr w:type="spellEnd"/>
      <w:r w:rsidR="00034286" w:rsidRPr="00CC28EC">
        <w:rPr>
          <w:sz w:val="24"/>
          <w:szCs w:val="24"/>
        </w:rPr>
        <w:t xml:space="preserve"> 50%-55% din PIB </w:t>
      </w:r>
      <w:proofErr w:type="spellStart"/>
      <w:r w:rsidR="003424B3" w:rsidRPr="00CC28EC">
        <w:rPr>
          <w:sz w:val="24"/>
          <w:szCs w:val="24"/>
        </w:rPr>
        <w:t>presupune</w:t>
      </w:r>
      <w:proofErr w:type="spellEnd"/>
      <w:r w:rsidR="00034286" w:rsidRPr="00CC28EC">
        <w:rPr>
          <w:sz w:val="24"/>
          <w:szCs w:val="24"/>
        </w:rPr>
        <w:t xml:space="preserve">, conform </w:t>
      </w:r>
      <w:proofErr w:type="spellStart"/>
      <w:r w:rsidR="00034286" w:rsidRPr="00CC28EC">
        <w:rPr>
          <w:sz w:val="24"/>
          <w:szCs w:val="24"/>
        </w:rPr>
        <w:t>legii</w:t>
      </w:r>
      <w:proofErr w:type="spellEnd"/>
      <w:r w:rsidR="003424B3" w:rsidRPr="00CC28EC">
        <w:rPr>
          <w:sz w:val="24"/>
          <w:szCs w:val="24"/>
        </w:rPr>
        <w:t>,</w:t>
      </w:r>
      <w:r w:rsidR="00034286" w:rsidRPr="00CC28EC">
        <w:rPr>
          <w:sz w:val="24"/>
          <w:szCs w:val="24"/>
        </w:rPr>
        <w:t xml:space="preserve"> </w:t>
      </w:r>
      <w:proofErr w:type="spellStart"/>
      <w:r w:rsidR="00034286" w:rsidRPr="00CC28EC">
        <w:rPr>
          <w:sz w:val="24"/>
          <w:szCs w:val="24"/>
        </w:rPr>
        <w:t>luarea</w:t>
      </w:r>
      <w:proofErr w:type="spellEnd"/>
      <w:r w:rsidR="00034286" w:rsidRPr="00CC28EC">
        <w:rPr>
          <w:sz w:val="24"/>
          <w:szCs w:val="24"/>
        </w:rPr>
        <w:t xml:space="preserve"> </w:t>
      </w:r>
      <w:proofErr w:type="spellStart"/>
      <w:r w:rsidR="00034286" w:rsidRPr="00CC28EC">
        <w:rPr>
          <w:sz w:val="24"/>
          <w:szCs w:val="24"/>
        </w:rPr>
        <w:t>unor</w:t>
      </w:r>
      <w:proofErr w:type="spellEnd"/>
      <w:r w:rsidR="00034286" w:rsidRPr="00CC28EC">
        <w:rPr>
          <w:sz w:val="24"/>
          <w:szCs w:val="24"/>
        </w:rPr>
        <w:t xml:space="preserve"> </w:t>
      </w:r>
      <w:proofErr w:type="spellStart"/>
      <w:r w:rsidR="00034286" w:rsidRPr="00CC28EC">
        <w:rPr>
          <w:sz w:val="24"/>
          <w:szCs w:val="24"/>
        </w:rPr>
        <w:t>măsuri</w:t>
      </w:r>
      <w:proofErr w:type="spellEnd"/>
      <w:r w:rsidR="00034286" w:rsidRPr="00CC28EC">
        <w:rPr>
          <w:sz w:val="24"/>
          <w:szCs w:val="24"/>
        </w:rPr>
        <w:t xml:space="preserve"> </w:t>
      </w:r>
      <w:proofErr w:type="spellStart"/>
      <w:r w:rsidR="00034286" w:rsidRPr="00CC28EC">
        <w:rPr>
          <w:sz w:val="24"/>
          <w:szCs w:val="24"/>
        </w:rPr>
        <w:t>drastice</w:t>
      </w:r>
      <w:proofErr w:type="spellEnd"/>
      <w:r w:rsidR="00034286" w:rsidRPr="00CC28EC">
        <w:rPr>
          <w:sz w:val="24"/>
          <w:szCs w:val="24"/>
        </w:rPr>
        <w:t xml:space="preserve"> cu </w:t>
      </w:r>
      <w:proofErr w:type="spellStart"/>
      <w:r w:rsidR="00034286" w:rsidRPr="00CC28EC">
        <w:rPr>
          <w:sz w:val="24"/>
          <w:szCs w:val="24"/>
        </w:rPr>
        <w:t>privire</w:t>
      </w:r>
      <w:proofErr w:type="spellEnd"/>
      <w:r w:rsidR="0009503A" w:rsidRPr="00CC28EC">
        <w:rPr>
          <w:sz w:val="24"/>
          <w:szCs w:val="24"/>
        </w:rPr>
        <w:t xml:space="preserve"> </w:t>
      </w:r>
      <w:r w:rsidR="00034286" w:rsidRPr="00CC28EC">
        <w:rPr>
          <w:sz w:val="24"/>
          <w:szCs w:val="24"/>
        </w:rPr>
        <w:t xml:space="preserve">la </w:t>
      </w:r>
      <w:proofErr w:type="spellStart"/>
      <w:r w:rsidR="00034286" w:rsidRPr="00CC28EC">
        <w:rPr>
          <w:sz w:val="24"/>
          <w:szCs w:val="24"/>
        </w:rPr>
        <w:t>aplicarea</w:t>
      </w:r>
      <w:proofErr w:type="spellEnd"/>
      <w:r w:rsidR="00034286" w:rsidRPr="00CC28EC">
        <w:rPr>
          <w:sz w:val="24"/>
          <w:szCs w:val="24"/>
        </w:rPr>
        <w:t xml:space="preserve"> </w:t>
      </w:r>
      <w:proofErr w:type="spellStart"/>
      <w:r w:rsidRPr="00CC28EC">
        <w:rPr>
          <w:sz w:val="24"/>
          <w:szCs w:val="24"/>
        </w:rPr>
        <w:t>un</w:t>
      </w:r>
      <w:r w:rsidR="00034286" w:rsidRPr="00CC28EC">
        <w:rPr>
          <w:sz w:val="24"/>
          <w:szCs w:val="24"/>
        </w:rPr>
        <w:t>ui</w:t>
      </w:r>
      <w:proofErr w:type="spellEnd"/>
      <w:r w:rsidRPr="00CC28EC">
        <w:rPr>
          <w:sz w:val="24"/>
          <w:szCs w:val="24"/>
        </w:rPr>
        <w:t xml:space="preserve"> program </w:t>
      </w:r>
      <w:proofErr w:type="spellStart"/>
      <w:r w:rsidRPr="00CC28EC">
        <w:rPr>
          <w:sz w:val="24"/>
          <w:szCs w:val="24"/>
        </w:rPr>
        <w:t>pentru</w:t>
      </w:r>
      <w:proofErr w:type="spellEnd"/>
      <w:r w:rsidRPr="00CC28EC">
        <w:rPr>
          <w:sz w:val="24"/>
          <w:szCs w:val="24"/>
        </w:rPr>
        <w:t xml:space="preserve"> </w:t>
      </w:r>
      <w:proofErr w:type="spellStart"/>
      <w:r w:rsidRPr="00CC28EC">
        <w:rPr>
          <w:sz w:val="24"/>
          <w:szCs w:val="24"/>
        </w:rPr>
        <w:t>reducerea</w:t>
      </w:r>
      <w:proofErr w:type="spellEnd"/>
      <w:r w:rsidRPr="00CC28EC">
        <w:rPr>
          <w:sz w:val="24"/>
          <w:szCs w:val="24"/>
        </w:rPr>
        <w:t xml:space="preserve"> </w:t>
      </w:r>
      <w:proofErr w:type="spellStart"/>
      <w:r w:rsidRPr="00CC28EC">
        <w:rPr>
          <w:sz w:val="24"/>
          <w:szCs w:val="24"/>
        </w:rPr>
        <w:t>ponderii</w:t>
      </w:r>
      <w:proofErr w:type="spellEnd"/>
      <w:r w:rsidRPr="00CC28EC">
        <w:rPr>
          <w:sz w:val="24"/>
          <w:szCs w:val="24"/>
        </w:rPr>
        <w:t xml:space="preserve"> </w:t>
      </w:r>
      <w:proofErr w:type="spellStart"/>
      <w:r w:rsidRPr="00CC28EC">
        <w:rPr>
          <w:sz w:val="24"/>
          <w:szCs w:val="24"/>
        </w:rPr>
        <w:t>datoriei</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PIB</w:t>
      </w:r>
      <w:r w:rsidR="00034286" w:rsidRPr="00CC28EC">
        <w:rPr>
          <w:sz w:val="24"/>
          <w:szCs w:val="24"/>
        </w:rPr>
        <w:t xml:space="preserve"> care </w:t>
      </w:r>
      <w:proofErr w:type="spellStart"/>
      <w:r w:rsidR="00034286" w:rsidRPr="00CC28EC">
        <w:rPr>
          <w:sz w:val="24"/>
          <w:szCs w:val="24"/>
        </w:rPr>
        <w:t>trebuie</w:t>
      </w:r>
      <w:proofErr w:type="spellEnd"/>
      <w:r w:rsidR="00034286" w:rsidRPr="00CC28EC">
        <w:rPr>
          <w:sz w:val="24"/>
          <w:szCs w:val="24"/>
        </w:rPr>
        <w:t xml:space="preserve"> </w:t>
      </w:r>
      <w:proofErr w:type="spellStart"/>
      <w:r w:rsidR="00034286" w:rsidRPr="00CC28EC">
        <w:rPr>
          <w:sz w:val="24"/>
          <w:szCs w:val="24"/>
        </w:rPr>
        <w:t>să</w:t>
      </w:r>
      <w:proofErr w:type="spellEnd"/>
      <w:r w:rsidR="00034286" w:rsidRPr="00CC28EC">
        <w:rPr>
          <w:sz w:val="24"/>
          <w:szCs w:val="24"/>
        </w:rPr>
        <w:t xml:space="preserve"> </w:t>
      </w:r>
      <w:proofErr w:type="spellStart"/>
      <w:r w:rsidRPr="00CC28EC">
        <w:rPr>
          <w:sz w:val="24"/>
          <w:szCs w:val="24"/>
        </w:rPr>
        <w:t>cuprind</w:t>
      </w:r>
      <w:r w:rsidR="00034286" w:rsidRPr="00CC28EC">
        <w:rPr>
          <w:sz w:val="24"/>
          <w:szCs w:val="24"/>
        </w:rPr>
        <w:t>ă</w:t>
      </w:r>
      <w:proofErr w:type="spellEnd"/>
      <w:r w:rsidRPr="00CC28EC">
        <w:rPr>
          <w:sz w:val="24"/>
          <w:szCs w:val="24"/>
        </w:rPr>
        <w:t xml:space="preserve">, </w:t>
      </w:r>
      <w:proofErr w:type="spellStart"/>
      <w:r w:rsidR="00034286" w:rsidRPr="00CC28EC">
        <w:rPr>
          <w:sz w:val="24"/>
          <w:szCs w:val="24"/>
        </w:rPr>
        <w:t>inclusiv</w:t>
      </w:r>
      <w:proofErr w:type="spellEnd"/>
      <w:r w:rsidR="00034286" w:rsidRPr="00CC28EC">
        <w:rPr>
          <w:sz w:val="24"/>
          <w:szCs w:val="24"/>
        </w:rPr>
        <w:t xml:space="preserve"> </w:t>
      </w:r>
      <w:proofErr w:type="spellStart"/>
      <w:r w:rsidRPr="00CC28EC">
        <w:rPr>
          <w:sz w:val="24"/>
          <w:szCs w:val="24"/>
        </w:rPr>
        <w:t>măsuri</w:t>
      </w:r>
      <w:proofErr w:type="spellEnd"/>
      <w:r w:rsidRPr="00CC28EC">
        <w:rPr>
          <w:sz w:val="24"/>
          <w:szCs w:val="24"/>
        </w:rPr>
        <w:t xml:space="preserve"> care </w:t>
      </w:r>
      <w:proofErr w:type="spellStart"/>
      <w:r w:rsidRPr="00CC28EC">
        <w:rPr>
          <w:sz w:val="24"/>
          <w:szCs w:val="24"/>
        </w:rPr>
        <w:t>determină</w:t>
      </w:r>
      <w:proofErr w:type="spellEnd"/>
      <w:r w:rsidRPr="00CC28EC">
        <w:rPr>
          <w:sz w:val="24"/>
          <w:szCs w:val="24"/>
        </w:rPr>
        <w:t xml:space="preserve"> </w:t>
      </w:r>
      <w:proofErr w:type="spellStart"/>
      <w:r w:rsidRPr="00CC28EC">
        <w:rPr>
          <w:sz w:val="24"/>
          <w:szCs w:val="24"/>
        </w:rPr>
        <w:t>înghețarea</w:t>
      </w:r>
      <w:proofErr w:type="spellEnd"/>
      <w:r w:rsidRPr="00CC28EC">
        <w:rPr>
          <w:sz w:val="24"/>
          <w:szCs w:val="24"/>
        </w:rPr>
        <w:t xml:space="preserve"> </w:t>
      </w:r>
      <w:proofErr w:type="spellStart"/>
      <w:r w:rsidRPr="00CC28EC">
        <w:rPr>
          <w:sz w:val="24"/>
          <w:szCs w:val="24"/>
        </w:rPr>
        <w:t>cheltuielilor</w:t>
      </w:r>
      <w:proofErr w:type="spellEnd"/>
      <w:r w:rsidR="000230EB" w:rsidRPr="00CC28EC">
        <w:rPr>
          <w:sz w:val="24"/>
          <w:szCs w:val="24"/>
        </w:rPr>
        <w:t xml:space="preserve"> cu</w:t>
      </w:r>
      <w:r w:rsidRPr="00CC28EC">
        <w:rPr>
          <w:sz w:val="24"/>
          <w:szCs w:val="24"/>
        </w:rPr>
        <w:t xml:space="preserve"> </w:t>
      </w:r>
      <w:proofErr w:type="spellStart"/>
      <w:r w:rsidRPr="00CC28EC">
        <w:rPr>
          <w:sz w:val="24"/>
          <w:szCs w:val="24"/>
        </w:rPr>
        <w:t>salariile</w:t>
      </w:r>
      <w:proofErr w:type="spellEnd"/>
      <w:r w:rsidRPr="00CC28EC">
        <w:rPr>
          <w:sz w:val="24"/>
          <w:szCs w:val="24"/>
        </w:rPr>
        <w:t xml:space="preserve"> din </w:t>
      </w:r>
      <w:proofErr w:type="spellStart"/>
      <w:r w:rsidRPr="00CC28EC">
        <w:rPr>
          <w:sz w:val="24"/>
          <w:szCs w:val="24"/>
        </w:rPr>
        <w:t>sectorul</w:t>
      </w:r>
      <w:proofErr w:type="spellEnd"/>
      <w:r w:rsidRPr="00CC28EC">
        <w:rPr>
          <w:sz w:val="24"/>
          <w:szCs w:val="24"/>
        </w:rPr>
        <w:t xml:space="preserve"> public</w:t>
      </w:r>
      <w:r w:rsidR="00034286" w:rsidRPr="00CC28EC">
        <w:rPr>
          <w:sz w:val="24"/>
          <w:szCs w:val="24"/>
        </w:rPr>
        <w:t>.</w:t>
      </w:r>
    </w:p>
    <w:p w14:paraId="4760802D" w14:textId="3318A85F" w:rsidR="00B2309C" w:rsidRPr="00CC28EC" w:rsidRDefault="003424B3" w:rsidP="003424B3">
      <w:pPr>
        <w:ind w:firstLine="720"/>
        <w:jc w:val="both"/>
        <w:rPr>
          <w:sz w:val="24"/>
          <w:szCs w:val="24"/>
        </w:rPr>
      </w:pPr>
      <w:proofErr w:type="spellStart"/>
      <w:r w:rsidRPr="00CC28EC">
        <w:rPr>
          <w:sz w:val="24"/>
          <w:szCs w:val="24"/>
        </w:rPr>
        <w:t>D</w:t>
      </w:r>
      <w:r w:rsidR="00B2309C" w:rsidRPr="00CC28EC">
        <w:rPr>
          <w:sz w:val="24"/>
          <w:szCs w:val="24"/>
        </w:rPr>
        <w:t>acă</w:t>
      </w:r>
      <w:proofErr w:type="spellEnd"/>
      <w:r w:rsidR="00B2309C" w:rsidRPr="00CC28EC">
        <w:rPr>
          <w:sz w:val="24"/>
          <w:szCs w:val="24"/>
        </w:rPr>
        <w:t xml:space="preserve"> </w:t>
      </w:r>
      <w:proofErr w:type="spellStart"/>
      <w:r w:rsidR="00B2309C" w:rsidRPr="00CC28EC">
        <w:rPr>
          <w:sz w:val="24"/>
          <w:szCs w:val="24"/>
        </w:rPr>
        <w:t>datoria</w:t>
      </w:r>
      <w:proofErr w:type="spellEnd"/>
      <w:r w:rsidR="00B2309C" w:rsidRPr="00CC28EC">
        <w:rPr>
          <w:sz w:val="24"/>
          <w:szCs w:val="24"/>
        </w:rPr>
        <w:t xml:space="preserve"> </w:t>
      </w:r>
      <w:proofErr w:type="spellStart"/>
      <w:r w:rsidR="00B2309C" w:rsidRPr="00CC28EC">
        <w:rPr>
          <w:sz w:val="24"/>
          <w:szCs w:val="24"/>
        </w:rPr>
        <w:t>publică</w:t>
      </w:r>
      <w:proofErr w:type="spellEnd"/>
      <w:r w:rsidR="00B2309C" w:rsidRPr="00CC28EC">
        <w:rPr>
          <w:sz w:val="24"/>
          <w:szCs w:val="24"/>
        </w:rPr>
        <w:t xml:space="preserve"> </w:t>
      </w:r>
      <w:r w:rsidRPr="00CC28EC">
        <w:rPr>
          <w:sz w:val="24"/>
          <w:szCs w:val="24"/>
        </w:rPr>
        <w:t xml:space="preserve">se </w:t>
      </w:r>
      <w:proofErr w:type="spellStart"/>
      <w:r w:rsidRPr="00CC28EC">
        <w:rPr>
          <w:sz w:val="24"/>
          <w:szCs w:val="24"/>
        </w:rPr>
        <w:t>află</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intervalu</w:t>
      </w:r>
      <w:r w:rsidR="000230EB" w:rsidRPr="00CC28EC">
        <w:rPr>
          <w:sz w:val="24"/>
          <w:szCs w:val="24"/>
        </w:rPr>
        <w:t>l</w:t>
      </w:r>
      <w:proofErr w:type="spellEnd"/>
      <w:r w:rsidR="00B2309C" w:rsidRPr="00CC28EC">
        <w:rPr>
          <w:sz w:val="24"/>
          <w:szCs w:val="24"/>
        </w:rPr>
        <w:t xml:space="preserve"> 55%</w:t>
      </w:r>
      <w:r w:rsidRPr="00CC28EC">
        <w:rPr>
          <w:sz w:val="24"/>
          <w:szCs w:val="24"/>
        </w:rPr>
        <w:t>-</w:t>
      </w:r>
      <w:r w:rsidR="00B2309C" w:rsidRPr="00CC28EC">
        <w:rPr>
          <w:sz w:val="24"/>
          <w:szCs w:val="24"/>
        </w:rPr>
        <w:t>60% din PIB</w:t>
      </w:r>
      <w:r w:rsidRPr="00CC28EC">
        <w:rPr>
          <w:sz w:val="24"/>
          <w:szCs w:val="24"/>
        </w:rPr>
        <w:t xml:space="preserve">, </w:t>
      </w:r>
      <w:proofErr w:type="spellStart"/>
      <w:r w:rsidR="00B2309C" w:rsidRPr="00CC28EC">
        <w:rPr>
          <w:sz w:val="24"/>
          <w:szCs w:val="24"/>
        </w:rPr>
        <w:t>Guvernul</w:t>
      </w:r>
      <w:proofErr w:type="spellEnd"/>
      <w:r w:rsidR="00B2309C" w:rsidRPr="00CC28EC">
        <w:rPr>
          <w:sz w:val="24"/>
          <w:szCs w:val="24"/>
        </w:rPr>
        <w:t xml:space="preserve"> </w:t>
      </w:r>
      <w:proofErr w:type="spellStart"/>
      <w:r w:rsidR="00B2309C" w:rsidRPr="00CC28EC">
        <w:rPr>
          <w:sz w:val="24"/>
          <w:szCs w:val="24"/>
        </w:rPr>
        <w:t>inițiază</w:t>
      </w:r>
      <w:proofErr w:type="spellEnd"/>
      <w:r w:rsidR="00B2309C" w:rsidRPr="00CC28EC">
        <w:rPr>
          <w:sz w:val="24"/>
          <w:szCs w:val="24"/>
        </w:rPr>
        <w:t xml:space="preserve"> </w:t>
      </w:r>
      <w:proofErr w:type="spellStart"/>
      <w:r w:rsidR="00B2309C" w:rsidRPr="00CC28EC">
        <w:rPr>
          <w:sz w:val="24"/>
          <w:szCs w:val="24"/>
        </w:rPr>
        <w:t>măsuri</w:t>
      </w:r>
      <w:proofErr w:type="spellEnd"/>
      <w:r w:rsidR="00B2309C" w:rsidRPr="00CC28EC">
        <w:rPr>
          <w:sz w:val="24"/>
          <w:szCs w:val="24"/>
        </w:rPr>
        <w:t xml:space="preserve"> care </w:t>
      </w:r>
      <w:proofErr w:type="spellStart"/>
      <w:r w:rsidR="00B2309C" w:rsidRPr="00CC28EC">
        <w:rPr>
          <w:sz w:val="24"/>
          <w:szCs w:val="24"/>
        </w:rPr>
        <w:t>să</w:t>
      </w:r>
      <w:proofErr w:type="spellEnd"/>
      <w:r w:rsidR="00B2309C" w:rsidRPr="00CC28EC">
        <w:rPr>
          <w:sz w:val="24"/>
          <w:szCs w:val="24"/>
        </w:rPr>
        <w:t xml:space="preserve"> determine </w:t>
      </w:r>
      <w:proofErr w:type="spellStart"/>
      <w:r w:rsidR="00B2309C" w:rsidRPr="00CC28EC">
        <w:rPr>
          <w:sz w:val="24"/>
          <w:szCs w:val="24"/>
        </w:rPr>
        <w:t>înghețarea</w:t>
      </w:r>
      <w:proofErr w:type="spellEnd"/>
      <w:r w:rsidR="00B2309C" w:rsidRPr="00CC28EC">
        <w:rPr>
          <w:sz w:val="24"/>
          <w:szCs w:val="24"/>
        </w:rPr>
        <w:t xml:space="preserve"> </w:t>
      </w:r>
      <w:proofErr w:type="spellStart"/>
      <w:r w:rsidR="00B2309C" w:rsidRPr="00CC28EC">
        <w:rPr>
          <w:sz w:val="24"/>
          <w:szCs w:val="24"/>
        </w:rPr>
        <w:t>cheltuielilor</w:t>
      </w:r>
      <w:proofErr w:type="spellEnd"/>
      <w:r w:rsidR="00B2309C" w:rsidRPr="00CC28EC">
        <w:rPr>
          <w:sz w:val="24"/>
          <w:szCs w:val="24"/>
        </w:rPr>
        <w:t xml:space="preserve"> </w:t>
      </w:r>
      <w:proofErr w:type="spellStart"/>
      <w:r w:rsidR="00B2309C" w:rsidRPr="00CC28EC">
        <w:rPr>
          <w:sz w:val="24"/>
          <w:szCs w:val="24"/>
        </w:rPr>
        <w:t>totale</w:t>
      </w:r>
      <w:proofErr w:type="spellEnd"/>
      <w:r w:rsidR="00B2309C" w:rsidRPr="00CC28EC">
        <w:rPr>
          <w:sz w:val="24"/>
          <w:szCs w:val="24"/>
        </w:rPr>
        <w:t xml:space="preserve"> </w:t>
      </w:r>
      <w:proofErr w:type="spellStart"/>
      <w:r w:rsidR="00B2309C" w:rsidRPr="00CC28EC">
        <w:rPr>
          <w:sz w:val="24"/>
          <w:szCs w:val="24"/>
        </w:rPr>
        <w:t>privind</w:t>
      </w:r>
      <w:proofErr w:type="spellEnd"/>
      <w:r w:rsidR="00B2309C" w:rsidRPr="00CC28EC">
        <w:rPr>
          <w:sz w:val="24"/>
          <w:szCs w:val="24"/>
        </w:rPr>
        <w:t xml:space="preserve"> </w:t>
      </w:r>
      <w:proofErr w:type="spellStart"/>
      <w:r w:rsidR="00B2309C" w:rsidRPr="00CC28EC">
        <w:rPr>
          <w:sz w:val="24"/>
          <w:szCs w:val="24"/>
        </w:rPr>
        <w:t>asistența</w:t>
      </w:r>
      <w:proofErr w:type="spellEnd"/>
      <w:r w:rsidR="00B2309C" w:rsidRPr="00CC28EC">
        <w:rPr>
          <w:sz w:val="24"/>
          <w:szCs w:val="24"/>
        </w:rPr>
        <w:t xml:space="preserve"> </w:t>
      </w:r>
      <w:proofErr w:type="spellStart"/>
      <w:r w:rsidR="00B2309C" w:rsidRPr="00CC28EC">
        <w:rPr>
          <w:sz w:val="24"/>
          <w:szCs w:val="24"/>
        </w:rPr>
        <w:t>socială</w:t>
      </w:r>
      <w:proofErr w:type="spellEnd"/>
      <w:r w:rsidR="00B2309C" w:rsidRPr="00CC28EC">
        <w:rPr>
          <w:sz w:val="24"/>
          <w:szCs w:val="24"/>
        </w:rPr>
        <w:t xml:space="preserve"> din </w:t>
      </w:r>
      <w:proofErr w:type="spellStart"/>
      <w:r w:rsidR="00B2309C" w:rsidRPr="00CC28EC">
        <w:rPr>
          <w:sz w:val="24"/>
          <w:szCs w:val="24"/>
        </w:rPr>
        <w:t>sistemul</w:t>
      </w:r>
      <w:proofErr w:type="spellEnd"/>
      <w:r w:rsidR="00B2309C" w:rsidRPr="00CC28EC">
        <w:rPr>
          <w:sz w:val="24"/>
          <w:szCs w:val="24"/>
        </w:rPr>
        <w:t xml:space="preserve"> public</w:t>
      </w:r>
      <w:r w:rsidRPr="00CC28EC">
        <w:rPr>
          <w:sz w:val="24"/>
          <w:szCs w:val="24"/>
        </w:rPr>
        <w:t xml:space="preserve">, </w:t>
      </w:r>
      <w:proofErr w:type="spellStart"/>
      <w:r w:rsidRPr="00CC28EC">
        <w:rPr>
          <w:sz w:val="24"/>
          <w:szCs w:val="24"/>
        </w:rPr>
        <w:t>iar</w:t>
      </w:r>
      <w:proofErr w:type="spellEnd"/>
      <w:r w:rsidRPr="00CC28EC">
        <w:rPr>
          <w:sz w:val="24"/>
          <w:szCs w:val="24"/>
        </w:rPr>
        <w:t xml:space="preserve"> </w:t>
      </w:r>
      <w:proofErr w:type="spellStart"/>
      <w:r w:rsidR="00B2309C" w:rsidRPr="00CC28EC">
        <w:rPr>
          <w:sz w:val="24"/>
          <w:szCs w:val="24"/>
        </w:rPr>
        <w:t>dacă</w:t>
      </w:r>
      <w:proofErr w:type="spellEnd"/>
      <w:r w:rsidR="00B2309C" w:rsidRPr="00CC28EC">
        <w:rPr>
          <w:sz w:val="24"/>
          <w:szCs w:val="24"/>
        </w:rPr>
        <w:t xml:space="preserve"> </w:t>
      </w:r>
      <w:proofErr w:type="spellStart"/>
      <w:r w:rsidR="00B2309C" w:rsidRPr="00CC28EC">
        <w:rPr>
          <w:sz w:val="24"/>
          <w:szCs w:val="24"/>
        </w:rPr>
        <w:t>datoria</w:t>
      </w:r>
      <w:proofErr w:type="spellEnd"/>
      <w:r w:rsidR="00B2309C" w:rsidRPr="00CC28EC">
        <w:rPr>
          <w:sz w:val="24"/>
          <w:szCs w:val="24"/>
        </w:rPr>
        <w:t xml:space="preserve"> </w:t>
      </w:r>
      <w:proofErr w:type="spellStart"/>
      <w:r w:rsidR="00B2309C" w:rsidRPr="00CC28EC">
        <w:rPr>
          <w:sz w:val="24"/>
          <w:szCs w:val="24"/>
        </w:rPr>
        <w:t>publică</w:t>
      </w:r>
      <w:proofErr w:type="spellEnd"/>
      <w:r w:rsidR="00B2309C" w:rsidRPr="00CC28EC">
        <w:rPr>
          <w:sz w:val="24"/>
          <w:szCs w:val="24"/>
        </w:rPr>
        <w:t xml:space="preserve"> </w:t>
      </w:r>
      <w:proofErr w:type="spellStart"/>
      <w:r w:rsidR="00B2309C" w:rsidRPr="00CC28EC">
        <w:rPr>
          <w:sz w:val="24"/>
          <w:szCs w:val="24"/>
        </w:rPr>
        <w:t>depășește</w:t>
      </w:r>
      <w:proofErr w:type="spellEnd"/>
      <w:r w:rsidR="00B2309C" w:rsidRPr="00CC28EC">
        <w:rPr>
          <w:sz w:val="24"/>
          <w:szCs w:val="24"/>
        </w:rPr>
        <w:t xml:space="preserve"> 60% din PIB</w:t>
      </w:r>
      <w:r w:rsidRPr="00CC28EC">
        <w:rPr>
          <w:sz w:val="24"/>
          <w:szCs w:val="24"/>
        </w:rPr>
        <w:t xml:space="preserve">, </w:t>
      </w:r>
      <w:proofErr w:type="spellStart"/>
      <w:r w:rsidR="00B2309C" w:rsidRPr="00CC28EC">
        <w:rPr>
          <w:sz w:val="24"/>
          <w:szCs w:val="24"/>
        </w:rPr>
        <w:t>Guvernul</w:t>
      </w:r>
      <w:proofErr w:type="spellEnd"/>
      <w:r w:rsidR="00B2309C" w:rsidRPr="00CC28EC">
        <w:rPr>
          <w:sz w:val="24"/>
          <w:szCs w:val="24"/>
        </w:rPr>
        <w:t xml:space="preserve"> </w:t>
      </w:r>
      <w:proofErr w:type="spellStart"/>
      <w:r w:rsidR="00B2309C" w:rsidRPr="00CC28EC">
        <w:rPr>
          <w:sz w:val="24"/>
          <w:szCs w:val="24"/>
        </w:rPr>
        <w:t>inițiază</w:t>
      </w:r>
      <w:proofErr w:type="spellEnd"/>
      <w:r w:rsidR="00B2309C" w:rsidRPr="00CC28EC">
        <w:rPr>
          <w:sz w:val="24"/>
          <w:szCs w:val="24"/>
        </w:rPr>
        <w:t xml:space="preserve"> </w:t>
      </w:r>
      <w:proofErr w:type="spellStart"/>
      <w:r w:rsidR="00B2309C" w:rsidRPr="00CC28EC">
        <w:rPr>
          <w:sz w:val="24"/>
          <w:szCs w:val="24"/>
        </w:rPr>
        <w:t>și</w:t>
      </w:r>
      <w:proofErr w:type="spellEnd"/>
      <w:r w:rsidR="00B2309C" w:rsidRPr="00CC28EC">
        <w:rPr>
          <w:sz w:val="24"/>
          <w:szCs w:val="24"/>
        </w:rPr>
        <w:t xml:space="preserve"> </w:t>
      </w:r>
      <w:proofErr w:type="spellStart"/>
      <w:r w:rsidR="00B2309C" w:rsidRPr="00CC28EC">
        <w:rPr>
          <w:sz w:val="24"/>
          <w:szCs w:val="24"/>
        </w:rPr>
        <w:t>aplică</w:t>
      </w:r>
      <w:proofErr w:type="spellEnd"/>
      <w:r w:rsidR="00B2309C" w:rsidRPr="00CC28EC">
        <w:rPr>
          <w:sz w:val="24"/>
          <w:szCs w:val="24"/>
        </w:rPr>
        <w:t xml:space="preserve"> un program de </w:t>
      </w:r>
      <w:proofErr w:type="spellStart"/>
      <w:r w:rsidR="00B2309C" w:rsidRPr="00CC28EC">
        <w:rPr>
          <w:sz w:val="24"/>
          <w:szCs w:val="24"/>
        </w:rPr>
        <w:t>reducere</w:t>
      </w:r>
      <w:proofErr w:type="spellEnd"/>
      <w:r w:rsidR="00B2309C" w:rsidRPr="00CC28EC">
        <w:rPr>
          <w:sz w:val="24"/>
          <w:szCs w:val="24"/>
        </w:rPr>
        <w:t xml:space="preserve"> cu o </w:t>
      </w:r>
      <w:proofErr w:type="spellStart"/>
      <w:r w:rsidR="00B2309C" w:rsidRPr="00CC28EC">
        <w:rPr>
          <w:sz w:val="24"/>
          <w:szCs w:val="24"/>
        </w:rPr>
        <w:t>rată</w:t>
      </w:r>
      <w:proofErr w:type="spellEnd"/>
      <w:r w:rsidR="00B2309C" w:rsidRPr="00CC28EC">
        <w:rPr>
          <w:sz w:val="24"/>
          <w:szCs w:val="24"/>
        </w:rPr>
        <w:t xml:space="preserve"> </w:t>
      </w:r>
      <w:proofErr w:type="spellStart"/>
      <w:r w:rsidR="00B2309C" w:rsidRPr="00CC28EC">
        <w:rPr>
          <w:sz w:val="24"/>
          <w:szCs w:val="24"/>
        </w:rPr>
        <w:t>medie</w:t>
      </w:r>
      <w:proofErr w:type="spellEnd"/>
      <w:r w:rsidR="00B2309C" w:rsidRPr="00CC28EC">
        <w:rPr>
          <w:sz w:val="24"/>
          <w:szCs w:val="24"/>
        </w:rPr>
        <w:t xml:space="preserve"> de 5% pe an</w:t>
      </w:r>
      <w:r w:rsidRPr="00CC28EC">
        <w:rPr>
          <w:sz w:val="24"/>
          <w:szCs w:val="24"/>
        </w:rPr>
        <w:t>.</w:t>
      </w:r>
    </w:p>
    <w:p w14:paraId="644F1CCE" w14:textId="3FB9FF75" w:rsidR="00B2309C" w:rsidRPr="00CC28EC" w:rsidRDefault="000230EB" w:rsidP="006C1549">
      <w:pPr>
        <w:jc w:val="both"/>
        <w:rPr>
          <w:sz w:val="24"/>
          <w:szCs w:val="24"/>
        </w:rPr>
      </w:pPr>
      <w:r w:rsidRPr="00CC28EC">
        <w:rPr>
          <w:sz w:val="24"/>
          <w:szCs w:val="24"/>
        </w:rPr>
        <w:tab/>
      </w:r>
      <w:proofErr w:type="spellStart"/>
      <w:r w:rsidRPr="00CC28EC">
        <w:rPr>
          <w:sz w:val="24"/>
          <w:szCs w:val="24"/>
        </w:rPr>
        <w:t>Dacă</w:t>
      </w:r>
      <w:proofErr w:type="spellEnd"/>
      <w:r w:rsidRPr="00CC28EC">
        <w:rPr>
          <w:sz w:val="24"/>
          <w:szCs w:val="24"/>
        </w:rPr>
        <w:t xml:space="preserve"> </w:t>
      </w:r>
      <w:proofErr w:type="spellStart"/>
      <w:r w:rsidRPr="00CC28EC">
        <w:rPr>
          <w:sz w:val="24"/>
          <w:szCs w:val="24"/>
        </w:rPr>
        <w:t>analizăm</w:t>
      </w:r>
      <w:proofErr w:type="spellEnd"/>
      <w:r w:rsidRPr="00CC28EC">
        <w:rPr>
          <w:sz w:val="24"/>
          <w:szCs w:val="24"/>
        </w:rPr>
        <w:t xml:space="preserve"> </w:t>
      </w:r>
      <w:proofErr w:type="spellStart"/>
      <w:r w:rsidRPr="00CC28EC">
        <w:rPr>
          <w:sz w:val="24"/>
          <w:szCs w:val="24"/>
        </w:rPr>
        <w:t>obligațiile</w:t>
      </w:r>
      <w:proofErr w:type="spellEnd"/>
      <w:r w:rsidRPr="00CC28EC">
        <w:rPr>
          <w:sz w:val="24"/>
          <w:szCs w:val="24"/>
        </w:rPr>
        <w:t xml:space="preserve"> </w:t>
      </w:r>
      <w:proofErr w:type="spellStart"/>
      <w:r w:rsidRPr="00CC28EC">
        <w:rPr>
          <w:sz w:val="24"/>
          <w:szCs w:val="24"/>
        </w:rPr>
        <w:t>stut</w:t>
      </w:r>
      <w:r w:rsidR="00896DDC" w:rsidRPr="00CC28EC">
        <w:rPr>
          <w:sz w:val="24"/>
          <w:szCs w:val="24"/>
        </w:rPr>
        <w:t>u</w:t>
      </w:r>
      <w:r w:rsidRPr="00CC28EC">
        <w:rPr>
          <w:sz w:val="24"/>
          <w:szCs w:val="24"/>
        </w:rPr>
        <w:t>lui</w:t>
      </w:r>
      <w:proofErr w:type="spellEnd"/>
      <w:r w:rsidRPr="00CC28EC">
        <w:rPr>
          <w:sz w:val="24"/>
          <w:szCs w:val="24"/>
        </w:rPr>
        <w:t xml:space="preserve"> de a </w:t>
      </w:r>
      <w:proofErr w:type="spellStart"/>
      <w:r w:rsidRPr="00CC28EC">
        <w:rPr>
          <w:sz w:val="24"/>
          <w:szCs w:val="24"/>
        </w:rPr>
        <w:t>gestiona</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w:t>
      </w:r>
      <w:proofErr w:type="spellStart"/>
      <w:r w:rsidRPr="00CC28EC">
        <w:rPr>
          <w:sz w:val="24"/>
          <w:szCs w:val="24"/>
        </w:rPr>
        <w:t>constatăm</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cel</w:t>
      </w:r>
      <w:proofErr w:type="spellEnd"/>
      <w:r w:rsidRPr="00CC28EC">
        <w:rPr>
          <w:sz w:val="24"/>
          <w:szCs w:val="24"/>
        </w:rPr>
        <w:t xml:space="preserve"> </w:t>
      </w:r>
      <w:proofErr w:type="spellStart"/>
      <w:r w:rsidRPr="00CC28EC">
        <w:rPr>
          <w:sz w:val="24"/>
          <w:szCs w:val="24"/>
        </w:rPr>
        <w:t>pu</w:t>
      </w:r>
      <w:proofErr w:type="spellEnd"/>
      <w:r w:rsidR="0041721A" w:rsidRPr="00CC28EC">
        <w:rPr>
          <w:sz w:val="24"/>
          <w:szCs w:val="24"/>
          <w:lang w:val="ro-RO"/>
        </w:rPr>
        <w:t>ț</w:t>
      </w:r>
      <w:r w:rsidRPr="00CC28EC">
        <w:rPr>
          <w:sz w:val="24"/>
          <w:szCs w:val="24"/>
        </w:rPr>
        <w:t xml:space="preserve">in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teorie</w:t>
      </w:r>
      <w:proofErr w:type="spellEnd"/>
      <w:r w:rsidRPr="00CC28EC">
        <w:rPr>
          <w:sz w:val="24"/>
          <w:szCs w:val="24"/>
        </w:rPr>
        <w:t xml:space="preserve">, </w:t>
      </w:r>
      <w:proofErr w:type="spellStart"/>
      <w:r w:rsidRPr="00CC28EC">
        <w:rPr>
          <w:sz w:val="24"/>
          <w:szCs w:val="24"/>
        </w:rPr>
        <w:t>acesta</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obligat</w:t>
      </w:r>
      <w:proofErr w:type="spellEnd"/>
      <w:r w:rsidRPr="00CC28EC">
        <w:rPr>
          <w:sz w:val="24"/>
          <w:szCs w:val="24"/>
        </w:rPr>
        <w:t xml:space="preserve"> la </w:t>
      </w:r>
      <w:proofErr w:type="spellStart"/>
      <w:r w:rsidRPr="00CC28EC">
        <w:rPr>
          <w:sz w:val="24"/>
          <w:szCs w:val="24"/>
        </w:rPr>
        <w:t>responsabilitate</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management </w:t>
      </w:r>
      <w:proofErr w:type="spellStart"/>
      <w:r w:rsidRPr="00CC28EC">
        <w:rPr>
          <w:sz w:val="24"/>
          <w:szCs w:val="24"/>
        </w:rPr>
        <w:t>eficient</w:t>
      </w:r>
      <w:proofErr w:type="spellEnd"/>
      <w:r w:rsidRPr="00CC28EC">
        <w:rPr>
          <w:sz w:val="24"/>
          <w:szCs w:val="24"/>
        </w:rPr>
        <w:t xml:space="preserve"> </w:t>
      </w:r>
      <w:proofErr w:type="gramStart"/>
      <w:r w:rsidRPr="00CC28EC">
        <w:rPr>
          <w:sz w:val="24"/>
          <w:szCs w:val="24"/>
        </w:rPr>
        <w:t>a</w:t>
      </w:r>
      <w:proofErr w:type="gramEnd"/>
      <w:r w:rsidRPr="00CC28EC">
        <w:rPr>
          <w:sz w:val="24"/>
          <w:szCs w:val="24"/>
        </w:rPr>
        <w:t xml:space="preserve"> </w:t>
      </w:r>
      <w:proofErr w:type="spellStart"/>
      <w:r w:rsidRPr="00CC28EC">
        <w:rPr>
          <w:sz w:val="24"/>
          <w:szCs w:val="24"/>
        </w:rPr>
        <w:t>acesteia</w:t>
      </w:r>
      <w:proofErr w:type="spellEnd"/>
      <w:r w:rsidRPr="00CC28EC">
        <w:rPr>
          <w:sz w:val="24"/>
          <w:szCs w:val="24"/>
        </w:rPr>
        <w:t>.</w:t>
      </w:r>
      <w:r w:rsidR="008944CE" w:rsidRPr="00CC28EC">
        <w:rPr>
          <w:sz w:val="24"/>
          <w:szCs w:val="24"/>
        </w:rPr>
        <w:t xml:space="preserve"> </w:t>
      </w:r>
      <w:r w:rsidRPr="00CC28EC">
        <w:rPr>
          <w:sz w:val="24"/>
          <w:szCs w:val="24"/>
        </w:rPr>
        <w:t xml:space="preserve">Ce se </w:t>
      </w:r>
      <w:proofErr w:type="spellStart"/>
      <w:r w:rsidRPr="00CC28EC">
        <w:rPr>
          <w:sz w:val="24"/>
          <w:szCs w:val="24"/>
        </w:rPr>
        <w:t>întâmplă</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realitate</w:t>
      </w:r>
      <w:proofErr w:type="spellEnd"/>
      <w:r w:rsidRPr="00CC28EC">
        <w:rPr>
          <w:sz w:val="24"/>
          <w:szCs w:val="24"/>
        </w:rPr>
        <w:t xml:space="preserve"> </w:t>
      </w:r>
      <w:proofErr w:type="spellStart"/>
      <w:r w:rsidRPr="00CC28EC">
        <w:rPr>
          <w:sz w:val="24"/>
          <w:szCs w:val="24"/>
        </w:rPr>
        <w:t>vom</w:t>
      </w:r>
      <w:proofErr w:type="spellEnd"/>
      <w:r w:rsidRPr="00CC28EC">
        <w:rPr>
          <w:sz w:val="24"/>
          <w:szCs w:val="24"/>
        </w:rPr>
        <w:t xml:space="preserve"> </w:t>
      </w:r>
      <w:proofErr w:type="spellStart"/>
      <w:r w:rsidRPr="00CC28EC">
        <w:rPr>
          <w:sz w:val="24"/>
          <w:szCs w:val="24"/>
        </w:rPr>
        <w:t>vedea</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capitolul</w:t>
      </w:r>
      <w:proofErr w:type="spellEnd"/>
      <w:r w:rsidRPr="00CC28EC">
        <w:rPr>
          <w:sz w:val="24"/>
          <w:szCs w:val="24"/>
        </w:rPr>
        <w:t xml:space="preserve"> </w:t>
      </w:r>
      <w:proofErr w:type="spellStart"/>
      <w:r w:rsidRPr="00CC28EC">
        <w:rPr>
          <w:sz w:val="24"/>
          <w:szCs w:val="24"/>
        </w:rPr>
        <w:t>următor</w:t>
      </w:r>
      <w:proofErr w:type="spellEnd"/>
      <w:r w:rsidRPr="00CC28EC">
        <w:rPr>
          <w:sz w:val="24"/>
          <w:szCs w:val="24"/>
        </w:rPr>
        <w:t>.</w:t>
      </w:r>
    </w:p>
    <w:p w14:paraId="2EA8610B" w14:textId="77777777" w:rsidR="00B37530" w:rsidRPr="00CC28EC" w:rsidRDefault="00726D61" w:rsidP="00B37530">
      <w:pPr>
        <w:spacing w:before="120"/>
        <w:rPr>
          <w:b/>
          <w:bCs/>
          <w:sz w:val="24"/>
          <w:szCs w:val="24"/>
        </w:rPr>
      </w:pPr>
      <w:bookmarkStart w:id="6" w:name="_Hlk62391034"/>
      <w:r w:rsidRPr="00CC28EC">
        <w:rPr>
          <w:b/>
          <w:bCs/>
          <w:sz w:val="24"/>
          <w:szCs w:val="24"/>
        </w:rPr>
        <w:t>IV.</w:t>
      </w:r>
      <w:r w:rsidRPr="00CC28EC">
        <w:rPr>
          <w:b/>
          <w:bCs/>
          <w:sz w:val="24"/>
          <w:szCs w:val="24"/>
        </w:rPr>
        <w:tab/>
        <w:t xml:space="preserve"> D</w:t>
      </w:r>
      <w:r w:rsidR="00E7385B" w:rsidRPr="00CC28EC">
        <w:rPr>
          <w:b/>
          <w:bCs/>
          <w:sz w:val="24"/>
          <w:szCs w:val="24"/>
        </w:rPr>
        <w:t>ATABASE</w:t>
      </w:r>
      <w:r w:rsidR="00386ACE" w:rsidRPr="00CC28EC">
        <w:rPr>
          <w:b/>
          <w:bCs/>
          <w:sz w:val="24"/>
          <w:szCs w:val="24"/>
        </w:rPr>
        <w:t xml:space="preserve"> AND </w:t>
      </w:r>
      <w:r w:rsidRPr="00CC28EC">
        <w:rPr>
          <w:b/>
          <w:bCs/>
          <w:sz w:val="24"/>
          <w:szCs w:val="24"/>
        </w:rPr>
        <w:t>A</w:t>
      </w:r>
      <w:r w:rsidR="00E7385B" w:rsidRPr="00CC28EC">
        <w:rPr>
          <w:b/>
          <w:bCs/>
          <w:sz w:val="24"/>
          <w:szCs w:val="24"/>
        </w:rPr>
        <w:t>NALYSIS</w:t>
      </w:r>
      <w:bookmarkEnd w:id="6"/>
    </w:p>
    <w:p w14:paraId="3E94F8DD" w14:textId="4F0C871E" w:rsidR="000547D3" w:rsidRPr="00CC28EC" w:rsidRDefault="007D0A65" w:rsidP="00F2413E">
      <w:pPr>
        <w:ind w:firstLine="706"/>
        <w:jc w:val="both"/>
        <w:rPr>
          <w:b/>
          <w:bCs/>
          <w:sz w:val="24"/>
          <w:szCs w:val="24"/>
        </w:rPr>
      </w:pPr>
      <w:proofErr w:type="spellStart"/>
      <w:r w:rsidRPr="00CC28EC">
        <w:rPr>
          <w:sz w:val="24"/>
          <w:szCs w:val="24"/>
          <w:lang w:eastAsia="pl-PL"/>
        </w:rPr>
        <w:t>Datele</w:t>
      </w:r>
      <w:proofErr w:type="spellEnd"/>
      <w:r w:rsidRPr="00CC28EC">
        <w:rPr>
          <w:sz w:val="24"/>
          <w:szCs w:val="24"/>
          <w:lang w:eastAsia="pl-PL"/>
        </w:rPr>
        <w:t xml:space="preserve"> </w:t>
      </w:r>
      <w:proofErr w:type="spellStart"/>
      <w:r w:rsidRPr="00CC28EC">
        <w:rPr>
          <w:sz w:val="24"/>
          <w:szCs w:val="24"/>
          <w:lang w:eastAsia="pl-PL"/>
        </w:rPr>
        <w:t>folosite</w:t>
      </w:r>
      <w:proofErr w:type="spellEnd"/>
      <w:r w:rsidRPr="00CC28EC">
        <w:rPr>
          <w:sz w:val="24"/>
          <w:szCs w:val="24"/>
          <w:lang w:eastAsia="pl-PL"/>
        </w:rPr>
        <w:t xml:space="preserve"> </w:t>
      </w:r>
      <w:proofErr w:type="spellStart"/>
      <w:r w:rsidRPr="00CC28EC">
        <w:rPr>
          <w:sz w:val="24"/>
          <w:szCs w:val="24"/>
          <w:lang w:eastAsia="pl-PL"/>
        </w:rPr>
        <w:t>în</w:t>
      </w:r>
      <w:proofErr w:type="spellEnd"/>
      <w:r w:rsidRPr="00CC28EC">
        <w:rPr>
          <w:sz w:val="24"/>
          <w:szCs w:val="24"/>
          <w:lang w:eastAsia="pl-PL"/>
        </w:rPr>
        <w:t xml:space="preserve"> </w:t>
      </w:r>
      <w:proofErr w:type="spellStart"/>
      <w:r w:rsidRPr="00CC28EC">
        <w:rPr>
          <w:sz w:val="24"/>
          <w:szCs w:val="24"/>
          <w:lang w:eastAsia="pl-PL"/>
        </w:rPr>
        <w:t>acest</w:t>
      </w:r>
      <w:proofErr w:type="spellEnd"/>
      <w:r w:rsidRPr="00CC28EC">
        <w:rPr>
          <w:sz w:val="24"/>
          <w:szCs w:val="24"/>
          <w:lang w:eastAsia="pl-PL"/>
        </w:rPr>
        <w:t xml:space="preserve"> capitol au </w:t>
      </w:r>
      <w:proofErr w:type="spellStart"/>
      <w:r w:rsidRPr="00CC28EC">
        <w:rPr>
          <w:sz w:val="24"/>
          <w:szCs w:val="24"/>
          <w:lang w:eastAsia="pl-PL"/>
        </w:rPr>
        <w:t>fost</w:t>
      </w:r>
      <w:proofErr w:type="spellEnd"/>
      <w:r w:rsidRPr="00CC28EC">
        <w:rPr>
          <w:sz w:val="24"/>
          <w:szCs w:val="24"/>
          <w:lang w:eastAsia="pl-PL"/>
        </w:rPr>
        <w:t xml:space="preserve"> </w:t>
      </w:r>
      <w:proofErr w:type="spellStart"/>
      <w:r w:rsidRPr="00CC28EC">
        <w:rPr>
          <w:sz w:val="24"/>
          <w:szCs w:val="24"/>
          <w:lang w:eastAsia="pl-PL"/>
        </w:rPr>
        <w:t>extrase</w:t>
      </w:r>
      <w:proofErr w:type="spellEnd"/>
      <w:r w:rsidRPr="00CC28EC">
        <w:rPr>
          <w:sz w:val="24"/>
          <w:szCs w:val="24"/>
          <w:lang w:eastAsia="pl-PL"/>
        </w:rPr>
        <w:t xml:space="preserve"> de pe site-ul </w:t>
      </w:r>
      <w:proofErr w:type="spellStart"/>
      <w:r w:rsidRPr="00CC28EC">
        <w:rPr>
          <w:sz w:val="24"/>
          <w:szCs w:val="24"/>
          <w:lang w:eastAsia="pl-PL"/>
        </w:rPr>
        <w:t>Ministerului</w:t>
      </w:r>
      <w:proofErr w:type="spellEnd"/>
      <w:r w:rsidRPr="00CC28EC">
        <w:rPr>
          <w:sz w:val="24"/>
          <w:szCs w:val="24"/>
          <w:lang w:eastAsia="pl-PL"/>
        </w:rPr>
        <w:t xml:space="preserve"> de </w:t>
      </w:r>
      <w:proofErr w:type="spellStart"/>
      <w:r w:rsidRPr="00CC28EC">
        <w:rPr>
          <w:sz w:val="24"/>
          <w:szCs w:val="24"/>
          <w:lang w:eastAsia="pl-PL"/>
        </w:rPr>
        <w:t>Finanțe</w:t>
      </w:r>
      <w:r w:rsidR="00D425E4" w:rsidRPr="00CC28EC">
        <w:rPr>
          <w:sz w:val="24"/>
          <w:szCs w:val="24"/>
          <w:lang w:eastAsia="pl-PL"/>
        </w:rPr>
        <w:t>lor</w:t>
      </w:r>
      <w:proofErr w:type="spellEnd"/>
      <w:r w:rsidR="00D425E4" w:rsidRPr="00CC28EC">
        <w:rPr>
          <w:sz w:val="24"/>
          <w:szCs w:val="24"/>
          <w:lang w:eastAsia="pl-PL"/>
        </w:rPr>
        <w:t xml:space="preserve"> </w:t>
      </w:r>
      <w:proofErr w:type="spellStart"/>
      <w:r w:rsidR="00D425E4" w:rsidRPr="00CC28EC">
        <w:rPr>
          <w:sz w:val="24"/>
          <w:szCs w:val="24"/>
          <w:lang w:eastAsia="pl-PL"/>
        </w:rPr>
        <w:t>Publice</w:t>
      </w:r>
      <w:proofErr w:type="spellEnd"/>
      <w:r w:rsidRPr="00CC28EC">
        <w:rPr>
          <w:sz w:val="24"/>
          <w:szCs w:val="24"/>
          <w:lang w:eastAsia="pl-PL"/>
        </w:rPr>
        <w:t xml:space="preserve"> </w:t>
      </w:r>
      <w:proofErr w:type="spellStart"/>
      <w:r w:rsidRPr="00CC28EC">
        <w:rPr>
          <w:sz w:val="24"/>
          <w:szCs w:val="24"/>
          <w:lang w:eastAsia="pl-PL"/>
        </w:rPr>
        <w:t>și</w:t>
      </w:r>
      <w:proofErr w:type="spellEnd"/>
      <w:r w:rsidRPr="00CC28EC">
        <w:rPr>
          <w:sz w:val="24"/>
          <w:szCs w:val="24"/>
          <w:lang w:eastAsia="pl-PL"/>
        </w:rPr>
        <w:t xml:space="preserve"> </w:t>
      </w:r>
      <w:proofErr w:type="spellStart"/>
      <w:r w:rsidRPr="00CC28EC">
        <w:rPr>
          <w:sz w:val="24"/>
          <w:szCs w:val="24"/>
          <w:lang w:eastAsia="pl-PL"/>
        </w:rPr>
        <w:t>reprezintă</w:t>
      </w:r>
      <w:proofErr w:type="spellEnd"/>
      <w:r w:rsidR="00D425E4" w:rsidRPr="00CC28EC">
        <w:rPr>
          <w:sz w:val="24"/>
          <w:szCs w:val="24"/>
          <w:lang w:eastAsia="pl-PL"/>
        </w:rPr>
        <w:t xml:space="preserve"> </w:t>
      </w:r>
      <w:proofErr w:type="spellStart"/>
      <w:r w:rsidR="00D425E4" w:rsidRPr="00CC28EC">
        <w:rPr>
          <w:sz w:val="24"/>
          <w:szCs w:val="24"/>
          <w:lang w:eastAsia="pl-PL"/>
        </w:rPr>
        <w:t>evoluția</w:t>
      </w:r>
      <w:proofErr w:type="spellEnd"/>
      <w:r w:rsidR="00D425E4" w:rsidRPr="00CC28EC">
        <w:rPr>
          <w:sz w:val="24"/>
          <w:szCs w:val="24"/>
          <w:lang w:eastAsia="pl-PL"/>
        </w:rPr>
        <w:t xml:space="preserve"> </w:t>
      </w:r>
      <w:proofErr w:type="spellStart"/>
      <w:r w:rsidR="00D425E4" w:rsidRPr="00CC28EC">
        <w:rPr>
          <w:sz w:val="24"/>
          <w:szCs w:val="24"/>
          <w:lang w:eastAsia="pl-PL"/>
        </w:rPr>
        <w:t>datoriei</w:t>
      </w:r>
      <w:proofErr w:type="spellEnd"/>
      <w:r w:rsidR="00D425E4" w:rsidRPr="00CC28EC">
        <w:rPr>
          <w:sz w:val="24"/>
          <w:szCs w:val="24"/>
          <w:lang w:eastAsia="pl-PL"/>
        </w:rPr>
        <w:t xml:space="preserve"> </w:t>
      </w:r>
      <w:proofErr w:type="spellStart"/>
      <w:r w:rsidR="00D425E4" w:rsidRPr="00CC28EC">
        <w:rPr>
          <w:sz w:val="24"/>
          <w:szCs w:val="24"/>
          <w:lang w:eastAsia="pl-PL"/>
        </w:rPr>
        <w:t>publice</w:t>
      </w:r>
      <w:proofErr w:type="spellEnd"/>
      <w:r w:rsidR="00D425E4" w:rsidRPr="00CC28EC">
        <w:rPr>
          <w:sz w:val="24"/>
          <w:szCs w:val="24"/>
          <w:lang w:eastAsia="pl-PL"/>
        </w:rPr>
        <w:t xml:space="preserve"> a </w:t>
      </w:r>
      <w:proofErr w:type="spellStart"/>
      <w:r w:rsidR="00D425E4" w:rsidRPr="00CC28EC">
        <w:rPr>
          <w:sz w:val="24"/>
          <w:szCs w:val="24"/>
          <w:lang w:eastAsia="pl-PL"/>
        </w:rPr>
        <w:t>României</w:t>
      </w:r>
      <w:proofErr w:type="spellEnd"/>
      <w:r w:rsidR="00D425E4" w:rsidRPr="00CC28EC">
        <w:rPr>
          <w:sz w:val="24"/>
          <w:szCs w:val="24"/>
          <w:lang w:eastAsia="pl-PL"/>
        </w:rPr>
        <w:t xml:space="preserve"> </w:t>
      </w:r>
      <w:proofErr w:type="spellStart"/>
      <w:r w:rsidR="00D425E4" w:rsidRPr="00CC28EC">
        <w:rPr>
          <w:sz w:val="24"/>
          <w:szCs w:val="24"/>
          <w:lang w:eastAsia="pl-PL"/>
        </w:rPr>
        <w:t>în</w:t>
      </w:r>
      <w:proofErr w:type="spellEnd"/>
      <w:r w:rsidR="00D425E4" w:rsidRPr="00CC28EC">
        <w:rPr>
          <w:sz w:val="24"/>
          <w:szCs w:val="24"/>
          <w:lang w:eastAsia="pl-PL"/>
        </w:rPr>
        <w:t xml:space="preserve"> </w:t>
      </w:r>
      <w:proofErr w:type="spellStart"/>
      <w:r w:rsidR="00D425E4" w:rsidRPr="00CC28EC">
        <w:rPr>
          <w:sz w:val="24"/>
          <w:szCs w:val="24"/>
          <w:lang w:eastAsia="pl-PL"/>
        </w:rPr>
        <w:t>perioada</w:t>
      </w:r>
      <w:proofErr w:type="spellEnd"/>
      <w:r w:rsidR="00D425E4" w:rsidRPr="00CC28EC">
        <w:rPr>
          <w:sz w:val="24"/>
          <w:szCs w:val="24"/>
          <w:lang w:eastAsia="pl-PL"/>
        </w:rPr>
        <w:t xml:space="preserve"> 2015-30 </w:t>
      </w:r>
      <w:proofErr w:type="spellStart"/>
      <w:r w:rsidR="00D425E4" w:rsidRPr="00CC28EC">
        <w:rPr>
          <w:sz w:val="24"/>
          <w:szCs w:val="24"/>
          <w:lang w:eastAsia="pl-PL"/>
        </w:rPr>
        <w:t>Iunie</w:t>
      </w:r>
      <w:proofErr w:type="spellEnd"/>
      <w:r w:rsidR="00D425E4" w:rsidRPr="00CC28EC">
        <w:rPr>
          <w:sz w:val="24"/>
          <w:szCs w:val="24"/>
          <w:lang w:eastAsia="pl-PL"/>
        </w:rPr>
        <w:t xml:space="preserve"> 2021</w:t>
      </w:r>
      <w:r w:rsidRPr="00CC28EC">
        <w:rPr>
          <w:sz w:val="24"/>
          <w:szCs w:val="24"/>
          <w:lang w:eastAsia="pl-PL"/>
        </w:rPr>
        <w:t>.</w:t>
      </w:r>
      <w:r w:rsidR="00BB331D" w:rsidRPr="00CC28EC">
        <w:rPr>
          <w:sz w:val="24"/>
          <w:szCs w:val="24"/>
          <w:lang w:eastAsia="pl-PL"/>
        </w:rPr>
        <w:t xml:space="preserve"> </w:t>
      </w:r>
      <w:r w:rsidR="00D425E4" w:rsidRPr="00CC28EC">
        <w:rPr>
          <w:sz w:val="24"/>
          <w:szCs w:val="24"/>
          <w:lang w:eastAsia="pl-PL"/>
        </w:rPr>
        <w:t xml:space="preserve">Sunt </w:t>
      </w:r>
      <w:proofErr w:type="spellStart"/>
      <w:r w:rsidR="00D425E4" w:rsidRPr="00CC28EC">
        <w:rPr>
          <w:sz w:val="24"/>
          <w:szCs w:val="24"/>
          <w:lang w:eastAsia="pl-PL"/>
        </w:rPr>
        <w:t>folosite</w:t>
      </w:r>
      <w:proofErr w:type="spellEnd"/>
      <w:r w:rsidR="00D425E4" w:rsidRPr="00CC28EC">
        <w:rPr>
          <w:sz w:val="24"/>
          <w:szCs w:val="24"/>
          <w:lang w:eastAsia="pl-PL"/>
        </w:rPr>
        <w:t xml:space="preserve"> </w:t>
      </w:r>
      <w:proofErr w:type="spellStart"/>
      <w:r w:rsidR="00D425E4" w:rsidRPr="00CC28EC">
        <w:rPr>
          <w:sz w:val="24"/>
          <w:szCs w:val="24"/>
          <w:lang w:eastAsia="pl-PL"/>
        </w:rPr>
        <w:t>și</w:t>
      </w:r>
      <w:proofErr w:type="spellEnd"/>
      <w:r w:rsidR="00D425E4" w:rsidRPr="00CC28EC">
        <w:rPr>
          <w:sz w:val="24"/>
          <w:szCs w:val="24"/>
          <w:lang w:eastAsia="pl-PL"/>
        </w:rPr>
        <w:t xml:space="preserve"> </w:t>
      </w:r>
      <w:proofErr w:type="spellStart"/>
      <w:r w:rsidR="00D425E4" w:rsidRPr="00CC28EC">
        <w:rPr>
          <w:sz w:val="24"/>
          <w:szCs w:val="24"/>
          <w:lang w:eastAsia="pl-PL"/>
        </w:rPr>
        <w:t>informații</w:t>
      </w:r>
      <w:proofErr w:type="spellEnd"/>
      <w:r w:rsidR="00D425E4" w:rsidRPr="00CC28EC">
        <w:rPr>
          <w:sz w:val="24"/>
          <w:szCs w:val="24"/>
          <w:lang w:eastAsia="pl-PL"/>
        </w:rPr>
        <w:t xml:space="preserve"> </w:t>
      </w:r>
      <w:proofErr w:type="spellStart"/>
      <w:r w:rsidR="00386ACE" w:rsidRPr="00CC28EC">
        <w:rPr>
          <w:sz w:val="24"/>
          <w:szCs w:val="24"/>
          <w:lang w:eastAsia="pl-PL"/>
        </w:rPr>
        <w:t>ș</w:t>
      </w:r>
      <w:r w:rsidR="00D425E4" w:rsidRPr="00CC28EC">
        <w:rPr>
          <w:sz w:val="24"/>
          <w:szCs w:val="24"/>
          <w:lang w:eastAsia="pl-PL"/>
        </w:rPr>
        <w:t>i</w:t>
      </w:r>
      <w:proofErr w:type="spellEnd"/>
      <w:r w:rsidR="00D425E4" w:rsidRPr="00CC28EC">
        <w:rPr>
          <w:sz w:val="24"/>
          <w:szCs w:val="24"/>
          <w:lang w:eastAsia="pl-PL"/>
        </w:rPr>
        <w:t xml:space="preserve"> date de pe site-ul BNR </w:t>
      </w:r>
      <w:proofErr w:type="spellStart"/>
      <w:r w:rsidR="00D425E4" w:rsidRPr="00CC28EC">
        <w:rPr>
          <w:sz w:val="24"/>
          <w:szCs w:val="24"/>
          <w:lang w:eastAsia="pl-PL"/>
        </w:rPr>
        <w:t>referitoare</w:t>
      </w:r>
      <w:proofErr w:type="spellEnd"/>
      <w:r w:rsidR="00D425E4" w:rsidRPr="00CC28EC">
        <w:rPr>
          <w:sz w:val="24"/>
          <w:szCs w:val="24"/>
          <w:lang w:eastAsia="pl-PL"/>
        </w:rPr>
        <w:t xml:space="preserve"> la </w:t>
      </w:r>
      <w:proofErr w:type="spellStart"/>
      <w:r w:rsidR="00D425E4" w:rsidRPr="00CC28EC">
        <w:rPr>
          <w:sz w:val="24"/>
          <w:szCs w:val="24"/>
          <w:lang w:eastAsia="pl-PL"/>
        </w:rPr>
        <w:t>datoria</w:t>
      </w:r>
      <w:proofErr w:type="spellEnd"/>
      <w:r w:rsidR="00D425E4" w:rsidRPr="00CC28EC">
        <w:rPr>
          <w:sz w:val="24"/>
          <w:szCs w:val="24"/>
          <w:lang w:eastAsia="pl-PL"/>
        </w:rPr>
        <w:t xml:space="preserve"> </w:t>
      </w:r>
      <w:proofErr w:type="spellStart"/>
      <w:r w:rsidR="00D425E4" w:rsidRPr="00CC28EC">
        <w:rPr>
          <w:sz w:val="24"/>
          <w:szCs w:val="24"/>
          <w:lang w:eastAsia="pl-PL"/>
        </w:rPr>
        <w:t>publică</w:t>
      </w:r>
      <w:proofErr w:type="spellEnd"/>
      <w:r w:rsidR="00D425E4" w:rsidRPr="00CC28EC">
        <w:rPr>
          <w:sz w:val="24"/>
          <w:szCs w:val="24"/>
          <w:lang w:eastAsia="pl-PL"/>
        </w:rPr>
        <w:t xml:space="preserve"> </w:t>
      </w:r>
      <w:proofErr w:type="spellStart"/>
      <w:r w:rsidR="00D425E4" w:rsidRPr="00CC28EC">
        <w:rPr>
          <w:sz w:val="24"/>
          <w:szCs w:val="24"/>
          <w:lang w:eastAsia="pl-PL"/>
        </w:rPr>
        <w:t>externă</w:t>
      </w:r>
      <w:proofErr w:type="spellEnd"/>
      <w:r w:rsidR="00D425E4" w:rsidRPr="00CC28EC">
        <w:rPr>
          <w:sz w:val="24"/>
          <w:szCs w:val="24"/>
          <w:lang w:eastAsia="pl-PL"/>
        </w:rPr>
        <w:t xml:space="preserve"> </w:t>
      </w:r>
      <w:proofErr w:type="spellStart"/>
      <w:r w:rsidR="00D425E4" w:rsidRPr="00CC28EC">
        <w:rPr>
          <w:sz w:val="24"/>
          <w:szCs w:val="24"/>
          <w:lang w:eastAsia="pl-PL"/>
        </w:rPr>
        <w:t>și</w:t>
      </w:r>
      <w:proofErr w:type="spellEnd"/>
      <w:r w:rsidR="00D425E4" w:rsidRPr="00CC28EC">
        <w:rPr>
          <w:sz w:val="24"/>
          <w:szCs w:val="24"/>
          <w:lang w:eastAsia="pl-PL"/>
        </w:rPr>
        <w:t xml:space="preserve"> </w:t>
      </w:r>
      <w:proofErr w:type="spellStart"/>
      <w:r w:rsidR="00D425E4" w:rsidRPr="00CC28EC">
        <w:rPr>
          <w:sz w:val="24"/>
          <w:szCs w:val="24"/>
          <w:lang w:eastAsia="pl-PL"/>
        </w:rPr>
        <w:t>deficitul</w:t>
      </w:r>
      <w:proofErr w:type="spellEnd"/>
      <w:r w:rsidR="00D425E4" w:rsidRPr="00CC28EC">
        <w:rPr>
          <w:sz w:val="24"/>
          <w:szCs w:val="24"/>
          <w:lang w:eastAsia="pl-PL"/>
        </w:rPr>
        <w:t xml:space="preserve"> </w:t>
      </w:r>
      <w:proofErr w:type="spellStart"/>
      <w:r w:rsidR="00D425E4" w:rsidRPr="00CC28EC">
        <w:rPr>
          <w:sz w:val="24"/>
          <w:szCs w:val="24"/>
          <w:lang w:eastAsia="pl-PL"/>
        </w:rPr>
        <w:t>contului</w:t>
      </w:r>
      <w:proofErr w:type="spellEnd"/>
      <w:r w:rsidR="00D425E4" w:rsidRPr="00CC28EC">
        <w:rPr>
          <w:sz w:val="24"/>
          <w:szCs w:val="24"/>
          <w:lang w:eastAsia="pl-PL"/>
        </w:rPr>
        <w:t xml:space="preserve"> </w:t>
      </w:r>
      <w:proofErr w:type="spellStart"/>
      <w:r w:rsidR="00D425E4" w:rsidRPr="00CC28EC">
        <w:rPr>
          <w:sz w:val="24"/>
          <w:szCs w:val="24"/>
          <w:lang w:eastAsia="pl-PL"/>
        </w:rPr>
        <w:t>curent</w:t>
      </w:r>
      <w:proofErr w:type="spellEnd"/>
      <w:r w:rsidR="00D425E4" w:rsidRPr="00CC28EC">
        <w:rPr>
          <w:sz w:val="24"/>
          <w:szCs w:val="24"/>
          <w:lang w:eastAsia="pl-PL"/>
        </w:rPr>
        <w:t>.</w:t>
      </w:r>
      <w:r w:rsidR="002C7FD2" w:rsidRPr="00CC28EC">
        <w:rPr>
          <w:sz w:val="24"/>
          <w:szCs w:val="24"/>
          <w:lang w:eastAsia="pl-PL"/>
        </w:rPr>
        <w:t xml:space="preserve"> </w:t>
      </w:r>
      <w:proofErr w:type="spellStart"/>
      <w:r w:rsidR="00475CEA" w:rsidRPr="00CC28EC">
        <w:rPr>
          <w:sz w:val="24"/>
          <w:szCs w:val="24"/>
          <w:lang w:eastAsia="pl-PL"/>
        </w:rPr>
        <w:t>Vom</w:t>
      </w:r>
      <w:proofErr w:type="spellEnd"/>
      <w:r w:rsidR="002C7FD2" w:rsidRPr="00CC28EC">
        <w:rPr>
          <w:sz w:val="24"/>
          <w:szCs w:val="24"/>
          <w:lang w:eastAsia="pl-PL"/>
        </w:rPr>
        <w:t xml:space="preserve"> </w:t>
      </w:r>
      <w:proofErr w:type="spellStart"/>
      <w:r w:rsidR="00D425E4" w:rsidRPr="00CC28EC">
        <w:rPr>
          <w:sz w:val="24"/>
          <w:szCs w:val="24"/>
          <w:lang w:eastAsia="pl-PL"/>
        </w:rPr>
        <w:t>utiliza</w:t>
      </w:r>
      <w:proofErr w:type="spellEnd"/>
      <w:r w:rsidR="00475CEA" w:rsidRPr="00CC28EC">
        <w:rPr>
          <w:sz w:val="24"/>
          <w:szCs w:val="24"/>
          <w:lang w:eastAsia="pl-PL"/>
        </w:rPr>
        <w:t xml:space="preserve"> </w:t>
      </w:r>
      <w:proofErr w:type="spellStart"/>
      <w:r w:rsidR="00475CEA" w:rsidRPr="00CC28EC">
        <w:rPr>
          <w:sz w:val="24"/>
          <w:szCs w:val="24"/>
          <w:lang w:eastAsia="pl-PL"/>
        </w:rPr>
        <w:t>aceste</w:t>
      </w:r>
      <w:proofErr w:type="spellEnd"/>
      <w:r w:rsidR="00475CEA" w:rsidRPr="00CC28EC">
        <w:rPr>
          <w:sz w:val="24"/>
          <w:szCs w:val="24"/>
          <w:lang w:eastAsia="pl-PL"/>
        </w:rPr>
        <w:t xml:space="preserve"> </w:t>
      </w:r>
      <w:proofErr w:type="spellStart"/>
      <w:r w:rsidR="00475CEA" w:rsidRPr="00CC28EC">
        <w:rPr>
          <w:sz w:val="24"/>
          <w:szCs w:val="24"/>
          <w:lang w:eastAsia="pl-PL"/>
        </w:rPr>
        <w:t>informa</w:t>
      </w:r>
      <w:proofErr w:type="spellEnd"/>
      <w:r w:rsidR="00475CEA" w:rsidRPr="00CC28EC">
        <w:rPr>
          <w:sz w:val="24"/>
          <w:szCs w:val="24"/>
          <w:lang w:val="ro-RO" w:eastAsia="pl-PL"/>
        </w:rPr>
        <w:t>ț</w:t>
      </w:r>
      <w:r w:rsidR="00475CEA" w:rsidRPr="00CC28EC">
        <w:rPr>
          <w:sz w:val="24"/>
          <w:szCs w:val="24"/>
          <w:lang w:eastAsia="pl-PL"/>
        </w:rPr>
        <w:t xml:space="preserve">ii </w:t>
      </w:r>
      <w:proofErr w:type="spellStart"/>
      <w:r w:rsidR="00475CEA" w:rsidRPr="00CC28EC">
        <w:rPr>
          <w:sz w:val="24"/>
          <w:szCs w:val="24"/>
          <w:lang w:eastAsia="pl-PL"/>
        </w:rPr>
        <w:t>pentru</w:t>
      </w:r>
      <w:proofErr w:type="spellEnd"/>
      <w:r w:rsidR="00475CEA" w:rsidRPr="00CC28EC">
        <w:rPr>
          <w:sz w:val="24"/>
          <w:szCs w:val="24"/>
          <w:lang w:eastAsia="pl-PL"/>
        </w:rPr>
        <w:t xml:space="preserve"> a </w:t>
      </w:r>
      <w:proofErr w:type="spellStart"/>
      <w:r w:rsidR="00D425E4" w:rsidRPr="00CC28EC">
        <w:rPr>
          <w:sz w:val="24"/>
          <w:szCs w:val="24"/>
          <w:lang w:eastAsia="pl-PL"/>
        </w:rPr>
        <w:t>studia</w:t>
      </w:r>
      <w:proofErr w:type="spellEnd"/>
      <w:r w:rsidR="00D425E4" w:rsidRPr="00CC28EC">
        <w:rPr>
          <w:sz w:val="24"/>
          <w:szCs w:val="24"/>
          <w:lang w:eastAsia="pl-PL"/>
        </w:rPr>
        <w:t xml:space="preserve"> </w:t>
      </w:r>
      <w:proofErr w:type="spellStart"/>
      <w:r w:rsidR="00475CEA" w:rsidRPr="00CC28EC">
        <w:rPr>
          <w:sz w:val="24"/>
          <w:szCs w:val="24"/>
          <w:lang w:eastAsia="pl-PL"/>
        </w:rPr>
        <w:t>evoluția</w:t>
      </w:r>
      <w:proofErr w:type="spellEnd"/>
      <w:r w:rsidR="00475CEA" w:rsidRPr="00CC28EC">
        <w:rPr>
          <w:sz w:val="24"/>
          <w:szCs w:val="24"/>
          <w:lang w:eastAsia="pl-PL"/>
        </w:rPr>
        <w:t xml:space="preserve"> </w:t>
      </w:r>
      <w:proofErr w:type="spellStart"/>
      <w:r w:rsidR="00D425E4" w:rsidRPr="00CC28EC">
        <w:rPr>
          <w:sz w:val="24"/>
          <w:szCs w:val="24"/>
          <w:lang w:eastAsia="pl-PL"/>
        </w:rPr>
        <w:t>datoriei</w:t>
      </w:r>
      <w:proofErr w:type="spellEnd"/>
      <w:r w:rsidR="00D425E4" w:rsidRPr="00CC28EC">
        <w:rPr>
          <w:sz w:val="24"/>
          <w:szCs w:val="24"/>
          <w:lang w:eastAsia="pl-PL"/>
        </w:rPr>
        <w:t xml:space="preserve"> </w:t>
      </w:r>
      <w:proofErr w:type="spellStart"/>
      <w:r w:rsidR="00D425E4" w:rsidRPr="00CC28EC">
        <w:rPr>
          <w:sz w:val="24"/>
          <w:szCs w:val="24"/>
          <w:lang w:eastAsia="pl-PL"/>
        </w:rPr>
        <w:t>publice</w:t>
      </w:r>
      <w:proofErr w:type="spellEnd"/>
      <w:r w:rsidR="00D87498" w:rsidRPr="00CC28EC">
        <w:rPr>
          <w:sz w:val="24"/>
          <w:szCs w:val="24"/>
          <w:lang w:eastAsia="pl-PL"/>
        </w:rPr>
        <w:t xml:space="preserve"> </w:t>
      </w:r>
      <w:proofErr w:type="spellStart"/>
      <w:r w:rsidR="00D425E4" w:rsidRPr="00CC28EC">
        <w:rPr>
          <w:sz w:val="24"/>
          <w:szCs w:val="24"/>
          <w:lang w:eastAsia="pl-PL"/>
        </w:rPr>
        <w:t>pentru</w:t>
      </w:r>
      <w:proofErr w:type="spellEnd"/>
      <w:r w:rsidR="00D425E4" w:rsidRPr="00CC28EC">
        <w:rPr>
          <w:sz w:val="24"/>
          <w:szCs w:val="24"/>
          <w:lang w:eastAsia="pl-PL"/>
        </w:rPr>
        <w:t xml:space="preserve"> a </w:t>
      </w:r>
      <w:proofErr w:type="spellStart"/>
      <w:r w:rsidR="00D425E4" w:rsidRPr="00CC28EC">
        <w:rPr>
          <w:sz w:val="24"/>
          <w:szCs w:val="24"/>
          <w:lang w:eastAsia="pl-PL"/>
        </w:rPr>
        <w:t>concluziona</w:t>
      </w:r>
      <w:proofErr w:type="spellEnd"/>
      <w:r w:rsidR="00D425E4" w:rsidRPr="00CC28EC">
        <w:rPr>
          <w:sz w:val="24"/>
          <w:szCs w:val="24"/>
          <w:lang w:eastAsia="pl-PL"/>
        </w:rPr>
        <w:t xml:space="preserve"> cu </w:t>
      </w:r>
      <w:proofErr w:type="spellStart"/>
      <w:r w:rsidR="00D425E4" w:rsidRPr="00CC28EC">
        <w:rPr>
          <w:sz w:val="24"/>
          <w:szCs w:val="24"/>
          <w:lang w:eastAsia="pl-PL"/>
        </w:rPr>
        <w:t>privire</w:t>
      </w:r>
      <w:proofErr w:type="spellEnd"/>
      <w:r w:rsidR="00D425E4" w:rsidRPr="00CC28EC">
        <w:rPr>
          <w:sz w:val="24"/>
          <w:szCs w:val="24"/>
          <w:lang w:eastAsia="pl-PL"/>
        </w:rPr>
        <w:t xml:space="preserve"> la </w:t>
      </w:r>
      <w:proofErr w:type="spellStart"/>
      <w:r w:rsidR="00D425E4" w:rsidRPr="00CC28EC">
        <w:rPr>
          <w:sz w:val="24"/>
          <w:szCs w:val="24"/>
          <w:lang w:eastAsia="pl-PL"/>
        </w:rPr>
        <w:t>tendințe</w:t>
      </w:r>
      <w:proofErr w:type="spellEnd"/>
      <w:r w:rsidR="00D425E4" w:rsidRPr="00CC28EC">
        <w:rPr>
          <w:sz w:val="24"/>
          <w:szCs w:val="24"/>
          <w:lang w:eastAsia="pl-PL"/>
        </w:rPr>
        <w:t xml:space="preserve"> </w:t>
      </w:r>
      <w:proofErr w:type="spellStart"/>
      <w:r w:rsidR="00D425E4" w:rsidRPr="00CC28EC">
        <w:rPr>
          <w:sz w:val="24"/>
          <w:szCs w:val="24"/>
          <w:lang w:eastAsia="pl-PL"/>
        </w:rPr>
        <w:t>și</w:t>
      </w:r>
      <w:proofErr w:type="spellEnd"/>
      <w:r w:rsidR="00D425E4" w:rsidRPr="00CC28EC">
        <w:rPr>
          <w:sz w:val="24"/>
          <w:szCs w:val="24"/>
          <w:lang w:eastAsia="pl-PL"/>
        </w:rPr>
        <w:t xml:space="preserve"> </w:t>
      </w:r>
      <w:proofErr w:type="spellStart"/>
      <w:r w:rsidR="00D425E4" w:rsidRPr="00CC28EC">
        <w:rPr>
          <w:sz w:val="24"/>
          <w:szCs w:val="24"/>
          <w:lang w:eastAsia="pl-PL"/>
        </w:rPr>
        <w:t>efectele</w:t>
      </w:r>
      <w:proofErr w:type="spellEnd"/>
      <w:r w:rsidR="00D425E4" w:rsidRPr="00CC28EC">
        <w:rPr>
          <w:sz w:val="24"/>
          <w:szCs w:val="24"/>
          <w:lang w:eastAsia="pl-PL"/>
        </w:rPr>
        <w:t xml:space="preserve"> lor </w:t>
      </w:r>
      <w:proofErr w:type="spellStart"/>
      <w:r w:rsidR="00D425E4" w:rsidRPr="00CC28EC">
        <w:rPr>
          <w:sz w:val="24"/>
          <w:szCs w:val="24"/>
          <w:lang w:eastAsia="pl-PL"/>
        </w:rPr>
        <w:t>asupra</w:t>
      </w:r>
      <w:proofErr w:type="spellEnd"/>
      <w:r w:rsidR="00D425E4" w:rsidRPr="00CC28EC">
        <w:rPr>
          <w:sz w:val="24"/>
          <w:szCs w:val="24"/>
          <w:lang w:eastAsia="pl-PL"/>
        </w:rPr>
        <w:t xml:space="preserve"> </w:t>
      </w:r>
      <w:proofErr w:type="spellStart"/>
      <w:r w:rsidR="00D425E4" w:rsidRPr="00CC28EC">
        <w:rPr>
          <w:sz w:val="24"/>
          <w:szCs w:val="24"/>
          <w:lang w:eastAsia="pl-PL"/>
        </w:rPr>
        <w:t>vieții</w:t>
      </w:r>
      <w:proofErr w:type="spellEnd"/>
      <w:r w:rsidR="00D425E4" w:rsidRPr="00CC28EC">
        <w:rPr>
          <w:sz w:val="24"/>
          <w:szCs w:val="24"/>
          <w:lang w:eastAsia="pl-PL"/>
        </w:rPr>
        <w:t xml:space="preserve"> </w:t>
      </w:r>
      <w:proofErr w:type="spellStart"/>
      <w:r w:rsidR="00D425E4" w:rsidRPr="00CC28EC">
        <w:rPr>
          <w:sz w:val="24"/>
          <w:szCs w:val="24"/>
          <w:lang w:eastAsia="pl-PL"/>
        </w:rPr>
        <w:t>economice</w:t>
      </w:r>
      <w:proofErr w:type="spellEnd"/>
      <w:r w:rsidR="00D425E4" w:rsidRPr="00CC28EC">
        <w:rPr>
          <w:sz w:val="24"/>
          <w:szCs w:val="24"/>
          <w:lang w:eastAsia="pl-PL"/>
        </w:rPr>
        <w:t xml:space="preserve"> din </w:t>
      </w:r>
      <w:proofErr w:type="spellStart"/>
      <w:r w:rsidR="00D425E4" w:rsidRPr="00CC28EC">
        <w:rPr>
          <w:sz w:val="24"/>
          <w:szCs w:val="24"/>
          <w:lang w:eastAsia="pl-PL"/>
        </w:rPr>
        <w:t>România</w:t>
      </w:r>
      <w:proofErr w:type="spellEnd"/>
      <w:r w:rsidR="00475CEA" w:rsidRPr="00CC28EC">
        <w:rPr>
          <w:sz w:val="24"/>
          <w:szCs w:val="24"/>
          <w:lang w:eastAsia="pl-PL"/>
        </w:rPr>
        <w:t>.</w:t>
      </w:r>
    </w:p>
    <w:p w14:paraId="746F6590" w14:textId="39D35DAE" w:rsidR="00726D61" w:rsidRPr="00CC28EC" w:rsidRDefault="00726D61" w:rsidP="00B37530">
      <w:pPr>
        <w:ind w:firstLine="708"/>
        <w:jc w:val="center"/>
        <w:rPr>
          <w:b/>
          <w:bCs/>
          <w:lang w:eastAsia="pl-PL"/>
        </w:rPr>
      </w:pPr>
      <w:bookmarkStart w:id="7" w:name="_Hlk83747038"/>
      <w:r w:rsidRPr="00CC28EC">
        <w:rPr>
          <w:b/>
          <w:bCs/>
          <w:lang w:eastAsia="pl-PL"/>
        </w:rPr>
        <w:t xml:space="preserve">Table </w:t>
      </w:r>
      <w:r w:rsidR="00CD16C1" w:rsidRPr="00CC28EC">
        <w:rPr>
          <w:b/>
          <w:bCs/>
          <w:lang w:eastAsia="pl-PL"/>
        </w:rPr>
        <w:t>1</w:t>
      </w:r>
      <w:r w:rsidRPr="00CC28EC">
        <w:rPr>
          <w:b/>
          <w:bCs/>
          <w:lang w:eastAsia="pl-PL"/>
        </w:rPr>
        <w:t xml:space="preserve">. </w:t>
      </w:r>
      <w:r w:rsidR="006C2861" w:rsidRPr="00CC28EC">
        <w:rPr>
          <w:b/>
          <w:bCs/>
          <w:lang w:eastAsia="pl-PL"/>
        </w:rPr>
        <w:t>The evolution of Romania's public debt in the period 2015 -</w:t>
      </w:r>
      <w:r w:rsidR="00B27D71" w:rsidRPr="00CC28EC">
        <w:rPr>
          <w:b/>
          <w:bCs/>
          <w:lang w:eastAsia="pl-PL"/>
        </w:rPr>
        <w:t xml:space="preserve"> </w:t>
      </w:r>
      <w:r w:rsidR="006C2861" w:rsidRPr="00CC28EC">
        <w:rPr>
          <w:b/>
          <w:bCs/>
          <w:lang w:eastAsia="pl-PL"/>
        </w:rPr>
        <w:t>June 2021</w:t>
      </w:r>
      <w:r w:rsidR="003E0006" w:rsidRPr="00CC28EC">
        <w:rPr>
          <w:lang w:eastAsia="pl-PL"/>
        </w:rPr>
        <w:t xml:space="preserve">                                                           </w:t>
      </w:r>
    </w:p>
    <w:tbl>
      <w:tblPr>
        <w:tblStyle w:val="TableGrid"/>
        <w:tblW w:w="8523" w:type="dxa"/>
        <w:jc w:val="center"/>
        <w:tblLayout w:type="fixed"/>
        <w:tblLook w:val="04A0" w:firstRow="1" w:lastRow="0" w:firstColumn="1" w:lastColumn="0" w:noHBand="0" w:noVBand="1"/>
      </w:tblPr>
      <w:tblGrid>
        <w:gridCol w:w="2790"/>
        <w:gridCol w:w="787"/>
        <w:gridCol w:w="810"/>
        <w:gridCol w:w="720"/>
        <w:gridCol w:w="720"/>
        <w:gridCol w:w="900"/>
        <w:gridCol w:w="900"/>
        <w:gridCol w:w="896"/>
      </w:tblGrid>
      <w:tr w:rsidR="00CC28EC" w:rsidRPr="00CC28EC" w14:paraId="0961C8A6" w14:textId="241BEB74" w:rsidTr="00BD091D">
        <w:trPr>
          <w:jc w:val="center"/>
        </w:trPr>
        <w:tc>
          <w:tcPr>
            <w:tcW w:w="2790" w:type="dxa"/>
            <w:shd w:val="clear" w:color="auto" w:fill="AEAAAA" w:themeFill="background2" w:themeFillShade="BF"/>
            <w:vAlign w:val="center"/>
          </w:tcPr>
          <w:p w14:paraId="70982F7C" w14:textId="63955A40" w:rsidR="00266A65" w:rsidRPr="00CC28EC" w:rsidRDefault="00266A65" w:rsidP="006B78B7">
            <w:pPr>
              <w:jc w:val="center"/>
              <w:rPr>
                <w:b/>
                <w:bCs/>
                <w:lang w:val="pl-PL" w:eastAsia="pl-PL"/>
              </w:rPr>
            </w:pPr>
            <w:bookmarkStart w:id="8" w:name="_Hlk83744246"/>
            <w:r w:rsidRPr="00CC28EC">
              <w:rPr>
                <w:b/>
                <w:bCs/>
                <w:lang w:val="pl-PL" w:eastAsia="pl-PL"/>
              </w:rPr>
              <w:t>Explanations/Year</w:t>
            </w:r>
          </w:p>
        </w:tc>
        <w:tc>
          <w:tcPr>
            <w:tcW w:w="787" w:type="dxa"/>
            <w:shd w:val="clear" w:color="auto" w:fill="AEAAAA" w:themeFill="background2" w:themeFillShade="BF"/>
            <w:vAlign w:val="center"/>
          </w:tcPr>
          <w:p w14:paraId="196290B9" w14:textId="30B64F2E" w:rsidR="00266A65" w:rsidRPr="00CC28EC" w:rsidRDefault="00266A65" w:rsidP="006B78B7">
            <w:pPr>
              <w:jc w:val="center"/>
              <w:rPr>
                <w:b/>
                <w:bCs/>
                <w:lang w:val="pl-PL" w:eastAsia="pl-PL"/>
              </w:rPr>
            </w:pPr>
            <w:r w:rsidRPr="00CC28EC">
              <w:rPr>
                <w:b/>
                <w:bCs/>
                <w:lang w:val="pl-PL" w:eastAsia="pl-PL"/>
              </w:rPr>
              <w:t>2015</w:t>
            </w:r>
          </w:p>
        </w:tc>
        <w:tc>
          <w:tcPr>
            <w:tcW w:w="810" w:type="dxa"/>
            <w:shd w:val="clear" w:color="auto" w:fill="AEAAAA" w:themeFill="background2" w:themeFillShade="BF"/>
            <w:vAlign w:val="center"/>
          </w:tcPr>
          <w:p w14:paraId="1EB324D8" w14:textId="77777777" w:rsidR="00266A65" w:rsidRPr="00CC28EC" w:rsidRDefault="00266A65" w:rsidP="006B78B7">
            <w:pPr>
              <w:jc w:val="center"/>
              <w:rPr>
                <w:b/>
                <w:bCs/>
                <w:lang w:val="pl-PL" w:eastAsia="pl-PL"/>
              </w:rPr>
            </w:pPr>
            <w:r w:rsidRPr="00CC28EC">
              <w:rPr>
                <w:b/>
                <w:bCs/>
                <w:lang w:val="pl-PL" w:eastAsia="pl-PL"/>
              </w:rPr>
              <w:t>2016</w:t>
            </w:r>
          </w:p>
        </w:tc>
        <w:tc>
          <w:tcPr>
            <w:tcW w:w="720" w:type="dxa"/>
            <w:shd w:val="clear" w:color="auto" w:fill="AEAAAA" w:themeFill="background2" w:themeFillShade="BF"/>
            <w:vAlign w:val="center"/>
          </w:tcPr>
          <w:p w14:paraId="508805E5" w14:textId="77777777" w:rsidR="00266A65" w:rsidRPr="00CC28EC" w:rsidRDefault="00266A65" w:rsidP="006B78B7">
            <w:pPr>
              <w:jc w:val="center"/>
              <w:rPr>
                <w:b/>
                <w:bCs/>
                <w:lang w:val="pl-PL" w:eastAsia="pl-PL"/>
              </w:rPr>
            </w:pPr>
            <w:r w:rsidRPr="00CC28EC">
              <w:rPr>
                <w:b/>
                <w:bCs/>
                <w:lang w:val="pl-PL" w:eastAsia="pl-PL"/>
              </w:rPr>
              <w:t>2017</w:t>
            </w:r>
          </w:p>
        </w:tc>
        <w:tc>
          <w:tcPr>
            <w:tcW w:w="720" w:type="dxa"/>
            <w:shd w:val="clear" w:color="auto" w:fill="AEAAAA" w:themeFill="background2" w:themeFillShade="BF"/>
            <w:vAlign w:val="center"/>
          </w:tcPr>
          <w:p w14:paraId="1CF002EB" w14:textId="77777777" w:rsidR="00266A65" w:rsidRPr="00CC28EC" w:rsidRDefault="00266A65" w:rsidP="006B78B7">
            <w:pPr>
              <w:jc w:val="center"/>
              <w:rPr>
                <w:b/>
                <w:bCs/>
                <w:lang w:val="pl-PL" w:eastAsia="pl-PL"/>
              </w:rPr>
            </w:pPr>
            <w:r w:rsidRPr="00CC28EC">
              <w:rPr>
                <w:b/>
                <w:bCs/>
                <w:lang w:val="pl-PL" w:eastAsia="pl-PL"/>
              </w:rPr>
              <w:t>2018</w:t>
            </w:r>
          </w:p>
        </w:tc>
        <w:tc>
          <w:tcPr>
            <w:tcW w:w="900" w:type="dxa"/>
            <w:shd w:val="clear" w:color="auto" w:fill="AEAAAA" w:themeFill="background2" w:themeFillShade="BF"/>
            <w:vAlign w:val="center"/>
          </w:tcPr>
          <w:p w14:paraId="4F557519" w14:textId="77777777" w:rsidR="00266A65" w:rsidRPr="00CC28EC" w:rsidRDefault="00266A65" w:rsidP="006B78B7">
            <w:pPr>
              <w:jc w:val="center"/>
              <w:rPr>
                <w:b/>
                <w:bCs/>
                <w:lang w:val="ro-RO" w:eastAsia="pl-PL"/>
              </w:rPr>
            </w:pPr>
            <w:r w:rsidRPr="00CC28EC">
              <w:rPr>
                <w:b/>
                <w:bCs/>
                <w:lang w:val="ro-RO" w:eastAsia="pl-PL"/>
              </w:rPr>
              <w:t>2019</w:t>
            </w:r>
          </w:p>
        </w:tc>
        <w:tc>
          <w:tcPr>
            <w:tcW w:w="900" w:type="dxa"/>
            <w:shd w:val="clear" w:color="auto" w:fill="AEAAAA" w:themeFill="background2" w:themeFillShade="BF"/>
            <w:vAlign w:val="center"/>
          </w:tcPr>
          <w:p w14:paraId="79432639" w14:textId="77777777" w:rsidR="00266A65" w:rsidRPr="00CC28EC" w:rsidRDefault="00266A65" w:rsidP="006B78B7">
            <w:pPr>
              <w:jc w:val="center"/>
              <w:rPr>
                <w:b/>
                <w:bCs/>
                <w:lang w:val="ro-RO" w:eastAsia="pl-PL"/>
              </w:rPr>
            </w:pPr>
            <w:r w:rsidRPr="00CC28EC">
              <w:rPr>
                <w:b/>
                <w:bCs/>
                <w:lang w:val="ro-RO" w:eastAsia="pl-PL"/>
              </w:rPr>
              <w:t>2020</w:t>
            </w:r>
          </w:p>
        </w:tc>
        <w:tc>
          <w:tcPr>
            <w:tcW w:w="896" w:type="dxa"/>
            <w:shd w:val="clear" w:color="auto" w:fill="AEAAAA" w:themeFill="background2" w:themeFillShade="BF"/>
            <w:vAlign w:val="center"/>
          </w:tcPr>
          <w:p w14:paraId="0E3FBD4E" w14:textId="77777777" w:rsidR="00BD091D" w:rsidRPr="00CC28EC" w:rsidRDefault="00266A65" w:rsidP="006B78B7">
            <w:pPr>
              <w:jc w:val="center"/>
              <w:rPr>
                <w:b/>
                <w:bCs/>
                <w:lang w:val="ro-RO" w:eastAsia="pl-PL"/>
              </w:rPr>
            </w:pPr>
            <w:r w:rsidRPr="00CC28EC">
              <w:rPr>
                <w:b/>
                <w:bCs/>
                <w:lang w:val="ro-RO" w:eastAsia="pl-PL"/>
              </w:rPr>
              <w:t>30.06.</w:t>
            </w:r>
          </w:p>
          <w:p w14:paraId="5E248FE4" w14:textId="3CD9E555" w:rsidR="00266A65" w:rsidRPr="00CC28EC" w:rsidRDefault="00266A65" w:rsidP="006B78B7">
            <w:pPr>
              <w:jc w:val="center"/>
              <w:rPr>
                <w:b/>
                <w:bCs/>
                <w:lang w:val="ro-RO" w:eastAsia="pl-PL"/>
              </w:rPr>
            </w:pPr>
            <w:r w:rsidRPr="00CC28EC">
              <w:rPr>
                <w:b/>
                <w:bCs/>
                <w:lang w:val="ro-RO" w:eastAsia="pl-PL"/>
              </w:rPr>
              <w:t>2021</w:t>
            </w:r>
          </w:p>
        </w:tc>
      </w:tr>
      <w:tr w:rsidR="00CC28EC" w:rsidRPr="00CC28EC" w14:paraId="7EB5EE72" w14:textId="5EBAFC7E" w:rsidTr="00BD091D">
        <w:trPr>
          <w:jc w:val="center"/>
        </w:trPr>
        <w:tc>
          <w:tcPr>
            <w:tcW w:w="2790" w:type="dxa"/>
          </w:tcPr>
          <w:p w14:paraId="075B34BE" w14:textId="13CD24C9" w:rsidR="00266A65" w:rsidRPr="00CC28EC" w:rsidRDefault="00266A65" w:rsidP="006B78B7">
            <w:pPr>
              <w:rPr>
                <w:bCs/>
                <w:lang w:val="pl-PL" w:eastAsia="pl-PL"/>
              </w:rPr>
            </w:pPr>
            <w:r w:rsidRPr="00CC28EC">
              <w:rPr>
                <w:bCs/>
                <w:lang w:val="pl-PL" w:eastAsia="pl-PL"/>
              </w:rPr>
              <w:t>PIB (md. Ron)</w:t>
            </w:r>
          </w:p>
        </w:tc>
        <w:tc>
          <w:tcPr>
            <w:tcW w:w="787" w:type="dxa"/>
          </w:tcPr>
          <w:p w14:paraId="5103057C" w14:textId="747E58E0" w:rsidR="00266A65" w:rsidRPr="00CC28EC" w:rsidRDefault="00266A65" w:rsidP="000A0C59">
            <w:pPr>
              <w:jc w:val="center"/>
              <w:rPr>
                <w:lang w:val="pl-PL" w:eastAsia="pl-PL"/>
              </w:rPr>
            </w:pPr>
            <w:r w:rsidRPr="00CC28EC">
              <w:rPr>
                <w:lang w:val="pl-PL" w:eastAsia="pl-PL"/>
              </w:rPr>
              <w:t>711,9</w:t>
            </w:r>
          </w:p>
        </w:tc>
        <w:tc>
          <w:tcPr>
            <w:tcW w:w="810" w:type="dxa"/>
          </w:tcPr>
          <w:p w14:paraId="067679DE" w14:textId="77777777" w:rsidR="00266A65" w:rsidRPr="00CC28EC" w:rsidRDefault="00266A65" w:rsidP="000A0C59">
            <w:pPr>
              <w:jc w:val="center"/>
              <w:rPr>
                <w:lang w:val="pl-PL" w:eastAsia="pl-PL"/>
              </w:rPr>
            </w:pPr>
            <w:r w:rsidRPr="00CC28EC">
              <w:rPr>
                <w:lang w:val="pl-PL" w:eastAsia="pl-PL"/>
              </w:rPr>
              <w:t>763,7</w:t>
            </w:r>
          </w:p>
        </w:tc>
        <w:tc>
          <w:tcPr>
            <w:tcW w:w="720" w:type="dxa"/>
          </w:tcPr>
          <w:p w14:paraId="1DF271F3" w14:textId="77777777" w:rsidR="00266A65" w:rsidRPr="00CC28EC" w:rsidRDefault="00266A65" w:rsidP="000A0C59">
            <w:pPr>
              <w:jc w:val="center"/>
              <w:rPr>
                <w:lang w:val="pl-PL" w:eastAsia="pl-PL"/>
              </w:rPr>
            </w:pPr>
            <w:r w:rsidRPr="00CC28EC">
              <w:rPr>
                <w:lang w:val="pl-PL" w:eastAsia="pl-PL"/>
              </w:rPr>
              <w:t>857,9</w:t>
            </w:r>
          </w:p>
        </w:tc>
        <w:tc>
          <w:tcPr>
            <w:tcW w:w="720" w:type="dxa"/>
          </w:tcPr>
          <w:p w14:paraId="51B2FE23" w14:textId="77777777" w:rsidR="00266A65" w:rsidRPr="00CC28EC" w:rsidRDefault="00266A65" w:rsidP="000A0C59">
            <w:pPr>
              <w:jc w:val="center"/>
              <w:rPr>
                <w:lang w:val="pl-PL" w:eastAsia="pl-PL"/>
              </w:rPr>
            </w:pPr>
            <w:r w:rsidRPr="00CC28EC">
              <w:rPr>
                <w:lang w:val="pl-PL" w:eastAsia="pl-PL"/>
              </w:rPr>
              <w:t>951,7</w:t>
            </w:r>
          </w:p>
        </w:tc>
        <w:tc>
          <w:tcPr>
            <w:tcW w:w="900" w:type="dxa"/>
          </w:tcPr>
          <w:p w14:paraId="784AD2AB" w14:textId="77777777" w:rsidR="00266A65" w:rsidRPr="00CC28EC" w:rsidRDefault="00266A65" w:rsidP="000A0C59">
            <w:pPr>
              <w:jc w:val="center"/>
              <w:rPr>
                <w:lang w:eastAsia="pl-PL"/>
              </w:rPr>
            </w:pPr>
            <w:r w:rsidRPr="00CC28EC">
              <w:rPr>
                <w:lang w:eastAsia="pl-PL"/>
              </w:rPr>
              <w:t>1.058,2</w:t>
            </w:r>
          </w:p>
        </w:tc>
        <w:tc>
          <w:tcPr>
            <w:tcW w:w="900" w:type="dxa"/>
          </w:tcPr>
          <w:p w14:paraId="5B9AB66D" w14:textId="77777777" w:rsidR="00266A65" w:rsidRPr="00CC28EC" w:rsidRDefault="00266A65" w:rsidP="000A0C59">
            <w:pPr>
              <w:jc w:val="center"/>
              <w:rPr>
                <w:lang w:eastAsia="pl-PL"/>
              </w:rPr>
            </w:pPr>
            <w:r w:rsidRPr="00CC28EC">
              <w:rPr>
                <w:lang w:eastAsia="pl-PL"/>
              </w:rPr>
              <w:t>1.055,5</w:t>
            </w:r>
          </w:p>
        </w:tc>
        <w:tc>
          <w:tcPr>
            <w:tcW w:w="896" w:type="dxa"/>
          </w:tcPr>
          <w:p w14:paraId="46755001" w14:textId="49BFB9F2" w:rsidR="00266A65" w:rsidRPr="00CC28EC" w:rsidRDefault="00266A65" w:rsidP="000A0C59">
            <w:pPr>
              <w:jc w:val="center"/>
              <w:rPr>
                <w:lang w:eastAsia="pl-PL"/>
              </w:rPr>
            </w:pPr>
            <w:r w:rsidRPr="00CC28EC">
              <w:rPr>
                <w:lang w:eastAsia="pl-PL"/>
              </w:rPr>
              <w:t>1.062,5</w:t>
            </w:r>
          </w:p>
        </w:tc>
      </w:tr>
      <w:tr w:rsidR="00CC28EC" w:rsidRPr="00CC28EC" w14:paraId="0C2130D3" w14:textId="2A346061" w:rsidTr="00BD091D">
        <w:trPr>
          <w:jc w:val="center"/>
        </w:trPr>
        <w:tc>
          <w:tcPr>
            <w:tcW w:w="2790" w:type="dxa"/>
            <w:shd w:val="clear" w:color="auto" w:fill="D0CECE" w:themeFill="background2" w:themeFillShade="E6"/>
          </w:tcPr>
          <w:p w14:paraId="24897673" w14:textId="60EBEA5A" w:rsidR="00266A65" w:rsidRPr="00CC28EC" w:rsidRDefault="00266A65" w:rsidP="006B78B7">
            <w:pPr>
              <w:rPr>
                <w:bCs/>
                <w:lang w:val="pl-PL" w:eastAsia="pl-PL"/>
              </w:rPr>
            </w:pPr>
            <w:r w:rsidRPr="00CC28EC">
              <w:rPr>
                <w:bCs/>
                <w:lang w:val="pl-PL" w:eastAsia="pl-PL"/>
              </w:rPr>
              <w:t>PIB (md. Euro)</w:t>
            </w:r>
          </w:p>
        </w:tc>
        <w:tc>
          <w:tcPr>
            <w:tcW w:w="787" w:type="dxa"/>
            <w:shd w:val="clear" w:color="auto" w:fill="D0CECE" w:themeFill="background2" w:themeFillShade="E6"/>
          </w:tcPr>
          <w:p w14:paraId="4891F2B8" w14:textId="4B4E898D" w:rsidR="00266A65" w:rsidRPr="00CC28EC" w:rsidRDefault="00266A65" w:rsidP="000A0C59">
            <w:pPr>
              <w:jc w:val="center"/>
              <w:rPr>
                <w:lang w:val="pl-PL" w:eastAsia="pl-PL"/>
              </w:rPr>
            </w:pPr>
            <w:r w:rsidRPr="00CC28EC">
              <w:rPr>
                <w:lang w:val="pl-PL" w:eastAsia="pl-PL"/>
              </w:rPr>
              <w:t>160,0</w:t>
            </w:r>
          </w:p>
        </w:tc>
        <w:tc>
          <w:tcPr>
            <w:tcW w:w="810" w:type="dxa"/>
            <w:shd w:val="clear" w:color="auto" w:fill="D0CECE" w:themeFill="background2" w:themeFillShade="E6"/>
          </w:tcPr>
          <w:p w14:paraId="5E184792" w14:textId="77777777" w:rsidR="00266A65" w:rsidRPr="00CC28EC" w:rsidRDefault="00266A65" w:rsidP="000A0C59">
            <w:pPr>
              <w:jc w:val="center"/>
              <w:rPr>
                <w:lang w:val="pl-PL" w:eastAsia="pl-PL"/>
              </w:rPr>
            </w:pPr>
            <w:r w:rsidRPr="00CC28EC">
              <w:rPr>
                <w:lang w:val="pl-PL" w:eastAsia="pl-PL"/>
              </w:rPr>
              <w:t>171,0</w:t>
            </w:r>
          </w:p>
        </w:tc>
        <w:tc>
          <w:tcPr>
            <w:tcW w:w="720" w:type="dxa"/>
            <w:shd w:val="clear" w:color="auto" w:fill="D0CECE" w:themeFill="background2" w:themeFillShade="E6"/>
          </w:tcPr>
          <w:p w14:paraId="0B92A526" w14:textId="77777777" w:rsidR="00266A65" w:rsidRPr="00CC28EC" w:rsidRDefault="00266A65" w:rsidP="000A0C59">
            <w:pPr>
              <w:jc w:val="center"/>
              <w:rPr>
                <w:lang w:val="pl-PL" w:eastAsia="pl-PL"/>
              </w:rPr>
            </w:pPr>
            <w:r w:rsidRPr="00CC28EC">
              <w:rPr>
                <w:lang w:val="pl-PL" w:eastAsia="pl-PL"/>
              </w:rPr>
              <w:t>188,0</w:t>
            </w:r>
          </w:p>
        </w:tc>
        <w:tc>
          <w:tcPr>
            <w:tcW w:w="720" w:type="dxa"/>
            <w:shd w:val="clear" w:color="auto" w:fill="D0CECE" w:themeFill="background2" w:themeFillShade="E6"/>
          </w:tcPr>
          <w:p w14:paraId="33688406" w14:textId="77777777" w:rsidR="00266A65" w:rsidRPr="00CC28EC" w:rsidRDefault="00266A65" w:rsidP="000A0C59">
            <w:pPr>
              <w:jc w:val="center"/>
              <w:rPr>
                <w:lang w:val="pl-PL" w:eastAsia="pl-PL"/>
              </w:rPr>
            </w:pPr>
            <w:r w:rsidRPr="00CC28EC">
              <w:rPr>
                <w:lang w:val="pl-PL" w:eastAsia="pl-PL"/>
              </w:rPr>
              <w:t>204,0</w:t>
            </w:r>
          </w:p>
        </w:tc>
        <w:tc>
          <w:tcPr>
            <w:tcW w:w="900" w:type="dxa"/>
            <w:shd w:val="clear" w:color="auto" w:fill="D0CECE" w:themeFill="background2" w:themeFillShade="E6"/>
          </w:tcPr>
          <w:p w14:paraId="2E2BCB81" w14:textId="77777777" w:rsidR="00266A65" w:rsidRPr="00CC28EC" w:rsidRDefault="00266A65" w:rsidP="000A0C59">
            <w:pPr>
              <w:jc w:val="center"/>
              <w:rPr>
                <w:lang w:eastAsia="pl-PL"/>
              </w:rPr>
            </w:pPr>
            <w:r w:rsidRPr="00CC28EC">
              <w:rPr>
                <w:lang w:eastAsia="pl-PL"/>
              </w:rPr>
              <w:t>223,0</w:t>
            </w:r>
          </w:p>
        </w:tc>
        <w:tc>
          <w:tcPr>
            <w:tcW w:w="900" w:type="dxa"/>
            <w:shd w:val="clear" w:color="auto" w:fill="D0CECE" w:themeFill="background2" w:themeFillShade="E6"/>
          </w:tcPr>
          <w:p w14:paraId="336225A3" w14:textId="77777777" w:rsidR="00266A65" w:rsidRPr="00CC28EC" w:rsidRDefault="00266A65" w:rsidP="000A0C59">
            <w:pPr>
              <w:jc w:val="center"/>
              <w:rPr>
                <w:lang w:eastAsia="pl-PL"/>
              </w:rPr>
            </w:pPr>
            <w:r w:rsidRPr="00CC28EC">
              <w:rPr>
                <w:lang w:eastAsia="pl-PL"/>
              </w:rPr>
              <w:t>217,8</w:t>
            </w:r>
          </w:p>
        </w:tc>
        <w:tc>
          <w:tcPr>
            <w:tcW w:w="896" w:type="dxa"/>
            <w:shd w:val="clear" w:color="auto" w:fill="D0CECE" w:themeFill="background2" w:themeFillShade="E6"/>
          </w:tcPr>
          <w:p w14:paraId="36622A34" w14:textId="2302FB6B" w:rsidR="00266A65" w:rsidRPr="00CC28EC" w:rsidRDefault="00266A65" w:rsidP="000A0C59">
            <w:pPr>
              <w:jc w:val="center"/>
              <w:rPr>
                <w:lang w:eastAsia="pl-PL"/>
              </w:rPr>
            </w:pPr>
            <w:r w:rsidRPr="00CC28EC">
              <w:rPr>
                <w:lang w:eastAsia="pl-PL"/>
              </w:rPr>
              <w:t>215,7</w:t>
            </w:r>
          </w:p>
        </w:tc>
      </w:tr>
      <w:tr w:rsidR="00CC28EC" w:rsidRPr="00CC28EC" w14:paraId="14A240C9" w14:textId="1D0427C0" w:rsidTr="00BD091D">
        <w:trPr>
          <w:jc w:val="center"/>
        </w:trPr>
        <w:tc>
          <w:tcPr>
            <w:tcW w:w="2790" w:type="dxa"/>
          </w:tcPr>
          <w:p w14:paraId="705AD049" w14:textId="206CC0FD" w:rsidR="00266A65" w:rsidRPr="00CC28EC" w:rsidRDefault="00266A65" w:rsidP="006B78B7">
            <w:pPr>
              <w:rPr>
                <w:bCs/>
                <w:lang w:val="ro-RO" w:eastAsia="pl-PL"/>
              </w:rPr>
            </w:pPr>
            <w:r w:rsidRPr="00CC28EC">
              <w:rPr>
                <w:bCs/>
                <w:lang w:val="pl-PL" w:eastAsia="pl-PL"/>
              </w:rPr>
              <w:t>Datoria public</w:t>
            </w:r>
            <w:r w:rsidRPr="00CC28EC">
              <w:rPr>
                <w:bCs/>
                <w:lang w:val="ro-RO" w:eastAsia="pl-PL"/>
              </w:rPr>
              <w:t>ă totală (md.Ron)</w:t>
            </w:r>
          </w:p>
        </w:tc>
        <w:tc>
          <w:tcPr>
            <w:tcW w:w="787" w:type="dxa"/>
          </w:tcPr>
          <w:p w14:paraId="66F58537" w14:textId="3A4AD09C" w:rsidR="00266A65" w:rsidRPr="00CC28EC" w:rsidRDefault="00266A65" w:rsidP="000A0C59">
            <w:pPr>
              <w:jc w:val="center"/>
              <w:rPr>
                <w:lang w:val="pl-PL" w:eastAsia="pl-PL"/>
              </w:rPr>
            </w:pPr>
            <w:r w:rsidRPr="00CC28EC">
              <w:rPr>
                <w:lang w:val="pl-PL" w:eastAsia="pl-PL"/>
              </w:rPr>
              <w:t>269,2</w:t>
            </w:r>
          </w:p>
        </w:tc>
        <w:tc>
          <w:tcPr>
            <w:tcW w:w="810" w:type="dxa"/>
          </w:tcPr>
          <w:p w14:paraId="4865D644" w14:textId="77777777" w:rsidR="00266A65" w:rsidRPr="00CC28EC" w:rsidRDefault="00266A65" w:rsidP="000A0C59">
            <w:pPr>
              <w:jc w:val="center"/>
              <w:rPr>
                <w:lang w:val="pl-PL" w:eastAsia="pl-PL"/>
              </w:rPr>
            </w:pPr>
            <w:r w:rsidRPr="00CC28EC">
              <w:rPr>
                <w:lang w:val="pl-PL" w:eastAsia="pl-PL"/>
              </w:rPr>
              <w:t>285,0</w:t>
            </w:r>
          </w:p>
        </w:tc>
        <w:tc>
          <w:tcPr>
            <w:tcW w:w="720" w:type="dxa"/>
          </w:tcPr>
          <w:p w14:paraId="47238C7A" w14:textId="77777777" w:rsidR="00266A65" w:rsidRPr="00CC28EC" w:rsidRDefault="00266A65" w:rsidP="000A0C59">
            <w:pPr>
              <w:jc w:val="center"/>
              <w:rPr>
                <w:lang w:val="pl-PL" w:eastAsia="pl-PL"/>
              </w:rPr>
            </w:pPr>
            <w:r w:rsidRPr="00CC28EC">
              <w:rPr>
                <w:lang w:val="pl-PL" w:eastAsia="pl-PL"/>
              </w:rPr>
              <w:t>300,8</w:t>
            </w:r>
          </w:p>
        </w:tc>
        <w:tc>
          <w:tcPr>
            <w:tcW w:w="720" w:type="dxa"/>
          </w:tcPr>
          <w:p w14:paraId="3D0E4159" w14:textId="77777777" w:rsidR="00266A65" w:rsidRPr="00CC28EC" w:rsidRDefault="00266A65" w:rsidP="000A0C59">
            <w:pPr>
              <w:jc w:val="center"/>
              <w:rPr>
                <w:lang w:val="pl-PL" w:eastAsia="pl-PL"/>
              </w:rPr>
            </w:pPr>
            <w:r w:rsidRPr="00CC28EC">
              <w:rPr>
                <w:lang w:val="pl-PL" w:eastAsia="pl-PL"/>
              </w:rPr>
              <w:t>330,5</w:t>
            </w:r>
          </w:p>
        </w:tc>
        <w:tc>
          <w:tcPr>
            <w:tcW w:w="900" w:type="dxa"/>
          </w:tcPr>
          <w:p w14:paraId="5F22D102" w14:textId="77777777" w:rsidR="00266A65" w:rsidRPr="00CC28EC" w:rsidRDefault="00266A65" w:rsidP="000A0C59">
            <w:pPr>
              <w:jc w:val="center"/>
              <w:rPr>
                <w:lang w:eastAsia="pl-PL"/>
              </w:rPr>
            </w:pPr>
            <w:r w:rsidRPr="00CC28EC">
              <w:rPr>
                <w:lang w:eastAsia="pl-PL"/>
              </w:rPr>
              <w:t>373,5</w:t>
            </w:r>
          </w:p>
        </w:tc>
        <w:tc>
          <w:tcPr>
            <w:tcW w:w="900" w:type="dxa"/>
          </w:tcPr>
          <w:p w14:paraId="1D4E4F46" w14:textId="77777777" w:rsidR="00266A65" w:rsidRPr="00CC28EC" w:rsidRDefault="00266A65" w:rsidP="000A0C59">
            <w:pPr>
              <w:jc w:val="center"/>
              <w:rPr>
                <w:lang w:eastAsia="pl-PL"/>
              </w:rPr>
            </w:pPr>
            <w:r w:rsidRPr="00CC28EC">
              <w:rPr>
                <w:lang w:eastAsia="pl-PL"/>
              </w:rPr>
              <w:t>499,2</w:t>
            </w:r>
          </w:p>
        </w:tc>
        <w:tc>
          <w:tcPr>
            <w:tcW w:w="896" w:type="dxa"/>
          </w:tcPr>
          <w:p w14:paraId="4375AF64" w14:textId="54E16E78" w:rsidR="00266A65" w:rsidRPr="00CC28EC" w:rsidRDefault="00266A65" w:rsidP="000A0C59">
            <w:pPr>
              <w:jc w:val="center"/>
              <w:rPr>
                <w:lang w:eastAsia="pl-PL"/>
              </w:rPr>
            </w:pPr>
            <w:r w:rsidRPr="00CC28EC">
              <w:rPr>
                <w:lang w:eastAsia="pl-PL"/>
              </w:rPr>
              <w:t>526,1</w:t>
            </w:r>
          </w:p>
        </w:tc>
      </w:tr>
      <w:tr w:rsidR="00CC28EC" w:rsidRPr="00CC28EC" w14:paraId="3447471B" w14:textId="2E395D19" w:rsidTr="00BD091D">
        <w:trPr>
          <w:jc w:val="center"/>
        </w:trPr>
        <w:tc>
          <w:tcPr>
            <w:tcW w:w="2790" w:type="dxa"/>
          </w:tcPr>
          <w:p w14:paraId="3530ED96" w14:textId="2EE6E62F" w:rsidR="00266A65" w:rsidRPr="00CC28EC" w:rsidRDefault="00266A65" w:rsidP="006B78B7">
            <w:pPr>
              <w:rPr>
                <w:bCs/>
                <w:lang w:val="pl-PL" w:eastAsia="pl-PL"/>
              </w:rPr>
            </w:pPr>
            <w:r w:rsidRPr="00CC28EC">
              <w:rPr>
                <w:bCs/>
                <w:lang w:val="pl-PL" w:eastAsia="pl-PL"/>
              </w:rPr>
              <w:t>Datoria publică totală (md. Eur)</w:t>
            </w:r>
          </w:p>
        </w:tc>
        <w:tc>
          <w:tcPr>
            <w:tcW w:w="787" w:type="dxa"/>
          </w:tcPr>
          <w:p w14:paraId="311775E0" w14:textId="1A253404" w:rsidR="00266A65" w:rsidRPr="00CC28EC" w:rsidRDefault="00266A65" w:rsidP="000A0C59">
            <w:pPr>
              <w:jc w:val="center"/>
              <w:rPr>
                <w:lang w:val="pl-PL" w:eastAsia="pl-PL"/>
              </w:rPr>
            </w:pPr>
            <w:r w:rsidRPr="00CC28EC">
              <w:rPr>
                <w:lang w:val="pl-PL" w:eastAsia="pl-PL"/>
              </w:rPr>
              <w:t>60,6</w:t>
            </w:r>
          </w:p>
        </w:tc>
        <w:tc>
          <w:tcPr>
            <w:tcW w:w="810" w:type="dxa"/>
          </w:tcPr>
          <w:p w14:paraId="6C11D8CE" w14:textId="59450320" w:rsidR="00266A65" w:rsidRPr="00CC28EC" w:rsidRDefault="00266A65" w:rsidP="000A0C59">
            <w:pPr>
              <w:jc w:val="center"/>
              <w:rPr>
                <w:lang w:val="pl-PL" w:eastAsia="pl-PL"/>
              </w:rPr>
            </w:pPr>
            <w:r w:rsidRPr="00CC28EC">
              <w:rPr>
                <w:lang w:val="pl-PL" w:eastAsia="pl-PL"/>
              </w:rPr>
              <w:t>63,5</w:t>
            </w:r>
          </w:p>
        </w:tc>
        <w:tc>
          <w:tcPr>
            <w:tcW w:w="720" w:type="dxa"/>
          </w:tcPr>
          <w:p w14:paraId="2A177D74" w14:textId="1992D1B5" w:rsidR="00266A65" w:rsidRPr="00CC28EC" w:rsidRDefault="00266A65" w:rsidP="000A0C59">
            <w:pPr>
              <w:jc w:val="center"/>
              <w:rPr>
                <w:lang w:val="pl-PL" w:eastAsia="pl-PL"/>
              </w:rPr>
            </w:pPr>
            <w:r w:rsidRPr="00CC28EC">
              <w:rPr>
                <w:lang w:val="pl-PL" w:eastAsia="pl-PL"/>
              </w:rPr>
              <w:t>65,8</w:t>
            </w:r>
          </w:p>
        </w:tc>
        <w:tc>
          <w:tcPr>
            <w:tcW w:w="720" w:type="dxa"/>
          </w:tcPr>
          <w:p w14:paraId="14ECCDED" w14:textId="43FB5252" w:rsidR="00266A65" w:rsidRPr="00CC28EC" w:rsidRDefault="00266A65" w:rsidP="000A0C59">
            <w:pPr>
              <w:jc w:val="center"/>
              <w:rPr>
                <w:lang w:val="pl-PL" w:eastAsia="pl-PL"/>
              </w:rPr>
            </w:pPr>
            <w:r w:rsidRPr="00CC28EC">
              <w:rPr>
                <w:lang w:val="pl-PL" w:eastAsia="pl-PL"/>
              </w:rPr>
              <w:t>71,0</w:t>
            </w:r>
          </w:p>
        </w:tc>
        <w:tc>
          <w:tcPr>
            <w:tcW w:w="900" w:type="dxa"/>
          </w:tcPr>
          <w:p w14:paraId="56B538FB" w14:textId="08D50C2C" w:rsidR="00266A65" w:rsidRPr="00CC28EC" w:rsidRDefault="00266A65" w:rsidP="000A0C59">
            <w:pPr>
              <w:jc w:val="center"/>
              <w:rPr>
                <w:lang w:eastAsia="pl-PL"/>
              </w:rPr>
            </w:pPr>
            <w:r w:rsidRPr="00CC28EC">
              <w:rPr>
                <w:lang w:eastAsia="pl-PL"/>
              </w:rPr>
              <w:t>78,7</w:t>
            </w:r>
          </w:p>
        </w:tc>
        <w:tc>
          <w:tcPr>
            <w:tcW w:w="900" w:type="dxa"/>
          </w:tcPr>
          <w:p w14:paraId="21D5FD88" w14:textId="6C7FADD3" w:rsidR="00266A65" w:rsidRPr="00CC28EC" w:rsidRDefault="00266A65" w:rsidP="000A0C59">
            <w:pPr>
              <w:jc w:val="center"/>
              <w:rPr>
                <w:lang w:eastAsia="pl-PL"/>
              </w:rPr>
            </w:pPr>
            <w:r w:rsidRPr="00CC28EC">
              <w:rPr>
                <w:lang w:eastAsia="pl-PL"/>
              </w:rPr>
              <w:t>103,2</w:t>
            </w:r>
          </w:p>
        </w:tc>
        <w:tc>
          <w:tcPr>
            <w:tcW w:w="896" w:type="dxa"/>
          </w:tcPr>
          <w:p w14:paraId="69B55E19" w14:textId="380AC187" w:rsidR="00266A65" w:rsidRPr="00CC28EC" w:rsidRDefault="00266A65" w:rsidP="000A0C59">
            <w:pPr>
              <w:jc w:val="center"/>
              <w:rPr>
                <w:lang w:eastAsia="pl-PL"/>
              </w:rPr>
            </w:pPr>
            <w:r w:rsidRPr="00CC28EC">
              <w:rPr>
                <w:lang w:eastAsia="pl-PL"/>
              </w:rPr>
              <w:t>106,8</w:t>
            </w:r>
          </w:p>
        </w:tc>
      </w:tr>
      <w:tr w:rsidR="00CC28EC" w:rsidRPr="00CC28EC" w14:paraId="1F221C36" w14:textId="57C2792B" w:rsidTr="00BD091D">
        <w:trPr>
          <w:jc w:val="center"/>
        </w:trPr>
        <w:tc>
          <w:tcPr>
            <w:tcW w:w="2790" w:type="dxa"/>
            <w:shd w:val="clear" w:color="auto" w:fill="D0CECE" w:themeFill="background2" w:themeFillShade="E6"/>
          </w:tcPr>
          <w:p w14:paraId="2F9C1A10" w14:textId="35433ABA" w:rsidR="00266A65" w:rsidRPr="00CC28EC" w:rsidRDefault="00266A65" w:rsidP="006B78B7">
            <w:pPr>
              <w:rPr>
                <w:bCs/>
                <w:lang w:eastAsia="pl-PL"/>
              </w:rPr>
            </w:pPr>
            <w:r w:rsidRPr="00CC28EC">
              <w:rPr>
                <w:bCs/>
                <w:lang w:eastAsia="pl-PL"/>
              </w:rPr>
              <w:t>% Datorie publică în PIB</w:t>
            </w:r>
          </w:p>
        </w:tc>
        <w:tc>
          <w:tcPr>
            <w:tcW w:w="787" w:type="dxa"/>
            <w:shd w:val="clear" w:color="auto" w:fill="D0CECE" w:themeFill="background2" w:themeFillShade="E6"/>
          </w:tcPr>
          <w:p w14:paraId="12A0B6C0" w14:textId="45A432C6" w:rsidR="00266A65" w:rsidRPr="00CC28EC" w:rsidRDefault="00266A65" w:rsidP="000A0C59">
            <w:pPr>
              <w:jc w:val="center"/>
              <w:rPr>
                <w:lang w:eastAsia="pl-PL"/>
              </w:rPr>
            </w:pPr>
            <w:r w:rsidRPr="00CC28EC">
              <w:rPr>
                <w:lang w:eastAsia="pl-PL"/>
              </w:rPr>
              <w:t>37,8</w:t>
            </w:r>
          </w:p>
        </w:tc>
        <w:tc>
          <w:tcPr>
            <w:tcW w:w="810" w:type="dxa"/>
            <w:shd w:val="clear" w:color="auto" w:fill="D0CECE" w:themeFill="background2" w:themeFillShade="E6"/>
          </w:tcPr>
          <w:p w14:paraId="0E9B2964" w14:textId="44DAC26F" w:rsidR="00266A65" w:rsidRPr="00CC28EC" w:rsidRDefault="00266A65" w:rsidP="000A0C59">
            <w:pPr>
              <w:jc w:val="center"/>
              <w:rPr>
                <w:lang w:eastAsia="pl-PL"/>
              </w:rPr>
            </w:pPr>
            <w:r w:rsidRPr="00CC28EC">
              <w:rPr>
                <w:lang w:eastAsia="pl-PL"/>
              </w:rPr>
              <w:t>37,3</w:t>
            </w:r>
          </w:p>
        </w:tc>
        <w:tc>
          <w:tcPr>
            <w:tcW w:w="720" w:type="dxa"/>
            <w:shd w:val="clear" w:color="auto" w:fill="D0CECE" w:themeFill="background2" w:themeFillShade="E6"/>
          </w:tcPr>
          <w:p w14:paraId="277EBA0D" w14:textId="71871F3A" w:rsidR="00266A65" w:rsidRPr="00CC28EC" w:rsidRDefault="00266A65" w:rsidP="000A0C59">
            <w:pPr>
              <w:jc w:val="center"/>
              <w:rPr>
                <w:lang w:eastAsia="pl-PL"/>
              </w:rPr>
            </w:pPr>
            <w:r w:rsidRPr="00CC28EC">
              <w:rPr>
                <w:lang w:eastAsia="pl-PL"/>
              </w:rPr>
              <w:t>35,1</w:t>
            </w:r>
          </w:p>
        </w:tc>
        <w:tc>
          <w:tcPr>
            <w:tcW w:w="720" w:type="dxa"/>
            <w:shd w:val="clear" w:color="auto" w:fill="D0CECE" w:themeFill="background2" w:themeFillShade="E6"/>
          </w:tcPr>
          <w:p w14:paraId="6630697A" w14:textId="37724803" w:rsidR="00266A65" w:rsidRPr="00CC28EC" w:rsidRDefault="00266A65" w:rsidP="000A0C59">
            <w:pPr>
              <w:jc w:val="center"/>
              <w:rPr>
                <w:lang w:eastAsia="pl-PL"/>
              </w:rPr>
            </w:pPr>
            <w:r w:rsidRPr="00CC28EC">
              <w:rPr>
                <w:lang w:eastAsia="pl-PL"/>
              </w:rPr>
              <w:t>34,7</w:t>
            </w:r>
          </w:p>
        </w:tc>
        <w:tc>
          <w:tcPr>
            <w:tcW w:w="900" w:type="dxa"/>
            <w:shd w:val="clear" w:color="auto" w:fill="D0CECE" w:themeFill="background2" w:themeFillShade="E6"/>
          </w:tcPr>
          <w:p w14:paraId="0DCF0B63" w14:textId="20D5CD5B" w:rsidR="00266A65" w:rsidRPr="00CC28EC" w:rsidRDefault="00266A65" w:rsidP="000A0C59">
            <w:pPr>
              <w:jc w:val="center"/>
              <w:rPr>
                <w:lang w:eastAsia="pl-PL"/>
              </w:rPr>
            </w:pPr>
            <w:r w:rsidRPr="00CC28EC">
              <w:rPr>
                <w:lang w:eastAsia="pl-PL"/>
              </w:rPr>
              <w:t>35,3</w:t>
            </w:r>
          </w:p>
        </w:tc>
        <w:tc>
          <w:tcPr>
            <w:tcW w:w="900" w:type="dxa"/>
            <w:shd w:val="clear" w:color="auto" w:fill="D0CECE" w:themeFill="background2" w:themeFillShade="E6"/>
          </w:tcPr>
          <w:p w14:paraId="2B356710" w14:textId="3C864DFA" w:rsidR="00266A65" w:rsidRPr="00CC28EC" w:rsidRDefault="00266A65" w:rsidP="000A0C59">
            <w:pPr>
              <w:jc w:val="center"/>
              <w:rPr>
                <w:lang w:eastAsia="pl-PL"/>
              </w:rPr>
            </w:pPr>
            <w:r w:rsidRPr="00CC28EC">
              <w:rPr>
                <w:lang w:eastAsia="pl-PL"/>
              </w:rPr>
              <w:t>47,3</w:t>
            </w:r>
          </w:p>
        </w:tc>
        <w:tc>
          <w:tcPr>
            <w:tcW w:w="896" w:type="dxa"/>
            <w:shd w:val="clear" w:color="auto" w:fill="D0CECE" w:themeFill="background2" w:themeFillShade="E6"/>
          </w:tcPr>
          <w:p w14:paraId="5AAF5870" w14:textId="057E6A41" w:rsidR="00266A65" w:rsidRPr="00CC28EC" w:rsidRDefault="00266A65" w:rsidP="000A0C59">
            <w:pPr>
              <w:jc w:val="center"/>
              <w:rPr>
                <w:lang w:eastAsia="pl-PL"/>
              </w:rPr>
            </w:pPr>
            <w:r w:rsidRPr="00CC28EC">
              <w:rPr>
                <w:lang w:eastAsia="pl-PL"/>
              </w:rPr>
              <w:t>49,5</w:t>
            </w:r>
          </w:p>
        </w:tc>
      </w:tr>
    </w:tbl>
    <w:bookmarkEnd w:id="8"/>
    <w:p w14:paraId="7AA0F79E" w14:textId="7201A558" w:rsidR="00726D61" w:rsidRPr="00CC28EC" w:rsidRDefault="00726D61" w:rsidP="006B78B7">
      <w:pPr>
        <w:spacing w:before="80"/>
        <w:jc w:val="center"/>
        <w:rPr>
          <w:lang w:eastAsia="pl-PL"/>
        </w:rPr>
      </w:pPr>
      <w:r w:rsidRPr="00CC28EC">
        <w:rPr>
          <w:lang w:eastAsia="pl-PL"/>
        </w:rPr>
        <w:t xml:space="preserve">Source: processing by </w:t>
      </w:r>
      <w:r w:rsidR="00AB1E41" w:rsidRPr="00CC28EC">
        <w:rPr>
          <w:lang w:eastAsia="pl-PL"/>
        </w:rPr>
        <w:t>mfinante.gov.ro,</w:t>
      </w:r>
      <w:r w:rsidR="007B220E" w:rsidRPr="00CC28EC">
        <w:rPr>
          <w:lang w:eastAsia="pl-PL"/>
        </w:rPr>
        <w:t xml:space="preserve"> </w:t>
      </w:r>
      <w:proofErr w:type="spellStart"/>
      <w:r w:rsidR="007B220E" w:rsidRPr="00CC28EC">
        <w:rPr>
          <w:lang w:eastAsia="pl-PL"/>
        </w:rPr>
        <w:t>Guvernmental</w:t>
      </w:r>
      <w:proofErr w:type="spellEnd"/>
      <w:r w:rsidR="007B220E" w:rsidRPr="00CC28EC">
        <w:rPr>
          <w:lang w:eastAsia="pl-PL"/>
        </w:rPr>
        <w:t xml:space="preserve"> debt</w:t>
      </w:r>
      <w:r w:rsidR="007128B6" w:rsidRPr="00CC28EC">
        <w:rPr>
          <w:lang w:eastAsia="pl-PL"/>
        </w:rPr>
        <w:t>,</w:t>
      </w:r>
      <w:r w:rsidR="007128B6" w:rsidRPr="00CC28EC">
        <w:t xml:space="preserve"> </w:t>
      </w:r>
      <w:r w:rsidR="007128B6" w:rsidRPr="00CC28EC">
        <w:rPr>
          <w:lang w:eastAsia="pl-PL"/>
        </w:rPr>
        <w:t>own calculations</w:t>
      </w:r>
    </w:p>
    <w:bookmarkEnd w:id="7"/>
    <w:p w14:paraId="1E8A7631" w14:textId="77777777" w:rsidR="002C7FD2" w:rsidRPr="00CC28EC" w:rsidRDefault="0075324C" w:rsidP="006B78B7">
      <w:pPr>
        <w:jc w:val="both"/>
        <w:rPr>
          <w:lang w:eastAsia="pl-PL"/>
        </w:rPr>
      </w:pPr>
      <w:r w:rsidRPr="00CC28EC">
        <w:rPr>
          <w:lang w:eastAsia="pl-PL"/>
        </w:rPr>
        <w:tab/>
      </w:r>
    </w:p>
    <w:p w14:paraId="0022A951" w14:textId="470FE15B" w:rsidR="002C7FD2" w:rsidRPr="00CC28EC" w:rsidRDefault="002C7FD2" w:rsidP="00266A65">
      <w:pPr>
        <w:ind w:firstLine="720"/>
        <w:jc w:val="both"/>
        <w:rPr>
          <w:sz w:val="24"/>
          <w:szCs w:val="24"/>
          <w:lang w:eastAsia="pl-PL"/>
        </w:rPr>
      </w:pPr>
      <w:proofErr w:type="spellStart"/>
      <w:r w:rsidRPr="00CC28EC">
        <w:rPr>
          <w:sz w:val="24"/>
          <w:szCs w:val="24"/>
          <w:lang w:eastAsia="pl-PL"/>
        </w:rPr>
        <w:lastRenderedPageBreak/>
        <w:t>Primul</w:t>
      </w:r>
      <w:proofErr w:type="spellEnd"/>
      <w:r w:rsidRPr="00CC28EC">
        <w:rPr>
          <w:sz w:val="24"/>
          <w:szCs w:val="24"/>
          <w:lang w:eastAsia="pl-PL"/>
        </w:rPr>
        <w:t xml:space="preserve"> </w:t>
      </w:r>
      <w:proofErr w:type="spellStart"/>
      <w:r w:rsidRPr="00CC28EC">
        <w:rPr>
          <w:sz w:val="24"/>
          <w:szCs w:val="24"/>
          <w:lang w:eastAsia="pl-PL"/>
        </w:rPr>
        <w:t>tabel</w:t>
      </w:r>
      <w:proofErr w:type="spellEnd"/>
      <w:r w:rsidRPr="00CC28EC">
        <w:rPr>
          <w:sz w:val="24"/>
          <w:szCs w:val="24"/>
          <w:lang w:eastAsia="pl-PL"/>
        </w:rPr>
        <w:t xml:space="preserve"> </w:t>
      </w:r>
      <w:proofErr w:type="spellStart"/>
      <w:r w:rsidRPr="00CC28EC">
        <w:rPr>
          <w:sz w:val="24"/>
          <w:szCs w:val="24"/>
          <w:lang w:eastAsia="pl-PL"/>
        </w:rPr>
        <w:t>prezintă</w:t>
      </w:r>
      <w:proofErr w:type="spellEnd"/>
      <w:r w:rsidRPr="00CC28EC">
        <w:rPr>
          <w:sz w:val="24"/>
          <w:szCs w:val="24"/>
          <w:lang w:eastAsia="pl-PL"/>
        </w:rPr>
        <w:t xml:space="preserve"> </w:t>
      </w:r>
      <w:proofErr w:type="spellStart"/>
      <w:r w:rsidRPr="00CC28EC">
        <w:rPr>
          <w:sz w:val="24"/>
          <w:szCs w:val="24"/>
          <w:lang w:eastAsia="pl-PL"/>
        </w:rPr>
        <w:t>evoluția</w:t>
      </w:r>
      <w:proofErr w:type="spellEnd"/>
      <w:r w:rsidRPr="00CC28EC">
        <w:rPr>
          <w:sz w:val="24"/>
          <w:szCs w:val="24"/>
          <w:lang w:eastAsia="pl-PL"/>
        </w:rPr>
        <w:t xml:space="preserve"> </w:t>
      </w:r>
      <w:proofErr w:type="spellStart"/>
      <w:r w:rsidRPr="00CC28EC">
        <w:rPr>
          <w:sz w:val="24"/>
          <w:szCs w:val="24"/>
          <w:lang w:eastAsia="pl-PL"/>
        </w:rPr>
        <w:t>datoriei</w:t>
      </w:r>
      <w:proofErr w:type="spellEnd"/>
      <w:r w:rsidRPr="00CC28EC">
        <w:rPr>
          <w:sz w:val="24"/>
          <w:szCs w:val="24"/>
          <w:lang w:eastAsia="pl-PL"/>
        </w:rPr>
        <w:t xml:space="preserve"> </w:t>
      </w:r>
      <w:proofErr w:type="spellStart"/>
      <w:r w:rsidRPr="00CC28EC">
        <w:rPr>
          <w:sz w:val="24"/>
          <w:szCs w:val="24"/>
          <w:lang w:eastAsia="pl-PL"/>
        </w:rPr>
        <w:t>publice</w:t>
      </w:r>
      <w:proofErr w:type="spellEnd"/>
      <w:r w:rsidRPr="00CC28EC">
        <w:rPr>
          <w:sz w:val="24"/>
          <w:szCs w:val="24"/>
          <w:lang w:eastAsia="pl-PL"/>
        </w:rPr>
        <w:t xml:space="preserve"> </w:t>
      </w:r>
      <w:proofErr w:type="spellStart"/>
      <w:r w:rsidRPr="00CC28EC">
        <w:rPr>
          <w:sz w:val="24"/>
          <w:szCs w:val="24"/>
          <w:lang w:eastAsia="pl-PL"/>
        </w:rPr>
        <w:t>relevând</w:t>
      </w:r>
      <w:proofErr w:type="spellEnd"/>
      <w:r w:rsidRPr="00CC28EC">
        <w:rPr>
          <w:sz w:val="24"/>
          <w:szCs w:val="24"/>
          <w:lang w:eastAsia="pl-PL"/>
        </w:rPr>
        <w:t xml:space="preserve"> </w:t>
      </w:r>
      <w:proofErr w:type="spellStart"/>
      <w:r w:rsidRPr="00CC28EC">
        <w:rPr>
          <w:sz w:val="24"/>
          <w:szCs w:val="24"/>
          <w:lang w:eastAsia="pl-PL"/>
        </w:rPr>
        <w:t>faptul</w:t>
      </w:r>
      <w:proofErr w:type="spellEnd"/>
      <w:r w:rsidRPr="00CC28EC">
        <w:rPr>
          <w:sz w:val="24"/>
          <w:szCs w:val="24"/>
          <w:lang w:eastAsia="pl-PL"/>
        </w:rPr>
        <w:t xml:space="preserve"> </w:t>
      </w:r>
      <w:proofErr w:type="spellStart"/>
      <w:r w:rsidRPr="00CC28EC">
        <w:rPr>
          <w:sz w:val="24"/>
          <w:szCs w:val="24"/>
          <w:lang w:eastAsia="pl-PL"/>
        </w:rPr>
        <w:t>că</w:t>
      </w:r>
      <w:proofErr w:type="spellEnd"/>
      <w:r w:rsidRPr="00CC28EC">
        <w:rPr>
          <w:sz w:val="24"/>
          <w:szCs w:val="24"/>
          <w:lang w:eastAsia="pl-PL"/>
        </w:rPr>
        <w:t xml:space="preserve"> din 2015 </w:t>
      </w:r>
      <w:proofErr w:type="spellStart"/>
      <w:r w:rsidRPr="00CC28EC">
        <w:rPr>
          <w:sz w:val="24"/>
          <w:szCs w:val="24"/>
          <w:lang w:eastAsia="pl-PL"/>
        </w:rPr>
        <w:t>până</w:t>
      </w:r>
      <w:proofErr w:type="spellEnd"/>
      <w:r w:rsidRPr="00CC28EC">
        <w:rPr>
          <w:sz w:val="24"/>
          <w:szCs w:val="24"/>
          <w:lang w:eastAsia="pl-PL"/>
        </w:rPr>
        <w:t xml:space="preserve"> </w:t>
      </w:r>
      <w:proofErr w:type="spellStart"/>
      <w:r w:rsidRPr="00CC28EC">
        <w:rPr>
          <w:sz w:val="24"/>
          <w:szCs w:val="24"/>
          <w:lang w:eastAsia="pl-PL"/>
        </w:rPr>
        <w:t>în</w:t>
      </w:r>
      <w:proofErr w:type="spellEnd"/>
      <w:r w:rsidRPr="00CC28EC">
        <w:rPr>
          <w:sz w:val="24"/>
          <w:szCs w:val="24"/>
          <w:lang w:eastAsia="pl-PL"/>
        </w:rPr>
        <w:t xml:space="preserve"> 30 </w:t>
      </w:r>
      <w:proofErr w:type="spellStart"/>
      <w:r w:rsidRPr="00CC28EC">
        <w:rPr>
          <w:sz w:val="24"/>
          <w:szCs w:val="24"/>
          <w:lang w:eastAsia="pl-PL"/>
        </w:rPr>
        <w:t>Iunie</w:t>
      </w:r>
      <w:proofErr w:type="spellEnd"/>
      <w:r w:rsidRPr="00CC28EC">
        <w:rPr>
          <w:sz w:val="24"/>
          <w:szCs w:val="24"/>
          <w:lang w:eastAsia="pl-PL"/>
        </w:rPr>
        <w:t xml:space="preserve"> 2021, </w:t>
      </w:r>
      <w:proofErr w:type="spellStart"/>
      <w:r w:rsidRPr="00CC28EC">
        <w:rPr>
          <w:sz w:val="24"/>
          <w:szCs w:val="24"/>
          <w:lang w:eastAsia="pl-PL"/>
        </w:rPr>
        <w:t>datoria</w:t>
      </w:r>
      <w:proofErr w:type="spellEnd"/>
      <w:r w:rsidRPr="00CC28EC">
        <w:rPr>
          <w:sz w:val="24"/>
          <w:szCs w:val="24"/>
          <w:lang w:eastAsia="pl-PL"/>
        </w:rPr>
        <w:t xml:space="preserve"> </w:t>
      </w:r>
      <w:proofErr w:type="spellStart"/>
      <w:r w:rsidRPr="00CC28EC">
        <w:rPr>
          <w:sz w:val="24"/>
          <w:szCs w:val="24"/>
          <w:lang w:eastAsia="pl-PL"/>
        </w:rPr>
        <w:t>publică</w:t>
      </w:r>
      <w:proofErr w:type="spellEnd"/>
      <w:r w:rsidRPr="00CC28EC">
        <w:rPr>
          <w:sz w:val="24"/>
          <w:szCs w:val="24"/>
          <w:lang w:eastAsia="pl-PL"/>
        </w:rPr>
        <w:t xml:space="preserve"> a </w:t>
      </w:r>
      <w:proofErr w:type="spellStart"/>
      <w:r w:rsidRPr="00CC28EC">
        <w:rPr>
          <w:sz w:val="24"/>
          <w:szCs w:val="24"/>
          <w:lang w:eastAsia="pl-PL"/>
        </w:rPr>
        <w:t>României</w:t>
      </w:r>
      <w:proofErr w:type="spellEnd"/>
      <w:r w:rsidRPr="00CC28EC">
        <w:rPr>
          <w:sz w:val="24"/>
          <w:szCs w:val="24"/>
          <w:lang w:eastAsia="pl-PL"/>
        </w:rPr>
        <w:t xml:space="preserve"> a </w:t>
      </w:r>
      <w:proofErr w:type="spellStart"/>
      <w:r w:rsidRPr="00CC28EC">
        <w:rPr>
          <w:sz w:val="24"/>
          <w:szCs w:val="24"/>
          <w:lang w:eastAsia="pl-PL"/>
        </w:rPr>
        <w:t>cresc</w:t>
      </w:r>
      <w:r w:rsidR="00266A65" w:rsidRPr="00CC28EC">
        <w:rPr>
          <w:sz w:val="24"/>
          <w:szCs w:val="24"/>
          <w:lang w:eastAsia="pl-PL"/>
        </w:rPr>
        <w:t>ut</w:t>
      </w:r>
      <w:proofErr w:type="spellEnd"/>
      <w:r w:rsidR="00266A65" w:rsidRPr="00CC28EC">
        <w:rPr>
          <w:sz w:val="24"/>
          <w:szCs w:val="24"/>
          <w:lang w:eastAsia="pl-PL"/>
        </w:rPr>
        <w:t xml:space="preserve"> cu 256,9 </w:t>
      </w:r>
      <w:proofErr w:type="spellStart"/>
      <w:r w:rsidR="00266A65" w:rsidRPr="00CC28EC">
        <w:rPr>
          <w:sz w:val="24"/>
          <w:szCs w:val="24"/>
          <w:lang w:eastAsia="pl-PL"/>
        </w:rPr>
        <w:t>md.</w:t>
      </w:r>
      <w:proofErr w:type="spellEnd"/>
      <w:r w:rsidR="00266A65" w:rsidRPr="00CC28EC">
        <w:rPr>
          <w:sz w:val="24"/>
          <w:szCs w:val="24"/>
          <w:lang w:eastAsia="pl-PL"/>
        </w:rPr>
        <w:t xml:space="preserve"> lei</w:t>
      </w:r>
      <w:r w:rsidR="00266A65" w:rsidRPr="00CC28EC">
        <w:rPr>
          <w:lang w:eastAsia="pl-PL"/>
        </w:rPr>
        <w:t xml:space="preserve">, </w:t>
      </w:r>
      <w:proofErr w:type="spellStart"/>
      <w:r w:rsidR="00266A65" w:rsidRPr="00CC28EC">
        <w:rPr>
          <w:sz w:val="24"/>
          <w:szCs w:val="24"/>
          <w:lang w:eastAsia="pl-PL"/>
        </w:rPr>
        <w:t>practic</w:t>
      </w:r>
      <w:proofErr w:type="spellEnd"/>
      <w:r w:rsidR="00266A65" w:rsidRPr="00CC28EC">
        <w:rPr>
          <w:sz w:val="24"/>
          <w:szCs w:val="24"/>
          <w:lang w:eastAsia="pl-PL"/>
        </w:rPr>
        <w:t xml:space="preserve"> s-a </w:t>
      </w:r>
      <w:proofErr w:type="spellStart"/>
      <w:r w:rsidR="00266A65" w:rsidRPr="00CC28EC">
        <w:rPr>
          <w:sz w:val="24"/>
          <w:szCs w:val="24"/>
          <w:lang w:eastAsia="pl-PL"/>
        </w:rPr>
        <w:t>dublat</w:t>
      </w:r>
      <w:proofErr w:type="spellEnd"/>
      <w:r w:rsidR="00A175A0" w:rsidRPr="00CC28EC">
        <w:rPr>
          <w:sz w:val="24"/>
          <w:szCs w:val="24"/>
          <w:lang w:eastAsia="pl-PL"/>
        </w:rPr>
        <w:t>,</w:t>
      </w:r>
      <w:r w:rsidR="00266A65" w:rsidRPr="00CC28EC">
        <w:rPr>
          <w:sz w:val="24"/>
          <w:szCs w:val="24"/>
          <w:lang w:eastAsia="pl-PL"/>
        </w:rPr>
        <w:t xml:space="preserve"> pe </w:t>
      </w:r>
      <w:proofErr w:type="spellStart"/>
      <w:r w:rsidR="00266A65" w:rsidRPr="00CC28EC">
        <w:rPr>
          <w:sz w:val="24"/>
          <w:szCs w:val="24"/>
          <w:lang w:eastAsia="pl-PL"/>
        </w:rPr>
        <w:t>f</w:t>
      </w:r>
      <w:r w:rsidRPr="00CC28EC">
        <w:rPr>
          <w:sz w:val="24"/>
          <w:szCs w:val="24"/>
          <w:lang w:eastAsia="pl-PL"/>
        </w:rPr>
        <w:t>ondul</w:t>
      </w:r>
      <w:proofErr w:type="spellEnd"/>
      <w:r w:rsidRPr="00CC28EC">
        <w:rPr>
          <w:sz w:val="24"/>
          <w:szCs w:val="24"/>
          <w:lang w:eastAsia="pl-PL"/>
        </w:rPr>
        <w:t xml:space="preserve"> </w:t>
      </w:r>
      <w:proofErr w:type="spellStart"/>
      <w:r w:rsidRPr="00CC28EC">
        <w:rPr>
          <w:sz w:val="24"/>
          <w:szCs w:val="24"/>
          <w:lang w:eastAsia="pl-PL"/>
        </w:rPr>
        <w:t>cre</w:t>
      </w:r>
      <w:proofErr w:type="spellEnd"/>
      <w:r w:rsidRPr="00CC28EC">
        <w:rPr>
          <w:sz w:val="24"/>
          <w:szCs w:val="24"/>
          <w:lang w:val="ro-RO" w:eastAsia="pl-PL"/>
        </w:rPr>
        <w:t>ș</w:t>
      </w:r>
      <w:proofErr w:type="spellStart"/>
      <w:r w:rsidRPr="00CC28EC">
        <w:rPr>
          <w:sz w:val="24"/>
          <w:szCs w:val="24"/>
          <w:lang w:eastAsia="pl-PL"/>
        </w:rPr>
        <w:t>terii</w:t>
      </w:r>
      <w:proofErr w:type="spellEnd"/>
      <w:r w:rsidRPr="00CC28EC">
        <w:rPr>
          <w:sz w:val="24"/>
          <w:szCs w:val="24"/>
          <w:lang w:eastAsia="pl-PL"/>
        </w:rPr>
        <w:t xml:space="preserve"> </w:t>
      </w:r>
      <w:r w:rsidR="00266A65" w:rsidRPr="00CC28EC">
        <w:rPr>
          <w:sz w:val="24"/>
          <w:szCs w:val="24"/>
          <w:lang w:eastAsia="pl-PL"/>
        </w:rPr>
        <w:t xml:space="preserve">PIB cu </w:t>
      </w:r>
      <w:proofErr w:type="spellStart"/>
      <w:r w:rsidR="00266A65" w:rsidRPr="00CC28EC">
        <w:rPr>
          <w:sz w:val="24"/>
          <w:szCs w:val="24"/>
          <w:lang w:eastAsia="pl-PL"/>
        </w:rPr>
        <w:t>doar</w:t>
      </w:r>
      <w:proofErr w:type="spellEnd"/>
      <w:r w:rsidR="00266A65" w:rsidRPr="00CC28EC">
        <w:rPr>
          <w:sz w:val="24"/>
          <w:szCs w:val="24"/>
          <w:lang w:eastAsia="pl-PL"/>
        </w:rPr>
        <w:t xml:space="preserve"> 50</w:t>
      </w:r>
      <w:r w:rsidRPr="00CC28EC">
        <w:rPr>
          <w:sz w:val="24"/>
          <w:szCs w:val="24"/>
          <w:lang w:eastAsia="pl-PL"/>
        </w:rPr>
        <w:t xml:space="preserve">%. </w:t>
      </w:r>
      <w:bookmarkStart w:id="9" w:name="_Hlk83746768"/>
      <w:proofErr w:type="spellStart"/>
      <w:r w:rsidR="00266A65" w:rsidRPr="00CC28EC">
        <w:rPr>
          <w:sz w:val="24"/>
          <w:szCs w:val="24"/>
          <w:lang w:eastAsia="pl-PL"/>
        </w:rPr>
        <w:t>Datoria</w:t>
      </w:r>
      <w:proofErr w:type="spellEnd"/>
      <w:r w:rsidR="00266A65" w:rsidRPr="00CC28EC">
        <w:rPr>
          <w:sz w:val="24"/>
          <w:szCs w:val="24"/>
          <w:lang w:eastAsia="pl-PL"/>
        </w:rPr>
        <w:t xml:space="preserve"> </w:t>
      </w:r>
      <w:proofErr w:type="spellStart"/>
      <w:r w:rsidR="00266A65" w:rsidRPr="00CC28EC">
        <w:rPr>
          <w:sz w:val="24"/>
          <w:szCs w:val="24"/>
          <w:lang w:eastAsia="pl-PL"/>
        </w:rPr>
        <w:t>publică</w:t>
      </w:r>
      <w:proofErr w:type="spellEnd"/>
      <w:r w:rsidR="00266A65" w:rsidRPr="00CC28EC">
        <w:rPr>
          <w:sz w:val="24"/>
          <w:szCs w:val="24"/>
          <w:lang w:eastAsia="pl-PL"/>
        </w:rPr>
        <w:t xml:space="preserve"> </w:t>
      </w:r>
      <w:proofErr w:type="spellStart"/>
      <w:r w:rsidR="00266A65" w:rsidRPr="00CC28EC">
        <w:rPr>
          <w:sz w:val="24"/>
          <w:szCs w:val="24"/>
          <w:lang w:eastAsia="pl-PL"/>
        </w:rPr>
        <w:t>în</w:t>
      </w:r>
      <w:proofErr w:type="spellEnd"/>
      <w:r w:rsidR="00266A65" w:rsidRPr="00CC28EC">
        <w:rPr>
          <w:sz w:val="24"/>
          <w:szCs w:val="24"/>
          <w:lang w:eastAsia="pl-PL"/>
        </w:rPr>
        <w:t xml:space="preserve"> PIB </w:t>
      </w:r>
      <w:proofErr w:type="gramStart"/>
      <w:r w:rsidR="00266A65" w:rsidRPr="00CC28EC">
        <w:rPr>
          <w:sz w:val="24"/>
          <w:szCs w:val="24"/>
          <w:lang w:eastAsia="pl-PL"/>
        </w:rPr>
        <w:t>a</w:t>
      </w:r>
      <w:proofErr w:type="gramEnd"/>
      <w:r w:rsidR="00266A65" w:rsidRPr="00CC28EC">
        <w:rPr>
          <w:sz w:val="24"/>
          <w:szCs w:val="24"/>
          <w:lang w:eastAsia="pl-PL"/>
        </w:rPr>
        <w:t xml:space="preserve"> </w:t>
      </w:r>
      <w:proofErr w:type="spellStart"/>
      <w:r w:rsidR="00266A65" w:rsidRPr="00CC28EC">
        <w:rPr>
          <w:sz w:val="24"/>
          <w:szCs w:val="24"/>
          <w:lang w:eastAsia="pl-PL"/>
        </w:rPr>
        <w:t>ajuns</w:t>
      </w:r>
      <w:proofErr w:type="spellEnd"/>
      <w:r w:rsidR="00266A65" w:rsidRPr="00CC28EC">
        <w:rPr>
          <w:sz w:val="24"/>
          <w:szCs w:val="24"/>
          <w:lang w:eastAsia="pl-PL"/>
        </w:rPr>
        <w:t xml:space="preserve"> la circa 50% de la circa 38% </w:t>
      </w:r>
      <w:proofErr w:type="spellStart"/>
      <w:r w:rsidR="00266A65" w:rsidRPr="00CC28EC">
        <w:rPr>
          <w:sz w:val="24"/>
          <w:szCs w:val="24"/>
          <w:lang w:eastAsia="pl-PL"/>
        </w:rPr>
        <w:t>acum</w:t>
      </w:r>
      <w:proofErr w:type="spellEnd"/>
      <w:r w:rsidR="00266A65" w:rsidRPr="00CC28EC">
        <w:rPr>
          <w:sz w:val="24"/>
          <w:szCs w:val="24"/>
          <w:lang w:eastAsia="pl-PL"/>
        </w:rPr>
        <w:t xml:space="preserve"> </w:t>
      </w:r>
      <w:proofErr w:type="spellStart"/>
      <w:r w:rsidR="00266A65" w:rsidRPr="00CC28EC">
        <w:rPr>
          <w:sz w:val="24"/>
          <w:szCs w:val="24"/>
          <w:lang w:eastAsia="pl-PL"/>
        </w:rPr>
        <w:t>cinci</w:t>
      </w:r>
      <w:proofErr w:type="spellEnd"/>
      <w:r w:rsidR="00266A65" w:rsidRPr="00CC28EC">
        <w:rPr>
          <w:sz w:val="24"/>
          <w:szCs w:val="24"/>
          <w:lang w:eastAsia="pl-PL"/>
        </w:rPr>
        <w:t xml:space="preserve"> ani.</w:t>
      </w:r>
      <w:bookmarkEnd w:id="9"/>
    </w:p>
    <w:p w14:paraId="4CC62D97" w14:textId="2D2CEC9B" w:rsidR="002C7FD2" w:rsidRPr="00CC28EC" w:rsidRDefault="00266A65" w:rsidP="00A175A0">
      <w:pPr>
        <w:ind w:firstLine="720"/>
        <w:jc w:val="both"/>
        <w:rPr>
          <w:sz w:val="24"/>
          <w:szCs w:val="24"/>
          <w:lang w:eastAsia="pl-PL"/>
        </w:rPr>
      </w:pPr>
      <w:r w:rsidRPr="00CC28EC">
        <w:rPr>
          <w:sz w:val="24"/>
          <w:szCs w:val="24"/>
          <w:lang w:eastAsia="pl-PL"/>
        </w:rPr>
        <w:t xml:space="preserve">An de </w:t>
      </w:r>
      <w:proofErr w:type="gramStart"/>
      <w:r w:rsidRPr="00CC28EC">
        <w:rPr>
          <w:sz w:val="24"/>
          <w:szCs w:val="24"/>
          <w:lang w:eastAsia="pl-PL"/>
        </w:rPr>
        <w:t>an</w:t>
      </w:r>
      <w:proofErr w:type="gramEnd"/>
      <w:r w:rsidRPr="00CC28EC">
        <w:rPr>
          <w:sz w:val="24"/>
          <w:szCs w:val="24"/>
          <w:lang w:eastAsia="pl-PL"/>
        </w:rPr>
        <w:t xml:space="preserve"> </w:t>
      </w:r>
      <w:proofErr w:type="spellStart"/>
      <w:r w:rsidRPr="00CC28EC">
        <w:rPr>
          <w:sz w:val="24"/>
          <w:szCs w:val="24"/>
          <w:lang w:eastAsia="pl-PL"/>
        </w:rPr>
        <w:t>datoria</w:t>
      </w:r>
      <w:proofErr w:type="spellEnd"/>
      <w:r w:rsidRPr="00CC28EC">
        <w:rPr>
          <w:sz w:val="24"/>
          <w:szCs w:val="24"/>
          <w:lang w:eastAsia="pl-PL"/>
        </w:rPr>
        <w:t xml:space="preserve"> </w:t>
      </w:r>
      <w:proofErr w:type="spellStart"/>
      <w:r w:rsidRPr="00CC28EC">
        <w:rPr>
          <w:sz w:val="24"/>
          <w:szCs w:val="24"/>
          <w:lang w:eastAsia="pl-PL"/>
        </w:rPr>
        <w:t>publică</w:t>
      </w:r>
      <w:proofErr w:type="spellEnd"/>
      <w:r w:rsidRPr="00CC28EC">
        <w:rPr>
          <w:sz w:val="24"/>
          <w:szCs w:val="24"/>
          <w:lang w:eastAsia="pl-PL"/>
        </w:rPr>
        <w:t xml:space="preserve"> a </w:t>
      </w:r>
      <w:proofErr w:type="spellStart"/>
      <w:r w:rsidRPr="00CC28EC">
        <w:rPr>
          <w:sz w:val="24"/>
          <w:szCs w:val="24"/>
          <w:lang w:eastAsia="pl-PL"/>
        </w:rPr>
        <w:t>României</w:t>
      </w:r>
      <w:proofErr w:type="spellEnd"/>
      <w:r w:rsidRPr="00CC28EC">
        <w:rPr>
          <w:sz w:val="24"/>
          <w:szCs w:val="24"/>
          <w:lang w:eastAsia="pl-PL"/>
        </w:rPr>
        <w:t xml:space="preserve"> a </w:t>
      </w:r>
      <w:proofErr w:type="spellStart"/>
      <w:r w:rsidRPr="00CC28EC">
        <w:rPr>
          <w:sz w:val="24"/>
          <w:szCs w:val="24"/>
          <w:lang w:eastAsia="pl-PL"/>
        </w:rPr>
        <w:t>crescut</w:t>
      </w:r>
      <w:proofErr w:type="spellEnd"/>
      <w:r w:rsidRPr="00CC28EC">
        <w:rPr>
          <w:sz w:val="24"/>
          <w:szCs w:val="24"/>
          <w:lang w:eastAsia="pl-PL"/>
        </w:rPr>
        <w:t xml:space="preserve"> </w:t>
      </w:r>
      <w:proofErr w:type="spellStart"/>
      <w:r w:rsidRPr="00CC28EC">
        <w:rPr>
          <w:sz w:val="24"/>
          <w:szCs w:val="24"/>
          <w:lang w:eastAsia="pl-PL"/>
        </w:rPr>
        <w:t>dar</w:t>
      </w:r>
      <w:proofErr w:type="spellEnd"/>
      <w:r w:rsidRPr="00CC28EC">
        <w:rPr>
          <w:sz w:val="24"/>
          <w:szCs w:val="24"/>
          <w:lang w:eastAsia="pl-PL"/>
        </w:rPr>
        <w:t xml:space="preserve"> </w:t>
      </w:r>
      <w:proofErr w:type="spellStart"/>
      <w:r w:rsidRPr="00CC28EC">
        <w:rPr>
          <w:sz w:val="24"/>
          <w:szCs w:val="24"/>
          <w:lang w:eastAsia="pl-PL"/>
        </w:rPr>
        <w:t>ritmul</w:t>
      </w:r>
      <w:proofErr w:type="spellEnd"/>
      <w:r w:rsidRPr="00CC28EC">
        <w:rPr>
          <w:sz w:val="24"/>
          <w:szCs w:val="24"/>
          <w:lang w:eastAsia="pl-PL"/>
        </w:rPr>
        <w:t xml:space="preserve"> de </w:t>
      </w:r>
      <w:proofErr w:type="spellStart"/>
      <w:r w:rsidRPr="00CC28EC">
        <w:rPr>
          <w:sz w:val="24"/>
          <w:szCs w:val="24"/>
          <w:lang w:eastAsia="pl-PL"/>
        </w:rPr>
        <w:t>cr</w:t>
      </w:r>
      <w:r w:rsidR="00A175A0" w:rsidRPr="00CC28EC">
        <w:rPr>
          <w:sz w:val="24"/>
          <w:szCs w:val="24"/>
          <w:lang w:eastAsia="pl-PL"/>
        </w:rPr>
        <w:t>e</w:t>
      </w:r>
      <w:r w:rsidRPr="00CC28EC">
        <w:rPr>
          <w:sz w:val="24"/>
          <w:szCs w:val="24"/>
          <w:lang w:eastAsia="pl-PL"/>
        </w:rPr>
        <w:t>ștere</w:t>
      </w:r>
      <w:proofErr w:type="spellEnd"/>
      <w:r w:rsidRPr="00CC28EC">
        <w:rPr>
          <w:sz w:val="24"/>
          <w:szCs w:val="24"/>
          <w:lang w:eastAsia="pl-PL"/>
        </w:rPr>
        <w:t xml:space="preserve"> s-a </w:t>
      </w:r>
      <w:proofErr w:type="spellStart"/>
      <w:r w:rsidRPr="00CC28EC">
        <w:rPr>
          <w:sz w:val="24"/>
          <w:szCs w:val="24"/>
          <w:lang w:eastAsia="pl-PL"/>
        </w:rPr>
        <w:t>accelerat</w:t>
      </w:r>
      <w:proofErr w:type="spellEnd"/>
      <w:r w:rsidRPr="00CC28EC">
        <w:rPr>
          <w:sz w:val="24"/>
          <w:szCs w:val="24"/>
          <w:lang w:eastAsia="pl-PL"/>
        </w:rPr>
        <w:t xml:space="preserve"> </w:t>
      </w:r>
      <w:proofErr w:type="spellStart"/>
      <w:r w:rsidRPr="00CC28EC">
        <w:rPr>
          <w:sz w:val="24"/>
          <w:szCs w:val="24"/>
          <w:lang w:eastAsia="pl-PL"/>
        </w:rPr>
        <w:t>în</w:t>
      </w:r>
      <w:proofErr w:type="spellEnd"/>
      <w:r w:rsidRPr="00CC28EC">
        <w:rPr>
          <w:sz w:val="24"/>
          <w:szCs w:val="24"/>
          <w:lang w:eastAsia="pl-PL"/>
        </w:rPr>
        <w:t xml:space="preserve"> u</w:t>
      </w:r>
      <w:r w:rsidR="00A175A0" w:rsidRPr="00CC28EC">
        <w:rPr>
          <w:sz w:val="24"/>
          <w:szCs w:val="24"/>
          <w:lang w:eastAsia="pl-PL"/>
        </w:rPr>
        <w:t>l</w:t>
      </w:r>
      <w:r w:rsidRPr="00CC28EC">
        <w:rPr>
          <w:sz w:val="24"/>
          <w:szCs w:val="24"/>
          <w:lang w:eastAsia="pl-PL"/>
        </w:rPr>
        <w:t>tim</w:t>
      </w:r>
      <w:r w:rsidR="00E84606" w:rsidRPr="00CC28EC">
        <w:rPr>
          <w:sz w:val="24"/>
          <w:szCs w:val="24"/>
          <w:lang w:eastAsia="pl-PL"/>
        </w:rPr>
        <w:t xml:space="preserve">a </w:t>
      </w:r>
      <w:proofErr w:type="spellStart"/>
      <w:r w:rsidR="00E84606" w:rsidRPr="00CC28EC">
        <w:rPr>
          <w:sz w:val="24"/>
          <w:szCs w:val="24"/>
          <w:lang w:eastAsia="pl-PL"/>
        </w:rPr>
        <w:t>perioad</w:t>
      </w:r>
      <w:proofErr w:type="spellEnd"/>
      <w:r w:rsidR="00E84606" w:rsidRPr="00CC28EC">
        <w:rPr>
          <w:sz w:val="24"/>
          <w:szCs w:val="24"/>
          <w:lang w:val="ro-RO" w:eastAsia="pl-PL"/>
        </w:rPr>
        <w:t>ă</w:t>
      </w:r>
      <w:r w:rsidRPr="00CC28EC">
        <w:rPr>
          <w:sz w:val="24"/>
          <w:szCs w:val="24"/>
          <w:lang w:eastAsia="pl-PL"/>
        </w:rPr>
        <w:t>.</w:t>
      </w:r>
      <w:r w:rsidR="00A175A0" w:rsidRPr="00CC28EC">
        <w:rPr>
          <w:sz w:val="24"/>
          <w:szCs w:val="24"/>
          <w:lang w:eastAsia="pl-PL"/>
        </w:rPr>
        <w:t xml:space="preserve"> </w:t>
      </w:r>
      <w:proofErr w:type="spellStart"/>
      <w:r w:rsidRPr="00CC28EC">
        <w:rPr>
          <w:sz w:val="24"/>
          <w:szCs w:val="24"/>
          <w:lang w:eastAsia="pl-PL"/>
        </w:rPr>
        <w:t>Astfel</w:t>
      </w:r>
      <w:proofErr w:type="spellEnd"/>
      <w:r w:rsidRPr="00CC28EC">
        <w:rPr>
          <w:sz w:val="24"/>
          <w:szCs w:val="24"/>
          <w:lang w:eastAsia="pl-PL"/>
        </w:rPr>
        <w:t xml:space="preserve"> </w:t>
      </w:r>
      <w:proofErr w:type="spellStart"/>
      <w:r w:rsidRPr="00CC28EC">
        <w:rPr>
          <w:sz w:val="24"/>
          <w:szCs w:val="24"/>
          <w:lang w:eastAsia="pl-PL"/>
        </w:rPr>
        <w:t>dacă</w:t>
      </w:r>
      <w:proofErr w:type="spellEnd"/>
      <w:r w:rsidR="00A175A0" w:rsidRPr="00CC28EC">
        <w:rPr>
          <w:sz w:val="24"/>
          <w:szCs w:val="24"/>
          <w:lang w:eastAsia="pl-PL"/>
        </w:rPr>
        <w:t xml:space="preserve"> </w:t>
      </w:r>
      <w:proofErr w:type="spellStart"/>
      <w:r w:rsidR="00A175A0" w:rsidRPr="00CC28EC">
        <w:rPr>
          <w:sz w:val="24"/>
          <w:szCs w:val="24"/>
          <w:lang w:eastAsia="pl-PL"/>
        </w:rPr>
        <w:t>între</w:t>
      </w:r>
      <w:proofErr w:type="spellEnd"/>
      <w:r w:rsidR="00A175A0" w:rsidRPr="00CC28EC">
        <w:rPr>
          <w:sz w:val="24"/>
          <w:szCs w:val="24"/>
          <w:lang w:eastAsia="pl-PL"/>
        </w:rPr>
        <w:t xml:space="preserve"> </w:t>
      </w:r>
      <w:proofErr w:type="spellStart"/>
      <w:r w:rsidR="00A175A0" w:rsidRPr="00CC28EC">
        <w:rPr>
          <w:sz w:val="24"/>
          <w:szCs w:val="24"/>
          <w:lang w:eastAsia="pl-PL"/>
        </w:rPr>
        <w:t>anii</w:t>
      </w:r>
      <w:proofErr w:type="spellEnd"/>
      <w:r w:rsidR="00A175A0" w:rsidRPr="00CC28EC">
        <w:rPr>
          <w:sz w:val="24"/>
          <w:szCs w:val="24"/>
          <w:lang w:eastAsia="pl-PL"/>
        </w:rPr>
        <w:t xml:space="preserve"> 2015-2018 </w:t>
      </w:r>
      <w:proofErr w:type="spellStart"/>
      <w:r w:rsidR="00A175A0" w:rsidRPr="00CC28EC">
        <w:rPr>
          <w:sz w:val="24"/>
          <w:szCs w:val="24"/>
          <w:lang w:eastAsia="pl-PL"/>
        </w:rPr>
        <w:t>ritmul</w:t>
      </w:r>
      <w:proofErr w:type="spellEnd"/>
      <w:r w:rsidR="00A175A0" w:rsidRPr="00CC28EC">
        <w:rPr>
          <w:sz w:val="24"/>
          <w:szCs w:val="24"/>
          <w:lang w:eastAsia="pl-PL"/>
        </w:rPr>
        <w:t xml:space="preserve"> de </w:t>
      </w:r>
      <w:proofErr w:type="spellStart"/>
      <w:r w:rsidR="00A175A0" w:rsidRPr="00CC28EC">
        <w:rPr>
          <w:sz w:val="24"/>
          <w:szCs w:val="24"/>
          <w:lang w:eastAsia="pl-PL"/>
        </w:rPr>
        <w:t>creștere</w:t>
      </w:r>
      <w:proofErr w:type="spellEnd"/>
      <w:r w:rsidR="00A175A0" w:rsidRPr="00CC28EC">
        <w:rPr>
          <w:sz w:val="24"/>
          <w:szCs w:val="24"/>
          <w:lang w:eastAsia="pl-PL"/>
        </w:rPr>
        <w:t xml:space="preserve"> </w:t>
      </w:r>
      <w:proofErr w:type="spellStart"/>
      <w:r w:rsidR="00A175A0" w:rsidRPr="00CC28EC">
        <w:rPr>
          <w:sz w:val="24"/>
          <w:szCs w:val="24"/>
          <w:lang w:eastAsia="pl-PL"/>
        </w:rPr>
        <w:t>anual</w:t>
      </w:r>
      <w:proofErr w:type="spellEnd"/>
      <w:r w:rsidR="00A175A0" w:rsidRPr="00CC28EC">
        <w:rPr>
          <w:sz w:val="24"/>
          <w:szCs w:val="24"/>
          <w:lang w:eastAsia="pl-PL"/>
        </w:rPr>
        <w:t xml:space="preserve"> a </w:t>
      </w:r>
      <w:proofErr w:type="spellStart"/>
      <w:r w:rsidR="00A175A0" w:rsidRPr="00CC28EC">
        <w:rPr>
          <w:sz w:val="24"/>
          <w:szCs w:val="24"/>
          <w:lang w:eastAsia="pl-PL"/>
        </w:rPr>
        <w:t>fost</w:t>
      </w:r>
      <w:proofErr w:type="spellEnd"/>
      <w:r w:rsidR="00A175A0" w:rsidRPr="00CC28EC">
        <w:rPr>
          <w:sz w:val="24"/>
          <w:szCs w:val="24"/>
          <w:lang w:eastAsia="pl-PL"/>
        </w:rPr>
        <w:t xml:space="preserve"> </w:t>
      </w:r>
      <w:proofErr w:type="spellStart"/>
      <w:r w:rsidR="00A175A0" w:rsidRPr="00CC28EC">
        <w:rPr>
          <w:sz w:val="24"/>
          <w:szCs w:val="24"/>
          <w:lang w:eastAsia="pl-PL"/>
        </w:rPr>
        <w:t>între</w:t>
      </w:r>
      <w:proofErr w:type="spellEnd"/>
      <w:r w:rsidR="00A175A0" w:rsidRPr="00CC28EC">
        <w:rPr>
          <w:sz w:val="24"/>
          <w:szCs w:val="24"/>
          <w:lang w:eastAsia="pl-PL"/>
        </w:rPr>
        <w:t xml:space="preserve"> 5,9% </w:t>
      </w:r>
      <w:proofErr w:type="spellStart"/>
      <w:r w:rsidR="00A175A0" w:rsidRPr="00CC28EC">
        <w:rPr>
          <w:sz w:val="24"/>
          <w:szCs w:val="24"/>
          <w:lang w:eastAsia="pl-PL"/>
        </w:rPr>
        <w:t>și</w:t>
      </w:r>
      <w:proofErr w:type="spellEnd"/>
      <w:r w:rsidR="00A175A0" w:rsidRPr="00CC28EC">
        <w:rPr>
          <w:sz w:val="24"/>
          <w:szCs w:val="24"/>
          <w:lang w:eastAsia="pl-PL"/>
        </w:rPr>
        <w:t xml:space="preserve"> 9,9%, </w:t>
      </w:r>
      <w:proofErr w:type="spellStart"/>
      <w:r w:rsidR="00A175A0" w:rsidRPr="00CC28EC">
        <w:rPr>
          <w:sz w:val="24"/>
          <w:szCs w:val="24"/>
          <w:lang w:eastAsia="pl-PL"/>
        </w:rPr>
        <w:t>în</w:t>
      </w:r>
      <w:proofErr w:type="spellEnd"/>
      <w:r w:rsidR="00A175A0" w:rsidRPr="00CC28EC">
        <w:rPr>
          <w:sz w:val="24"/>
          <w:szCs w:val="24"/>
          <w:lang w:eastAsia="pl-PL"/>
        </w:rPr>
        <w:t xml:space="preserve"> </w:t>
      </w:r>
      <w:proofErr w:type="spellStart"/>
      <w:r w:rsidR="00A175A0" w:rsidRPr="00CC28EC">
        <w:rPr>
          <w:sz w:val="24"/>
          <w:szCs w:val="24"/>
          <w:lang w:eastAsia="pl-PL"/>
        </w:rPr>
        <w:t>anul</w:t>
      </w:r>
      <w:proofErr w:type="spellEnd"/>
      <w:r w:rsidR="00A175A0" w:rsidRPr="00CC28EC">
        <w:rPr>
          <w:sz w:val="24"/>
          <w:szCs w:val="24"/>
          <w:lang w:eastAsia="pl-PL"/>
        </w:rPr>
        <w:t xml:space="preserve"> 2019 </w:t>
      </w:r>
      <w:proofErr w:type="spellStart"/>
      <w:r w:rsidR="00A175A0" w:rsidRPr="00CC28EC">
        <w:rPr>
          <w:sz w:val="24"/>
          <w:szCs w:val="24"/>
          <w:lang w:eastAsia="pl-PL"/>
        </w:rPr>
        <w:t>față</w:t>
      </w:r>
      <w:proofErr w:type="spellEnd"/>
      <w:r w:rsidR="00A175A0" w:rsidRPr="00CC28EC">
        <w:rPr>
          <w:sz w:val="24"/>
          <w:szCs w:val="24"/>
          <w:lang w:eastAsia="pl-PL"/>
        </w:rPr>
        <w:t xml:space="preserve"> de </w:t>
      </w:r>
      <w:proofErr w:type="spellStart"/>
      <w:r w:rsidR="00A175A0" w:rsidRPr="00CC28EC">
        <w:rPr>
          <w:sz w:val="24"/>
          <w:szCs w:val="24"/>
          <w:lang w:eastAsia="pl-PL"/>
        </w:rPr>
        <w:t>anul</w:t>
      </w:r>
      <w:proofErr w:type="spellEnd"/>
      <w:r w:rsidR="00A175A0" w:rsidRPr="00CC28EC">
        <w:rPr>
          <w:sz w:val="24"/>
          <w:szCs w:val="24"/>
          <w:lang w:eastAsia="pl-PL"/>
        </w:rPr>
        <w:t xml:space="preserve"> 2018 s-a </w:t>
      </w:r>
      <w:proofErr w:type="spellStart"/>
      <w:r w:rsidR="00A175A0" w:rsidRPr="00CC28EC">
        <w:rPr>
          <w:sz w:val="24"/>
          <w:szCs w:val="24"/>
          <w:lang w:eastAsia="pl-PL"/>
        </w:rPr>
        <w:t>ajuns</w:t>
      </w:r>
      <w:proofErr w:type="spellEnd"/>
      <w:r w:rsidR="00A175A0" w:rsidRPr="00CC28EC">
        <w:rPr>
          <w:sz w:val="24"/>
          <w:szCs w:val="24"/>
          <w:lang w:eastAsia="pl-PL"/>
        </w:rPr>
        <w:t xml:space="preserve"> la 13% </w:t>
      </w:r>
      <w:proofErr w:type="spellStart"/>
      <w:r w:rsidR="00A175A0" w:rsidRPr="00CC28EC">
        <w:rPr>
          <w:sz w:val="24"/>
          <w:szCs w:val="24"/>
          <w:lang w:eastAsia="pl-PL"/>
        </w:rPr>
        <w:t>iar</w:t>
      </w:r>
      <w:proofErr w:type="spellEnd"/>
      <w:r w:rsidR="00A175A0" w:rsidRPr="00CC28EC">
        <w:rPr>
          <w:sz w:val="24"/>
          <w:szCs w:val="24"/>
          <w:lang w:eastAsia="pl-PL"/>
        </w:rPr>
        <w:t xml:space="preserve"> </w:t>
      </w:r>
      <w:proofErr w:type="spellStart"/>
      <w:r w:rsidR="00A175A0" w:rsidRPr="00CC28EC">
        <w:rPr>
          <w:sz w:val="24"/>
          <w:szCs w:val="24"/>
          <w:lang w:eastAsia="pl-PL"/>
        </w:rPr>
        <w:t>în</w:t>
      </w:r>
      <w:proofErr w:type="spellEnd"/>
      <w:r w:rsidR="00A175A0" w:rsidRPr="00CC28EC">
        <w:rPr>
          <w:sz w:val="24"/>
          <w:szCs w:val="24"/>
          <w:lang w:eastAsia="pl-PL"/>
        </w:rPr>
        <w:t xml:space="preserve"> 2020 </w:t>
      </w:r>
      <w:proofErr w:type="spellStart"/>
      <w:r w:rsidR="00A175A0" w:rsidRPr="00CC28EC">
        <w:rPr>
          <w:sz w:val="24"/>
          <w:szCs w:val="24"/>
          <w:lang w:eastAsia="pl-PL"/>
        </w:rPr>
        <w:t>față</w:t>
      </w:r>
      <w:proofErr w:type="spellEnd"/>
      <w:r w:rsidR="00A175A0" w:rsidRPr="00CC28EC">
        <w:rPr>
          <w:sz w:val="24"/>
          <w:szCs w:val="24"/>
          <w:lang w:eastAsia="pl-PL"/>
        </w:rPr>
        <w:t xml:space="preserve"> de 2019</w:t>
      </w:r>
      <w:r w:rsidR="00E84606" w:rsidRPr="00CC28EC">
        <w:rPr>
          <w:sz w:val="24"/>
          <w:szCs w:val="24"/>
          <w:lang w:eastAsia="pl-PL"/>
        </w:rPr>
        <w:t>,</w:t>
      </w:r>
      <w:r w:rsidR="00A175A0" w:rsidRPr="00CC28EC">
        <w:rPr>
          <w:sz w:val="24"/>
          <w:szCs w:val="24"/>
          <w:lang w:eastAsia="pl-PL"/>
        </w:rPr>
        <w:t xml:space="preserve"> </w:t>
      </w:r>
      <w:proofErr w:type="spellStart"/>
      <w:r w:rsidR="00A175A0" w:rsidRPr="00CC28EC">
        <w:rPr>
          <w:sz w:val="24"/>
          <w:szCs w:val="24"/>
          <w:lang w:eastAsia="pl-PL"/>
        </w:rPr>
        <w:t>datoria</w:t>
      </w:r>
      <w:proofErr w:type="spellEnd"/>
      <w:r w:rsidR="00A175A0" w:rsidRPr="00CC28EC">
        <w:rPr>
          <w:sz w:val="24"/>
          <w:szCs w:val="24"/>
          <w:lang w:eastAsia="pl-PL"/>
        </w:rPr>
        <w:t xml:space="preserve"> </w:t>
      </w:r>
      <w:proofErr w:type="spellStart"/>
      <w:r w:rsidR="00A175A0" w:rsidRPr="00CC28EC">
        <w:rPr>
          <w:sz w:val="24"/>
          <w:szCs w:val="24"/>
          <w:lang w:eastAsia="pl-PL"/>
        </w:rPr>
        <w:t>publică</w:t>
      </w:r>
      <w:proofErr w:type="spellEnd"/>
      <w:r w:rsidR="00A175A0" w:rsidRPr="00CC28EC">
        <w:rPr>
          <w:sz w:val="24"/>
          <w:szCs w:val="24"/>
          <w:lang w:eastAsia="pl-PL"/>
        </w:rPr>
        <w:t xml:space="preserve"> a </w:t>
      </w:r>
      <w:proofErr w:type="spellStart"/>
      <w:r w:rsidR="00A175A0" w:rsidRPr="00CC28EC">
        <w:rPr>
          <w:sz w:val="24"/>
          <w:szCs w:val="24"/>
          <w:lang w:eastAsia="pl-PL"/>
        </w:rPr>
        <w:t>crescut</w:t>
      </w:r>
      <w:proofErr w:type="spellEnd"/>
      <w:r w:rsidR="00A175A0" w:rsidRPr="00CC28EC">
        <w:rPr>
          <w:sz w:val="24"/>
          <w:szCs w:val="24"/>
          <w:lang w:eastAsia="pl-PL"/>
        </w:rPr>
        <w:t xml:space="preserve"> cu </w:t>
      </w:r>
      <w:proofErr w:type="spellStart"/>
      <w:r w:rsidR="00A175A0" w:rsidRPr="00CC28EC">
        <w:rPr>
          <w:sz w:val="24"/>
          <w:szCs w:val="24"/>
          <w:lang w:eastAsia="pl-PL"/>
        </w:rPr>
        <w:t>peste</w:t>
      </w:r>
      <w:proofErr w:type="spellEnd"/>
      <w:r w:rsidR="00A175A0" w:rsidRPr="00CC28EC">
        <w:rPr>
          <w:sz w:val="24"/>
          <w:szCs w:val="24"/>
          <w:lang w:eastAsia="pl-PL"/>
        </w:rPr>
        <w:t xml:space="preserve"> 33%.</w:t>
      </w:r>
      <w:r w:rsidR="008D749B" w:rsidRPr="00CC28EC">
        <w:rPr>
          <w:sz w:val="24"/>
          <w:szCs w:val="24"/>
          <w:lang w:eastAsia="pl-PL"/>
        </w:rPr>
        <w:t xml:space="preserve"> </w:t>
      </w:r>
      <w:proofErr w:type="spellStart"/>
      <w:r w:rsidR="008D749B" w:rsidRPr="00CC28EC">
        <w:rPr>
          <w:sz w:val="24"/>
          <w:szCs w:val="24"/>
          <w:lang w:eastAsia="pl-PL"/>
        </w:rPr>
        <w:t>Același</w:t>
      </w:r>
      <w:proofErr w:type="spellEnd"/>
      <w:r w:rsidR="008D749B" w:rsidRPr="00CC28EC">
        <w:rPr>
          <w:sz w:val="24"/>
          <w:szCs w:val="24"/>
          <w:lang w:eastAsia="pl-PL"/>
        </w:rPr>
        <w:t xml:space="preserve"> trend „</w:t>
      </w:r>
      <w:proofErr w:type="spellStart"/>
      <w:r w:rsidR="008D749B" w:rsidRPr="00CC28EC">
        <w:rPr>
          <w:i/>
          <w:iCs/>
          <w:sz w:val="24"/>
          <w:szCs w:val="24"/>
          <w:lang w:eastAsia="pl-PL"/>
        </w:rPr>
        <w:t>amețitor</w:t>
      </w:r>
      <w:proofErr w:type="spellEnd"/>
      <w:r w:rsidR="008D749B" w:rsidRPr="00CC28EC">
        <w:rPr>
          <w:sz w:val="24"/>
          <w:szCs w:val="24"/>
          <w:lang w:eastAsia="pl-PL"/>
        </w:rPr>
        <w:t xml:space="preserve">” se </w:t>
      </w:r>
      <w:proofErr w:type="spellStart"/>
      <w:r w:rsidR="008D749B" w:rsidRPr="00CC28EC">
        <w:rPr>
          <w:sz w:val="24"/>
          <w:szCs w:val="24"/>
          <w:lang w:eastAsia="pl-PL"/>
        </w:rPr>
        <w:t>menține</w:t>
      </w:r>
      <w:proofErr w:type="spellEnd"/>
      <w:r w:rsidR="008D749B" w:rsidRPr="00CC28EC">
        <w:rPr>
          <w:sz w:val="24"/>
          <w:szCs w:val="24"/>
          <w:lang w:eastAsia="pl-PL"/>
        </w:rPr>
        <w:t xml:space="preserve"> </w:t>
      </w:r>
      <w:proofErr w:type="spellStart"/>
      <w:r w:rsidR="008D749B" w:rsidRPr="00CC28EC">
        <w:rPr>
          <w:sz w:val="24"/>
          <w:szCs w:val="24"/>
          <w:lang w:eastAsia="pl-PL"/>
        </w:rPr>
        <w:t>și</w:t>
      </w:r>
      <w:proofErr w:type="spellEnd"/>
      <w:r w:rsidR="008D749B" w:rsidRPr="00CC28EC">
        <w:rPr>
          <w:sz w:val="24"/>
          <w:szCs w:val="24"/>
          <w:lang w:eastAsia="pl-PL"/>
        </w:rPr>
        <w:t xml:space="preserve"> la </w:t>
      </w:r>
      <w:proofErr w:type="spellStart"/>
      <w:r w:rsidR="008D749B" w:rsidRPr="00CC28EC">
        <w:rPr>
          <w:sz w:val="24"/>
          <w:szCs w:val="24"/>
          <w:lang w:eastAsia="pl-PL"/>
        </w:rPr>
        <w:t>jumătatea</w:t>
      </w:r>
      <w:proofErr w:type="spellEnd"/>
      <w:r w:rsidR="008D749B" w:rsidRPr="00CC28EC">
        <w:rPr>
          <w:sz w:val="24"/>
          <w:szCs w:val="24"/>
          <w:lang w:eastAsia="pl-PL"/>
        </w:rPr>
        <w:t xml:space="preserve"> </w:t>
      </w:r>
      <w:proofErr w:type="spellStart"/>
      <w:r w:rsidR="008D749B" w:rsidRPr="00CC28EC">
        <w:rPr>
          <w:sz w:val="24"/>
          <w:szCs w:val="24"/>
          <w:lang w:eastAsia="pl-PL"/>
        </w:rPr>
        <w:t>anului</w:t>
      </w:r>
      <w:proofErr w:type="spellEnd"/>
      <w:r w:rsidR="008D749B" w:rsidRPr="00CC28EC">
        <w:rPr>
          <w:sz w:val="24"/>
          <w:szCs w:val="24"/>
          <w:lang w:eastAsia="pl-PL"/>
        </w:rPr>
        <w:t xml:space="preserve"> 2021.</w:t>
      </w:r>
    </w:p>
    <w:p w14:paraId="69CFD74A" w14:textId="6B07B03C" w:rsidR="002C7FD2" w:rsidRPr="00CC28EC" w:rsidRDefault="008D749B" w:rsidP="008D749B">
      <w:pPr>
        <w:ind w:firstLine="708"/>
        <w:jc w:val="both"/>
        <w:rPr>
          <w:sz w:val="24"/>
          <w:szCs w:val="24"/>
          <w:lang w:eastAsia="pl-PL"/>
        </w:rPr>
      </w:pPr>
      <w:proofErr w:type="spellStart"/>
      <w:r w:rsidRPr="00CC28EC">
        <w:rPr>
          <w:sz w:val="24"/>
          <w:szCs w:val="24"/>
          <w:lang w:eastAsia="pl-PL"/>
        </w:rPr>
        <w:t>Dacă</w:t>
      </w:r>
      <w:proofErr w:type="spellEnd"/>
      <w:r w:rsidRPr="00CC28EC">
        <w:rPr>
          <w:sz w:val="24"/>
          <w:szCs w:val="24"/>
          <w:lang w:eastAsia="pl-PL"/>
        </w:rPr>
        <w:t xml:space="preserve"> </w:t>
      </w:r>
      <w:proofErr w:type="spellStart"/>
      <w:r w:rsidRPr="00CC28EC">
        <w:rPr>
          <w:sz w:val="24"/>
          <w:szCs w:val="24"/>
          <w:lang w:eastAsia="pl-PL"/>
        </w:rPr>
        <w:t>vorbim</w:t>
      </w:r>
      <w:proofErr w:type="spellEnd"/>
      <w:r w:rsidRPr="00CC28EC">
        <w:rPr>
          <w:sz w:val="24"/>
          <w:szCs w:val="24"/>
          <w:lang w:eastAsia="pl-PL"/>
        </w:rPr>
        <w:t xml:space="preserve"> de </w:t>
      </w:r>
      <w:proofErr w:type="spellStart"/>
      <w:r w:rsidRPr="00CC28EC">
        <w:rPr>
          <w:sz w:val="24"/>
          <w:szCs w:val="24"/>
          <w:lang w:eastAsia="pl-PL"/>
        </w:rPr>
        <w:t>ponderea</w:t>
      </w:r>
      <w:proofErr w:type="spellEnd"/>
      <w:r w:rsidRPr="00CC28EC">
        <w:rPr>
          <w:sz w:val="24"/>
          <w:szCs w:val="24"/>
          <w:lang w:eastAsia="pl-PL"/>
        </w:rPr>
        <w:t xml:space="preserve"> </w:t>
      </w:r>
      <w:proofErr w:type="spellStart"/>
      <w:r w:rsidRPr="00CC28EC">
        <w:rPr>
          <w:sz w:val="24"/>
          <w:szCs w:val="24"/>
          <w:lang w:eastAsia="pl-PL"/>
        </w:rPr>
        <w:t>datorie</w:t>
      </w:r>
      <w:proofErr w:type="spellEnd"/>
      <w:r w:rsidRPr="00CC28EC">
        <w:rPr>
          <w:sz w:val="24"/>
          <w:szCs w:val="24"/>
          <w:lang w:eastAsia="pl-PL"/>
        </w:rPr>
        <w:t xml:space="preserve"> </w:t>
      </w:r>
      <w:proofErr w:type="spellStart"/>
      <w:r w:rsidRPr="00CC28EC">
        <w:rPr>
          <w:sz w:val="24"/>
          <w:szCs w:val="24"/>
          <w:lang w:eastAsia="pl-PL"/>
        </w:rPr>
        <w:t>publice</w:t>
      </w:r>
      <w:proofErr w:type="spellEnd"/>
      <w:r w:rsidRPr="00CC28EC">
        <w:rPr>
          <w:sz w:val="24"/>
          <w:szCs w:val="24"/>
          <w:lang w:eastAsia="pl-PL"/>
        </w:rPr>
        <w:t xml:space="preserve"> </w:t>
      </w:r>
      <w:proofErr w:type="spellStart"/>
      <w:r w:rsidRPr="00CC28EC">
        <w:rPr>
          <w:sz w:val="24"/>
          <w:szCs w:val="24"/>
          <w:lang w:eastAsia="pl-PL"/>
        </w:rPr>
        <w:t>în</w:t>
      </w:r>
      <w:proofErr w:type="spellEnd"/>
      <w:r w:rsidRPr="00CC28EC">
        <w:rPr>
          <w:sz w:val="24"/>
          <w:szCs w:val="24"/>
          <w:lang w:eastAsia="pl-PL"/>
        </w:rPr>
        <w:t xml:space="preserve"> PIB, </w:t>
      </w:r>
      <w:proofErr w:type="spellStart"/>
      <w:r w:rsidRPr="00CC28EC">
        <w:rPr>
          <w:sz w:val="24"/>
          <w:szCs w:val="24"/>
          <w:lang w:eastAsia="pl-PL"/>
        </w:rPr>
        <w:t>const</w:t>
      </w:r>
      <w:r w:rsidR="00D74782" w:rsidRPr="00CC28EC">
        <w:rPr>
          <w:sz w:val="24"/>
          <w:szCs w:val="24"/>
          <w:lang w:eastAsia="pl-PL"/>
        </w:rPr>
        <w:t>at</w:t>
      </w:r>
      <w:r w:rsidRPr="00CC28EC">
        <w:rPr>
          <w:sz w:val="24"/>
          <w:szCs w:val="24"/>
          <w:lang w:eastAsia="pl-PL"/>
        </w:rPr>
        <w:t>ăm</w:t>
      </w:r>
      <w:proofErr w:type="spellEnd"/>
      <w:r w:rsidRPr="00CC28EC">
        <w:rPr>
          <w:sz w:val="24"/>
          <w:szCs w:val="24"/>
          <w:lang w:eastAsia="pl-PL"/>
        </w:rPr>
        <w:t xml:space="preserve"> </w:t>
      </w:r>
      <w:proofErr w:type="spellStart"/>
      <w:r w:rsidRPr="00CC28EC">
        <w:rPr>
          <w:sz w:val="24"/>
          <w:szCs w:val="24"/>
          <w:lang w:eastAsia="pl-PL"/>
        </w:rPr>
        <w:t>că</w:t>
      </w:r>
      <w:proofErr w:type="spellEnd"/>
      <w:r w:rsidRPr="00CC28EC">
        <w:rPr>
          <w:sz w:val="24"/>
          <w:szCs w:val="24"/>
          <w:lang w:eastAsia="pl-PL"/>
        </w:rPr>
        <w:t xml:space="preserve"> </w:t>
      </w:r>
      <w:proofErr w:type="spellStart"/>
      <w:r w:rsidRPr="00CC28EC">
        <w:rPr>
          <w:sz w:val="24"/>
          <w:szCs w:val="24"/>
          <w:lang w:eastAsia="pl-PL"/>
        </w:rPr>
        <w:t>acesata</w:t>
      </w:r>
      <w:proofErr w:type="spellEnd"/>
      <w:r w:rsidRPr="00CC28EC">
        <w:rPr>
          <w:sz w:val="24"/>
          <w:szCs w:val="24"/>
          <w:lang w:eastAsia="pl-PL"/>
        </w:rPr>
        <w:t xml:space="preserve"> </w:t>
      </w:r>
      <w:proofErr w:type="gramStart"/>
      <w:r w:rsidRPr="00CC28EC">
        <w:rPr>
          <w:sz w:val="24"/>
          <w:szCs w:val="24"/>
          <w:lang w:eastAsia="pl-PL"/>
        </w:rPr>
        <w:t>a</w:t>
      </w:r>
      <w:proofErr w:type="gramEnd"/>
      <w:r w:rsidRPr="00CC28EC">
        <w:rPr>
          <w:sz w:val="24"/>
          <w:szCs w:val="24"/>
          <w:lang w:eastAsia="pl-PL"/>
        </w:rPr>
        <w:t xml:space="preserve"> </w:t>
      </w:r>
      <w:proofErr w:type="spellStart"/>
      <w:r w:rsidRPr="00CC28EC">
        <w:rPr>
          <w:sz w:val="24"/>
          <w:szCs w:val="24"/>
          <w:lang w:eastAsia="pl-PL"/>
        </w:rPr>
        <w:t>ajuns</w:t>
      </w:r>
      <w:proofErr w:type="spellEnd"/>
      <w:r w:rsidRPr="00CC28EC">
        <w:rPr>
          <w:sz w:val="24"/>
          <w:szCs w:val="24"/>
          <w:lang w:eastAsia="pl-PL"/>
        </w:rPr>
        <w:t xml:space="preserve"> la circa 50% de la 37,8% </w:t>
      </w:r>
      <w:proofErr w:type="spellStart"/>
      <w:r w:rsidRPr="00CC28EC">
        <w:rPr>
          <w:sz w:val="24"/>
          <w:szCs w:val="24"/>
          <w:lang w:eastAsia="pl-PL"/>
        </w:rPr>
        <w:t>acum</w:t>
      </w:r>
      <w:proofErr w:type="spellEnd"/>
      <w:r w:rsidRPr="00CC28EC">
        <w:rPr>
          <w:sz w:val="24"/>
          <w:szCs w:val="24"/>
          <w:lang w:eastAsia="pl-PL"/>
        </w:rPr>
        <w:t xml:space="preserve"> </w:t>
      </w:r>
      <w:proofErr w:type="spellStart"/>
      <w:r w:rsidRPr="00CC28EC">
        <w:rPr>
          <w:sz w:val="24"/>
          <w:szCs w:val="24"/>
          <w:lang w:eastAsia="pl-PL"/>
        </w:rPr>
        <w:t>cinci</w:t>
      </w:r>
      <w:proofErr w:type="spellEnd"/>
      <w:r w:rsidRPr="00CC28EC">
        <w:rPr>
          <w:sz w:val="24"/>
          <w:szCs w:val="24"/>
          <w:lang w:eastAsia="pl-PL"/>
        </w:rPr>
        <w:t xml:space="preserve"> ani.</w:t>
      </w:r>
      <w:r w:rsidR="00B27D71" w:rsidRPr="00CC28EC">
        <w:rPr>
          <w:sz w:val="24"/>
          <w:szCs w:val="24"/>
          <w:lang w:eastAsia="pl-PL"/>
        </w:rPr>
        <w:t xml:space="preserve"> </w:t>
      </w:r>
      <w:proofErr w:type="spellStart"/>
      <w:r w:rsidRPr="00CC28EC">
        <w:rPr>
          <w:sz w:val="24"/>
          <w:szCs w:val="24"/>
          <w:lang w:eastAsia="pl-PL"/>
        </w:rPr>
        <w:t>Aici</w:t>
      </w:r>
      <w:proofErr w:type="spellEnd"/>
      <w:r w:rsidR="00B27D71" w:rsidRPr="00CC28EC">
        <w:rPr>
          <w:sz w:val="24"/>
          <w:szCs w:val="24"/>
          <w:lang w:eastAsia="pl-PL"/>
        </w:rPr>
        <w:t xml:space="preserve"> </w:t>
      </w:r>
      <w:proofErr w:type="spellStart"/>
      <w:r w:rsidRPr="00CC28EC">
        <w:rPr>
          <w:sz w:val="24"/>
          <w:szCs w:val="24"/>
          <w:lang w:eastAsia="pl-PL"/>
        </w:rPr>
        <w:t>trebuie</w:t>
      </w:r>
      <w:proofErr w:type="spellEnd"/>
      <w:r w:rsidRPr="00CC28EC">
        <w:rPr>
          <w:sz w:val="24"/>
          <w:szCs w:val="24"/>
          <w:lang w:eastAsia="pl-PL"/>
        </w:rPr>
        <w:t xml:space="preserve"> </w:t>
      </w:r>
      <w:proofErr w:type="spellStart"/>
      <w:r w:rsidRPr="00CC28EC">
        <w:rPr>
          <w:sz w:val="24"/>
          <w:szCs w:val="24"/>
          <w:lang w:eastAsia="pl-PL"/>
        </w:rPr>
        <w:t>să</w:t>
      </w:r>
      <w:proofErr w:type="spellEnd"/>
      <w:r w:rsidRPr="00CC28EC">
        <w:rPr>
          <w:sz w:val="24"/>
          <w:szCs w:val="24"/>
          <w:lang w:eastAsia="pl-PL"/>
        </w:rPr>
        <w:t xml:space="preserve"> </w:t>
      </w:r>
      <w:proofErr w:type="spellStart"/>
      <w:r w:rsidRPr="00CC28EC">
        <w:rPr>
          <w:sz w:val="24"/>
          <w:szCs w:val="24"/>
          <w:lang w:eastAsia="pl-PL"/>
        </w:rPr>
        <w:t>arătăm</w:t>
      </w:r>
      <w:proofErr w:type="spellEnd"/>
      <w:r w:rsidRPr="00CC28EC">
        <w:rPr>
          <w:sz w:val="24"/>
          <w:szCs w:val="24"/>
          <w:lang w:eastAsia="pl-PL"/>
        </w:rPr>
        <w:t xml:space="preserve"> </w:t>
      </w:r>
      <w:proofErr w:type="spellStart"/>
      <w:r w:rsidR="00B27D71" w:rsidRPr="00CC28EC">
        <w:rPr>
          <w:sz w:val="24"/>
          <w:szCs w:val="24"/>
          <w:lang w:eastAsia="pl-PL"/>
        </w:rPr>
        <w:t>faptul</w:t>
      </w:r>
      <w:proofErr w:type="spellEnd"/>
      <w:r w:rsidR="00B27D71" w:rsidRPr="00CC28EC">
        <w:rPr>
          <w:sz w:val="24"/>
          <w:szCs w:val="24"/>
          <w:lang w:eastAsia="pl-PL"/>
        </w:rPr>
        <w:t xml:space="preserve"> </w:t>
      </w:r>
      <w:proofErr w:type="spellStart"/>
      <w:r w:rsidRPr="00CC28EC">
        <w:rPr>
          <w:sz w:val="24"/>
          <w:szCs w:val="24"/>
          <w:lang w:eastAsia="pl-PL"/>
        </w:rPr>
        <w:t>că</w:t>
      </w:r>
      <w:proofErr w:type="spellEnd"/>
      <w:r w:rsidRPr="00CC28EC">
        <w:rPr>
          <w:sz w:val="24"/>
          <w:szCs w:val="24"/>
          <w:lang w:eastAsia="pl-PL"/>
        </w:rPr>
        <w:t xml:space="preserve"> PIB a </w:t>
      </w:r>
      <w:proofErr w:type="spellStart"/>
      <w:r w:rsidRPr="00CC28EC">
        <w:rPr>
          <w:sz w:val="24"/>
          <w:szCs w:val="24"/>
          <w:lang w:eastAsia="pl-PL"/>
        </w:rPr>
        <w:t>suferit</w:t>
      </w:r>
      <w:proofErr w:type="spellEnd"/>
      <w:r w:rsidRPr="00CC28EC">
        <w:rPr>
          <w:sz w:val="24"/>
          <w:szCs w:val="24"/>
          <w:lang w:eastAsia="pl-PL"/>
        </w:rPr>
        <w:t xml:space="preserve"> o </w:t>
      </w:r>
      <w:proofErr w:type="spellStart"/>
      <w:r w:rsidRPr="00CC28EC">
        <w:rPr>
          <w:sz w:val="24"/>
          <w:szCs w:val="24"/>
          <w:lang w:eastAsia="pl-PL"/>
        </w:rPr>
        <w:t>contracție</w:t>
      </w:r>
      <w:proofErr w:type="spellEnd"/>
      <w:r w:rsidRPr="00CC28EC">
        <w:rPr>
          <w:sz w:val="24"/>
          <w:szCs w:val="24"/>
          <w:lang w:eastAsia="pl-PL"/>
        </w:rPr>
        <w:t xml:space="preserve"> </w:t>
      </w:r>
      <w:proofErr w:type="spellStart"/>
      <w:r w:rsidRPr="00CC28EC">
        <w:rPr>
          <w:sz w:val="24"/>
          <w:szCs w:val="24"/>
          <w:lang w:eastAsia="pl-PL"/>
        </w:rPr>
        <w:t>în</w:t>
      </w:r>
      <w:proofErr w:type="spellEnd"/>
      <w:r w:rsidRPr="00CC28EC">
        <w:rPr>
          <w:sz w:val="24"/>
          <w:szCs w:val="24"/>
          <w:lang w:eastAsia="pl-PL"/>
        </w:rPr>
        <w:t xml:space="preserve"> </w:t>
      </w:r>
      <w:proofErr w:type="spellStart"/>
      <w:r w:rsidRPr="00CC28EC">
        <w:rPr>
          <w:sz w:val="24"/>
          <w:szCs w:val="24"/>
          <w:lang w:eastAsia="pl-PL"/>
        </w:rPr>
        <w:t>anii</w:t>
      </w:r>
      <w:proofErr w:type="spellEnd"/>
      <w:r w:rsidRPr="00CC28EC">
        <w:rPr>
          <w:sz w:val="24"/>
          <w:szCs w:val="24"/>
          <w:lang w:eastAsia="pl-PL"/>
        </w:rPr>
        <w:t xml:space="preserve"> 2019 </w:t>
      </w:r>
      <w:proofErr w:type="spellStart"/>
      <w:r w:rsidRPr="00CC28EC">
        <w:rPr>
          <w:sz w:val="24"/>
          <w:szCs w:val="24"/>
          <w:lang w:eastAsia="pl-PL"/>
        </w:rPr>
        <w:t>și</w:t>
      </w:r>
      <w:proofErr w:type="spellEnd"/>
      <w:r w:rsidRPr="00CC28EC">
        <w:rPr>
          <w:sz w:val="24"/>
          <w:szCs w:val="24"/>
          <w:lang w:eastAsia="pl-PL"/>
        </w:rPr>
        <w:t xml:space="preserve"> 2020 </w:t>
      </w:r>
      <w:proofErr w:type="spellStart"/>
      <w:r w:rsidRPr="00CC28EC">
        <w:rPr>
          <w:sz w:val="24"/>
          <w:szCs w:val="24"/>
          <w:lang w:eastAsia="pl-PL"/>
        </w:rPr>
        <w:t>datorită</w:t>
      </w:r>
      <w:proofErr w:type="spellEnd"/>
      <w:r w:rsidRPr="00CC28EC">
        <w:rPr>
          <w:sz w:val="24"/>
          <w:szCs w:val="24"/>
          <w:lang w:eastAsia="pl-PL"/>
        </w:rPr>
        <w:t xml:space="preserve"> </w:t>
      </w:r>
      <w:proofErr w:type="spellStart"/>
      <w:r w:rsidRPr="00CC28EC">
        <w:rPr>
          <w:sz w:val="24"/>
          <w:szCs w:val="24"/>
          <w:lang w:eastAsia="pl-PL"/>
        </w:rPr>
        <w:t>pandemiei</w:t>
      </w:r>
      <w:proofErr w:type="spellEnd"/>
      <w:r w:rsidRPr="00CC28EC">
        <w:rPr>
          <w:sz w:val="24"/>
          <w:szCs w:val="24"/>
          <w:lang w:eastAsia="pl-PL"/>
        </w:rPr>
        <w:t xml:space="preserve"> Covid-19.</w:t>
      </w:r>
      <w:r w:rsidR="00B27D71" w:rsidRPr="00CC28EC">
        <w:rPr>
          <w:sz w:val="24"/>
          <w:szCs w:val="24"/>
          <w:lang w:eastAsia="pl-PL"/>
        </w:rPr>
        <w:t xml:space="preserve"> </w:t>
      </w:r>
      <w:proofErr w:type="spellStart"/>
      <w:r w:rsidRPr="00CC28EC">
        <w:rPr>
          <w:sz w:val="24"/>
          <w:szCs w:val="24"/>
          <w:lang w:eastAsia="pl-PL"/>
        </w:rPr>
        <w:t>Totuși</w:t>
      </w:r>
      <w:proofErr w:type="spellEnd"/>
      <w:r w:rsidRPr="00CC28EC">
        <w:rPr>
          <w:sz w:val="24"/>
          <w:szCs w:val="24"/>
          <w:lang w:eastAsia="pl-PL"/>
        </w:rPr>
        <w:t>,</w:t>
      </w:r>
      <w:r w:rsidR="00B27D71" w:rsidRPr="00CC28EC">
        <w:rPr>
          <w:sz w:val="24"/>
          <w:szCs w:val="24"/>
          <w:lang w:eastAsia="pl-PL"/>
        </w:rPr>
        <w:t xml:space="preserve"> </w:t>
      </w:r>
      <w:r w:rsidRPr="00CC28EC">
        <w:rPr>
          <w:sz w:val="24"/>
          <w:szCs w:val="24"/>
          <w:lang w:eastAsia="pl-PL"/>
        </w:rPr>
        <w:t xml:space="preserve">nu </w:t>
      </w:r>
      <w:proofErr w:type="spellStart"/>
      <w:r w:rsidRPr="00CC28EC">
        <w:rPr>
          <w:sz w:val="24"/>
          <w:szCs w:val="24"/>
          <w:lang w:eastAsia="pl-PL"/>
        </w:rPr>
        <w:t>putem</w:t>
      </w:r>
      <w:proofErr w:type="spellEnd"/>
      <w:r w:rsidRPr="00CC28EC">
        <w:rPr>
          <w:sz w:val="24"/>
          <w:szCs w:val="24"/>
          <w:lang w:eastAsia="pl-PL"/>
        </w:rPr>
        <w:t xml:space="preserve"> </w:t>
      </w:r>
      <w:proofErr w:type="spellStart"/>
      <w:r w:rsidRPr="00CC28EC">
        <w:rPr>
          <w:sz w:val="24"/>
          <w:szCs w:val="24"/>
          <w:lang w:eastAsia="pl-PL"/>
        </w:rPr>
        <w:t>să</w:t>
      </w:r>
      <w:proofErr w:type="spellEnd"/>
      <w:r w:rsidRPr="00CC28EC">
        <w:rPr>
          <w:sz w:val="24"/>
          <w:szCs w:val="24"/>
          <w:lang w:eastAsia="pl-PL"/>
        </w:rPr>
        <w:t xml:space="preserve"> </w:t>
      </w:r>
      <w:r w:rsidR="00D74782" w:rsidRPr="00CC28EC">
        <w:rPr>
          <w:sz w:val="24"/>
          <w:szCs w:val="24"/>
          <w:lang w:eastAsia="pl-PL"/>
        </w:rPr>
        <w:t xml:space="preserve">nu </w:t>
      </w:r>
      <w:proofErr w:type="spellStart"/>
      <w:r w:rsidR="00B27D71" w:rsidRPr="00CC28EC">
        <w:rPr>
          <w:sz w:val="24"/>
          <w:szCs w:val="24"/>
          <w:lang w:eastAsia="pl-PL"/>
        </w:rPr>
        <w:t>constatăm</w:t>
      </w:r>
      <w:proofErr w:type="spellEnd"/>
      <w:r w:rsidRPr="00CC28EC">
        <w:rPr>
          <w:sz w:val="24"/>
          <w:szCs w:val="24"/>
          <w:lang w:eastAsia="pl-PL"/>
        </w:rPr>
        <w:t xml:space="preserve"> </w:t>
      </w:r>
      <w:proofErr w:type="spellStart"/>
      <w:r w:rsidRPr="00CC28EC">
        <w:rPr>
          <w:sz w:val="24"/>
          <w:szCs w:val="24"/>
          <w:lang w:eastAsia="pl-PL"/>
        </w:rPr>
        <w:t>fa</w:t>
      </w:r>
      <w:r w:rsidR="00B27D71" w:rsidRPr="00CC28EC">
        <w:rPr>
          <w:sz w:val="24"/>
          <w:szCs w:val="24"/>
          <w:lang w:eastAsia="pl-PL"/>
        </w:rPr>
        <w:t>p</w:t>
      </w:r>
      <w:r w:rsidRPr="00CC28EC">
        <w:rPr>
          <w:sz w:val="24"/>
          <w:szCs w:val="24"/>
          <w:lang w:eastAsia="pl-PL"/>
        </w:rPr>
        <w:t>tul</w:t>
      </w:r>
      <w:proofErr w:type="spellEnd"/>
      <w:r w:rsidRPr="00CC28EC">
        <w:rPr>
          <w:sz w:val="24"/>
          <w:szCs w:val="24"/>
          <w:lang w:eastAsia="pl-PL"/>
        </w:rPr>
        <w:t xml:space="preserve"> </w:t>
      </w:r>
      <w:proofErr w:type="spellStart"/>
      <w:r w:rsidRPr="00CC28EC">
        <w:rPr>
          <w:sz w:val="24"/>
          <w:szCs w:val="24"/>
          <w:lang w:eastAsia="pl-PL"/>
        </w:rPr>
        <w:t>că</w:t>
      </w:r>
      <w:proofErr w:type="spellEnd"/>
      <w:r w:rsidRPr="00CC28EC">
        <w:rPr>
          <w:sz w:val="24"/>
          <w:szCs w:val="24"/>
          <w:lang w:eastAsia="pl-PL"/>
        </w:rPr>
        <w:t xml:space="preserve"> ne </w:t>
      </w:r>
      <w:proofErr w:type="spellStart"/>
      <w:r w:rsidRPr="00CC28EC">
        <w:rPr>
          <w:sz w:val="24"/>
          <w:szCs w:val="24"/>
          <w:lang w:eastAsia="pl-PL"/>
        </w:rPr>
        <w:t>apropiem</w:t>
      </w:r>
      <w:proofErr w:type="spellEnd"/>
      <w:r w:rsidRPr="00CC28EC">
        <w:rPr>
          <w:sz w:val="24"/>
          <w:szCs w:val="24"/>
          <w:lang w:eastAsia="pl-PL"/>
        </w:rPr>
        <w:t xml:space="preserve"> </w:t>
      </w:r>
      <w:proofErr w:type="spellStart"/>
      <w:r w:rsidRPr="00CC28EC">
        <w:rPr>
          <w:sz w:val="24"/>
          <w:szCs w:val="24"/>
          <w:lang w:eastAsia="pl-PL"/>
        </w:rPr>
        <w:t>periculos</w:t>
      </w:r>
      <w:proofErr w:type="spellEnd"/>
      <w:r w:rsidRPr="00CC28EC">
        <w:rPr>
          <w:sz w:val="24"/>
          <w:szCs w:val="24"/>
          <w:lang w:eastAsia="pl-PL"/>
        </w:rPr>
        <w:t xml:space="preserve"> de </w:t>
      </w:r>
      <w:proofErr w:type="spellStart"/>
      <w:r w:rsidRPr="00CC28EC">
        <w:rPr>
          <w:sz w:val="24"/>
          <w:szCs w:val="24"/>
          <w:lang w:eastAsia="pl-PL"/>
        </w:rPr>
        <w:t>limita</w:t>
      </w:r>
      <w:proofErr w:type="spellEnd"/>
      <w:r w:rsidRPr="00CC28EC">
        <w:rPr>
          <w:sz w:val="24"/>
          <w:szCs w:val="24"/>
          <w:lang w:eastAsia="pl-PL"/>
        </w:rPr>
        <w:t xml:space="preserve"> de 60% </w:t>
      </w:r>
      <w:proofErr w:type="spellStart"/>
      <w:r w:rsidRPr="00CC28EC">
        <w:rPr>
          <w:sz w:val="24"/>
          <w:szCs w:val="24"/>
          <w:lang w:eastAsia="pl-PL"/>
        </w:rPr>
        <w:t>stabilită</w:t>
      </w:r>
      <w:proofErr w:type="spellEnd"/>
      <w:r w:rsidRPr="00CC28EC">
        <w:rPr>
          <w:sz w:val="24"/>
          <w:szCs w:val="24"/>
          <w:lang w:eastAsia="pl-PL"/>
        </w:rPr>
        <w:t xml:space="preserve"> de </w:t>
      </w:r>
      <w:proofErr w:type="spellStart"/>
      <w:r w:rsidRPr="00CC28EC">
        <w:rPr>
          <w:sz w:val="24"/>
          <w:szCs w:val="24"/>
          <w:lang w:eastAsia="pl-PL"/>
        </w:rPr>
        <w:t>regulile</w:t>
      </w:r>
      <w:proofErr w:type="spellEnd"/>
      <w:r w:rsidRPr="00CC28EC">
        <w:rPr>
          <w:sz w:val="24"/>
          <w:szCs w:val="24"/>
          <w:lang w:eastAsia="pl-PL"/>
        </w:rPr>
        <w:t xml:space="preserve"> UE </w:t>
      </w:r>
      <w:proofErr w:type="spellStart"/>
      <w:r w:rsidRPr="00CC28EC">
        <w:rPr>
          <w:sz w:val="24"/>
          <w:szCs w:val="24"/>
          <w:lang w:eastAsia="pl-PL"/>
        </w:rPr>
        <w:t>prezentate</w:t>
      </w:r>
      <w:proofErr w:type="spellEnd"/>
      <w:r w:rsidRPr="00CC28EC">
        <w:rPr>
          <w:sz w:val="24"/>
          <w:szCs w:val="24"/>
          <w:lang w:eastAsia="pl-PL"/>
        </w:rPr>
        <w:t xml:space="preserve"> </w:t>
      </w:r>
      <w:proofErr w:type="spellStart"/>
      <w:r w:rsidRPr="00CC28EC">
        <w:rPr>
          <w:sz w:val="24"/>
          <w:szCs w:val="24"/>
          <w:lang w:eastAsia="pl-PL"/>
        </w:rPr>
        <w:t>mai</w:t>
      </w:r>
      <w:proofErr w:type="spellEnd"/>
      <w:r w:rsidRPr="00CC28EC">
        <w:rPr>
          <w:sz w:val="24"/>
          <w:szCs w:val="24"/>
          <w:lang w:eastAsia="pl-PL"/>
        </w:rPr>
        <w:t xml:space="preserve"> sus.</w:t>
      </w:r>
    </w:p>
    <w:p w14:paraId="65832D83" w14:textId="77777777" w:rsidR="002C7FD2" w:rsidRPr="00CC28EC" w:rsidRDefault="002C7FD2" w:rsidP="002C7FD2">
      <w:pPr>
        <w:ind w:firstLine="708"/>
        <w:jc w:val="both"/>
        <w:rPr>
          <w:sz w:val="24"/>
          <w:szCs w:val="24"/>
          <w:lang w:eastAsia="pl-PL"/>
        </w:rPr>
      </w:pPr>
    </w:p>
    <w:p w14:paraId="389FFB64" w14:textId="0B3FCED0" w:rsidR="00D74782" w:rsidRPr="00CC28EC" w:rsidRDefault="00D74782" w:rsidP="00D74782">
      <w:pPr>
        <w:ind w:firstLine="708"/>
        <w:jc w:val="center"/>
        <w:rPr>
          <w:b/>
          <w:bCs/>
          <w:lang w:eastAsia="pl-PL"/>
        </w:rPr>
      </w:pPr>
      <w:bookmarkStart w:id="10" w:name="_Hlk85381347"/>
      <w:r w:rsidRPr="00CC28EC">
        <w:rPr>
          <w:b/>
          <w:bCs/>
          <w:lang w:eastAsia="pl-PL"/>
        </w:rPr>
        <w:t>Table 2. The evolution of Romania's public debt structure in the period 2015 -June 2021</w:t>
      </w:r>
    </w:p>
    <w:p w14:paraId="6C7C0E9B" w14:textId="45921F83" w:rsidR="00D74782" w:rsidRPr="00CC28EC" w:rsidRDefault="000E5A4C" w:rsidP="000E5A4C">
      <w:pPr>
        <w:tabs>
          <w:tab w:val="left" w:pos="9270"/>
        </w:tabs>
        <w:ind w:right="391" w:firstLine="708"/>
        <w:jc w:val="right"/>
        <w:rPr>
          <w:lang w:eastAsia="pl-PL"/>
        </w:rPr>
      </w:pPr>
      <w:proofErr w:type="spellStart"/>
      <w:r w:rsidRPr="00CC28EC">
        <w:rPr>
          <w:lang w:eastAsia="pl-PL"/>
        </w:rPr>
        <w:t>md.Ron</w:t>
      </w:r>
      <w:proofErr w:type="spellEnd"/>
      <w:r w:rsidR="00D74782" w:rsidRPr="00CC28EC">
        <w:rPr>
          <w:lang w:eastAsia="pl-PL"/>
        </w:rPr>
        <w:t xml:space="preserve">                                                           </w:t>
      </w:r>
    </w:p>
    <w:tbl>
      <w:tblPr>
        <w:tblStyle w:val="TableGrid"/>
        <w:tblW w:w="8985" w:type="dxa"/>
        <w:jc w:val="center"/>
        <w:tblLayout w:type="fixed"/>
        <w:tblLook w:val="04A0" w:firstRow="1" w:lastRow="0" w:firstColumn="1" w:lastColumn="0" w:noHBand="0" w:noVBand="1"/>
      </w:tblPr>
      <w:tblGrid>
        <w:gridCol w:w="3622"/>
        <w:gridCol w:w="810"/>
        <w:gridCol w:w="630"/>
        <w:gridCol w:w="720"/>
        <w:gridCol w:w="900"/>
        <w:gridCol w:w="630"/>
        <w:gridCol w:w="900"/>
        <w:gridCol w:w="773"/>
      </w:tblGrid>
      <w:tr w:rsidR="00CC28EC" w:rsidRPr="00CC28EC" w14:paraId="171AC6E1" w14:textId="77777777" w:rsidTr="00BD091D">
        <w:trPr>
          <w:jc w:val="center"/>
        </w:trPr>
        <w:tc>
          <w:tcPr>
            <w:tcW w:w="3622" w:type="dxa"/>
            <w:shd w:val="clear" w:color="auto" w:fill="AEAAAA" w:themeFill="background2" w:themeFillShade="BF"/>
            <w:vAlign w:val="center"/>
          </w:tcPr>
          <w:p w14:paraId="6E4943FF" w14:textId="77777777" w:rsidR="00D74782" w:rsidRPr="00CC28EC" w:rsidRDefault="00D74782" w:rsidP="009E472C">
            <w:pPr>
              <w:jc w:val="center"/>
              <w:rPr>
                <w:b/>
                <w:bCs/>
                <w:lang w:val="pl-PL" w:eastAsia="pl-PL"/>
              </w:rPr>
            </w:pPr>
            <w:r w:rsidRPr="00CC28EC">
              <w:rPr>
                <w:b/>
                <w:bCs/>
                <w:lang w:val="pl-PL" w:eastAsia="pl-PL"/>
              </w:rPr>
              <w:t>Explanations/Year</w:t>
            </w:r>
          </w:p>
        </w:tc>
        <w:tc>
          <w:tcPr>
            <w:tcW w:w="810" w:type="dxa"/>
            <w:shd w:val="clear" w:color="auto" w:fill="AEAAAA" w:themeFill="background2" w:themeFillShade="BF"/>
            <w:vAlign w:val="center"/>
          </w:tcPr>
          <w:p w14:paraId="0BC278DD" w14:textId="77777777" w:rsidR="00D74782" w:rsidRPr="00CC28EC" w:rsidRDefault="00D74782" w:rsidP="009E472C">
            <w:pPr>
              <w:jc w:val="center"/>
              <w:rPr>
                <w:b/>
                <w:bCs/>
                <w:lang w:val="pl-PL" w:eastAsia="pl-PL"/>
              </w:rPr>
            </w:pPr>
            <w:r w:rsidRPr="00CC28EC">
              <w:rPr>
                <w:b/>
                <w:bCs/>
                <w:lang w:val="pl-PL" w:eastAsia="pl-PL"/>
              </w:rPr>
              <w:t>2015</w:t>
            </w:r>
          </w:p>
        </w:tc>
        <w:tc>
          <w:tcPr>
            <w:tcW w:w="630" w:type="dxa"/>
            <w:shd w:val="clear" w:color="auto" w:fill="AEAAAA" w:themeFill="background2" w:themeFillShade="BF"/>
            <w:vAlign w:val="center"/>
          </w:tcPr>
          <w:p w14:paraId="3EA36710" w14:textId="77777777" w:rsidR="00D74782" w:rsidRPr="00CC28EC" w:rsidRDefault="00D74782" w:rsidP="009E472C">
            <w:pPr>
              <w:jc w:val="center"/>
              <w:rPr>
                <w:b/>
                <w:bCs/>
                <w:lang w:val="pl-PL" w:eastAsia="pl-PL"/>
              </w:rPr>
            </w:pPr>
            <w:r w:rsidRPr="00CC28EC">
              <w:rPr>
                <w:b/>
                <w:bCs/>
                <w:lang w:val="pl-PL" w:eastAsia="pl-PL"/>
              </w:rPr>
              <w:t>2016</w:t>
            </w:r>
          </w:p>
        </w:tc>
        <w:tc>
          <w:tcPr>
            <w:tcW w:w="720" w:type="dxa"/>
            <w:shd w:val="clear" w:color="auto" w:fill="AEAAAA" w:themeFill="background2" w:themeFillShade="BF"/>
            <w:vAlign w:val="center"/>
          </w:tcPr>
          <w:p w14:paraId="1DB5B42B" w14:textId="77777777" w:rsidR="00D74782" w:rsidRPr="00CC28EC" w:rsidRDefault="00D74782" w:rsidP="009E472C">
            <w:pPr>
              <w:jc w:val="center"/>
              <w:rPr>
                <w:b/>
                <w:bCs/>
                <w:lang w:val="pl-PL" w:eastAsia="pl-PL"/>
              </w:rPr>
            </w:pPr>
            <w:r w:rsidRPr="00CC28EC">
              <w:rPr>
                <w:b/>
                <w:bCs/>
                <w:lang w:val="pl-PL" w:eastAsia="pl-PL"/>
              </w:rPr>
              <w:t>2017</w:t>
            </w:r>
          </w:p>
        </w:tc>
        <w:tc>
          <w:tcPr>
            <w:tcW w:w="900" w:type="dxa"/>
            <w:shd w:val="clear" w:color="auto" w:fill="AEAAAA" w:themeFill="background2" w:themeFillShade="BF"/>
            <w:vAlign w:val="center"/>
          </w:tcPr>
          <w:p w14:paraId="5ECDA9EA" w14:textId="77777777" w:rsidR="00D74782" w:rsidRPr="00CC28EC" w:rsidRDefault="00D74782" w:rsidP="009E472C">
            <w:pPr>
              <w:jc w:val="center"/>
              <w:rPr>
                <w:b/>
                <w:bCs/>
                <w:lang w:val="pl-PL" w:eastAsia="pl-PL"/>
              </w:rPr>
            </w:pPr>
            <w:r w:rsidRPr="00CC28EC">
              <w:rPr>
                <w:b/>
                <w:bCs/>
                <w:lang w:val="pl-PL" w:eastAsia="pl-PL"/>
              </w:rPr>
              <w:t>2018</w:t>
            </w:r>
          </w:p>
        </w:tc>
        <w:tc>
          <w:tcPr>
            <w:tcW w:w="630" w:type="dxa"/>
            <w:shd w:val="clear" w:color="auto" w:fill="AEAAAA" w:themeFill="background2" w:themeFillShade="BF"/>
            <w:vAlign w:val="center"/>
          </w:tcPr>
          <w:p w14:paraId="12FC5D1D" w14:textId="77777777" w:rsidR="00D74782" w:rsidRPr="00CC28EC" w:rsidRDefault="00D74782" w:rsidP="009E472C">
            <w:pPr>
              <w:jc w:val="center"/>
              <w:rPr>
                <w:b/>
                <w:bCs/>
                <w:lang w:val="ro-RO" w:eastAsia="pl-PL"/>
              </w:rPr>
            </w:pPr>
            <w:r w:rsidRPr="00CC28EC">
              <w:rPr>
                <w:b/>
                <w:bCs/>
                <w:lang w:val="ro-RO" w:eastAsia="pl-PL"/>
              </w:rPr>
              <w:t>2019</w:t>
            </w:r>
          </w:p>
        </w:tc>
        <w:tc>
          <w:tcPr>
            <w:tcW w:w="900" w:type="dxa"/>
            <w:shd w:val="clear" w:color="auto" w:fill="AEAAAA" w:themeFill="background2" w:themeFillShade="BF"/>
            <w:vAlign w:val="center"/>
          </w:tcPr>
          <w:p w14:paraId="768CD29C" w14:textId="77777777" w:rsidR="00D74782" w:rsidRPr="00CC28EC" w:rsidRDefault="00D74782" w:rsidP="009E472C">
            <w:pPr>
              <w:jc w:val="center"/>
              <w:rPr>
                <w:b/>
                <w:bCs/>
                <w:lang w:val="ro-RO" w:eastAsia="pl-PL"/>
              </w:rPr>
            </w:pPr>
            <w:r w:rsidRPr="00CC28EC">
              <w:rPr>
                <w:b/>
                <w:bCs/>
                <w:lang w:val="ro-RO" w:eastAsia="pl-PL"/>
              </w:rPr>
              <w:t>2020</w:t>
            </w:r>
          </w:p>
        </w:tc>
        <w:tc>
          <w:tcPr>
            <w:tcW w:w="773" w:type="dxa"/>
            <w:shd w:val="clear" w:color="auto" w:fill="AEAAAA" w:themeFill="background2" w:themeFillShade="BF"/>
            <w:vAlign w:val="center"/>
          </w:tcPr>
          <w:p w14:paraId="1378A9E7" w14:textId="77777777" w:rsidR="00D74782" w:rsidRPr="00CC28EC" w:rsidRDefault="00D74782" w:rsidP="009E472C">
            <w:pPr>
              <w:jc w:val="center"/>
              <w:rPr>
                <w:b/>
                <w:bCs/>
                <w:lang w:val="ro-RO" w:eastAsia="pl-PL"/>
              </w:rPr>
            </w:pPr>
            <w:r w:rsidRPr="00CC28EC">
              <w:rPr>
                <w:b/>
                <w:bCs/>
                <w:lang w:val="ro-RO" w:eastAsia="pl-PL"/>
              </w:rPr>
              <w:t>30.06.2021</w:t>
            </w:r>
          </w:p>
        </w:tc>
      </w:tr>
      <w:tr w:rsidR="00CC28EC" w:rsidRPr="00CC28EC" w14:paraId="05F59DC9" w14:textId="77777777" w:rsidTr="001A598A">
        <w:trPr>
          <w:jc w:val="center"/>
        </w:trPr>
        <w:tc>
          <w:tcPr>
            <w:tcW w:w="3622" w:type="dxa"/>
          </w:tcPr>
          <w:p w14:paraId="6AB917D5" w14:textId="59D359B4" w:rsidR="00D74782" w:rsidRPr="00CC28EC" w:rsidRDefault="00D74782" w:rsidP="009E472C">
            <w:pPr>
              <w:rPr>
                <w:b/>
                <w:lang w:val="ro-RO" w:eastAsia="pl-PL"/>
              </w:rPr>
            </w:pPr>
            <w:r w:rsidRPr="00CC28EC">
              <w:rPr>
                <w:b/>
                <w:lang w:val="pl-PL" w:eastAsia="pl-PL"/>
              </w:rPr>
              <w:t>Datoria public</w:t>
            </w:r>
            <w:r w:rsidRPr="00CC28EC">
              <w:rPr>
                <w:b/>
                <w:lang w:val="ro-RO" w:eastAsia="pl-PL"/>
              </w:rPr>
              <w:t>ă</w:t>
            </w:r>
            <w:r w:rsidR="001A598A" w:rsidRPr="00CC28EC">
              <w:rPr>
                <w:b/>
                <w:lang w:val="ro-RO" w:eastAsia="pl-PL"/>
              </w:rPr>
              <w:t xml:space="preserve"> </w:t>
            </w:r>
            <w:r w:rsidR="000E5A4C" w:rsidRPr="00CC28EC">
              <w:rPr>
                <w:b/>
                <w:lang w:val="ro-RO" w:eastAsia="pl-PL"/>
              </w:rPr>
              <w:t>totală</w:t>
            </w:r>
            <w:r w:rsidRPr="00CC28EC">
              <w:rPr>
                <w:b/>
                <w:lang w:val="ro-RO" w:eastAsia="pl-PL"/>
              </w:rPr>
              <w:t xml:space="preserve">  </w:t>
            </w:r>
          </w:p>
        </w:tc>
        <w:tc>
          <w:tcPr>
            <w:tcW w:w="810" w:type="dxa"/>
          </w:tcPr>
          <w:p w14:paraId="59D4496D" w14:textId="77777777" w:rsidR="00D74782" w:rsidRPr="00CC28EC" w:rsidRDefault="00D74782" w:rsidP="009E472C">
            <w:pPr>
              <w:jc w:val="center"/>
              <w:rPr>
                <w:b/>
                <w:sz w:val="18"/>
                <w:szCs w:val="18"/>
                <w:lang w:val="pl-PL" w:eastAsia="pl-PL"/>
              </w:rPr>
            </w:pPr>
            <w:r w:rsidRPr="00CC28EC">
              <w:rPr>
                <w:b/>
                <w:sz w:val="18"/>
                <w:szCs w:val="18"/>
                <w:lang w:val="pl-PL" w:eastAsia="pl-PL"/>
              </w:rPr>
              <w:t>269,2</w:t>
            </w:r>
          </w:p>
        </w:tc>
        <w:tc>
          <w:tcPr>
            <w:tcW w:w="630" w:type="dxa"/>
          </w:tcPr>
          <w:p w14:paraId="4011CEE3" w14:textId="77777777" w:rsidR="00D74782" w:rsidRPr="00CC28EC" w:rsidRDefault="00D74782" w:rsidP="009E472C">
            <w:pPr>
              <w:jc w:val="center"/>
              <w:rPr>
                <w:b/>
                <w:sz w:val="18"/>
                <w:szCs w:val="18"/>
                <w:lang w:val="pl-PL" w:eastAsia="pl-PL"/>
              </w:rPr>
            </w:pPr>
            <w:r w:rsidRPr="00CC28EC">
              <w:rPr>
                <w:b/>
                <w:sz w:val="18"/>
                <w:szCs w:val="18"/>
                <w:lang w:val="pl-PL" w:eastAsia="pl-PL"/>
              </w:rPr>
              <w:t>285,0</w:t>
            </w:r>
          </w:p>
        </w:tc>
        <w:tc>
          <w:tcPr>
            <w:tcW w:w="720" w:type="dxa"/>
          </w:tcPr>
          <w:p w14:paraId="063AB0B6" w14:textId="77777777" w:rsidR="00D74782" w:rsidRPr="00CC28EC" w:rsidRDefault="00D74782" w:rsidP="009E472C">
            <w:pPr>
              <w:jc w:val="center"/>
              <w:rPr>
                <w:b/>
                <w:sz w:val="18"/>
                <w:szCs w:val="18"/>
                <w:lang w:val="pl-PL" w:eastAsia="pl-PL"/>
              </w:rPr>
            </w:pPr>
            <w:r w:rsidRPr="00CC28EC">
              <w:rPr>
                <w:b/>
                <w:sz w:val="18"/>
                <w:szCs w:val="18"/>
                <w:lang w:val="pl-PL" w:eastAsia="pl-PL"/>
              </w:rPr>
              <w:t>300,8</w:t>
            </w:r>
          </w:p>
        </w:tc>
        <w:tc>
          <w:tcPr>
            <w:tcW w:w="900" w:type="dxa"/>
          </w:tcPr>
          <w:p w14:paraId="1499EC38" w14:textId="77777777" w:rsidR="00D74782" w:rsidRPr="00CC28EC" w:rsidRDefault="00D74782" w:rsidP="009E472C">
            <w:pPr>
              <w:jc w:val="center"/>
              <w:rPr>
                <w:b/>
                <w:sz w:val="18"/>
                <w:szCs w:val="18"/>
                <w:lang w:val="pl-PL" w:eastAsia="pl-PL"/>
              </w:rPr>
            </w:pPr>
            <w:r w:rsidRPr="00CC28EC">
              <w:rPr>
                <w:b/>
                <w:sz w:val="18"/>
                <w:szCs w:val="18"/>
                <w:lang w:val="pl-PL" w:eastAsia="pl-PL"/>
              </w:rPr>
              <w:t>330,5</w:t>
            </w:r>
          </w:p>
        </w:tc>
        <w:tc>
          <w:tcPr>
            <w:tcW w:w="630" w:type="dxa"/>
          </w:tcPr>
          <w:p w14:paraId="7007D95D" w14:textId="77777777" w:rsidR="00D74782" w:rsidRPr="00CC28EC" w:rsidRDefault="00D74782" w:rsidP="009E472C">
            <w:pPr>
              <w:jc w:val="center"/>
              <w:rPr>
                <w:b/>
                <w:sz w:val="18"/>
                <w:szCs w:val="18"/>
                <w:lang w:eastAsia="pl-PL"/>
              </w:rPr>
            </w:pPr>
            <w:r w:rsidRPr="00CC28EC">
              <w:rPr>
                <w:b/>
                <w:sz w:val="18"/>
                <w:szCs w:val="18"/>
                <w:lang w:eastAsia="pl-PL"/>
              </w:rPr>
              <w:t>373,5</w:t>
            </w:r>
          </w:p>
        </w:tc>
        <w:tc>
          <w:tcPr>
            <w:tcW w:w="900" w:type="dxa"/>
          </w:tcPr>
          <w:p w14:paraId="782AA763" w14:textId="77777777" w:rsidR="00D74782" w:rsidRPr="00CC28EC" w:rsidRDefault="00D74782" w:rsidP="009E472C">
            <w:pPr>
              <w:jc w:val="center"/>
              <w:rPr>
                <w:b/>
                <w:sz w:val="18"/>
                <w:szCs w:val="18"/>
                <w:lang w:eastAsia="pl-PL"/>
              </w:rPr>
            </w:pPr>
            <w:r w:rsidRPr="00CC28EC">
              <w:rPr>
                <w:b/>
                <w:sz w:val="18"/>
                <w:szCs w:val="18"/>
                <w:lang w:eastAsia="pl-PL"/>
              </w:rPr>
              <w:t>499,2</w:t>
            </w:r>
          </w:p>
        </w:tc>
        <w:tc>
          <w:tcPr>
            <w:tcW w:w="773" w:type="dxa"/>
          </w:tcPr>
          <w:p w14:paraId="176482AB" w14:textId="77777777" w:rsidR="00D74782" w:rsidRPr="00CC28EC" w:rsidRDefault="00D74782" w:rsidP="009E472C">
            <w:pPr>
              <w:jc w:val="center"/>
              <w:rPr>
                <w:b/>
                <w:sz w:val="18"/>
                <w:szCs w:val="18"/>
                <w:lang w:eastAsia="pl-PL"/>
              </w:rPr>
            </w:pPr>
            <w:r w:rsidRPr="00CC28EC">
              <w:rPr>
                <w:b/>
                <w:sz w:val="18"/>
                <w:szCs w:val="18"/>
                <w:lang w:eastAsia="pl-PL"/>
              </w:rPr>
              <w:t>526,1</w:t>
            </w:r>
          </w:p>
        </w:tc>
      </w:tr>
      <w:tr w:rsidR="00CC28EC" w:rsidRPr="00CC28EC" w14:paraId="047FAE72" w14:textId="77777777" w:rsidTr="000E5A4C">
        <w:trPr>
          <w:jc w:val="center"/>
        </w:trPr>
        <w:tc>
          <w:tcPr>
            <w:tcW w:w="3622" w:type="dxa"/>
            <w:shd w:val="clear" w:color="auto" w:fill="D9D9D9" w:themeFill="background1" w:themeFillShade="D9"/>
          </w:tcPr>
          <w:p w14:paraId="3AB2DC52" w14:textId="12D85F6B" w:rsidR="00D74782" w:rsidRPr="00CC28EC" w:rsidRDefault="00D74782" w:rsidP="009E472C">
            <w:pPr>
              <w:rPr>
                <w:bCs/>
                <w:lang w:val="pl-PL" w:eastAsia="pl-PL"/>
              </w:rPr>
            </w:pPr>
            <w:r w:rsidRPr="00CC28EC">
              <w:rPr>
                <w:bCs/>
                <w:lang w:val="pl-PL" w:eastAsia="pl-PL"/>
              </w:rPr>
              <w:t xml:space="preserve">Datoria publică </w:t>
            </w:r>
            <w:r w:rsidR="000E5A4C" w:rsidRPr="00CC28EC">
              <w:rPr>
                <w:bCs/>
                <w:lang w:val="pl-PL" w:eastAsia="pl-PL"/>
              </w:rPr>
              <w:t>pe termen scurt</w:t>
            </w:r>
            <w:r w:rsidRPr="00CC28EC">
              <w:rPr>
                <w:bCs/>
                <w:lang w:val="pl-PL" w:eastAsia="pl-PL"/>
              </w:rPr>
              <w:t xml:space="preserve"> </w:t>
            </w:r>
          </w:p>
        </w:tc>
        <w:tc>
          <w:tcPr>
            <w:tcW w:w="810" w:type="dxa"/>
            <w:shd w:val="clear" w:color="auto" w:fill="D9D9D9" w:themeFill="background1" w:themeFillShade="D9"/>
          </w:tcPr>
          <w:p w14:paraId="7ABB0762" w14:textId="50996605" w:rsidR="00D74782" w:rsidRPr="00CC28EC" w:rsidRDefault="00833E88" w:rsidP="009E472C">
            <w:pPr>
              <w:jc w:val="center"/>
              <w:rPr>
                <w:sz w:val="18"/>
                <w:szCs w:val="18"/>
                <w:lang w:val="pl-PL" w:eastAsia="pl-PL"/>
              </w:rPr>
            </w:pPr>
            <w:r w:rsidRPr="00CC28EC">
              <w:rPr>
                <w:sz w:val="18"/>
                <w:szCs w:val="18"/>
                <w:lang w:val="pl-PL" w:eastAsia="pl-PL"/>
              </w:rPr>
              <w:t>17,1</w:t>
            </w:r>
          </w:p>
        </w:tc>
        <w:tc>
          <w:tcPr>
            <w:tcW w:w="630" w:type="dxa"/>
            <w:shd w:val="clear" w:color="auto" w:fill="D9D9D9" w:themeFill="background1" w:themeFillShade="D9"/>
          </w:tcPr>
          <w:p w14:paraId="74173362" w14:textId="003A142B" w:rsidR="00D74782" w:rsidRPr="00CC28EC" w:rsidRDefault="00833E88" w:rsidP="009E472C">
            <w:pPr>
              <w:jc w:val="center"/>
              <w:rPr>
                <w:sz w:val="18"/>
                <w:szCs w:val="18"/>
                <w:lang w:val="pl-PL" w:eastAsia="pl-PL"/>
              </w:rPr>
            </w:pPr>
            <w:r w:rsidRPr="00CC28EC">
              <w:rPr>
                <w:sz w:val="18"/>
                <w:szCs w:val="18"/>
                <w:lang w:val="pl-PL" w:eastAsia="pl-PL"/>
              </w:rPr>
              <w:t>19,6</w:t>
            </w:r>
          </w:p>
        </w:tc>
        <w:tc>
          <w:tcPr>
            <w:tcW w:w="720" w:type="dxa"/>
            <w:shd w:val="clear" w:color="auto" w:fill="D9D9D9" w:themeFill="background1" w:themeFillShade="D9"/>
          </w:tcPr>
          <w:p w14:paraId="391B2F50" w14:textId="55A1A289" w:rsidR="00D74782" w:rsidRPr="00CC28EC" w:rsidRDefault="00833E88" w:rsidP="009E472C">
            <w:pPr>
              <w:jc w:val="center"/>
              <w:rPr>
                <w:sz w:val="18"/>
                <w:szCs w:val="18"/>
                <w:lang w:val="pl-PL" w:eastAsia="pl-PL"/>
              </w:rPr>
            </w:pPr>
            <w:r w:rsidRPr="00CC28EC">
              <w:rPr>
                <w:sz w:val="18"/>
                <w:szCs w:val="18"/>
                <w:lang w:val="pl-PL" w:eastAsia="pl-PL"/>
              </w:rPr>
              <w:t>14,0</w:t>
            </w:r>
          </w:p>
        </w:tc>
        <w:tc>
          <w:tcPr>
            <w:tcW w:w="900" w:type="dxa"/>
            <w:shd w:val="clear" w:color="auto" w:fill="D9D9D9" w:themeFill="background1" w:themeFillShade="D9"/>
          </w:tcPr>
          <w:p w14:paraId="62F2DB83" w14:textId="022E6585" w:rsidR="00D74782" w:rsidRPr="00CC28EC" w:rsidRDefault="00833E88" w:rsidP="009E472C">
            <w:pPr>
              <w:jc w:val="center"/>
              <w:rPr>
                <w:sz w:val="18"/>
                <w:szCs w:val="18"/>
                <w:lang w:val="pl-PL" w:eastAsia="pl-PL"/>
              </w:rPr>
            </w:pPr>
            <w:r w:rsidRPr="00CC28EC">
              <w:rPr>
                <w:sz w:val="18"/>
                <w:szCs w:val="18"/>
                <w:lang w:val="pl-PL" w:eastAsia="pl-PL"/>
              </w:rPr>
              <w:t>10,6</w:t>
            </w:r>
          </w:p>
        </w:tc>
        <w:tc>
          <w:tcPr>
            <w:tcW w:w="630" w:type="dxa"/>
            <w:shd w:val="clear" w:color="auto" w:fill="D9D9D9" w:themeFill="background1" w:themeFillShade="D9"/>
          </w:tcPr>
          <w:p w14:paraId="19DC2D6C" w14:textId="5516DAA6" w:rsidR="00D74782" w:rsidRPr="00CC28EC" w:rsidRDefault="00833E88" w:rsidP="009E472C">
            <w:pPr>
              <w:jc w:val="center"/>
              <w:rPr>
                <w:sz w:val="18"/>
                <w:szCs w:val="18"/>
                <w:lang w:eastAsia="pl-PL"/>
              </w:rPr>
            </w:pPr>
            <w:r w:rsidRPr="00CC28EC">
              <w:rPr>
                <w:sz w:val="18"/>
                <w:szCs w:val="18"/>
                <w:lang w:eastAsia="pl-PL"/>
              </w:rPr>
              <w:t>11,5</w:t>
            </w:r>
          </w:p>
        </w:tc>
        <w:tc>
          <w:tcPr>
            <w:tcW w:w="900" w:type="dxa"/>
            <w:shd w:val="clear" w:color="auto" w:fill="D9D9D9" w:themeFill="background1" w:themeFillShade="D9"/>
          </w:tcPr>
          <w:p w14:paraId="2EC7533D" w14:textId="2CF373C8" w:rsidR="00D74782" w:rsidRPr="00CC28EC" w:rsidRDefault="00833E88" w:rsidP="009E472C">
            <w:pPr>
              <w:jc w:val="center"/>
              <w:rPr>
                <w:sz w:val="18"/>
                <w:szCs w:val="18"/>
                <w:lang w:eastAsia="pl-PL"/>
              </w:rPr>
            </w:pPr>
            <w:r w:rsidRPr="00CC28EC">
              <w:rPr>
                <w:sz w:val="18"/>
                <w:szCs w:val="18"/>
                <w:lang w:eastAsia="pl-PL"/>
              </w:rPr>
              <w:t>17,7</w:t>
            </w:r>
          </w:p>
        </w:tc>
        <w:tc>
          <w:tcPr>
            <w:tcW w:w="773" w:type="dxa"/>
            <w:shd w:val="clear" w:color="auto" w:fill="D9D9D9" w:themeFill="background1" w:themeFillShade="D9"/>
          </w:tcPr>
          <w:p w14:paraId="2FD11E2F" w14:textId="4FF2C794" w:rsidR="00D74782" w:rsidRPr="00CC28EC" w:rsidRDefault="00833E88" w:rsidP="009E472C">
            <w:pPr>
              <w:jc w:val="center"/>
              <w:rPr>
                <w:sz w:val="18"/>
                <w:szCs w:val="18"/>
                <w:lang w:eastAsia="pl-PL"/>
              </w:rPr>
            </w:pPr>
            <w:r w:rsidRPr="00CC28EC">
              <w:rPr>
                <w:sz w:val="18"/>
                <w:szCs w:val="18"/>
                <w:lang w:eastAsia="pl-PL"/>
              </w:rPr>
              <w:t>20,2</w:t>
            </w:r>
          </w:p>
        </w:tc>
      </w:tr>
      <w:tr w:rsidR="00CC28EC" w:rsidRPr="00CC28EC" w14:paraId="03C688AC" w14:textId="77777777" w:rsidTr="000E5A4C">
        <w:trPr>
          <w:jc w:val="center"/>
        </w:trPr>
        <w:tc>
          <w:tcPr>
            <w:tcW w:w="3622" w:type="dxa"/>
            <w:shd w:val="clear" w:color="auto" w:fill="D9D9D9" w:themeFill="background1" w:themeFillShade="D9"/>
          </w:tcPr>
          <w:p w14:paraId="282FE90D" w14:textId="44F8D1CA" w:rsidR="001A598A" w:rsidRPr="00CC28EC" w:rsidRDefault="000E5A4C" w:rsidP="009E472C">
            <w:pPr>
              <w:rPr>
                <w:bCs/>
                <w:lang w:val="pl-PL" w:eastAsia="pl-PL"/>
              </w:rPr>
            </w:pPr>
            <w:r w:rsidRPr="00CC28EC">
              <w:rPr>
                <w:bCs/>
                <w:lang w:val="pl-PL" w:eastAsia="pl-PL"/>
              </w:rPr>
              <w:t xml:space="preserve">Datoria publică pe termen </w:t>
            </w:r>
            <w:r w:rsidR="00833E88" w:rsidRPr="00CC28EC">
              <w:rPr>
                <w:bCs/>
                <w:lang w:val="pl-PL" w:eastAsia="pl-PL"/>
              </w:rPr>
              <w:t xml:space="preserve">mediu </w:t>
            </w:r>
            <w:r w:rsidR="00833E88" w:rsidRPr="00CC28EC">
              <w:rPr>
                <w:bCs/>
                <w:lang w:val="ro-RO" w:eastAsia="pl-PL"/>
              </w:rPr>
              <w:t xml:space="preserve">și </w:t>
            </w:r>
            <w:r w:rsidRPr="00CC28EC">
              <w:rPr>
                <w:bCs/>
                <w:lang w:val="pl-PL" w:eastAsia="pl-PL"/>
              </w:rPr>
              <w:t xml:space="preserve">lung </w:t>
            </w:r>
          </w:p>
        </w:tc>
        <w:tc>
          <w:tcPr>
            <w:tcW w:w="810" w:type="dxa"/>
            <w:shd w:val="clear" w:color="auto" w:fill="D9D9D9" w:themeFill="background1" w:themeFillShade="D9"/>
          </w:tcPr>
          <w:p w14:paraId="510C4F05" w14:textId="23233DFE" w:rsidR="001A598A" w:rsidRPr="00CC28EC" w:rsidRDefault="00833E88" w:rsidP="009E472C">
            <w:pPr>
              <w:jc w:val="center"/>
              <w:rPr>
                <w:sz w:val="18"/>
                <w:szCs w:val="18"/>
                <w:lang w:val="pl-PL" w:eastAsia="pl-PL"/>
              </w:rPr>
            </w:pPr>
            <w:r w:rsidRPr="00CC28EC">
              <w:rPr>
                <w:sz w:val="18"/>
                <w:szCs w:val="18"/>
                <w:lang w:val="pl-PL" w:eastAsia="pl-PL"/>
              </w:rPr>
              <w:t>252,1</w:t>
            </w:r>
          </w:p>
        </w:tc>
        <w:tc>
          <w:tcPr>
            <w:tcW w:w="630" w:type="dxa"/>
            <w:shd w:val="clear" w:color="auto" w:fill="D9D9D9" w:themeFill="background1" w:themeFillShade="D9"/>
          </w:tcPr>
          <w:p w14:paraId="60404E9A" w14:textId="030F3FA2" w:rsidR="001A598A" w:rsidRPr="00CC28EC" w:rsidRDefault="00833E88" w:rsidP="009E472C">
            <w:pPr>
              <w:jc w:val="center"/>
              <w:rPr>
                <w:sz w:val="18"/>
                <w:szCs w:val="18"/>
                <w:lang w:val="pl-PL" w:eastAsia="pl-PL"/>
              </w:rPr>
            </w:pPr>
            <w:r w:rsidRPr="00CC28EC">
              <w:rPr>
                <w:sz w:val="18"/>
                <w:szCs w:val="18"/>
                <w:lang w:val="pl-PL" w:eastAsia="pl-PL"/>
              </w:rPr>
              <w:t>265,4</w:t>
            </w:r>
          </w:p>
        </w:tc>
        <w:tc>
          <w:tcPr>
            <w:tcW w:w="720" w:type="dxa"/>
            <w:shd w:val="clear" w:color="auto" w:fill="D9D9D9" w:themeFill="background1" w:themeFillShade="D9"/>
          </w:tcPr>
          <w:p w14:paraId="1E145758" w14:textId="28320FCD" w:rsidR="001A598A" w:rsidRPr="00CC28EC" w:rsidRDefault="00833E88" w:rsidP="009E472C">
            <w:pPr>
              <w:jc w:val="center"/>
              <w:rPr>
                <w:sz w:val="18"/>
                <w:szCs w:val="18"/>
                <w:lang w:val="pl-PL" w:eastAsia="pl-PL"/>
              </w:rPr>
            </w:pPr>
            <w:r w:rsidRPr="00CC28EC">
              <w:rPr>
                <w:sz w:val="18"/>
                <w:szCs w:val="18"/>
                <w:lang w:val="pl-PL" w:eastAsia="pl-PL"/>
              </w:rPr>
              <w:t>285,8</w:t>
            </w:r>
          </w:p>
        </w:tc>
        <w:tc>
          <w:tcPr>
            <w:tcW w:w="900" w:type="dxa"/>
            <w:shd w:val="clear" w:color="auto" w:fill="D9D9D9" w:themeFill="background1" w:themeFillShade="D9"/>
          </w:tcPr>
          <w:p w14:paraId="0D6785F1" w14:textId="06B3EA18" w:rsidR="001A598A" w:rsidRPr="00CC28EC" w:rsidRDefault="00833E88" w:rsidP="009E472C">
            <w:pPr>
              <w:jc w:val="center"/>
              <w:rPr>
                <w:sz w:val="18"/>
                <w:szCs w:val="18"/>
                <w:lang w:val="pl-PL" w:eastAsia="pl-PL"/>
              </w:rPr>
            </w:pPr>
            <w:r w:rsidRPr="00CC28EC">
              <w:rPr>
                <w:sz w:val="18"/>
                <w:szCs w:val="18"/>
                <w:lang w:val="pl-PL" w:eastAsia="pl-PL"/>
              </w:rPr>
              <w:t>319,9</w:t>
            </w:r>
          </w:p>
        </w:tc>
        <w:tc>
          <w:tcPr>
            <w:tcW w:w="630" w:type="dxa"/>
            <w:shd w:val="clear" w:color="auto" w:fill="D9D9D9" w:themeFill="background1" w:themeFillShade="D9"/>
          </w:tcPr>
          <w:p w14:paraId="578A2027" w14:textId="2AEE35BA" w:rsidR="001A598A" w:rsidRPr="00CC28EC" w:rsidRDefault="00833E88" w:rsidP="009E472C">
            <w:pPr>
              <w:jc w:val="center"/>
              <w:rPr>
                <w:sz w:val="18"/>
                <w:szCs w:val="18"/>
                <w:lang w:eastAsia="pl-PL"/>
              </w:rPr>
            </w:pPr>
            <w:r w:rsidRPr="00CC28EC">
              <w:rPr>
                <w:sz w:val="18"/>
                <w:szCs w:val="18"/>
                <w:lang w:eastAsia="pl-PL"/>
              </w:rPr>
              <w:t>362,0</w:t>
            </w:r>
          </w:p>
        </w:tc>
        <w:tc>
          <w:tcPr>
            <w:tcW w:w="900" w:type="dxa"/>
            <w:shd w:val="clear" w:color="auto" w:fill="D9D9D9" w:themeFill="background1" w:themeFillShade="D9"/>
          </w:tcPr>
          <w:p w14:paraId="69005B72" w14:textId="24D0E046" w:rsidR="001A598A" w:rsidRPr="00CC28EC" w:rsidRDefault="00833E88" w:rsidP="009E472C">
            <w:pPr>
              <w:jc w:val="center"/>
              <w:rPr>
                <w:sz w:val="18"/>
                <w:szCs w:val="18"/>
                <w:lang w:eastAsia="pl-PL"/>
              </w:rPr>
            </w:pPr>
            <w:r w:rsidRPr="00CC28EC">
              <w:rPr>
                <w:sz w:val="18"/>
                <w:szCs w:val="18"/>
                <w:lang w:eastAsia="pl-PL"/>
              </w:rPr>
              <w:t>489,5</w:t>
            </w:r>
          </w:p>
        </w:tc>
        <w:tc>
          <w:tcPr>
            <w:tcW w:w="773" w:type="dxa"/>
            <w:shd w:val="clear" w:color="auto" w:fill="D9D9D9" w:themeFill="background1" w:themeFillShade="D9"/>
          </w:tcPr>
          <w:p w14:paraId="4DC1181A" w14:textId="53B7451E" w:rsidR="001A598A" w:rsidRPr="00CC28EC" w:rsidRDefault="00833E88" w:rsidP="009E472C">
            <w:pPr>
              <w:jc w:val="center"/>
              <w:rPr>
                <w:sz w:val="18"/>
                <w:szCs w:val="18"/>
                <w:lang w:eastAsia="pl-PL"/>
              </w:rPr>
            </w:pPr>
            <w:r w:rsidRPr="00CC28EC">
              <w:rPr>
                <w:sz w:val="18"/>
                <w:szCs w:val="18"/>
                <w:lang w:eastAsia="pl-PL"/>
              </w:rPr>
              <w:t>505,9</w:t>
            </w:r>
          </w:p>
        </w:tc>
      </w:tr>
      <w:tr w:rsidR="00CC28EC" w:rsidRPr="00CC28EC" w14:paraId="4BE341BB" w14:textId="77777777" w:rsidTr="000E5A4C">
        <w:trPr>
          <w:jc w:val="center"/>
        </w:trPr>
        <w:tc>
          <w:tcPr>
            <w:tcW w:w="3622" w:type="dxa"/>
            <w:shd w:val="clear" w:color="auto" w:fill="BFBFBF" w:themeFill="background1" w:themeFillShade="BF"/>
          </w:tcPr>
          <w:p w14:paraId="325509B7" w14:textId="7B1B84F3" w:rsidR="001A598A" w:rsidRPr="00CC28EC" w:rsidRDefault="000E5A4C" w:rsidP="009E472C">
            <w:pPr>
              <w:rPr>
                <w:bCs/>
                <w:lang w:val="pl-PL" w:eastAsia="pl-PL"/>
              </w:rPr>
            </w:pPr>
            <w:r w:rsidRPr="00CC28EC">
              <w:rPr>
                <w:bCs/>
                <w:lang w:val="pl-PL" w:eastAsia="pl-PL"/>
              </w:rPr>
              <w:t>Datoria publică în lei</w:t>
            </w:r>
          </w:p>
        </w:tc>
        <w:tc>
          <w:tcPr>
            <w:tcW w:w="810" w:type="dxa"/>
            <w:shd w:val="clear" w:color="auto" w:fill="BFBFBF" w:themeFill="background1" w:themeFillShade="BF"/>
          </w:tcPr>
          <w:p w14:paraId="03628448" w14:textId="11DCC76F" w:rsidR="001A598A" w:rsidRPr="00CC28EC" w:rsidRDefault="00833E88" w:rsidP="009E472C">
            <w:pPr>
              <w:jc w:val="center"/>
              <w:rPr>
                <w:sz w:val="18"/>
                <w:szCs w:val="18"/>
                <w:lang w:val="pl-PL" w:eastAsia="pl-PL"/>
              </w:rPr>
            </w:pPr>
            <w:r w:rsidRPr="00CC28EC">
              <w:rPr>
                <w:sz w:val="18"/>
                <w:szCs w:val="18"/>
                <w:lang w:val="pl-PL" w:eastAsia="pl-PL"/>
              </w:rPr>
              <w:t>124,3</w:t>
            </w:r>
          </w:p>
        </w:tc>
        <w:tc>
          <w:tcPr>
            <w:tcW w:w="630" w:type="dxa"/>
            <w:shd w:val="clear" w:color="auto" w:fill="BFBFBF" w:themeFill="background1" w:themeFillShade="BF"/>
          </w:tcPr>
          <w:p w14:paraId="7579669D" w14:textId="48C296EC" w:rsidR="001A598A" w:rsidRPr="00CC28EC" w:rsidRDefault="00833E88" w:rsidP="009E472C">
            <w:pPr>
              <w:jc w:val="center"/>
              <w:rPr>
                <w:sz w:val="18"/>
                <w:szCs w:val="18"/>
                <w:lang w:val="pl-PL" w:eastAsia="pl-PL"/>
              </w:rPr>
            </w:pPr>
            <w:r w:rsidRPr="00CC28EC">
              <w:rPr>
                <w:sz w:val="18"/>
                <w:szCs w:val="18"/>
                <w:lang w:val="pl-PL" w:eastAsia="pl-PL"/>
              </w:rPr>
              <w:t>136,5</w:t>
            </w:r>
          </w:p>
        </w:tc>
        <w:tc>
          <w:tcPr>
            <w:tcW w:w="720" w:type="dxa"/>
            <w:shd w:val="clear" w:color="auto" w:fill="BFBFBF" w:themeFill="background1" w:themeFillShade="BF"/>
          </w:tcPr>
          <w:p w14:paraId="4D629889" w14:textId="05611A8B" w:rsidR="001A598A" w:rsidRPr="00CC28EC" w:rsidRDefault="00833E88" w:rsidP="009E472C">
            <w:pPr>
              <w:jc w:val="center"/>
              <w:rPr>
                <w:sz w:val="18"/>
                <w:szCs w:val="18"/>
                <w:lang w:val="pl-PL" w:eastAsia="pl-PL"/>
              </w:rPr>
            </w:pPr>
            <w:r w:rsidRPr="00CC28EC">
              <w:rPr>
                <w:sz w:val="18"/>
                <w:szCs w:val="18"/>
                <w:lang w:val="pl-PL" w:eastAsia="pl-PL"/>
              </w:rPr>
              <w:t>144,5</w:t>
            </w:r>
          </w:p>
        </w:tc>
        <w:tc>
          <w:tcPr>
            <w:tcW w:w="900" w:type="dxa"/>
            <w:shd w:val="clear" w:color="auto" w:fill="BFBFBF" w:themeFill="background1" w:themeFillShade="BF"/>
          </w:tcPr>
          <w:p w14:paraId="5A829137" w14:textId="087BEB05" w:rsidR="001A598A" w:rsidRPr="00CC28EC" w:rsidRDefault="00833E88" w:rsidP="009E472C">
            <w:pPr>
              <w:jc w:val="center"/>
              <w:rPr>
                <w:sz w:val="18"/>
                <w:szCs w:val="18"/>
                <w:lang w:val="pl-PL" w:eastAsia="pl-PL"/>
              </w:rPr>
            </w:pPr>
            <w:r w:rsidRPr="00CC28EC">
              <w:rPr>
                <w:sz w:val="18"/>
                <w:szCs w:val="18"/>
                <w:lang w:val="pl-PL" w:eastAsia="pl-PL"/>
              </w:rPr>
              <w:t>164,1</w:t>
            </w:r>
          </w:p>
        </w:tc>
        <w:tc>
          <w:tcPr>
            <w:tcW w:w="630" w:type="dxa"/>
            <w:shd w:val="clear" w:color="auto" w:fill="BFBFBF" w:themeFill="background1" w:themeFillShade="BF"/>
          </w:tcPr>
          <w:p w14:paraId="5E09D5D4" w14:textId="570D1BF8" w:rsidR="001A598A" w:rsidRPr="00CC28EC" w:rsidRDefault="00833E88" w:rsidP="009E472C">
            <w:pPr>
              <w:jc w:val="center"/>
              <w:rPr>
                <w:sz w:val="18"/>
                <w:szCs w:val="18"/>
                <w:lang w:eastAsia="pl-PL"/>
              </w:rPr>
            </w:pPr>
            <w:r w:rsidRPr="00CC28EC">
              <w:rPr>
                <w:sz w:val="18"/>
                <w:szCs w:val="18"/>
                <w:lang w:eastAsia="pl-PL"/>
              </w:rPr>
              <w:t>191,5</w:t>
            </w:r>
          </w:p>
        </w:tc>
        <w:tc>
          <w:tcPr>
            <w:tcW w:w="900" w:type="dxa"/>
            <w:shd w:val="clear" w:color="auto" w:fill="BFBFBF" w:themeFill="background1" w:themeFillShade="BF"/>
          </w:tcPr>
          <w:p w14:paraId="3A5D009B" w14:textId="52A2D728" w:rsidR="001A598A" w:rsidRPr="00CC28EC" w:rsidRDefault="0031067C" w:rsidP="009E472C">
            <w:pPr>
              <w:jc w:val="center"/>
              <w:rPr>
                <w:sz w:val="18"/>
                <w:szCs w:val="18"/>
                <w:lang w:eastAsia="pl-PL"/>
              </w:rPr>
            </w:pPr>
            <w:r w:rsidRPr="00CC28EC">
              <w:rPr>
                <w:sz w:val="18"/>
                <w:szCs w:val="18"/>
                <w:lang w:eastAsia="pl-PL"/>
              </w:rPr>
              <w:t>237,9</w:t>
            </w:r>
          </w:p>
        </w:tc>
        <w:tc>
          <w:tcPr>
            <w:tcW w:w="773" w:type="dxa"/>
            <w:shd w:val="clear" w:color="auto" w:fill="BFBFBF" w:themeFill="background1" w:themeFillShade="BF"/>
          </w:tcPr>
          <w:p w14:paraId="1CED04F1" w14:textId="35AE11BF" w:rsidR="001A598A" w:rsidRPr="00CC28EC" w:rsidRDefault="0031067C" w:rsidP="009E472C">
            <w:pPr>
              <w:jc w:val="center"/>
              <w:rPr>
                <w:sz w:val="18"/>
                <w:szCs w:val="18"/>
                <w:lang w:eastAsia="pl-PL"/>
              </w:rPr>
            </w:pPr>
            <w:r w:rsidRPr="00CC28EC">
              <w:rPr>
                <w:sz w:val="18"/>
                <w:szCs w:val="18"/>
                <w:lang w:eastAsia="pl-PL"/>
              </w:rPr>
              <w:t>246,7</w:t>
            </w:r>
          </w:p>
        </w:tc>
      </w:tr>
      <w:tr w:rsidR="00CC28EC" w:rsidRPr="00CC28EC" w14:paraId="021FA595" w14:textId="77777777" w:rsidTr="000E5A4C">
        <w:trPr>
          <w:jc w:val="center"/>
        </w:trPr>
        <w:tc>
          <w:tcPr>
            <w:tcW w:w="3622" w:type="dxa"/>
            <w:shd w:val="clear" w:color="auto" w:fill="BFBFBF" w:themeFill="background1" w:themeFillShade="BF"/>
          </w:tcPr>
          <w:p w14:paraId="335B98E7" w14:textId="1DDDDE68" w:rsidR="000E5A4C" w:rsidRPr="00CC28EC" w:rsidRDefault="000E5A4C" w:rsidP="009E472C">
            <w:pPr>
              <w:rPr>
                <w:bCs/>
                <w:lang w:val="pl-PL" w:eastAsia="pl-PL"/>
              </w:rPr>
            </w:pPr>
            <w:r w:rsidRPr="00CC28EC">
              <w:rPr>
                <w:bCs/>
                <w:lang w:val="pl-PL" w:eastAsia="pl-PL"/>
              </w:rPr>
              <w:t>Datoria publică în Euro</w:t>
            </w:r>
          </w:p>
        </w:tc>
        <w:tc>
          <w:tcPr>
            <w:tcW w:w="810" w:type="dxa"/>
            <w:shd w:val="clear" w:color="auto" w:fill="BFBFBF" w:themeFill="background1" w:themeFillShade="BF"/>
          </w:tcPr>
          <w:p w14:paraId="5C05B53A" w14:textId="6F9FE13C" w:rsidR="000E5A4C" w:rsidRPr="00CC28EC" w:rsidRDefault="00833E88" w:rsidP="009E472C">
            <w:pPr>
              <w:jc w:val="center"/>
              <w:rPr>
                <w:sz w:val="18"/>
                <w:szCs w:val="18"/>
                <w:lang w:val="pl-PL" w:eastAsia="pl-PL"/>
              </w:rPr>
            </w:pPr>
            <w:r w:rsidRPr="00CC28EC">
              <w:rPr>
                <w:sz w:val="18"/>
                <w:szCs w:val="18"/>
                <w:lang w:val="pl-PL" w:eastAsia="pl-PL"/>
              </w:rPr>
              <w:t>117,5</w:t>
            </w:r>
          </w:p>
        </w:tc>
        <w:tc>
          <w:tcPr>
            <w:tcW w:w="630" w:type="dxa"/>
            <w:shd w:val="clear" w:color="auto" w:fill="BFBFBF" w:themeFill="background1" w:themeFillShade="BF"/>
          </w:tcPr>
          <w:p w14:paraId="62064DB5" w14:textId="18270E24" w:rsidR="000E5A4C" w:rsidRPr="00CC28EC" w:rsidRDefault="00833E88" w:rsidP="009E472C">
            <w:pPr>
              <w:jc w:val="center"/>
              <w:rPr>
                <w:sz w:val="18"/>
                <w:szCs w:val="18"/>
                <w:lang w:val="pl-PL" w:eastAsia="pl-PL"/>
              </w:rPr>
            </w:pPr>
            <w:r w:rsidRPr="00CC28EC">
              <w:rPr>
                <w:sz w:val="18"/>
                <w:szCs w:val="18"/>
                <w:lang w:val="pl-PL" w:eastAsia="pl-PL"/>
              </w:rPr>
              <w:t>119,6</w:t>
            </w:r>
          </w:p>
        </w:tc>
        <w:tc>
          <w:tcPr>
            <w:tcW w:w="720" w:type="dxa"/>
            <w:shd w:val="clear" w:color="auto" w:fill="BFBFBF" w:themeFill="background1" w:themeFillShade="BF"/>
          </w:tcPr>
          <w:p w14:paraId="26DFF837" w14:textId="52DDAE0F" w:rsidR="000E5A4C" w:rsidRPr="00CC28EC" w:rsidRDefault="00833E88" w:rsidP="009E472C">
            <w:pPr>
              <w:jc w:val="center"/>
              <w:rPr>
                <w:sz w:val="18"/>
                <w:szCs w:val="18"/>
                <w:lang w:val="pl-PL" w:eastAsia="pl-PL"/>
              </w:rPr>
            </w:pPr>
            <w:r w:rsidRPr="00CC28EC">
              <w:rPr>
                <w:sz w:val="18"/>
                <w:szCs w:val="18"/>
                <w:lang w:val="pl-PL" w:eastAsia="pl-PL"/>
              </w:rPr>
              <w:t>130,7</w:t>
            </w:r>
          </w:p>
        </w:tc>
        <w:tc>
          <w:tcPr>
            <w:tcW w:w="900" w:type="dxa"/>
            <w:shd w:val="clear" w:color="auto" w:fill="BFBFBF" w:themeFill="background1" w:themeFillShade="BF"/>
          </w:tcPr>
          <w:p w14:paraId="79421930" w14:textId="439F1AF9" w:rsidR="000E5A4C" w:rsidRPr="00CC28EC" w:rsidRDefault="00833E88" w:rsidP="009E472C">
            <w:pPr>
              <w:jc w:val="center"/>
              <w:rPr>
                <w:sz w:val="18"/>
                <w:szCs w:val="18"/>
                <w:lang w:val="pl-PL" w:eastAsia="pl-PL"/>
              </w:rPr>
            </w:pPr>
            <w:r w:rsidRPr="00CC28EC">
              <w:rPr>
                <w:sz w:val="18"/>
                <w:szCs w:val="18"/>
                <w:lang w:val="pl-PL" w:eastAsia="pl-PL"/>
              </w:rPr>
              <w:t>136,2</w:t>
            </w:r>
          </w:p>
        </w:tc>
        <w:tc>
          <w:tcPr>
            <w:tcW w:w="630" w:type="dxa"/>
            <w:shd w:val="clear" w:color="auto" w:fill="BFBFBF" w:themeFill="background1" w:themeFillShade="BF"/>
          </w:tcPr>
          <w:p w14:paraId="77CD4404" w14:textId="15CF232F" w:rsidR="000E5A4C" w:rsidRPr="00CC28EC" w:rsidRDefault="0031067C" w:rsidP="009E472C">
            <w:pPr>
              <w:jc w:val="center"/>
              <w:rPr>
                <w:sz w:val="18"/>
                <w:szCs w:val="18"/>
                <w:lang w:eastAsia="pl-PL"/>
              </w:rPr>
            </w:pPr>
            <w:r w:rsidRPr="00CC28EC">
              <w:rPr>
                <w:sz w:val="18"/>
                <w:szCs w:val="18"/>
                <w:lang w:eastAsia="pl-PL"/>
              </w:rPr>
              <w:t>151,0</w:t>
            </w:r>
          </w:p>
        </w:tc>
        <w:tc>
          <w:tcPr>
            <w:tcW w:w="900" w:type="dxa"/>
            <w:shd w:val="clear" w:color="auto" w:fill="BFBFBF" w:themeFill="background1" w:themeFillShade="BF"/>
          </w:tcPr>
          <w:p w14:paraId="18B737C7" w14:textId="56CDB5A5" w:rsidR="000E5A4C" w:rsidRPr="00CC28EC" w:rsidRDefault="0031067C" w:rsidP="009E472C">
            <w:pPr>
              <w:jc w:val="center"/>
              <w:rPr>
                <w:sz w:val="18"/>
                <w:szCs w:val="18"/>
                <w:lang w:eastAsia="pl-PL"/>
              </w:rPr>
            </w:pPr>
            <w:r w:rsidRPr="00CC28EC">
              <w:rPr>
                <w:sz w:val="18"/>
                <w:szCs w:val="18"/>
                <w:lang w:eastAsia="pl-PL"/>
              </w:rPr>
              <w:t>219,4</w:t>
            </w:r>
          </w:p>
        </w:tc>
        <w:tc>
          <w:tcPr>
            <w:tcW w:w="773" w:type="dxa"/>
            <w:shd w:val="clear" w:color="auto" w:fill="BFBFBF" w:themeFill="background1" w:themeFillShade="BF"/>
          </w:tcPr>
          <w:p w14:paraId="47E39D8A" w14:textId="3E030592" w:rsidR="000E5A4C" w:rsidRPr="00CC28EC" w:rsidRDefault="0031067C" w:rsidP="009E472C">
            <w:pPr>
              <w:jc w:val="center"/>
              <w:rPr>
                <w:sz w:val="18"/>
                <w:szCs w:val="18"/>
                <w:lang w:eastAsia="pl-PL"/>
              </w:rPr>
            </w:pPr>
            <w:r w:rsidRPr="00CC28EC">
              <w:rPr>
                <w:sz w:val="18"/>
                <w:szCs w:val="18"/>
                <w:lang w:eastAsia="pl-PL"/>
              </w:rPr>
              <w:t>235,9</w:t>
            </w:r>
          </w:p>
        </w:tc>
      </w:tr>
      <w:tr w:rsidR="00CC28EC" w:rsidRPr="00CC28EC" w14:paraId="6FEBC699" w14:textId="77777777" w:rsidTr="000E5A4C">
        <w:trPr>
          <w:jc w:val="center"/>
        </w:trPr>
        <w:tc>
          <w:tcPr>
            <w:tcW w:w="3622" w:type="dxa"/>
            <w:shd w:val="clear" w:color="auto" w:fill="BFBFBF" w:themeFill="background1" w:themeFillShade="BF"/>
          </w:tcPr>
          <w:p w14:paraId="76FD3874" w14:textId="71B20B75" w:rsidR="000E5A4C" w:rsidRPr="00CC28EC" w:rsidRDefault="000E5A4C" w:rsidP="009E472C">
            <w:pPr>
              <w:rPr>
                <w:bCs/>
                <w:lang w:val="pl-PL" w:eastAsia="pl-PL"/>
              </w:rPr>
            </w:pPr>
            <w:r w:rsidRPr="00CC28EC">
              <w:rPr>
                <w:bCs/>
                <w:lang w:val="pl-PL" w:eastAsia="pl-PL"/>
              </w:rPr>
              <w:t xml:space="preserve">Datoria publică în USD </w:t>
            </w:r>
          </w:p>
        </w:tc>
        <w:tc>
          <w:tcPr>
            <w:tcW w:w="810" w:type="dxa"/>
            <w:shd w:val="clear" w:color="auto" w:fill="BFBFBF" w:themeFill="background1" w:themeFillShade="BF"/>
          </w:tcPr>
          <w:p w14:paraId="6B6BA210" w14:textId="164FAA3D" w:rsidR="000E5A4C" w:rsidRPr="00CC28EC" w:rsidRDefault="00833E88" w:rsidP="009E472C">
            <w:pPr>
              <w:jc w:val="center"/>
              <w:rPr>
                <w:sz w:val="18"/>
                <w:szCs w:val="18"/>
                <w:lang w:val="pl-PL" w:eastAsia="pl-PL"/>
              </w:rPr>
            </w:pPr>
            <w:r w:rsidRPr="00CC28EC">
              <w:rPr>
                <w:sz w:val="18"/>
                <w:szCs w:val="18"/>
                <w:lang w:val="pl-PL" w:eastAsia="pl-PL"/>
              </w:rPr>
              <w:t>26,8</w:t>
            </w:r>
          </w:p>
        </w:tc>
        <w:tc>
          <w:tcPr>
            <w:tcW w:w="630" w:type="dxa"/>
            <w:shd w:val="clear" w:color="auto" w:fill="BFBFBF" w:themeFill="background1" w:themeFillShade="BF"/>
          </w:tcPr>
          <w:p w14:paraId="1B353D9F" w14:textId="417ACDFA" w:rsidR="000E5A4C" w:rsidRPr="00CC28EC" w:rsidRDefault="00833E88" w:rsidP="009E472C">
            <w:pPr>
              <w:jc w:val="center"/>
              <w:rPr>
                <w:sz w:val="18"/>
                <w:szCs w:val="18"/>
                <w:lang w:val="pl-PL" w:eastAsia="pl-PL"/>
              </w:rPr>
            </w:pPr>
            <w:r w:rsidRPr="00CC28EC">
              <w:rPr>
                <w:sz w:val="18"/>
                <w:szCs w:val="18"/>
                <w:lang w:val="pl-PL" w:eastAsia="pl-PL"/>
              </w:rPr>
              <w:t>26,9</w:t>
            </w:r>
          </w:p>
        </w:tc>
        <w:tc>
          <w:tcPr>
            <w:tcW w:w="720" w:type="dxa"/>
            <w:shd w:val="clear" w:color="auto" w:fill="BFBFBF" w:themeFill="background1" w:themeFillShade="BF"/>
          </w:tcPr>
          <w:p w14:paraId="6489AF56" w14:textId="030DAE01" w:rsidR="000E5A4C" w:rsidRPr="00CC28EC" w:rsidRDefault="00833E88" w:rsidP="009E472C">
            <w:pPr>
              <w:jc w:val="center"/>
              <w:rPr>
                <w:sz w:val="18"/>
                <w:szCs w:val="18"/>
                <w:lang w:val="pl-PL" w:eastAsia="pl-PL"/>
              </w:rPr>
            </w:pPr>
            <w:r w:rsidRPr="00CC28EC">
              <w:rPr>
                <w:sz w:val="18"/>
                <w:szCs w:val="18"/>
                <w:lang w:val="pl-PL" w:eastAsia="pl-PL"/>
              </w:rPr>
              <w:t>23,6</w:t>
            </w:r>
          </w:p>
        </w:tc>
        <w:tc>
          <w:tcPr>
            <w:tcW w:w="900" w:type="dxa"/>
            <w:shd w:val="clear" w:color="auto" w:fill="BFBFBF" w:themeFill="background1" w:themeFillShade="BF"/>
          </w:tcPr>
          <w:p w14:paraId="11186763" w14:textId="4178863A" w:rsidR="000E5A4C" w:rsidRPr="00CC28EC" w:rsidRDefault="00833E88" w:rsidP="009E472C">
            <w:pPr>
              <w:jc w:val="center"/>
              <w:rPr>
                <w:sz w:val="18"/>
                <w:szCs w:val="18"/>
                <w:lang w:val="pl-PL" w:eastAsia="pl-PL"/>
              </w:rPr>
            </w:pPr>
            <w:r w:rsidRPr="00CC28EC">
              <w:rPr>
                <w:sz w:val="18"/>
                <w:szCs w:val="18"/>
                <w:lang w:val="pl-PL" w:eastAsia="pl-PL"/>
              </w:rPr>
              <w:t>28,3</w:t>
            </w:r>
          </w:p>
        </w:tc>
        <w:tc>
          <w:tcPr>
            <w:tcW w:w="630" w:type="dxa"/>
            <w:shd w:val="clear" w:color="auto" w:fill="BFBFBF" w:themeFill="background1" w:themeFillShade="BF"/>
          </w:tcPr>
          <w:p w14:paraId="7042FF14" w14:textId="7CF6C6E4" w:rsidR="000E5A4C" w:rsidRPr="00CC28EC" w:rsidRDefault="0031067C" w:rsidP="009E472C">
            <w:pPr>
              <w:jc w:val="center"/>
              <w:rPr>
                <w:sz w:val="18"/>
                <w:szCs w:val="18"/>
                <w:lang w:eastAsia="pl-PL"/>
              </w:rPr>
            </w:pPr>
            <w:r w:rsidRPr="00CC28EC">
              <w:rPr>
                <w:sz w:val="18"/>
                <w:szCs w:val="18"/>
                <w:lang w:eastAsia="pl-PL"/>
              </w:rPr>
              <w:t>29,2</w:t>
            </w:r>
          </w:p>
        </w:tc>
        <w:tc>
          <w:tcPr>
            <w:tcW w:w="900" w:type="dxa"/>
            <w:shd w:val="clear" w:color="auto" w:fill="BFBFBF" w:themeFill="background1" w:themeFillShade="BF"/>
          </w:tcPr>
          <w:p w14:paraId="5540925B" w14:textId="05F22118" w:rsidR="000E5A4C" w:rsidRPr="00CC28EC" w:rsidRDefault="0031067C" w:rsidP="009E472C">
            <w:pPr>
              <w:jc w:val="center"/>
              <w:rPr>
                <w:sz w:val="18"/>
                <w:szCs w:val="18"/>
                <w:lang w:eastAsia="pl-PL"/>
              </w:rPr>
            </w:pPr>
            <w:r w:rsidRPr="00CC28EC">
              <w:rPr>
                <w:sz w:val="18"/>
                <w:szCs w:val="18"/>
                <w:lang w:eastAsia="pl-PL"/>
              </w:rPr>
              <w:t>40,2</w:t>
            </w:r>
          </w:p>
        </w:tc>
        <w:tc>
          <w:tcPr>
            <w:tcW w:w="773" w:type="dxa"/>
            <w:shd w:val="clear" w:color="auto" w:fill="BFBFBF" w:themeFill="background1" w:themeFillShade="BF"/>
          </w:tcPr>
          <w:p w14:paraId="293BA313" w14:textId="7EC21107" w:rsidR="000E5A4C" w:rsidRPr="00CC28EC" w:rsidRDefault="0031067C" w:rsidP="009E472C">
            <w:pPr>
              <w:jc w:val="center"/>
              <w:rPr>
                <w:sz w:val="18"/>
                <w:szCs w:val="18"/>
                <w:lang w:eastAsia="pl-PL"/>
              </w:rPr>
            </w:pPr>
            <w:r w:rsidRPr="00CC28EC">
              <w:rPr>
                <w:sz w:val="18"/>
                <w:szCs w:val="18"/>
                <w:lang w:eastAsia="pl-PL"/>
              </w:rPr>
              <w:t>41,9</w:t>
            </w:r>
          </w:p>
        </w:tc>
      </w:tr>
      <w:tr w:rsidR="00CC28EC" w:rsidRPr="00CC28EC" w14:paraId="7F6ECBFC" w14:textId="77777777" w:rsidTr="000E5A4C">
        <w:trPr>
          <w:jc w:val="center"/>
        </w:trPr>
        <w:tc>
          <w:tcPr>
            <w:tcW w:w="3622" w:type="dxa"/>
            <w:shd w:val="clear" w:color="auto" w:fill="BFBFBF" w:themeFill="background1" w:themeFillShade="BF"/>
          </w:tcPr>
          <w:p w14:paraId="5EF3F7B2" w14:textId="67EBC74A" w:rsidR="000E5A4C" w:rsidRPr="00CC28EC" w:rsidRDefault="000E5A4C" w:rsidP="009E472C">
            <w:pPr>
              <w:rPr>
                <w:bCs/>
                <w:lang w:val="pl-PL" w:eastAsia="pl-PL"/>
              </w:rPr>
            </w:pPr>
            <w:r w:rsidRPr="00CC28EC">
              <w:rPr>
                <w:bCs/>
                <w:lang w:val="pl-PL" w:eastAsia="pl-PL"/>
              </w:rPr>
              <w:t xml:space="preserve">Datoria publică în alte valute </w:t>
            </w:r>
          </w:p>
        </w:tc>
        <w:tc>
          <w:tcPr>
            <w:tcW w:w="810" w:type="dxa"/>
            <w:shd w:val="clear" w:color="auto" w:fill="BFBFBF" w:themeFill="background1" w:themeFillShade="BF"/>
          </w:tcPr>
          <w:p w14:paraId="50723F8E" w14:textId="573C13FE" w:rsidR="000E5A4C" w:rsidRPr="00CC28EC" w:rsidRDefault="00833E88" w:rsidP="009E472C">
            <w:pPr>
              <w:jc w:val="center"/>
              <w:rPr>
                <w:sz w:val="18"/>
                <w:szCs w:val="18"/>
                <w:lang w:val="pl-PL" w:eastAsia="pl-PL"/>
              </w:rPr>
            </w:pPr>
            <w:r w:rsidRPr="00CC28EC">
              <w:rPr>
                <w:sz w:val="18"/>
                <w:szCs w:val="18"/>
                <w:lang w:val="pl-PL" w:eastAsia="pl-PL"/>
              </w:rPr>
              <w:t>0,6</w:t>
            </w:r>
          </w:p>
        </w:tc>
        <w:tc>
          <w:tcPr>
            <w:tcW w:w="630" w:type="dxa"/>
            <w:shd w:val="clear" w:color="auto" w:fill="BFBFBF" w:themeFill="background1" w:themeFillShade="BF"/>
          </w:tcPr>
          <w:p w14:paraId="49FD06E6" w14:textId="280ADF3D" w:rsidR="000E5A4C" w:rsidRPr="00CC28EC" w:rsidRDefault="00833E88" w:rsidP="009E472C">
            <w:pPr>
              <w:jc w:val="center"/>
              <w:rPr>
                <w:sz w:val="18"/>
                <w:szCs w:val="18"/>
                <w:lang w:val="pl-PL" w:eastAsia="pl-PL"/>
              </w:rPr>
            </w:pPr>
            <w:r w:rsidRPr="00CC28EC">
              <w:rPr>
                <w:sz w:val="18"/>
                <w:szCs w:val="18"/>
                <w:lang w:val="pl-PL" w:eastAsia="pl-PL"/>
              </w:rPr>
              <w:t>2,0</w:t>
            </w:r>
          </w:p>
        </w:tc>
        <w:tc>
          <w:tcPr>
            <w:tcW w:w="720" w:type="dxa"/>
            <w:shd w:val="clear" w:color="auto" w:fill="BFBFBF" w:themeFill="background1" w:themeFillShade="BF"/>
          </w:tcPr>
          <w:p w14:paraId="0AFE7701" w14:textId="13CABEA7" w:rsidR="000E5A4C" w:rsidRPr="00CC28EC" w:rsidRDefault="00833E88" w:rsidP="009E472C">
            <w:pPr>
              <w:jc w:val="center"/>
              <w:rPr>
                <w:sz w:val="18"/>
                <w:szCs w:val="18"/>
                <w:lang w:val="pl-PL" w:eastAsia="pl-PL"/>
              </w:rPr>
            </w:pPr>
            <w:r w:rsidRPr="00CC28EC">
              <w:rPr>
                <w:sz w:val="18"/>
                <w:szCs w:val="18"/>
                <w:lang w:val="pl-PL" w:eastAsia="pl-PL"/>
              </w:rPr>
              <w:t>2,0</w:t>
            </w:r>
          </w:p>
        </w:tc>
        <w:tc>
          <w:tcPr>
            <w:tcW w:w="900" w:type="dxa"/>
            <w:shd w:val="clear" w:color="auto" w:fill="BFBFBF" w:themeFill="background1" w:themeFillShade="BF"/>
          </w:tcPr>
          <w:p w14:paraId="5F2825D9" w14:textId="0E1C3D4E" w:rsidR="000E5A4C" w:rsidRPr="00CC28EC" w:rsidRDefault="00833E88" w:rsidP="009E472C">
            <w:pPr>
              <w:jc w:val="center"/>
              <w:rPr>
                <w:sz w:val="18"/>
                <w:szCs w:val="18"/>
                <w:lang w:val="pl-PL" w:eastAsia="pl-PL"/>
              </w:rPr>
            </w:pPr>
            <w:r w:rsidRPr="00CC28EC">
              <w:rPr>
                <w:sz w:val="18"/>
                <w:szCs w:val="18"/>
                <w:lang w:val="pl-PL" w:eastAsia="pl-PL"/>
              </w:rPr>
              <w:t>2,0</w:t>
            </w:r>
          </w:p>
        </w:tc>
        <w:tc>
          <w:tcPr>
            <w:tcW w:w="630" w:type="dxa"/>
            <w:shd w:val="clear" w:color="auto" w:fill="BFBFBF" w:themeFill="background1" w:themeFillShade="BF"/>
          </w:tcPr>
          <w:p w14:paraId="2240D06C" w14:textId="2D7330E1" w:rsidR="000E5A4C" w:rsidRPr="00CC28EC" w:rsidRDefault="0031067C" w:rsidP="009E472C">
            <w:pPr>
              <w:jc w:val="center"/>
              <w:rPr>
                <w:sz w:val="18"/>
                <w:szCs w:val="18"/>
                <w:lang w:eastAsia="pl-PL"/>
              </w:rPr>
            </w:pPr>
            <w:r w:rsidRPr="00CC28EC">
              <w:rPr>
                <w:sz w:val="18"/>
                <w:szCs w:val="18"/>
                <w:lang w:eastAsia="pl-PL"/>
              </w:rPr>
              <w:t>1,8</w:t>
            </w:r>
          </w:p>
        </w:tc>
        <w:tc>
          <w:tcPr>
            <w:tcW w:w="900" w:type="dxa"/>
            <w:shd w:val="clear" w:color="auto" w:fill="BFBFBF" w:themeFill="background1" w:themeFillShade="BF"/>
          </w:tcPr>
          <w:p w14:paraId="2B8889DD" w14:textId="535B2844" w:rsidR="000E5A4C" w:rsidRPr="00CC28EC" w:rsidRDefault="0031067C" w:rsidP="009E472C">
            <w:pPr>
              <w:jc w:val="center"/>
              <w:rPr>
                <w:sz w:val="18"/>
                <w:szCs w:val="18"/>
                <w:lang w:eastAsia="pl-PL"/>
              </w:rPr>
            </w:pPr>
            <w:r w:rsidRPr="00CC28EC">
              <w:rPr>
                <w:sz w:val="18"/>
                <w:szCs w:val="18"/>
                <w:lang w:eastAsia="pl-PL"/>
              </w:rPr>
              <w:t>1,7</w:t>
            </w:r>
          </w:p>
        </w:tc>
        <w:tc>
          <w:tcPr>
            <w:tcW w:w="773" w:type="dxa"/>
            <w:shd w:val="clear" w:color="auto" w:fill="BFBFBF" w:themeFill="background1" w:themeFillShade="BF"/>
          </w:tcPr>
          <w:p w14:paraId="301DB9D4" w14:textId="341BE3EA" w:rsidR="000E5A4C" w:rsidRPr="00CC28EC" w:rsidRDefault="0031067C" w:rsidP="009E472C">
            <w:pPr>
              <w:jc w:val="center"/>
              <w:rPr>
                <w:sz w:val="18"/>
                <w:szCs w:val="18"/>
                <w:lang w:eastAsia="pl-PL"/>
              </w:rPr>
            </w:pPr>
            <w:r w:rsidRPr="00CC28EC">
              <w:rPr>
                <w:sz w:val="18"/>
                <w:szCs w:val="18"/>
                <w:lang w:eastAsia="pl-PL"/>
              </w:rPr>
              <w:t>1,6</w:t>
            </w:r>
          </w:p>
        </w:tc>
      </w:tr>
      <w:tr w:rsidR="00CC28EC" w:rsidRPr="00CC28EC" w14:paraId="003BA3D4" w14:textId="77777777" w:rsidTr="000E5A4C">
        <w:trPr>
          <w:jc w:val="center"/>
        </w:trPr>
        <w:tc>
          <w:tcPr>
            <w:tcW w:w="3622" w:type="dxa"/>
            <w:shd w:val="clear" w:color="auto" w:fill="A6A6A6" w:themeFill="background1" w:themeFillShade="A6"/>
          </w:tcPr>
          <w:p w14:paraId="039E1802" w14:textId="732AB6B7" w:rsidR="000E5A4C" w:rsidRPr="00CC28EC" w:rsidRDefault="000E5A4C" w:rsidP="009E472C">
            <w:pPr>
              <w:rPr>
                <w:bCs/>
                <w:lang w:val="pl-PL" w:eastAsia="pl-PL"/>
              </w:rPr>
            </w:pPr>
            <w:r w:rsidRPr="00CC28EC">
              <w:rPr>
                <w:bCs/>
                <w:lang w:val="pl-PL" w:eastAsia="pl-PL"/>
              </w:rPr>
              <w:t>Datoria administrației publice centrale</w:t>
            </w:r>
          </w:p>
        </w:tc>
        <w:tc>
          <w:tcPr>
            <w:tcW w:w="810" w:type="dxa"/>
            <w:shd w:val="clear" w:color="auto" w:fill="A6A6A6" w:themeFill="background1" w:themeFillShade="A6"/>
          </w:tcPr>
          <w:p w14:paraId="630BB521" w14:textId="5B7C46D6" w:rsidR="000E5A4C" w:rsidRPr="00CC28EC" w:rsidRDefault="0031067C" w:rsidP="009E472C">
            <w:pPr>
              <w:jc w:val="center"/>
              <w:rPr>
                <w:sz w:val="18"/>
                <w:szCs w:val="18"/>
                <w:lang w:val="pl-PL" w:eastAsia="pl-PL"/>
              </w:rPr>
            </w:pPr>
            <w:r w:rsidRPr="00CC28EC">
              <w:rPr>
                <w:sz w:val="18"/>
                <w:szCs w:val="18"/>
                <w:lang w:val="pl-PL" w:eastAsia="pl-PL"/>
              </w:rPr>
              <w:t>253,4</w:t>
            </w:r>
          </w:p>
        </w:tc>
        <w:tc>
          <w:tcPr>
            <w:tcW w:w="630" w:type="dxa"/>
            <w:shd w:val="clear" w:color="auto" w:fill="A6A6A6" w:themeFill="background1" w:themeFillShade="A6"/>
          </w:tcPr>
          <w:p w14:paraId="533099DD" w14:textId="0E19F50F" w:rsidR="000E5A4C" w:rsidRPr="00CC28EC" w:rsidRDefault="0031067C" w:rsidP="009E472C">
            <w:pPr>
              <w:jc w:val="center"/>
              <w:rPr>
                <w:sz w:val="18"/>
                <w:szCs w:val="18"/>
                <w:lang w:val="pl-PL" w:eastAsia="pl-PL"/>
              </w:rPr>
            </w:pPr>
            <w:r w:rsidRPr="00CC28EC">
              <w:rPr>
                <w:sz w:val="18"/>
                <w:szCs w:val="18"/>
                <w:lang w:val="pl-PL" w:eastAsia="pl-PL"/>
              </w:rPr>
              <w:t>269,5</w:t>
            </w:r>
          </w:p>
        </w:tc>
        <w:tc>
          <w:tcPr>
            <w:tcW w:w="720" w:type="dxa"/>
            <w:shd w:val="clear" w:color="auto" w:fill="A6A6A6" w:themeFill="background1" w:themeFillShade="A6"/>
          </w:tcPr>
          <w:p w14:paraId="0A8B9C30" w14:textId="2C8A2E68" w:rsidR="000E5A4C" w:rsidRPr="00CC28EC" w:rsidRDefault="0031067C" w:rsidP="009E472C">
            <w:pPr>
              <w:jc w:val="center"/>
              <w:rPr>
                <w:sz w:val="18"/>
                <w:szCs w:val="18"/>
                <w:lang w:val="pl-PL" w:eastAsia="pl-PL"/>
              </w:rPr>
            </w:pPr>
            <w:r w:rsidRPr="00CC28EC">
              <w:rPr>
                <w:sz w:val="18"/>
                <w:szCs w:val="18"/>
                <w:lang w:val="pl-PL" w:eastAsia="pl-PL"/>
              </w:rPr>
              <w:t>286,0</w:t>
            </w:r>
          </w:p>
        </w:tc>
        <w:tc>
          <w:tcPr>
            <w:tcW w:w="900" w:type="dxa"/>
            <w:shd w:val="clear" w:color="auto" w:fill="A6A6A6" w:themeFill="background1" w:themeFillShade="A6"/>
          </w:tcPr>
          <w:p w14:paraId="28F39C4E" w14:textId="22F63202" w:rsidR="000E5A4C" w:rsidRPr="00CC28EC" w:rsidRDefault="0031067C" w:rsidP="009E472C">
            <w:pPr>
              <w:jc w:val="center"/>
              <w:rPr>
                <w:sz w:val="18"/>
                <w:szCs w:val="18"/>
                <w:lang w:val="pl-PL" w:eastAsia="pl-PL"/>
              </w:rPr>
            </w:pPr>
            <w:r w:rsidRPr="00CC28EC">
              <w:rPr>
                <w:sz w:val="18"/>
                <w:szCs w:val="18"/>
                <w:lang w:val="pl-PL" w:eastAsia="pl-PL"/>
              </w:rPr>
              <w:t>316,0</w:t>
            </w:r>
          </w:p>
        </w:tc>
        <w:tc>
          <w:tcPr>
            <w:tcW w:w="630" w:type="dxa"/>
            <w:shd w:val="clear" w:color="auto" w:fill="A6A6A6" w:themeFill="background1" w:themeFillShade="A6"/>
          </w:tcPr>
          <w:p w14:paraId="24C01F06" w14:textId="369F0444" w:rsidR="000E5A4C" w:rsidRPr="00CC28EC" w:rsidRDefault="0031067C" w:rsidP="009E472C">
            <w:pPr>
              <w:jc w:val="center"/>
              <w:rPr>
                <w:sz w:val="18"/>
                <w:szCs w:val="18"/>
                <w:lang w:eastAsia="pl-PL"/>
              </w:rPr>
            </w:pPr>
            <w:r w:rsidRPr="00CC28EC">
              <w:rPr>
                <w:sz w:val="18"/>
                <w:szCs w:val="18"/>
                <w:lang w:eastAsia="pl-PL"/>
              </w:rPr>
              <w:t>358,7</w:t>
            </w:r>
          </w:p>
        </w:tc>
        <w:tc>
          <w:tcPr>
            <w:tcW w:w="900" w:type="dxa"/>
            <w:shd w:val="clear" w:color="auto" w:fill="A6A6A6" w:themeFill="background1" w:themeFillShade="A6"/>
          </w:tcPr>
          <w:p w14:paraId="7972F5FA" w14:textId="3B2D0A92" w:rsidR="000E5A4C" w:rsidRPr="00CC28EC" w:rsidRDefault="0031067C" w:rsidP="009E472C">
            <w:pPr>
              <w:jc w:val="center"/>
              <w:rPr>
                <w:sz w:val="18"/>
                <w:szCs w:val="18"/>
                <w:lang w:eastAsia="pl-PL"/>
              </w:rPr>
            </w:pPr>
            <w:r w:rsidRPr="00CC28EC">
              <w:rPr>
                <w:sz w:val="18"/>
                <w:szCs w:val="18"/>
                <w:lang w:eastAsia="pl-PL"/>
              </w:rPr>
              <w:t>483,3</w:t>
            </w:r>
          </w:p>
        </w:tc>
        <w:tc>
          <w:tcPr>
            <w:tcW w:w="773" w:type="dxa"/>
            <w:shd w:val="clear" w:color="auto" w:fill="A6A6A6" w:themeFill="background1" w:themeFillShade="A6"/>
          </w:tcPr>
          <w:p w14:paraId="4A537EFE" w14:textId="637C337C" w:rsidR="000E5A4C" w:rsidRPr="00CC28EC" w:rsidRDefault="0031067C" w:rsidP="009E472C">
            <w:pPr>
              <w:jc w:val="center"/>
              <w:rPr>
                <w:sz w:val="18"/>
                <w:szCs w:val="18"/>
                <w:lang w:eastAsia="pl-PL"/>
              </w:rPr>
            </w:pPr>
            <w:r w:rsidRPr="00CC28EC">
              <w:rPr>
                <w:sz w:val="18"/>
                <w:szCs w:val="18"/>
                <w:lang w:eastAsia="pl-PL"/>
              </w:rPr>
              <w:t>510,3</w:t>
            </w:r>
          </w:p>
        </w:tc>
      </w:tr>
      <w:tr w:rsidR="00CC28EC" w:rsidRPr="00CC28EC" w14:paraId="54764759" w14:textId="77777777" w:rsidTr="000E5A4C">
        <w:trPr>
          <w:jc w:val="center"/>
        </w:trPr>
        <w:tc>
          <w:tcPr>
            <w:tcW w:w="3622" w:type="dxa"/>
            <w:shd w:val="clear" w:color="auto" w:fill="A6A6A6" w:themeFill="background1" w:themeFillShade="A6"/>
          </w:tcPr>
          <w:p w14:paraId="0BCDD5A2" w14:textId="3F8B2878" w:rsidR="000E5A4C" w:rsidRPr="00CC28EC" w:rsidRDefault="000E5A4C" w:rsidP="009E472C">
            <w:pPr>
              <w:rPr>
                <w:bCs/>
                <w:lang w:val="pl-PL" w:eastAsia="pl-PL"/>
              </w:rPr>
            </w:pPr>
            <w:r w:rsidRPr="00CC28EC">
              <w:rPr>
                <w:bCs/>
                <w:lang w:val="pl-PL" w:eastAsia="pl-PL"/>
              </w:rPr>
              <w:t>Datoria administrației publice locale</w:t>
            </w:r>
          </w:p>
        </w:tc>
        <w:tc>
          <w:tcPr>
            <w:tcW w:w="810" w:type="dxa"/>
            <w:shd w:val="clear" w:color="auto" w:fill="A6A6A6" w:themeFill="background1" w:themeFillShade="A6"/>
          </w:tcPr>
          <w:p w14:paraId="72896EA8" w14:textId="599827AD" w:rsidR="000E5A4C" w:rsidRPr="00CC28EC" w:rsidRDefault="0031067C" w:rsidP="009E472C">
            <w:pPr>
              <w:jc w:val="center"/>
              <w:rPr>
                <w:sz w:val="18"/>
                <w:szCs w:val="18"/>
                <w:lang w:val="pl-PL" w:eastAsia="pl-PL"/>
              </w:rPr>
            </w:pPr>
            <w:r w:rsidRPr="00CC28EC">
              <w:rPr>
                <w:sz w:val="18"/>
                <w:szCs w:val="18"/>
                <w:lang w:val="pl-PL" w:eastAsia="pl-PL"/>
              </w:rPr>
              <w:t>15,8</w:t>
            </w:r>
          </w:p>
        </w:tc>
        <w:tc>
          <w:tcPr>
            <w:tcW w:w="630" w:type="dxa"/>
            <w:shd w:val="clear" w:color="auto" w:fill="A6A6A6" w:themeFill="background1" w:themeFillShade="A6"/>
          </w:tcPr>
          <w:p w14:paraId="1D6715D3" w14:textId="32C5AB44" w:rsidR="000E5A4C" w:rsidRPr="00CC28EC" w:rsidRDefault="0031067C" w:rsidP="009E472C">
            <w:pPr>
              <w:jc w:val="center"/>
              <w:rPr>
                <w:sz w:val="18"/>
                <w:szCs w:val="18"/>
                <w:lang w:val="pl-PL" w:eastAsia="pl-PL"/>
              </w:rPr>
            </w:pPr>
            <w:r w:rsidRPr="00CC28EC">
              <w:rPr>
                <w:sz w:val="18"/>
                <w:szCs w:val="18"/>
                <w:lang w:val="pl-PL" w:eastAsia="pl-PL"/>
              </w:rPr>
              <w:t>15,5</w:t>
            </w:r>
          </w:p>
        </w:tc>
        <w:tc>
          <w:tcPr>
            <w:tcW w:w="720" w:type="dxa"/>
            <w:shd w:val="clear" w:color="auto" w:fill="A6A6A6" w:themeFill="background1" w:themeFillShade="A6"/>
          </w:tcPr>
          <w:p w14:paraId="16BCFD9F" w14:textId="09DF9DDE" w:rsidR="000E5A4C" w:rsidRPr="00CC28EC" w:rsidRDefault="0031067C" w:rsidP="009E472C">
            <w:pPr>
              <w:jc w:val="center"/>
              <w:rPr>
                <w:sz w:val="18"/>
                <w:szCs w:val="18"/>
                <w:lang w:val="pl-PL" w:eastAsia="pl-PL"/>
              </w:rPr>
            </w:pPr>
            <w:r w:rsidRPr="00CC28EC">
              <w:rPr>
                <w:sz w:val="18"/>
                <w:szCs w:val="18"/>
                <w:lang w:val="pl-PL" w:eastAsia="pl-PL"/>
              </w:rPr>
              <w:t>14,8</w:t>
            </w:r>
          </w:p>
        </w:tc>
        <w:tc>
          <w:tcPr>
            <w:tcW w:w="900" w:type="dxa"/>
            <w:shd w:val="clear" w:color="auto" w:fill="A6A6A6" w:themeFill="background1" w:themeFillShade="A6"/>
          </w:tcPr>
          <w:p w14:paraId="6B5A788D" w14:textId="2E54B1DD" w:rsidR="000E5A4C" w:rsidRPr="00CC28EC" w:rsidRDefault="0031067C" w:rsidP="009E472C">
            <w:pPr>
              <w:jc w:val="center"/>
              <w:rPr>
                <w:sz w:val="18"/>
                <w:szCs w:val="18"/>
                <w:lang w:val="pl-PL" w:eastAsia="pl-PL"/>
              </w:rPr>
            </w:pPr>
            <w:r w:rsidRPr="00CC28EC">
              <w:rPr>
                <w:sz w:val="18"/>
                <w:szCs w:val="18"/>
                <w:lang w:val="pl-PL" w:eastAsia="pl-PL"/>
              </w:rPr>
              <w:t>14,5</w:t>
            </w:r>
          </w:p>
        </w:tc>
        <w:tc>
          <w:tcPr>
            <w:tcW w:w="630" w:type="dxa"/>
            <w:shd w:val="clear" w:color="auto" w:fill="A6A6A6" w:themeFill="background1" w:themeFillShade="A6"/>
          </w:tcPr>
          <w:p w14:paraId="08CFB77B" w14:textId="53D41FB9" w:rsidR="000E5A4C" w:rsidRPr="00CC28EC" w:rsidRDefault="0031067C" w:rsidP="009E472C">
            <w:pPr>
              <w:jc w:val="center"/>
              <w:rPr>
                <w:sz w:val="18"/>
                <w:szCs w:val="18"/>
                <w:lang w:eastAsia="pl-PL"/>
              </w:rPr>
            </w:pPr>
            <w:r w:rsidRPr="00CC28EC">
              <w:rPr>
                <w:sz w:val="18"/>
                <w:szCs w:val="18"/>
                <w:lang w:eastAsia="pl-PL"/>
              </w:rPr>
              <w:t>14,8</w:t>
            </w:r>
          </w:p>
        </w:tc>
        <w:tc>
          <w:tcPr>
            <w:tcW w:w="900" w:type="dxa"/>
            <w:shd w:val="clear" w:color="auto" w:fill="A6A6A6" w:themeFill="background1" w:themeFillShade="A6"/>
          </w:tcPr>
          <w:p w14:paraId="23BE9FB5" w14:textId="5AD55054" w:rsidR="000E5A4C" w:rsidRPr="00CC28EC" w:rsidRDefault="0031067C" w:rsidP="009E472C">
            <w:pPr>
              <w:jc w:val="center"/>
              <w:rPr>
                <w:sz w:val="18"/>
                <w:szCs w:val="18"/>
                <w:lang w:eastAsia="pl-PL"/>
              </w:rPr>
            </w:pPr>
            <w:r w:rsidRPr="00CC28EC">
              <w:rPr>
                <w:sz w:val="18"/>
                <w:szCs w:val="18"/>
                <w:lang w:eastAsia="pl-PL"/>
              </w:rPr>
              <w:t>15,9</w:t>
            </w:r>
          </w:p>
        </w:tc>
        <w:tc>
          <w:tcPr>
            <w:tcW w:w="773" w:type="dxa"/>
            <w:shd w:val="clear" w:color="auto" w:fill="A6A6A6" w:themeFill="background1" w:themeFillShade="A6"/>
          </w:tcPr>
          <w:p w14:paraId="6301BB2B" w14:textId="0EE8A92B" w:rsidR="000E5A4C" w:rsidRPr="00CC28EC" w:rsidRDefault="0031067C" w:rsidP="009E472C">
            <w:pPr>
              <w:jc w:val="center"/>
              <w:rPr>
                <w:sz w:val="18"/>
                <w:szCs w:val="18"/>
                <w:lang w:eastAsia="pl-PL"/>
              </w:rPr>
            </w:pPr>
            <w:r w:rsidRPr="00CC28EC">
              <w:rPr>
                <w:sz w:val="18"/>
                <w:szCs w:val="18"/>
                <w:lang w:eastAsia="pl-PL"/>
              </w:rPr>
              <w:t>15,8</w:t>
            </w:r>
          </w:p>
        </w:tc>
      </w:tr>
      <w:tr w:rsidR="00CC28EC" w:rsidRPr="00CC28EC" w14:paraId="532AB421" w14:textId="77777777" w:rsidTr="000E5A4C">
        <w:trPr>
          <w:jc w:val="center"/>
        </w:trPr>
        <w:tc>
          <w:tcPr>
            <w:tcW w:w="3622" w:type="dxa"/>
            <w:shd w:val="clear" w:color="auto" w:fill="F2F2F2" w:themeFill="background1" w:themeFillShade="F2"/>
          </w:tcPr>
          <w:p w14:paraId="11975F07" w14:textId="7EDEDBD7" w:rsidR="000E5A4C" w:rsidRPr="00CC28EC" w:rsidRDefault="000E5A4C" w:rsidP="009E472C">
            <w:pPr>
              <w:rPr>
                <w:bCs/>
                <w:lang w:val="pl-PL" w:eastAsia="pl-PL"/>
              </w:rPr>
            </w:pPr>
            <w:r w:rsidRPr="00CC28EC">
              <w:rPr>
                <w:bCs/>
                <w:lang w:val="pl-PL" w:eastAsia="pl-PL"/>
              </w:rPr>
              <w:t>Datorie publică internă</w:t>
            </w:r>
          </w:p>
        </w:tc>
        <w:tc>
          <w:tcPr>
            <w:tcW w:w="810" w:type="dxa"/>
            <w:shd w:val="clear" w:color="auto" w:fill="F2F2F2" w:themeFill="background1" w:themeFillShade="F2"/>
          </w:tcPr>
          <w:p w14:paraId="772547F6" w14:textId="2265C221" w:rsidR="000E5A4C" w:rsidRPr="00CC28EC" w:rsidRDefault="0031067C" w:rsidP="009E472C">
            <w:pPr>
              <w:jc w:val="center"/>
              <w:rPr>
                <w:sz w:val="18"/>
                <w:szCs w:val="18"/>
                <w:lang w:val="pl-PL" w:eastAsia="pl-PL"/>
              </w:rPr>
            </w:pPr>
            <w:r w:rsidRPr="00CC28EC">
              <w:rPr>
                <w:sz w:val="18"/>
                <w:szCs w:val="18"/>
                <w:lang w:val="pl-PL" w:eastAsia="pl-PL"/>
              </w:rPr>
              <w:t>136,1</w:t>
            </w:r>
          </w:p>
        </w:tc>
        <w:tc>
          <w:tcPr>
            <w:tcW w:w="630" w:type="dxa"/>
            <w:shd w:val="clear" w:color="auto" w:fill="F2F2F2" w:themeFill="background1" w:themeFillShade="F2"/>
          </w:tcPr>
          <w:p w14:paraId="6C469FF3" w14:textId="59F24486" w:rsidR="000E5A4C" w:rsidRPr="00CC28EC" w:rsidRDefault="0031067C" w:rsidP="009E472C">
            <w:pPr>
              <w:jc w:val="center"/>
              <w:rPr>
                <w:sz w:val="18"/>
                <w:szCs w:val="18"/>
                <w:lang w:val="pl-PL" w:eastAsia="pl-PL"/>
              </w:rPr>
            </w:pPr>
            <w:r w:rsidRPr="00CC28EC">
              <w:rPr>
                <w:sz w:val="18"/>
                <w:szCs w:val="18"/>
                <w:lang w:val="pl-PL" w:eastAsia="pl-PL"/>
              </w:rPr>
              <w:t>137,3</w:t>
            </w:r>
          </w:p>
        </w:tc>
        <w:tc>
          <w:tcPr>
            <w:tcW w:w="720" w:type="dxa"/>
            <w:shd w:val="clear" w:color="auto" w:fill="F2F2F2" w:themeFill="background1" w:themeFillShade="F2"/>
          </w:tcPr>
          <w:p w14:paraId="6C732995" w14:textId="01CD1C10" w:rsidR="000E5A4C" w:rsidRPr="00CC28EC" w:rsidRDefault="0031067C" w:rsidP="009E472C">
            <w:pPr>
              <w:jc w:val="center"/>
              <w:rPr>
                <w:sz w:val="18"/>
                <w:szCs w:val="18"/>
                <w:lang w:val="pl-PL" w:eastAsia="pl-PL"/>
              </w:rPr>
            </w:pPr>
            <w:r w:rsidRPr="00CC28EC">
              <w:rPr>
                <w:sz w:val="18"/>
                <w:szCs w:val="18"/>
                <w:lang w:val="pl-PL" w:eastAsia="pl-PL"/>
              </w:rPr>
              <w:t>148,2</w:t>
            </w:r>
          </w:p>
        </w:tc>
        <w:tc>
          <w:tcPr>
            <w:tcW w:w="900" w:type="dxa"/>
            <w:shd w:val="clear" w:color="auto" w:fill="F2F2F2" w:themeFill="background1" w:themeFillShade="F2"/>
          </w:tcPr>
          <w:p w14:paraId="190F2028" w14:textId="174965F9" w:rsidR="000E5A4C" w:rsidRPr="00CC28EC" w:rsidRDefault="0031067C" w:rsidP="009E472C">
            <w:pPr>
              <w:jc w:val="center"/>
              <w:rPr>
                <w:sz w:val="18"/>
                <w:szCs w:val="18"/>
                <w:lang w:val="pl-PL" w:eastAsia="pl-PL"/>
              </w:rPr>
            </w:pPr>
            <w:r w:rsidRPr="00CC28EC">
              <w:rPr>
                <w:sz w:val="18"/>
                <w:szCs w:val="18"/>
                <w:lang w:val="pl-PL" w:eastAsia="pl-PL"/>
              </w:rPr>
              <w:t>158,0</w:t>
            </w:r>
          </w:p>
        </w:tc>
        <w:tc>
          <w:tcPr>
            <w:tcW w:w="630" w:type="dxa"/>
            <w:shd w:val="clear" w:color="auto" w:fill="F2F2F2" w:themeFill="background1" w:themeFillShade="F2"/>
          </w:tcPr>
          <w:p w14:paraId="74516F14" w14:textId="681D26D7" w:rsidR="000E5A4C" w:rsidRPr="00CC28EC" w:rsidRDefault="0031067C" w:rsidP="009E472C">
            <w:pPr>
              <w:jc w:val="center"/>
              <w:rPr>
                <w:sz w:val="18"/>
                <w:szCs w:val="18"/>
                <w:lang w:eastAsia="pl-PL"/>
              </w:rPr>
            </w:pPr>
            <w:r w:rsidRPr="00CC28EC">
              <w:rPr>
                <w:sz w:val="18"/>
                <w:szCs w:val="18"/>
                <w:lang w:eastAsia="pl-PL"/>
              </w:rPr>
              <w:t>173,0</w:t>
            </w:r>
          </w:p>
        </w:tc>
        <w:tc>
          <w:tcPr>
            <w:tcW w:w="900" w:type="dxa"/>
            <w:shd w:val="clear" w:color="auto" w:fill="F2F2F2" w:themeFill="background1" w:themeFillShade="F2"/>
          </w:tcPr>
          <w:p w14:paraId="731F3638" w14:textId="7FFEEF70" w:rsidR="000E5A4C" w:rsidRPr="00CC28EC" w:rsidRDefault="0031067C" w:rsidP="009E472C">
            <w:pPr>
              <w:jc w:val="center"/>
              <w:rPr>
                <w:sz w:val="18"/>
                <w:szCs w:val="18"/>
                <w:lang w:eastAsia="pl-PL"/>
              </w:rPr>
            </w:pPr>
            <w:r w:rsidRPr="00CC28EC">
              <w:rPr>
                <w:sz w:val="18"/>
                <w:szCs w:val="18"/>
                <w:lang w:eastAsia="pl-PL"/>
              </w:rPr>
              <w:t>254,2</w:t>
            </w:r>
          </w:p>
        </w:tc>
        <w:tc>
          <w:tcPr>
            <w:tcW w:w="773" w:type="dxa"/>
            <w:shd w:val="clear" w:color="auto" w:fill="F2F2F2" w:themeFill="background1" w:themeFillShade="F2"/>
          </w:tcPr>
          <w:p w14:paraId="0F6FE82D" w14:textId="16BB8B8F" w:rsidR="000E5A4C" w:rsidRPr="00CC28EC" w:rsidRDefault="0031067C" w:rsidP="009E472C">
            <w:pPr>
              <w:jc w:val="center"/>
              <w:rPr>
                <w:sz w:val="18"/>
                <w:szCs w:val="18"/>
                <w:lang w:eastAsia="pl-PL"/>
              </w:rPr>
            </w:pPr>
            <w:r w:rsidRPr="00CC28EC">
              <w:rPr>
                <w:sz w:val="18"/>
                <w:szCs w:val="18"/>
                <w:lang w:eastAsia="pl-PL"/>
              </w:rPr>
              <w:t>266,0</w:t>
            </w:r>
          </w:p>
        </w:tc>
      </w:tr>
      <w:tr w:rsidR="00CC28EC" w:rsidRPr="00CC28EC" w14:paraId="0849D448" w14:textId="77777777" w:rsidTr="000E5A4C">
        <w:trPr>
          <w:jc w:val="center"/>
        </w:trPr>
        <w:tc>
          <w:tcPr>
            <w:tcW w:w="3622" w:type="dxa"/>
            <w:shd w:val="clear" w:color="auto" w:fill="F2F2F2" w:themeFill="background1" w:themeFillShade="F2"/>
          </w:tcPr>
          <w:p w14:paraId="3153F5D3" w14:textId="4C90AFAD" w:rsidR="00D74782" w:rsidRPr="00CC28EC" w:rsidRDefault="000E5A4C" w:rsidP="009E472C">
            <w:pPr>
              <w:rPr>
                <w:bCs/>
                <w:lang w:eastAsia="pl-PL"/>
              </w:rPr>
            </w:pPr>
            <w:r w:rsidRPr="00CC28EC">
              <w:rPr>
                <w:bCs/>
                <w:lang w:eastAsia="pl-PL"/>
              </w:rPr>
              <w:t>Datorie publică externă</w:t>
            </w:r>
          </w:p>
        </w:tc>
        <w:tc>
          <w:tcPr>
            <w:tcW w:w="810" w:type="dxa"/>
            <w:shd w:val="clear" w:color="auto" w:fill="F2F2F2" w:themeFill="background1" w:themeFillShade="F2"/>
          </w:tcPr>
          <w:p w14:paraId="7D0A7225" w14:textId="2F3E77EB" w:rsidR="00D74782" w:rsidRPr="00CC28EC" w:rsidRDefault="0031067C" w:rsidP="009E472C">
            <w:pPr>
              <w:jc w:val="center"/>
              <w:rPr>
                <w:sz w:val="18"/>
                <w:szCs w:val="18"/>
                <w:lang w:eastAsia="pl-PL"/>
              </w:rPr>
            </w:pPr>
            <w:r w:rsidRPr="00CC28EC">
              <w:rPr>
                <w:sz w:val="18"/>
                <w:szCs w:val="18"/>
                <w:lang w:eastAsia="pl-PL"/>
              </w:rPr>
              <w:t>133,1</w:t>
            </w:r>
          </w:p>
        </w:tc>
        <w:tc>
          <w:tcPr>
            <w:tcW w:w="630" w:type="dxa"/>
            <w:shd w:val="clear" w:color="auto" w:fill="F2F2F2" w:themeFill="background1" w:themeFillShade="F2"/>
          </w:tcPr>
          <w:p w14:paraId="14C9F51F" w14:textId="68EC2BA6" w:rsidR="00D74782" w:rsidRPr="00CC28EC" w:rsidRDefault="0031067C" w:rsidP="009E472C">
            <w:pPr>
              <w:jc w:val="center"/>
              <w:rPr>
                <w:sz w:val="18"/>
                <w:szCs w:val="18"/>
                <w:lang w:eastAsia="pl-PL"/>
              </w:rPr>
            </w:pPr>
            <w:r w:rsidRPr="00CC28EC">
              <w:rPr>
                <w:sz w:val="18"/>
                <w:szCs w:val="18"/>
                <w:lang w:eastAsia="pl-PL"/>
              </w:rPr>
              <w:t>147,7</w:t>
            </w:r>
          </w:p>
        </w:tc>
        <w:tc>
          <w:tcPr>
            <w:tcW w:w="720" w:type="dxa"/>
            <w:shd w:val="clear" w:color="auto" w:fill="F2F2F2" w:themeFill="background1" w:themeFillShade="F2"/>
          </w:tcPr>
          <w:p w14:paraId="22CD6D85" w14:textId="51AA4FA3" w:rsidR="00D74782" w:rsidRPr="00CC28EC" w:rsidRDefault="0031067C" w:rsidP="009E472C">
            <w:pPr>
              <w:jc w:val="center"/>
              <w:rPr>
                <w:sz w:val="18"/>
                <w:szCs w:val="18"/>
                <w:lang w:eastAsia="pl-PL"/>
              </w:rPr>
            </w:pPr>
            <w:r w:rsidRPr="00CC28EC">
              <w:rPr>
                <w:sz w:val="18"/>
                <w:szCs w:val="18"/>
                <w:lang w:eastAsia="pl-PL"/>
              </w:rPr>
              <w:t>154,6</w:t>
            </w:r>
          </w:p>
        </w:tc>
        <w:tc>
          <w:tcPr>
            <w:tcW w:w="900" w:type="dxa"/>
            <w:shd w:val="clear" w:color="auto" w:fill="F2F2F2" w:themeFill="background1" w:themeFillShade="F2"/>
          </w:tcPr>
          <w:p w14:paraId="3DEF5731" w14:textId="6D99F976" w:rsidR="00D74782" w:rsidRPr="00CC28EC" w:rsidRDefault="0031067C" w:rsidP="009E472C">
            <w:pPr>
              <w:jc w:val="center"/>
              <w:rPr>
                <w:sz w:val="18"/>
                <w:szCs w:val="18"/>
                <w:lang w:eastAsia="pl-PL"/>
              </w:rPr>
            </w:pPr>
            <w:r w:rsidRPr="00CC28EC">
              <w:rPr>
                <w:sz w:val="18"/>
                <w:szCs w:val="18"/>
                <w:lang w:eastAsia="pl-PL"/>
              </w:rPr>
              <w:t>172,5</w:t>
            </w:r>
          </w:p>
        </w:tc>
        <w:tc>
          <w:tcPr>
            <w:tcW w:w="630" w:type="dxa"/>
            <w:shd w:val="clear" w:color="auto" w:fill="F2F2F2" w:themeFill="background1" w:themeFillShade="F2"/>
          </w:tcPr>
          <w:p w14:paraId="21F0BE68" w14:textId="45F7BA4C" w:rsidR="00D74782" w:rsidRPr="00CC28EC" w:rsidRDefault="0031067C" w:rsidP="009E472C">
            <w:pPr>
              <w:jc w:val="center"/>
              <w:rPr>
                <w:sz w:val="18"/>
                <w:szCs w:val="18"/>
                <w:lang w:eastAsia="pl-PL"/>
              </w:rPr>
            </w:pPr>
            <w:r w:rsidRPr="00CC28EC">
              <w:rPr>
                <w:sz w:val="18"/>
                <w:szCs w:val="18"/>
                <w:lang w:eastAsia="pl-PL"/>
              </w:rPr>
              <w:t>200,5</w:t>
            </w:r>
          </w:p>
        </w:tc>
        <w:tc>
          <w:tcPr>
            <w:tcW w:w="900" w:type="dxa"/>
            <w:shd w:val="clear" w:color="auto" w:fill="F2F2F2" w:themeFill="background1" w:themeFillShade="F2"/>
          </w:tcPr>
          <w:p w14:paraId="2BC559D3" w14:textId="20B1D868" w:rsidR="00D74782" w:rsidRPr="00CC28EC" w:rsidRDefault="0031067C" w:rsidP="009E472C">
            <w:pPr>
              <w:jc w:val="center"/>
              <w:rPr>
                <w:sz w:val="18"/>
                <w:szCs w:val="18"/>
                <w:lang w:eastAsia="pl-PL"/>
              </w:rPr>
            </w:pPr>
            <w:r w:rsidRPr="00CC28EC">
              <w:rPr>
                <w:sz w:val="18"/>
                <w:szCs w:val="18"/>
                <w:lang w:eastAsia="pl-PL"/>
              </w:rPr>
              <w:t>245,0</w:t>
            </w:r>
          </w:p>
        </w:tc>
        <w:tc>
          <w:tcPr>
            <w:tcW w:w="773" w:type="dxa"/>
            <w:shd w:val="clear" w:color="auto" w:fill="F2F2F2" w:themeFill="background1" w:themeFillShade="F2"/>
          </w:tcPr>
          <w:p w14:paraId="4D13B66A" w14:textId="0F94A414" w:rsidR="00D74782" w:rsidRPr="00CC28EC" w:rsidRDefault="0031067C" w:rsidP="009E472C">
            <w:pPr>
              <w:jc w:val="center"/>
              <w:rPr>
                <w:sz w:val="18"/>
                <w:szCs w:val="18"/>
                <w:lang w:eastAsia="pl-PL"/>
              </w:rPr>
            </w:pPr>
            <w:r w:rsidRPr="00CC28EC">
              <w:rPr>
                <w:sz w:val="18"/>
                <w:szCs w:val="18"/>
                <w:lang w:eastAsia="pl-PL"/>
              </w:rPr>
              <w:t>260,1</w:t>
            </w:r>
          </w:p>
        </w:tc>
      </w:tr>
    </w:tbl>
    <w:p w14:paraId="6B73E2D1" w14:textId="177725DD" w:rsidR="002C7FD2" w:rsidRPr="00CC28EC" w:rsidRDefault="00D74782" w:rsidP="00DC0AFB">
      <w:pPr>
        <w:spacing w:before="80"/>
        <w:jc w:val="center"/>
        <w:rPr>
          <w:lang w:eastAsia="pl-PL"/>
        </w:rPr>
      </w:pPr>
      <w:r w:rsidRPr="00CC28EC">
        <w:rPr>
          <w:lang w:eastAsia="pl-PL"/>
        </w:rPr>
        <w:t xml:space="preserve">Source: processing by mfinante.gov.ro, </w:t>
      </w:r>
      <w:proofErr w:type="spellStart"/>
      <w:r w:rsidRPr="00CC28EC">
        <w:rPr>
          <w:lang w:eastAsia="pl-PL"/>
        </w:rPr>
        <w:t>Guvernmental</w:t>
      </w:r>
      <w:proofErr w:type="spellEnd"/>
      <w:r w:rsidRPr="00CC28EC">
        <w:rPr>
          <w:lang w:eastAsia="pl-PL"/>
        </w:rPr>
        <w:t xml:space="preserve"> debt,</w:t>
      </w:r>
      <w:r w:rsidRPr="00CC28EC">
        <w:t xml:space="preserve"> </w:t>
      </w:r>
      <w:r w:rsidRPr="00CC28EC">
        <w:rPr>
          <w:lang w:eastAsia="pl-PL"/>
        </w:rPr>
        <w:t>own calculations</w:t>
      </w:r>
    </w:p>
    <w:bookmarkEnd w:id="10"/>
    <w:p w14:paraId="332A3848" w14:textId="394285AE" w:rsidR="00E84606" w:rsidRPr="00CC28EC" w:rsidRDefault="00E84606" w:rsidP="002C7FD2">
      <w:pPr>
        <w:ind w:firstLine="708"/>
        <w:jc w:val="both"/>
        <w:rPr>
          <w:sz w:val="24"/>
          <w:szCs w:val="24"/>
          <w:lang w:eastAsia="pl-PL"/>
        </w:rPr>
      </w:pPr>
      <w:proofErr w:type="spellStart"/>
      <w:r w:rsidRPr="00CC28EC">
        <w:rPr>
          <w:sz w:val="24"/>
          <w:szCs w:val="24"/>
          <w:lang w:eastAsia="pl-PL"/>
        </w:rPr>
        <w:t>Dacă</w:t>
      </w:r>
      <w:proofErr w:type="spellEnd"/>
      <w:r w:rsidRPr="00CC28EC">
        <w:rPr>
          <w:sz w:val="24"/>
          <w:szCs w:val="24"/>
          <w:lang w:eastAsia="pl-PL"/>
        </w:rPr>
        <w:t xml:space="preserve"> </w:t>
      </w:r>
      <w:proofErr w:type="spellStart"/>
      <w:r w:rsidRPr="00CC28EC">
        <w:rPr>
          <w:sz w:val="24"/>
          <w:szCs w:val="24"/>
          <w:lang w:eastAsia="pl-PL"/>
        </w:rPr>
        <w:t>a</w:t>
      </w:r>
      <w:r w:rsidR="002C7FD2" w:rsidRPr="00CC28EC">
        <w:rPr>
          <w:sz w:val="24"/>
          <w:szCs w:val="24"/>
          <w:lang w:eastAsia="pl-PL"/>
        </w:rPr>
        <w:t>naliz</w:t>
      </w:r>
      <w:r w:rsidRPr="00CC28EC">
        <w:rPr>
          <w:sz w:val="24"/>
          <w:szCs w:val="24"/>
          <w:lang w:eastAsia="pl-PL"/>
        </w:rPr>
        <w:t>ăm</w:t>
      </w:r>
      <w:proofErr w:type="spellEnd"/>
      <w:r w:rsidR="002C7FD2" w:rsidRPr="00CC28EC">
        <w:rPr>
          <w:sz w:val="24"/>
          <w:szCs w:val="24"/>
          <w:lang w:eastAsia="pl-PL"/>
        </w:rPr>
        <w:t xml:space="preserve"> </w:t>
      </w:r>
      <w:proofErr w:type="spellStart"/>
      <w:r w:rsidR="002C7FD2" w:rsidRPr="00CC28EC">
        <w:rPr>
          <w:sz w:val="24"/>
          <w:szCs w:val="24"/>
          <w:lang w:eastAsia="pl-PL"/>
        </w:rPr>
        <w:t>structura</w:t>
      </w:r>
      <w:proofErr w:type="spellEnd"/>
      <w:r w:rsidR="002C7FD2" w:rsidRPr="00CC28EC">
        <w:rPr>
          <w:sz w:val="24"/>
          <w:szCs w:val="24"/>
          <w:lang w:eastAsia="pl-PL"/>
        </w:rPr>
        <w:t xml:space="preserve">, </w:t>
      </w:r>
      <w:proofErr w:type="spellStart"/>
      <w:r w:rsidR="002C7FD2" w:rsidRPr="00CC28EC">
        <w:rPr>
          <w:sz w:val="24"/>
          <w:szCs w:val="24"/>
          <w:lang w:eastAsia="pl-PL"/>
        </w:rPr>
        <w:t>constatăm</w:t>
      </w:r>
      <w:proofErr w:type="spellEnd"/>
      <w:r w:rsidR="002C7FD2" w:rsidRPr="00CC28EC">
        <w:rPr>
          <w:sz w:val="24"/>
          <w:szCs w:val="24"/>
          <w:lang w:eastAsia="pl-PL"/>
        </w:rPr>
        <w:t xml:space="preserve"> </w:t>
      </w:r>
      <w:proofErr w:type="spellStart"/>
      <w:r w:rsidRPr="00CC28EC">
        <w:rPr>
          <w:sz w:val="24"/>
          <w:szCs w:val="24"/>
          <w:lang w:eastAsia="pl-PL"/>
        </w:rPr>
        <w:t>faptul</w:t>
      </w:r>
      <w:proofErr w:type="spellEnd"/>
      <w:r w:rsidRPr="00CC28EC">
        <w:rPr>
          <w:sz w:val="24"/>
          <w:szCs w:val="24"/>
          <w:lang w:eastAsia="pl-PL"/>
        </w:rPr>
        <w:t xml:space="preserve"> </w:t>
      </w:r>
      <w:proofErr w:type="spellStart"/>
      <w:r w:rsidRPr="00CC28EC">
        <w:rPr>
          <w:sz w:val="24"/>
          <w:szCs w:val="24"/>
          <w:lang w:eastAsia="pl-PL"/>
        </w:rPr>
        <w:t>că</w:t>
      </w:r>
      <w:proofErr w:type="spellEnd"/>
      <w:r w:rsidRPr="00CC28EC">
        <w:rPr>
          <w:sz w:val="24"/>
          <w:szCs w:val="24"/>
          <w:lang w:eastAsia="pl-PL"/>
        </w:rPr>
        <w:t xml:space="preserve"> </w:t>
      </w:r>
      <w:proofErr w:type="spellStart"/>
      <w:r w:rsidRPr="00CC28EC">
        <w:rPr>
          <w:sz w:val="24"/>
          <w:szCs w:val="24"/>
          <w:lang w:eastAsia="pl-PL"/>
        </w:rPr>
        <w:t>prdominantă</w:t>
      </w:r>
      <w:proofErr w:type="spellEnd"/>
      <w:r w:rsidRPr="00CC28EC">
        <w:rPr>
          <w:sz w:val="24"/>
          <w:szCs w:val="24"/>
          <w:lang w:eastAsia="pl-PL"/>
        </w:rPr>
        <w:t xml:space="preserve"> </w:t>
      </w:r>
      <w:proofErr w:type="spellStart"/>
      <w:r w:rsidRPr="00CC28EC">
        <w:rPr>
          <w:sz w:val="24"/>
          <w:szCs w:val="24"/>
          <w:lang w:eastAsia="pl-PL"/>
        </w:rPr>
        <w:t>este</w:t>
      </w:r>
      <w:proofErr w:type="spellEnd"/>
      <w:r w:rsidRPr="00CC28EC">
        <w:rPr>
          <w:sz w:val="24"/>
          <w:szCs w:val="24"/>
          <w:lang w:eastAsia="pl-PL"/>
        </w:rPr>
        <w:t xml:space="preserve"> </w:t>
      </w:r>
      <w:proofErr w:type="spellStart"/>
      <w:r w:rsidRPr="00CC28EC">
        <w:rPr>
          <w:sz w:val="24"/>
          <w:szCs w:val="24"/>
          <w:lang w:eastAsia="pl-PL"/>
        </w:rPr>
        <w:t>datoria</w:t>
      </w:r>
      <w:proofErr w:type="spellEnd"/>
      <w:r w:rsidRPr="00CC28EC">
        <w:rPr>
          <w:sz w:val="24"/>
          <w:szCs w:val="24"/>
          <w:lang w:eastAsia="pl-PL"/>
        </w:rPr>
        <w:t xml:space="preserve"> </w:t>
      </w:r>
      <w:proofErr w:type="spellStart"/>
      <w:r w:rsidRPr="00CC28EC">
        <w:rPr>
          <w:sz w:val="24"/>
          <w:szCs w:val="24"/>
          <w:lang w:eastAsia="pl-PL"/>
        </w:rPr>
        <w:t>publică</w:t>
      </w:r>
      <w:proofErr w:type="spellEnd"/>
      <w:r w:rsidRPr="00CC28EC">
        <w:rPr>
          <w:sz w:val="24"/>
          <w:szCs w:val="24"/>
          <w:lang w:eastAsia="pl-PL"/>
        </w:rPr>
        <w:t xml:space="preserve"> pe termen </w:t>
      </w:r>
      <w:proofErr w:type="spellStart"/>
      <w:r w:rsidRPr="00CC28EC">
        <w:rPr>
          <w:sz w:val="24"/>
          <w:szCs w:val="24"/>
          <w:lang w:eastAsia="pl-PL"/>
        </w:rPr>
        <w:t>mediu</w:t>
      </w:r>
      <w:proofErr w:type="spellEnd"/>
      <w:r w:rsidRPr="00CC28EC">
        <w:rPr>
          <w:sz w:val="24"/>
          <w:szCs w:val="24"/>
          <w:lang w:eastAsia="pl-PL"/>
        </w:rPr>
        <w:t xml:space="preserve"> </w:t>
      </w:r>
      <w:proofErr w:type="spellStart"/>
      <w:r w:rsidRPr="00CC28EC">
        <w:rPr>
          <w:sz w:val="24"/>
          <w:szCs w:val="24"/>
          <w:lang w:eastAsia="pl-PL"/>
        </w:rPr>
        <w:t>și</w:t>
      </w:r>
      <w:proofErr w:type="spellEnd"/>
      <w:r w:rsidRPr="00CC28EC">
        <w:rPr>
          <w:sz w:val="24"/>
          <w:szCs w:val="24"/>
          <w:lang w:eastAsia="pl-PL"/>
        </w:rPr>
        <w:t xml:space="preserve"> lung, </w:t>
      </w:r>
      <w:proofErr w:type="spellStart"/>
      <w:r w:rsidRPr="00CC28EC">
        <w:rPr>
          <w:sz w:val="24"/>
          <w:szCs w:val="24"/>
          <w:lang w:eastAsia="pl-PL"/>
        </w:rPr>
        <w:t>adică</w:t>
      </w:r>
      <w:proofErr w:type="spellEnd"/>
      <w:r w:rsidRPr="00CC28EC">
        <w:rPr>
          <w:sz w:val="24"/>
          <w:szCs w:val="24"/>
          <w:lang w:eastAsia="pl-PL"/>
        </w:rPr>
        <w:t xml:space="preserve"> </w:t>
      </w:r>
      <w:proofErr w:type="spellStart"/>
      <w:r w:rsidRPr="00CC28EC">
        <w:rPr>
          <w:sz w:val="24"/>
          <w:szCs w:val="24"/>
          <w:lang w:eastAsia="pl-PL"/>
        </w:rPr>
        <w:t>scadențe</w:t>
      </w:r>
      <w:proofErr w:type="spellEnd"/>
      <w:r w:rsidRPr="00CC28EC">
        <w:rPr>
          <w:sz w:val="24"/>
          <w:szCs w:val="24"/>
          <w:lang w:eastAsia="pl-PL"/>
        </w:rPr>
        <w:t xml:space="preserve"> </w:t>
      </w:r>
      <w:proofErr w:type="spellStart"/>
      <w:r w:rsidRPr="00CC28EC">
        <w:rPr>
          <w:sz w:val="24"/>
          <w:szCs w:val="24"/>
          <w:lang w:eastAsia="pl-PL"/>
        </w:rPr>
        <w:t>peste</w:t>
      </w:r>
      <w:proofErr w:type="spellEnd"/>
      <w:r w:rsidRPr="00CC28EC">
        <w:rPr>
          <w:sz w:val="24"/>
          <w:szCs w:val="24"/>
          <w:lang w:eastAsia="pl-PL"/>
        </w:rPr>
        <w:t xml:space="preserve"> un an. </w:t>
      </w:r>
      <w:proofErr w:type="spellStart"/>
      <w:r w:rsidRPr="00CC28EC">
        <w:rPr>
          <w:sz w:val="24"/>
          <w:szCs w:val="24"/>
          <w:lang w:eastAsia="pl-PL"/>
        </w:rPr>
        <w:t>Acesta</w:t>
      </w:r>
      <w:proofErr w:type="spellEnd"/>
      <w:r w:rsidRPr="00CC28EC">
        <w:rPr>
          <w:sz w:val="24"/>
          <w:szCs w:val="24"/>
          <w:lang w:eastAsia="pl-PL"/>
        </w:rPr>
        <w:t xml:space="preserve"> </w:t>
      </w:r>
      <w:proofErr w:type="spellStart"/>
      <w:r w:rsidRPr="00CC28EC">
        <w:rPr>
          <w:sz w:val="24"/>
          <w:szCs w:val="24"/>
          <w:lang w:eastAsia="pl-PL"/>
        </w:rPr>
        <w:t>este</w:t>
      </w:r>
      <w:proofErr w:type="spellEnd"/>
      <w:r w:rsidRPr="00CC28EC">
        <w:rPr>
          <w:sz w:val="24"/>
          <w:szCs w:val="24"/>
          <w:lang w:eastAsia="pl-PL"/>
        </w:rPr>
        <w:t xml:space="preserve"> un </w:t>
      </w:r>
      <w:proofErr w:type="spellStart"/>
      <w:r w:rsidRPr="00CC28EC">
        <w:rPr>
          <w:sz w:val="24"/>
          <w:szCs w:val="24"/>
          <w:lang w:eastAsia="pl-PL"/>
        </w:rPr>
        <w:t>lucru</w:t>
      </w:r>
      <w:proofErr w:type="spellEnd"/>
      <w:r w:rsidRPr="00CC28EC">
        <w:rPr>
          <w:sz w:val="24"/>
          <w:szCs w:val="24"/>
          <w:lang w:eastAsia="pl-PL"/>
        </w:rPr>
        <w:t xml:space="preserve"> bun, </w:t>
      </w:r>
      <w:proofErr w:type="spellStart"/>
      <w:r w:rsidRPr="00CC28EC">
        <w:rPr>
          <w:sz w:val="24"/>
          <w:szCs w:val="24"/>
          <w:lang w:eastAsia="pl-PL"/>
        </w:rPr>
        <w:t>serviciul</w:t>
      </w:r>
      <w:proofErr w:type="spellEnd"/>
      <w:r w:rsidRPr="00CC28EC">
        <w:rPr>
          <w:sz w:val="24"/>
          <w:szCs w:val="24"/>
          <w:lang w:eastAsia="pl-PL"/>
        </w:rPr>
        <w:t xml:space="preserve"> </w:t>
      </w:r>
      <w:proofErr w:type="spellStart"/>
      <w:r w:rsidRPr="00CC28EC">
        <w:rPr>
          <w:sz w:val="24"/>
          <w:szCs w:val="24"/>
          <w:lang w:eastAsia="pl-PL"/>
        </w:rPr>
        <w:t>datoriei</w:t>
      </w:r>
      <w:proofErr w:type="spellEnd"/>
      <w:r w:rsidRPr="00CC28EC">
        <w:rPr>
          <w:sz w:val="24"/>
          <w:szCs w:val="24"/>
          <w:lang w:eastAsia="pl-PL"/>
        </w:rPr>
        <w:t xml:space="preserve"> </w:t>
      </w:r>
      <w:proofErr w:type="spellStart"/>
      <w:r w:rsidRPr="00CC28EC">
        <w:rPr>
          <w:sz w:val="24"/>
          <w:szCs w:val="24"/>
          <w:lang w:eastAsia="pl-PL"/>
        </w:rPr>
        <w:t>publice</w:t>
      </w:r>
      <w:proofErr w:type="spellEnd"/>
      <w:r w:rsidRPr="00CC28EC">
        <w:rPr>
          <w:sz w:val="24"/>
          <w:szCs w:val="24"/>
          <w:lang w:eastAsia="pl-PL"/>
        </w:rPr>
        <w:t xml:space="preserve"> </w:t>
      </w:r>
      <w:proofErr w:type="spellStart"/>
      <w:r w:rsidRPr="00CC28EC">
        <w:rPr>
          <w:sz w:val="24"/>
          <w:szCs w:val="24"/>
          <w:lang w:eastAsia="pl-PL"/>
        </w:rPr>
        <w:t>având</w:t>
      </w:r>
      <w:proofErr w:type="spellEnd"/>
      <w:r w:rsidRPr="00CC28EC">
        <w:rPr>
          <w:sz w:val="24"/>
          <w:szCs w:val="24"/>
          <w:lang w:eastAsia="pl-PL"/>
        </w:rPr>
        <w:t xml:space="preserve"> o </w:t>
      </w:r>
      <w:proofErr w:type="spellStart"/>
      <w:r w:rsidRPr="00CC28EC">
        <w:rPr>
          <w:sz w:val="24"/>
          <w:szCs w:val="24"/>
          <w:lang w:eastAsia="pl-PL"/>
        </w:rPr>
        <w:t>importanță</w:t>
      </w:r>
      <w:proofErr w:type="spellEnd"/>
      <w:r w:rsidRPr="00CC28EC">
        <w:rPr>
          <w:sz w:val="24"/>
          <w:szCs w:val="24"/>
          <w:lang w:eastAsia="pl-PL"/>
        </w:rPr>
        <w:t xml:space="preserve"> </w:t>
      </w:r>
      <w:proofErr w:type="spellStart"/>
      <w:r w:rsidRPr="00CC28EC">
        <w:rPr>
          <w:sz w:val="24"/>
          <w:szCs w:val="24"/>
          <w:lang w:eastAsia="pl-PL"/>
        </w:rPr>
        <w:t>deosebită</w:t>
      </w:r>
      <w:proofErr w:type="spellEnd"/>
      <w:r w:rsidRPr="00CC28EC">
        <w:rPr>
          <w:sz w:val="24"/>
          <w:szCs w:val="24"/>
          <w:lang w:eastAsia="pl-PL"/>
        </w:rPr>
        <w:t xml:space="preserve"> </w:t>
      </w:r>
      <w:proofErr w:type="spellStart"/>
      <w:r w:rsidRPr="00CC28EC">
        <w:rPr>
          <w:sz w:val="24"/>
          <w:szCs w:val="24"/>
          <w:lang w:eastAsia="pl-PL"/>
        </w:rPr>
        <w:t>atunci</w:t>
      </w:r>
      <w:proofErr w:type="spellEnd"/>
      <w:r w:rsidRPr="00CC28EC">
        <w:rPr>
          <w:sz w:val="24"/>
          <w:szCs w:val="24"/>
          <w:lang w:eastAsia="pl-PL"/>
        </w:rPr>
        <w:t xml:space="preserve"> </w:t>
      </w:r>
      <w:proofErr w:type="spellStart"/>
      <w:r w:rsidRPr="00CC28EC">
        <w:rPr>
          <w:sz w:val="24"/>
          <w:szCs w:val="24"/>
          <w:lang w:eastAsia="pl-PL"/>
        </w:rPr>
        <w:t>când</w:t>
      </w:r>
      <w:proofErr w:type="spellEnd"/>
      <w:r w:rsidRPr="00CC28EC">
        <w:rPr>
          <w:sz w:val="24"/>
          <w:szCs w:val="24"/>
          <w:lang w:eastAsia="pl-PL"/>
        </w:rPr>
        <w:t xml:space="preserve"> </w:t>
      </w:r>
      <w:proofErr w:type="spellStart"/>
      <w:r w:rsidRPr="00CC28EC">
        <w:rPr>
          <w:sz w:val="24"/>
          <w:szCs w:val="24"/>
          <w:lang w:eastAsia="pl-PL"/>
        </w:rPr>
        <w:t>vorbim</w:t>
      </w:r>
      <w:proofErr w:type="spellEnd"/>
      <w:r w:rsidRPr="00CC28EC">
        <w:rPr>
          <w:sz w:val="24"/>
          <w:szCs w:val="24"/>
          <w:lang w:eastAsia="pl-PL"/>
        </w:rPr>
        <w:t xml:space="preserve"> de </w:t>
      </w:r>
      <w:proofErr w:type="spellStart"/>
      <w:r w:rsidRPr="00CC28EC">
        <w:rPr>
          <w:sz w:val="24"/>
          <w:szCs w:val="24"/>
          <w:lang w:eastAsia="pl-PL"/>
        </w:rPr>
        <w:t>cheltuielile</w:t>
      </w:r>
      <w:proofErr w:type="spellEnd"/>
      <w:r w:rsidRPr="00CC28EC">
        <w:rPr>
          <w:sz w:val="24"/>
          <w:szCs w:val="24"/>
          <w:lang w:eastAsia="pl-PL"/>
        </w:rPr>
        <w:t xml:space="preserve"> </w:t>
      </w:r>
      <w:proofErr w:type="spellStart"/>
      <w:r w:rsidRPr="00CC28EC">
        <w:rPr>
          <w:sz w:val="24"/>
          <w:szCs w:val="24"/>
          <w:lang w:eastAsia="pl-PL"/>
        </w:rPr>
        <w:t>publice</w:t>
      </w:r>
      <w:proofErr w:type="spellEnd"/>
      <w:r w:rsidRPr="00CC28EC">
        <w:rPr>
          <w:sz w:val="24"/>
          <w:szCs w:val="24"/>
          <w:lang w:eastAsia="pl-PL"/>
        </w:rPr>
        <w:t xml:space="preserve"> din </w:t>
      </w:r>
      <w:proofErr w:type="spellStart"/>
      <w:r w:rsidRPr="00CC28EC">
        <w:rPr>
          <w:sz w:val="24"/>
          <w:szCs w:val="24"/>
          <w:lang w:eastAsia="pl-PL"/>
        </w:rPr>
        <w:t>fiecare</w:t>
      </w:r>
      <w:proofErr w:type="spellEnd"/>
      <w:r w:rsidRPr="00CC28EC">
        <w:rPr>
          <w:sz w:val="24"/>
          <w:szCs w:val="24"/>
          <w:lang w:eastAsia="pl-PL"/>
        </w:rPr>
        <w:t xml:space="preserve"> an.</w:t>
      </w:r>
    </w:p>
    <w:p w14:paraId="480F2E64" w14:textId="2BAB556E" w:rsidR="00D84DFE" w:rsidRPr="00CC28EC" w:rsidRDefault="00D84DFE" w:rsidP="002C7FD2">
      <w:pPr>
        <w:ind w:firstLine="708"/>
        <w:jc w:val="both"/>
        <w:rPr>
          <w:sz w:val="24"/>
          <w:szCs w:val="24"/>
          <w:lang w:val="ro-RO" w:eastAsia="pl-PL"/>
        </w:rPr>
      </w:pPr>
      <w:proofErr w:type="spellStart"/>
      <w:r w:rsidRPr="00CC28EC">
        <w:rPr>
          <w:sz w:val="24"/>
          <w:szCs w:val="24"/>
          <w:lang w:eastAsia="pl-PL"/>
        </w:rPr>
        <w:t>Structura</w:t>
      </w:r>
      <w:proofErr w:type="spellEnd"/>
      <w:r w:rsidRPr="00CC28EC">
        <w:rPr>
          <w:sz w:val="24"/>
          <w:szCs w:val="24"/>
          <w:lang w:eastAsia="pl-PL"/>
        </w:rPr>
        <w:t xml:space="preserve"> pe </w:t>
      </w:r>
      <w:proofErr w:type="spellStart"/>
      <w:r w:rsidRPr="00CC28EC">
        <w:rPr>
          <w:sz w:val="24"/>
          <w:szCs w:val="24"/>
          <w:lang w:eastAsia="pl-PL"/>
        </w:rPr>
        <w:t>valute</w:t>
      </w:r>
      <w:proofErr w:type="spellEnd"/>
      <w:r w:rsidRPr="00CC28EC">
        <w:rPr>
          <w:sz w:val="24"/>
          <w:szCs w:val="24"/>
          <w:lang w:eastAsia="pl-PL"/>
        </w:rPr>
        <w:t xml:space="preserve"> ne </w:t>
      </w:r>
      <w:proofErr w:type="spellStart"/>
      <w:r w:rsidRPr="00CC28EC">
        <w:rPr>
          <w:sz w:val="24"/>
          <w:szCs w:val="24"/>
          <w:lang w:eastAsia="pl-PL"/>
        </w:rPr>
        <w:t>arată</w:t>
      </w:r>
      <w:proofErr w:type="spellEnd"/>
      <w:r w:rsidRPr="00CC28EC">
        <w:rPr>
          <w:sz w:val="24"/>
          <w:szCs w:val="24"/>
          <w:lang w:eastAsia="pl-PL"/>
        </w:rPr>
        <w:t xml:space="preserve"> o </w:t>
      </w:r>
      <w:proofErr w:type="spellStart"/>
      <w:r w:rsidRPr="00CC28EC">
        <w:rPr>
          <w:sz w:val="24"/>
          <w:szCs w:val="24"/>
          <w:lang w:eastAsia="pl-PL"/>
        </w:rPr>
        <w:t>îndatorare</w:t>
      </w:r>
      <w:proofErr w:type="spellEnd"/>
      <w:r w:rsidRPr="00CC28EC">
        <w:rPr>
          <w:sz w:val="24"/>
          <w:szCs w:val="24"/>
          <w:lang w:eastAsia="pl-PL"/>
        </w:rPr>
        <w:t xml:space="preserve"> </w:t>
      </w:r>
      <w:proofErr w:type="spellStart"/>
      <w:r w:rsidRPr="00CC28EC">
        <w:rPr>
          <w:sz w:val="24"/>
          <w:szCs w:val="24"/>
          <w:lang w:eastAsia="pl-PL"/>
        </w:rPr>
        <w:t>mai</w:t>
      </w:r>
      <w:proofErr w:type="spellEnd"/>
      <w:r w:rsidRPr="00CC28EC">
        <w:rPr>
          <w:sz w:val="24"/>
          <w:szCs w:val="24"/>
          <w:lang w:eastAsia="pl-PL"/>
        </w:rPr>
        <w:t xml:space="preserve"> mare </w:t>
      </w:r>
      <w:r w:rsidRPr="00CC28EC">
        <w:rPr>
          <w:sz w:val="24"/>
          <w:szCs w:val="24"/>
          <w:lang w:val="ro-RO" w:eastAsia="pl-PL"/>
        </w:rPr>
        <w:t>în monedă străină (Euro și USD), lucru ce pune presiune pe cursul de schimb. Și costurile la împrumuturile în valută sunt mai mari fiind influențate de ratingul acordat de agențiile de rating care nu a fost mereu cel mai bun</w:t>
      </w:r>
      <w:r w:rsidR="0041721A" w:rsidRPr="00CC28EC">
        <w:rPr>
          <w:sz w:val="24"/>
          <w:szCs w:val="24"/>
          <w:lang w:val="ro-RO" w:eastAsia="pl-PL"/>
        </w:rPr>
        <w:t>,</w:t>
      </w:r>
      <w:r w:rsidRPr="00CC28EC">
        <w:rPr>
          <w:sz w:val="24"/>
          <w:szCs w:val="24"/>
          <w:lang w:val="ro-RO" w:eastAsia="pl-PL"/>
        </w:rPr>
        <w:t xml:space="preserve"> comparativ cu alte țări.</w:t>
      </w:r>
    </w:p>
    <w:p w14:paraId="73FF701F" w14:textId="61EBF93A" w:rsidR="00D84DFE" w:rsidRPr="00CC28EC" w:rsidRDefault="00D84DFE" w:rsidP="002C7FD2">
      <w:pPr>
        <w:ind w:firstLine="708"/>
        <w:jc w:val="both"/>
        <w:rPr>
          <w:sz w:val="24"/>
          <w:szCs w:val="24"/>
          <w:lang w:val="ro-RO" w:eastAsia="pl-PL"/>
        </w:rPr>
      </w:pPr>
      <w:r w:rsidRPr="00CC28EC">
        <w:rPr>
          <w:sz w:val="24"/>
          <w:szCs w:val="24"/>
          <w:lang w:val="ro-RO" w:eastAsia="pl-PL"/>
        </w:rPr>
        <w:t xml:space="preserve">Alte concluzii pe care le putem trage urmărind datele din acest tabel sunt cele legate de faptul că datoria publică externă este dominantă, România fiind dependentă de piața financiară internațională, piața internă neputând furniza sumele necesare finanțării în bune condiții a </w:t>
      </w:r>
      <w:r w:rsidR="0041721A" w:rsidRPr="00CC28EC">
        <w:rPr>
          <w:sz w:val="24"/>
          <w:szCs w:val="24"/>
          <w:lang w:val="ro-RO" w:eastAsia="pl-PL"/>
        </w:rPr>
        <w:t>ncesităților</w:t>
      </w:r>
      <w:r w:rsidRPr="00CC28EC">
        <w:rPr>
          <w:sz w:val="24"/>
          <w:szCs w:val="24"/>
          <w:lang w:val="ro-RO" w:eastAsia="pl-PL"/>
        </w:rPr>
        <w:t>.</w:t>
      </w:r>
      <w:r w:rsidR="0041721A" w:rsidRPr="00CC28EC">
        <w:rPr>
          <w:sz w:val="24"/>
          <w:szCs w:val="24"/>
          <w:lang w:val="ro-RO" w:eastAsia="pl-PL"/>
        </w:rPr>
        <w:t xml:space="preserve"> </w:t>
      </w:r>
      <w:r w:rsidRPr="00CC28EC">
        <w:rPr>
          <w:sz w:val="24"/>
          <w:szCs w:val="24"/>
          <w:lang w:val="ro-RO" w:eastAsia="pl-PL"/>
        </w:rPr>
        <w:t>Aici dobânzile sunt influențate de rata inflației.</w:t>
      </w:r>
      <w:r w:rsidR="00BD091D" w:rsidRPr="00CC28EC">
        <w:rPr>
          <w:sz w:val="24"/>
          <w:szCs w:val="24"/>
          <w:lang w:val="ro-RO" w:eastAsia="pl-PL"/>
        </w:rPr>
        <w:t>Anul 2020 și prima parte a anului 2021 a consemnat o creștere spectaculoasă a acestui tip de datorie.</w:t>
      </w:r>
    </w:p>
    <w:p w14:paraId="5667B58A" w14:textId="34C50D8C" w:rsidR="00BD091D" w:rsidRPr="00CC28EC" w:rsidRDefault="00BD091D" w:rsidP="002C7FD2">
      <w:pPr>
        <w:ind w:firstLine="708"/>
        <w:jc w:val="both"/>
        <w:rPr>
          <w:sz w:val="24"/>
          <w:szCs w:val="24"/>
          <w:lang w:val="ro-RO" w:eastAsia="pl-PL"/>
        </w:rPr>
      </w:pPr>
      <w:r w:rsidRPr="00CC28EC">
        <w:rPr>
          <w:sz w:val="24"/>
          <w:szCs w:val="24"/>
          <w:lang w:val="ro-RO" w:eastAsia="pl-PL"/>
        </w:rPr>
        <w:t>De asemenea putem vorbi de faptul că datoria publică a administrație</w:t>
      </w:r>
      <w:r w:rsidR="0041721A" w:rsidRPr="00CC28EC">
        <w:rPr>
          <w:sz w:val="24"/>
          <w:szCs w:val="24"/>
          <w:lang w:val="ro-RO" w:eastAsia="pl-PL"/>
        </w:rPr>
        <w:t>i</w:t>
      </w:r>
      <w:r w:rsidRPr="00CC28EC">
        <w:rPr>
          <w:sz w:val="24"/>
          <w:szCs w:val="24"/>
          <w:lang w:val="ro-RO" w:eastAsia="pl-PL"/>
        </w:rPr>
        <w:t xml:space="preserve"> centrale este covârșitoare fie datorită barierelor legislative, fie slabei preocupări a admnistrațiilor locale de a accesa împrumuturi pe piața financiară internațională.</w:t>
      </w:r>
    </w:p>
    <w:p w14:paraId="23C2808C" w14:textId="442DF6A3" w:rsidR="001C7C47" w:rsidRPr="00CC28EC" w:rsidRDefault="009A34BC" w:rsidP="00BD091D">
      <w:pPr>
        <w:ind w:firstLine="708"/>
        <w:jc w:val="both"/>
        <w:rPr>
          <w:sz w:val="24"/>
          <w:szCs w:val="24"/>
        </w:rPr>
      </w:pPr>
      <w:proofErr w:type="spellStart"/>
      <w:r w:rsidRPr="00CC28EC">
        <w:rPr>
          <w:sz w:val="24"/>
          <w:szCs w:val="24"/>
        </w:rPr>
        <w:t>Aceast</w:t>
      </w:r>
      <w:proofErr w:type="spellEnd"/>
      <w:r w:rsidRPr="00CC28EC">
        <w:rPr>
          <w:sz w:val="24"/>
          <w:szCs w:val="24"/>
          <w:lang w:val="ro-RO"/>
        </w:rPr>
        <w:t>ă „</w:t>
      </w:r>
      <w:r w:rsidRPr="00CC28EC">
        <w:rPr>
          <w:i/>
          <w:iCs/>
          <w:sz w:val="24"/>
          <w:szCs w:val="24"/>
          <w:lang w:val="ro-RO"/>
        </w:rPr>
        <w:t>fotografie</w:t>
      </w:r>
      <w:r w:rsidRPr="00CC28EC">
        <w:rPr>
          <w:sz w:val="24"/>
          <w:szCs w:val="24"/>
          <w:lang w:val="ro-RO"/>
        </w:rPr>
        <w:t xml:space="preserve">” </w:t>
      </w:r>
      <w:proofErr w:type="gramStart"/>
      <w:r w:rsidRPr="00CC28EC">
        <w:rPr>
          <w:sz w:val="24"/>
          <w:szCs w:val="24"/>
          <w:lang w:val="ro-RO"/>
        </w:rPr>
        <w:t>a</w:t>
      </w:r>
      <w:proofErr w:type="gramEnd"/>
      <w:r w:rsidRPr="00CC28EC">
        <w:rPr>
          <w:sz w:val="24"/>
          <w:szCs w:val="24"/>
          <w:lang w:val="ro-RO"/>
        </w:rPr>
        <w:t xml:space="preserve"> evoluției datoriei publice a </w:t>
      </w:r>
      <w:proofErr w:type="spellStart"/>
      <w:r w:rsidR="0069425F" w:rsidRPr="00CC28EC">
        <w:rPr>
          <w:sz w:val="24"/>
          <w:szCs w:val="24"/>
        </w:rPr>
        <w:t>Români</w:t>
      </w:r>
      <w:r w:rsidRPr="00CC28EC">
        <w:rPr>
          <w:sz w:val="24"/>
          <w:szCs w:val="24"/>
        </w:rPr>
        <w:t>ei</w:t>
      </w:r>
      <w:proofErr w:type="spellEnd"/>
      <w:r w:rsidR="001C7C47" w:rsidRPr="00CC28EC">
        <w:rPr>
          <w:sz w:val="24"/>
          <w:szCs w:val="24"/>
        </w:rPr>
        <w:t xml:space="preserve"> </w:t>
      </w:r>
      <w:proofErr w:type="spellStart"/>
      <w:r w:rsidR="001C7C47" w:rsidRPr="00CC28EC">
        <w:rPr>
          <w:sz w:val="24"/>
          <w:szCs w:val="24"/>
        </w:rPr>
        <w:t>trebuie</w:t>
      </w:r>
      <w:proofErr w:type="spellEnd"/>
      <w:r w:rsidR="001C7C47" w:rsidRPr="00CC28EC">
        <w:rPr>
          <w:sz w:val="24"/>
          <w:szCs w:val="24"/>
        </w:rPr>
        <w:t xml:space="preserve"> </w:t>
      </w:r>
      <w:proofErr w:type="spellStart"/>
      <w:r w:rsidR="001C7C47" w:rsidRPr="00CC28EC">
        <w:rPr>
          <w:sz w:val="24"/>
          <w:szCs w:val="24"/>
        </w:rPr>
        <w:t>să</w:t>
      </w:r>
      <w:proofErr w:type="spellEnd"/>
      <w:r w:rsidR="001C7C47" w:rsidRPr="00CC28EC">
        <w:rPr>
          <w:sz w:val="24"/>
          <w:szCs w:val="24"/>
        </w:rPr>
        <w:t xml:space="preserve"> fie </w:t>
      </w:r>
      <w:proofErr w:type="spellStart"/>
      <w:r w:rsidR="001C7C47" w:rsidRPr="00CC28EC">
        <w:rPr>
          <w:sz w:val="24"/>
          <w:szCs w:val="24"/>
        </w:rPr>
        <w:t>alăturată</w:t>
      </w:r>
      <w:proofErr w:type="spellEnd"/>
      <w:r w:rsidR="001C7C47" w:rsidRPr="00CC28EC">
        <w:rPr>
          <w:sz w:val="24"/>
          <w:szCs w:val="24"/>
        </w:rPr>
        <w:t xml:space="preserve"> cu </w:t>
      </w:r>
      <w:proofErr w:type="spellStart"/>
      <w:r w:rsidR="001C7C47" w:rsidRPr="00CC28EC">
        <w:rPr>
          <w:sz w:val="24"/>
          <w:szCs w:val="24"/>
        </w:rPr>
        <w:t>imaginea</w:t>
      </w:r>
      <w:proofErr w:type="spellEnd"/>
      <w:r w:rsidR="001C7C47" w:rsidRPr="00CC28EC">
        <w:rPr>
          <w:sz w:val="24"/>
          <w:szCs w:val="24"/>
        </w:rPr>
        <w:t xml:space="preserve"> </w:t>
      </w:r>
      <w:proofErr w:type="spellStart"/>
      <w:r w:rsidR="001C7C47" w:rsidRPr="00CC28EC">
        <w:rPr>
          <w:sz w:val="24"/>
          <w:szCs w:val="24"/>
        </w:rPr>
        <w:t>evoluției</w:t>
      </w:r>
      <w:proofErr w:type="spellEnd"/>
      <w:r w:rsidR="001C7C47" w:rsidRPr="00CC28EC">
        <w:rPr>
          <w:sz w:val="24"/>
          <w:szCs w:val="24"/>
        </w:rPr>
        <w:t xml:space="preserve"> </w:t>
      </w:r>
      <w:proofErr w:type="spellStart"/>
      <w:r w:rsidR="001C7C47" w:rsidRPr="00CC28EC">
        <w:rPr>
          <w:sz w:val="24"/>
          <w:szCs w:val="24"/>
        </w:rPr>
        <w:t>celorlalte</w:t>
      </w:r>
      <w:proofErr w:type="spellEnd"/>
      <w:r w:rsidR="001C7C47" w:rsidRPr="00CC28EC">
        <w:rPr>
          <w:sz w:val="24"/>
          <w:szCs w:val="24"/>
        </w:rPr>
        <w:t xml:space="preserve"> state din UE. De </w:t>
      </w:r>
      <w:proofErr w:type="spellStart"/>
      <w:r w:rsidR="001C7C47" w:rsidRPr="00CC28EC">
        <w:rPr>
          <w:sz w:val="24"/>
          <w:szCs w:val="24"/>
        </w:rPr>
        <w:t>asemenea</w:t>
      </w:r>
      <w:proofErr w:type="spellEnd"/>
      <w:r w:rsidR="001C7C47" w:rsidRPr="00CC28EC">
        <w:rPr>
          <w:sz w:val="24"/>
          <w:szCs w:val="24"/>
        </w:rPr>
        <w:t xml:space="preserve"> </w:t>
      </w:r>
      <w:r w:rsidR="00AA4483" w:rsidRPr="00CC28EC">
        <w:rPr>
          <w:sz w:val="24"/>
          <w:szCs w:val="24"/>
        </w:rPr>
        <w:t xml:space="preserve">nu </w:t>
      </w:r>
      <w:proofErr w:type="spellStart"/>
      <w:r w:rsidR="00AA4483" w:rsidRPr="00CC28EC">
        <w:rPr>
          <w:sz w:val="24"/>
          <w:szCs w:val="24"/>
        </w:rPr>
        <w:t>trebuie</w:t>
      </w:r>
      <w:proofErr w:type="spellEnd"/>
      <w:r w:rsidR="00AA4483" w:rsidRPr="00CC28EC">
        <w:rPr>
          <w:sz w:val="24"/>
          <w:szCs w:val="24"/>
        </w:rPr>
        <w:t xml:space="preserve"> </w:t>
      </w:r>
      <w:proofErr w:type="spellStart"/>
      <w:r w:rsidR="00AA4483" w:rsidRPr="00CC28EC">
        <w:rPr>
          <w:sz w:val="24"/>
          <w:szCs w:val="24"/>
        </w:rPr>
        <w:t>să</w:t>
      </w:r>
      <w:proofErr w:type="spellEnd"/>
      <w:r w:rsidR="00AA4483" w:rsidRPr="00CC28EC">
        <w:rPr>
          <w:sz w:val="24"/>
          <w:szCs w:val="24"/>
        </w:rPr>
        <w:t xml:space="preserve"> </w:t>
      </w:r>
      <w:proofErr w:type="spellStart"/>
      <w:r w:rsidR="00AA4483" w:rsidRPr="00CC28EC">
        <w:rPr>
          <w:sz w:val="24"/>
          <w:szCs w:val="24"/>
        </w:rPr>
        <w:t>uităm</w:t>
      </w:r>
      <w:proofErr w:type="spellEnd"/>
      <w:r w:rsidR="001C7C47" w:rsidRPr="00CC28EC">
        <w:rPr>
          <w:sz w:val="24"/>
          <w:szCs w:val="24"/>
        </w:rPr>
        <w:t xml:space="preserve"> </w:t>
      </w:r>
      <w:proofErr w:type="spellStart"/>
      <w:r w:rsidR="001C7C47" w:rsidRPr="00CC28EC">
        <w:rPr>
          <w:sz w:val="24"/>
          <w:szCs w:val="24"/>
        </w:rPr>
        <w:t>și</w:t>
      </w:r>
      <w:proofErr w:type="spellEnd"/>
      <w:r w:rsidR="001C7C47" w:rsidRPr="00CC28EC">
        <w:rPr>
          <w:sz w:val="24"/>
          <w:szCs w:val="24"/>
        </w:rPr>
        <w:t xml:space="preserve"> </w:t>
      </w:r>
      <w:proofErr w:type="spellStart"/>
      <w:r w:rsidR="001C7C47" w:rsidRPr="00CC28EC">
        <w:rPr>
          <w:sz w:val="24"/>
          <w:szCs w:val="24"/>
        </w:rPr>
        <w:t>impactul</w:t>
      </w:r>
      <w:proofErr w:type="spellEnd"/>
      <w:r w:rsidR="001C7C47" w:rsidRPr="00CC28EC">
        <w:rPr>
          <w:sz w:val="24"/>
          <w:szCs w:val="24"/>
        </w:rPr>
        <w:t xml:space="preserve"> </w:t>
      </w:r>
      <w:proofErr w:type="spellStart"/>
      <w:r w:rsidR="001C7C47" w:rsidRPr="00CC28EC">
        <w:rPr>
          <w:sz w:val="24"/>
          <w:szCs w:val="24"/>
        </w:rPr>
        <w:t>pandemiei</w:t>
      </w:r>
      <w:proofErr w:type="spellEnd"/>
      <w:r w:rsidR="001C7C47" w:rsidRPr="00CC28EC">
        <w:rPr>
          <w:sz w:val="24"/>
          <w:szCs w:val="24"/>
        </w:rPr>
        <w:t xml:space="preserve"> Covid-19 </w:t>
      </w:r>
      <w:proofErr w:type="spellStart"/>
      <w:r w:rsidR="001C7C47" w:rsidRPr="00CC28EC">
        <w:rPr>
          <w:sz w:val="24"/>
          <w:szCs w:val="24"/>
        </w:rPr>
        <w:t>asupra</w:t>
      </w:r>
      <w:proofErr w:type="spellEnd"/>
      <w:r w:rsidR="001C7C47" w:rsidRPr="00CC28EC">
        <w:rPr>
          <w:sz w:val="24"/>
          <w:szCs w:val="24"/>
        </w:rPr>
        <w:t xml:space="preserve"> a tot </w:t>
      </w:r>
      <w:proofErr w:type="spellStart"/>
      <w:r w:rsidR="001C7C47" w:rsidRPr="00CC28EC">
        <w:rPr>
          <w:sz w:val="24"/>
          <w:szCs w:val="24"/>
        </w:rPr>
        <w:t>ce</w:t>
      </w:r>
      <w:proofErr w:type="spellEnd"/>
      <w:r w:rsidR="001C7C47" w:rsidRPr="00CC28EC">
        <w:rPr>
          <w:sz w:val="24"/>
          <w:szCs w:val="24"/>
        </w:rPr>
        <w:t xml:space="preserve"> s-a </w:t>
      </w:r>
      <w:proofErr w:type="spellStart"/>
      <w:r w:rsidR="001C7C47" w:rsidRPr="00CC28EC">
        <w:rPr>
          <w:sz w:val="24"/>
          <w:szCs w:val="24"/>
        </w:rPr>
        <w:t>întâmplat</w:t>
      </w:r>
      <w:proofErr w:type="spellEnd"/>
      <w:r w:rsidR="001C7C47" w:rsidRPr="00CC28EC">
        <w:rPr>
          <w:sz w:val="24"/>
          <w:szCs w:val="24"/>
        </w:rPr>
        <w:t xml:space="preserve"> cu </w:t>
      </w:r>
      <w:proofErr w:type="spellStart"/>
      <w:r w:rsidR="001C7C47" w:rsidRPr="00CC28EC">
        <w:rPr>
          <w:sz w:val="24"/>
          <w:szCs w:val="24"/>
        </w:rPr>
        <w:t>cheltuielile</w:t>
      </w:r>
      <w:proofErr w:type="spellEnd"/>
      <w:r w:rsidR="001C7C47" w:rsidRPr="00CC28EC">
        <w:rPr>
          <w:sz w:val="24"/>
          <w:szCs w:val="24"/>
        </w:rPr>
        <w:t xml:space="preserve"> </w:t>
      </w:r>
      <w:proofErr w:type="spellStart"/>
      <w:r w:rsidR="001C7C47" w:rsidRPr="00CC28EC">
        <w:rPr>
          <w:sz w:val="24"/>
          <w:szCs w:val="24"/>
        </w:rPr>
        <w:t>publice</w:t>
      </w:r>
      <w:proofErr w:type="spellEnd"/>
      <w:r w:rsidR="001C7C47" w:rsidRPr="00CC28EC">
        <w:rPr>
          <w:sz w:val="24"/>
          <w:szCs w:val="24"/>
        </w:rPr>
        <w:t xml:space="preserve"> ale </w:t>
      </w:r>
      <w:proofErr w:type="spellStart"/>
      <w:r w:rsidR="001C7C47" w:rsidRPr="00CC28EC">
        <w:rPr>
          <w:sz w:val="24"/>
          <w:szCs w:val="24"/>
        </w:rPr>
        <w:t>statelor</w:t>
      </w:r>
      <w:proofErr w:type="spellEnd"/>
      <w:r w:rsidR="001C7C47" w:rsidRPr="00CC28EC">
        <w:rPr>
          <w:sz w:val="24"/>
          <w:szCs w:val="24"/>
        </w:rPr>
        <w:t>.</w:t>
      </w:r>
      <w:r w:rsidR="0069425F" w:rsidRPr="00CC28EC">
        <w:rPr>
          <w:sz w:val="24"/>
          <w:szCs w:val="24"/>
        </w:rPr>
        <w:t xml:space="preserve"> </w:t>
      </w:r>
    </w:p>
    <w:p w14:paraId="62F49616" w14:textId="0355FF0D" w:rsidR="0069425F" w:rsidRPr="00CC28EC" w:rsidRDefault="001C7C47" w:rsidP="00BD091D">
      <w:pPr>
        <w:ind w:firstLine="708"/>
        <w:jc w:val="both"/>
        <w:rPr>
          <w:rFonts w:eastAsiaTheme="minorHAnsi"/>
        </w:rPr>
      </w:pPr>
      <w:proofErr w:type="spellStart"/>
      <w:r w:rsidRPr="00CC28EC">
        <w:rPr>
          <w:sz w:val="24"/>
          <w:szCs w:val="24"/>
        </w:rPr>
        <w:t>Dacă</w:t>
      </w:r>
      <w:proofErr w:type="spellEnd"/>
      <w:r w:rsidRPr="00CC28EC">
        <w:rPr>
          <w:sz w:val="24"/>
          <w:szCs w:val="24"/>
        </w:rPr>
        <w:t xml:space="preserve"> </w:t>
      </w:r>
      <w:proofErr w:type="spellStart"/>
      <w:r w:rsidRPr="00CC28EC">
        <w:rPr>
          <w:sz w:val="24"/>
          <w:szCs w:val="24"/>
        </w:rPr>
        <w:t>aruncăm</w:t>
      </w:r>
      <w:proofErr w:type="spellEnd"/>
      <w:r w:rsidRPr="00CC28EC">
        <w:rPr>
          <w:sz w:val="24"/>
          <w:szCs w:val="24"/>
        </w:rPr>
        <w:t xml:space="preserve"> o </w:t>
      </w:r>
      <w:proofErr w:type="spellStart"/>
      <w:r w:rsidRPr="00CC28EC">
        <w:rPr>
          <w:sz w:val="24"/>
          <w:szCs w:val="24"/>
        </w:rPr>
        <w:t>scurtă</w:t>
      </w:r>
      <w:proofErr w:type="spellEnd"/>
      <w:r w:rsidRPr="00CC28EC">
        <w:rPr>
          <w:sz w:val="24"/>
          <w:szCs w:val="24"/>
        </w:rPr>
        <w:t xml:space="preserve"> </w:t>
      </w:r>
      <w:proofErr w:type="spellStart"/>
      <w:r w:rsidRPr="00CC28EC">
        <w:rPr>
          <w:sz w:val="24"/>
          <w:szCs w:val="24"/>
        </w:rPr>
        <w:t>privire</w:t>
      </w:r>
      <w:proofErr w:type="spellEnd"/>
      <w:r w:rsidRPr="00CC28EC">
        <w:rPr>
          <w:sz w:val="24"/>
          <w:szCs w:val="24"/>
        </w:rPr>
        <w:t xml:space="preserve"> </w:t>
      </w:r>
      <w:proofErr w:type="spellStart"/>
      <w:r w:rsidRPr="00CC28EC">
        <w:rPr>
          <w:sz w:val="24"/>
          <w:szCs w:val="24"/>
        </w:rPr>
        <w:t>observăm</w:t>
      </w:r>
      <w:proofErr w:type="spellEnd"/>
      <w:r w:rsidRPr="00CC28EC">
        <w:rPr>
          <w:sz w:val="24"/>
          <w:szCs w:val="24"/>
        </w:rPr>
        <w:t xml:space="preserve"> </w:t>
      </w:r>
      <w:proofErr w:type="spellStart"/>
      <w:r w:rsidRPr="00CC28EC">
        <w:rPr>
          <w:sz w:val="24"/>
          <w:szCs w:val="24"/>
        </w:rPr>
        <w:t>faptul</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România</w:t>
      </w:r>
      <w:proofErr w:type="spellEnd"/>
      <w:r w:rsidRPr="00CC28EC">
        <w:rPr>
          <w:sz w:val="24"/>
          <w:szCs w:val="24"/>
        </w:rPr>
        <w:t xml:space="preserve"> </w:t>
      </w:r>
      <w:r w:rsidR="0069425F" w:rsidRPr="00CC28EC">
        <w:rPr>
          <w:sz w:val="24"/>
          <w:szCs w:val="24"/>
        </w:rPr>
        <w:t xml:space="preserve">nu </w:t>
      </w:r>
      <w:proofErr w:type="spellStart"/>
      <w:r w:rsidR="0069425F" w:rsidRPr="00CC28EC">
        <w:rPr>
          <w:sz w:val="24"/>
          <w:szCs w:val="24"/>
        </w:rPr>
        <w:t>este</w:t>
      </w:r>
      <w:proofErr w:type="spellEnd"/>
      <w:r w:rsidR="0069425F" w:rsidRPr="00CC28EC">
        <w:rPr>
          <w:sz w:val="24"/>
          <w:szCs w:val="24"/>
        </w:rPr>
        <w:t xml:space="preserve"> </w:t>
      </w:r>
      <w:proofErr w:type="spellStart"/>
      <w:r w:rsidR="0069425F" w:rsidRPr="00CC28EC">
        <w:rPr>
          <w:sz w:val="24"/>
          <w:szCs w:val="24"/>
        </w:rPr>
        <w:t>singura</w:t>
      </w:r>
      <w:proofErr w:type="spellEnd"/>
      <w:r w:rsidR="0069425F" w:rsidRPr="00CC28EC">
        <w:rPr>
          <w:sz w:val="24"/>
          <w:szCs w:val="24"/>
        </w:rPr>
        <w:t xml:space="preserve"> </w:t>
      </w:r>
      <w:proofErr w:type="spellStart"/>
      <w:r w:rsidR="0069425F" w:rsidRPr="00CC28EC">
        <w:rPr>
          <w:sz w:val="24"/>
          <w:szCs w:val="24"/>
        </w:rPr>
        <w:t>țară</w:t>
      </w:r>
      <w:proofErr w:type="spellEnd"/>
      <w:r w:rsidR="0069425F" w:rsidRPr="00CC28EC">
        <w:rPr>
          <w:sz w:val="24"/>
          <w:szCs w:val="24"/>
        </w:rPr>
        <w:t xml:space="preserve"> </w:t>
      </w:r>
      <w:proofErr w:type="spellStart"/>
      <w:r w:rsidRPr="00CC28EC">
        <w:rPr>
          <w:sz w:val="24"/>
          <w:szCs w:val="24"/>
        </w:rPr>
        <w:t>în</w:t>
      </w:r>
      <w:proofErr w:type="spellEnd"/>
      <w:r w:rsidR="0069425F" w:rsidRPr="00CC28EC">
        <w:rPr>
          <w:sz w:val="24"/>
          <w:szCs w:val="24"/>
        </w:rPr>
        <w:t xml:space="preserve"> care </w:t>
      </w:r>
      <w:proofErr w:type="spellStart"/>
      <w:r w:rsidR="0069425F" w:rsidRPr="00CC28EC">
        <w:rPr>
          <w:sz w:val="24"/>
          <w:szCs w:val="24"/>
        </w:rPr>
        <w:t>raportul</w:t>
      </w:r>
      <w:proofErr w:type="spellEnd"/>
      <w:r w:rsidR="0069425F" w:rsidRPr="00CC28EC">
        <w:rPr>
          <w:sz w:val="24"/>
          <w:szCs w:val="24"/>
        </w:rPr>
        <w:t xml:space="preserve"> </w:t>
      </w:r>
      <w:proofErr w:type="spellStart"/>
      <w:r w:rsidR="0069425F" w:rsidRPr="00CC28EC">
        <w:rPr>
          <w:sz w:val="24"/>
          <w:szCs w:val="24"/>
        </w:rPr>
        <w:t>datorie</w:t>
      </w:r>
      <w:proofErr w:type="spellEnd"/>
      <w:r w:rsidR="0069425F" w:rsidRPr="00CC28EC">
        <w:rPr>
          <w:sz w:val="24"/>
          <w:szCs w:val="24"/>
        </w:rPr>
        <w:t xml:space="preserve"> </w:t>
      </w:r>
      <w:proofErr w:type="spellStart"/>
      <w:r w:rsidR="0069425F" w:rsidRPr="00CC28EC">
        <w:rPr>
          <w:sz w:val="24"/>
          <w:szCs w:val="24"/>
        </w:rPr>
        <w:t>publică</w:t>
      </w:r>
      <w:proofErr w:type="spellEnd"/>
      <w:r w:rsidR="0069425F" w:rsidRPr="00CC28EC">
        <w:rPr>
          <w:sz w:val="24"/>
          <w:szCs w:val="24"/>
        </w:rPr>
        <w:t xml:space="preserve">/PIB a </w:t>
      </w:r>
      <w:proofErr w:type="spellStart"/>
      <w:r w:rsidR="0069425F" w:rsidRPr="00CC28EC">
        <w:rPr>
          <w:sz w:val="24"/>
          <w:szCs w:val="24"/>
        </w:rPr>
        <w:t>crescut</w:t>
      </w:r>
      <w:proofErr w:type="spellEnd"/>
      <w:r w:rsidR="0069425F" w:rsidRPr="00CC28EC">
        <w:rPr>
          <w:sz w:val="24"/>
          <w:szCs w:val="24"/>
        </w:rPr>
        <w:t xml:space="preserve"> </w:t>
      </w:r>
      <w:proofErr w:type="spellStart"/>
      <w:r w:rsidRPr="00CC28EC">
        <w:rPr>
          <w:sz w:val="24"/>
          <w:szCs w:val="24"/>
        </w:rPr>
        <w:t>accelerat</w:t>
      </w:r>
      <w:proofErr w:type="spellEnd"/>
      <w:r w:rsidR="0069425F" w:rsidRPr="00CC28EC">
        <w:rPr>
          <w:sz w:val="24"/>
          <w:szCs w:val="24"/>
        </w:rPr>
        <w:t xml:space="preserve">, </w:t>
      </w:r>
      <w:proofErr w:type="spellStart"/>
      <w:r w:rsidR="0069425F" w:rsidRPr="00CC28EC">
        <w:rPr>
          <w:sz w:val="24"/>
          <w:szCs w:val="24"/>
        </w:rPr>
        <w:t>acest</w:t>
      </w:r>
      <w:proofErr w:type="spellEnd"/>
      <w:r w:rsidR="0069425F" w:rsidRPr="00CC28EC">
        <w:rPr>
          <w:sz w:val="24"/>
          <w:szCs w:val="24"/>
        </w:rPr>
        <w:t xml:space="preserve"> </w:t>
      </w:r>
      <w:proofErr w:type="spellStart"/>
      <w:r w:rsidR="0069425F" w:rsidRPr="00CC28EC">
        <w:rPr>
          <w:sz w:val="24"/>
          <w:szCs w:val="24"/>
        </w:rPr>
        <w:t>fenomen</w:t>
      </w:r>
      <w:proofErr w:type="spellEnd"/>
      <w:r w:rsidR="0069425F" w:rsidRPr="00CC28EC">
        <w:rPr>
          <w:sz w:val="24"/>
          <w:szCs w:val="24"/>
        </w:rPr>
        <w:t xml:space="preserve"> </w:t>
      </w:r>
      <w:proofErr w:type="spellStart"/>
      <w:r w:rsidR="0069425F" w:rsidRPr="00CC28EC">
        <w:rPr>
          <w:sz w:val="24"/>
          <w:szCs w:val="24"/>
        </w:rPr>
        <w:t>fiind</w:t>
      </w:r>
      <w:proofErr w:type="spellEnd"/>
      <w:r w:rsidR="0069425F" w:rsidRPr="00CC28EC">
        <w:rPr>
          <w:sz w:val="24"/>
          <w:szCs w:val="24"/>
        </w:rPr>
        <w:t xml:space="preserve"> </w:t>
      </w:r>
      <w:proofErr w:type="spellStart"/>
      <w:r w:rsidR="0069425F" w:rsidRPr="00CC28EC">
        <w:rPr>
          <w:sz w:val="24"/>
          <w:szCs w:val="24"/>
        </w:rPr>
        <w:t>întâlnit</w:t>
      </w:r>
      <w:proofErr w:type="spellEnd"/>
      <w:r w:rsidR="0069425F" w:rsidRPr="00CC28EC">
        <w:rPr>
          <w:sz w:val="24"/>
          <w:szCs w:val="24"/>
        </w:rPr>
        <w:t xml:space="preserve"> la </w:t>
      </w:r>
      <w:proofErr w:type="spellStart"/>
      <w:r w:rsidR="0069425F" w:rsidRPr="00CC28EC">
        <w:rPr>
          <w:sz w:val="24"/>
          <w:szCs w:val="24"/>
        </w:rPr>
        <w:t>nivelul</w:t>
      </w:r>
      <w:proofErr w:type="spellEnd"/>
      <w:r w:rsidR="0069425F" w:rsidRPr="00CC28EC">
        <w:rPr>
          <w:sz w:val="24"/>
          <w:szCs w:val="24"/>
        </w:rPr>
        <w:t xml:space="preserve"> </w:t>
      </w:r>
      <w:proofErr w:type="spellStart"/>
      <w:r w:rsidR="0069425F" w:rsidRPr="00CC28EC">
        <w:rPr>
          <w:sz w:val="24"/>
          <w:szCs w:val="24"/>
        </w:rPr>
        <w:t>întregii</w:t>
      </w:r>
      <w:proofErr w:type="spellEnd"/>
      <w:r w:rsidR="0069425F" w:rsidRPr="00CC28EC">
        <w:rPr>
          <w:sz w:val="24"/>
          <w:szCs w:val="24"/>
        </w:rPr>
        <w:t xml:space="preserve"> U</w:t>
      </w:r>
      <w:r w:rsidR="00AD6C81" w:rsidRPr="00CC28EC">
        <w:rPr>
          <w:sz w:val="24"/>
          <w:szCs w:val="24"/>
        </w:rPr>
        <w:t>E</w:t>
      </w:r>
      <w:r w:rsidR="0069425F" w:rsidRPr="00CC28EC">
        <w:rPr>
          <w:sz w:val="24"/>
          <w:szCs w:val="24"/>
        </w:rPr>
        <w:t xml:space="preserve"> </w:t>
      </w:r>
      <w:proofErr w:type="spellStart"/>
      <w:r w:rsidRPr="00CC28EC">
        <w:rPr>
          <w:sz w:val="24"/>
          <w:szCs w:val="24"/>
        </w:rPr>
        <w:t>unde</w:t>
      </w:r>
      <w:proofErr w:type="spellEnd"/>
      <w:r w:rsidRPr="00CC28EC">
        <w:rPr>
          <w:sz w:val="24"/>
          <w:szCs w:val="24"/>
        </w:rPr>
        <w:t xml:space="preserve"> </w:t>
      </w:r>
      <w:proofErr w:type="spellStart"/>
      <w:r w:rsidR="0069425F" w:rsidRPr="00CC28EC">
        <w:rPr>
          <w:sz w:val="24"/>
          <w:szCs w:val="24"/>
        </w:rPr>
        <w:t>raportul</w:t>
      </w:r>
      <w:proofErr w:type="spellEnd"/>
      <w:r w:rsidR="0069425F" w:rsidRPr="00CC28EC">
        <w:rPr>
          <w:sz w:val="24"/>
          <w:szCs w:val="24"/>
        </w:rPr>
        <w:t xml:space="preserve"> </w:t>
      </w:r>
      <w:proofErr w:type="spellStart"/>
      <w:r w:rsidR="0069425F" w:rsidRPr="00CC28EC">
        <w:rPr>
          <w:sz w:val="24"/>
          <w:szCs w:val="24"/>
        </w:rPr>
        <w:t>datoria</w:t>
      </w:r>
      <w:proofErr w:type="spellEnd"/>
      <w:r w:rsidR="0069425F" w:rsidRPr="00CC28EC">
        <w:rPr>
          <w:sz w:val="24"/>
          <w:szCs w:val="24"/>
        </w:rPr>
        <w:t xml:space="preserve"> </w:t>
      </w:r>
      <w:proofErr w:type="spellStart"/>
      <w:r w:rsidR="0069425F" w:rsidRPr="00CC28EC">
        <w:rPr>
          <w:sz w:val="24"/>
          <w:szCs w:val="24"/>
        </w:rPr>
        <w:t>publică</w:t>
      </w:r>
      <w:proofErr w:type="spellEnd"/>
      <w:r w:rsidR="0069425F" w:rsidRPr="00CC28EC">
        <w:rPr>
          <w:sz w:val="24"/>
          <w:szCs w:val="24"/>
        </w:rPr>
        <w:t xml:space="preserve"> a </w:t>
      </w:r>
      <w:proofErr w:type="spellStart"/>
      <w:r w:rsidR="0069425F" w:rsidRPr="00CC28EC">
        <w:rPr>
          <w:sz w:val="24"/>
          <w:szCs w:val="24"/>
        </w:rPr>
        <w:t>crescut</w:t>
      </w:r>
      <w:proofErr w:type="spellEnd"/>
      <w:r w:rsidR="0069425F" w:rsidRPr="00CC28EC">
        <w:rPr>
          <w:sz w:val="24"/>
          <w:szCs w:val="24"/>
        </w:rPr>
        <w:t xml:space="preserve"> de la 77,5% din PIB la </w:t>
      </w:r>
      <w:proofErr w:type="spellStart"/>
      <w:r w:rsidR="0069425F" w:rsidRPr="00CC28EC">
        <w:rPr>
          <w:sz w:val="24"/>
          <w:szCs w:val="24"/>
        </w:rPr>
        <w:t>sfârșitul</w:t>
      </w:r>
      <w:proofErr w:type="spellEnd"/>
      <w:r w:rsidR="0069425F" w:rsidRPr="00CC28EC">
        <w:rPr>
          <w:sz w:val="24"/>
          <w:szCs w:val="24"/>
        </w:rPr>
        <w:t xml:space="preserve"> </w:t>
      </w:r>
      <w:proofErr w:type="spellStart"/>
      <w:r w:rsidR="0069425F" w:rsidRPr="00CC28EC">
        <w:rPr>
          <w:sz w:val="24"/>
          <w:szCs w:val="24"/>
        </w:rPr>
        <w:t>anului</w:t>
      </w:r>
      <w:proofErr w:type="spellEnd"/>
      <w:r w:rsidR="0069425F" w:rsidRPr="00CC28EC">
        <w:rPr>
          <w:sz w:val="24"/>
          <w:szCs w:val="24"/>
        </w:rPr>
        <w:t xml:space="preserve"> 2019 la 90,7% la </w:t>
      </w:r>
      <w:proofErr w:type="spellStart"/>
      <w:r w:rsidR="0069425F" w:rsidRPr="00CC28EC">
        <w:rPr>
          <w:sz w:val="24"/>
          <w:szCs w:val="24"/>
        </w:rPr>
        <w:t>sfârșitul</w:t>
      </w:r>
      <w:proofErr w:type="spellEnd"/>
      <w:r w:rsidR="0069425F" w:rsidRPr="00CC28EC">
        <w:rPr>
          <w:sz w:val="24"/>
          <w:szCs w:val="24"/>
        </w:rPr>
        <w:t xml:space="preserve"> </w:t>
      </w:r>
      <w:proofErr w:type="spellStart"/>
      <w:r w:rsidR="0069425F" w:rsidRPr="00CC28EC">
        <w:rPr>
          <w:sz w:val="24"/>
          <w:szCs w:val="24"/>
        </w:rPr>
        <w:t>anului</w:t>
      </w:r>
      <w:proofErr w:type="spellEnd"/>
      <w:r w:rsidR="0069425F" w:rsidRPr="00CC28EC">
        <w:rPr>
          <w:sz w:val="24"/>
          <w:szCs w:val="24"/>
        </w:rPr>
        <w:t xml:space="preserve"> 2020.</w:t>
      </w:r>
    </w:p>
    <w:p w14:paraId="5C2EBC55" w14:textId="6969AFB2" w:rsidR="0069425F" w:rsidRPr="00CC28EC" w:rsidRDefault="00AA4483" w:rsidP="00BD091D">
      <w:pPr>
        <w:ind w:firstLine="708"/>
        <w:jc w:val="both"/>
        <w:rPr>
          <w:sz w:val="24"/>
          <w:szCs w:val="24"/>
        </w:rPr>
      </w:pPr>
      <w:proofErr w:type="spellStart"/>
      <w:r w:rsidRPr="00CC28EC">
        <w:rPr>
          <w:sz w:val="24"/>
          <w:szCs w:val="24"/>
        </w:rPr>
        <w:t>Jumătate</w:t>
      </w:r>
      <w:proofErr w:type="spellEnd"/>
      <w:r w:rsidRPr="00CC28EC">
        <w:rPr>
          <w:sz w:val="24"/>
          <w:szCs w:val="24"/>
        </w:rPr>
        <w:t xml:space="preserve"> din</w:t>
      </w:r>
      <w:r w:rsidR="0069425F" w:rsidRPr="00CC28EC">
        <w:rPr>
          <w:sz w:val="24"/>
          <w:szCs w:val="24"/>
        </w:rPr>
        <w:t xml:space="preserve"> </w:t>
      </w:r>
      <w:proofErr w:type="spellStart"/>
      <w:r w:rsidR="0069425F" w:rsidRPr="00CC28EC">
        <w:rPr>
          <w:sz w:val="24"/>
          <w:szCs w:val="24"/>
        </w:rPr>
        <w:t>state</w:t>
      </w:r>
      <w:r w:rsidRPr="00CC28EC">
        <w:rPr>
          <w:sz w:val="24"/>
          <w:szCs w:val="24"/>
        </w:rPr>
        <w:t>le</w:t>
      </w:r>
      <w:proofErr w:type="spellEnd"/>
      <w:r w:rsidR="0069425F" w:rsidRPr="00CC28EC">
        <w:rPr>
          <w:sz w:val="24"/>
          <w:szCs w:val="24"/>
        </w:rPr>
        <w:t xml:space="preserve"> </w:t>
      </w:r>
      <w:proofErr w:type="spellStart"/>
      <w:r w:rsidR="0069425F" w:rsidRPr="00CC28EC">
        <w:rPr>
          <w:sz w:val="24"/>
          <w:szCs w:val="24"/>
        </w:rPr>
        <w:t>membre</w:t>
      </w:r>
      <w:proofErr w:type="spellEnd"/>
      <w:r w:rsidR="0069425F" w:rsidRPr="00CC28EC">
        <w:rPr>
          <w:sz w:val="24"/>
          <w:szCs w:val="24"/>
        </w:rPr>
        <w:t xml:space="preserve"> ale UE</w:t>
      </w:r>
      <w:r w:rsidRPr="00CC28EC">
        <w:rPr>
          <w:sz w:val="24"/>
          <w:szCs w:val="24"/>
        </w:rPr>
        <w:t>,</w:t>
      </w:r>
      <w:r w:rsidR="0069425F" w:rsidRPr="00CC28EC">
        <w:rPr>
          <w:sz w:val="24"/>
          <w:szCs w:val="24"/>
        </w:rPr>
        <w:t xml:space="preserve"> au o </w:t>
      </w:r>
      <w:proofErr w:type="spellStart"/>
      <w:r w:rsidR="0069425F" w:rsidRPr="00CC28EC">
        <w:rPr>
          <w:sz w:val="24"/>
          <w:szCs w:val="24"/>
        </w:rPr>
        <w:t>rată</w:t>
      </w:r>
      <w:proofErr w:type="spellEnd"/>
      <w:r w:rsidR="0069425F" w:rsidRPr="00CC28EC">
        <w:rPr>
          <w:sz w:val="24"/>
          <w:szCs w:val="24"/>
        </w:rPr>
        <w:t xml:space="preserve"> a </w:t>
      </w:r>
      <w:proofErr w:type="spellStart"/>
      <w:r w:rsidR="0069425F" w:rsidRPr="00CC28EC">
        <w:rPr>
          <w:sz w:val="24"/>
          <w:szCs w:val="24"/>
        </w:rPr>
        <w:t>datoriei</w:t>
      </w:r>
      <w:proofErr w:type="spellEnd"/>
      <w:r w:rsidR="0069425F" w:rsidRPr="00CC28EC">
        <w:rPr>
          <w:sz w:val="24"/>
          <w:szCs w:val="24"/>
        </w:rPr>
        <w:t xml:space="preserve"> de </w:t>
      </w:r>
      <w:proofErr w:type="spellStart"/>
      <w:r w:rsidR="0069425F" w:rsidRPr="00CC28EC">
        <w:rPr>
          <w:sz w:val="24"/>
          <w:szCs w:val="24"/>
        </w:rPr>
        <w:t>peste</w:t>
      </w:r>
      <w:proofErr w:type="spellEnd"/>
      <w:r w:rsidR="0069425F" w:rsidRPr="00CC28EC">
        <w:rPr>
          <w:sz w:val="24"/>
          <w:szCs w:val="24"/>
        </w:rPr>
        <w:t xml:space="preserve"> 60% din PIB la </w:t>
      </w:r>
      <w:proofErr w:type="spellStart"/>
      <w:r w:rsidR="0069425F" w:rsidRPr="00CC28EC">
        <w:rPr>
          <w:sz w:val="24"/>
          <w:szCs w:val="24"/>
        </w:rPr>
        <w:t>sfârșitul</w:t>
      </w:r>
      <w:proofErr w:type="spellEnd"/>
      <w:r w:rsidR="0069425F" w:rsidRPr="00CC28EC">
        <w:rPr>
          <w:sz w:val="24"/>
          <w:szCs w:val="24"/>
        </w:rPr>
        <w:t xml:space="preserve"> </w:t>
      </w:r>
      <w:proofErr w:type="spellStart"/>
      <w:r w:rsidR="0069425F" w:rsidRPr="00CC28EC">
        <w:rPr>
          <w:sz w:val="24"/>
          <w:szCs w:val="24"/>
        </w:rPr>
        <w:t>anului</w:t>
      </w:r>
      <w:proofErr w:type="spellEnd"/>
      <w:r w:rsidR="0069425F" w:rsidRPr="00CC28EC">
        <w:rPr>
          <w:sz w:val="24"/>
          <w:szCs w:val="24"/>
        </w:rPr>
        <w:t xml:space="preserve"> 2020: </w:t>
      </w:r>
      <w:proofErr w:type="spellStart"/>
      <w:r w:rsidR="0069425F" w:rsidRPr="00CC28EC">
        <w:rPr>
          <w:sz w:val="24"/>
          <w:szCs w:val="24"/>
        </w:rPr>
        <w:t>cea</w:t>
      </w:r>
      <w:proofErr w:type="spellEnd"/>
      <w:r w:rsidR="0069425F" w:rsidRPr="00CC28EC">
        <w:rPr>
          <w:sz w:val="24"/>
          <w:szCs w:val="24"/>
        </w:rPr>
        <w:t xml:space="preserve"> </w:t>
      </w:r>
      <w:proofErr w:type="spellStart"/>
      <w:r w:rsidR="0069425F" w:rsidRPr="00CC28EC">
        <w:rPr>
          <w:sz w:val="24"/>
          <w:szCs w:val="24"/>
        </w:rPr>
        <w:t>mai</w:t>
      </w:r>
      <w:proofErr w:type="spellEnd"/>
      <w:r w:rsidR="0069425F" w:rsidRPr="00CC28EC">
        <w:rPr>
          <w:sz w:val="24"/>
          <w:szCs w:val="24"/>
        </w:rPr>
        <w:t xml:space="preserve"> mare </w:t>
      </w:r>
      <w:proofErr w:type="spellStart"/>
      <w:r w:rsidR="0069425F" w:rsidRPr="00CC28EC">
        <w:rPr>
          <w:sz w:val="24"/>
          <w:szCs w:val="24"/>
        </w:rPr>
        <w:t>înregistrată</w:t>
      </w:r>
      <w:proofErr w:type="spellEnd"/>
      <w:r w:rsidR="0069425F" w:rsidRPr="00CC28EC">
        <w:rPr>
          <w:sz w:val="24"/>
          <w:szCs w:val="24"/>
        </w:rPr>
        <w:t xml:space="preserve"> de Grecia (205,6%), </w:t>
      </w:r>
      <w:proofErr w:type="spellStart"/>
      <w:r w:rsidRPr="00CC28EC">
        <w:rPr>
          <w:sz w:val="24"/>
          <w:szCs w:val="24"/>
        </w:rPr>
        <w:t>apoi</w:t>
      </w:r>
      <w:proofErr w:type="spellEnd"/>
      <w:r w:rsidR="0069425F" w:rsidRPr="00CC28EC">
        <w:rPr>
          <w:sz w:val="24"/>
          <w:szCs w:val="24"/>
        </w:rPr>
        <w:t xml:space="preserve"> Italia (155,8%), </w:t>
      </w:r>
      <w:proofErr w:type="spellStart"/>
      <w:r w:rsidR="0069425F" w:rsidRPr="00CC28EC">
        <w:rPr>
          <w:sz w:val="24"/>
          <w:szCs w:val="24"/>
        </w:rPr>
        <w:t>Portugalia</w:t>
      </w:r>
      <w:proofErr w:type="spellEnd"/>
      <w:r w:rsidR="0069425F" w:rsidRPr="00CC28EC">
        <w:rPr>
          <w:sz w:val="24"/>
          <w:szCs w:val="24"/>
        </w:rPr>
        <w:t xml:space="preserve"> (133,6%), </w:t>
      </w:r>
      <w:proofErr w:type="spellStart"/>
      <w:r w:rsidR="0069425F" w:rsidRPr="00CC28EC">
        <w:rPr>
          <w:sz w:val="24"/>
          <w:szCs w:val="24"/>
        </w:rPr>
        <w:t>Spania</w:t>
      </w:r>
      <w:proofErr w:type="spellEnd"/>
      <w:r w:rsidR="0069425F" w:rsidRPr="00CC28EC">
        <w:rPr>
          <w:sz w:val="24"/>
          <w:szCs w:val="24"/>
        </w:rPr>
        <w:t xml:space="preserve"> (120,0%), </w:t>
      </w:r>
      <w:proofErr w:type="spellStart"/>
      <w:r w:rsidR="0069425F" w:rsidRPr="00CC28EC">
        <w:rPr>
          <w:sz w:val="24"/>
          <w:szCs w:val="24"/>
        </w:rPr>
        <w:t>Cipru</w:t>
      </w:r>
      <w:proofErr w:type="spellEnd"/>
      <w:r w:rsidR="0069425F" w:rsidRPr="00CC28EC">
        <w:rPr>
          <w:sz w:val="24"/>
          <w:szCs w:val="24"/>
        </w:rPr>
        <w:t xml:space="preserve"> (118,2%), </w:t>
      </w:r>
      <w:proofErr w:type="spellStart"/>
      <w:r w:rsidR="0069425F" w:rsidRPr="00CC28EC">
        <w:rPr>
          <w:sz w:val="24"/>
          <w:szCs w:val="24"/>
        </w:rPr>
        <w:t>Franța</w:t>
      </w:r>
      <w:proofErr w:type="spellEnd"/>
      <w:r w:rsidR="0069425F" w:rsidRPr="00CC28EC">
        <w:rPr>
          <w:sz w:val="24"/>
          <w:szCs w:val="24"/>
        </w:rPr>
        <w:t xml:space="preserve"> (115,7%) </w:t>
      </w:r>
      <w:proofErr w:type="spellStart"/>
      <w:r w:rsidR="0069425F" w:rsidRPr="00CC28EC">
        <w:rPr>
          <w:sz w:val="24"/>
          <w:szCs w:val="24"/>
        </w:rPr>
        <w:t>și</w:t>
      </w:r>
      <w:proofErr w:type="spellEnd"/>
      <w:r w:rsidR="0069425F" w:rsidRPr="00CC28EC">
        <w:rPr>
          <w:sz w:val="24"/>
          <w:szCs w:val="24"/>
        </w:rPr>
        <w:t xml:space="preserve"> </w:t>
      </w:r>
      <w:proofErr w:type="spellStart"/>
      <w:r w:rsidR="0069425F" w:rsidRPr="00CC28EC">
        <w:rPr>
          <w:sz w:val="24"/>
          <w:szCs w:val="24"/>
        </w:rPr>
        <w:t>Belgia</w:t>
      </w:r>
      <w:proofErr w:type="spellEnd"/>
      <w:r w:rsidR="0069425F" w:rsidRPr="00CC28EC">
        <w:rPr>
          <w:sz w:val="24"/>
          <w:szCs w:val="24"/>
        </w:rPr>
        <w:t xml:space="preserve"> (114,1%).</w:t>
      </w:r>
    </w:p>
    <w:p w14:paraId="6643B25B" w14:textId="16F976EA" w:rsidR="0069425F" w:rsidRPr="00CC28EC" w:rsidRDefault="00AA4483" w:rsidP="00BD091D">
      <w:pPr>
        <w:ind w:firstLine="708"/>
        <w:jc w:val="both"/>
        <w:rPr>
          <w:sz w:val="24"/>
          <w:szCs w:val="24"/>
        </w:rPr>
      </w:pPr>
      <w:r w:rsidRPr="00CC28EC">
        <w:rPr>
          <w:sz w:val="24"/>
          <w:szCs w:val="24"/>
        </w:rPr>
        <w:lastRenderedPageBreak/>
        <w:t>R</w:t>
      </w:r>
      <w:r w:rsidR="0069425F" w:rsidRPr="00CC28EC">
        <w:rPr>
          <w:sz w:val="24"/>
          <w:szCs w:val="24"/>
        </w:rPr>
        <w:t>at</w:t>
      </w:r>
      <w:r w:rsidRPr="00CC28EC">
        <w:rPr>
          <w:sz w:val="24"/>
          <w:szCs w:val="24"/>
        </w:rPr>
        <w:t>a</w:t>
      </w:r>
      <w:r w:rsidR="0069425F" w:rsidRPr="00CC28EC">
        <w:rPr>
          <w:sz w:val="24"/>
          <w:szCs w:val="24"/>
        </w:rPr>
        <w:t xml:space="preserve"> </w:t>
      </w:r>
      <w:proofErr w:type="spellStart"/>
      <w:r w:rsidR="0069425F" w:rsidRPr="00CC28EC">
        <w:rPr>
          <w:sz w:val="24"/>
          <w:szCs w:val="24"/>
        </w:rPr>
        <w:t>datoriei</w:t>
      </w:r>
      <w:proofErr w:type="spellEnd"/>
      <w:r w:rsidR="0069425F" w:rsidRPr="00CC28EC">
        <w:rPr>
          <w:sz w:val="24"/>
          <w:szCs w:val="24"/>
        </w:rPr>
        <w:t xml:space="preserve"> </w:t>
      </w:r>
      <w:proofErr w:type="spellStart"/>
      <w:r w:rsidR="0069425F" w:rsidRPr="00CC28EC">
        <w:rPr>
          <w:sz w:val="24"/>
          <w:szCs w:val="24"/>
        </w:rPr>
        <w:t>publice</w:t>
      </w:r>
      <w:proofErr w:type="spellEnd"/>
      <w:r w:rsidR="0069425F" w:rsidRPr="00CC28EC">
        <w:rPr>
          <w:sz w:val="24"/>
          <w:szCs w:val="24"/>
        </w:rPr>
        <w:t xml:space="preserve">/PIB a </w:t>
      </w:r>
      <w:proofErr w:type="spellStart"/>
      <w:r w:rsidR="0069425F" w:rsidRPr="00CC28EC">
        <w:rPr>
          <w:sz w:val="24"/>
          <w:szCs w:val="24"/>
        </w:rPr>
        <w:t>crescut</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toare</w:t>
      </w:r>
      <w:proofErr w:type="spellEnd"/>
      <w:r w:rsidRPr="00CC28EC">
        <w:rPr>
          <w:sz w:val="24"/>
          <w:szCs w:val="24"/>
        </w:rPr>
        <w:t xml:space="preserve"> </w:t>
      </w:r>
      <w:proofErr w:type="spellStart"/>
      <w:r w:rsidR="0069425F" w:rsidRPr="00CC28EC">
        <w:rPr>
          <w:sz w:val="24"/>
          <w:szCs w:val="24"/>
        </w:rPr>
        <w:t>statele</w:t>
      </w:r>
      <w:proofErr w:type="spellEnd"/>
      <w:r w:rsidR="0069425F" w:rsidRPr="00CC28EC">
        <w:rPr>
          <w:sz w:val="24"/>
          <w:szCs w:val="24"/>
        </w:rPr>
        <w:t xml:space="preserve"> </w:t>
      </w:r>
      <w:proofErr w:type="spellStart"/>
      <w:r w:rsidR="0069425F" w:rsidRPr="00CC28EC">
        <w:rPr>
          <w:sz w:val="24"/>
          <w:szCs w:val="24"/>
        </w:rPr>
        <w:t>membre</w:t>
      </w:r>
      <w:proofErr w:type="spellEnd"/>
      <w:r w:rsidR="0069425F" w:rsidRPr="00CC28EC">
        <w:rPr>
          <w:sz w:val="24"/>
          <w:szCs w:val="24"/>
        </w:rPr>
        <w:t xml:space="preserve"> ale UE</w:t>
      </w:r>
      <w:r w:rsidRPr="00CC28EC">
        <w:rPr>
          <w:sz w:val="24"/>
          <w:szCs w:val="24"/>
        </w:rPr>
        <w:t>,</w:t>
      </w:r>
      <w:r w:rsidR="0069425F" w:rsidRPr="00CC28EC">
        <w:rPr>
          <w:sz w:val="24"/>
          <w:szCs w:val="24"/>
        </w:rPr>
        <w:t xml:space="preserve"> </w:t>
      </w:r>
      <w:proofErr w:type="spellStart"/>
      <w:r w:rsidRPr="00CC28EC">
        <w:rPr>
          <w:sz w:val="24"/>
          <w:szCs w:val="24"/>
        </w:rPr>
        <w:t>c</w:t>
      </w:r>
      <w:r w:rsidR="0069425F" w:rsidRPr="00CC28EC">
        <w:rPr>
          <w:sz w:val="24"/>
          <w:szCs w:val="24"/>
        </w:rPr>
        <w:t>ele</w:t>
      </w:r>
      <w:proofErr w:type="spellEnd"/>
      <w:r w:rsidR="0069425F" w:rsidRPr="00CC28EC">
        <w:rPr>
          <w:sz w:val="24"/>
          <w:szCs w:val="24"/>
        </w:rPr>
        <w:t xml:space="preserve"> </w:t>
      </w:r>
      <w:proofErr w:type="spellStart"/>
      <w:r w:rsidR="0069425F" w:rsidRPr="00CC28EC">
        <w:rPr>
          <w:sz w:val="24"/>
          <w:szCs w:val="24"/>
        </w:rPr>
        <w:t>mai</w:t>
      </w:r>
      <w:proofErr w:type="spellEnd"/>
      <w:r w:rsidR="0069425F" w:rsidRPr="00CC28EC">
        <w:rPr>
          <w:sz w:val="24"/>
          <w:szCs w:val="24"/>
        </w:rPr>
        <w:t xml:space="preserve"> </w:t>
      </w:r>
      <w:proofErr w:type="spellStart"/>
      <w:r w:rsidR="0069425F" w:rsidRPr="00CC28EC">
        <w:rPr>
          <w:sz w:val="24"/>
          <w:szCs w:val="24"/>
        </w:rPr>
        <w:t>mari</w:t>
      </w:r>
      <w:proofErr w:type="spellEnd"/>
      <w:r w:rsidR="0069425F" w:rsidRPr="00CC28EC">
        <w:rPr>
          <w:sz w:val="24"/>
          <w:szCs w:val="24"/>
        </w:rPr>
        <w:t xml:space="preserve"> </w:t>
      </w:r>
      <w:proofErr w:type="spellStart"/>
      <w:r w:rsidR="0069425F" w:rsidRPr="00CC28EC">
        <w:rPr>
          <w:sz w:val="24"/>
          <w:szCs w:val="24"/>
        </w:rPr>
        <w:t>creșteri</w:t>
      </w:r>
      <w:proofErr w:type="spellEnd"/>
      <w:r w:rsidR="0069425F" w:rsidRPr="00CC28EC">
        <w:rPr>
          <w:sz w:val="24"/>
          <w:szCs w:val="24"/>
        </w:rPr>
        <w:t xml:space="preserve"> </w:t>
      </w:r>
      <w:proofErr w:type="spellStart"/>
      <w:r w:rsidRPr="00CC28EC">
        <w:rPr>
          <w:sz w:val="24"/>
          <w:szCs w:val="24"/>
        </w:rPr>
        <w:t>fiind</w:t>
      </w:r>
      <w:proofErr w:type="spellEnd"/>
      <w:r w:rsidR="0069425F" w:rsidRPr="00CC28EC">
        <w:rPr>
          <w:sz w:val="24"/>
          <w:szCs w:val="24"/>
        </w:rPr>
        <w:t xml:space="preserve"> </w:t>
      </w:r>
      <w:proofErr w:type="spellStart"/>
      <w:r w:rsidR="0069425F" w:rsidRPr="00CC28EC">
        <w:rPr>
          <w:sz w:val="24"/>
          <w:szCs w:val="24"/>
        </w:rPr>
        <w:t>observate</w:t>
      </w:r>
      <w:proofErr w:type="spellEnd"/>
      <w:r w:rsidR="0069425F" w:rsidRPr="00CC28EC">
        <w:rPr>
          <w:sz w:val="24"/>
          <w:szCs w:val="24"/>
        </w:rPr>
        <w:t xml:space="preserve"> </w:t>
      </w:r>
      <w:proofErr w:type="spellStart"/>
      <w:r w:rsidR="0069425F" w:rsidRPr="00CC28EC">
        <w:rPr>
          <w:sz w:val="24"/>
          <w:szCs w:val="24"/>
        </w:rPr>
        <w:t>în</w:t>
      </w:r>
      <w:proofErr w:type="spellEnd"/>
      <w:r w:rsidR="0069425F" w:rsidRPr="00CC28EC">
        <w:rPr>
          <w:sz w:val="24"/>
          <w:szCs w:val="24"/>
        </w:rPr>
        <w:t xml:space="preserve"> Grecia (25,1</w:t>
      </w:r>
      <w:r w:rsidRPr="00CC28EC">
        <w:rPr>
          <w:sz w:val="24"/>
          <w:szCs w:val="24"/>
        </w:rPr>
        <w:t>%</w:t>
      </w:r>
      <w:r w:rsidR="0069425F" w:rsidRPr="00CC28EC">
        <w:rPr>
          <w:sz w:val="24"/>
          <w:szCs w:val="24"/>
        </w:rPr>
        <w:t xml:space="preserve">), </w:t>
      </w:r>
      <w:proofErr w:type="spellStart"/>
      <w:r w:rsidR="0069425F" w:rsidRPr="00CC28EC">
        <w:rPr>
          <w:sz w:val="24"/>
          <w:szCs w:val="24"/>
        </w:rPr>
        <w:t>Spania</w:t>
      </w:r>
      <w:proofErr w:type="spellEnd"/>
      <w:r w:rsidR="0069425F" w:rsidRPr="00CC28EC">
        <w:rPr>
          <w:sz w:val="24"/>
          <w:szCs w:val="24"/>
        </w:rPr>
        <w:t xml:space="preserve"> (24,5</w:t>
      </w:r>
      <w:r w:rsidRPr="00CC28EC">
        <w:rPr>
          <w:sz w:val="24"/>
          <w:szCs w:val="24"/>
        </w:rPr>
        <w:t>%</w:t>
      </w:r>
      <w:r w:rsidR="0069425F" w:rsidRPr="00CC28EC">
        <w:rPr>
          <w:sz w:val="24"/>
          <w:szCs w:val="24"/>
        </w:rPr>
        <w:t xml:space="preserve">), </w:t>
      </w:r>
      <w:proofErr w:type="spellStart"/>
      <w:r w:rsidR="0069425F" w:rsidRPr="00CC28EC">
        <w:rPr>
          <w:sz w:val="24"/>
          <w:szCs w:val="24"/>
        </w:rPr>
        <w:t>Cipru</w:t>
      </w:r>
      <w:proofErr w:type="spellEnd"/>
      <w:r w:rsidR="0069425F" w:rsidRPr="00CC28EC">
        <w:rPr>
          <w:sz w:val="24"/>
          <w:szCs w:val="24"/>
        </w:rPr>
        <w:t xml:space="preserve"> (24,2</w:t>
      </w:r>
      <w:r w:rsidRPr="00CC28EC">
        <w:rPr>
          <w:sz w:val="24"/>
          <w:szCs w:val="24"/>
        </w:rPr>
        <w:t>%</w:t>
      </w:r>
      <w:r w:rsidR="0069425F" w:rsidRPr="00CC28EC">
        <w:rPr>
          <w:sz w:val="24"/>
          <w:szCs w:val="24"/>
        </w:rPr>
        <w:t>), Italia (21,2</w:t>
      </w:r>
      <w:r w:rsidRPr="00CC28EC">
        <w:rPr>
          <w:sz w:val="24"/>
          <w:szCs w:val="24"/>
        </w:rPr>
        <w:t>%</w:t>
      </w:r>
      <w:r w:rsidR="0069425F" w:rsidRPr="00CC28EC">
        <w:rPr>
          <w:sz w:val="24"/>
          <w:szCs w:val="24"/>
        </w:rPr>
        <w:t xml:space="preserve">) </w:t>
      </w:r>
      <w:proofErr w:type="spellStart"/>
      <w:r w:rsidR="0069425F" w:rsidRPr="00CC28EC">
        <w:rPr>
          <w:sz w:val="24"/>
          <w:szCs w:val="24"/>
        </w:rPr>
        <w:t>și</w:t>
      </w:r>
      <w:proofErr w:type="spellEnd"/>
      <w:r w:rsidR="0069425F" w:rsidRPr="00CC28EC">
        <w:rPr>
          <w:sz w:val="24"/>
          <w:szCs w:val="24"/>
        </w:rPr>
        <w:t xml:space="preserve"> </w:t>
      </w:r>
      <w:proofErr w:type="spellStart"/>
      <w:r w:rsidR="0069425F" w:rsidRPr="00CC28EC">
        <w:rPr>
          <w:sz w:val="24"/>
          <w:szCs w:val="24"/>
        </w:rPr>
        <w:t>Franța</w:t>
      </w:r>
      <w:proofErr w:type="spellEnd"/>
      <w:r w:rsidR="0069425F" w:rsidRPr="00CC28EC">
        <w:rPr>
          <w:sz w:val="24"/>
          <w:szCs w:val="24"/>
        </w:rPr>
        <w:t xml:space="preserve"> (18,1</w:t>
      </w:r>
      <w:r w:rsidRPr="00CC28EC">
        <w:rPr>
          <w:sz w:val="24"/>
          <w:szCs w:val="24"/>
        </w:rPr>
        <w:t>%</w:t>
      </w:r>
      <w:r w:rsidR="0069425F" w:rsidRPr="00CC28EC">
        <w:rPr>
          <w:sz w:val="24"/>
          <w:szCs w:val="24"/>
        </w:rPr>
        <w:t xml:space="preserve">). </w:t>
      </w:r>
      <w:r w:rsidRPr="00CC28EC">
        <w:rPr>
          <w:sz w:val="24"/>
          <w:szCs w:val="24"/>
        </w:rPr>
        <w:t xml:space="preserve">Au </w:t>
      </w:r>
      <w:proofErr w:type="spellStart"/>
      <w:r w:rsidRPr="00CC28EC">
        <w:rPr>
          <w:sz w:val="24"/>
          <w:szCs w:val="24"/>
        </w:rPr>
        <w:t>fost</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țări</w:t>
      </w:r>
      <w:proofErr w:type="spellEnd"/>
      <w:r w:rsidRPr="00CC28EC">
        <w:rPr>
          <w:sz w:val="24"/>
          <w:szCs w:val="24"/>
        </w:rPr>
        <w:t xml:space="preserve"> cu </w:t>
      </w:r>
      <w:proofErr w:type="spellStart"/>
      <w:r w:rsidRPr="00CC28EC">
        <w:rPr>
          <w:sz w:val="24"/>
          <w:szCs w:val="24"/>
        </w:rPr>
        <w:t>creșteri</w:t>
      </w:r>
      <w:proofErr w:type="spellEnd"/>
      <w:r w:rsidRPr="00CC28EC">
        <w:rPr>
          <w:sz w:val="24"/>
          <w:szCs w:val="24"/>
        </w:rPr>
        <w:t xml:space="preserve"> </w:t>
      </w:r>
      <w:proofErr w:type="spellStart"/>
      <w:r w:rsidRPr="00CC28EC">
        <w:rPr>
          <w:sz w:val="24"/>
          <w:szCs w:val="24"/>
        </w:rPr>
        <w:t>mici</w:t>
      </w:r>
      <w:proofErr w:type="spellEnd"/>
      <w:r w:rsidRPr="00CC28EC">
        <w:rPr>
          <w:sz w:val="24"/>
          <w:szCs w:val="24"/>
        </w:rPr>
        <w:t xml:space="preserve">, cum </w:t>
      </w:r>
      <w:proofErr w:type="spellStart"/>
      <w:r w:rsidRPr="00CC28EC">
        <w:rPr>
          <w:sz w:val="24"/>
          <w:szCs w:val="24"/>
        </w:rPr>
        <w:t>ar</w:t>
      </w:r>
      <w:proofErr w:type="spellEnd"/>
      <w:r w:rsidRPr="00CC28EC">
        <w:rPr>
          <w:sz w:val="24"/>
          <w:szCs w:val="24"/>
        </w:rPr>
        <w:t xml:space="preserve"> fi</w:t>
      </w:r>
      <w:r w:rsidR="0069425F" w:rsidRPr="00CC28EC">
        <w:rPr>
          <w:sz w:val="24"/>
          <w:szCs w:val="24"/>
        </w:rPr>
        <w:t xml:space="preserve"> </w:t>
      </w:r>
      <w:proofErr w:type="spellStart"/>
      <w:r w:rsidR="0069425F" w:rsidRPr="00CC28EC">
        <w:rPr>
          <w:sz w:val="24"/>
          <w:szCs w:val="24"/>
        </w:rPr>
        <w:t>în</w:t>
      </w:r>
      <w:proofErr w:type="spellEnd"/>
      <w:r w:rsidR="0069425F" w:rsidRPr="00CC28EC">
        <w:rPr>
          <w:sz w:val="24"/>
          <w:szCs w:val="24"/>
        </w:rPr>
        <w:t xml:space="preserve"> </w:t>
      </w:r>
      <w:proofErr w:type="spellStart"/>
      <w:r w:rsidR="0069425F" w:rsidRPr="00CC28EC">
        <w:rPr>
          <w:sz w:val="24"/>
          <w:szCs w:val="24"/>
        </w:rPr>
        <w:t>Irlanda</w:t>
      </w:r>
      <w:proofErr w:type="spellEnd"/>
      <w:r w:rsidR="0069425F" w:rsidRPr="00CC28EC">
        <w:rPr>
          <w:sz w:val="24"/>
          <w:szCs w:val="24"/>
        </w:rPr>
        <w:t xml:space="preserve"> (2,2</w:t>
      </w:r>
      <w:r w:rsidRPr="00CC28EC">
        <w:rPr>
          <w:sz w:val="24"/>
          <w:szCs w:val="24"/>
        </w:rPr>
        <w:t>%</w:t>
      </w:r>
      <w:r w:rsidR="0069425F" w:rsidRPr="00CC28EC">
        <w:rPr>
          <w:sz w:val="24"/>
          <w:szCs w:val="24"/>
        </w:rPr>
        <w:t>)</w:t>
      </w:r>
      <w:r w:rsidRPr="00CC28EC">
        <w:rPr>
          <w:sz w:val="24"/>
          <w:szCs w:val="24"/>
        </w:rPr>
        <w:t xml:space="preserve"> </w:t>
      </w:r>
      <w:proofErr w:type="spellStart"/>
      <w:r w:rsidRPr="00CC28EC">
        <w:rPr>
          <w:sz w:val="24"/>
          <w:szCs w:val="24"/>
        </w:rPr>
        <w:t>sau</w:t>
      </w:r>
      <w:proofErr w:type="spellEnd"/>
      <w:r w:rsidR="0069425F" w:rsidRPr="00CC28EC">
        <w:rPr>
          <w:sz w:val="24"/>
          <w:szCs w:val="24"/>
        </w:rPr>
        <w:t xml:space="preserve"> Bulgaria </w:t>
      </w:r>
      <w:proofErr w:type="spellStart"/>
      <w:r w:rsidR="0069425F" w:rsidRPr="00CC28EC">
        <w:rPr>
          <w:sz w:val="24"/>
          <w:szCs w:val="24"/>
        </w:rPr>
        <w:t>și</w:t>
      </w:r>
      <w:proofErr w:type="spellEnd"/>
      <w:r w:rsidR="0069425F" w:rsidRPr="00CC28EC">
        <w:rPr>
          <w:sz w:val="24"/>
          <w:szCs w:val="24"/>
        </w:rPr>
        <w:t xml:space="preserve"> </w:t>
      </w:r>
      <w:proofErr w:type="spellStart"/>
      <w:r w:rsidR="0069425F" w:rsidRPr="00CC28EC">
        <w:rPr>
          <w:sz w:val="24"/>
          <w:szCs w:val="24"/>
        </w:rPr>
        <w:t>Suedia</w:t>
      </w:r>
      <w:proofErr w:type="spellEnd"/>
      <w:r w:rsidR="0069425F" w:rsidRPr="00CC28EC">
        <w:rPr>
          <w:sz w:val="24"/>
          <w:szCs w:val="24"/>
        </w:rPr>
        <w:t xml:space="preserve"> (4,8</w:t>
      </w:r>
      <w:r w:rsidRPr="00CC28EC">
        <w:rPr>
          <w:sz w:val="24"/>
          <w:szCs w:val="24"/>
        </w:rPr>
        <w:t>%</w:t>
      </w:r>
      <w:r w:rsidR="0069425F" w:rsidRPr="00CC28EC">
        <w:rPr>
          <w:sz w:val="24"/>
          <w:szCs w:val="24"/>
        </w:rPr>
        <w:t>).</w:t>
      </w:r>
    </w:p>
    <w:p w14:paraId="5E4BA12A" w14:textId="54218A18" w:rsidR="00FF04D4" w:rsidRPr="00CC28EC" w:rsidRDefault="00AA4483" w:rsidP="00AA4483">
      <w:pPr>
        <w:ind w:firstLine="708"/>
        <w:jc w:val="both"/>
        <w:rPr>
          <w:sz w:val="24"/>
          <w:szCs w:val="24"/>
        </w:rPr>
      </w:pPr>
      <w:proofErr w:type="spellStart"/>
      <w:r w:rsidRPr="00CC28EC">
        <w:rPr>
          <w:sz w:val="24"/>
          <w:szCs w:val="24"/>
        </w:rPr>
        <w:t>Așa</w:t>
      </w:r>
      <w:proofErr w:type="spellEnd"/>
      <w:r w:rsidRPr="00CC28EC">
        <w:rPr>
          <w:sz w:val="24"/>
          <w:szCs w:val="24"/>
        </w:rPr>
        <w:t xml:space="preserve"> cum </w:t>
      </w:r>
      <w:proofErr w:type="spellStart"/>
      <w:r w:rsidRPr="00CC28EC">
        <w:rPr>
          <w:sz w:val="24"/>
          <w:szCs w:val="24"/>
        </w:rPr>
        <w:t>arătau</w:t>
      </w:r>
      <w:proofErr w:type="spellEnd"/>
      <w:r w:rsidRPr="00CC28EC">
        <w:rPr>
          <w:sz w:val="24"/>
          <w:szCs w:val="24"/>
        </w:rPr>
        <w:t xml:space="preserve"> </w:t>
      </w:r>
      <w:proofErr w:type="spellStart"/>
      <w:r w:rsidRPr="00CC28EC">
        <w:rPr>
          <w:sz w:val="24"/>
          <w:szCs w:val="24"/>
        </w:rPr>
        <w:t>organele</w:t>
      </w:r>
      <w:proofErr w:type="spellEnd"/>
      <w:r w:rsidRPr="00CC28EC">
        <w:rPr>
          <w:sz w:val="24"/>
          <w:szCs w:val="24"/>
        </w:rPr>
        <w:t xml:space="preserve"> </w:t>
      </w:r>
      <w:proofErr w:type="spellStart"/>
      <w:r w:rsidRPr="00CC28EC">
        <w:rPr>
          <w:sz w:val="24"/>
          <w:szCs w:val="24"/>
        </w:rPr>
        <w:t>noastre</w:t>
      </w:r>
      <w:proofErr w:type="spellEnd"/>
      <w:r w:rsidRPr="00CC28EC">
        <w:rPr>
          <w:sz w:val="24"/>
          <w:szCs w:val="24"/>
        </w:rPr>
        <w:t xml:space="preserve"> </w:t>
      </w:r>
      <w:proofErr w:type="spellStart"/>
      <w:r w:rsidRPr="00CC28EC">
        <w:rPr>
          <w:sz w:val="24"/>
          <w:szCs w:val="24"/>
        </w:rPr>
        <w:t>răspunzătoare</w:t>
      </w:r>
      <w:proofErr w:type="spellEnd"/>
      <w:r w:rsidRPr="00CC28EC">
        <w:rPr>
          <w:sz w:val="24"/>
          <w:szCs w:val="24"/>
        </w:rPr>
        <w:t xml:space="preserve"> de </w:t>
      </w:r>
      <w:proofErr w:type="spellStart"/>
      <w:r w:rsidRPr="00CC28EC">
        <w:rPr>
          <w:sz w:val="24"/>
          <w:szCs w:val="24"/>
        </w:rPr>
        <w:t>acest</w:t>
      </w:r>
      <w:proofErr w:type="spellEnd"/>
      <w:r w:rsidRPr="00CC28EC">
        <w:rPr>
          <w:sz w:val="24"/>
          <w:szCs w:val="24"/>
        </w:rPr>
        <w:t xml:space="preserve"> </w:t>
      </w:r>
      <w:proofErr w:type="spellStart"/>
      <w:r w:rsidRPr="00CC28EC">
        <w:rPr>
          <w:sz w:val="24"/>
          <w:szCs w:val="24"/>
        </w:rPr>
        <w:t>domeniu</w:t>
      </w:r>
      <w:proofErr w:type="spellEnd"/>
      <w:r w:rsidRPr="00CC28EC">
        <w:rPr>
          <w:sz w:val="24"/>
          <w:szCs w:val="24"/>
        </w:rPr>
        <w:t xml:space="preserve">: </w:t>
      </w:r>
      <w:r w:rsidR="006677AC" w:rsidRPr="00CC28EC">
        <w:rPr>
          <w:sz w:val="24"/>
          <w:szCs w:val="24"/>
        </w:rPr>
        <w:t>„</w:t>
      </w:r>
      <w:r w:rsidR="007831F1" w:rsidRPr="00CC28EC">
        <w:rPr>
          <w:i/>
          <w:iCs/>
          <w:sz w:val="24"/>
          <w:szCs w:val="24"/>
        </w:rPr>
        <w:t xml:space="preserve">La </w:t>
      </w:r>
      <w:proofErr w:type="spellStart"/>
      <w:r w:rsidR="007831F1" w:rsidRPr="00CC28EC">
        <w:rPr>
          <w:i/>
          <w:iCs/>
          <w:sz w:val="24"/>
          <w:szCs w:val="24"/>
        </w:rPr>
        <w:t>sf</w:t>
      </w:r>
      <w:r w:rsidR="006677AC" w:rsidRPr="00CC28EC">
        <w:rPr>
          <w:i/>
          <w:iCs/>
          <w:sz w:val="24"/>
          <w:szCs w:val="24"/>
        </w:rPr>
        <w:t>â</w:t>
      </w:r>
      <w:r w:rsidR="007831F1" w:rsidRPr="00CC28EC">
        <w:rPr>
          <w:i/>
          <w:iCs/>
          <w:sz w:val="24"/>
          <w:szCs w:val="24"/>
        </w:rPr>
        <w:t>rșitul</w:t>
      </w:r>
      <w:proofErr w:type="spellEnd"/>
      <w:r w:rsidR="007831F1" w:rsidRPr="00CC28EC">
        <w:rPr>
          <w:i/>
          <w:iCs/>
          <w:sz w:val="24"/>
          <w:szCs w:val="24"/>
        </w:rPr>
        <w:t xml:space="preserve"> </w:t>
      </w:r>
      <w:proofErr w:type="spellStart"/>
      <w:r w:rsidR="007831F1" w:rsidRPr="00CC28EC">
        <w:rPr>
          <w:i/>
          <w:iCs/>
          <w:sz w:val="24"/>
          <w:szCs w:val="24"/>
        </w:rPr>
        <w:t>primului</w:t>
      </w:r>
      <w:proofErr w:type="spellEnd"/>
      <w:r w:rsidR="007831F1" w:rsidRPr="00CC28EC">
        <w:rPr>
          <w:i/>
          <w:iCs/>
          <w:sz w:val="24"/>
          <w:szCs w:val="24"/>
        </w:rPr>
        <w:t xml:space="preserve"> </w:t>
      </w:r>
      <w:proofErr w:type="spellStart"/>
      <w:r w:rsidR="007831F1" w:rsidRPr="00CC28EC">
        <w:rPr>
          <w:i/>
          <w:iCs/>
          <w:sz w:val="24"/>
          <w:szCs w:val="24"/>
        </w:rPr>
        <w:t>trimestru</w:t>
      </w:r>
      <w:proofErr w:type="spellEnd"/>
      <w:r w:rsidR="007831F1" w:rsidRPr="00CC28EC">
        <w:rPr>
          <w:i/>
          <w:iCs/>
          <w:sz w:val="24"/>
          <w:szCs w:val="24"/>
        </w:rPr>
        <w:t xml:space="preserve"> al </w:t>
      </w:r>
      <w:proofErr w:type="spellStart"/>
      <w:r w:rsidR="007831F1" w:rsidRPr="00CC28EC">
        <w:rPr>
          <w:i/>
          <w:iCs/>
          <w:sz w:val="24"/>
          <w:szCs w:val="24"/>
        </w:rPr>
        <w:t>anului</w:t>
      </w:r>
      <w:proofErr w:type="spellEnd"/>
      <w:r w:rsidR="007831F1" w:rsidRPr="00CC28EC">
        <w:rPr>
          <w:i/>
          <w:iCs/>
          <w:sz w:val="24"/>
          <w:szCs w:val="24"/>
        </w:rPr>
        <w:t xml:space="preserve"> 2021, </w:t>
      </w:r>
      <w:proofErr w:type="spellStart"/>
      <w:r w:rsidR="007831F1" w:rsidRPr="00CC28EC">
        <w:rPr>
          <w:i/>
          <w:iCs/>
          <w:sz w:val="24"/>
          <w:szCs w:val="24"/>
        </w:rPr>
        <w:t>datoria</w:t>
      </w:r>
      <w:proofErr w:type="spellEnd"/>
      <w:r w:rsidR="007831F1" w:rsidRPr="00CC28EC">
        <w:rPr>
          <w:i/>
          <w:iCs/>
          <w:sz w:val="24"/>
          <w:szCs w:val="24"/>
        </w:rPr>
        <w:t xml:space="preserve"> </w:t>
      </w:r>
      <w:proofErr w:type="spellStart"/>
      <w:r w:rsidR="007831F1" w:rsidRPr="00CC28EC">
        <w:rPr>
          <w:i/>
          <w:iCs/>
          <w:sz w:val="24"/>
          <w:szCs w:val="24"/>
        </w:rPr>
        <w:t>guvernamentală</w:t>
      </w:r>
      <w:proofErr w:type="spellEnd"/>
      <w:r w:rsidR="007831F1" w:rsidRPr="00CC28EC">
        <w:rPr>
          <w:i/>
          <w:iCs/>
          <w:sz w:val="24"/>
          <w:szCs w:val="24"/>
        </w:rPr>
        <w:t xml:space="preserve"> a </w:t>
      </w:r>
      <w:proofErr w:type="spellStart"/>
      <w:r w:rsidR="007831F1" w:rsidRPr="00CC28EC">
        <w:rPr>
          <w:i/>
          <w:iCs/>
          <w:sz w:val="24"/>
          <w:szCs w:val="24"/>
        </w:rPr>
        <w:t>reprezentat</w:t>
      </w:r>
      <w:proofErr w:type="spellEnd"/>
      <w:r w:rsidR="007831F1" w:rsidRPr="00CC28EC">
        <w:rPr>
          <w:i/>
          <w:iCs/>
          <w:sz w:val="24"/>
          <w:szCs w:val="24"/>
        </w:rPr>
        <w:t xml:space="preserve"> 47,7% din PIB, </w:t>
      </w:r>
      <w:proofErr w:type="spellStart"/>
      <w:r w:rsidR="007831F1" w:rsidRPr="00CC28EC">
        <w:rPr>
          <w:i/>
          <w:iCs/>
          <w:sz w:val="24"/>
          <w:szCs w:val="24"/>
        </w:rPr>
        <w:t>nivel</w:t>
      </w:r>
      <w:proofErr w:type="spellEnd"/>
      <w:r w:rsidR="007831F1" w:rsidRPr="00CC28EC">
        <w:rPr>
          <w:i/>
          <w:iCs/>
          <w:sz w:val="24"/>
          <w:szCs w:val="24"/>
        </w:rPr>
        <w:t xml:space="preserve"> net inferior </w:t>
      </w:r>
      <w:proofErr w:type="spellStart"/>
      <w:r w:rsidR="007831F1" w:rsidRPr="00CC28EC">
        <w:rPr>
          <w:i/>
          <w:iCs/>
          <w:sz w:val="24"/>
          <w:szCs w:val="24"/>
        </w:rPr>
        <w:t>nivelului</w:t>
      </w:r>
      <w:proofErr w:type="spellEnd"/>
      <w:r w:rsidR="007831F1" w:rsidRPr="00CC28EC">
        <w:rPr>
          <w:i/>
          <w:iCs/>
          <w:sz w:val="24"/>
          <w:szCs w:val="24"/>
        </w:rPr>
        <w:t xml:space="preserve"> </w:t>
      </w:r>
      <w:proofErr w:type="spellStart"/>
      <w:r w:rsidR="007831F1" w:rsidRPr="00CC28EC">
        <w:rPr>
          <w:i/>
          <w:iCs/>
          <w:sz w:val="24"/>
          <w:szCs w:val="24"/>
        </w:rPr>
        <w:t>înregistrat</w:t>
      </w:r>
      <w:proofErr w:type="spellEnd"/>
      <w:r w:rsidR="007831F1" w:rsidRPr="00CC28EC">
        <w:rPr>
          <w:i/>
          <w:iCs/>
          <w:sz w:val="24"/>
          <w:szCs w:val="24"/>
        </w:rPr>
        <w:t xml:space="preserve"> </w:t>
      </w:r>
      <w:proofErr w:type="spellStart"/>
      <w:r w:rsidR="007831F1" w:rsidRPr="00CC28EC">
        <w:rPr>
          <w:i/>
          <w:iCs/>
          <w:sz w:val="24"/>
          <w:szCs w:val="24"/>
        </w:rPr>
        <w:t>în</w:t>
      </w:r>
      <w:proofErr w:type="spellEnd"/>
      <w:r w:rsidR="007831F1" w:rsidRPr="00CC28EC">
        <w:rPr>
          <w:i/>
          <w:iCs/>
          <w:sz w:val="24"/>
          <w:szCs w:val="24"/>
        </w:rPr>
        <w:t xml:space="preserve"> </w:t>
      </w:r>
      <w:proofErr w:type="spellStart"/>
      <w:r w:rsidR="007831F1" w:rsidRPr="00CC28EC">
        <w:rPr>
          <w:i/>
          <w:iCs/>
          <w:sz w:val="24"/>
          <w:szCs w:val="24"/>
        </w:rPr>
        <w:t>Uniunea</w:t>
      </w:r>
      <w:proofErr w:type="spellEnd"/>
      <w:r w:rsidR="007831F1" w:rsidRPr="00CC28EC">
        <w:rPr>
          <w:i/>
          <w:iCs/>
          <w:sz w:val="24"/>
          <w:szCs w:val="24"/>
        </w:rPr>
        <w:t xml:space="preserve"> </w:t>
      </w:r>
      <w:proofErr w:type="spellStart"/>
      <w:r w:rsidR="007831F1" w:rsidRPr="00CC28EC">
        <w:rPr>
          <w:i/>
          <w:iCs/>
          <w:sz w:val="24"/>
          <w:szCs w:val="24"/>
        </w:rPr>
        <w:t>Europeană</w:t>
      </w:r>
      <w:proofErr w:type="spellEnd"/>
      <w:r w:rsidR="007831F1" w:rsidRPr="00CC28EC">
        <w:rPr>
          <w:i/>
          <w:iCs/>
          <w:sz w:val="24"/>
          <w:szCs w:val="24"/>
        </w:rPr>
        <w:t xml:space="preserve"> de 92,9% din PIB, </w:t>
      </w:r>
      <w:proofErr w:type="spellStart"/>
      <w:r w:rsidR="007831F1" w:rsidRPr="00CC28EC">
        <w:rPr>
          <w:i/>
          <w:iCs/>
          <w:sz w:val="24"/>
          <w:szCs w:val="24"/>
        </w:rPr>
        <w:t>și</w:t>
      </w:r>
      <w:proofErr w:type="spellEnd"/>
      <w:r w:rsidR="007831F1" w:rsidRPr="00CC28EC">
        <w:rPr>
          <w:i/>
          <w:iCs/>
          <w:sz w:val="24"/>
          <w:szCs w:val="24"/>
        </w:rPr>
        <w:t xml:space="preserve"> </w:t>
      </w:r>
      <w:proofErr w:type="spellStart"/>
      <w:r w:rsidR="007831F1" w:rsidRPr="00CC28EC">
        <w:rPr>
          <w:i/>
          <w:iCs/>
          <w:sz w:val="24"/>
          <w:szCs w:val="24"/>
        </w:rPr>
        <w:t>celui</w:t>
      </w:r>
      <w:proofErr w:type="spellEnd"/>
      <w:r w:rsidR="007831F1" w:rsidRPr="00CC28EC">
        <w:rPr>
          <w:i/>
          <w:iCs/>
          <w:sz w:val="24"/>
          <w:szCs w:val="24"/>
        </w:rPr>
        <w:t xml:space="preserve"> din Zona Euro de 100,5% din PIB.</w:t>
      </w:r>
      <w:r w:rsidR="006677AC" w:rsidRPr="00CC28EC">
        <w:rPr>
          <w:sz w:val="24"/>
          <w:szCs w:val="24"/>
        </w:rPr>
        <w:t>”</w:t>
      </w:r>
      <w:r w:rsidR="007831F1" w:rsidRPr="00CC28EC">
        <w:rPr>
          <w:sz w:val="24"/>
          <w:szCs w:val="24"/>
        </w:rPr>
        <w:t xml:space="preserve"> (</w:t>
      </w:r>
      <w:bookmarkStart w:id="11" w:name="_Hlk83907372"/>
      <w:proofErr w:type="spellStart"/>
      <w:r w:rsidR="007831F1" w:rsidRPr="00CC28EC">
        <w:rPr>
          <w:sz w:val="24"/>
          <w:szCs w:val="24"/>
        </w:rPr>
        <w:t>Ministerul</w:t>
      </w:r>
      <w:proofErr w:type="spellEnd"/>
      <w:r w:rsidR="007831F1" w:rsidRPr="00CC28EC">
        <w:rPr>
          <w:sz w:val="24"/>
          <w:szCs w:val="24"/>
        </w:rPr>
        <w:t xml:space="preserve"> </w:t>
      </w:r>
      <w:proofErr w:type="spellStart"/>
      <w:r w:rsidR="007831F1" w:rsidRPr="00CC28EC">
        <w:rPr>
          <w:sz w:val="24"/>
          <w:szCs w:val="24"/>
        </w:rPr>
        <w:t>Finanțelor</w:t>
      </w:r>
      <w:proofErr w:type="spellEnd"/>
      <w:r w:rsidR="007831F1" w:rsidRPr="00CC28EC">
        <w:rPr>
          <w:sz w:val="24"/>
          <w:szCs w:val="24"/>
        </w:rPr>
        <w:t xml:space="preserve"> </w:t>
      </w:r>
      <w:proofErr w:type="spellStart"/>
      <w:r w:rsidR="007831F1" w:rsidRPr="00CC28EC">
        <w:rPr>
          <w:sz w:val="24"/>
          <w:szCs w:val="24"/>
        </w:rPr>
        <w:t>Publice</w:t>
      </w:r>
      <w:proofErr w:type="spellEnd"/>
      <w:r w:rsidR="007831F1" w:rsidRPr="00CC28EC">
        <w:rPr>
          <w:sz w:val="24"/>
          <w:szCs w:val="24"/>
        </w:rPr>
        <w:t xml:space="preserve">, </w:t>
      </w:r>
      <w:r w:rsidR="006677AC" w:rsidRPr="00CC28EC">
        <w:rPr>
          <w:sz w:val="24"/>
          <w:szCs w:val="24"/>
        </w:rPr>
        <w:t>2</w:t>
      </w:r>
      <w:r w:rsidR="007831F1" w:rsidRPr="00CC28EC">
        <w:rPr>
          <w:sz w:val="24"/>
          <w:szCs w:val="24"/>
        </w:rPr>
        <w:t>021</w:t>
      </w:r>
      <w:bookmarkEnd w:id="11"/>
      <w:r w:rsidR="007831F1" w:rsidRPr="00CC28EC">
        <w:rPr>
          <w:sz w:val="24"/>
          <w:szCs w:val="24"/>
        </w:rPr>
        <w:t>)</w:t>
      </w:r>
    </w:p>
    <w:p w14:paraId="20915E49" w14:textId="70F3AD25" w:rsidR="006002D6" w:rsidRPr="00CC28EC" w:rsidRDefault="000C2B1D" w:rsidP="000C2B1D">
      <w:pPr>
        <w:ind w:firstLine="708"/>
        <w:jc w:val="both"/>
        <w:rPr>
          <w:sz w:val="24"/>
          <w:szCs w:val="24"/>
        </w:rPr>
      </w:pPr>
      <w:proofErr w:type="spellStart"/>
      <w:r w:rsidRPr="00CC28EC">
        <w:rPr>
          <w:sz w:val="24"/>
          <w:szCs w:val="24"/>
        </w:rPr>
        <w:t>În</w:t>
      </w:r>
      <w:proofErr w:type="spellEnd"/>
      <w:r w:rsidRPr="00CC28EC">
        <w:rPr>
          <w:sz w:val="24"/>
          <w:szCs w:val="24"/>
        </w:rPr>
        <w:t xml:space="preserve"> </w:t>
      </w:r>
      <w:proofErr w:type="spellStart"/>
      <w:r w:rsidRPr="00CC28EC">
        <w:rPr>
          <w:sz w:val="24"/>
          <w:szCs w:val="24"/>
        </w:rPr>
        <w:t>afară</w:t>
      </w:r>
      <w:proofErr w:type="spellEnd"/>
      <w:r w:rsidRPr="00CC28EC">
        <w:rPr>
          <w:sz w:val="24"/>
          <w:szCs w:val="24"/>
        </w:rPr>
        <w:t xml:space="preserve"> de </w:t>
      </w:r>
      <w:proofErr w:type="spellStart"/>
      <w:r w:rsidRPr="00CC28EC">
        <w:rPr>
          <w:sz w:val="24"/>
          <w:szCs w:val="24"/>
        </w:rPr>
        <w:t>datele</w:t>
      </w:r>
      <w:proofErr w:type="spellEnd"/>
      <w:r w:rsidRPr="00CC28EC">
        <w:rPr>
          <w:sz w:val="24"/>
          <w:szCs w:val="24"/>
        </w:rPr>
        <w:t xml:space="preserve"> </w:t>
      </w:r>
      <w:proofErr w:type="spellStart"/>
      <w:r w:rsidRPr="00CC28EC">
        <w:rPr>
          <w:sz w:val="24"/>
          <w:szCs w:val="24"/>
        </w:rPr>
        <w:t>prezentate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cele</w:t>
      </w:r>
      <w:proofErr w:type="spellEnd"/>
      <w:r w:rsidRPr="00CC28EC">
        <w:rPr>
          <w:sz w:val="24"/>
          <w:szCs w:val="24"/>
        </w:rPr>
        <w:t xml:space="preserve"> </w:t>
      </w:r>
      <w:proofErr w:type="spellStart"/>
      <w:r w:rsidRPr="00CC28EC">
        <w:rPr>
          <w:sz w:val="24"/>
          <w:szCs w:val="24"/>
        </w:rPr>
        <w:t>două</w:t>
      </w:r>
      <w:proofErr w:type="spellEnd"/>
      <w:r w:rsidRPr="00CC28EC">
        <w:rPr>
          <w:sz w:val="24"/>
          <w:szCs w:val="24"/>
        </w:rPr>
        <w:t xml:space="preserve"> </w:t>
      </w:r>
      <w:proofErr w:type="spellStart"/>
      <w:r w:rsidRPr="00CC28EC">
        <w:rPr>
          <w:sz w:val="24"/>
          <w:szCs w:val="24"/>
        </w:rPr>
        <w:t>tabele</w:t>
      </w:r>
      <w:proofErr w:type="spellEnd"/>
      <w:r w:rsidRPr="00CC28EC">
        <w:rPr>
          <w:sz w:val="24"/>
          <w:szCs w:val="24"/>
        </w:rPr>
        <w:t xml:space="preserve">, </w:t>
      </w:r>
      <w:proofErr w:type="spellStart"/>
      <w:r w:rsidRPr="00CC28EC">
        <w:rPr>
          <w:sz w:val="24"/>
          <w:szCs w:val="24"/>
        </w:rPr>
        <w:t>alte</w:t>
      </w:r>
      <w:proofErr w:type="spellEnd"/>
      <w:r w:rsidRPr="00CC28EC">
        <w:rPr>
          <w:sz w:val="24"/>
          <w:szCs w:val="24"/>
        </w:rPr>
        <w:t xml:space="preserve"> </w:t>
      </w:r>
      <w:proofErr w:type="spellStart"/>
      <w:r w:rsidR="003479C3" w:rsidRPr="00CC28EC">
        <w:rPr>
          <w:sz w:val="24"/>
          <w:szCs w:val="24"/>
        </w:rPr>
        <w:t>despre</w:t>
      </w:r>
      <w:proofErr w:type="spellEnd"/>
      <w:r w:rsidRPr="00CC28EC">
        <w:rPr>
          <w:sz w:val="24"/>
          <w:szCs w:val="24"/>
        </w:rPr>
        <w:t xml:space="preserve"> </w:t>
      </w:r>
      <w:proofErr w:type="spellStart"/>
      <w:r w:rsidRPr="00CC28EC">
        <w:rPr>
          <w:sz w:val="24"/>
          <w:szCs w:val="24"/>
        </w:rPr>
        <w:t>datoria</w:t>
      </w:r>
      <w:proofErr w:type="spellEnd"/>
      <w:r w:rsidRPr="00CC28EC">
        <w:rPr>
          <w:sz w:val="24"/>
          <w:szCs w:val="24"/>
        </w:rPr>
        <w:t xml:space="preserve"> </w:t>
      </w:r>
      <w:proofErr w:type="spellStart"/>
      <w:r w:rsidRPr="00CC28EC">
        <w:rPr>
          <w:sz w:val="24"/>
          <w:szCs w:val="24"/>
        </w:rPr>
        <w:t>publică</w:t>
      </w:r>
      <w:proofErr w:type="spellEnd"/>
      <w:r w:rsidRPr="00CC28EC">
        <w:rPr>
          <w:sz w:val="24"/>
          <w:szCs w:val="24"/>
        </w:rPr>
        <w:t xml:space="preserve"> a </w:t>
      </w:r>
      <w:proofErr w:type="spellStart"/>
      <w:r w:rsidRPr="00CC28EC">
        <w:rPr>
          <w:sz w:val="24"/>
          <w:szCs w:val="24"/>
        </w:rPr>
        <w:t>statului</w:t>
      </w:r>
      <w:proofErr w:type="spellEnd"/>
      <w:r w:rsidRPr="00CC28EC">
        <w:rPr>
          <w:sz w:val="24"/>
          <w:szCs w:val="24"/>
        </w:rPr>
        <w:t xml:space="preserve"> </w:t>
      </w:r>
      <w:proofErr w:type="spellStart"/>
      <w:r w:rsidRPr="00CC28EC">
        <w:rPr>
          <w:sz w:val="24"/>
          <w:szCs w:val="24"/>
        </w:rPr>
        <w:t>român</w:t>
      </w:r>
      <w:proofErr w:type="spellEnd"/>
      <w:r w:rsidRPr="00CC28EC">
        <w:rPr>
          <w:sz w:val="24"/>
          <w:szCs w:val="24"/>
        </w:rPr>
        <w:t xml:space="preserve"> se </w:t>
      </w:r>
      <w:proofErr w:type="spellStart"/>
      <w:r w:rsidRPr="00CC28EC">
        <w:rPr>
          <w:sz w:val="24"/>
          <w:szCs w:val="24"/>
        </w:rPr>
        <w:t>referă</w:t>
      </w:r>
      <w:proofErr w:type="spellEnd"/>
      <w:r w:rsidRPr="00CC28EC">
        <w:rPr>
          <w:sz w:val="24"/>
          <w:szCs w:val="24"/>
        </w:rPr>
        <w:t xml:space="preserve"> la </w:t>
      </w:r>
      <w:proofErr w:type="spellStart"/>
      <w:r w:rsidRPr="00CC28EC">
        <w:rPr>
          <w:sz w:val="24"/>
          <w:szCs w:val="24"/>
        </w:rPr>
        <w:t>nivelul</w:t>
      </w:r>
      <w:proofErr w:type="spellEnd"/>
      <w:r w:rsidRPr="00CC28EC">
        <w:rPr>
          <w:sz w:val="24"/>
          <w:szCs w:val="24"/>
        </w:rPr>
        <w:t xml:space="preserve"> </w:t>
      </w:r>
      <w:proofErr w:type="spellStart"/>
      <w:r w:rsidRPr="00CC28EC">
        <w:rPr>
          <w:sz w:val="24"/>
          <w:szCs w:val="24"/>
        </w:rPr>
        <w:t>dobânzilor</w:t>
      </w:r>
      <w:proofErr w:type="spellEnd"/>
      <w:r w:rsidRPr="00CC28EC">
        <w:rPr>
          <w:sz w:val="24"/>
          <w:szCs w:val="24"/>
        </w:rPr>
        <w:t xml:space="preserve"> cu care ne </w:t>
      </w:r>
      <w:proofErr w:type="spellStart"/>
      <w:r w:rsidRPr="00CC28EC">
        <w:rPr>
          <w:sz w:val="24"/>
          <w:szCs w:val="24"/>
        </w:rPr>
        <w:t>împrumutăm</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la </w:t>
      </w:r>
      <w:proofErr w:type="spellStart"/>
      <w:r w:rsidRPr="00CC28EC">
        <w:rPr>
          <w:sz w:val="24"/>
          <w:szCs w:val="24"/>
        </w:rPr>
        <w:t>deficitul</w:t>
      </w:r>
      <w:proofErr w:type="spellEnd"/>
      <w:r w:rsidRPr="00CC28EC">
        <w:rPr>
          <w:sz w:val="24"/>
          <w:szCs w:val="24"/>
        </w:rPr>
        <w:t xml:space="preserve"> structural, </w:t>
      </w:r>
      <w:proofErr w:type="spellStart"/>
      <w:r w:rsidRPr="00CC28EC">
        <w:rPr>
          <w:sz w:val="24"/>
          <w:szCs w:val="24"/>
        </w:rPr>
        <w:t>informații</w:t>
      </w:r>
      <w:proofErr w:type="spellEnd"/>
      <w:r w:rsidRPr="00CC28EC">
        <w:rPr>
          <w:sz w:val="24"/>
          <w:szCs w:val="24"/>
        </w:rPr>
        <w:t xml:space="preserve"> care </w:t>
      </w:r>
      <w:proofErr w:type="spellStart"/>
      <w:r w:rsidR="006002D6" w:rsidRPr="00CC28EC">
        <w:rPr>
          <w:sz w:val="24"/>
          <w:szCs w:val="24"/>
        </w:rPr>
        <w:t>amplifică</w:t>
      </w:r>
      <w:proofErr w:type="spellEnd"/>
      <w:r w:rsidR="006002D6" w:rsidRPr="00CC28EC">
        <w:rPr>
          <w:sz w:val="24"/>
          <w:szCs w:val="24"/>
        </w:rPr>
        <w:t xml:space="preserve"> </w:t>
      </w:r>
      <w:proofErr w:type="spellStart"/>
      <w:r w:rsidRPr="00CC28EC">
        <w:rPr>
          <w:sz w:val="24"/>
          <w:szCs w:val="24"/>
        </w:rPr>
        <w:t>probleme</w:t>
      </w:r>
      <w:r w:rsidR="006002D6" w:rsidRPr="00CC28EC">
        <w:rPr>
          <w:sz w:val="24"/>
          <w:szCs w:val="24"/>
        </w:rPr>
        <w:t>le</w:t>
      </w:r>
      <w:proofErr w:type="spellEnd"/>
      <w:r w:rsidR="006002D6" w:rsidRPr="00CC28EC">
        <w:rPr>
          <w:sz w:val="24"/>
          <w:szCs w:val="24"/>
        </w:rPr>
        <w:t xml:space="preserve"> generate de </w:t>
      </w:r>
      <w:proofErr w:type="spellStart"/>
      <w:r w:rsidR="006002D6" w:rsidRPr="00CC28EC">
        <w:rPr>
          <w:sz w:val="24"/>
          <w:szCs w:val="24"/>
        </w:rPr>
        <w:t>îndatorarea</w:t>
      </w:r>
      <w:proofErr w:type="spellEnd"/>
      <w:r w:rsidR="006002D6" w:rsidRPr="00CC28EC">
        <w:rPr>
          <w:sz w:val="24"/>
          <w:szCs w:val="24"/>
        </w:rPr>
        <w:t xml:space="preserve"> </w:t>
      </w:r>
      <w:proofErr w:type="spellStart"/>
      <w:r w:rsidR="006002D6" w:rsidRPr="00CC28EC">
        <w:rPr>
          <w:sz w:val="24"/>
          <w:szCs w:val="24"/>
        </w:rPr>
        <w:t>rapidă</w:t>
      </w:r>
      <w:proofErr w:type="spellEnd"/>
      <w:r w:rsidR="006002D6" w:rsidRPr="00CC28EC">
        <w:rPr>
          <w:sz w:val="24"/>
          <w:szCs w:val="24"/>
        </w:rPr>
        <w:t xml:space="preserve"> a </w:t>
      </w:r>
      <w:proofErr w:type="spellStart"/>
      <w:r w:rsidR="006002D6" w:rsidRPr="00CC28EC">
        <w:rPr>
          <w:sz w:val="24"/>
          <w:szCs w:val="24"/>
        </w:rPr>
        <w:t>țării</w:t>
      </w:r>
      <w:proofErr w:type="spellEnd"/>
      <w:r w:rsidRPr="00CC28EC">
        <w:rPr>
          <w:sz w:val="24"/>
          <w:szCs w:val="24"/>
        </w:rPr>
        <w:t xml:space="preserve">. </w:t>
      </w:r>
    </w:p>
    <w:p w14:paraId="4C9F62AA" w14:textId="27240D8B" w:rsidR="002C78DD" w:rsidRPr="00CC28EC" w:rsidRDefault="006002D6" w:rsidP="002C78DD">
      <w:pPr>
        <w:ind w:firstLine="708"/>
        <w:jc w:val="both"/>
        <w:rPr>
          <w:sz w:val="24"/>
          <w:szCs w:val="24"/>
        </w:rPr>
      </w:pPr>
      <w:r w:rsidRPr="00CC28EC">
        <w:rPr>
          <w:sz w:val="24"/>
          <w:szCs w:val="24"/>
        </w:rPr>
        <w:t xml:space="preserve">Una din </w:t>
      </w:r>
      <w:proofErr w:type="spellStart"/>
      <w:r w:rsidRPr="00CC28EC">
        <w:rPr>
          <w:sz w:val="24"/>
          <w:szCs w:val="24"/>
        </w:rPr>
        <w:t>probleme</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dobânda</w:t>
      </w:r>
      <w:proofErr w:type="spellEnd"/>
      <w:r w:rsidRPr="00CC28EC">
        <w:rPr>
          <w:sz w:val="24"/>
          <w:szCs w:val="24"/>
        </w:rPr>
        <w:t xml:space="preserve"> cu care ne </w:t>
      </w:r>
      <w:proofErr w:type="spellStart"/>
      <w:r w:rsidRPr="00CC28EC">
        <w:rPr>
          <w:sz w:val="24"/>
          <w:szCs w:val="24"/>
        </w:rPr>
        <w:t>vom</w:t>
      </w:r>
      <w:proofErr w:type="spellEnd"/>
      <w:r w:rsidRPr="00CC28EC">
        <w:rPr>
          <w:sz w:val="24"/>
          <w:szCs w:val="24"/>
        </w:rPr>
        <w:t xml:space="preserve"> </w:t>
      </w:r>
      <w:proofErr w:type="spellStart"/>
      <w:r w:rsidRPr="00CC28EC">
        <w:rPr>
          <w:sz w:val="24"/>
          <w:szCs w:val="24"/>
        </w:rPr>
        <w:t>putea</w:t>
      </w:r>
      <w:proofErr w:type="spellEnd"/>
      <w:r w:rsidRPr="00CC28EC">
        <w:rPr>
          <w:sz w:val="24"/>
          <w:szCs w:val="24"/>
        </w:rPr>
        <w:t xml:space="preserve"> </w:t>
      </w:r>
      <w:proofErr w:type="spellStart"/>
      <w:r w:rsidRPr="00CC28EC">
        <w:rPr>
          <w:sz w:val="24"/>
          <w:szCs w:val="24"/>
        </w:rPr>
        <w:t>împrumuta</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viitor</w:t>
      </w:r>
      <w:proofErr w:type="spellEnd"/>
      <w:r w:rsidRPr="00CC28EC">
        <w:rPr>
          <w:sz w:val="24"/>
          <w:szCs w:val="24"/>
        </w:rPr>
        <w:t>.</w:t>
      </w:r>
      <w:r w:rsidR="003479C3" w:rsidRPr="00CC28EC">
        <w:rPr>
          <w:sz w:val="24"/>
          <w:szCs w:val="24"/>
        </w:rPr>
        <w:t xml:space="preserve"> </w:t>
      </w:r>
      <w:proofErr w:type="spellStart"/>
      <w:r w:rsidR="000C2B1D" w:rsidRPr="00CC28EC">
        <w:rPr>
          <w:sz w:val="24"/>
          <w:szCs w:val="24"/>
        </w:rPr>
        <w:t>În</w:t>
      </w:r>
      <w:proofErr w:type="spellEnd"/>
      <w:r w:rsidR="000C2B1D" w:rsidRPr="00CC28EC">
        <w:rPr>
          <w:sz w:val="24"/>
          <w:szCs w:val="24"/>
        </w:rPr>
        <w:t xml:space="preserve"> </w:t>
      </w:r>
      <w:proofErr w:type="spellStart"/>
      <w:r w:rsidR="000C2B1D" w:rsidRPr="00CC28EC">
        <w:rPr>
          <w:sz w:val="24"/>
          <w:szCs w:val="24"/>
        </w:rPr>
        <w:t>acest</w:t>
      </w:r>
      <w:proofErr w:type="spellEnd"/>
      <w:r w:rsidR="000C2B1D" w:rsidRPr="00CC28EC">
        <w:rPr>
          <w:sz w:val="24"/>
          <w:szCs w:val="24"/>
        </w:rPr>
        <w:t xml:space="preserve"> moment </w:t>
      </w:r>
      <w:proofErr w:type="spellStart"/>
      <w:r w:rsidR="000C2B1D" w:rsidRPr="00CC28EC">
        <w:rPr>
          <w:sz w:val="24"/>
          <w:szCs w:val="24"/>
        </w:rPr>
        <w:t>rambursăm</w:t>
      </w:r>
      <w:proofErr w:type="spellEnd"/>
      <w:r w:rsidR="000C2B1D" w:rsidRPr="00CC28EC">
        <w:rPr>
          <w:sz w:val="24"/>
          <w:szCs w:val="24"/>
        </w:rPr>
        <w:t xml:space="preserve"> </w:t>
      </w:r>
      <w:proofErr w:type="spellStart"/>
      <w:r w:rsidR="000C2B1D" w:rsidRPr="00CC28EC">
        <w:rPr>
          <w:sz w:val="24"/>
          <w:szCs w:val="24"/>
        </w:rPr>
        <w:t>datoria</w:t>
      </w:r>
      <w:proofErr w:type="spellEnd"/>
      <w:r w:rsidR="000C2B1D" w:rsidRPr="00CC28EC">
        <w:rPr>
          <w:sz w:val="24"/>
          <w:szCs w:val="24"/>
        </w:rPr>
        <w:t xml:space="preserve"> c</w:t>
      </w:r>
      <w:r w:rsidRPr="00CC28EC">
        <w:rPr>
          <w:sz w:val="24"/>
          <w:szCs w:val="24"/>
        </w:rPr>
        <w:t>are are</w:t>
      </w:r>
      <w:r w:rsidR="000C2B1D" w:rsidRPr="00CC28EC">
        <w:rPr>
          <w:sz w:val="24"/>
          <w:szCs w:val="24"/>
        </w:rPr>
        <w:t xml:space="preserve"> un </w:t>
      </w:r>
      <w:proofErr w:type="spellStart"/>
      <w:r w:rsidR="000C2B1D" w:rsidRPr="00CC28EC">
        <w:rPr>
          <w:sz w:val="24"/>
          <w:szCs w:val="24"/>
        </w:rPr>
        <w:t>nivel</w:t>
      </w:r>
      <w:proofErr w:type="spellEnd"/>
      <w:r w:rsidR="000C2B1D" w:rsidRPr="00CC28EC">
        <w:rPr>
          <w:sz w:val="24"/>
          <w:szCs w:val="24"/>
        </w:rPr>
        <w:t xml:space="preserve"> </w:t>
      </w:r>
      <w:proofErr w:type="spellStart"/>
      <w:r w:rsidR="000C2B1D" w:rsidRPr="00CC28EC">
        <w:rPr>
          <w:sz w:val="24"/>
          <w:szCs w:val="24"/>
        </w:rPr>
        <w:t>relativ</w:t>
      </w:r>
      <w:proofErr w:type="spellEnd"/>
      <w:r w:rsidR="000C2B1D" w:rsidRPr="00CC28EC">
        <w:rPr>
          <w:sz w:val="24"/>
          <w:szCs w:val="24"/>
        </w:rPr>
        <w:t xml:space="preserve"> </w:t>
      </w:r>
      <w:proofErr w:type="spellStart"/>
      <w:r w:rsidR="000C2B1D" w:rsidRPr="00CC28EC">
        <w:rPr>
          <w:sz w:val="24"/>
          <w:szCs w:val="24"/>
        </w:rPr>
        <w:t>redus</w:t>
      </w:r>
      <w:proofErr w:type="spellEnd"/>
      <w:r w:rsidR="000C2B1D" w:rsidRPr="00CC28EC">
        <w:rPr>
          <w:sz w:val="24"/>
          <w:szCs w:val="24"/>
        </w:rPr>
        <w:t xml:space="preserve"> de </w:t>
      </w:r>
      <w:proofErr w:type="spellStart"/>
      <w:r w:rsidR="000C2B1D" w:rsidRPr="00CC28EC">
        <w:rPr>
          <w:sz w:val="24"/>
          <w:szCs w:val="24"/>
        </w:rPr>
        <w:t>dobândă</w:t>
      </w:r>
      <w:proofErr w:type="spellEnd"/>
      <w:r w:rsidR="000C2B1D" w:rsidRPr="00CC28EC">
        <w:rPr>
          <w:sz w:val="24"/>
          <w:szCs w:val="24"/>
        </w:rPr>
        <w:t>.</w:t>
      </w:r>
      <w:r w:rsidR="002C78DD" w:rsidRPr="00CC28EC">
        <w:rPr>
          <w:sz w:val="24"/>
          <w:szCs w:val="24"/>
        </w:rPr>
        <w:t xml:space="preserve"> </w:t>
      </w:r>
      <w:proofErr w:type="spellStart"/>
      <w:r w:rsidR="002C78DD" w:rsidRPr="00CC28EC">
        <w:rPr>
          <w:sz w:val="24"/>
          <w:szCs w:val="24"/>
        </w:rPr>
        <w:t>Totuși</w:t>
      </w:r>
      <w:proofErr w:type="spellEnd"/>
      <w:r w:rsidR="002C78DD" w:rsidRPr="00CC28EC">
        <w:rPr>
          <w:sz w:val="24"/>
          <w:szCs w:val="24"/>
        </w:rPr>
        <w:t>, „</w:t>
      </w:r>
      <w:proofErr w:type="spellStart"/>
      <w:r w:rsidR="002C78DD" w:rsidRPr="00CC28EC">
        <w:rPr>
          <w:rStyle w:val="Strong"/>
          <w:b w:val="0"/>
          <w:bCs w:val="0"/>
          <w:i/>
          <w:iCs/>
          <w:sz w:val="24"/>
          <w:szCs w:val="24"/>
        </w:rPr>
        <w:t>România</w:t>
      </w:r>
      <w:proofErr w:type="spellEnd"/>
      <w:r w:rsidR="002C78DD" w:rsidRPr="00CC28EC">
        <w:rPr>
          <w:rStyle w:val="Strong"/>
          <w:b w:val="0"/>
          <w:bCs w:val="0"/>
          <w:i/>
          <w:iCs/>
          <w:sz w:val="24"/>
          <w:szCs w:val="24"/>
        </w:rPr>
        <w:t xml:space="preserve"> a </w:t>
      </w:r>
      <w:proofErr w:type="spellStart"/>
      <w:r w:rsidR="002C78DD" w:rsidRPr="00CC28EC">
        <w:rPr>
          <w:rStyle w:val="Strong"/>
          <w:b w:val="0"/>
          <w:bCs w:val="0"/>
          <w:i/>
          <w:iCs/>
          <w:sz w:val="24"/>
          <w:szCs w:val="24"/>
        </w:rPr>
        <w:t>cheltuit</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pentru</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dobânzile</w:t>
      </w:r>
      <w:proofErr w:type="spellEnd"/>
      <w:r w:rsidR="002C78DD" w:rsidRPr="00CC28EC">
        <w:rPr>
          <w:rStyle w:val="Strong"/>
          <w:b w:val="0"/>
          <w:bCs w:val="0"/>
          <w:i/>
          <w:iCs/>
          <w:sz w:val="24"/>
          <w:szCs w:val="24"/>
        </w:rPr>
        <w:t xml:space="preserve"> la </w:t>
      </w:r>
      <w:proofErr w:type="spellStart"/>
      <w:r w:rsidR="002C78DD" w:rsidRPr="00CC28EC">
        <w:rPr>
          <w:rStyle w:val="Strong"/>
          <w:b w:val="0"/>
          <w:bCs w:val="0"/>
          <w:i/>
          <w:iCs/>
          <w:sz w:val="24"/>
          <w:szCs w:val="24"/>
        </w:rPr>
        <w:t>datoria</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publică</w:t>
      </w:r>
      <w:proofErr w:type="spellEnd"/>
      <w:r w:rsidR="002C78DD" w:rsidRPr="00CC28EC">
        <w:rPr>
          <w:rStyle w:val="Strong"/>
          <w:b w:val="0"/>
          <w:bCs w:val="0"/>
          <w:i/>
          <w:iCs/>
          <w:sz w:val="24"/>
          <w:szCs w:val="24"/>
        </w:rPr>
        <w:t xml:space="preserve"> 3 </w:t>
      </w:r>
      <w:proofErr w:type="spellStart"/>
      <w:r w:rsidR="002C78DD" w:rsidRPr="00CC28EC">
        <w:rPr>
          <w:rStyle w:val="Strong"/>
          <w:b w:val="0"/>
          <w:bCs w:val="0"/>
          <w:i/>
          <w:iCs/>
          <w:sz w:val="24"/>
          <w:szCs w:val="24"/>
        </w:rPr>
        <w:t>miliarde</w:t>
      </w:r>
      <w:proofErr w:type="spellEnd"/>
      <w:r w:rsidR="002C78DD" w:rsidRPr="00CC28EC">
        <w:rPr>
          <w:rStyle w:val="Strong"/>
          <w:b w:val="0"/>
          <w:bCs w:val="0"/>
          <w:i/>
          <w:iCs/>
          <w:sz w:val="24"/>
          <w:szCs w:val="24"/>
        </w:rPr>
        <w:t xml:space="preserve"> de euro </w:t>
      </w:r>
      <w:proofErr w:type="spellStart"/>
      <w:r w:rsidR="002C78DD" w:rsidRPr="00CC28EC">
        <w:rPr>
          <w:rStyle w:val="Strong"/>
          <w:b w:val="0"/>
          <w:bCs w:val="0"/>
          <w:i/>
          <w:iCs/>
          <w:sz w:val="24"/>
          <w:szCs w:val="24"/>
        </w:rPr>
        <w:t>anul</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trecut</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și</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aproape</w:t>
      </w:r>
      <w:proofErr w:type="spellEnd"/>
      <w:r w:rsidR="002C78DD" w:rsidRPr="00CC28EC">
        <w:rPr>
          <w:rStyle w:val="Strong"/>
          <w:b w:val="0"/>
          <w:bCs w:val="0"/>
          <w:i/>
          <w:iCs/>
          <w:sz w:val="24"/>
          <w:szCs w:val="24"/>
        </w:rPr>
        <w:t xml:space="preserve"> 30 </w:t>
      </w:r>
      <w:proofErr w:type="spellStart"/>
      <w:r w:rsidR="002C78DD" w:rsidRPr="00CC28EC">
        <w:rPr>
          <w:rStyle w:val="Strong"/>
          <w:b w:val="0"/>
          <w:bCs w:val="0"/>
          <w:i/>
          <w:iCs/>
          <w:sz w:val="24"/>
          <w:szCs w:val="24"/>
        </w:rPr>
        <w:t>miliarde</w:t>
      </w:r>
      <w:proofErr w:type="spellEnd"/>
      <w:r w:rsidR="002C78DD" w:rsidRPr="00CC28EC">
        <w:rPr>
          <w:rStyle w:val="Strong"/>
          <w:b w:val="0"/>
          <w:bCs w:val="0"/>
          <w:i/>
          <w:iCs/>
          <w:sz w:val="24"/>
          <w:szCs w:val="24"/>
        </w:rPr>
        <w:t xml:space="preserve"> euro pe </w:t>
      </w:r>
      <w:proofErr w:type="spellStart"/>
      <w:r w:rsidR="002C78DD" w:rsidRPr="00CC28EC">
        <w:rPr>
          <w:rStyle w:val="Strong"/>
          <w:b w:val="0"/>
          <w:bCs w:val="0"/>
          <w:i/>
          <w:iCs/>
          <w:sz w:val="24"/>
          <w:szCs w:val="24"/>
        </w:rPr>
        <w:t>parcursul</w:t>
      </w:r>
      <w:proofErr w:type="spellEnd"/>
      <w:r w:rsidR="002C78DD" w:rsidRPr="00CC28EC">
        <w:rPr>
          <w:rStyle w:val="Strong"/>
          <w:b w:val="0"/>
          <w:bCs w:val="0"/>
          <w:i/>
          <w:iCs/>
          <w:sz w:val="24"/>
          <w:szCs w:val="24"/>
        </w:rPr>
        <w:t xml:space="preserve"> </w:t>
      </w:r>
      <w:proofErr w:type="spellStart"/>
      <w:r w:rsidR="002C78DD" w:rsidRPr="00CC28EC">
        <w:rPr>
          <w:rStyle w:val="Strong"/>
          <w:b w:val="0"/>
          <w:bCs w:val="0"/>
          <w:i/>
          <w:iCs/>
          <w:sz w:val="24"/>
          <w:szCs w:val="24"/>
        </w:rPr>
        <w:t>ultimilor</w:t>
      </w:r>
      <w:proofErr w:type="spellEnd"/>
      <w:r w:rsidR="002C78DD" w:rsidRPr="00CC28EC">
        <w:rPr>
          <w:rStyle w:val="Strong"/>
          <w:b w:val="0"/>
          <w:bCs w:val="0"/>
          <w:i/>
          <w:iCs/>
          <w:sz w:val="24"/>
          <w:szCs w:val="24"/>
        </w:rPr>
        <w:t xml:space="preserve"> 15 ani</w:t>
      </w:r>
      <w:r w:rsidR="002C78DD" w:rsidRPr="00CC28EC">
        <w:rPr>
          <w:i/>
          <w:iCs/>
          <w:sz w:val="24"/>
          <w:szCs w:val="24"/>
        </w:rPr>
        <w:t xml:space="preserve">, </w:t>
      </w:r>
      <w:proofErr w:type="spellStart"/>
      <w:r w:rsidR="002C78DD" w:rsidRPr="00CC28EC">
        <w:rPr>
          <w:i/>
          <w:iCs/>
          <w:sz w:val="24"/>
          <w:szCs w:val="24"/>
        </w:rPr>
        <w:t>potrivit</w:t>
      </w:r>
      <w:proofErr w:type="spellEnd"/>
      <w:r w:rsidR="002C78DD" w:rsidRPr="00CC28EC">
        <w:rPr>
          <w:i/>
          <w:iCs/>
          <w:sz w:val="24"/>
          <w:szCs w:val="24"/>
        </w:rPr>
        <w:t xml:space="preserve"> </w:t>
      </w:r>
      <w:proofErr w:type="spellStart"/>
      <w:r w:rsidR="002C78DD" w:rsidRPr="00CC28EC">
        <w:rPr>
          <w:i/>
          <w:iCs/>
          <w:sz w:val="24"/>
          <w:szCs w:val="24"/>
        </w:rPr>
        <w:t>datelor</w:t>
      </w:r>
      <w:proofErr w:type="spellEnd"/>
      <w:r w:rsidR="002C78DD" w:rsidRPr="00CC28EC">
        <w:rPr>
          <w:i/>
          <w:iCs/>
          <w:sz w:val="24"/>
          <w:szCs w:val="24"/>
        </w:rPr>
        <w:t xml:space="preserve"> din </w:t>
      </w:r>
      <w:proofErr w:type="spellStart"/>
      <w:r w:rsidR="002C78DD" w:rsidRPr="00CC28EC">
        <w:rPr>
          <w:i/>
          <w:iCs/>
          <w:sz w:val="24"/>
          <w:szCs w:val="24"/>
        </w:rPr>
        <w:t>execuțiilor</w:t>
      </w:r>
      <w:proofErr w:type="spellEnd"/>
      <w:r w:rsidR="002C78DD" w:rsidRPr="00CC28EC">
        <w:rPr>
          <w:i/>
          <w:iCs/>
          <w:sz w:val="24"/>
          <w:szCs w:val="24"/>
        </w:rPr>
        <w:t xml:space="preserve"> </w:t>
      </w:r>
      <w:proofErr w:type="spellStart"/>
      <w:r w:rsidR="002C78DD" w:rsidRPr="00CC28EC">
        <w:rPr>
          <w:i/>
          <w:iCs/>
          <w:sz w:val="24"/>
          <w:szCs w:val="24"/>
        </w:rPr>
        <w:t>bugetare</w:t>
      </w:r>
      <w:proofErr w:type="spellEnd"/>
      <w:r w:rsidR="002C78DD" w:rsidRPr="00CC28EC">
        <w:rPr>
          <w:i/>
          <w:iCs/>
          <w:sz w:val="24"/>
          <w:szCs w:val="24"/>
        </w:rPr>
        <w:t xml:space="preserve"> </w:t>
      </w:r>
      <w:proofErr w:type="spellStart"/>
      <w:r w:rsidR="002C78DD" w:rsidRPr="00CC28EC">
        <w:rPr>
          <w:i/>
          <w:iCs/>
          <w:sz w:val="24"/>
          <w:szCs w:val="24"/>
        </w:rPr>
        <w:t>publicate</w:t>
      </w:r>
      <w:proofErr w:type="spellEnd"/>
      <w:r w:rsidR="002C78DD" w:rsidRPr="00CC28EC">
        <w:rPr>
          <w:i/>
          <w:iCs/>
          <w:sz w:val="24"/>
          <w:szCs w:val="24"/>
        </w:rPr>
        <w:t xml:space="preserve"> de </w:t>
      </w:r>
      <w:proofErr w:type="spellStart"/>
      <w:r w:rsidR="002C78DD" w:rsidRPr="00CC28EC">
        <w:rPr>
          <w:i/>
          <w:iCs/>
          <w:sz w:val="24"/>
          <w:szCs w:val="24"/>
        </w:rPr>
        <w:t>Ministerul</w:t>
      </w:r>
      <w:proofErr w:type="spellEnd"/>
      <w:r w:rsidR="002C78DD" w:rsidRPr="00CC28EC">
        <w:rPr>
          <w:i/>
          <w:iCs/>
          <w:sz w:val="24"/>
          <w:szCs w:val="24"/>
        </w:rPr>
        <w:t xml:space="preserve"> </w:t>
      </w:r>
      <w:proofErr w:type="spellStart"/>
      <w:r w:rsidR="002C78DD" w:rsidRPr="00CC28EC">
        <w:rPr>
          <w:i/>
          <w:iCs/>
          <w:sz w:val="24"/>
          <w:szCs w:val="24"/>
        </w:rPr>
        <w:t>Finanțelor</w:t>
      </w:r>
      <w:proofErr w:type="spellEnd"/>
      <w:r w:rsidR="002C78DD" w:rsidRPr="00CC28EC">
        <w:rPr>
          <w:i/>
          <w:iCs/>
          <w:sz w:val="24"/>
          <w:szCs w:val="24"/>
        </w:rPr>
        <w:t xml:space="preserve">. </w:t>
      </w:r>
      <w:proofErr w:type="spellStart"/>
      <w:r w:rsidR="002C78DD" w:rsidRPr="00CC28EC">
        <w:rPr>
          <w:i/>
          <w:iCs/>
          <w:sz w:val="24"/>
          <w:szCs w:val="24"/>
        </w:rPr>
        <w:t>Ceea</w:t>
      </w:r>
      <w:proofErr w:type="spellEnd"/>
      <w:r w:rsidR="002C78DD" w:rsidRPr="00CC28EC">
        <w:rPr>
          <w:i/>
          <w:iCs/>
          <w:sz w:val="24"/>
          <w:szCs w:val="24"/>
        </w:rPr>
        <w:t xml:space="preserve"> </w:t>
      </w:r>
      <w:proofErr w:type="spellStart"/>
      <w:r w:rsidR="002C78DD" w:rsidRPr="00CC28EC">
        <w:rPr>
          <w:i/>
          <w:iCs/>
          <w:sz w:val="24"/>
          <w:szCs w:val="24"/>
        </w:rPr>
        <w:t>ce</w:t>
      </w:r>
      <w:proofErr w:type="spellEnd"/>
      <w:r w:rsidR="002C78DD" w:rsidRPr="00CC28EC">
        <w:rPr>
          <w:i/>
          <w:iCs/>
          <w:sz w:val="24"/>
          <w:szCs w:val="24"/>
        </w:rPr>
        <w:t xml:space="preserve"> se </w:t>
      </w:r>
      <w:proofErr w:type="spellStart"/>
      <w:r w:rsidR="002C78DD" w:rsidRPr="00CC28EC">
        <w:rPr>
          <w:i/>
          <w:iCs/>
          <w:sz w:val="24"/>
          <w:szCs w:val="24"/>
        </w:rPr>
        <w:t>vede</w:t>
      </w:r>
      <w:proofErr w:type="spellEnd"/>
      <w:r w:rsidR="002C78DD" w:rsidRPr="00CC28EC">
        <w:rPr>
          <w:i/>
          <w:iCs/>
          <w:sz w:val="24"/>
          <w:szCs w:val="24"/>
        </w:rPr>
        <w:t xml:space="preserve"> </w:t>
      </w:r>
      <w:proofErr w:type="spellStart"/>
      <w:r w:rsidR="002C78DD" w:rsidRPr="00CC28EC">
        <w:rPr>
          <w:i/>
          <w:iCs/>
          <w:sz w:val="24"/>
          <w:szCs w:val="24"/>
        </w:rPr>
        <w:t>prea</w:t>
      </w:r>
      <w:proofErr w:type="spellEnd"/>
      <w:r w:rsidR="002C78DD" w:rsidRPr="00CC28EC">
        <w:rPr>
          <w:i/>
          <w:iCs/>
          <w:sz w:val="24"/>
          <w:szCs w:val="24"/>
        </w:rPr>
        <w:t xml:space="preserve"> </w:t>
      </w:r>
      <w:proofErr w:type="spellStart"/>
      <w:r w:rsidR="002C78DD" w:rsidRPr="00CC28EC">
        <w:rPr>
          <w:i/>
          <w:iCs/>
          <w:sz w:val="24"/>
          <w:szCs w:val="24"/>
        </w:rPr>
        <w:t>puțin</w:t>
      </w:r>
      <w:proofErr w:type="spellEnd"/>
      <w:r w:rsidR="002C78DD" w:rsidRPr="00CC28EC">
        <w:rPr>
          <w:i/>
          <w:iCs/>
          <w:sz w:val="24"/>
          <w:szCs w:val="24"/>
        </w:rPr>
        <w:t xml:space="preserve"> </w:t>
      </w:r>
      <w:proofErr w:type="spellStart"/>
      <w:r w:rsidR="002C78DD" w:rsidRPr="00CC28EC">
        <w:rPr>
          <w:i/>
          <w:iCs/>
          <w:sz w:val="24"/>
          <w:szCs w:val="24"/>
        </w:rPr>
        <w:t>în</w:t>
      </w:r>
      <w:proofErr w:type="spellEnd"/>
      <w:r w:rsidR="002C78DD" w:rsidRPr="00CC28EC">
        <w:rPr>
          <w:i/>
          <w:iCs/>
          <w:sz w:val="24"/>
          <w:szCs w:val="24"/>
        </w:rPr>
        <w:t xml:space="preserve"> </w:t>
      </w:r>
      <w:proofErr w:type="spellStart"/>
      <w:r w:rsidR="002C78DD" w:rsidRPr="00CC28EC">
        <w:rPr>
          <w:i/>
          <w:iCs/>
          <w:sz w:val="24"/>
          <w:szCs w:val="24"/>
        </w:rPr>
        <w:t>infrastructură</w:t>
      </w:r>
      <w:proofErr w:type="spellEnd"/>
      <w:r w:rsidR="002C78DD" w:rsidRPr="00CC28EC">
        <w:rPr>
          <w:i/>
          <w:iCs/>
          <w:sz w:val="24"/>
          <w:szCs w:val="24"/>
        </w:rPr>
        <w:t xml:space="preserve">, </w:t>
      </w:r>
      <w:proofErr w:type="spellStart"/>
      <w:r w:rsidR="002C78DD" w:rsidRPr="00CC28EC">
        <w:rPr>
          <w:i/>
          <w:iCs/>
          <w:sz w:val="24"/>
          <w:szCs w:val="24"/>
        </w:rPr>
        <w:t>spitale</w:t>
      </w:r>
      <w:proofErr w:type="spellEnd"/>
      <w:r w:rsidR="002C78DD" w:rsidRPr="00CC28EC">
        <w:rPr>
          <w:i/>
          <w:iCs/>
          <w:sz w:val="24"/>
          <w:szCs w:val="24"/>
        </w:rPr>
        <w:t xml:space="preserve">, </w:t>
      </w:r>
      <w:proofErr w:type="spellStart"/>
      <w:r w:rsidR="002C78DD" w:rsidRPr="00CC28EC">
        <w:rPr>
          <w:i/>
          <w:iCs/>
          <w:sz w:val="24"/>
          <w:szCs w:val="24"/>
        </w:rPr>
        <w:t>școli</w:t>
      </w:r>
      <w:proofErr w:type="spellEnd"/>
      <w:r w:rsidR="002C78DD" w:rsidRPr="00CC28EC">
        <w:rPr>
          <w:i/>
          <w:iCs/>
          <w:sz w:val="24"/>
          <w:szCs w:val="24"/>
        </w:rPr>
        <w:t xml:space="preserve"> </w:t>
      </w:r>
      <w:proofErr w:type="spellStart"/>
      <w:r w:rsidR="002C78DD" w:rsidRPr="00CC28EC">
        <w:rPr>
          <w:i/>
          <w:iCs/>
          <w:sz w:val="24"/>
          <w:szCs w:val="24"/>
        </w:rPr>
        <w:t>sau</w:t>
      </w:r>
      <w:proofErr w:type="spellEnd"/>
      <w:r w:rsidR="002C78DD" w:rsidRPr="00CC28EC">
        <w:rPr>
          <w:i/>
          <w:iCs/>
          <w:sz w:val="24"/>
          <w:szCs w:val="24"/>
        </w:rPr>
        <w:t xml:space="preserve"> </w:t>
      </w:r>
      <w:proofErr w:type="spellStart"/>
      <w:r w:rsidR="002C78DD" w:rsidRPr="00CC28EC">
        <w:rPr>
          <w:i/>
          <w:iCs/>
          <w:sz w:val="24"/>
          <w:szCs w:val="24"/>
        </w:rPr>
        <w:t>autostrăzi</w:t>
      </w:r>
      <w:proofErr w:type="spellEnd"/>
      <w:r w:rsidR="002C78DD" w:rsidRPr="00CC28EC">
        <w:rPr>
          <w:i/>
          <w:iCs/>
          <w:sz w:val="24"/>
          <w:szCs w:val="24"/>
        </w:rPr>
        <w:t>.</w:t>
      </w:r>
      <w:r w:rsidR="002C78DD" w:rsidRPr="00CC28EC">
        <w:rPr>
          <w:sz w:val="24"/>
          <w:szCs w:val="24"/>
        </w:rPr>
        <w:t>”</w:t>
      </w:r>
      <w:r w:rsidR="00524827" w:rsidRPr="00CC28EC">
        <w:rPr>
          <w:sz w:val="24"/>
          <w:szCs w:val="24"/>
        </w:rPr>
        <w:t xml:space="preserve"> (</w:t>
      </w:r>
      <w:proofErr w:type="spellStart"/>
      <w:r w:rsidR="00524827" w:rsidRPr="00CC28EC">
        <w:rPr>
          <w:sz w:val="24"/>
          <w:szCs w:val="24"/>
        </w:rPr>
        <w:t>Pană</w:t>
      </w:r>
      <w:proofErr w:type="spellEnd"/>
      <w:r w:rsidR="00524827" w:rsidRPr="00CC28EC">
        <w:rPr>
          <w:sz w:val="24"/>
          <w:szCs w:val="24"/>
        </w:rPr>
        <w:t xml:space="preserve">, 2021a) </w:t>
      </w:r>
      <w:proofErr w:type="spellStart"/>
      <w:r w:rsidR="002C78DD" w:rsidRPr="00CC28EC">
        <w:rPr>
          <w:sz w:val="24"/>
          <w:szCs w:val="24"/>
        </w:rPr>
        <w:t>Iată</w:t>
      </w:r>
      <w:proofErr w:type="spellEnd"/>
      <w:r w:rsidR="002C78DD" w:rsidRPr="00CC28EC">
        <w:rPr>
          <w:sz w:val="24"/>
          <w:szCs w:val="24"/>
        </w:rPr>
        <w:t xml:space="preserve"> </w:t>
      </w:r>
      <w:proofErr w:type="spellStart"/>
      <w:r w:rsidR="002C78DD" w:rsidRPr="00CC28EC">
        <w:rPr>
          <w:sz w:val="24"/>
          <w:szCs w:val="24"/>
        </w:rPr>
        <w:t>ce</w:t>
      </w:r>
      <w:proofErr w:type="spellEnd"/>
      <w:r w:rsidR="002C78DD" w:rsidRPr="00CC28EC">
        <w:rPr>
          <w:sz w:val="24"/>
          <w:szCs w:val="24"/>
        </w:rPr>
        <w:t xml:space="preserve"> </w:t>
      </w:r>
      <w:proofErr w:type="spellStart"/>
      <w:r w:rsidR="002C78DD" w:rsidRPr="00CC28EC">
        <w:rPr>
          <w:sz w:val="24"/>
          <w:szCs w:val="24"/>
        </w:rPr>
        <w:t>dob</w:t>
      </w:r>
      <w:r w:rsidR="00856118" w:rsidRPr="00CC28EC">
        <w:rPr>
          <w:sz w:val="24"/>
          <w:szCs w:val="24"/>
        </w:rPr>
        <w:t>â</w:t>
      </w:r>
      <w:r w:rsidR="002C78DD" w:rsidRPr="00CC28EC">
        <w:rPr>
          <w:sz w:val="24"/>
          <w:szCs w:val="24"/>
        </w:rPr>
        <w:t>nzi</w:t>
      </w:r>
      <w:proofErr w:type="spellEnd"/>
      <w:r w:rsidR="002C78DD" w:rsidRPr="00CC28EC">
        <w:rPr>
          <w:sz w:val="24"/>
          <w:szCs w:val="24"/>
        </w:rPr>
        <w:t xml:space="preserve"> a </w:t>
      </w:r>
      <w:proofErr w:type="spellStart"/>
      <w:r w:rsidR="002C78DD" w:rsidRPr="00CC28EC">
        <w:rPr>
          <w:sz w:val="24"/>
          <w:szCs w:val="24"/>
        </w:rPr>
        <w:t>plătit</w:t>
      </w:r>
      <w:proofErr w:type="spellEnd"/>
      <w:r w:rsidR="002C78DD" w:rsidRPr="00CC28EC">
        <w:rPr>
          <w:sz w:val="24"/>
          <w:szCs w:val="24"/>
        </w:rPr>
        <w:t xml:space="preserve"> </w:t>
      </w:r>
      <w:proofErr w:type="spellStart"/>
      <w:r w:rsidR="002C78DD" w:rsidRPr="00CC28EC">
        <w:rPr>
          <w:sz w:val="24"/>
          <w:szCs w:val="24"/>
        </w:rPr>
        <w:t>România</w:t>
      </w:r>
      <w:proofErr w:type="spellEnd"/>
      <w:r w:rsidR="002C78DD" w:rsidRPr="00CC28EC">
        <w:rPr>
          <w:sz w:val="24"/>
          <w:szCs w:val="24"/>
        </w:rPr>
        <w:t xml:space="preserve"> din 2015 </w:t>
      </w:r>
      <w:proofErr w:type="spellStart"/>
      <w:r w:rsidR="002C78DD" w:rsidRPr="00CC28EC">
        <w:rPr>
          <w:sz w:val="24"/>
          <w:szCs w:val="24"/>
        </w:rPr>
        <w:t>până</w:t>
      </w:r>
      <w:proofErr w:type="spellEnd"/>
      <w:r w:rsidR="002C78DD" w:rsidRPr="00CC28EC">
        <w:rPr>
          <w:sz w:val="24"/>
          <w:szCs w:val="24"/>
        </w:rPr>
        <w:t xml:space="preserve"> </w:t>
      </w:r>
      <w:proofErr w:type="spellStart"/>
      <w:r w:rsidR="002C78DD" w:rsidRPr="00CC28EC">
        <w:rPr>
          <w:sz w:val="24"/>
          <w:szCs w:val="24"/>
        </w:rPr>
        <w:t>în</w:t>
      </w:r>
      <w:proofErr w:type="spellEnd"/>
      <w:r w:rsidR="002C78DD" w:rsidRPr="00CC28EC">
        <w:rPr>
          <w:sz w:val="24"/>
          <w:szCs w:val="24"/>
        </w:rPr>
        <w:t xml:space="preserve"> 2020:</w:t>
      </w:r>
    </w:p>
    <w:p w14:paraId="4871ADB5" w14:textId="77777777" w:rsidR="00F419B9" w:rsidRPr="00CC28EC" w:rsidRDefault="00F419B9" w:rsidP="002C78DD">
      <w:pPr>
        <w:jc w:val="center"/>
        <w:rPr>
          <w:b/>
          <w:bCs/>
          <w:lang w:eastAsia="pl-PL"/>
        </w:rPr>
      </w:pPr>
    </w:p>
    <w:p w14:paraId="3FE73997" w14:textId="41A024F4" w:rsidR="002C78DD" w:rsidRPr="00CC28EC" w:rsidRDefault="002C78DD" w:rsidP="00F419B9">
      <w:pPr>
        <w:jc w:val="center"/>
        <w:rPr>
          <w:b/>
          <w:bCs/>
          <w:lang w:eastAsia="pl-PL"/>
        </w:rPr>
      </w:pPr>
      <w:r w:rsidRPr="00CC28EC">
        <w:rPr>
          <w:b/>
          <w:bCs/>
          <w:lang w:eastAsia="pl-PL"/>
        </w:rPr>
        <w:t>Table 3. The evolution of Romania's interest expenses related to public debt public in the period 2015 -2020</w:t>
      </w:r>
    </w:p>
    <w:tbl>
      <w:tblPr>
        <w:tblStyle w:val="TableGrid"/>
        <w:tblW w:w="8212" w:type="dxa"/>
        <w:jc w:val="center"/>
        <w:tblLayout w:type="fixed"/>
        <w:tblLook w:val="04A0" w:firstRow="1" w:lastRow="0" w:firstColumn="1" w:lastColumn="0" w:noHBand="0" w:noVBand="1"/>
      </w:tblPr>
      <w:tblGrid>
        <w:gridCol w:w="2002"/>
        <w:gridCol w:w="874"/>
        <w:gridCol w:w="990"/>
        <w:gridCol w:w="990"/>
        <w:gridCol w:w="990"/>
        <w:gridCol w:w="990"/>
        <w:gridCol w:w="1376"/>
      </w:tblGrid>
      <w:tr w:rsidR="00CC28EC" w:rsidRPr="00CC28EC" w14:paraId="26C614B2" w14:textId="77777777" w:rsidTr="00F419B9">
        <w:trPr>
          <w:jc w:val="center"/>
        </w:trPr>
        <w:tc>
          <w:tcPr>
            <w:tcW w:w="2002" w:type="dxa"/>
            <w:shd w:val="clear" w:color="auto" w:fill="AEAAAA" w:themeFill="background2" w:themeFillShade="BF"/>
            <w:vAlign w:val="center"/>
          </w:tcPr>
          <w:p w14:paraId="249937E7" w14:textId="77777777" w:rsidR="00F419B9" w:rsidRPr="00CC28EC" w:rsidRDefault="00F419B9" w:rsidP="00F419B9">
            <w:pPr>
              <w:jc w:val="center"/>
              <w:rPr>
                <w:b/>
                <w:bCs/>
                <w:lang w:val="pl-PL" w:eastAsia="pl-PL"/>
              </w:rPr>
            </w:pPr>
            <w:r w:rsidRPr="00CC28EC">
              <w:rPr>
                <w:b/>
                <w:bCs/>
                <w:lang w:val="pl-PL" w:eastAsia="pl-PL"/>
              </w:rPr>
              <w:t>Explanations/Year</w:t>
            </w:r>
          </w:p>
        </w:tc>
        <w:tc>
          <w:tcPr>
            <w:tcW w:w="874" w:type="dxa"/>
            <w:shd w:val="clear" w:color="auto" w:fill="AEAAAA" w:themeFill="background2" w:themeFillShade="BF"/>
            <w:vAlign w:val="center"/>
          </w:tcPr>
          <w:p w14:paraId="25025337" w14:textId="77777777" w:rsidR="00F419B9" w:rsidRPr="00CC28EC" w:rsidRDefault="00F419B9" w:rsidP="00F419B9">
            <w:pPr>
              <w:jc w:val="center"/>
              <w:rPr>
                <w:b/>
                <w:bCs/>
                <w:lang w:val="pl-PL" w:eastAsia="pl-PL"/>
              </w:rPr>
            </w:pPr>
            <w:r w:rsidRPr="00CC28EC">
              <w:rPr>
                <w:b/>
                <w:bCs/>
                <w:lang w:val="pl-PL" w:eastAsia="pl-PL"/>
              </w:rPr>
              <w:t>2015</w:t>
            </w:r>
          </w:p>
        </w:tc>
        <w:tc>
          <w:tcPr>
            <w:tcW w:w="990" w:type="dxa"/>
            <w:shd w:val="clear" w:color="auto" w:fill="AEAAAA" w:themeFill="background2" w:themeFillShade="BF"/>
            <w:vAlign w:val="center"/>
          </w:tcPr>
          <w:p w14:paraId="653F2498" w14:textId="77777777" w:rsidR="00F419B9" w:rsidRPr="00CC28EC" w:rsidRDefault="00F419B9" w:rsidP="00F419B9">
            <w:pPr>
              <w:jc w:val="center"/>
              <w:rPr>
                <w:b/>
                <w:bCs/>
                <w:lang w:val="pl-PL" w:eastAsia="pl-PL"/>
              </w:rPr>
            </w:pPr>
            <w:r w:rsidRPr="00CC28EC">
              <w:rPr>
                <w:b/>
                <w:bCs/>
                <w:lang w:val="pl-PL" w:eastAsia="pl-PL"/>
              </w:rPr>
              <w:t>2016</w:t>
            </w:r>
          </w:p>
        </w:tc>
        <w:tc>
          <w:tcPr>
            <w:tcW w:w="990" w:type="dxa"/>
            <w:shd w:val="clear" w:color="auto" w:fill="AEAAAA" w:themeFill="background2" w:themeFillShade="BF"/>
            <w:vAlign w:val="center"/>
          </w:tcPr>
          <w:p w14:paraId="426BBD3A" w14:textId="77777777" w:rsidR="00F419B9" w:rsidRPr="00CC28EC" w:rsidRDefault="00F419B9" w:rsidP="00F419B9">
            <w:pPr>
              <w:jc w:val="center"/>
              <w:rPr>
                <w:b/>
                <w:bCs/>
                <w:lang w:val="pl-PL" w:eastAsia="pl-PL"/>
              </w:rPr>
            </w:pPr>
            <w:r w:rsidRPr="00CC28EC">
              <w:rPr>
                <w:b/>
                <w:bCs/>
                <w:lang w:val="pl-PL" w:eastAsia="pl-PL"/>
              </w:rPr>
              <w:t>2017</w:t>
            </w:r>
          </w:p>
        </w:tc>
        <w:tc>
          <w:tcPr>
            <w:tcW w:w="990" w:type="dxa"/>
            <w:shd w:val="clear" w:color="auto" w:fill="AEAAAA" w:themeFill="background2" w:themeFillShade="BF"/>
            <w:vAlign w:val="center"/>
          </w:tcPr>
          <w:p w14:paraId="3A472406" w14:textId="77777777" w:rsidR="00F419B9" w:rsidRPr="00CC28EC" w:rsidRDefault="00F419B9" w:rsidP="00F419B9">
            <w:pPr>
              <w:jc w:val="center"/>
              <w:rPr>
                <w:b/>
                <w:bCs/>
                <w:lang w:val="pl-PL" w:eastAsia="pl-PL"/>
              </w:rPr>
            </w:pPr>
            <w:r w:rsidRPr="00CC28EC">
              <w:rPr>
                <w:b/>
                <w:bCs/>
                <w:lang w:val="pl-PL" w:eastAsia="pl-PL"/>
              </w:rPr>
              <w:t>2018</w:t>
            </w:r>
          </w:p>
        </w:tc>
        <w:tc>
          <w:tcPr>
            <w:tcW w:w="990" w:type="dxa"/>
            <w:shd w:val="clear" w:color="auto" w:fill="AEAAAA" w:themeFill="background2" w:themeFillShade="BF"/>
            <w:vAlign w:val="center"/>
          </w:tcPr>
          <w:p w14:paraId="563DDEBC" w14:textId="77777777" w:rsidR="00F419B9" w:rsidRPr="00CC28EC" w:rsidRDefault="00F419B9" w:rsidP="00F419B9">
            <w:pPr>
              <w:jc w:val="center"/>
              <w:rPr>
                <w:b/>
                <w:bCs/>
                <w:lang w:val="ro-RO" w:eastAsia="pl-PL"/>
              </w:rPr>
            </w:pPr>
            <w:r w:rsidRPr="00CC28EC">
              <w:rPr>
                <w:b/>
                <w:bCs/>
                <w:lang w:val="ro-RO" w:eastAsia="pl-PL"/>
              </w:rPr>
              <w:t>2019</w:t>
            </w:r>
          </w:p>
        </w:tc>
        <w:tc>
          <w:tcPr>
            <w:tcW w:w="1376" w:type="dxa"/>
            <w:shd w:val="clear" w:color="auto" w:fill="AEAAAA" w:themeFill="background2" w:themeFillShade="BF"/>
            <w:vAlign w:val="center"/>
          </w:tcPr>
          <w:p w14:paraId="1E96A2FF" w14:textId="77777777" w:rsidR="00F419B9" w:rsidRPr="00CC28EC" w:rsidRDefault="00F419B9" w:rsidP="00F419B9">
            <w:pPr>
              <w:jc w:val="center"/>
              <w:rPr>
                <w:b/>
                <w:bCs/>
                <w:lang w:val="ro-RO" w:eastAsia="pl-PL"/>
              </w:rPr>
            </w:pPr>
            <w:r w:rsidRPr="00CC28EC">
              <w:rPr>
                <w:b/>
                <w:bCs/>
                <w:lang w:val="ro-RO" w:eastAsia="pl-PL"/>
              </w:rPr>
              <w:t>2020</w:t>
            </w:r>
          </w:p>
        </w:tc>
      </w:tr>
      <w:tr w:rsidR="00CC28EC" w:rsidRPr="00CC28EC" w14:paraId="1004DCB5" w14:textId="77777777" w:rsidTr="00F419B9">
        <w:trPr>
          <w:jc w:val="center"/>
        </w:trPr>
        <w:tc>
          <w:tcPr>
            <w:tcW w:w="2002" w:type="dxa"/>
          </w:tcPr>
          <w:p w14:paraId="1814B78D" w14:textId="17E76C99" w:rsidR="00F419B9" w:rsidRPr="00CC28EC" w:rsidRDefault="00F419B9" w:rsidP="00F419B9">
            <w:pPr>
              <w:rPr>
                <w:bCs/>
                <w:lang w:val="ro-RO" w:eastAsia="pl-PL"/>
              </w:rPr>
            </w:pPr>
            <w:r w:rsidRPr="00CC28EC">
              <w:rPr>
                <w:bCs/>
                <w:lang w:val="ro-RO" w:eastAsia="pl-PL"/>
              </w:rPr>
              <w:t>Dobânzi (mil. lei)</w:t>
            </w:r>
          </w:p>
        </w:tc>
        <w:tc>
          <w:tcPr>
            <w:tcW w:w="874" w:type="dxa"/>
          </w:tcPr>
          <w:p w14:paraId="6DD24941" w14:textId="260CFBEB" w:rsidR="00F419B9" w:rsidRPr="00CC28EC" w:rsidRDefault="00F419B9" w:rsidP="00F419B9">
            <w:pPr>
              <w:jc w:val="center"/>
              <w:rPr>
                <w:bCs/>
                <w:sz w:val="18"/>
                <w:szCs w:val="18"/>
                <w:lang w:val="pl-PL" w:eastAsia="pl-PL"/>
              </w:rPr>
            </w:pPr>
            <w:r w:rsidRPr="00CC28EC">
              <w:rPr>
                <w:bCs/>
                <w:sz w:val="18"/>
                <w:szCs w:val="18"/>
                <w:lang w:val="pl-PL" w:eastAsia="pl-PL"/>
              </w:rPr>
              <w:t>9.573,2</w:t>
            </w:r>
          </w:p>
        </w:tc>
        <w:tc>
          <w:tcPr>
            <w:tcW w:w="990" w:type="dxa"/>
          </w:tcPr>
          <w:p w14:paraId="375122D2" w14:textId="1DE19164" w:rsidR="00F419B9" w:rsidRPr="00CC28EC" w:rsidRDefault="00F419B9" w:rsidP="00F419B9">
            <w:pPr>
              <w:jc w:val="center"/>
              <w:rPr>
                <w:bCs/>
                <w:sz w:val="18"/>
                <w:szCs w:val="18"/>
                <w:lang w:val="pl-PL" w:eastAsia="pl-PL"/>
              </w:rPr>
            </w:pPr>
            <w:r w:rsidRPr="00CC28EC">
              <w:rPr>
                <w:bCs/>
                <w:sz w:val="18"/>
                <w:szCs w:val="18"/>
                <w:lang w:val="pl-PL" w:eastAsia="pl-PL"/>
              </w:rPr>
              <w:t>10.008,3</w:t>
            </w:r>
          </w:p>
        </w:tc>
        <w:tc>
          <w:tcPr>
            <w:tcW w:w="990" w:type="dxa"/>
          </w:tcPr>
          <w:p w14:paraId="3EB1B4D2" w14:textId="719371C8" w:rsidR="00F419B9" w:rsidRPr="00CC28EC" w:rsidRDefault="00F419B9" w:rsidP="00F419B9">
            <w:pPr>
              <w:jc w:val="center"/>
              <w:rPr>
                <w:bCs/>
                <w:sz w:val="18"/>
                <w:szCs w:val="18"/>
                <w:lang w:val="pl-PL" w:eastAsia="pl-PL"/>
              </w:rPr>
            </w:pPr>
            <w:r w:rsidRPr="00CC28EC">
              <w:rPr>
                <w:bCs/>
                <w:sz w:val="18"/>
                <w:szCs w:val="18"/>
                <w:lang w:val="pl-PL" w:eastAsia="pl-PL"/>
              </w:rPr>
              <w:t>10.124,6</w:t>
            </w:r>
          </w:p>
        </w:tc>
        <w:tc>
          <w:tcPr>
            <w:tcW w:w="990" w:type="dxa"/>
          </w:tcPr>
          <w:p w14:paraId="4272B0A9" w14:textId="26E7D924" w:rsidR="00F419B9" w:rsidRPr="00CC28EC" w:rsidRDefault="00F419B9" w:rsidP="00F419B9">
            <w:pPr>
              <w:jc w:val="center"/>
              <w:rPr>
                <w:bCs/>
                <w:sz w:val="18"/>
                <w:szCs w:val="18"/>
                <w:lang w:val="pl-PL" w:eastAsia="pl-PL"/>
              </w:rPr>
            </w:pPr>
            <w:r w:rsidRPr="00CC28EC">
              <w:rPr>
                <w:bCs/>
                <w:sz w:val="18"/>
                <w:szCs w:val="18"/>
                <w:lang w:val="pl-PL" w:eastAsia="pl-PL"/>
              </w:rPr>
              <w:t>12.941,2</w:t>
            </w:r>
          </w:p>
        </w:tc>
        <w:tc>
          <w:tcPr>
            <w:tcW w:w="990" w:type="dxa"/>
          </w:tcPr>
          <w:p w14:paraId="44F00B1A" w14:textId="63630756" w:rsidR="00F419B9" w:rsidRPr="00CC28EC" w:rsidRDefault="00F419B9" w:rsidP="00F419B9">
            <w:pPr>
              <w:jc w:val="center"/>
              <w:rPr>
                <w:bCs/>
                <w:sz w:val="18"/>
                <w:szCs w:val="18"/>
                <w:lang w:eastAsia="pl-PL"/>
              </w:rPr>
            </w:pPr>
            <w:r w:rsidRPr="00CC28EC">
              <w:rPr>
                <w:bCs/>
                <w:sz w:val="18"/>
                <w:szCs w:val="18"/>
                <w:lang w:eastAsia="pl-PL"/>
              </w:rPr>
              <w:t>12./153,8</w:t>
            </w:r>
          </w:p>
        </w:tc>
        <w:tc>
          <w:tcPr>
            <w:tcW w:w="1376" w:type="dxa"/>
          </w:tcPr>
          <w:p w14:paraId="47E6B7C4" w14:textId="43306B5E" w:rsidR="00F419B9" w:rsidRPr="00CC28EC" w:rsidRDefault="00F419B9" w:rsidP="00F419B9">
            <w:pPr>
              <w:jc w:val="center"/>
              <w:rPr>
                <w:bCs/>
                <w:sz w:val="18"/>
                <w:szCs w:val="18"/>
                <w:lang w:eastAsia="pl-PL"/>
              </w:rPr>
            </w:pPr>
            <w:r w:rsidRPr="00CC28EC">
              <w:rPr>
                <w:bCs/>
                <w:sz w:val="18"/>
                <w:szCs w:val="18"/>
                <w:lang w:eastAsia="pl-PL"/>
              </w:rPr>
              <w:t>14.510,3</w:t>
            </w:r>
          </w:p>
        </w:tc>
      </w:tr>
      <w:tr w:rsidR="00CC28EC" w:rsidRPr="00CC28EC" w14:paraId="12C2C626" w14:textId="77777777" w:rsidTr="00F419B9">
        <w:trPr>
          <w:jc w:val="center"/>
        </w:trPr>
        <w:tc>
          <w:tcPr>
            <w:tcW w:w="2002" w:type="dxa"/>
            <w:shd w:val="clear" w:color="auto" w:fill="D9D9D9" w:themeFill="background1" w:themeFillShade="D9"/>
          </w:tcPr>
          <w:p w14:paraId="2593B989" w14:textId="30A62FBF" w:rsidR="00F419B9" w:rsidRPr="00CC28EC" w:rsidRDefault="00F419B9" w:rsidP="00F419B9">
            <w:pPr>
              <w:rPr>
                <w:bCs/>
                <w:lang w:val="pl-PL" w:eastAsia="pl-PL"/>
              </w:rPr>
            </w:pPr>
            <w:r w:rsidRPr="00CC28EC">
              <w:rPr>
                <w:bCs/>
                <w:lang w:val="pl-PL" w:eastAsia="pl-PL"/>
              </w:rPr>
              <w:t>Dobânzi (mil.euro)</w:t>
            </w:r>
          </w:p>
        </w:tc>
        <w:tc>
          <w:tcPr>
            <w:tcW w:w="874" w:type="dxa"/>
            <w:shd w:val="clear" w:color="auto" w:fill="D9D9D9" w:themeFill="background1" w:themeFillShade="D9"/>
          </w:tcPr>
          <w:p w14:paraId="2F4195EF" w14:textId="13DF0605" w:rsidR="00F419B9" w:rsidRPr="00CC28EC" w:rsidRDefault="00F419B9" w:rsidP="00F419B9">
            <w:pPr>
              <w:jc w:val="center"/>
              <w:rPr>
                <w:sz w:val="18"/>
                <w:szCs w:val="18"/>
                <w:lang w:val="pl-PL" w:eastAsia="pl-PL"/>
              </w:rPr>
            </w:pPr>
            <w:r w:rsidRPr="00CC28EC">
              <w:rPr>
                <w:sz w:val="18"/>
                <w:szCs w:val="18"/>
                <w:lang w:val="pl-PL" w:eastAsia="pl-PL"/>
              </w:rPr>
              <w:t>2.153,7</w:t>
            </w:r>
          </w:p>
        </w:tc>
        <w:tc>
          <w:tcPr>
            <w:tcW w:w="990" w:type="dxa"/>
            <w:shd w:val="clear" w:color="auto" w:fill="D9D9D9" w:themeFill="background1" w:themeFillShade="D9"/>
          </w:tcPr>
          <w:p w14:paraId="0221D183" w14:textId="21A65689" w:rsidR="00F419B9" w:rsidRPr="00CC28EC" w:rsidRDefault="00F419B9" w:rsidP="00F419B9">
            <w:pPr>
              <w:jc w:val="center"/>
              <w:rPr>
                <w:sz w:val="18"/>
                <w:szCs w:val="18"/>
                <w:lang w:val="pl-PL" w:eastAsia="pl-PL"/>
              </w:rPr>
            </w:pPr>
            <w:r w:rsidRPr="00CC28EC">
              <w:rPr>
                <w:sz w:val="18"/>
                <w:szCs w:val="18"/>
                <w:lang w:val="pl-PL" w:eastAsia="pl-PL"/>
              </w:rPr>
              <w:t>2.228,6</w:t>
            </w:r>
          </w:p>
        </w:tc>
        <w:tc>
          <w:tcPr>
            <w:tcW w:w="990" w:type="dxa"/>
            <w:shd w:val="clear" w:color="auto" w:fill="D9D9D9" w:themeFill="background1" w:themeFillShade="D9"/>
          </w:tcPr>
          <w:p w14:paraId="666F4057" w14:textId="05294A57" w:rsidR="00F419B9" w:rsidRPr="00CC28EC" w:rsidRDefault="00F419B9" w:rsidP="00F419B9">
            <w:pPr>
              <w:jc w:val="center"/>
              <w:rPr>
                <w:sz w:val="18"/>
                <w:szCs w:val="18"/>
                <w:lang w:val="pl-PL" w:eastAsia="pl-PL"/>
              </w:rPr>
            </w:pPr>
            <w:r w:rsidRPr="00CC28EC">
              <w:rPr>
                <w:sz w:val="18"/>
                <w:szCs w:val="18"/>
                <w:lang w:val="pl-PL" w:eastAsia="pl-PL"/>
              </w:rPr>
              <w:t>2.216,4</w:t>
            </w:r>
          </w:p>
        </w:tc>
        <w:tc>
          <w:tcPr>
            <w:tcW w:w="990" w:type="dxa"/>
            <w:shd w:val="clear" w:color="auto" w:fill="D9D9D9" w:themeFill="background1" w:themeFillShade="D9"/>
          </w:tcPr>
          <w:p w14:paraId="55043AD3" w14:textId="3F5F1A31" w:rsidR="00F419B9" w:rsidRPr="00CC28EC" w:rsidRDefault="00F419B9" w:rsidP="00F419B9">
            <w:pPr>
              <w:jc w:val="center"/>
              <w:rPr>
                <w:sz w:val="18"/>
                <w:szCs w:val="18"/>
                <w:lang w:val="pl-PL" w:eastAsia="pl-PL"/>
              </w:rPr>
            </w:pPr>
            <w:r w:rsidRPr="00CC28EC">
              <w:rPr>
                <w:sz w:val="18"/>
                <w:szCs w:val="18"/>
                <w:lang w:val="pl-PL" w:eastAsia="pl-PL"/>
              </w:rPr>
              <w:t>2.781,0</w:t>
            </w:r>
          </w:p>
        </w:tc>
        <w:tc>
          <w:tcPr>
            <w:tcW w:w="990" w:type="dxa"/>
            <w:shd w:val="clear" w:color="auto" w:fill="D9D9D9" w:themeFill="background1" w:themeFillShade="D9"/>
          </w:tcPr>
          <w:p w14:paraId="1E518CBE" w14:textId="7F1A8140" w:rsidR="00F419B9" w:rsidRPr="00CC28EC" w:rsidRDefault="00F419B9" w:rsidP="00F419B9">
            <w:pPr>
              <w:jc w:val="center"/>
              <w:rPr>
                <w:sz w:val="18"/>
                <w:szCs w:val="18"/>
                <w:lang w:eastAsia="pl-PL"/>
              </w:rPr>
            </w:pPr>
            <w:r w:rsidRPr="00CC28EC">
              <w:rPr>
                <w:sz w:val="18"/>
                <w:szCs w:val="18"/>
                <w:lang w:eastAsia="pl-PL"/>
              </w:rPr>
              <w:t>2.561,3</w:t>
            </w:r>
          </w:p>
        </w:tc>
        <w:tc>
          <w:tcPr>
            <w:tcW w:w="1376" w:type="dxa"/>
            <w:shd w:val="clear" w:color="auto" w:fill="D9D9D9" w:themeFill="background1" w:themeFillShade="D9"/>
          </w:tcPr>
          <w:p w14:paraId="39911191" w14:textId="5F99DCE3" w:rsidR="00F419B9" w:rsidRPr="00CC28EC" w:rsidRDefault="00F419B9" w:rsidP="00F419B9">
            <w:pPr>
              <w:jc w:val="center"/>
              <w:rPr>
                <w:sz w:val="18"/>
                <w:szCs w:val="18"/>
                <w:lang w:eastAsia="pl-PL"/>
              </w:rPr>
            </w:pPr>
            <w:r w:rsidRPr="00CC28EC">
              <w:rPr>
                <w:sz w:val="18"/>
                <w:szCs w:val="18"/>
                <w:lang w:eastAsia="pl-PL"/>
              </w:rPr>
              <w:t>2.999,8</w:t>
            </w:r>
          </w:p>
        </w:tc>
      </w:tr>
    </w:tbl>
    <w:p w14:paraId="7096ACAF" w14:textId="0E21F0F4" w:rsidR="002C78DD" w:rsidRPr="00CC28EC" w:rsidRDefault="002C78DD" w:rsidP="00F419B9">
      <w:pPr>
        <w:spacing w:before="80"/>
        <w:jc w:val="center"/>
      </w:pPr>
      <w:r w:rsidRPr="00CC28EC">
        <w:rPr>
          <w:lang w:eastAsia="pl-PL"/>
        </w:rPr>
        <w:t xml:space="preserve">Source: processing by </w:t>
      </w:r>
      <w:bookmarkStart w:id="12" w:name="_Hlk85382068"/>
      <w:r w:rsidR="00856118" w:rsidRPr="00CC28EC">
        <w:fldChar w:fldCharType="begin"/>
      </w:r>
      <w:r w:rsidR="00856118" w:rsidRPr="00CC28EC">
        <w:instrText xml:space="preserve"> HYPERLINK "https://cursdeguvernare.ro/author/marin-pana" </w:instrText>
      </w:r>
      <w:r w:rsidR="00856118" w:rsidRPr="00CC28EC">
        <w:fldChar w:fldCharType="separate"/>
      </w:r>
      <w:proofErr w:type="spellStart"/>
      <w:r w:rsidR="00856118" w:rsidRPr="00CC28EC">
        <w:t>Pan</w:t>
      </w:r>
      <w:r w:rsidR="00856118" w:rsidRPr="00CC28EC">
        <w:fldChar w:fldCharType="end"/>
      </w:r>
      <w:r w:rsidR="00856118" w:rsidRPr="00CC28EC">
        <w:t>ă</w:t>
      </w:r>
      <w:proofErr w:type="spellEnd"/>
      <w:r w:rsidR="00856118" w:rsidRPr="00CC28EC">
        <w:t>, 2021a</w:t>
      </w:r>
      <w:bookmarkEnd w:id="12"/>
    </w:p>
    <w:p w14:paraId="47257757" w14:textId="567A768E" w:rsidR="00490A66" w:rsidRPr="00CC28EC" w:rsidRDefault="00490A66" w:rsidP="005B6DAD">
      <w:pPr>
        <w:spacing w:line="256" w:lineRule="auto"/>
        <w:jc w:val="both"/>
        <w:rPr>
          <w:rFonts w:eastAsia="Calibri"/>
          <w:sz w:val="24"/>
          <w:szCs w:val="24"/>
        </w:rPr>
      </w:pPr>
      <w:r w:rsidRPr="00CC28EC">
        <w:tab/>
      </w:r>
      <w:proofErr w:type="spellStart"/>
      <w:r w:rsidRPr="00CC28EC">
        <w:rPr>
          <w:sz w:val="24"/>
          <w:szCs w:val="24"/>
        </w:rPr>
        <w:t>Surse</w:t>
      </w:r>
      <w:proofErr w:type="spellEnd"/>
      <w:r w:rsidRPr="00CC28EC">
        <w:rPr>
          <w:sz w:val="24"/>
          <w:szCs w:val="24"/>
        </w:rPr>
        <w:t xml:space="preserve"> din </w:t>
      </w:r>
      <w:proofErr w:type="spellStart"/>
      <w:r w:rsidRPr="00CC28EC">
        <w:rPr>
          <w:sz w:val="24"/>
          <w:szCs w:val="24"/>
        </w:rPr>
        <w:t>Ministerul</w:t>
      </w:r>
      <w:proofErr w:type="spellEnd"/>
      <w:r w:rsidRPr="00CC28EC">
        <w:rPr>
          <w:sz w:val="24"/>
          <w:szCs w:val="24"/>
        </w:rPr>
        <w:t xml:space="preserve"> </w:t>
      </w:r>
      <w:proofErr w:type="spellStart"/>
      <w:r w:rsidRPr="00CC28EC">
        <w:rPr>
          <w:sz w:val="24"/>
          <w:szCs w:val="24"/>
        </w:rPr>
        <w:t>Finanțelor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arată</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rFonts w:eastAsia="Calibri"/>
          <w:sz w:val="24"/>
          <w:szCs w:val="24"/>
        </w:rPr>
        <w:t>în</w:t>
      </w:r>
      <w:proofErr w:type="spellEnd"/>
      <w:r w:rsidRPr="00CC28EC">
        <w:rPr>
          <w:rFonts w:eastAsia="Calibri"/>
          <w:sz w:val="24"/>
          <w:szCs w:val="24"/>
        </w:rPr>
        <w:t xml:space="preserve"> prima </w:t>
      </w:r>
      <w:proofErr w:type="spellStart"/>
      <w:r w:rsidRPr="00CC28EC">
        <w:rPr>
          <w:rFonts w:eastAsia="Calibri"/>
          <w:sz w:val="24"/>
          <w:szCs w:val="24"/>
        </w:rPr>
        <w:t>jumătate</w:t>
      </w:r>
      <w:proofErr w:type="spellEnd"/>
      <w:r w:rsidRPr="00CC28EC">
        <w:rPr>
          <w:rFonts w:eastAsia="Calibri"/>
          <w:sz w:val="24"/>
          <w:szCs w:val="24"/>
        </w:rPr>
        <w:t xml:space="preserve"> </w:t>
      </w:r>
      <w:proofErr w:type="gramStart"/>
      <w:r w:rsidRPr="00CC28EC">
        <w:rPr>
          <w:rFonts w:eastAsia="Calibri"/>
          <w:sz w:val="24"/>
          <w:szCs w:val="24"/>
        </w:rPr>
        <w:t>a</w:t>
      </w:r>
      <w:proofErr w:type="gramEnd"/>
      <w:r w:rsidRPr="00CC28EC">
        <w:rPr>
          <w:rFonts w:eastAsia="Calibri"/>
          <w:sz w:val="24"/>
          <w:szCs w:val="24"/>
        </w:rPr>
        <w:t xml:space="preserve"> </w:t>
      </w:r>
      <w:proofErr w:type="spellStart"/>
      <w:r w:rsidRPr="00CC28EC">
        <w:rPr>
          <w:rFonts w:eastAsia="Calibri"/>
          <w:sz w:val="24"/>
          <w:szCs w:val="24"/>
        </w:rPr>
        <w:t>anului</w:t>
      </w:r>
      <w:proofErr w:type="spellEnd"/>
      <w:r w:rsidR="006F4356" w:rsidRPr="00CC28EC">
        <w:rPr>
          <w:rFonts w:eastAsia="Calibri"/>
          <w:sz w:val="24"/>
          <w:szCs w:val="24"/>
        </w:rPr>
        <w:t xml:space="preserve"> 2021</w:t>
      </w:r>
      <w:r w:rsidRPr="00CC28EC">
        <w:rPr>
          <w:rFonts w:eastAsia="Calibri"/>
          <w:sz w:val="24"/>
          <w:szCs w:val="24"/>
        </w:rPr>
        <w:t xml:space="preserve"> </w:t>
      </w:r>
      <w:r w:rsidR="00B86DC3" w:rsidRPr="00CC28EC">
        <w:rPr>
          <w:rFonts w:eastAsia="Calibri"/>
          <w:sz w:val="24"/>
          <w:szCs w:val="24"/>
        </w:rPr>
        <w:t>s-a</w:t>
      </w:r>
      <w:r w:rsidR="006F4356" w:rsidRPr="00CC28EC">
        <w:rPr>
          <w:rFonts w:eastAsia="Calibri"/>
          <w:sz w:val="24"/>
          <w:szCs w:val="24"/>
        </w:rPr>
        <w:t>u</w:t>
      </w:r>
      <w:r w:rsidR="00B86DC3" w:rsidRPr="00CC28EC">
        <w:rPr>
          <w:rFonts w:eastAsia="Calibri"/>
          <w:sz w:val="24"/>
          <w:szCs w:val="24"/>
        </w:rPr>
        <w:t xml:space="preserve"> </w:t>
      </w:r>
      <w:proofErr w:type="spellStart"/>
      <w:r w:rsidR="00B86DC3" w:rsidRPr="00CC28EC">
        <w:rPr>
          <w:rFonts w:eastAsia="Calibri"/>
          <w:sz w:val="24"/>
          <w:szCs w:val="24"/>
        </w:rPr>
        <w:t>plătit</w:t>
      </w:r>
      <w:proofErr w:type="spellEnd"/>
      <w:r w:rsidR="00B86DC3" w:rsidRPr="00CC28EC">
        <w:rPr>
          <w:rFonts w:eastAsia="Calibri"/>
          <w:sz w:val="24"/>
          <w:szCs w:val="24"/>
        </w:rPr>
        <w:t xml:space="preserve"> </w:t>
      </w:r>
      <w:proofErr w:type="spellStart"/>
      <w:r w:rsidRPr="00CC28EC">
        <w:rPr>
          <w:rFonts w:eastAsia="Calibri"/>
          <w:sz w:val="24"/>
          <w:szCs w:val="24"/>
        </w:rPr>
        <w:t>dobânzi</w:t>
      </w:r>
      <w:proofErr w:type="spellEnd"/>
      <w:r w:rsidRPr="00CC28EC">
        <w:rPr>
          <w:rFonts w:eastAsia="Calibri"/>
          <w:sz w:val="24"/>
          <w:szCs w:val="24"/>
        </w:rPr>
        <w:t xml:space="preserve"> de 8,6 </w:t>
      </w:r>
      <w:proofErr w:type="spellStart"/>
      <w:r w:rsidRPr="00CC28EC">
        <w:rPr>
          <w:rFonts w:eastAsia="Calibri"/>
          <w:sz w:val="24"/>
          <w:szCs w:val="24"/>
        </w:rPr>
        <w:t>m</w:t>
      </w:r>
      <w:r w:rsidR="00B86DC3" w:rsidRPr="00CC28EC">
        <w:rPr>
          <w:rFonts w:eastAsia="Calibri"/>
          <w:sz w:val="24"/>
          <w:szCs w:val="24"/>
        </w:rPr>
        <w:t>d.</w:t>
      </w:r>
      <w:proofErr w:type="spellEnd"/>
      <w:r w:rsidRPr="00CC28EC">
        <w:rPr>
          <w:rFonts w:eastAsia="Calibri"/>
          <w:sz w:val="24"/>
          <w:szCs w:val="24"/>
        </w:rPr>
        <w:t xml:space="preserve"> de le</w:t>
      </w:r>
      <w:r w:rsidR="00B86DC3" w:rsidRPr="00CC28EC">
        <w:rPr>
          <w:rFonts w:eastAsia="Calibri"/>
          <w:sz w:val="24"/>
          <w:szCs w:val="24"/>
        </w:rPr>
        <w:t xml:space="preserve">i, </w:t>
      </w:r>
      <w:proofErr w:type="spellStart"/>
      <w:r w:rsidR="00B86DC3" w:rsidRPr="00CC28EC">
        <w:rPr>
          <w:rFonts w:eastAsia="Calibri"/>
          <w:sz w:val="24"/>
          <w:szCs w:val="24"/>
        </w:rPr>
        <w:t>î</w:t>
      </w:r>
      <w:r w:rsidRPr="00CC28EC">
        <w:rPr>
          <w:rFonts w:eastAsia="Calibri"/>
          <w:sz w:val="24"/>
          <w:szCs w:val="24"/>
        </w:rPr>
        <w:t>n</w:t>
      </w:r>
      <w:proofErr w:type="spellEnd"/>
      <w:r w:rsidRPr="00CC28EC">
        <w:rPr>
          <w:rFonts w:eastAsia="Calibri"/>
          <w:sz w:val="24"/>
          <w:szCs w:val="24"/>
        </w:rPr>
        <w:t xml:space="preserve"> </w:t>
      </w:r>
      <w:proofErr w:type="spellStart"/>
      <w:r w:rsidR="006F4356" w:rsidRPr="00CC28EC">
        <w:rPr>
          <w:rFonts w:eastAsia="Calibri"/>
          <w:sz w:val="24"/>
          <w:szCs w:val="24"/>
        </w:rPr>
        <w:t>întreg</w:t>
      </w:r>
      <w:proofErr w:type="spellEnd"/>
      <w:r w:rsidR="006F4356" w:rsidRPr="00CC28EC">
        <w:rPr>
          <w:rFonts w:eastAsia="Calibri"/>
          <w:sz w:val="24"/>
          <w:szCs w:val="24"/>
        </w:rPr>
        <w:t xml:space="preserve"> </w:t>
      </w:r>
      <w:proofErr w:type="spellStart"/>
      <w:r w:rsidR="006F4356" w:rsidRPr="00CC28EC">
        <w:rPr>
          <w:rFonts w:eastAsia="Calibri"/>
          <w:sz w:val="24"/>
          <w:szCs w:val="24"/>
        </w:rPr>
        <w:t>anul</w:t>
      </w:r>
      <w:proofErr w:type="spellEnd"/>
      <w:r w:rsidRPr="00CC28EC">
        <w:rPr>
          <w:rFonts w:eastAsia="Calibri"/>
          <w:sz w:val="24"/>
          <w:szCs w:val="24"/>
        </w:rPr>
        <w:t xml:space="preserve">, </w:t>
      </w:r>
      <w:proofErr w:type="spellStart"/>
      <w:r w:rsidRPr="00CC28EC">
        <w:rPr>
          <w:rFonts w:eastAsia="Calibri"/>
          <w:sz w:val="24"/>
          <w:szCs w:val="24"/>
        </w:rPr>
        <w:t>cheltuielile</w:t>
      </w:r>
      <w:proofErr w:type="spellEnd"/>
      <w:r w:rsidRPr="00CC28EC">
        <w:rPr>
          <w:rFonts w:eastAsia="Calibri"/>
          <w:sz w:val="24"/>
          <w:szCs w:val="24"/>
        </w:rPr>
        <w:t xml:space="preserve"> cu </w:t>
      </w:r>
      <w:proofErr w:type="spellStart"/>
      <w:r w:rsidRPr="00CC28EC">
        <w:rPr>
          <w:rFonts w:eastAsia="Calibri"/>
          <w:sz w:val="24"/>
          <w:szCs w:val="24"/>
        </w:rPr>
        <w:t>dobânzile</w:t>
      </w:r>
      <w:proofErr w:type="spellEnd"/>
      <w:r w:rsidRPr="00CC28EC">
        <w:rPr>
          <w:rFonts w:eastAsia="Calibri"/>
          <w:sz w:val="24"/>
          <w:szCs w:val="24"/>
        </w:rPr>
        <w:t xml:space="preserve"> </w:t>
      </w:r>
      <w:proofErr w:type="spellStart"/>
      <w:r w:rsidRPr="00CC28EC">
        <w:rPr>
          <w:rFonts w:eastAsia="Calibri"/>
          <w:sz w:val="24"/>
          <w:szCs w:val="24"/>
        </w:rPr>
        <w:t>şi</w:t>
      </w:r>
      <w:proofErr w:type="spellEnd"/>
      <w:r w:rsidRPr="00CC28EC">
        <w:rPr>
          <w:rFonts w:eastAsia="Calibri"/>
          <w:sz w:val="24"/>
          <w:szCs w:val="24"/>
        </w:rPr>
        <w:t xml:space="preserve"> </w:t>
      </w:r>
      <w:proofErr w:type="spellStart"/>
      <w:r w:rsidRPr="00CC28EC">
        <w:rPr>
          <w:rFonts w:eastAsia="Calibri"/>
          <w:sz w:val="24"/>
          <w:szCs w:val="24"/>
        </w:rPr>
        <w:t>comisioanele</w:t>
      </w:r>
      <w:proofErr w:type="spellEnd"/>
      <w:r w:rsidRPr="00CC28EC">
        <w:rPr>
          <w:rFonts w:eastAsia="Calibri"/>
          <w:sz w:val="24"/>
          <w:szCs w:val="24"/>
        </w:rPr>
        <w:t xml:space="preserve"> </w:t>
      </w:r>
      <w:proofErr w:type="spellStart"/>
      <w:r w:rsidRPr="00CC28EC">
        <w:rPr>
          <w:rFonts w:eastAsia="Calibri"/>
          <w:sz w:val="24"/>
          <w:szCs w:val="24"/>
        </w:rPr>
        <w:t>pentru</w:t>
      </w:r>
      <w:proofErr w:type="spellEnd"/>
      <w:r w:rsidRPr="00CC28EC">
        <w:rPr>
          <w:rFonts w:eastAsia="Calibri"/>
          <w:sz w:val="24"/>
          <w:szCs w:val="24"/>
        </w:rPr>
        <w:t xml:space="preserve"> </w:t>
      </w:r>
      <w:proofErr w:type="spellStart"/>
      <w:r w:rsidRPr="00CC28EC">
        <w:rPr>
          <w:rFonts w:eastAsia="Calibri"/>
          <w:sz w:val="24"/>
          <w:szCs w:val="24"/>
        </w:rPr>
        <w:t>datoria</w:t>
      </w:r>
      <w:proofErr w:type="spellEnd"/>
      <w:r w:rsidRPr="00CC28EC">
        <w:rPr>
          <w:rFonts w:eastAsia="Calibri"/>
          <w:sz w:val="24"/>
          <w:szCs w:val="24"/>
        </w:rPr>
        <w:t xml:space="preserve"> </w:t>
      </w:r>
      <w:proofErr w:type="spellStart"/>
      <w:r w:rsidRPr="00CC28EC">
        <w:rPr>
          <w:rFonts w:eastAsia="Calibri"/>
          <w:sz w:val="24"/>
          <w:szCs w:val="24"/>
        </w:rPr>
        <w:t>publică</w:t>
      </w:r>
      <w:proofErr w:type="spellEnd"/>
      <w:r w:rsidRPr="00CC28EC">
        <w:rPr>
          <w:rFonts w:eastAsia="Calibri"/>
          <w:sz w:val="24"/>
          <w:szCs w:val="24"/>
        </w:rPr>
        <w:t xml:space="preserve"> </w:t>
      </w:r>
      <w:proofErr w:type="spellStart"/>
      <w:r w:rsidRPr="00CC28EC">
        <w:rPr>
          <w:rFonts w:eastAsia="Calibri"/>
          <w:sz w:val="24"/>
          <w:szCs w:val="24"/>
        </w:rPr>
        <w:t>guvernamentală</w:t>
      </w:r>
      <w:proofErr w:type="spellEnd"/>
      <w:r w:rsidRPr="00CC28EC">
        <w:rPr>
          <w:rFonts w:eastAsia="Calibri"/>
          <w:sz w:val="24"/>
          <w:szCs w:val="24"/>
        </w:rPr>
        <w:t xml:space="preserve"> </w:t>
      </w:r>
      <w:proofErr w:type="spellStart"/>
      <w:r w:rsidR="006F4356" w:rsidRPr="00CC28EC">
        <w:rPr>
          <w:rFonts w:eastAsia="Calibri"/>
          <w:sz w:val="24"/>
          <w:szCs w:val="24"/>
        </w:rPr>
        <w:t>fiind</w:t>
      </w:r>
      <w:proofErr w:type="spellEnd"/>
      <w:r w:rsidRPr="00CC28EC">
        <w:rPr>
          <w:rFonts w:eastAsia="Calibri"/>
          <w:sz w:val="24"/>
          <w:szCs w:val="24"/>
        </w:rPr>
        <w:t xml:space="preserve"> </w:t>
      </w:r>
      <w:proofErr w:type="spellStart"/>
      <w:r w:rsidRPr="00CC28EC">
        <w:rPr>
          <w:rFonts w:eastAsia="Calibri"/>
          <w:sz w:val="24"/>
          <w:szCs w:val="24"/>
        </w:rPr>
        <w:t>prevăzute</w:t>
      </w:r>
      <w:proofErr w:type="spellEnd"/>
      <w:r w:rsidRPr="00CC28EC">
        <w:rPr>
          <w:rFonts w:eastAsia="Calibri"/>
          <w:sz w:val="24"/>
          <w:szCs w:val="24"/>
        </w:rPr>
        <w:t xml:space="preserve"> </w:t>
      </w:r>
      <w:r w:rsidR="006F4356" w:rsidRPr="00CC28EC">
        <w:rPr>
          <w:rFonts w:eastAsia="Calibri"/>
          <w:sz w:val="24"/>
          <w:szCs w:val="24"/>
        </w:rPr>
        <w:t>a fi circa</w:t>
      </w:r>
      <w:r w:rsidRPr="00CC28EC">
        <w:rPr>
          <w:rFonts w:eastAsia="Calibri"/>
          <w:sz w:val="24"/>
          <w:szCs w:val="24"/>
        </w:rPr>
        <w:t>16,6 m</w:t>
      </w:r>
      <w:r w:rsidR="006F4356" w:rsidRPr="00CC28EC">
        <w:rPr>
          <w:rFonts w:eastAsia="Calibri"/>
          <w:sz w:val="24"/>
          <w:szCs w:val="24"/>
        </w:rPr>
        <w:t>d</w:t>
      </w:r>
      <w:r w:rsidRPr="00CC28EC">
        <w:rPr>
          <w:rFonts w:eastAsia="Calibri"/>
          <w:sz w:val="24"/>
          <w:szCs w:val="24"/>
        </w:rPr>
        <w:t xml:space="preserve"> lei.</w:t>
      </w:r>
    </w:p>
    <w:p w14:paraId="6AE36819" w14:textId="3DC7B7C6" w:rsidR="009C08F1" w:rsidRPr="00CC28EC" w:rsidRDefault="00B02132" w:rsidP="009C08F1">
      <w:pPr>
        <w:ind w:firstLine="708"/>
        <w:jc w:val="both"/>
        <w:rPr>
          <w:sz w:val="24"/>
          <w:szCs w:val="24"/>
        </w:rPr>
      </w:pPr>
      <w:r w:rsidRPr="00CC28EC">
        <w:rPr>
          <w:sz w:val="24"/>
          <w:szCs w:val="24"/>
        </w:rPr>
        <w:t xml:space="preserve"> </w:t>
      </w:r>
      <w:proofErr w:type="spellStart"/>
      <w:r w:rsidR="00003ED1" w:rsidRPr="00CC28EC">
        <w:rPr>
          <w:sz w:val="24"/>
          <w:szCs w:val="24"/>
        </w:rPr>
        <w:t>Două</w:t>
      </w:r>
      <w:proofErr w:type="spellEnd"/>
      <w:r w:rsidR="00003ED1" w:rsidRPr="00CC28EC">
        <w:rPr>
          <w:sz w:val="24"/>
          <w:szCs w:val="24"/>
        </w:rPr>
        <w:t xml:space="preserve"> </w:t>
      </w:r>
      <w:proofErr w:type="spellStart"/>
      <w:r w:rsidR="00003ED1" w:rsidRPr="00CC28EC">
        <w:rPr>
          <w:sz w:val="24"/>
          <w:szCs w:val="24"/>
        </w:rPr>
        <w:t>agenții</w:t>
      </w:r>
      <w:proofErr w:type="spellEnd"/>
      <w:r w:rsidR="00003ED1" w:rsidRPr="00CC28EC">
        <w:rPr>
          <w:sz w:val="24"/>
          <w:szCs w:val="24"/>
        </w:rPr>
        <w:t xml:space="preserve"> de rating (S&amp;P </w:t>
      </w:r>
      <w:proofErr w:type="spellStart"/>
      <w:r w:rsidR="00003ED1" w:rsidRPr="00CC28EC">
        <w:rPr>
          <w:sz w:val="24"/>
          <w:szCs w:val="24"/>
        </w:rPr>
        <w:t>şi</w:t>
      </w:r>
      <w:proofErr w:type="spellEnd"/>
      <w:r w:rsidR="00003ED1" w:rsidRPr="00CC28EC">
        <w:rPr>
          <w:sz w:val="24"/>
          <w:szCs w:val="24"/>
        </w:rPr>
        <w:t xml:space="preserve"> Fitch)</w:t>
      </w:r>
      <w:r w:rsidR="00524827" w:rsidRPr="00CC28EC">
        <w:rPr>
          <w:sz w:val="24"/>
          <w:szCs w:val="24"/>
        </w:rPr>
        <w:t xml:space="preserve"> </w:t>
      </w:r>
      <w:proofErr w:type="spellStart"/>
      <w:r w:rsidR="00003ED1" w:rsidRPr="00CC28EC">
        <w:rPr>
          <w:sz w:val="24"/>
          <w:szCs w:val="24"/>
        </w:rPr>
        <w:t>cotează</w:t>
      </w:r>
      <w:proofErr w:type="spellEnd"/>
      <w:r w:rsidR="00003ED1" w:rsidRPr="00CC28EC">
        <w:rPr>
          <w:sz w:val="24"/>
          <w:szCs w:val="24"/>
        </w:rPr>
        <w:t xml:space="preserve"> </w:t>
      </w:r>
      <w:proofErr w:type="spellStart"/>
      <w:r w:rsidR="00003ED1" w:rsidRPr="00CC28EC">
        <w:rPr>
          <w:sz w:val="24"/>
          <w:szCs w:val="24"/>
        </w:rPr>
        <w:t>România</w:t>
      </w:r>
      <w:proofErr w:type="spellEnd"/>
      <w:r w:rsidR="00003ED1" w:rsidRPr="00CC28EC">
        <w:rPr>
          <w:sz w:val="24"/>
          <w:szCs w:val="24"/>
        </w:rPr>
        <w:t xml:space="preserve"> pe </w:t>
      </w:r>
      <w:proofErr w:type="spellStart"/>
      <w:r w:rsidR="00003ED1" w:rsidRPr="00CC28EC">
        <w:rPr>
          <w:sz w:val="24"/>
          <w:szCs w:val="24"/>
        </w:rPr>
        <w:t>treapta</w:t>
      </w:r>
      <w:proofErr w:type="spellEnd"/>
      <w:r w:rsidR="00003ED1" w:rsidRPr="00CC28EC">
        <w:rPr>
          <w:sz w:val="24"/>
          <w:szCs w:val="24"/>
        </w:rPr>
        <w:t xml:space="preserve"> </w:t>
      </w:r>
      <w:proofErr w:type="spellStart"/>
      <w:r w:rsidR="00003ED1" w:rsidRPr="00CC28EC">
        <w:rPr>
          <w:sz w:val="24"/>
          <w:szCs w:val="24"/>
        </w:rPr>
        <w:t>cea</w:t>
      </w:r>
      <w:proofErr w:type="spellEnd"/>
      <w:r w:rsidR="00003ED1" w:rsidRPr="00CC28EC">
        <w:rPr>
          <w:sz w:val="24"/>
          <w:szCs w:val="24"/>
        </w:rPr>
        <w:t xml:space="preserve"> </w:t>
      </w:r>
      <w:proofErr w:type="spellStart"/>
      <w:r w:rsidR="00003ED1" w:rsidRPr="00CC28EC">
        <w:rPr>
          <w:sz w:val="24"/>
          <w:szCs w:val="24"/>
        </w:rPr>
        <w:t>mai</w:t>
      </w:r>
      <w:proofErr w:type="spellEnd"/>
      <w:r w:rsidR="00003ED1" w:rsidRPr="00CC28EC">
        <w:rPr>
          <w:sz w:val="24"/>
          <w:szCs w:val="24"/>
        </w:rPr>
        <w:t xml:space="preserve"> de </w:t>
      </w:r>
      <w:proofErr w:type="spellStart"/>
      <w:r w:rsidR="00003ED1" w:rsidRPr="00CC28EC">
        <w:rPr>
          <w:sz w:val="24"/>
          <w:szCs w:val="24"/>
        </w:rPr>
        <w:t>jos</w:t>
      </w:r>
      <w:proofErr w:type="spellEnd"/>
      <w:r w:rsidR="00003ED1" w:rsidRPr="00CC28EC">
        <w:rPr>
          <w:sz w:val="24"/>
          <w:szCs w:val="24"/>
        </w:rPr>
        <w:t xml:space="preserve"> </w:t>
      </w:r>
      <w:proofErr w:type="spellStart"/>
      <w:proofErr w:type="gramStart"/>
      <w:r w:rsidR="00003ED1" w:rsidRPr="00CC28EC">
        <w:rPr>
          <w:sz w:val="24"/>
          <w:szCs w:val="24"/>
        </w:rPr>
        <w:t>a</w:t>
      </w:r>
      <w:proofErr w:type="spellEnd"/>
      <w:proofErr w:type="gramEnd"/>
      <w:r w:rsidR="00003ED1" w:rsidRPr="00CC28EC">
        <w:rPr>
          <w:sz w:val="24"/>
          <w:szCs w:val="24"/>
        </w:rPr>
        <w:t xml:space="preserve"> investment grade, BBB-. </w:t>
      </w:r>
      <w:proofErr w:type="spellStart"/>
      <w:r w:rsidR="00524827" w:rsidRPr="00CC28EC">
        <w:rPr>
          <w:sz w:val="24"/>
          <w:szCs w:val="24"/>
        </w:rPr>
        <w:t>După</w:t>
      </w:r>
      <w:proofErr w:type="spellEnd"/>
      <w:r w:rsidR="00524827" w:rsidRPr="00CC28EC">
        <w:rPr>
          <w:sz w:val="24"/>
          <w:szCs w:val="24"/>
        </w:rPr>
        <w:t xml:space="preserve"> </w:t>
      </w:r>
      <w:proofErr w:type="spellStart"/>
      <w:r w:rsidR="00524827" w:rsidRPr="00CC28EC">
        <w:rPr>
          <w:sz w:val="24"/>
          <w:szCs w:val="24"/>
        </w:rPr>
        <w:t>a</w:t>
      </w:r>
      <w:r w:rsidR="00003ED1" w:rsidRPr="00CC28EC">
        <w:rPr>
          <w:sz w:val="24"/>
          <w:szCs w:val="24"/>
        </w:rPr>
        <w:t>ceastă</w:t>
      </w:r>
      <w:proofErr w:type="spellEnd"/>
      <w:r w:rsidR="00003ED1" w:rsidRPr="00CC28EC">
        <w:rPr>
          <w:sz w:val="24"/>
          <w:szCs w:val="24"/>
        </w:rPr>
        <w:t xml:space="preserve"> </w:t>
      </w:r>
      <w:proofErr w:type="spellStart"/>
      <w:r w:rsidR="00003ED1" w:rsidRPr="00CC28EC">
        <w:rPr>
          <w:sz w:val="24"/>
          <w:szCs w:val="24"/>
        </w:rPr>
        <w:t>recomandare</w:t>
      </w:r>
      <w:proofErr w:type="spellEnd"/>
      <w:r w:rsidR="00003ED1" w:rsidRPr="00CC28EC">
        <w:rPr>
          <w:sz w:val="24"/>
          <w:szCs w:val="24"/>
        </w:rPr>
        <w:t xml:space="preserve"> </w:t>
      </w:r>
      <w:proofErr w:type="spellStart"/>
      <w:r w:rsidR="00003ED1" w:rsidRPr="00CC28EC">
        <w:rPr>
          <w:sz w:val="24"/>
          <w:szCs w:val="24"/>
        </w:rPr>
        <w:t>oricând</w:t>
      </w:r>
      <w:proofErr w:type="spellEnd"/>
      <w:r w:rsidR="00003ED1" w:rsidRPr="00CC28EC">
        <w:rPr>
          <w:sz w:val="24"/>
          <w:szCs w:val="24"/>
        </w:rPr>
        <w:t xml:space="preserve"> </w:t>
      </w:r>
      <w:proofErr w:type="spellStart"/>
      <w:r w:rsidR="00003ED1" w:rsidRPr="00CC28EC">
        <w:rPr>
          <w:sz w:val="24"/>
          <w:szCs w:val="24"/>
        </w:rPr>
        <w:t>putem</w:t>
      </w:r>
      <w:proofErr w:type="spellEnd"/>
      <w:r w:rsidR="00003ED1" w:rsidRPr="00CC28EC">
        <w:rPr>
          <w:sz w:val="24"/>
          <w:szCs w:val="24"/>
        </w:rPr>
        <w:t xml:space="preserve"> fi </w:t>
      </w:r>
      <w:proofErr w:type="spellStart"/>
      <w:r w:rsidR="00003ED1" w:rsidRPr="00CC28EC">
        <w:rPr>
          <w:sz w:val="24"/>
          <w:szCs w:val="24"/>
        </w:rPr>
        <w:t>degradați</w:t>
      </w:r>
      <w:proofErr w:type="spellEnd"/>
      <w:r w:rsidR="00003ED1" w:rsidRPr="00CC28EC">
        <w:rPr>
          <w:sz w:val="24"/>
          <w:szCs w:val="24"/>
        </w:rPr>
        <w:t xml:space="preserve"> la non-investment grade.</w:t>
      </w:r>
      <w:r w:rsidR="00524827" w:rsidRPr="00CC28EC">
        <w:rPr>
          <w:sz w:val="24"/>
          <w:szCs w:val="24"/>
        </w:rPr>
        <w:t xml:space="preserve"> </w:t>
      </w:r>
      <w:proofErr w:type="spellStart"/>
      <w:r w:rsidR="000C2B1D" w:rsidRPr="00CC28EC">
        <w:rPr>
          <w:sz w:val="24"/>
          <w:szCs w:val="24"/>
        </w:rPr>
        <w:t>Datorită</w:t>
      </w:r>
      <w:proofErr w:type="spellEnd"/>
      <w:r w:rsidRPr="00CC28EC">
        <w:rPr>
          <w:sz w:val="24"/>
          <w:szCs w:val="24"/>
        </w:rPr>
        <w:t xml:space="preserve"> </w:t>
      </w:r>
      <w:proofErr w:type="spellStart"/>
      <w:r w:rsidR="000C2B1D" w:rsidRPr="00CC28EC">
        <w:rPr>
          <w:sz w:val="24"/>
          <w:szCs w:val="24"/>
        </w:rPr>
        <w:t>ratingului</w:t>
      </w:r>
      <w:proofErr w:type="spellEnd"/>
      <w:r w:rsidR="00FE7779" w:rsidRPr="00CC28EC">
        <w:rPr>
          <w:sz w:val="24"/>
          <w:szCs w:val="24"/>
        </w:rPr>
        <w:t xml:space="preserve"> </w:t>
      </w:r>
      <w:proofErr w:type="spellStart"/>
      <w:r w:rsidR="00FE7779" w:rsidRPr="00CC28EC">
        <w:rPr>
          <w:sz w:val="24"/>
          <w:szCs w:val="24"/>
        </w:rPr>
        <w:t>p</w:t>
      </w:r>
      <w:r w:rsidR="000C2B1D" w:rsidRPr="00CC28EC">
        <w:rPr>
          <w:sz w:val="24"/>
          <w:szCs w:val="24"/>
        </w:rPr>
        <w:t>ublicat</w:t>
      </w:r>
      <w:proofErr w:type="spellEnd"/>
      <w:r w:rsidR="000C2B1D" w:rsidRPr="00CC28EC">
        <w:rPr>
          <w:sz w:val="24"/>
          <w:szCs w:val="24"/>
        </w:rPr>
        <w:t xml:space="preserve"> de </w:t>
      </w:r>
      <w:proofErr w:type="spellStart"/>
      <w:r w:rsidR="00003ED1" w:rsidRPr="00CC28EC">
        <w:rPr>
          <w:sz w:val="24"/>
          <w:szCs w:val="24"/>
        </w:rPr>
        <w:t>aceste</w:t>
      </w:r>
      <w:proofErr w:type="spellEnd"/>
      <w:r w:rsidR="000C2B1D" w:rsidRPr="00CC28EC">
        <w:rPr>
          <w:sz w:val="24"/>
          <w:szCs w:val="24"/>
        </w:rPr>
        <w:t xml:space="preserve"> </w:t>
      </w:r>
      <w:proofErr w:type="spellStart"/>
      <w:r w:rsidR="000C2B1D" w:rsidRPr="00CC28EC">
        <w:rPr>
          <w:sz w:val="24"/>
          <w:szCs w:val="24"/>
        </w:rPr>
        <w:t>agenții</w:t>
      </w:r>
      <w:proofErr w:type="spellEnd"/>
      <w:r w:rsidR="006002D6" w:rsidRPr="00CC28EC">
        <w:rPr>
          <w:sz w:val="24"/>
          <w:szCs w:val="24"/>
        </w:rPr>
        <w:t>, ne</w:t>
      </w:r>
      <w:r w:rsidR="000C2B1D" w:rsidRPr="00CC28EC">
        <w:rPr>
          <w:sz w:val="24"/>
          <w:szCs w:val="24"/>
        </w:rPr>
        <w:t xml:space="preserve"> </w:t>
      </w:r>
      <w:proofErr w:type="spellStart"/>
      <w:r w:rsidR="000C2B1D" w:rsidRPr="00CC28EC">
        <w:rPr>
          <w:sz w:val="24"/>
          <w:szCs w:val="24"/>
        </w:rPr>
        <w:t>vom</w:t>
      </w:r>
      <w:proofErr w:type="spellEnd"/>
      <w:r w:rsidR="000C2B1D" w:rsidRPr="00CC28EC">
        <w:rPr>
          <w:sz w:val="24"/>
          <w:szCs w:val="24"/>
        </w:rPr>
        <w:t xml:space="preserve"> </w:t>
      </w:r>
      <w:proofErr w:type="spellStart"/>
      <w:r w:rsidR="000C2B1D" w:rsidRPr="00CC28EC">
        <w:rPr>
          <w:sz w:val="24"/>
          <w:szCs w:val="24"/>
        </w:rPr>
        <w:t>putea</w:t>
      </w:r>
      <w:proofErr w:type="spellEnd"/>
      <w:r w:rsidR="000C2B1D" w:rsidRPr="00CC28EC">
        <w:rPr>
          <w:sz w:val="24"/>
          <w:szCs w:val="24"/>
        </w:rPr>
        <w:t xml:space="preserve"> </w:t>
      </w:r>
      <w:proofErr w:type="spellStart"/>
      <w:r w:rsidR="000C2B1D" w:rsidRPr="00CC28EC">
        <w:rPr>
          <w:sz w:val="24"/>
          <w:szCs w:val="24"/>
        </w:rPr>
        <w:t>reînnoi</w:t>
      </w:r>
      <w:proofErr w:type="spellEnd"/>
      <w:r w:rsidR="000C2B1D" w:rsidRPr="00CC28EC">
        <w:rPr>
          <w:sz w:val="24"/>
          <w:szCs w:val="24"/>
        </w:rPr>
        <w:t xml:space="preserve"> </w:t>
      </w:r>
      <w:proofErr w:type="spellStart"/>
      <w:r w:rsidR="000C2B1D" w:rsidRPr="00CC28EC">
        <w:rPr>
          <w:sz w:val="24"/>
          <w:szCs w:val="24"/>
        </w:rPr>
        <w:t>datoria</w:t>
      </w:r>
      <w:proofErr w:type="spellEnd"/>
      <w:r w:rsidR="000C2B1D" w:rsidRPr="00CC28EC">
        <w:rPr>
          <w:sz w:val="24"/>
          <w:szCs w:val="24"/>
        </w:rPr>
        <w:t xml:space="preserve"> cu un </w:t>
      </w:r>
      <w:proofErr w:type="spellStart"/>
      <w:r w:rsidR="000C2B1D" w:rsidRPr="00CC28EC">
        <w:rPr>
          <w:sz w:val="24"/>
          <w:szCs w:val="24"/>
        </w:rPr>
        <w:t>nivel</w:t>
      </w:r>
      <w:proofErr w:type="spellEnd"/>
      <w:r w:rsidR="000C2B1D" w:rsidRPr="00CC28EC">
        <w:rPr>
          <w:sz w:val="24"/>
          <w:szCs w:val="24"/>
        </w:rPr>
        <w:t xml:space="preserve"> </w:t>
      </w:r>
      <w:proofErr w:type="spellStart"/>
      <w:r w:rsidR="000C2B1D" w:rsidRPr="00CC28EC">
        <w:rPr>
          <w:sz w:val="24"/>
          <w:szCs w:val="24"/>
        </w:rPr>
        <w:t>ridicat</w:t>
      </w:r>
      <w:proofErr w:type="spellEnd"/>
      <w:r w:rsidR="000C2B1D" w:rsidRPr="00CC28EC">
        <w:rPr>
          <w:sz w:val="24"/>
          <w:szCs w:val="24"/>
        </w:rPr>
        <w:t xml:space="preserve"> al </w:t>
      </w:r>
      <w:proofErr w:type="spellStart"/>
      <w:r w:rsidR="000C2B1D" w:rsidRPr="00CC28EC">
        <w:rPr>
          <w:sz w:val="24"/>
          <w:szCs w:val="24"/>
        </w:rPr>
        <w:t>dobânzilor</w:t>
      </w:r>
      <w:proofErr w:type="spellEnd"/>
      <w:r w:rsidR="000C2B1D" w:rsidRPr="00CC28EC">
        <w:rPr>
          <w:sz w:val="24"/>
          <w:szCs w:val="24"/>
        </w:rPr>
        <w:t xml:space="preserve">, </w:t>
      </w:r>
      <w:proofErr w:type="spellStart"/>
      <w:r w:rsidR="000C2B1D" w:rsidRPr="00CC28EC">
        <w:rPr>
          <w:sz w:val="24"/>
          <w:szCs w:val="24"/>
        </w:rPr>
        <w:t>ceea</w:t>
      </w:r>
      <w:proofErr w:type="spellEnd"/>
      <w:r w:rsidR="000C2B1D" w:rsidRPr="00CC28EC">
        <w:rPr>
          <w:sz w:val="24"/>
          <w:szCs w:val="24"/>
        </w:rPr>
        <w:t xml:space="preserve"> </w:t>
      </w:r>
      <w:proofErr w:type="spellStart"/>
      <w:r w:rsidR="000C2B1D" w:rsidRPr="00CC28EC">
        <w:rPr>
          <w:sz w:val="24"/>
          <w:szCs w:val="24"/>
        </w:rPr>
        <w:t>ce</w:t>
      </w:r>
      <w:proofErr w:type="spellEnd"/>
      <w:r w:rsidR="000C2B1D" w:rsidRPr="00CC28EC">
        <w:rPr>
          <w:sz w:val="24"/>
          <w:szCs w:val="24"/>
        </w:rPr>
        <w:t xml:space="preserve"> ne </w:t>
      </w:r>
      <w:proofErr w:type="spellStart"/>
      <w:r w:rsidR="000C2B1D" w:rsidRPr="00CC28EC">
        <w:rPr>
          <w:sz w:val="24"/>
          <w:szCs w:val="24"/>
        </w:rPr>
        <w:t>va</w:t>
      </w:r>
      <w:proofErr w:type="spellEnd"/>
      <w:r w:rsidR="000C2B1D" w:rsidRPr="00CC28EC">
        <w:rPr>
          <w:sz w:val="24"/>
          <w:szCs w:val="24"/>
        </w:rPr>
        <w:t xml:space="preserve"> face </w:t>
      </w:r>
      <w:proofErr w:type="spellStart"/>
      <w:r w:rsidR="000C2B1D" w:rsidRPr="00CC28EC">
        <w:rPr>
          <w:sz w:val="24"/>
          <w:szCs w:val="24"/>
        </w:rPr>
        <w:t>și</w:t>
      </w:r>
      <w:proofErr w:type="spellEnd"/>
      <w:r w:rsidR="000C2B1D" w:rsidRPr="00CC28EC">
        <w:rPr>
          <w:sz w:val="24"/>
          <w:szCs w:val="24"/>
        </w:rPr>
        <w:t xml:space="preserve"> </w:t>
      </w:r>
      <w:proofErr w:type="spellStart"/>
      <w:r w:rsidR="000C2B1D" w:rsidRPr="00CC28EC">
        <w:rPr>
          <w:sz w:val="24"/>
          <w:szCs w:val="24"/>
        </w:rPr>
        <w:t>mai</w:t>
      </w:r>
      <w:proofErr w:type="spellEnd"/>
      <w:r w:rsidR="000C2B1D" w:rsidRPr="00CC28EC">
        <w:rPr>
          <w:sz w:val="24"/>
          <w:szCs w:val="24"/>
        </w:rPr>
        <w:t xml:space="preserve"> </w:t>
      </w:r>
      <w:proofErr w:type="spellStart"/>
      <w:r w:rsidR="000C2B1D" w:rsidRPr="00CC28EC">
        <w:rPr>
          <w:sz w:val="24"/>
          <w:szCs w:val="24"/>
        </w:rPr>
        <w:t>dificilă</w:t>
      </w:r>
      <w:proofErr w:type="spellEnd"/>
      <w:r w:rsidR="000C2B1D" w:rsidRPr="00CC28EC">
        <w:rPr>
          <w:sz w:val="24"/>
          <w:szCs w:val="24"/>
        </w:rPr>
        <w:t xml:space="preserve"> </w:t>
      </w:r>
      <w:proofErr w:type="spellStart"/>
      <w:r w:rsidR="000C2B1D" w:rsidRPr="00CC28EC">
        <w:rPr>
          <w:sz w:val="24"/>
          <w:szCs w:val="24"/>
        </w:rPr>
        <w:t>rambursarea</w:t>
      </w:r>
      <w:proofErr w:type="spellEnd"/>
      <w:r w:rsidR="000C2B1D" w:rsidRPr="00CC28EC">
        <w:rPr>
          <w:sz w:val="24"/>
          <w:szCs w:val="24"/>
        </w:rPr>
        <w:t xml:space="preserve">. </w:t>
      </w:r>
      <w:r w:rsidR="009C08F1" w:rsidRPr="00CC28EC">
        <w:rPr>
          <w:sz w:val="24"/>
          <w:szCs w:val="24"/>
        </w:rPr>
        <w:t xml:space="preserve">Ca </w:t>
      </w:r>
      <w:proofErr w:type="spellStart"/>
      <w:r w:rsidR="009C08F1" w:rsidRPr="00CC28EC">
        <w:rPr>
          <w:sz w:val="24"/>
          <w:szCs w:val="24"/>
        </w:rPr>
        <w:t>dovadă</w:t>
      </w:r>
      <w:proofErr w:type="spellEnd"/>
      <w:r w:rsidR="009C08F1" w:rsidRPr="00CC28EC">
        <w:rPr>
          <w:sz w:val="24"/>
          <w:szCs w:val="24"/>
        </w:rPr>
        <w:t xml:space="preserve">, </w:t>
      </w:r>
      <w:proofErr w:type="spellStart"/>
      <w:r w:rsidR="009C08F1" w:rsidRPr="00CC28EC">
        <w:rPr>
          <w:sz w:val="24"/>
          <w:szCs w:val="24"/>
        </w:rPr>
        <w:t>constatăm</w:t>
      </w:r>
      <w:proofErr w:type="spellEnd"/>
      <w:r w:rsidR="009C08F1" w:rsidRPr="00CC28EC">
        <w:rPr>
          <w:sz w:val="24"/>
          <w:szCs w:val="24"/>
        </w:rPr>
        <w:t xml:space="preserve"> </w:t>
      </w:r>
      <w:proofErr w:type="spellStart"/>
      <w:r w:rsidR="009C08F1" w:rsidRPr="00CC28EC">
        <w:rPr>
          <w:sz w:val="24"/>
          <w:szCs w:val="24"/>
        </w:rPr>
        <w:t>că</w:t>
      </w:r>
      <w:proofErr w:type="spellEnd"/>
      <w:r w:rsidR="009C08F1" w:rsidRPr="00CC28EC">
        <w:rPr>
          <w:sz w:val="24"/>
          <w:szCs w:val="24"/>
        </w:rPr>
        <w:t xml:space="preserve"> </w:t>
      </w:r>
      <w:proofErr w:type="spellStart"/>
      <w:r w:rsidR="009C08F1" w:rsidRPr="00CC28EC">
        <w:rPr>
          <w:sz w:val="24"/>
          <w:szCs w:val="24"/>
        </w:rPr>
        <w:t>în</w:t>
      </w:r>
      <w:proofErr w:type="spellEnd"/>
      <w:r w:rsidR="009C08F1" w:rsidRPr="00CC28EC">
        <w:rPr>
          <w:sz w:val="24"/>
          <w:szCs w:val="24"/>
        </w:rPr>
        <w:t xml:space="preserve"> </w:t>
      </w:r>
      <w:proofErr w:type="spellStart"/>
      <w:r w:rsidR="009C08F1" w:rsidRPr="00CC28EC">
        <w:rPr>
          <w:sz w:val="24"/>
          <w:szCs w:val="24"/>
        </w:rPr>
        <w:t>luna</w:t>
      </w:r>
      <w:proofErr w:type="spellEnd"/>
      <w:r w:rsidR="009C08F1" w:rsidRPr="00CC28EC">
        <w:rPr>
          <w:sz w:val="24"/>
          <w:szCs w:val="24"/>
        </w:rPr>
        <w:t xml:space="preserve"> a</w:t>
      </w:r>
      <w:r w:rsidR="004875C8" w:rsidRPr="00CC28EC">
        <w:rPr>
          <w:sz w:val="24"/>
          <w:szCs w:val="24"/>
        </w:rPr>
        <w:t>u</w:t>
      </w:r>
      <w:r w:rsidR="009C08F1" w:rsidRPr="00CC28EC">
        <w:rPr>
          <w:sz w:val="24"/>
          <w:szCs w:val="24"/>
        </w:rPr>
        <w:t>gust 2021 r</w:t>
      </w:r>
      <w:r w:rsidR="009C08F1" w:rsidRPr="00CC28EC">
        <w:rPr>
          <w:rFonts w:eastAsiaTheme="minorHAnsi"/>
          <w:sz w:val="24"/>
          <w:szCs w:val="24"/>
        </w:rPr>
        <w:t xml:space="preserve">ata </w:t>
      </w:r>
      <w:proofErr w:type="spellStart"/>
      <w:r w:rsidR="009C08F1" w:rsidRPr="00CC28EC">
        <w:rPr>
          <w:rFonts w:eastAsiaTheme="minorHAnsi"/>
          <w:sz w:val="24"/>
          <w:szCs w:val="24"/>
        </w:rPr>
        <w:t>dobânzii</w:t>
      </w:r>
      <w:proofErr w:type="spellEnd"/>
      <w:r w:rsidR="009C08F1" w:rsidRPr="00CC28EC">
        <w:rPr>
          <w:rFonts w:eastAsiaTheme="minorHAnsi"/>
          <w:sz w:val="24"/>
          <w:szCs w:val="24"/>
        </w:rPr>
        <w:t xml:space="preserve"> pe termen lung </w:t>
      </w:r>
      <w:proofErr w:type="spellStart"/>
      <w:r w:rsidR="009C08F1" w:rsidRPr="00CC28EC">
        <w:rPr>
          <w:rFonts w:eastAsiaTheme="minorHAnsi"/>
          <w:sz w:val="24"/>
          <w:szCs w:val="24"/>
        </w:rPr>
        <w:t>pentru</w:t>
      </w:r>
      <w:proofErr w:type="spellEnd"/>
      <w:r w:rsidR="009C08F1" w:rsidRPr="00CC28EC">
        <w:rPr>
          <w:rFonts w:eastAsiaTheme="minorHAnsi"/>
          <w:sz w:val="24"/>
          <w:szCs w:val="24"/>
        </w:rPr>
        <w:t xml:space="preserve"> </w:t>
      </w:r>
      <w:proofErr w:type="spellStart"/>
      <w:r w:rsidR="009C08F1" w:rsidRPr="00CC28EC">
        <w:rPr>
          <w:rFonts w:eastAsiaTheme="minorHAnsi"/>
          <w:sz w:val="24"/>
          <w:szCs w:val="24"/>
        </w:rPr>
        <w:t>România</w:t>
      </w:r>
      <w:proofErr w:type="spellEnd"/>
      <w:r w:rsidR="009C08F1" w:rsidRPr="00CC28EC">
        <w:rPr>
          <w:rFonts w:eastAsiaTheme="minorHAnsi"/>
          <w:sz w:val="24"/>
          <w:szCs w:val="24"/>
        </w:rPr>
        <w:t xml:space="preserve"> a </w:t>
      </w:r>
      <w:proofErr w:type="spellStart"/>
      <w:r w:rsidR="009C08F1" w:rsidRPr="00CC28EC">
        <w:rPr>
          <w:rFonts w:eastAsiaTheme="minorHAnsi"/>
          <w:sz w:val="24"/>
          <w:szCs w:val="24"/>
        </w:rPr>
        <w:t>crescut</w:t>
      </w:r>
      <w:proofErr w:type="spellEnd"/>
      <w:r w:rsidR="009C08F1" w:rsidRPr="00CC28EC">
        <w:rPr>
          <w:rFonts w:eastAsiaTheme="minorHAnsi"/>
          <w:sz w:val="24"/>
          <w:szCs w:val="24"/>
        </w:rPr>
        <w:t xml:space="preserve"> la 3,72%, </w:t>
      </w:r>
      <w:proofErr w:type="spellStart"/>
      <w:r w:rsidR="009C08F1" w:rsidRPr="00CC28EC">
        <w:rPr>
          <w:rFonts w:eastAsiaTheme="minorHAnsi"/>
          <w:sz w:val="24"/>
          <w:szCs w:val="24"/>
        </w:rPr>
        <w:t>în</w:t>
      </w:r>
      <w:proofErr w:type="spellEnd"/>
      <w:r w:rsidR="009C08F1" w:rsidRPr="00CC28EC">
        <w:rPr>
          <w:rFonts w:eastAsiaTheme="minorHAnsi"/>
          <w:sz w:val="24"/>
          <w:szCs w:val="24"/>
        </w:rPr>
        <w:t xml:space="preserve"> </w:t>
      </w:r>
      <w:proofErr w:type="spellStart"/>
      <w:r w:rsidR="009C08F1" w:rsidRPr="00CC28EC">
        <w:rPr>
          <w:rFonts w:eastAsiaTheme="minorHAnsi"/>
          <w:sz w:val="24"/>
          <w:szCs w:val="24"/>
        </w:rPr>
        <w:t>februarie</w:t>
      </w:r>
      <w:proofErr w:type="spellEnd"/>
      <w:r w:rsidR="009C08F1" w:rsidRPr="00CC28EC">
        <w:rPr>
          <w:rFonts w:eastAsiaTheme="minorHAnsi"/>
          <w:sz w:val="24"/>
          <w:szCs w:val="24"/>
        </w:rPr>
        <w:t xml:space="preserve"> 2021 </w:t>
      </w:r>
      <w:proofErr w:type="spellStart"/>
      <w:r w:rsidR="009C08F1" w:rsidRPr="00CC28EC">
        <w:rPr>
          <w:rFonts w:eastAsiaTheme="minorHAnsi"/>
          <w:sz w:val="24"/>
          <w:szCs w:val="24"/>
        </w:rPr>
        <w:t>aceasta</w:t>
      </w:r>
      <w:proofErr w:type="spellEnd"/>
      <w:r w:rsidR="009C08F1" w:rsidRPr="00CC28EC">
        <w:rPr>
          <w:rFonts w:eastAsiaTheme="minorHAnsi"/>
          <w:sz w:val="24"/>
          <w:szCs w:val="24"/>
        </w:rPr>
        <w:t xml:space="preserve"> era 2,65%. </w:t>
      </w:r>
    </w:p>
    <w:p w14:paraId="4BB231DA" w14:textId="1997F322" w:rsidR="00FF04D4" w:rsidRPr="00CC28EC" w:rsidRDefault="000C2B1D" w:rsidP="0092283E">
      <w:pPr>
        <w:ind w:firstLine="708"/>
        <w:jc w:val="both"/>
        <w:rPr>
          <w:sz w:val="24"/>
          <w:szCs w:val="24"/>
        </w:rPr>
      </w:pPr>
      <w:r w:rsidRPr="00CC28EC">
        <w:rPr>
          <w:sz w:val="24"/>
          <w:szCs w:val="24"/>
        </w:rPr>
        <w:t xml:space="preserve">O </w:t>
      </w:r>
      <w:proofErr w:type="spellStart"/>
      <w:r w:rsidRPr="00CC28EC">
        <w:rPr>
          <w:sz w:val="24"/>
          <w:szCs w:val="24"/>
        </w:rPr>
        <w:t>altă</w:t>
      </w:r>
      <w:proofErr w:type="spellEnd"/>
      <w:r w:rsidRPr="00CC28EC">
        <w:rPr>
          <w:sz w:val="24"/>
          <w:szCs w:val="24"/>
        </w:rPr>
        <w:t xml:space="preserve"> </w:t>
      </w:r>
      <w:proofErr w:type="spellStart"/>
      <w:r w:rsidRPr="00CC28EC">
        <w:rPr>
          <w:sz w:val="24"/>
          <w:szCs w:val="24"/>
        </w:rPr>
        <w:t>problemă</w:t>
      </w:r>
      <w:proofErr w:type="spellEnd"/>
      <w:r w:rsidRPr="00CC28EC">
        <w:rPr>
          <w:sz w:val="24"/>
          <w:szCs w:val="24"/>
        </w:rPr>
        <w:t xml:space="preserve"> </w:t>
      </w:r>
      <w:proofErr w:type="spellStart"/>
      <w:r w:rsidRPr="00CC28EC">
        <w:rPr>
          <w:sz w:val="24"/>
          <w:szCs w:val="24"/>
        </w:rPr>
        <w:t>importantă</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deficitul</w:t>
      </w:r>
      <w:proofErr w:type="spellEnd"/>
      <w:r w:rsidRPr="00CC28EC">
        <w:rPr>
          <w:sz w:val="24"/>
          <w:szCs w:val="24"/>
        </w:rPr>
        <w:t xml:space="preserve"> structural</w:t>
      </w:r>
      <w:r w:rsidR="00FE7779" w:rsidRPr="00CC28EC">
        <w:rPr>
          <w:sz w:val="24"/>
          <w:szCs w:val="24"/>
        </w:rPr>
        <w:t xml:space="preserve"> </w:t>
      </w:r>
      <w:proofErr w:type="spellStart"/>
      <w:r w:rsidR="00FE7779" w:rsidRPr="00CC28EC">
        <w:rPr>
          <w:sz w:val="24"/>
          <w:szCs w:val="24"/>
        </w:rPr>
        <w:t>foarte</w:t>
      </w:r>
      <w:proofErr w:type="spellEnd"/>
      <w:r w:rsidR="00FE7779" w:rsidRPr="00CC28EC">
        <w:rPr>
          <w:sz w:val="24"/>
          <w:szCs w:val="24"/>
        </w:rPr>
        <w:t xml:space="preserve"> mare</w:t>
      </w:r>
      <w:r w:rsidRPr="00CC28EC">
        <w:rPr>
          <w:sz w:val="24"/>
          <w:szCs w:val="24"/>
        </w:rPr>
        <w:t>, c</w:t>
      </w:r>
      <w:r w:rsidR="00524827" w:rsidRPr="00CC28EC">
        <w:rPr>
          <w:sz w:val="24"/>
          <w:szCs w:val="24"/>
        </w:rPr>
        <w:t>u</w:t>
      </w:r>
      <w:r w:rsidRPr="00CC28EC">
        <w:rPr>
          <w:sz w:val="24"/>
          <w:szCs w:val="24"/>
        </w:rPr>
        <w:t xml:space="preserve"> </w:t>
      </w:r>
      <w:proofErr w:type="spellStart"/>
      <w:r w:rsidR="00003ED1" w:rsidRPr="00CC28EC">
        <w:rPr>
          <w:sz w:val="24"/>
          <w:szCs w:val="24"/>
        </w:rPr>
        <w:t>drept</w:t>
      </w:r>
      <w:proofErr w:type="spellEnd"/>
      <w:r w:rsidR="00003ED1" w:rsidRPr="00CC28EC">
        <w:rPr>
          <w:sz w:val="24"/>
          <w:szCs w:val="24"/>
        </w:rPr>
        <w:t xml:space="preserve"> </w:t>
      </w:r>
      <w:proofErr w:type="spellStart"/>
      <w:r w:rsidRPr="00CC28EC">
        <w:rPr>
          <w:sz w:val="24"/>
          <w:szCs w:val="24"/>
        </w:rPr>
        <w:t>consecinț</w:t>
      </w:r>
      <w:r w:rsidR="00003ED1" w:rsidRPr="00CC28EC">
        <w:rPr>
          <w:sz w:val="24"/>
          <w:szCs w:val="24"/>
        </w:rPr>
        <w:t>ă</w:t>
      </w:r>
      <w:proofErr w:type="spellEnd"/>
      <w:r w:rsidR="00003ED1" w:rsidRPr="00CC28EC">
        <w:rPr>
          <w:sz w:val="24"/>
          <w:szCs w:val="24"/>
        </w:rPr>
        <w:t xml:space="preserve"> </w:t>
      </w:r>
      <w:proofErr w:type="spellStart"/>
      <w:r w:rsidR="00003ED1" w:rsidRPr="00CC28EC">
        <w:rPr>
          <w:sz w:val="24"/>
          <w:szCs w:val="24"/>
        </w:rPr>
        <w:t>nevoia</w:t>
      </w:r>
      <w:proofErr w:type="spellEnd"/>
      <w:r w:rsidRPr="00CC28EC">
        <w:rPr>
          <w:sz w:val="24"/>
          <w:szCs w:val="24"/>
        </w:rPr>
        <w:t xml:space="preserve"> de a </w:t>
      </w:r>
      <w:proofErr w:type="spellStart"/>
      <w:r w:rsidRPr="00CC28EC">
        <w:rPr>
          <w:sz w:val="24"/>
          <w:szCs w:val="24"/>
        </w:rPr>
        <w:t>ne</w:t>
      </w:r>
      <w:proofErr w:type="spellEnd"/>
      <w:r w:rsidRPr="00CC28EC">
        <w:rPr>
          <w:sz w:val="24"/>
          <w:szCs w:val="24"/>
        </w:rPr>
        <w:t xml:space="preserve"> </w:t>
      </w:r>
      <w:proofErr w:type="spellStart"/>
      <w:r w:rsidRPr="00CC28EC">
        <w:rPr>
          <w:sz w:val="24"/>
          <w:szCs w:val="24"/>
        </w:rPr>
        <w:t>împrumuta</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fiecare</w:t>
      </w:r>
      <w:proofErr w:type="spellEnd"/>
      <w:r w:rsidRPr="00CC28EC">
        <w:rPr>
          <w:sz w:val="24"/>
          <w:szCs w:val="24"/>
        </w:rPr>
        <w:t xml:space="preserve"> din </w:t>
      </w:r>
      <w:proofErr w:type="spellStart"/>
      <w:r w:rsidRPr="00CC28EC">
        <w:rPr>
          <w:sz w:val="24"/>
          <w:szCs w:val="24"/>
        </w:rPr>
        <w:t>anii</w:t>
      </w:r>
      <w:proofErr w:type="spellEnd"/>
      <w:r w:rsidRPr="00CC28EC">
        <w:rPr>
          <w:sz w:val="24"/>
          <w:szCs w:val="24"/>
        </w:rPr>
        <w:t xml:space="preserve"> </w:t>
      </w:r>
      <w:proofErr w:type="spellStart"/>
      <w:r w:rsidRPr="00CC28EC">
        <w:rPr>
          <w:sz w:val="24"/>
          <w:szCs w:val="24"/>
        </w:rPr>
        <w:t>următori</w:t>
      </w:r>
      <w:proofErr w:type="spellEnd"/>
      <w:r w:rsidRPr="00CC28EC">
        <w:rPr>
          <w:sz w:val="24"/>
          <w:szCs w:val="24"/>
        </w:rPr>
        <w:t xml:space="preserve"> </w:t>
      </w:r>
      <w:proofErr w:type="spellStart"/>
      <w:r w:rsidRPr="00CC28EC">
        <w:rPr>
          <w:sz w:val="24"/>
          <w:szCs w:val="24"/>
        </w:rPr>
        <w:t>undeva</w:t>
      </w:r>
      <w:proofErr w:type="spellEnd"/>
      <w:r w:rsidRPr="00CC28EC">
        <w:rPr>
          <w:sz w:val="24"/>
          <w:szCs w:val="24"/>
        </w:rPr>
        <w:t xml:space="preserve"> pe la 4-5% din PIB. (</w:t>
      </w:r>
      <w:proofErr w:type="spellStart"/>
      <w:r w:rsidR="00677872" w:rsidRPr="00CC28EC">
        <w:rPr>
          <w:sz w:val="24"/>
          <w:szCs w:val="24"/>
        </w:rPr>
        <w:fldChar w:fldCharType="begin"/>
      </w:r>
      <w:r w:rsidR="00677872" w:rsidRPr="00CC28EC">
        <w:rPr>
          <w:sz w:val="24"/>
          <w:szCs w:val="24"/>
        </w:rPr>
        <w:instrText xml:space="preserve"> HYPERLINK "https://cursdeguvernare.ro/author/marin-pana" </w:instrText>
      </w:r>
      <w:r w:rsidR="00677872" w:rsidRPr="00CC28EC">
        <w:rPr>
          <w:sz w:val="24"/>
          <w:szCs w:val="24"/>
        </w:rPr>
        <w:fldChar w:fldCharType="separate"/>
      </w:r>
      <w:r w:rsidR="00677872" w:rsidRPr="00CC28EC">
        <w:rPr>
          <w:sz w:val="24"/>
          <w:szCs w:val="24"/>
        </w:rPr>
        <w:t>Pan</w:t>
      </w:r>
      <w:r w:rsidR="00677872" w:rsidRPr="00CC28EC">
        <w:rPr>
          <w:sz w:val="24"/>
          <w:szCs w:val="24"/>
        </w:rPr>
        <w:fldChar w:fldCharType="end"/>
      </w:r>
      <w:r w:rsidR="00677872" w:rsidRPr="00CC28EC">
        <w:rPr>
          <w:sz w:val="24"/>
          <w:szCs w:val="24"/>
        </w:rPr>
        <w:t>ă</w:t>
      </w:r>
      <w:proofErr w:type="spellEnd"/>
      <w:r w:rsidR="00677872" w:rsidRPr="00CC28EC">
        <w:rPr>
          <w:sz w:val="24"/>
          <w:szCs w:val="24"/>
        </w:rPr>
        <w:t>, 2021</w:t>
      </w:r>
      <w:r w:rsidR="00856118" w:rsidRPr="00CC28EC">
        <w:rPr>
          <w:sz w:val="24"/>
          <w:szCs w:val="24"/>
        </w:rPr>
        <w:t>b</w:t>
      </w:r>
      <w:r w:rsidRPr="00CC28EC">
        <w:rPr>
          <w:sz w:val="24"/>
          <w:szCs w:val="24"/>
        </w:rPr>
        <w:t xml:space="preserve">) </w:t>
      </w:r>
    </w:p>
    <w:p w14:paraId="46CFCB0A" w14:textId="341C34EF" w:rsidR="00825453" w:rsidRPr="00CC28EC" w:rsidRDefault="00726D61" w:rsidP="006B78B7">
      <w:pPr>
        <w:rPr>
          <w:b/>
          <w:bCs/>
          <w:sz w:val="24"/>
          <w:szCs w:val="24"/>
        </w:rPr>
      </w:pPr>
      <w:r w:rsidRPr="00CC28EC">
        <w:rPr>
          <w:b/>
          <w:bCs/>
          <w:sz w:val="24"/>
          <w:szCs w:val="24"/>
        </w:rPr>
        <w:t>V.          C</w:t>
      </w:r>
      <w:r w:rsidR="001C410A" w:rsidRPr="00CC28EC">
        <w:rPr>
          <w:b/>
          <w:bCs/>
          <w:sz w:val="24"/>
          <w:szCs w:val="24"/>
        </w:rPr>
        <w:t>ONCLUSIONS</w:t>
      </w:r>
    </w:p>
    <w:p w14:paraId="646B8EFC" w14:textId="40E0B225" w:rsidR="00825453" w:rsidRPr="00CC28EC" w:rsidRDefault="00825453" w:rsidP="00825453">
      <w:pPr>
        <w:ind w:firstLine="720"/>
        <w:jc w:val="both"/>
        <w:rPr>
          <w:sz w:val="24"/>
          <w:szCs w:val="24"/>
        </w:rPr>
      </w:pPr>
      <w:r w:rsidRPr="00CC28EC">
        <w:rPr>
          <w:sz w:val="24"/>
          <w:szCs w:val="24"/>
        </w:rPr>
        <w:t xml:space="preserve">Se pare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politica</w:t>
      </w:r>
      <w:proofErr w:type="spellEnd"/>
      <w:r w:rsidRPr="00CC28EC">
        <w:rPr>
          <w:sz w:val="24"/>
          <w:szCs w:val="24"/>
        </w:rPr>
        <w:t xml:space="preserve"> </w:t>
      </w:r>
      <w:proofErr w:type="spellStart"/>
      <w:r w:rsidRPr="00CC28EC">
        <w:rPr>
          <w:sz w:val="24"/>
          <w:szCs w:val="24"/>
        </w:rPr>
        <w:t>îndatorării</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rapide</w:t>
      </w:r>
      <w:proofErr w:type="spellEnd"/>
      <w:r w:rsidRPr="00CC28EC">
        <w:rPr>
          <w:sz w:val="24"/>
          <w:szCs w:val="24"/>
        </w:rPr>
        <w:t xml:space="preserve"> din </w:t>
      </w:r>
      <w:proofErr w:type="spellStart"/>
      <w:r w:rsidRPr="00CC28EC">
        <w:rPr>
          <w:sz w:val="24"/>
          <w:szCs w:val="24"/>
        </w:rPr>
        <w:t>România</w:t>
      </w:r>
      <w:proofErr w:type="spellEnd"/>
      <w:r w:rsidRPr="00CC28EC">
        <w:rPr>
          <w:sz w:val="24"/>
          <w:szCs w:val="24"/>
        </w:rPr>
        <w:t xml:space="preserve">, </w:t>
      </w:r>
      <w:proofErr w:type="spellStart"/>
      <w:r w:rsidRPr="00CC28EC">
        <w:rPr>
          <w:sz w:val="24"/>
          <w:szCs w:val="24"/>
        </w:rPr>
        <w:t>arătată</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demonstrată</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sus, se </w:t>
      </w:r>
      <w:proofErr w:type="spellStart"/>
      <w:r w:rsidRPr="00CC28EC">
        <w:rPr>
          <w:sz w:val="24"/>
          <w:szCs w:val="24"/>
        </w:rPr>
        <w:t>înscrie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ideile</w:t>
      </w:r>
      <w:proofErr w:type="spellEnd"/>
      <w:r w:rsidRPr="00CC28EC">
        <w:rPr>
          <w:sz w:val="24"/>
          <w:szCs w:val="24"/>
        </w:rPr>
        <w:t xml:space="preserve"> MMT, </w:t>
      </w:r>
      <w:proofErr w:type="spellStart"/>
      <w:r w:rsidRPr="00CC28EC">
        <w:rPr>
          <w:sz w:val="24"/>
          <w:szCs w:val="24"/>
        </w:rPr>
        <w:t>iar</w:t>
      </w:r>
      <w:proofErr w:type="spellEnd"/>
      <w:r w:rsidRPr="00CC28EC">
        <w:rPr>
          <w:sz w:val="24"/>
          <w:szCs w:val="24"/>
        </w:rPr>
        <w:t xml:space="preserve"> </w:t>
      </w:r>
      <w:proofErr w:type="spellStart"/>
      <w:r w:rsidRPr="00CC28EC">
        <w:rPr>
          <w:sz w:val="24"/>
          <w:szCs w:val="24"/>
        </w:rPr>
        <w:t>unii</w:t>
      </w:r>
      <w:proofErr w:type="spellEnd"/>
      <w:r w:rsidRPr="00CC28EC">
        <w:rPr>
          <w:sz w:val="24"/>
          <w:szCs w:val="24"/>
        </w:rPr>
        <w:t xml:space="preserve"> </w:t>
      </w:r>
      <w:proofErr w:type="spellStart"/>
      <w:r w:rsidRPr="00CC28EC">
        <w:rPr>
          <w:sz w:val="24"/>
          <w:szCs w:val="24"/>
        </w:rPr>
        <w:t>politicieni</w:t>
      </w:r>
      <w:proofErr w:type="spellEnd"/>
      <w:r w:rsidRPr="00CC28EC">
        <w:rPr>
          <w:sz w:val="24"/>
          <w:szCs w:val="24"/>
        </w:rPr>
        <w:t xml:space="preserve">, </w:t>
      </w:r>
      <w:proofErr w:type="spellStart"/>
      <w:r w:rsidRPr="00CC28EC">
        <w:rPr>
          <w:sz w:val="24"/>
          <w:szCs w:val="24"/>
        </w:rPr>
        <w:t>economiști</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jurnaliști</w:t>
      </w:r>
      <w:proofErr w:type="spellEnd"/>
      <w:r w:rsidRPr="00CC28EC">
        <w:rPr>
          <w:sz w:val="24"/>
          <w:szCs w:val="24"/>
        </w:rPr>
        <w:t xml:space="preserve"> </w:t>
      </w:r>
      <w:proofErr w:type="spellStart"/>
      <w:r w:rsidRPr="00CC28EC">
        <w:rPr>
          <w:sz w:val="24"/>
          <w:szCs w:val="24"/>
        </w:rPr>
        <w:t>chiar</w:t>
      </w:r>
      <w:proofErr w:type="spellEnd"/>
      <w:r w:rsidRPr="00CC28EC">
        <w:rPr>
          <w:sz w:val="24"/>
          <w:szCs w:val="24"/>
        </w:rPr>
        <w:t xml:space="preserve"> </w:t>
      </w:r>
      <w:proofErr w:type="spellStart"/>
      <w:r w:rsidRPr="00CC28EC">
        <w:rPr>
          <w:sz w:val="24"/>
          <w:szCs w:val="24"/>
        </w:rPr>
        <w:t>acreditează</w:t>
      </w:r>
      <w:proofErr w:type="spellEnd"/>
      <w:r w:rsidRPr="00CC28EC">
        <w:rPr>
          <w:sz w:val="24"/>
          <w:szCs w:val="24"/>
        </w:rPr>
        <w:t xml:space="preserve"> </w:t>
      </w:r>
      <w:proofErr w:type="spellStart"/>
      <w:r w:rsidRPr="00CC28EC">
        <w:rPr>
          <w:sz w:val="24"/>
          <w:szCs w:val="24"/>
        </w:rPr>
        <w:t>ideea</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această</w:t>
      </w:r>
      <w:proofErr w:type="spellEnd"/>
      <w:r w:rsidRPr="00CC28EC">
        <w:rPr>
          <w:sz w:val="24"/>
          <w:szCs w:val="24"/>
        </w:rPr>
        <w:t xml:space="preserve"> </w:t>
      </w:r>
      <w:proofErr w:type="spellStart"/>
      <w:r w:rsidRPr="00CC28EC">
        <w:rPr>
          <w:sz w:val="24"/>
          <w:szCs w:val="24"/>
        </w:rPr>
        <w:t>creștere</w:t>
      </w:r>
      <w:proofErr w:type="spellEnd"/>
      <w:r w:rsidRPr="00CC28EC">
        <w:rPr>
          <w:sz w:val="24"/>
          <w:szCs w:val="24"/>
        </w:rPr>
        <w:t xml:space="preserve"> a </w:t>
      </w:r>
      <w:proofErr w:type="spellStart"/>
      <w:r w:rsidRPr="00CC28EC">
        <w:rPr>
          <w:sz w:val="24"/>
          <w:szCs w:val="24"/>
        </w:rPr>
        <w:t>datoriei</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nu </w:t>
      </w:r>
      <w:proofErr w:type="spellStart"/>
      <w:r w:rsidRPr="00CC28EC">
        <w:rPr>
          <w:sz w:val="24"/>
          <w:szCs w:val="24"/>
        </w:rPr>
        <w:t>reprezintă</w:t>
      </w:r>
      <w:proofErr w:type="spellEnd"/>
      <w:r w:rsidRPr="00CC28EC">
        <w:rPr>
          <w:sz w:val="24"/>
          <w:szCs w:val="24"/>
        </w:rPr>
        <w:t xml:space="preserve"> o </w:t>
      </w:r>
      <w:proofErr w:type="spellStart"/>
      <w:r w:rsidRPr="00CC28EC">
        <w:rPr>
          <w:sz w:val="24"/>
          <w:szCs w:val="24"/>
        </w:rPr>
        <w:t>problemă</w:t>
      </w:r>
      <w:proofErr w:type="spellEnd"/>
      <w:r w:rsidRPr="00CC28EC">
        <w:rPr>
          <w:sz w:val="24"/>
          <w:szCs w:val="24"/>
        </w:rPr>
        <w:t xml:space="preserve">, ci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rezultatul</w:t>
      </w:r>
      <w:proofErr w:type="spellEnd"/>
      <w:r w:rsidRPr="00CC28EC">
        <w:rPr>
          <w:sz w:val="24"/>
          <w:szCs w:val="24"/>
        </w:rPr>
        <w:t xml:space="preserve"> </w:t>
      </w:r>
      <w:proofErr w:type="spellStart"/>
      <w:r w:rsidRPr="00CC28EC">
        <w:rPr>
          <w:sz w:val="24"/>
          <w:szCs w:val="24"/>
        </w:rPr>
        <w:t>unei</w:t>
      </w:r>
      <w:proofErr w:type="spellEnd"/>
      <w:r w:rsidRPr="00CC28EC">
        <w:rPr>
          <w:sz w:val="24"/>
          <w:szCs w:val="24"/>
        </w:rPr>
        <w:t xml:space="preserve"> </w:t>
      </w:r>
      <w:proofErr w:type="spellStart"/>
      <w:r w:rsidRPr="00CC28EC">
        <w:rPr>
          <w:sz w:val="24"/>
          <w:szCs w:val="24"/>
        </w:rPr>
        <w:t>politici</w:t>
      </w:r>
      <w:proofErr w:type="spellEnd"/>
      <w:r w:rsidRPr="00CC28EC">
        <w:rPr>
          <w:sz w:val="24"/>
          <w:szCs w:val="24"/>
        </w:rPr>
        <w:t xml:space="preserve"> </w:t>
      </w:r>
      <w:proofErr w:type="spellStart"/>
      <w:r w:rsidRPr="00CC28EC">
        <w:rPr>
          <w:sz w:val="24"/>
          <w:szCs w:val="24"/>
        </w:rPr>
        <w:t>economice</w:t>
      </w:r>
      <w:proofErr w:type="spellEnd"/>
      <w:r w:rsidRPr="00CC28EC">
        <w:rPr>
          <w:sz w:val="24"/>
          <w:szCs w:val="24"/>
        </w:rPr>
        <w:t xml:space="preserve"> bine </w:t>
      </w:r>
      <w:proofErr w:type="spellStart"/>
      <w:r w:rsidRPr="00CC28EC">
        <w:rPr>
          <w:sz w:val="24"/>
          <w:szCs w:val="24"/>
        </w:rPr>
        <w:t>fundamentate</w:t>
      </w:r>
      <w:proofErr w:type="spellEnd"/>
      <w:r w:rsidRPr="00CC28EC">
        <w:rPr>
          <w:sz w:val="24"/>
          <w:szCs w:val="24"/>
        </w:rPr>
        <w:t xml:space="preserve"> din </w:t>
      </w:r>
      <w:proofErr w:type="spellStart"/>
      <w:r w:rsidRPr="00CC28EC">
        <w:rPr>
          <w:sz w:val="24"/>
          <w:szCs w:val="24"/>
        </w:rPr>
        <w:t>punct</w:t>
      </w:r>
      <w:proofErr w:type="spellEnd"/>
      <w:r w:rsidRPr="00CC28EC">
        <w:rPr>
          <w:sz w:val="24"/>
          <w:szCs w:val="24"/>
        </w:rPr>
        <w:t xml:space="preserve"> de </w:t>
      </w:r>
      <w:proofErr w:type="spellStart"/>
      <w:r w:rsidRPr="00CC28EC">
        <w:rPr>
          <w:sz w:val="24"/>
          <w:szCs w:val="24"/>
        </w:rPr>
        <w:t>vedere</w:t>
      </w:r>
      <w:proofErr w:type="spellEnd"/>
      <w:r w:rsidRPr="00CC28EC">
        <w:rPr>
          <w:sz w:val="24"/>
          <w:szCs w:val="24"/>
        </w:rPr>
        <w:t xml:space="preserve"> </w:t>
      </w:r>
      <w:proofErr w:type="spellStart"/>
      <w:r w:rsidRPr="00CC28EC">
        <w:rPr>
          <w:sz w:val="24"/>
          <w:szCs w:val="24"/>
        </w:rPr>
        <w:t>teoretic</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este</w:t>
      </w:r>
      <w:proofErr w:type="spellEnd"/>
      <w:r w:rsidRPr="00CC28EC">
        <w:rPr>
          <w:sz w:val="24"/>
          <w:szCs w:val="24"/>
        </w:rPr>
        <w:t xml:space="preserve"> </w:t>
      </w:r>
      <w:proofErr w:type="spellStart"/>
      <w:r w:rsidRPr="00CC28EC">
        <w:rPr>
          <w:sz w:val="24"/>
          <w:szCs w:val="24"/>
        </w:rPr>
        <w:t>aplicată</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numeroase</w:t>
      </w:r>
      <w:proofErr w:type="spellEnd"/>
      <w:r w:rsidRPr="00CC28EC">
        <w:rPr>
          <w:sz w:val="24"/>
          <w:szCs w:val="24"/>
        </w:rPr>
        <w:t xml:space="preserve"> </w:t>
      </w:r>
      <w:proofErr w:type="spellStart"/>
      <w:r w:rsidRPr="00CC28EC">
        <w:rPr>
          <w:sz w:val="24"/>
          <w:szCs w:val="24"/>
        </w:rPr>
        <w:t>țări</w:t>
      </w:r>
      <w:proofErr w:type="spellEnd"/>
      <w:r w:rsidRPr="00CC28EC">
        <w:rPr>
          <w:sz w:val="24"/>
          <w:szCs w:val="24"/>
        </w:rPr>
        <w:t>. (</w:t>
      </w:r>
      <w:proofErr w:type="spellStart"/>
      <w:r w:rsidRPr="00CC28EC">
        <w:rPr>
          <w:sz w:val="24"/>
          <w:szCs w:val="24"/>
        </w:rPr>
        <w:t>Cerna</w:t>
      </w:r>
      <w:proofErr w:type="spellEnd"/>
      <w:r w:rsidRPr="00CC28EC">
        <w:rPr>
          <w:sz w:val="24"/>
          <w:szCs w:val="24"/>
        </w:rPr>
        <w:t>, 2019)</w:t>
      </w:r>
    </w:p>
    <w:p w14:paraId="071F0BEA" w14:textId="780D4C92" w:rsidR="004875C8" w:rsidRPr="00CC28EC" w:rsidRDefault="004875C8" w:rsidP="00825453">
      <w:pPr>
        <w:ind w:firstLine="720"/>
        <w:jc w:val="both"/>
        <w:rPr>
          <w:sz w:val="24"/>
          <w:szCs w:val="24"/>
        </w:rPr>
      </w:pPr>
      <w:proofErr w:type="spellStart"/>
      <w:r w:rsidRPr="00CC28EC">
        <w:rPr>
          <w:sz w:val="24"/>
          <w:szCs w:val="24"/>
        </w:rPr>
        <w:t>Așa</w:t>
      </w:r>
      <w:proofErr w:type="spellEnd"/>
      <w:r w:rsidRPr="00CC28EC">
        <w:rPr>
          <w:sz w:val="24"/>
          <w:szCs w:val="24"/>
        </w:rPr>
        <w:t xml:space="preserve"> cum </w:t>
      </w:r>
      <w:proofErr w:type="spellStart"/>
      <w:r w:rsidRPr="00CC28EC">
        <w:rPr>
          <w:sz w:val="24"/>
          <w:szCs w:val="24"/>
        </w:rPr>
        <w:t>arătam</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sus, la </w:t>
      </w:r>
      <w:proofErr w:type="spellStart"/>
      <w:r w:rsidRPr="00CC28EC">
        <w:rPr>
          <w:sz w:val="24"/>
          <w:szCs w:val="24"/>
        </w:rPr>
        <w:t>această</w:t>
      </w:r>
      <w:proofErr w:type="spellEnd"/>
      <w:r w:rsidRPr="00CC28EC">
        <w:rPr>
          <w:sz w:val="24"/>
          <w:szCs w:val="24"/>
        </w:rPr>
        <w:t xml:space="preserve"> </w:t>
      </w:r>
      <w:proofErr w:type="spellStart"/>
      <w:r w:rsidRPr="00CC28EC">
        <w:rPr>
          <w:sz w:val="24"/>
          <w:szCs w:val="24"/>
        </w:rPr>
        <w:t>dată</w:t>
      </w:r>
      <w:proofErr w:type="spellEnd"/>
      <w:r w:rsidR="00950DE2" w:rsidRPr="00CC28EC">
        <w:rPr>
          <w:sz w:val="24"/>
          <w:szCs w:val="24"/>
        </w:rPr>
        <w:t>,</w:t>
      </w:r>
      <w:r w:rsidRPr="00CC28EC">
        <w:rPr>
          <w:sz w:val="24"/>
          <w:szCs w:val="24"/>
        </w:rPr>
        <w:t xml:space="preserve"> </w:t>
      </w:r>
      <w:proofErr w:type="spellStart"/>
      <w:r w:rsidRPr="00CC28EC">
        <w:rPr>
          <w:sz w:val="24"/>
          <w:szCs w:val="24"/>
        </w:rPr>
        <w:t>România</w:t>
      </w:r>
      <w:proofErr w:type="spellEnd"/>
      <w:r w:rsidRPr="00CC28EC">
        <w:rPr>
          <w:sz w:val="24"/>
          <w:szCs w:val="24"/>
        </w:rPr>
        <w:t xml:space="preserve"> are </w:t>
      </w:r>
      <w:proofErr w:type="spellStart"/>
      <w:r w:rsidRPr="00CC28EC">
        <w:rPr>
          <w:sz w:val="24"/>
          <w:szCs w:val="24"/>
        </w:rPr>
        <w:t>unul</w:t>
      </w:r>
      <w:proofErr w:type="spellEnd"/>
      <w:r w:rsidRPr="00CC28EC">
        <w:rPr>
          <w:sz w:val="24"/>
          <w:szCs w:val="24"/>
        </w:rPr>
        <w:t xml:space="preserve"> din </w:t>
      </w:r>
      <w:proofErr w:type="spellStart"/>
      <w:r w:rsidRPr="00CC28EC">
        <w:rPr>
          <w:sz w:val="24"/>
          <w:szCs w:val="24"/>
        </w:rPr>
        <w:t>cele</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w:t>
      </w:r>
      <w:proofErr w:type="spellStart"/>
      <w:r w:rsidRPr="00CC28EC">
        <w:rPr>
          <w:sz w:val="24"/>
          <w:szCs w:val="24"/>
        </w:rPr>
        <w:t>cel</w:t>
      </w:r>
      <w:proofErr w:type="spellEnd"/>
      <w:r w:rsidRPr="00CC28EC">
        <w:rPr>
          <w:sz w:val="24"/>
          <w:szCs w:val="24"/>
        </w:rPr>
        <w:t xml:space="preserve"> </w:t>
      </w:r>
      <w:proofErr w:type="spellStart"/>
      <w:r w:rsidRPr="00CC28EC">
        <w:rPr>
          <w:sz w:val="24"/>
          <w:szCs w:val="24"/>
        </w:rPr>
        <w:t>mai</w:t>
      </w:r>
      <w:proofErr w:type="spellEnd"/>
      <w:r w:rsidRPr="00CC28EC">
        <w:rPr>
          <w:sz w:val="24"/>
          <w:szCs w:val="24"/>
        </w:rPr>
        <w:t xml:space="preserve"> </w:t>
      </w:r>
      <w:proofErr w:type="spellStart"/>
      <w:r w:rsidRPr="00CC28EC">
        <w:rPr>
          <w:sz w:val="24"/>
          <w:szCs w:val="24"/>
        </w:rPr>
        <w:t>mari</w:t>
      </w:r>
      <w:proofErr w:type="spellEnd"/>
      <w:r w:rsidRPr="00CC28EC">
        <w:rPr>
          <w:sz w:val="24"/>
          <w:szCs w:val="24"/>
        </w:rPr>
        <w:t xml:space="preserve"> </w:t>
      </w:r>
      <w:proofErr w:type="spellStart"/>
      <w:r w:rsidRPr="00CC28EC">
        <w:rPr>
          <w:sz w:val="24"/>
          <w:szCs w:val="24"/>
        </w:rPr>
        <w:t>deficite</w:t>
      </w:r>
      <w:proofErr w:type="spellEnd"/>
      <w:r w:rsidRPr="00CC28EC">
        <w:rPr>
          <w:sz w:val="24"/>
          <w:szCs w:val="24"/>
        </w:rPr>
        <w:t xml:space="preserve"> </w:t>
      </w:r>
      <w:proofErr w:type="spellStart"/>
      <w:r w:rsidRPr="00CC28EC">
        <w:rPr>
          <w:sz w:val="24"/>
          <w:szCs w:val="24"/>
        </w:rPr>
        <w:t>bugetare</w:t>
      </w:r>
      <w:proofErr w:type="spellEnd"/>
      <w:r w:rsidRPr="00CC28EC">
        <w:rPr>
          <w:sz w:val="24"/>
          <w:szCs w:val="24"/>
        </w:rPr>
        <w:t xml:space="preserve"> din UE pe </w:t>
      </w:r>
      <w:proofErr w:type="spellStart"/>
      <w:r w:rsidRPr="00CC28EC">
        <w:rPr>
          <w:sz w:val="24"/>
          <w:szCs w:val="24"/>
        </w:rPr>
        <w:t>fondul</w:t>
      </w:r>
      <w:proofErr w:type="spellEnd"/>
      <w:r w:rsidRPr="00CC28EC">
        <w:rPr>
          <w:sz w:val="24"/>
          <w:szCs w:val="24"/>
        </w:rPr>
        <w:t xml:space="preserve"> </w:t>
      </w:r>
      <w:proofErr w:type="spellStart"/>
      <w:r w:rsidRPr="00CC28EC">
        <w:rPr>
          <w:sz w:val="24"/>
          <w:szCs w:val="24"/>
        </w:rPr>
        <w:t>deterio</w:t>
      </w:r>
      <w:r w:rsidR="00950DE2" w:rsidRPr="00CC28EC">
        <w:rPr>
          <w:sz w:val="24"/>
          <w:szCs w:val="24"/>
        </w:rPr>
        <w:t>rării</w:t>
      </w:r>
      <w:proofErr w:type="spellEnd"/>
      <w:r w:rsidR="00950DE2" w:rsidRPr="00CC28EC">
        <w:rPr>
          <w:sz w:val="24"/>
          <w:szCs w:val="24"/>
        </w:rPr>
        <w:t xml:space="preserve"> accentuate</w:t>
      </w:r>
      <w:r w:rsidRPr="00CC28EC">
        <w:rPr>
          <w:sz w:val="24"/>
          <w:szCs w:val="24"/>
        </w:rPr>
        <w:t xml:space="preserve"> </w:t>
      </w:r>
      <w:r w:rsidR="00950DE2" w:rsidRPr="00CC28EC">
        <w:rPr>
          <w:sz w:val="24"/>
          <w:szCs w:val="24"/>
        </w:rPr>
        <w:t>a</w:t>
      </w:r>
      <w:r w:rsidRPr="00CC28EC">
        <w:rPr>
          <w:sz w:val="24"/>
          <w:szCs w:val="24"/>
        </w:rPr>
        <w:t xml:space="preserve"> </w:t>
      </w:r>
      <w:proofErr w:type="spellStart"/>
      <w:r w:rsidRPr="00CC28EC">
        <w:rPr>
          <w:sz w:val="24"/>
          <w:szCs w:val="24"/>
        </w:rPr>
        <w:t>finanțelor</w:t>
      </w:r>
      <w:proofErr w:type="spellEnd"/>
      <w:r w:rsidRPr="00CC28EC">
        <w:rPr>
          <w:sz w:val="24"/>
          <w:szCs w:val="24"/>
        </w:rPr>
        <w:t xml:space="preserve"> </w:t>
      </w:r>
      <w:proofErr w:type="spellStart"/>
      <w:r w:rsidRPr="00CC28EC">
        <w:rPr>
          <w:sz w:val="24"/>
          <w:szCs w:val="24"/>
        </w:rPr>
        <w:t>publice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perioada</w:t>
      </w:r>
      <w:proofErr w:type="spellEnd"/>
      <w:r w:rsidRPr="00CC28EC">
        <w:rPr>
          <w:sz w:val="24"/>
          <w:szCs w:val="24"/>
        </w:rPr>
        <w:t xml:space="preserve"> 2015-2019.</w:t>
      </w:r>
      <w:r w:rsidR="00950DE2" w:rsidRPr="00CC28EC">
        <w:rPr>
          <w:sz w:val="24"/>
          <w:szCs w:val="24"/>
        </w:rPr>
        <w:t xml:space="preserve"> </w:t>
      </w:r>
      <w:proofErr w:type="spellStart"/>
      <w:r w:rsidR="00950DE2" w:rsidRPr="00CC28EC">
        <w:rPr>
          <w:sz w:val="24"/>
          <w:szCs w:val="24"/>
        </w:rPr>
        <w:t>Deficitul</w:t>
      </w:r>
      <w:proofErr w:type="spellEnd"/>
      <w:r w:rsidR="00950DE2" w:rsidRPr="00CC28EC">
        <w:rPr>
          <w:sz w:val="24"/>
          <w:szCs w:val="24"/>
        </w:rPr>
        <w:t xml:space="preserve"> </w:t>
      </w:r>
      <w:proofErr w:type="spellStart"/>
      <w:r w:rsidR="00950DE2" w:rsidRPr="00CC28EC">
        <w:rPr>
          <w:sz w:val="24"/>
          <w:szCs w:val="24"/>
        </w:rPr>
        <w:t>bugetar</w:t>
      </w:r>
      <w:proofErr w:type="spellEnd"/>
      <w:r w:rsidR="00950DE2" w:rsidRPr="00CC28EC">
        <w:rPr>
          <w:sz w:val="24"/>
          <w:szCs w:val="24"/>
        </w:rPr>
        <w:t xml:space="preserve"> mare </w:t>
      </w:r>
      <w:proofErr w:type="spellStart"/>
      <w:r w:rsidR="00950DE2" w:rsidRPr="00CC28EC">
        <w:rPr>
          <w:sz w:val="24"/>
          <w:szCs w:val="24"/>
        </w:rPr>
        <w:t>va</w:t>
      </w:r>
      <w:proofErr w:type="spellEnd"/>
      <w:r w:rsidR="00950DE2" w:rsidRPr="00CC28EC">
        <w:rPr>
          <w:sz w:val="24"/>
          <w:szCs w:val="24"/>
        </w:rPr>
        <w:t xml:space="preserve"> duce, </w:t>
      </w:r>
      <w:proofErr w:type="spellStart"/>
      <w:r w:rsidR="00950DE2" w:rsidRPr="00CC28EC">
        <w:rPr>
          <w:sz w:val="24"/>
          <w:szCs w:val="24"/>
        </w:rPr>
        <w:t>în</w:t>
      </w:r>
      <w:proofErr w:type="spellEnd"/>
      <w:r w:rsidR="00950DE2" w:rsidRPr="00CC28EC">
        <w:rPr>
          <w:sz w:val="24"/>
          <w:szCs w:val="24"/>
        </w:rPr>
        <w:t xml:space="preserve"> </w:t>
      </w:r>
      <w:proofErr w:type="spellStart"/>
      <w:r w:rsidR="00950DE2" w:rsidRPr="00CC28EC">
        <w:rPr>
          <w:sz w:val="24"/>
          <w:szCs w:val="24"/>
        </w:rPr>
        <w:t>viitor</w:t>
      </w:r>
      <w:proofErr w:type="spellEnd"/>
      <w:r w:rsidR="00950DE2" w:rsidRPr="00CC28EC">
        <w:rPr>
          <w:sz w:val="24"/>
          <w:szCs w:val="24"/>
        </w:rPr>
        <w:t xml:space="preserve">, la </w:t>
      </w:r>
      <w:proofErr w:type="spellStart"/>
      <w:r w:rsidR="00950DE2" w:rsidRPr="00CC28EC">
        <w:rPr>
          <w:sz w:val="24"/>
          <w:szCs w:val="24"/>
        </w:rPr>
        <w:t>creșterea</w:t>
      </w:r>
      <w:proofErr w:type="spellEnd"/>
      <w:r w:rsidR="00950DE2" w:rsidRPr="00CC28EC">
        <w:rPr>
          <w:sz w:val="24"/>
          <w:szCs w:val="24"/>
        </w:rPr>
        <w:t xml:space="preserve"> </w:t>
      </w:r>
      <w:proofErr w:type="spellStart"/>
      <w:r w:rsidR="00950DE2" w:rsidRPr="00CC28EC">
        <w:rPr>
          <w:sz w:val="24"/>
          <w:szCs w:val="24"/>
        </w:rPr>
        <w:t>în</w:t>
      </w:r>
      <w:proofErr w:type="spellEnd"/>
      <w:r w:rsidR="00950DE2" w:rsidRPr="00CC28EC">
        <w:rPr>
          <w:sz w:val="24"/>
          <w:szCs w:val="24"/>
        </w:rPr>
        <w:t xml:space="preserve"> </w:t>
      </w:r>
      <w:proofErr w:type="spellStart"/>
      <w:r w:rsidR="00950DE2" w:rsidRPr="00CC28EC">
        <w:rPr>
          <w:sz w:val="24"/>
          <w:szCs w:val="24"/>
        </w:rPr>
        <w:t>continuare</w:t>
      </w:r>
      <w:proofErr w:type="spellEnd"/>
      <w:r w:rsidR="00950DE2" w:rsidRPr="00CC28EC">
        <w:rPr>
          <w:sz w:val="24"/>
          <w:szCs w:val="24"/>
        </w:rPr>
        <w:t xml:space="preserve"> a </w:t>
      </w:r>
      <w:proofErr w:type="spellStart"/>
      <w:r w:rsidR="00950DE2" w:rsidRPr="00CC28EC">
        <w:rPr>
          <w:sz w:val="24"/>
          <w:szCs w:val="24"/>
        </w:rPr>
        <w:t>datoriei</w:t>
      </w:r>
      <w:proofErr w:type="spellEnd"/>
      <w:r w:rsidR="00950DE2" w:rsidRPr="00CC28EC">
        <w:rPr>
          <w:sz w:val="24"/>
          <w:szCs w:val="24"/>
        </w:rPr>
        <w:t xml:space="preserve"> </w:t>
      </w:r>
      <w:proofErr w:type="spellStart"/>
      <w:r w:rsidR="00950DE2" w:rsidRPr="00CC28EC">
        <w:rPr>
          <w:sz w:val="24"/>
          <w:szCs w:val="24"/>
        </w:rPr>
        <w:t>publice</w:t>
      </w:r>
      <w:proofErr w:type="spellEnd"/>
      <w:r w:rsidR="00950DE2" w:rsidRPr="00CC28EC">
        <w:rPr>
          <w:sz w:val="24"/>
          <w:szCs w:val="24"/>
        </w:rPr>
        <w:t>.</w:t>
      </w:r>
    </w:p>
    <w:p w14:paraId="0720D409" w14:textId="77777777" w:rsidR="0059540C" w:rsidRPr="00CC28EC" w:rsidRDefault="00950DE2" w:rsidP="00950DE2">
      <w:pPr>
        <w:ind w:firstLine="720"/>
        <w:jc w:val="both"/>
        <w:rPr>
          <w:sz w:val="24"/>
          <w:szCs w:val="24"/>
        </w:rPr>
      </w:pPr>
      <w:proofErr w:type="spellStart"/>
      <w:r w:rsidRPr="00CC28EC">
        <w:rPr>
          <w:sz w:val="24"/>
          <w:szCs w:val="24"/>
        </w:rPr>
        <w:t>În</w:t>
      </w:r>
      <w:proofErr w:type="spellEnd"/>
      <w:r w:rsidRPr="00CC28EC">
        <w:rPr>
          <w:sz w:val="24"/>
          <w:szCs w:val="24"/>
        </w:rPr>
        <w:t xml:space="preserve"> </w:t>
      </w:r>
      <w:proofErr w:type="spellStart"/>
      <w:r w:rsidRPr="00CC28EC">
        <w:rPr>
          <w:sz w:val="24"/>
          <w:szCs w:val="24"/>
        </w:rPr>
        <w:t>condițiile</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care nu am </w:t>
      </w:r>
      <w:proofErr w:type="spellStart"/>
      <w:r w:rsidRPr="00CC28EC">
        <w:rPr>
          <w:sz w:val="24"/>
          <w:szCs w:val="24"/>
        </w:rPr>
        <w:t>achitat</w:t>
      </w:r>
      <w:proofErr w:type="spellEnd"/>
      <w:r w:rsidRPr="00CC28EC">
        <w:rPr>
          <w:sz w:val="24"/>
          <w:szCs w:val="24"/>
        </w:rPr>
        <w:t xml:space="preserve"> </w:t>
      </w:r>
      <w:proofErr w:type="spellStart"/>
      <w:r w:rsidRPr="00CC28EC">
        <w:rPr>
          <w:sz w:val="24"/>
          <w:szCs w:val="24"/>
        </w:rPr>
        <w:t>împrumutul</w:t>
      </w:r>
      <w:proofErr w:type="spellEnd"/>
      <w:r w:rsidRPr="00CC28EC">
        <w:rPr>
          <w:sz w:val="24"/>
          <w:szCs w:val="24"/>
        </w:rPr>
        <w:t xml:space="preserve"> </w:t>
      </w:r>
      <w:proofErr w:type="spellStart"/>
      <w:r w:rsidRPr="00CC28EC">
        <w:rPr>
          <w:sz w:val="24"/>
          <w:szCs w:val="24"/>
        </w:rPr>
        <w:t>primit</w:t>
      </w:r>
      <w:proofErr w:type="spellEnd"/>
      <w:r w:rsidRPr="00CC28EC">
        <w:rPr>
          <w:sz w:val="24"/>
          <w:szCs w:val="24"/>
        </w:rPr>
        <w:t xml:space="preserve"> ca </w:t>
      </w:r>
      <w:proofErr w:type="spellStart"/>
      <w:r w:rsidRPr="00CC28EC">
        <w:rPr>
          <w:sz w:val="24"/>
          <w:szCs w:val="24"/>
        </w:rPr>
        <w:t>urmare</w:t>
      </w:r>
      <w:proofErr w:type="spellEnd"/>
      <w:r w:rsidRPr="00CC28EC">
        <w:rPr>
          <w:sz w:val="24"/>
          <w:szCs w:val="24"/>
        </w:rPr>
        <w:t xml:space="preserve"> a </w:t>
      </w:r>
      <w:proofErr w:type="spellStart"/>
      <w:r w:rsidRPr="00CC28EC">
        <w:rPr>
          <w:sz w:val="24"/>
          <w:szCs w:val="24"/>
        </w:rPr>
        <w:t>crizei</w:t>
      </w:r>
      <w:proofErr w:type="spellEnd"/>
      <w:r w:rsidRPr="00CC28EC">
        <w:rPr>
          <w:sz w:val="24"/>
          <w:szCs w:val="24"/>
        </w:rPr>
        <w:t xml:space="preserve"> </w:t>
      </w:r>
      <w:proofErr w:type="spellStart"/>
      <w:r w:rsidRPr="00CC28EC">
        <w:rPr>
          <w:sz w:val="24"/>
          <w:szCs w:val="24"/>
        </w:rPr>
        <w:t>economice</w:t>
      </w:r>
      <w:proofErr w:type="spellEnd"/>
      <w:r w:rsidRPr="00CC28EC">
        <w:rPr>
          <w:sz w:val="24"/>
          <w:szCs w:val="24"/>
        </w:rPr>
        <w:t xml:space="preserve"> din 2009, </w:t>
      </w:r>
      <w:proofErr w:type="spellStart"/>
      <w:r w:rsidRPr="00CC28EC">
        <w:rPr>
          <w:sz w:val="24"/>
          <w:szCs w:val="24"/>
        </w:rPr>
        <w:t>noi</w:t>
      </w:r>
      <w:proofErr w:type="spellEnd"/>
      <w:r w:rsidRPr="00CC28EC">
        <w:rPr>
          <w:sz w:val="24"/>
          <w:szCs w:val="24"/>
        </w:rPr>
        <w:t xml:space="preserve"> ne </w:t>
      </w:r>
      <w:proofErr w:type="spellStart"/>
      <w:r w:rsidRPr="00CC28EC">
        <w:rPr>
          <w:sz w:val="24"/>
          <w:szCs w:val="24"/>
        </w:rPr>
        <w:t>împrumutăm</w:t>
      </w:r>
      <w:proofErr w:type="spellEnd"/>
      <w:r w:rsidRPr="00CC28EC">
        <w:rPr>
          <w:sz w:val="24"/>
          <w:szCs w:val="24"/>
        </w:rPr>
        <w:t xml:space="preserve"> </w:t>
      </w:r>
      <w:proofErr w:type="spellStart"/>
      <w:r w:rsidRPr="00CC28EC">
        <w:rPr>
          <w:sz w:val="24"/>
          <w:szCs w:val="24"/>
        </w:rPr>
        <w:t>masiv</w:t>
      </w:r>
      <w:proofErr w:type="spellEnd"/>
      <w:r w:rsidRPr="00CC28EC">
        <w:rPr>
          <w:sz w:val="24"/>
          <w:szCs w:val="24"/>
        </w:rPr>
        <w:t>,</w:t>
      </w:r>
      <w:r w:rsidR="0059540C" w:rsidRPr="00CC28EC">
        <w:rPr>
          <w:sz w:val="24"/>
          <w:szCs w:val="24"/>
        </w:rPr>
        <w:t xml:space="preserve"> </w:t>
      </w:r>
      <w:proofErr w:type="spellStart"/>
      <w:r w:rsidRPr="00CC28EC">
        <w:rPr>
          <w:sz w:val="24"/>
          <w:szCs w:val="24"/>
        </w:rPr>
        <w:t>costul</w:t>
      </w:r>
      <w:proofErr w:type="spellEnd"/>
      <w:r w:rsidRPr="00CC28EC">
        <w:rPr>
          <w:sz w:val="24"/>
          <w:szCs w:val="24"/>
        </w:rPr>
        <w:t xml:space="preserve"> </w:t>
      </w:r>
      <w:proofErr w:type="spellStart"/>
      <w:r w:rsidRPr="00CC28EC">
        <w:rPr>
          <w:sz w:val="24"/>
          <w:szCs w:val="24"/>
        </w:rPr>
        <w:t>împrumutului</w:t>
      </w:r>
      <w:proofErr w:type="spellEnd"/>
      <w:r w:rsidRPr="00CC28EC">
        <w:rPr>
          <w:sz w:val="24"/>
          <w:szCs w:val="24"/>
        </w:rPr>
        <w:t xml:space="preserve"> </w:t>
      </w:r>
      <w:proofErr w:type="spellStart"/>
      <w:r w:rsidRPr="00CC28EC">
        <w:rPr>
          <w:sz w:val="24"/>
          <w:szCs w:val="24"/>
        </w:rPr>
        <w:t>crește</w:t>
      </w:r>
      <w:proofErr w:type="spellEnd"/>
      <w:r w:rsidRPr="00CC28EC">
        <w:rPr>
          <w:sz w:val="24"/>
          <w:szCs w:val="24"/>
        </w:rPr>
        <w:t xml:space="preserve"> </w:t>
      </w:r>
      <w:proofErr w:type="spellStart"/>
      <w:r w:rsidRPr="00CC28EC">
        <w:rPr>
          <w:sz w:val="24"/>
          <w:szCs w:val="24"/>
        </w:rPr>
        <w:t>vertiginos</w:t>
      </w:r>
      <w:proofErr w:type="spellEnd"/>
      <w:r w:rsidRPr="00CC28EC">
        <w:rPr>
          <w:sz w:val="24"/>
          <w:szCs w:val="24"/>
        </w:rPr>
        <w:t xml:space="preserve">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suntem</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plină</w:t>
      </w:r>
      <w:proofErr w:type="spellEnd"/>
      <w:r w:rsidRPr="00CC28EC">
        <w:rPr>
          <w:sz w:val="24"/>
          <w:szCs w:val="24"/>
        </w:rPr>
        <w:t xml:space="preserve"> </w:t>
      </w:r>
      <w:proofErr w:type="spellStart"/>
      <w:r w:rsidRPr="00CC28EC">
        <w:rPr>
          <w:sz w:val="24"/>
          <w:szCs w:val="24"/>
        </w:rPr>
        <w:t>criză</w:t>
      </w:r>
      <w:proofErr w:type="spellEnd"/>
      <w:r w:rsidRPr="00CC28EC">
        <w:rPr>
          <w:sz w:val="24"/>
          <w:szCs w:val="24"/>
        </w:rPr>
        <w:t xml:space="preserve"> Covid-19. </w:t>
      </w:r>
    </w:p>
    <w:p w14:paraId="631C08E6" w14:textId="4FB046D5" w:rsidR="003B1B18" w:rsidRPr="00CC28EC" w:rsidRDefault="00950DE2" w:rsidP="003B1B18">
      <w:pPr>
        <w:ind w:firstLine="720"/>
        <w:jc w:val="both"/>
        <w:rPr>
          <w:sz w:val="24"/>
          <w:szCs w:val="24"/>
        </w:rPr>
      </w:pPr>
      <w:r w:rsidRPr="00CC28EC">
        <w:rPr>
          <w:sz w:val="24"/>
          <w:szCs w:val="24"/>
        </w:rPr>
        <w:t xml:space="preserve">Deci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șansele</w:t>
      </w:r>
      <w:proofErr w:type="spellEnd"/>
      <w:r w:rsidRPr="00CC28EC">
        <w:rPr>
          <w:sz w:val="24"/>
          <w:szCs w:val="24"/>
        </w:rPr>
        <w:t xml:space="preserve"> ca PIB-ul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crească</w:t>
      </w:r>
      <w:proofErr w:type="spellEnd"/>
      <w:r w:rsidRPr="00CC28EC">
        <w:rPr>
          <w:sz w:val="24"/>
          <w:szCs w:val="24"/>
        </w:rPr>
        <w:t xml:space="preserve"> sunt </w:t>
      </w:r>
      <w:proofErr w:type="spellStart"/>
      <w:r w:rsidRPr="00CC28EC">
        <w:rPr>
          <w:sz w:val="24"/>
          <w:szCs w:val="24"/>
        </w:rPr>
        <w:t>minime</w:t>
      </w:r>
      <w:proofErr w:type="spellEnd"/>
      <w:r w:rsidRPr="00CC28EC">
        <w:rPr>
          <w:sz w:val="24"/>
          <w:szCs w:val="24"/>
        </w:rPr>
        <w:t xml:space="preserve">. </w:t>
      </w:r>
      <w:proofErr w:type="spellStart"/>
      <w:r w:rsidRPr="00CC28EC">
        <w:rPr>
          <w:sz w:val="24"/>
          <w:szCs w:val="24"/>
        </w:rPr>
        <w:t>Încetinirea</w:t>
      </w:r>
      <w:proofErr w:type="spellEnd"/>
      <w:r w:rsidRPr="00CC28EC">
        <w:rPr>
          <w:sz w:val="24"/>
          <w:szCs w:val="24"/>
        </w:rPr>
        <w:t xml:space="preserve"> </w:t>
      </w:r>
      <w:proofErr w:type="spellStart"/>
      <w:r w:rsidRPr="00CC28EC">
        <w:rPr>
          <w:sz w:val="24"/>
          <w:szCs w:val="24"/>
        </w:rPr>
        <w:t>creșterii</w:t>
      </w:r>
      <w:proofErr w:type="spellEnd"/>
      <w:r w:rsidRPr="00CC28EC">
        <w:rPr>
          <w:sz w:val="24"/>
          <w:szCs w:val="24"/>
        </w:rPr>
        <w:t xml:space="preserve"> </w:t>
      </w:r>
      <w:proofErr w:type="spellStart"/>
      <w:r w:rsidRPr="00CC28EC">
        <w:rPr>
          <w:sz w:val="24"/>
          <w:szCs w:val="24"/>
        </w:rPr>
        <w:t>economice</w:t>
      </w:r>
      <w:proofErr w:type="spellEnd"/>
      <w:r w:rsidRPr="00CC28EC">
        <w:rPr>
          <w:sz w:val="24"/>
          <w:szCs w:val="24"/>
        </w:rPr>
        <w:t xml:space="preserve"> </w:t>
      </w:r>
      <w:proofErr w:type="spellStart"/>
      <w:r w:rsidRPr="00CC28EC">
        <w:rPr>
          <w:sz w:val="24"/>
          <w:szCs w:val="24"/>
        </w:rPr>
        <w:t>va</w:t>
      </w:r>
      <w:proofErr w:type="spellEnd"/>
      <w:r w:rsidRPr="00CC28EC">
        <w:rPr>
          <w:sz w:val="24"/>
          <w:szCs w:val="24"/>
        </w:rPr>
        <w:t xml:space="preserve"> majora </w:t>
      </w:r>
      <w:proofErr w:type="spellStart"/>
      <w:r w:rsidRPr="00CC28EC">
        <w:rPr>
          <w:sz w:val="24"/>
          <w:szCs w:val="24"/>
        </w:rPr>
        <w:t>ponderea</w:t>
      </w:r>
      <w:proofErr w:type="spellEnd"/>
      <w:r w:rsidRPr="00CC28EC">
        <w:rPr>
          <w:sz w:val="24"/>
          <w:szCs w:val="24"/>
        </w:rPr>
        <w:t xml:space="preserve"> </w:t>
      </w:r>
      <w:proofErr w:type="spellStart"/>
      <w:r w:rsidRPr="00CC28EC">
        <w:rPr>
          <w:sz w:val="24"/>
          <w:szCs w:val="24"/>
        </w:rPr>
        <w:t>datoriei</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PIB </w:t>
      </w:r>
      <w:proofErr w:type="spellStart"/>
      <w:r w:rsidRPr="00CC28EC">
        <w:rPr>
          <w:sz w:val="24"/>
          <w:szCs w:val="24"/>
        </w:rPr>
        <w:t>și</w:t>
      </w:r>
      <w:proofErr w:type="spellEnd"/>
      <w:r w:rsidRPr="00CC28EC">
        <w:rPr>
          <w:sz w:val="24"/>
          <w:szCs w:val="24"/>
        </w:rPr>
        <w:t xml:space="preserve"> </w:t>
      </w:r>
      <w:proofErr w:type="spellStart"/>
      <w:r w:rsidRPr="00CC28EC">
        <w:rPr>
          <w:sz w:val="24"/>
          <w:szCs w:val="24"/>
        </w:rPr>
        <w:t>va</w:t>
      </w:r>
      <w:proofErr w:type="spellEnd"/>
      <w:r w:rsidRPr="00CC28EC">
        <w:rPr>
          <w:sz w:val="24"/>
          <w:szCs w:val="24"/>
        </w:rPr>
        <w:t xml:space="preserve"> </w:t>
      </w:r>
      <w:proofErr w:type="spellStart"/>
      <w:r w:rsidRPr="00CC28EC">
        <w:rPr>
          <w:sz w:val="24"/>
          <w:szCs w:val="24"/>
        </w:rPr>
        <w:t>determina</w:t>
      </w:r>
      <w:proofErr w:type="spellEnd"/>
      <w:r w:rsidRPr="00CC28EC">
        <w:rPr>
          <w:sz w:val="24"/>
          <w:szCs w:val="24"/>
        </w:rPr>
        <w:t xml:space="preserve"> </w:t>
      </w:r>
      <w:proofErr w:type="spellStart"/>
      <w:r w:rsidRPr="00CC28EC">
        <w:rPr>
          <w:sz w:val="24"/>
          <w:szCs w:val="24"/>
        </w:rPr>
        <w:t>creșterea</w:t>
      </w:r>
      <w:proofErr w:type="spellEnd"/>
      <w:r w:rsidRPr="00CC28EC">
        <w:rPr>
          <w:sz w:val="24"/>
          <w:szCs w:val="24"/>
        </w:rPr>
        <w:t xml:space="preserve"> </w:t>
      </w:r>
      <w:proofErr w:type="spellStart"/>
      <w:r w:rsidRPr="00CC28EC">
        <w:rPr>
          <w:sz w:val="24"/>
          <w:szCs w:val="24"/>
        </w:rPr>
        <w:t>cheltuielilor</w:t>
      </w:r>
      <w:proofErr w:type="spellEnd"/>
      <w:r w:rsidRPr="00CC28EC">
        <w:rPr>
          <w:sz w:val="24"/>
          <w:szCs w:val="24"/>
        </w:rPr>
        <w:t xml:space="preserve"> </w:t>
      </w:r>
      <w:proofErr w:type="spellStart"/>
      <w:r w:rsidRPr="00CC28EC">
        <w:rPr>
          <w:sz w:val="24"/>
          <w:szCs w:val="24"/>
        </w:rPr>
        <w:t>bugetului</w:t>
      </w:r>
      <w:proofErr w:type="spellEnd"/>
      <w:r w:rsidRPr="00CC28EC">
        <w:rPr>
          <w:sz w:val="24"/>
          <w:szCs w:val="24"/>
        </w:rPr>
        <w:t xml:space="preserve"> de stat.</w:t>
      </w:r>
      <w:r w:rsidR="003B1B18" w:rsidRPr="00CC28EC">
        <w:rPr>
          <w:sz w:val="24"/>
          <w:szCs w:val="24"/>
        </w:rPr>
        <w:t xml:space="preserve"> </w:t>
      </w:r>
      <w:proofErr w:type="spellStart"/>
      <w:r w:rsidRPr="00CC28EC">
        <w:rPr>
          <w:sz w:val="24"/>
          <w:szCs w:val="24"/>
        </w:rPr>
        <w:t>Const</w:t>
      </w:r>
      <w:r w:rsidR="003B1B18" w:rsidRPr="00CC28EC">
        <w:rPr>
          <w:sz w:val="24"/>
          <w:szCs w:val="24"/>
        </w:rPr>
        <w:t>at</w:t>
      </w:r>
      <w:r w:rsidRPr="00CC28EC">
        <w:rPr>
          <w:sz w:val="24"/>
          <w:szCs w:val="24"/>
        </w:rPr>
        <w:t>ăm</w:t>
      </w:r>
      <w:proofErr w:type="spellEnd"/>
      <w:r w:rsidRPr="00CC28EC">
        <w:rPr>
          <w:sz w:val="24"/>
          <w:szCs w:val="24"/>
        </w:rPr>
        <w:t xml:space="preserve"> </w:t>
      </w:r>
      <w:proofErr w:type="spellStart"/>
      <w:r w:rsidRPr="00CC28EC">
        <w:rPr>
          <w:sz w:val="24"/>
          <w:szCs w:val="24"/>
        </w:rPr>
        <w:t>faptul</w:t>
      </w:r>
      <w:proofErr w:type="spellEnd"/>
      <w:r w:rsidRPr="00CC28EC">
        <w:rPr>
          <w:sz w:val="24"/>
          <w:szCs w:val="24"/>
        </w:rPr>
        <w:t xml:space="preserve"> </w:t>
      </w:r>
      <w:proofErr w:type="spellStart"/>
      <w:r w:rsidRPr="00CC28EC">
        <w:rPr>
          <w:sz w:val="24"/>
          <w:szCs w:val="24"/>
        </w:rPr>
        <w:t>că</w:t>
      </w:r>
      <w:proofErr w:type="spellEnd"/>
      <w:r w:rsidRPr="00CC28EC">
        <w:rPr>
          <w:sz w:val="24"/>
          <w:szCs w:val="24"/>
        </w:rPr>
        <w:t xml:space="preserve"> </w:t>
      </w:r>
      <w:proofErr w:type="spellStart"/>
      <w:r w:rsidRPr="00CC28EC">
        <w:rPr>
          <w:sz w:val="24"/>
          <w:szCs w:val="24"/>
        </w:rPr>
        <w:t>urmărind</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respectăm</w:t>
      </w:r>
      <w:proofErr w:type="spellEnd"/>
      <w:r w:rsidRPr="00CC28EC">
        <w:rPr>
          <w:sz w:val="24"/>
          <w:szCs w:val="24"/>
        </w:rPr>
        <w:t xml:space="preserve"> </w:t>
      </w:r>
      <w:proofErr w:type="spellStart"/>
      <w:r w:rsidRPr="00CC28EC">
        <w:rPr>
          <w:sz w:val="24"/>
          <w:szCs w:val="24"/>
        </w:rPr>
        <w:t>acel</w:t>
      </w:r>
      <w:proofErr w:type="spellEnd"/>
      <w:r w:rsidRPr="00CC28EC">
        <w:rPr>
          <w:sz w:val="24"/>
          <w:szCs w:val="24"/>
        </w:rPr>
        <w:t xml:space="preserve"> </w:t>
      </w:r>
      <w:proofErr w:type="spellStart"/>
      <w:r w:rsidRPr="00CC28EC">
        <w:rPr>
          <w:sz w:val="24"/>
          <w:szCs w:val="24"/>
        </w:rPr>
        <w:t>procent</w:t>
      </w:r>
      <w:proofErr w:type="spellEnd"/>
      <w:r w:rsidRPr="00CC28EC">
        <w:rPr>
          <w:sz w:val="24"/>
          <w:szCs w:val="24"/>
        </w:rPr>
        <w:t xml:space="preserve"> de </w:t>
      </w:r>
      <w:proofErr w:type="spellStart"/>
      <w:r w:rsidRPr="00CC28EC">
        <w:rPr>
          <w:sz w:val="24"/>
          <w:szCs w:val="24"/>
        </w:rPr>
        <w:t>îndatorare</w:t>
      </w:r>
      <w:proofErr w:type="spellEnd"/>
      <w:r w:rsidRPr="00CC28EC">
        <w:rPr>
          <w:sz w:val="24"/>
          <w:szCs w:val="24"/>
        </w:rPr>
        <w:t xml:space="preserve"> din PIB, ne-am </w:t>
      </w:r>
      <w:proofErr w:type="spellStart"/>
      <w:r w:rsidRPr="00CC28EC">
        <w:rPr>
          <w:sz w:val="24"/>
          <w:szCs w:val="24"/>
        </w:rPr>
        <w:t>împrumutat</w:t>
      </w:r>
      <w:proofErr w:type="spellEnd"/>
      <w:r w:rsidRPr="00CC28EC">
        <w:rPr>
          <w:sz w:val="24"/>
          <w:szCs w:val="24"/>
        </w:rPr>
        <w:t xml:space="preserve"> </w:t>
      </w:r>
      <w:proofErr w:type="spellStart"/>
      <w:r w:rsidRPr="00CC28EC">
        <w:rPr>
          <w:sz w:val="24"/>
          <w:szCs w:val="24"/>
        </w:rPr>
        <w:t>înainte</w:t>
      </w:r>
      <w:proofErr w:type="spellEnd"/>
      <w:r w:rsidRPr="00CC28EC">
        <w:rPr>
          <w:sz w:val="24"/>
          <w:szCs w:val="24"/>
        </w:rPr>
        <w:t xml:space="preserve"> ca PIB-ul </w:t>
      </w:r>
      <w:proofErr w:type="spellStart"/>
      <w:r w:rsidRPr="00CC28EC">
        <w:rPr>
          <w:sz w:val="24"/>
          <w:szCs w:val="24"/>
        </w:rPr>
        <w:t>să</w:t>
      </w:r>
      <w:proofErr w:type="spellEnd"/>
      <w:r w:rsidRPr="00CC28EC">
        <w:rPr>
          <w:sz w:val="24"/>
          <w:szCs w:val="24"/>
        </w:rPr>
        <w:t xml:space="preserve"> </w:t>
      </w:r>
      <w:proofErr w:type="spellStart"/>
      <w:r w:rsidRPr="00CC28EC">
        <w:rPr>
          <w:sz w:val="24"/>
          <w:szCs w:val="24"/>
        </w:rPr>
        <w:t>crească</w:t>
      </w:r>
      <w:proofErr w:type="spellEnd"/>
      <w:r w:rsidRPr="00CC28EC">
        <w:rPr>
          <w:sz w:val="24"/>
          <w:szCs w:val="24"/>
        </w:rPr>
        <w:t xml:space="preserve">, </w:t>
      </w:r>
      <w:proofErr w:type="spellStart"/>
      <w:r w:rsidRPr="00CC28EC">
        <w:rPr>
          <w:sz w:val="24"/>
          <w:szCs w:val="24"/>
        </w:rPr>
        <w:t>înainte</w:t>
      </w:r>
      <w:proofErr w:type="spellEnd"/>
      <w:r w:rsidRPr="00CC28EC">
        <w:rPr>
          <w:sz w:val="24"/>
          <w:szCs w:val="24"/>
        </w:rPr>
        <w:t xml:space="preserve"> ca </w:t>
      </w:r>
      <w:proofErr w:type="spellStart"/>
      <w:r w:rsidRPr="00CC28EC">
        <w:rPr>
          <w:sz w:val="24"/>
          <w:szCs w:val="24"/>
        </w:rPr>
        <w:t>această</w:t>
      </w:r>
      <w:proofErr w:type="spellEnd"/>
      <w:r w:rsidRPr="00CC28EC">
        <w:rPr>
          <w:sz w:val="24"/>
          <w:szCs w:val="24"/>
        </w:rPr>
        <w:t xml:space="preserve"> </w:t>
      </w:r>
      <w:proofErr w:type="spellStart"/>
      <w:r w:rsidRPr="00CC28EC">
        <w:rPr>
          <w:sz w:val="24"/>
          <w:szCs w:val="24"/>
        </w:rPr>
        <w:t>creștere</w:t>
      </w:r>
      <w:proofErr w:type="spellEnd"/>
      <w:r w:rsidRPr="00CC28EC">
        <w:rPr>
          <w:sz w:val="24"/>
          <w:szCs w:val="24"/>
        </w:rPr>
        <w:t xml:space="preserve"> </w:t>
      </w:r>
      <w:proofErr w:type="spellStart"/>
      <w:r w:rsidRPr="00CC28EC">
        <w:rPr>
          <w:sz w:val="24"/>
          <w:szCs w:val="24"/>
        </w:rPr>
        <w:t>să</w:t>
      </w:r>
      <w:proofErr w:type="spellEnd"/>
      <w:r w:rsidRPr="00CC28EC">
        <w:rPr>
          <w:sz w:val="24"/>
          <w:szCs w:val="24"/>
        </w:rPr>
        <w:t xml:space="preserve"> se </w:t>
      </w:r>
      <w:proofErr w:type="spellStart"/>
      <w:r w:rsidRPr="00CC28EC">
        <w:rPr>
          <w:sz w:val="24"/>
          <w:szCs w:val="24"/>
        </w:rPr>
        <w:t>regăsească</w:t>
      </w:r>
      <w:proofErr w:type="spellEnd"/>
      <w:r w:rsidRPr="00CC28EC">
        <w:rPr>
          <w:sz w:val="24"/>
          <w:szCs w:val="24"/>
        </w:rPr>
        <w:t xml:space="preserve"> </w:t>
      </w:r>
      <w:proofErr w:type="spellStart"/>
      <w:r w:rsidR="0059540C" w:rsidRPr="00CC28EC">
        <w:rPr>
          <w:sz w:val="24"/>
          <w:szCs w:val="24"/>
        </w:rPr>
        <w:t>ș</w:t>
      </w:r>
      <w:r w:rsidRPr="00CC28EC">
        <w:rPr>
          <w:sz w:val="24"/>
          <w:szCs w:val="24"/>
        </w:rPr>
        <w:t>i</w:t>
      </w:r>
      <w:proofErr w:type="spellEnd"/>
      <w:r w:rsidRPr="00CC28EC">
        <w:rPr>
          <w:sz w:val="24"/>
          <w:szCs w:val="24"/>
        </w:rPr>
        <w:t xml:space="preserve"> </w:t>
      </w:r>
      <w:proofErr w:type="spellStart"/>
      <w:r w:rsidRPr="00CC28EC">
        <w:rPr>
          <w:sz w:val="24"/>
          <w:szCs w:val="24"/>
        </w:rPr>
        <w:t>în</w:t>
      </w:r>
      <w:proofErr w:type="spellEnd"/>
      <w:r w:rsidRPr="00CC28EC">
        <w:rPr>
          <w:sz w:val="24"/>
          <w:szCs w:val="24"/>
        </w:rPr>
        <w:t xml:space="preserve"> </w:t>
      </w:r>
      <w:proofErr w:type="spellStart"/>
      <w:r w:rsidRPr="00CC28EC">
        <w:rPr>
          <w:sz w:val="24"/>
          <w:szCs w:val="24"/>
        </w:rPr>
        <w:t>economia</w:t>
      </w:r>
      <w:proofErr w:type="spellEnd"/>
      <w:r w:rsidRPr="00CC28EC">
        <w:rPr>
          <w:sz w:val="24"/>
          <w:szCs w:val="24"/>
        </w:rPr>
        <w:t xml:space="preserve"> </w:t>
      </w:r>
      <w:proofErr w:type="spellStart"/>
      <w:r w:rsidRPr="00CC28EC">
        <w:rPr>
          <w:sz w:val="24"/>
          <w:szCs w:val="24"/>
        </w:rPr>
        <w:t>reală.</w:t>
      </w:r>
      <w:r w:rsidR="003B1B18" w:rsidRPr="00CC28EC">
        <w:rPr>
          <w:sz w:val="24"/>
          <w:szCs w:val="24"/>
        </w:rPr>
        <w:t>Datoria</w:t>
      </w:r>
      <w:proofErr w:type="spellEnd"/>
      <w:r w:rsidR="003B1B18" w:rsidRPr="00CC28EC">
        <w:rPr>
          <w:sz w:val="24"/>
          <w:szCs w:val="24"/>
        </w:rPr>
        <w:t xml:space="preserve"> </w:t>
      </w:r>
      <w:proofErr w:type="spellStart"/>
      <w:r w:rsidR="003B1B18" w:rsidRPr="00CC28EC">
        <w:rPr>
          <w:sz w:val="24"/>
          <w:szCs w:val="24"/>
        </w:rPr>
        <w:t>crește</w:t>
      </w:r>
      <w:proofErr w:type="spellEnd"/>
      <w:r w:rsidR="003B1B18" w:rsidRPr="00CC28EC">
        <w:rPr>
          <w:sz w:val="24"/>
          <w:szCs w:val="24"/>
        </w:rPr>
        <w:t xml:space="preserve"> </w:t>
      </w:r>
      <w:proofErr w:type="spellStart"/>
      <w:r w:rsidR="003B1B18" w:rsidRPr="00CC28EC">
        <w:rPr>
          <w:sz w:val="24"/>
          <w:szCs w:val="24"/>
        </w:rPr>
        <w:t>într</w:t>
      </w:r>
      <w:proofErr w:type="spellEnd"/>
      <w:r w:rsidR="003B1B18" w:rsidRPr="00CC28EC">
        <w:rPr>
          <w:sz w:val="24"/>
          <w:szCs w:val="24"/>
        </w:rPr>
        <w:t xml:space="preserve">-un </w:t>
      </w:r>
      <w:proofErr w:type="spellStart"/>
      <w:r w:rsidR="00B37530" w:rsidRPr="00CC28EC">
        <w:rPr>
          <w:sz w:val="24"/>
          <w:szCs w:val="24"/>
        </w:rPr>
        <w:t>r</w:t>
      </w:r>
      <w:r w:rsidR="003B1B18" w:rsidRPr="00CC28EC">
        <w:rPr>
          <w:sz w:val="24"/>
          <w:szCs w:val="24"/>
        </w:rPr>
        <w:t>itm</w:t>
      </w:r>
      <w:proofErr w:type="spellEnd"/>
      <w:r w:rsidR="00B37530" w:rsidRPr="00CC28EC">
        <w:rPr>
          <w:sz w:val="24"/>
          <w:szCs w:val="24"/>
        </w:rPr>
        <w:t xml:space="preserve"> </w:t>
      </w:r>
      <w:proofErr w:type="spellStart"/>
      <w:r w:rsidR="003B1B18" w:rsidRPr="00CC28EC">
        <w:rPr>
          <w:sz w:val="24"/>
          <w:szCs w:val="24"/>
        </w:rPr>
        <w:t>mai</w:t>
      </w:r>
      <w:proofErr w:type="spellEnd"/>
      <w:r w:rsidR="003B1B18" w:rsidRPr="00CC28EC">
        <w:rPr>
          <w:sz w:val="24"/>
          <w:szCs w:val="24"/>
        </w:rPr>
        <w:t xml:space="preserve"> </w:t>
      </w:r>
      <w:proofErr w:type="spellStart"/>
      <w:r w:rsidR="003B1B18" w:rsidRPr="00CC28EC">
        <w:rPr>
          <w:sz w:val="24"/>
          <w:szCs w:val="24"/>
        </w:rPr>
        <w:t>accelerat</w:t>
      </w:r>
      <w:proofErr w:type="spellEnd"/>
      <w:r w:rsidR="003B1B18" w:rsidRPr="00CC28EC">
        <w:rPr>
          <w:sz w:val="24"/>
          <w:szCs w:val="24"/>
        </w:rPr>
        <w:t xml:space="preserve"> </w:t>
      </w:r>
      <w:proofErr w:type="spellStart"/>
      <w:r w:rsidR="003B1B18" w:rsidRPr="00CC28EC">
        <w:rPr>
          <w:sz w:val="24"/>
          <w:szCs w:val="24"/>
        </w:rPr>
        <w:t>decât</w:t>
      </w:r>
      <w:proofErr w:type="spellEnd"/>
      <w:r w:rsidR="003B1B18" w:rsidRPr="00CC28EC">
        <w:rPr>
          <w:sz w:val="24"/>
          <w:szCs w:val="24"/>
        </w:rPr>
        <w:t xml:space="preserve"> </w:t>
      </w:r>
      <w:proofErr w:type="spellStart"/>
      <w:r w:rsidR="003B1B18" w:rsidRPr="00CC28EC">
        <w:rPr>
          <w:sz w:val="24"/>
          <w:szCs w:val="24"/>
        </w:rPr>
        <w:t>PIB.În</w:t>
      </w:r>
      <w:proofErr w:type="spellEnd"/>
      <w:r w:rsidR="003B1B18" w:rsidRPr="00CC28EC">
        <w:rPr>
          <w:sz w:val="24"/>
          <w:szCs w:val="24"/>
        </w:rPr>
        <w:t xml:space="preserve"> final </w:t>
      </w:r>
      <w:proofErr w:type="spellStart"/>
      <w:r w:rsidR="003B1B18" w:rsidRPr="00CC28EC">
        <w:rPr>
          <w:sz w:val="24"/>
          <w:szCs w:val="24"/>
        </w:rPr>
        <w:t>problematica</w:t>
      </w:r>
      <w:proofErr w:type="spellEnd"/>
      <w:r w:rsidR="003B1B18" w:rsidRPr="00CC28EC">
        <w:rPr>
          <w:sz w:val="24"/>
          <w:szCs w:val="24"/>
        </w:rPr>
        <w:t xml:space="preserve"> </w:t>
      </w:r>
      <w:proofErr w:type="spellStart"/>
      <w:r w:rsidR="003B1B18" w:rsidRPr="00CC28EC">
        <w:rPr>
          <w:sz w:val="24"/>
          <w:szCs w:val="24"/>
        </w:rPr>
        <w:t>datoriei</w:t>
      </w:r>
      <w:proofErr w:type="spellEnd"/>
      <w:r w:rsidR="003B1B18" w:rsidRPr="00CC28EC">
        <w:rPr>
          <w:sz w:val="24"/>
          <w:szCs w:val="24"/>
        </w:rPr>
        <w:t xml:space="preserve"> </w:t>
      </w:r>
      <w:proofErr w:type="spellStart"/>
      <w:r w:rsidR="003B1B18" w:rsidRPr="00CC28EC">
        <w:rPr>
          <w:sz w:val="24"/>
          <w:szCs w:val="24"/>
        </w:rPr>
        <w:t>publice</w:t>
      </w:r>
      <w:proofErr w:type="spellEnd"/>
      <w:r w:rsidR="003B1B18" w:rsidRPr="00CC28EC">
        <w:rPr>
          <w:sz w:val="24"/>
          <w:szCs w:val="24"/>
        </w:rPr>
        <w:t xml:space="preserve"> din </w:t>
      </w:r>
      <w:proofErr w:type="spellStart"/>
      <w:r w:rsidR="003B1B18" w:rsidRPr="00CC28EC">
        <w:rPr>
          <w:sz w:val="24"/>
          <w:szCs w:val="24"/>
        </w:rPr>
        <w:t>România</w:t>
      </w:r>
      <w:proofErr w:type="spellEnd"/>
      <w:r w:rsidR="003B1B18" w:rsidRPr="00CC28EC">
        <w:rPr>
          <w:sz w:val="24"/>
          <w:szCs w:val="24"/>
        </w:rPr>
        <w:t xml:space="preserve"> se </w:t>
      </w:r>
      <w:proofErr w:type="spellStart"/>
      <w:r w:rsidR="003B1B18" w:rsidRPr="00CC28EC">
        <w:rPr>
          <w:sz w:val="24"/>
          <w:szCs w:val="24"/>
        </w:rPr>
        <w:t>referă</w:t>
      </w:r>
      <w:proofErr w:type="spellEnd"/>
      <w:r w:rsidR="003B1B18" w:rsidRPr="00CC28EC">
        <w:rPr>
          <w:sz w:val="24"/>
          <w:szCs w:val="24"/>
        </w:rPr>
        <w:t xml:space="preserve"> la </w:t>
      </w:r>
      <w:proofErr w:type="spellStart"/>
      <w:r w:rsidR="003B1B18" w:rsidRPr="00CC28EC">
        <w:rPr>
          <w:sz w:val="24"/>
          <w:szCs w:val="24"/>
        </w:rPr>
        <w:t>sustenabilitate.În</w:t>
      </w:r>
      <w:proofErr w:type="spellEnd"/>
      <w:r w:rsidR="003B1B18" w:rsidRPr="00CC28EC">
        <w:rPr>
          <w:sz w:val="24"/>
          <w:szCs w:val="24"/>
        </w:rPr>
        <w:t xml:space="preserve"> </w:t>
      </w:r>
      <w:proofErr w:type="spellStart"/>
      <w:r w:rsidR="003B1B18" w:rsidRPr="00CC28EC">
        <w:rPr>
          <w:sz w:val="24"/>
          <w:szCs w:val="24"/>
        </w:rPr>
        <w:t>condițiile</w:t>
      </w:r>
      <w:proofErr w:type="spellEnd"/>
      <w:r w:rsidR="003B1B18" w:rsidRPr="00CC28EC">
        <w:rPr>
          <w:sz w:val="24"/>
          <w:szCs w:val="24"/>
        </w:rPr>
        <w:t xml:space="preserve"> </w:t>
      </w:r>
      <w:proofErr w:type="spellStart"/>
      <w:r w:rsidR="003B1B18" w:rsidRPr="00CC28EC">
        <w:rPr>
          <w:sz w:val="24"/>
          <w:szCs w:val="24"/>
        </w:rPr>
        <w:t>acestui</w:t>
      </w:r>
      <w:proofErr w:type="spellEnd"/>
      <w:r w:rsidR="003B1B18" w:rsidRPr="00CC28EC">
        <w:rPr>
          <w:sz w:val="24"/>
          <w:szCs w:val="24"/>
        </w:rPr>
        <w:t xml:space="preserve"> PIB, </w:t>
      </w:r>
      <w:proofErr w:type="spellStart"/>
      <w:r w:rsidR="003B1B18" w:rsidRPr="00CC28EC">
        <w:rPr>
          <w:sz w:val="24"/>
          <w:szCs w:val="24"/>
        </w:rPr>
        <w:t>este</w:t>
      </w:r>
      <w:proofErr w:type="spellEnd"/>
      <w:r w:rsidR="003B1B18" w:rsidRPr="00CC28EC">
        <w:rPr>
          <w:sz w:val="24"/>
          <w:szCs w:val="24"/>
        </w:rPr>
        <w:t xml:space="preserve"> </w:t>
      </w:r>
      <w:proofErr w:type="spellStart"/>
      <w:r w:rsidR="003B1B18" w:rsidRPr="00CC28EC">
        <w:rPr>
          <w:sz w:val="24"/>
          <w:szCs w:val="24"/>
        </w:rPr>
        <w:t>sustenabilă</w:t>
      </w:r>
      <w:proofErr w:type="spellEnd"/>
      <w:r w:rsidR="003B1B18" w:rsidRPr="00CC28EC">
        <w:rPr>
          <w:sz w:val="24"/>
          <w:szCs w:val="24"/>
        </w:rPr>
        <w:t xml:space="preserve"> </w:t>
      </w:r>
      <w:proofErr w:type="spellStart"/>
      <w:r w:rsidR="003B1B18" w:rsidRPr="00CC28EC">
        <w:rPr>
          <w:sz w:val="24"/>
          <w:szCs w:val="24"/>
        </w:rPr>
        <w:t>datoria</w:t>
      </w:r>
      <w:proofErr w:type="spellEnd"/>
      <w:r w:rsidR="003B1B18" w:rsidRPr="00CC28EC">
        <w:rPr>
          <w:sz w:val="24"/>
          <w:szCs w:val="24"/>
        </w:rPr>
        <w:t xml:space="preserve"> </w:t>
      </w:r>
      <w:proofErr w:type="spellStart"/>
      <w:r w:rsidR="003B1B18" w:rsidRPr="00CC28EC">
        <w:rPr>
          <w:sz w:val="24"/>
          <w:szCs w:val="24"/>
        </w:rPr>
        <w:t>publică</w:t>
      </w:r>
      <w:proofErr w:type="spellEnd"/>
      <w:r w:rsidR="003B1B18" w:rsidRPr="00CC28EC">
        <w:rPr>
          <w:sz w:val="24"/>
          <w:szCs w:val="24"/>
        </w:rPr>
        <w:t xml:space="preserve"> a </w:t>
      </w:r>
      <w:proofErr w:type="spellStart"/>
      <w:r w:rsidR="003B1B18" w:rsidRPr="00CC28EC">
        <w:rPr>
          <w:sz w:val="24"/>
          <w:szCs w:val="24"/>
        </w:rPr>
        <w:t>României</w:t>
      </w:r>
      <w:proofErr w:type="spellEnd"/>
      <w:r w:rsidR="003B1B18" w:rsidRPr="00CC28EC">
        <w:rPr>
          <w:sz w:val="24"/>
          <w:szCs w:val="24"/>
        </w:rPr>
        <w:t>?.</w:t>
      </w:r>
    </w:p>
    <w:p w14:paraId="4D8B0367" w14:textId="3512ED90" w:rsidR="00AF5FC5" w:rsidRPr="00CC28EC" w:rsidRDefault="00AF5FC5" w:rsidP="006B78B7">
      <w:pPr>
        <w:ind w:firstLine="720"/>
        <w:jc w:val="both"/>
        <w:rPr>
          <w:sz w:val="24"/>
          <w:szCs w:val="24"/>
        </w:rPr>
      </w:pPr>
      <w:r w:rsidRPr="00CC28EC">
        <w:rPr>
          <w:sz w:val="24"/>
          <w:szCs w:val="24"/>
        </w:rPr>
        <w:t xml:space="preserve">Din </w:t>
      </w:r>
      <w:proofErr w:type="spellStart"/>
      <w:r w:rsidR="00B54C24" w:rsidRPr="00CC28EC">
        <w:rPr>
          <w:sz w:val="24"/>
          <w:szCs w:val="24"/>
        </w:rPr>
        <w:t>a</w:t>
      </w:r>
      <w:r w:rsidRPr="00CC28EC">
        <w:rPr>
          <w:sz w:val="24"/>
          <w:szCs w:val="24"/>
        </w:rPr>
        <w:t>naliza</w:t>
      </w:r>
      <w:proofErr w:type="spellEnd"/>
      <w:r w:rsidRPr="00CC28EC">
        <w:rPr>
          <w:sz w:val="24"/>
          <w:szCs w:val="24"/>
        </w:rPr>
        <w:t xml:space="preserve"> </w:t>
      </w:r>
      <w:proofErr w:type="spellStart"/>
      <w:r w:rsidR="00BD091D" w:rsidRPr="00CC28EC">
        <w:rPr>
          <w:sz w:val="24"/>
          <w:szCs w:val="24"/>
        </w:rPr>
        <w:t>datelor</w:t>
      </w:r>
      <w:proofErr w:type="spellEnd"/>
      <w:r w:rsidR="00BD091D" w:rsidRPr="00CC28EC">
        <w:rPr>
          <w:sz w:val="24"/>
          <w:szCs w:val="24"/>
        </w:rPr>
        <w:t xml:space="preserve"> </w:t>
      </w:r>
      <w:proofErr w:type="spellStart"/>
      <w:r w:rsidR="00BD091D" w:rsidRPr="00CC28EC">
        <w:rPr>
          <w:sz w:val="24"/>
          <w:szCs w:val="24"/>
        </w:rPr>
        <w:t>prezentate</w:t>
      </w:r>
      <w:proofErr w:type="spellEnd"/>
      <w:r w:rsidR="00BD091D" w:rsidRPr="00CC28EC">
        <w:rPr>
          <w:sz w:val="24"/>
          <w:szCs w:val="24"/>
        </w:rPr>
        <w:t xml:space="preserve"> </w:t>
      </w:r>
      <w:proofErr w:type="spellStart"/>
      <w:r w:rsidR="00BD091D" w:rsidRPr="00CC28EC">
        <w:rPr>
          <w:sz w:val="24"/>
          <w:szCs w:val="24"/>
        </w:rPr>
        <w:t>în</w:t>
      </w:r>
      <w:proofErr w:type="spellEnd"/>
      <w:r w:rsidR="00BD091D" w:rsidRPr="00CC28EC">
        <w:rPr>
          <w:sz w:val="24"/>
          <w:szCs w:val="24"/>
        </w:rPr>
        <w:t xml:space="preserve"> </w:t>
      </w:r>
      <w:proofErr w:type="spellStart"/>
      <w:r w:rsidRPr="00CC28EC">
        <w:rPr>
          <w:sz w:val="24"/>
          <w:szCs w:val="24"/>
        </w:rPr>
        <w:t>tabele</w:t>
      </w:r>
      <w:proofErr w:type="spellEnd"/>
      <w:r w:rsidRPr="00CC28EC">
        <w:rPr>
          <w:sz w:val="24"/>
          <w:szCs w:val="24"/>
        </w:rPr>
        <w:t xml:space="preserve">, </w:t>
      </w:r>
      <w:proofErr w:type="spellStart"/>
      <w:r w:rsidRPr="00CC28EC">
        <w:rPr>
          <w:sz w:val="24"/>
          <w:szCs w:val="24"/>
        </w:rPr>
        <w:t>putem</w:t>
      </w:r>
      <w:proofErr w:type="spellEnd"/>
      <w:r w:rsidRPr="00CC28EC">
        <w:rPr>
          <w:sz w:val="24"/>
          <w:szCs w:val="24"/>
        </w:rPr>
        <w:t xml:space="preserve"> </w:t>
      </w:r>
      <w:proofErr w:type="spellStart"/>
      <w:r w:rsidR="00BD091D" w:rsidRPr="00CC28EC">
        <w:rPr>
          <w:sz w:val="24"/>
          <w:szCs w:val="24"/>
        </w:rPr>
        <w:t>trage</w:t>
      </w:r>
      <w:proofErr w:type="spellEnd"/>
      <w:r w:rsidR="00BD091D" w:rsidRPr="00CC28EC">
        <w:rPr>
          <w:sz w:val="24"/>
          <w:szCs w:val="24"/>
        </w:rPr>
        <w:t xml:space="preserve"> </w:t>
      </w:r>
      <w:proofErr w:type="spellStart"/>
      <w:r w:rsidR="00BD091D" w:rsidRPr="00CC28EC">
        <w:rPr>
          <w:sz w:val="24"/>
          <w:szCs w:val="24"/>
        </w:rPr>
        <w:t>următoarele</w:t>
      </w:r>
      <w:proofErr w:type="spellEnd"/>
      <w:r w:rsidR="00BD091D" w:rsidRPr="00CC28EC">
        <w:rPr>
          <w:sz w:val="24"/>
          <w:szCs w:val="24"/>
        </w:rPr>
        <w:t xml:space="preserve"> </w:t>
      </w:r>
      <w:proofErr w:type="spellStart"/>
      <w:r w:rsidR="00BD091D" w:rsidRPr="00CC28EC">
        <w:rPr>
          <w:sz w:val="24"/>
          <w:szCs w:val="24"/>
        </w:rPr>
        <w:t>concluzii</w:t>
      </w:r>
      <w:proofErr w:type="spellEnd"/>
      <w:r w:rsidRPr="00CC28EC">
        <w:rPr>
          <w:sz w:val="24"/>
          <w:szCs w:val="24"/>
        </w:rPr>
        <w:t>:</w:t>
      </w:r>
    </w:p>
    <w:p w14:paraId="55E2B30C" w14:textId="5909D2FE" w:rsidR="00AF5FC5" w:rsidRPr="00CC28EC" w:rsidRDefault="00AF5FC5" w:rsidP="006B78B7">
      <w:pPr>
        <w:jc w:val="both"/>
        <w:rPr>
          <w:sz w:val="24"/>
          <w:szCs w:val="24"/>
          <w:lang w:eastAsia="pl-PL"/>
        </w:rPr>
      </w:pPr>
      <w:r w:rsidRPr="00CC28EC">
        <w:rPr>
          <w:sz w:val="24"/>
          <w:szCs w:val="24"/>
        </w:rPr>
        <w:t xml:space="preserve">- </w:t>
      </w:r>
      <w:r w:rsidRPr="00CC28EC">
        <w:rPr>
          <w:sz w:val="24"/>
          <w:szCs w:val="24"/>
          <w:lang w:eastAsia="pl-PL"/>
        </w:rPr>
        <w:t xml:space="preserve">din 2015 </w:t>
      </w:r>
      <w:proofErr w:type="spellStart"/>
      <w:r w:rsidRPr="00CC28EC">
        <w:rPr>
          <w:sz w:val="24"/>
          <w:szCs w:val="24"/>
          <w:lang w:eastAsia="pl-PL"/>
        </w:rPr>
        <w:t>până</w:t>
      </w:r>
      <w:proofErr w:type="spellEnd"/>
      <w:r w:rsidRPr="00CC28EC">
        <w:rPr>
          <w:sz w:val="24"/>
          <w:szCs w:val="24"/>
          <w:lang w:eastAsia="pl-PL"/>
        </w:rPr>
        <w:t xml:space="preserve"> </w:t>
      </w:r>
      <w:r w:rsidR="0059540C" w:rsidRPr="00CC28EC">
        <w:rPr>
          <w:sz w:val="24"/>
          <w:szCs w:val="24"/>
          <w:lang w:eastAsia="pl-PL"/>
        </w:rPr>
        <w:t>la 30.06.</w:t>
      </w:r>
      <w:r w:rsidRPr="00CC28EC">
        <w:rPr>
          <w:sz w:val="24"/>
          <w:szCs w:val="24"/>
          <w:lang w:eastAsia="pl-PL"/>
        </w:rPr>
        <w:t xml:space="preserve"> 20</w:t>
      </w:r>
      <w:r w:rsidR="0059540C" w:rsidRPr="00CC28EC">
        <w:rPr>
          <w:sz w:val="24"/>
          <w:szCs w:val="24"/>
          <w:lang w:eastAsia="pl-PL"/>
        </w:rPr>
        <w:t>21</w:t>
      </w:r>
      <w:r w:rsidRPr="00CC28EC">
        <w:rPr>
          <w:sz w:val="24"/>
          <w:szCs w:val="24"/>
          <w:lang w:eastAsia="pl-PL"/>
        </w:rPr>
        <w:t xml:space="preserve">, </w:t>
      </w:r>
      <w:proofErr w:type="spellStart"/>
      <w:r w:rsidR="0059540C" w:rsidRPr="00CC28EC">
        <w:rPr>
          <w:sz w:val="24"/>
          <w:szCs w:val="24"/>
          <w:lang w:eastAsia="pl-PL"/>
        </w:rPr>
        <w:t>datoria</w:t>
      </w:r>
      <w:proofErr w:type="spellEnd"/>
      <w:r w:rsidR="0059540C" w:rsidRPr="00CC28EC">
        <w:rPr>
          <w:sz w:val="24"/>
          <w:szCs w:val="24"/>
          <w:lang w:eastAsia="pl-PL"/>
        </w:rPr>
        <w:t xml:space="preserve"> </w:t>
      </w:r>
      <w:proofErr w:type="spellStart"/>
      <w:r w:rsidR="0059540C" w:rsidRPr="00CC28EC">
        <w:rPr>
          <w:sz w:val="24"/>
          <w:szCs w:val="24"/>
          <w:lang w:eastAsia="pl-PL"/>
        </w:rPr>
        <w:t>publică</w:t>
      </w:r>
      <w:proofErr w:type="spellEnd"/>
      <w:r w:rsidR="0059540C" w:rsidRPr="00CC28EC">
        <w:rPr>
          <w:sz w:val="24"/>
          <w:szCs w:val="24"/>
          <w:lang w:eastAsia="pl-PL"/>
        </w:rPr>
        <w:t xml:space="preserve"> a </w:t>
      </w:r>
      <w:proofErr w:type="spellStart"/>
      <w:r w:rsidR="0059540C" w:rsidRPr="00CC28EC">
        <w:rPr>
          <w:sz w:val="24"/>
          <w:szCs w:val="24"/>
          <w:lang w:eastAsia="pl-PL"/>
        </w:rPr>
        <w:t>României</w:t>
      </w:r>
      <w:proofErr w:type="spellEnd"/>
      <w:r w:rsidR="0059540C" w:rsidRPr="00CC28EC">
        <w:rPr>
          <w:sz w:val="24"/>
          <w:szCs w:val="24"/>
          <w:lang w:eastAsia="pl-PL"/>
        </w:rPr>
        <w:t xml:space="preserve"> s-a </w:t>
      </w:r>
      <w:proofErr w:type="spellStart"/>
      <w:r w:rsidR="0059540C" w:rsidRPr="00CC28EC">
        <w:rPr>
          <w:sz w:val="24"/>
          <w:szCs w:val="24"/>
          <w:lang w:eastAsia="pl-PL"/>
        </w:rPr>
        <w:t>dublat</w:t>
      </w:r>
      <w:proofErr w:type="spellEnd"/>
      <w:r w:rsidR="0059540C" w:rsidRPr="00CC28EC">
        <w:rPr>
          <w:sz w:val="24"/>
          <w:szCs w:val="24"/>
          <w:lang w:eastAsia="pl-PL"/>
        </w:rPr>
        <w:t>,</w:t>
      </w:r>
    </w:p>
    <w:p w14:paraId="5C2EDE2F" w14:textId="625F6A74" w:rsidR="00E91C15" w:rsidRPr="00CC28EC" w:rsidRDefault="0059540C" w:rsidP="0059540C">
      <w:pPr>
        <w:autoSpaceDE/>
        <w:autoSpaceDN/>
        <w:jc w:val="both"/>
        <w:rPr>
          <w:rFonts w:eastAsiaTheme="minorHAnsi"/>
          <w:sz w:val="24"/>
          <w:szCs w:val="24"/>
        </w:rPr>
      </w:pPr>
      <w:r w:rsidRPr="00CC28EC">
        <w:rPr>
          <w:rFonts w:eastAsiaTheme="minorHAnsi"/>
          <w:sz w:val="24"/>
          <w:szCs w:val="24"/>
        </w:rPr>
        <w:lastRenderedPageBreak/>
        <w:t xml:space="preserve">- </w:t>
      </w:r>
      <w:proofErr w:type="spellStart"/>
      <w:r w:rsidRPr="00CC28EC">
        <w:rPr>
          <w:rFonts w:eastAsiaTheme="minorHAnsi"/>
          <w:sz w:val="24"/>
          <w:szCs w:val="24"/>
        </w:rPr>
        <w:t>acest</w:t>
      </w:r>
      <w:proofErr w:type="spellEnd"/>
      <w:r w:rsidRPr="00CC28EC">
        <w:rPr>
          <w:rFonts w:eastAsiaTheme="minorHAnsi"/>
          <w:sz w:val="24"/>
          <w:szCs w:val="24"/>
        </w:rPr>
        <w:t xml:space="preserve"> </w:t>
      </w:r>
      <w:proofErr w:type="spellStart"/>
      <w:r w:rsidRPr="00CC28EC">
        <w:rPr>
          <w:rFonts w:eastAsiaTheme="minorHAnsi"/>
          <w:sz w:val="24"/>
          <w:szCs w:val="24"/>
        </w:rPr>
        <w:t>lucru</w:t>
      </w:r>
      <w:proofErr w:type="spellEnd"/>
      <w:r w:rsidRPr="00CC28EC">
        <w:rPr>
          <w:rFonts w:eastAsiaTheme="minorHAnsi"/>
          <w:sz w:val="24"/>
          <w:szCs w:val="24"/>
        </w:rPr>
        <w:t xml:space="preserve"> se </w:t>
      </w:r>
      <w:proofErr w:type="spellStart"/>
      <w:r w:rsidRPr="00CC28EC">
        <w:rPr>
          <w:rFonts w:eastAsiaTheme="minorHAnsi"/>
          <w:sz w:val="24"/>
          <w:szCs w:val="24"/>
        </w:rPr>
        <w:t>întâmplă</w:t>
      </w:r>
      <w:proofErr w:type="spellEnd"/>
      <w:r w:rsidRPr="00CC28EC">
        <w:rPr>
          <w:rFonts w:eastAsiaTheme="minorHAnsi"/>
          <w:sz w:val="24"/>
          <w:szCs w:val="24"/>
        </w:rPr>
        <w:t xml:space="preserve"> </w:t>
      </w:r>
      <w:proofErr w:type="spellStart"/>
      <w:r w:rsidRPr="00CC28EC">
        <w:rPr>
          <w:rFonts w:eastAsiaTheme="minorHAnsi"/>
          <w:sz w:val="24"/>
          <w:szCs w:val="24"/>
        </w:rPr>
        <w:t>și</w:t>
      </w:r>
      <w:proofErr w:type="spellEnd"/>
      <w:r w:rsidRPr="00CC28EC">
        <w:rPr>
          <w:rFonts w:eastAsiaTheme="minorHAnsi"/>
          <w:sz w:val="24"/>
          <w:szCs w:val="24"/>
        </w:rPr>
        <w:t xml:space="preserve"> </w:t>
      </w:r>
      <w:proofErr w:type="spellStart"/>
      <w:r w:rsidRPr="00CC28EC">
        <w:rPr>
          <w:rFonts w:eastAsiaTheme="minorHAnsi"/>
          <w:sz w:val="24"/>
          <w:szCs w:val="24"/>
        </w:rPr>
        <w:t>pentru</w:t>
      </w:r>
      <w:proofErr w:type="spellEnd"/>
      <w:r w:rsidRPr="00CC28EC">
        <w:rPr>
          <w:rFonts w:eastAsiaTheme="minorHAnsi"/>
          <w:sz w:val="24"/>
          <w:szCs w:val="24"/>
        </w:rPr>
        <w:t xml:space="preserve"> </w:t>
      </w:r>
      <w:proofErr w:type="spellStart"/>
      <w:r w:rsidRPr="00CC28EC">
        <w:rPr>
          <w:rFonts w:eastAsiaTheme="minorHAnsi"/>
          <w:sz w:val="24"/>
          <w:szCs w:val="24"/>
        </w:rPr>
        <w:t>că</w:t>
      </w:r>
      <w:proofErr w:type="spellEnd"/>
      <w:r w:rsidRPr="00CC28EC">
        <w:rPr>
          <w:rFonts w:eastAsiaTheme="minorHAnsi"/>
          <w:sz w:val="24"/>
          <w:szCs w:val="24"/>
        </w:rPr>
        <w:t xml:space="preserve"> </w:t>
      </w:r>
      <w:r w:rsidR="005F3BF7" w:rsidRPr="00CC28EC">
        <w:rPr>
          <w:rFonts w:eastAsiaTheme="minorHAnsi"/>
          <w:sz w:val="24"/>
          <w:szCs w:val="24"/>
        </w:rPr>
        <w:t>„</w:t>
      </w:r>
      <w:proofErr w:type="spellStart"/>
      <w:r w:rsidR="00E91C15" w:rsidRPr="00CC28EC">
        <w:rPr>
          <w:rFonts w:eastAsiaTheme="minorHAnsi"/>
          <w:i/>
          <w:iCs/>
          <w:sz w:val="24"/>
          <w:szCs w:val="24"/>
        </w:rPr>
        <w:t>România</w:t>
      </w:r>
      <w:proofErr w:type="spellEnd"/>
      <w:r w:rsidR="00E91C15" w:rsidRPr="00CC28EC">
        <w:rPr>
          <w:rFonts w:eastAsiaTheme="minorHAnsi"/>
          <w:i/>
          <w:iCs/>
          <w:sz w:val="24"/>
          <w:szCs w:val="24"/>
        </w:rPr>
        <w:t xml:space="preserve"> a </w:t>
      </w:r>
      <w:proofErr w:type="spellStart"/>
      <w:r w:rsidR="00E91C15" w:rsidRPr="00CC28EC">
        <w:rPr>
          <w:rFonts w:eastAsiaTheme="minorHAnsi"/>
          <w:i/>
          <w:iCs/>
          <w:sz w:val="24"/>
          <w:szCs w:val="24"/>
        </w:rPr>
        <w:t>înregistrat</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în</w:t>
      </w:r>
      <w:proofErr w:type="spellEnd"/>
      <w:r w:rsidR="00E91C15" w:rsidRPr="00CC28EC">
        <w:rPr>
          <w:rFonts w:eastAsiaTheme="minorHAnsi"/>
          <w:i/>
          <w:iCs/>
          <w:sz w:val="24"/>
          <w:szCs w:val="24"/>
        </w:rPr>
        <w:t xml:space="preserve"> 2019 un </w:t>
      </w:r>
      <w:proofErr w:type="spellStart"/>
      <w:r w:rsidR="00E91C15" w:rsidRPr="00CC28EC">
        <w:rPr>
          <w:rFonts w:eastAsiaTheme="minorHAnsi"/>
          <w:i/>
          <w:iCs/>
          <w:sz w:val="24"/>
          <w:szCs w:val="24"/>
        </w:rPr>
        <w:t>nivel</w:t>
      </w:r>
      <w:proofErr w:type="spellEnd"/>
      <w:r w:rsidR="00E91C15" w:rsidRPr="00CC28EC">
        <w:rPr>
          <w:rFonts w:eastAsiaTheme="minorHAnsi"/>
          <w:i/>
          <w:iCs/>
          <w:sz w:val="24"/>
          <w:szCs w:val="24"/>
        </w:rPr>
        <w:t xml:space="preserve"> al </w:t>
      </w:r>
      <w:proofErr w:type="spellStart"/>
      <w:r w:rsidR="00E91C15" w:rsidRPr="00CC28EC">
        <w:rPr>
          <w:rFonts w:eastAsiaTheme="minorHAnsi"/>
          <w:i/>
          <w:iCs/>
          <w:sz w:val="24"/>
          <w:szCs w:val="24"/>
        </w:rPr>
        <w:t>ponderii</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în</w:t>
      </w:r>
      <w:proofErr w:type="spellEnd"/>
      <w:r w:rsidR="00E91C15" w:rsidRPr="00CC28EC">
        <w:rPr>
          <w:rFonts w:eastAsiaTheme="minorHAnsi"/>
          <w:i/>
          <w:iCs/>
          <w:sz w:val="24"/>
          <w:szCs w:val="24"/>
        </w:rPr>
        <w:t xml:space="preserve"> PIB a </w:t>
      </w:r>
      <w:proofErr w:type="spellStart"/>
      <w:r w:rsidR="00E91C15" w:rsidRPr="00CC28EC">
        <w:rPr>
          <w:rFonts w:eastAsiaTheme="minorHAnsi"/>
          <w:i/>
          <w:iCs/>
          <w:sz w:val="24"/>
          <w:szCs w:val="24"/>
        </w:rPr>
        <w:t>veniturilor</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bugetare</w:t>
      </w:r>
      <w:proofErr w:type="spellEnd"/>
      <w:r w:rsidR="00E91C15" w:rsidRPr="00CC28EC">
        <w:rPr>
          <w:rFonts w:eastAsiaTheme="minorHAnsi"/>
          <w:i/>
          <w:iCs/>
          <w:sz w:val="24"/>
          <w:szCs w:val="24"/>
        </w:rPr>
        <w:t xml:space="preserve"> de 31,7%, cu 13,4</w:t>
      </w:r>
      <w:r w:rsidR="00EA6AFD" w:rsidRPr="00CC28EC">
        <w:rPr>
          <w:rFonts w:eastAsiaTheme="minorHAnsi"/>
          <w:i/>
          <w:iCs/>
          <w:sz w:val="24"/>
          <w:szCs w:val="24"/>
        </w:rPr>
        <w:t>%</w:t>
      </w:r>
      <w:r w:rsidR="00E91C15" w:rsidRPr="00CC28EC">
        <w:rPr>
          <w:rFonts w:eastAsiaTheme="minorHAnsi"/>
          <w:i/>
          <w:iCs/>
          <w:sz w:val="24"/>
          <w:szCs w:val="24"/>
        </w:rPr>
        <w:t xml:space="preserve"> sub media </w:t>
      </w:r>
      <w:proofErr w:type="spellStart"/>
      <w:r w:rsidR="00E91C15" w:rsidRPr="00CC28EC">
        <w:rPr>
          <w:rFonts w:eastAsiaTheme="minorHAnsi"/>
          <w:i/>
          <w:iCs/>
          <w:sz w:val="24"/>
          <w:szCs w:val="24"/>
        </w:rPr>
        <w:t>europeană</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printre</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cele</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mai</w:t>
      </w:r>
      <w:proofErr w:type="spellEnd"/>
      <w:r w:rsidR="00E91C15" w:rsidRPr="00CC28EC">
        <w:rPr>
          <w:rFonts w:eastAsiaTheme="minorHAnsi"/>
          <w:i/>
          <w:iCs/>
          <w:sz w:val="24"/>
          <w:szCs w:val="24"/>
        </w:rPr>
        <w:t xml:space="preserve"> </w:t>
      </w:r>
      <w:proofErr w:type="spellStart"/>
      <w:r w:rsidR="00E91C15" w:rsidRPr="00CC28EC">
        <w:rPr>
          <w:rFonts w:eastAsiaTheme="minorHAnsi"/>
          <w:i/>
          <w:iCs/>
          <w:sz w:val="24"/>
          <w:szCs w:val="24"/>
        </w:rPr>
        <w:t>mici</w:t>
      </w:r>
      <w:proofErr w:type="spellEnd"/>
      <w:r w:rsidR="00E91C15" w:rsidRPr="00CC28EC">
        <w:rPr>
          <w:rFonts w:eastAsiaTheme="minorHAnsi"/>
          <w:i/>
          <w:iCs/>
          <w:sz w:val="24"/>
          <w:szCs w:val="24"/>
        </w:rPr>
        <w:t xml:space="preserve"> din UE</w:t>
      </w:r>
      <w:r w:rsidR="005F3BF7" w:rsidRPr="00CC28EC">
        <w:rPr>
          <w:rFonts w:eastAsiaTheme="minorHAnsi"/>
          <w:sz w:val="24"/>
          <w:szCs w:val="24"/>
        </w:rPr>
        <w:t>”</w:t>
      </w:r>
      <w:r w:rsidR="00E91C15" w:rsidRPr="00CC28EC">
        <w:rPr>
          <w:rFonts w:eastAsiaTheme="minorHAnsi"/>
          <w:sz w:val="24"/>
          <w:szCs w:val="24"/>
        </w:rPr>
        <w:t>.</w:t>
      </w:r>
      <w:r w:rsidR="00EA6AFD" w:rsidRPr="00CC28EC">
        <w:rPr>
          <w:rFonts w:eastAsiaTheme="minorHAnsi"/>
          <w:sz w:val="24"/>
          <w:szCs w:val="24"/>
        </w:rPr>
        <w:t xml:space="preserve"> (</w:t>
      </w:r>
      <w:bookmarkStart w:id="13" w:name="_Hlk66965027"/>
      <w:proofErr w:type="spellStart"/>
      <w:r w:rsidR="00EA6AFD" w:rsidRPr="00CC28EC">
        <w:rPr>
          <w:rFonts w:eastAsiaTheme="minorHAnsi"/>
          <w:sz w:val="24"/>
          <w:szCs w:val="24"/>
        </w:rPr>
        <w:t>Consiliul</w:t>
      </w:r>
      <w:proofErr w:type="spellEnd"/>
      <w:r w:rsidR="00EA6AFD" w:rsidRPr="00CC28EC">
        <w:rPr>
          <w:rFonts w:eastAsiaTheme="minorHAnsi"/>
          <w:sz w:val="24"/>
          <w:szCs w:val="24"/>
        </w:rPr>
        <w:t xml:space="preserve"> Fiscal, </w:t>
      </w:r>
      <w:r w:rsidR="00727F74" w:rsidRPr="00CC28EC">
        <w:rPr>
          <w:rFonts w:eastAsiaTheme="minorHAnsi"/>
          <w:sz w:val="24"/>
          <w:szCs w:val="24"/>
        </w:rPr>
        <w:t>2019</w:t>
      </w:r>
      <w:bookmarkEnd w:id="13"/>
      <w:r w:rsidR="00EA6AFD" w:rsidRPr="00CC28EC">
        <w:rPr>
          <w:rFonts w:eastAsiaTheme="minorHAnsi"/>
          <w:sz w:val="24"/>
          <w:szCs w:val="24"/>
        </w:rPr>
        <w:t>)</w:t>
      </w:r>
      <w:r w:rsidRPr="00CC28EC">
        <w:rPr>
          <w:rFonts w:eastAsiaTheme="minorHAnsi"/>
          <w:sz w:val="24"/>
          <w:szCs w:val="24"/>
        </w:rPr>
        <w:t>,</w:t>
      </w:r>
    </w:p>
    <w:p w14:paraId="0183DF7A" w14:textId="7706DA61" w:rsidR="0059540C" w:rsidRPr="00CC28EC" w:rsidRDefault="0059540C" w:rsidP="0059540C">
      <w:pPr>
        <w:autoSpaceDE/>
        <w:autoSpaceDN/>
        <w:jc w:val="both"/>
        <w:rPr>
          <w:rFonts w:eastAsiaTheme="minorHAnsi"/>
          <w:sz w:val="24"/>
          <w:szCs w:val="24"/>
        </w:rPr>
      </w:pPr>
      <w:r w:rsidRPr="00CC28EC">
        <w:rPr>
          <w:rFonts w:eastAsiaTheme="minorHAnsi"/>
          <w:sz w:val="24"/>
          <w:szCs w:val="24"/>
        </w:rPr>
        <w:t xml:space="preserve">- </w:t>
      </w:r>
      <w:proofErr w:type="spellStart"/>
      <w:r w:rsidRPr="00CC28EC">
        <w:rPr>
          <w:rFonts w:eastAsiaTheme="minorHAnsi"/>
          <w:sz w:val="24"/>
          <w:szCs w:val="24"/>
        </w:rPr>
        <w:t>structura</w:t>
      </w:r>
      <w:proofErr w:type="spellEnd"/>
      <w:r w:rsidRPr="00CC28EC">
        <w:rPr>
          <w:rFonts w:eastAsiaTheme="minorHAnsi"/>
          <w:sz w:val="24"/>
          <w:szCs w:val="24"/>
        </w:rPr>
        <w:t xml:space="preserve"> pe </w:t>
      </w:r>
      <w:proofErr w:type="spellStart"/>
      <w:r w:rsidRPr="00CC28EC">
        <w:rPr>
          <w:rFonts w:eastAsiaTheme="minorHAnsi"/>
          <w:sz w:val="24"/>
          <w:szCs w:val="24"/>
        </w:rPr>
        <w:t>valute</w:t>
      </w:r>
      <w:proofErr w:type="spellEnd"/>
      <w:r w:rsidRPr="00CC28EC">
        <w:rPr>
          <w:rFonts w:eastAsiaTheme="minorHAnsi"/>
          <w:sz w:val="24"/>
          <w:szCs w:val="24"/>
        </w:rPr>
        <w:t xml:space="preserve"> </w:t>
      </w:r>
      <w:proofErr w:type="spellStart"/>
      <w:r w:rsidRPr="00CC28EC">
        <w:rPr>
          <w:rFonts w:eastAsiaTheme="minorHAnsi"/>
          <w:sz w:val="24"/>
          <w:szCs w:val="24"/>
        </w:rPr>
        <w:t>și</w:t>
      </w:r>
      <w:proofErr w:type="spellEnd"/>
      <w:r w:rsidRPr="00CC28EC">
        <w:rPr>
          <w:rFonts w:eastAsiaTheme="minorHAnsi"/>
          <w:sz w:val="24"/>
          <w:szCs w:val="24"/>
        </w:rPr>
        <w:t xml:space="preserve"> pe </w:t>
      </w:r>
      <w:proofErr w:type="spellStart"/>
      <w:r w:rsidRPr="00CC28EC">
        <w:rPr>
          <w:rFonts w:eastAsiaTheme="minorHAnsi"/>
          <w:sz w:val="24"/>
          <w:szCs w:val="24"/>
        </w:rPr>
        <w:t>termene</w:t>
      </w:r>
      <w:proofErr w:type="spellEnd"/>
      <w:r w:rsidRPr="00CC28EC">
        <w:rPr>
          <w:rFonts w:eastAsiaTheme="minorHAnsi"/>
          <w:sz w:val="24"/>
          <w:szCs w:val="24"/>
        </w:rPr>
        <w:t xml:space="preserve"> a </w:t>
      </w:r>
      <w:proofErr w:type="spellStart"/>
      <w:r w:rsidRPr="00CC28EC">
        <w:rPr>
          <w:rFonts w:eastAsiaTheme="minorHAnsi"/>
          <w:sz w:val="24"/>
          <w:szCs w:val="24"/>
        </w:rPr>
        <w:t>datoriei</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 xml:space="preserve"> </w:t>
      </w:r>
      <w:proofErr w:type="spellStart"/>
      <w:r w:rsidRPr="00CC28EC">
        <w:rPr>
          <w:rFonts w:eastAsiaTheme="minorHAnsi"/>
          <w:sz w:val="24"/>
          <w:szCs w:val="24"/>
        </w:rPr>
        <w:t>este</w:t>
      </w:r>
      <w:proofErr w:type="spellEnd"/>
      <w:r w:rsidRPr="00CC28EC">
        <w:rPr>
          <w:rFonts w:eastAsiaTheme="minorHAnsi"/>
          <w:sz w:val="24"/>
          <w:szCs w:val="24"/>
        </w:rPr>
        <w:t xml:space="preserve"> una </w:t>
      </w:r>
      <w:proofErr w:type="spellStart"/>
      <w:r w:rsidRPr="00CC28EC">
        <w:rPr>
          <w:rFonts w:eastAsiaTheme="minorHAnsi"/>
          <w:sz w:val="24"/>
          <w:szCs w:val="24"/>
        </w:rPr>
        <w:t>bună</w:t>
      </w:r>
      <w:proofErr w:type="spellEnd"/>
      <w:r w:rsidRPr="00CC28EC">
        <w:rPr>
          <w:rFonts w:eastAsiaTheme="minorHAnsi"/>
          <w:sz w:val="24"/>
          <w:szCs w:val="24"/>
        </w:rPr>
        <w:t xml:space="preserve">, </w:t>
      </w:r>
    </w:p>
    <w:p w14:paraId="5CF4BEE3" w14:textId="54ABAEAC" w:rsidR="0059540C" w:rsidRPr="00CC28EC" w:rsidRDefault="0059540C" w:rsidP="0059540C">
      <w:pPr>
        <w:autoSpaceDE/>
        <w:autoSpaceDN/>
        <w:jc w:val="both"/>
        <w:rPr>
          <w:rFonts w:eastAsiaTheme="minorHAnsi"/>
          <w:sz w:val="24"/>
          <w:szCs w:val="24"/>
        </w:rPr>
      </w:pPr>
      <w:r w:rsidRPr="00CC28EC">
        <w:rPr>
          <w:rFonts w:eastAsiaTheme="minorHAnsi"/>
          <w:sz w:val="24"/>
          <w:szCs w:val="24"/>
        </w:rPr>
        <w:t xml:space="preserve">- </w:t>
      </w:r>
      <w:proofErr w:type="spellStart"/>
      <w:r w:rsidRPr="00CC28EC">
        <w:rPr>
          <w:rFonts w:eastAsiaTheme="minorHAnsi"/>
          <w:sz w:val="24"/>
          <w:szCs w:val="24"/>
        </w:rPr>
        <w:t>crește</w:t>
      </w:r>
      <w:proofErr w:type="spellEnd"/>
      <w:r w:rsidRPr="00CC28EC">
        <w:rPr>
          <w:rFonts w:eastAsiaTheme="minorHAnsi"/>
          <w:sz w:val="24"/>
          <w:szCs w:val="24"/>
        </w:rPr>
        <w:t xml:space="preserve"> </w:t>
      </w:r>
      <w:proofErr w:type="spellStart"/>
      <w:r w:rsidRPr="00CC28EC">
        <w:rPr>
          <w:rFonts w:eastAsiaTheme="minorHAnsi"/>
          <w:sz w:val="24"/>
          <w:szCs w:val="24"/>
        </w:rPr>
        <w:t>alarmant</w:t>
      </w:r>
      <w:proofErr w:type="spellEnd"/>
      <w:r w:rsidRPr="00CC28EC">
        <w:rPr>
          <w:rFonts w:eastAsiaTheme="minorHAnsi"/>
          <w:sz w:val="24"/>
          <w:szCs w:val="24"/>
        </w:rPr>
        <w:t xml:space="preserve"> </w:t>
      </w:r>
      <w:proofErr w:type="spellStart"/>
      <w:r w:rsidRPr="00CC28EC">
        <w:rPr>
          <w:rFonts w:eastAsiaTheme="minorHAnsi"/>
          <w:sz w:val="24"/>
          <w:szCs w:val="24"/>
        </w:rPr>
        <w:t>costul</w:t>
      </w:r>
      <w:proofErr w:type="spellEnd"/>
      <w:r w:rsidRPr="00CC28EC">
        <w:rPr>
          <w:rFonts w:eastAsiaTheme="minorHAnsi"/>
          <w:sz w:val="24"/>
          <w:szCs w:val="24"/>
        </w:rPr>
        <w:t xml:space="preserve"> </w:t>
      </w:r>
      <w:proofErr w:type="spellStart"/>
      <w:r w:rsidRPr="00CC28EC">
        <w:rPr>
          <w:rFonts w:eastAsiaTheme="minorHAnsi"/>
          <w:sz w:val="24"/>
          <w:szCs w:val="24"/>
        </w:rPr>
        <w:t>datoriei</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 xml:space="preserve">, </w:t>
      </w:r>
      <w:proofErr w:type="spellStart"/>
      <w:r w:rsidRPr="00CC28EC">
        <w:rPr>
          <w:rFonts w:eastAsiaTheme="minorHAnsi"/>
          <w:sz w:val="24"/>
          <w:szCs w:val="24"/>
        </w:rPr>
        <w:t>dobânda</w:t>
      </w:r>
      <w:proofErr w:type="spellEnd"/>
      <w:r w:rsidRPr="00CC28EC">
        <w:rPr>
          <w:rFonts w:eastAsiaTheme="minorHAnsi"/>
          <w:sz w:val="24"/>
          <w:szCs w:val="24"/>
        </w:rPr>
        <w:t xml:space="preserve"> la </w:t>
      </w:r>
      <w:proofErr w:type="spellStart"/>
      <w:r w:rsidRPr="00CC28EC">
        <w:rPr>
          <w:rFonts w:eastAsiaTheme="minorHAnsi"/>
          <w:sz w:val="24"/>
          <w:szCs w:val="24"/>
        </w:rPr>
        <w:t>împrumuturile</w:t>
      </w:r>
      <w:proofErr w:type="spellEnd"/>
      <w:r w:rsidRPr="00CC28EC">
        <w:rPr>
          <w:rFonts w:eastAsiaTheme="minorHAnsi"/>
          <w:sz w:val="24"/>
          <w:szCs w:val="24"/>
        </w:rPr>
        <w:t xml:space="preserve"> pe termen lung </w:t>
      </w:r>
      <w:proofErr w:type="spellStart"/>
      <w:r w:rsidRPr="00CC28EC">
        <w:rPr>
          <w:rFonts w:eastAsiaTheme="minorHAnsi"/>
          <w:sz w:val="24"/>
          <w:szCs w:val="24"/>
        </w:rPr>
        <w:t>fiind</w:t>
      </w:r>
      <w:proofErr w:type="spellEnd"/>
      <w:r w:rsidRPr="00CC28EC">
        <w:rPr>
          <w:rFonts w:eastAsiaTheme="minorHAnsi"/>
          <w:sz w:val="24"/>
          <w:szCs w:val="24"/>
        </w:rPr>
        <w:t xml:space="preserve"> </w:t>
      </w:r>
      <w:proofErr w:type="spellStart"/>
      <w:r w:rsidR="003B1B18" w:rsidRPr="00CC28EC">
        <w:rPr>
          <w:rFonts w:eastAsiaTheme="minorHAnsi"/>
          <w:sz w:val="24"/>
          <w:szCs w:val="24"/>
        </w:rPr>
        <w:t>în</w:t>
      </w:r>
      <w:proofErr w:type="spellEnd"/>
      <w:r w:rsidR="003B1B18" w:rsidRPr="00CC28EC">
        <w:rPr>
          <w:rFonts w:eastAsiaTheme="minorHAnsi"/>
          <w:sz w:val="24"/>
          <w:szCs w:val="24"/>
        </w:rPr>
        <w:t xml:space="preserve"> </w:t>
      </w:r>
      <w:proofErr w:type="spellStart"/>
      <w:r w:rsidR="003B1B18" w:rsidRPr="00CC28EC">
        <w:rPr>
          <w:rFonts w:eastAsiaTheme="minorHAnsi"/>
          <w:sz w:val="24"/>
          <w:szCs w:val="24"/>
        </w:rPr>
        <w:t>acest</w:t>
      </w:r>
      <w:proofErr w:type="spellEnd"/>
      <w:r w:rsidR="003B1B18" w:rsidRPr="00CC28EC">
        <w:rPr>
          <w:rFonts w:eastAsiaTheme="minorHAnsi"/>
          <w:sz w:val="24"/>
          <w:szCs w:val="24"/>
        </w:rPr>
        <w:t xml:space="preserve"> moment </w:t>
      </w:r>
      <w:r w:rsidRPr="00CC28EC">
        <w:rPr>
          <w:rFonts w:eastAsiaTheme="minorHAnsi"/>
          <w:sz w:val="24"/>
          <w:szCs w:val="24"/>
        </w:rPr>
        <w:t xml:space="preserve">de </w:t>
      </w:r>
      <w:r w:rsidR="00F20B54" w:rsidRPr="00CC28EC">
        <w:rPr>
          <w:rFonts w:eastAsiaTheme="minorHAnsi"/>
          <w:sz w:val="24"/>
          <w:szCs w:val="24"/>
        </w:rPr>
        <w:t>3,72%</w:t>
      </w:r>
      <w:r w:rsidR="003B1B18" w:rsidRPr="00CC28EC">
        <w:rPr>
          <w:rFonts w:eastAsiaTheme="minorHAnsi"/>
          <w:sz w:val="24"/>
          <w:szCs w:val="24"/>
        </w:rPr>
        <w:t>.</w:t>
      </w:r>
    </w:p>
    <w:p w14:paraId="535C7B18" w14:textId="53BC6F65" w:rsidR="00F20B54" w:rsidRPr="00CC28EC" w:rsidRDefault="00F20B54" w:rsidP="0059540C">
      <w:pPr>
        <w:autoSpaceDE/>
        <w:autoSpaceDN/>
        <w:jc w:val="both"/>
        <w:rPr>
          <w:rFonts w:eastAsiaTheme="minorHAnsi"/>
          <w:sz w:val="24"/>
          <w:szCs w:val="24"/>
        </w:rPr>
      </w:pPr>
      <w:r w:rsidRPr="00CC28EC">
        <w:rPr>
          <w:rFonts w:eastAsiaTheme="minorHAnsi"/>
          <w:sz w:val="24"/>
          <w:szCs w:val="24"/>
        </w:rPr>
        <w:tab/>
      </w:r>
      <w:proofErr w:type="spellStart"/>
      <w:r w:rsidRPr="00CC28EC">
        <w:rPr>
          <w:rFonts w:eastAsiaTheme="minorHAnsi"/>
          <w:sz w:val="24"/>
          <w:szCs w:val="24"/>
        </w:rPr>
        <w:t>Ceea</w:t>
      </w:r>
      <w:proofErr w:type="spellEnd"/>
      <w:r w:rsidRPr="00CC28EC">
        <w:rPr>
          <w:rFonts w:eastAsiaTheme="minorHAnsi"/>
          <w:sz w:val="24"/>
          <w:szCs w:val="24"/>
        </w:rPr>
        <w:t xml:space="preserve"> </w:t>
      </w:r>
      <w:proofErr w:type="spellStart"/>
      <w:r w:rsidRPr="00CC28EC">
        <w:rPr>
          <w:rFonts w:eastAsiaTheme="minorHAnsi"/>
          <w:sz w:val="24"/>
          <w:szCs w:val="24"/>
        </w:rPr>
        <w:t>ce</w:t>
      </w:r>
      <w:proofErr w:type="spellEnd"/>
      <w:r w:rsidRPr="00CC28EC">
        <w:rPr>
          <w:rFonts w:eastAsiaTheme="minorHAnsi"/>
          <w:sz w:val="24"/>
          <w:szCs w:val="24"/>
        </w:rPr>
        <w:t xml:space="preserve"> nu se </w:t>
      </w:r>
      <w:proofErr w:type="spellStart"/>
      <w:r w:rsidRPr="00CC28EC">
        <w:rPr>
          <w:rFonts w:eastAsiaTheme="minorHAnsi"/>
          <w:sz w:val="24"/>
          <w:szCs w:val="24"/>
        </w:rPr>
        <w:t>vede</w:t>
      </w:r>
      <w:proofErr w:type="spellEnd"/>
      <w:r w:rsidRPr="00CC28EC">
        <w:rPr>
          <w:rFonts w:eastAsiaTheme="minorHAnsi"/>
          <w:sz w:val="24"/>
          <w:szCs w:val="24"/>
        </w:rPr>
        <w:t xml:space="preserve"> din </w:t>
      </w:r>
      <w:proofErr w:type="spellStart"/>
      <w:r w:rsidRPr="00CC28EC">
        <w:rPr>
          <w:rFonts w:eastAsiaTheme="minorHAnsi"/>
          <w:sz w:val="24"/>
          <w:szCs w:val="24"/>
        </w:rPr>
        <w:t>tabele</w:t>
      </w:r>
      <w:proofErr w:type="spellEnd"/>
      <w:r w:rsidRPr="00CC28EC">
        <w:rPr>
          <w:rFonts w:eastAsiaTheme="minorHAnsi"/>
          <w:sz w:val="24"/>
          <w:szCs w:val="24"/>
        </w:rPr>
        <w:t xml:space="preserve"> </w:t>
      </w:r>
      <w:proofErr w:type="spellStart"/>
      <w:r w:rsidRPr="00CC28EC">
        <w:rPr>
          <w:rFonts w:eastAsiaTheme="minorHAnsi"/>
          <w:sz w:val="24"/>
          <w:szCs w:val="24"/>
        </w:rPr>
        <w:t>este</w:t>
      </w:r>
      <w:proofErr w:type="spellEnd"/>
      <w:r w:rsidRPr="00CC28EC">
        <w:rPr>
          <w:rFonts w:eastAsiaTheme="minorHAnsi"/>
          <w:sz w:val="24"/>
          <w:szCs w:val="24"/>
        </w:rPr>
        <w:t xml:space="preserve"> </w:t>
      </w:r>
      <w:proofErr w:type="spellStart"/>
      <w:r w:rsidRPr="00CC28EC">
        <w:rPr>
          <w:rFonts w:eastAsiaTheme="minorHAnsi"/>
          <w:sz w:val="24"/>
          <w:szCs w:val="24"/>
        </w:rPr>
        <w:t>politica</w:t>
      </w:r>
      <w:proofErr w:type="spellEnd"/>
      <w:r w:rsidRPr="00CC28EC">
        <w:rPr>
          <w:rFonts w:eastAsiaTheme="minorHAnsi"/>
          <w:sz w:val="24"/>
          <w:szCs w:val="24"/>
        </w:rPr>
        <w:t xml:space="preserve"> </w:t>
      </w:r>
      <w:proofErr w:type="spellStart"/>
      <w:r w:rsidRPr="00CC28EC">
        <w:rPr>
          <w:rFonts w:eastAsiaTheme="minorHAnsi"/>
          <w:sz w:val="24"/>
          <w:szCs w:val="24"/>
        </w:rPr>
        <w:t>dusă</w:t>
      </w:r>
      <w:proofErr w:type="spellEnd"/>
      <w:r w:rsidRPr="00CC28EC">
        <w:rPr>
          <w:rFonts w:eastAsiaTheme="minorHAnsi"/>
          <w:sz w:val="24"/>
          <w:szCs w:val="24"/>
        </w:rPr>
        <w:t xml:space="preserve"> de </w:t>
      </w:r>
      <w:proofErr w:type="spellStart"/>
      <w:r w:rsidRPr="00CC28EC">
        <w:rPr>
          <w:rFonts w:eastAsiaTheme="minorHAnsi"/>
          <w:sz w:val="24"/>
          <w:szCs w:val="24"/>
        </w:rPr>
        <w:t>Ministerul</w:t>
      </w:r>
      <w:proofErr w:type="spellEnd"/>
      <w:r w:rsidRPr="00CC28EC">
        <w:rPr>
          <w:rFonts w:eastAsiaTheme="minorHAnsi"/>
          <w:sz w:val="24"/>
          <w:szCs w:val="24"/>
        </w:rPr>
        <w:t xml:space="preserve"> </w:t>
      </w:r>
      <w:proofErr w:type="spellStart"/>
      <w:r w:rsidRPr="00CC28EC">
        <w:rPr>
          <w:rFonts w:eastAsiaTheme="minorHAnsi"/>
          <w:sz w:val="24"/>
          <w:szCs w:val="24"/>
        </w:rPr>
        <w:t>Finanțelor</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 xml:space="preserve"> cu </w:t>
      </w:r>
      <w:proofErr w:type="spellStart"/>
      <w:r w:rsidRPr="00CC28EC">
        <w:rPr>
          <w:rFonts w:eastAsiaTheme="minorHAnsi"/>
          <w:sz w:val="24"/>
          <w:szCs w:val="24"/>
        </w:rPr>
        <w:t>privire</w:t>
      </w:r>
      <w:proofErr w:type="spellEnd"/>
      <w:r w:rsidRPr="00CC28EC">
        <w:rPr>
          <w:rFonts w:eastAsiaTheme="minorHAnsi"/>
          <w:sz w:val="24"/>
          <w:szCs w:val="24"/>
        </w:rPr>
        <w:t xml:space="preserve"> la </w:t>
      </w:r>
      <w:proofErr w:type="spellStart"/>
      <w:r w:rsidRPr="00CC28EC">
        <w:rPr>
          <w:rFonts w:eastAsiaTheme="minorHAnsi"/>
          <w:sz w:val="24"/>
          <w:szCs w:val="24"/>
        </w:rPr>
        <w:t>îndatorare</w:t>
      </w:r>
      <w:proofErr w:type="spellEnd"/>
      <w:r w:rsidRPr="00CC28EC">
        <w:rPr>
          <w:rFonts w:eastAsiaTheme="minorHAnsi"/>
          <w:sz w:val="24"/>
          <w:szCs w:val="24"/>
        </w:rPr>
        <w:t xml:space="preserve">, </w:t>
      </w:r>
      <w:proofErr w:type="spellStart"/>
      <w:r w:rsidRPr="00CC28EC">
        <w:rPr>
          <w:rFonts w:eastAsiaTheme="minorHAnsi"/>
          <w:sz w:val="24"/>
          <w:szCs w:val="24"/>
        </w:rPr>
        <w:t>nefiind</w:t>
      </w:r>
      <w:proofErr w:type="spellEnd"/>
      <w:r w:rsidRPr="00CC28EC">
        <w:rPr>
          <w:rFonts w:eastAsiaTheme="minorHAnsi"/>
          <w:sz w:val="24"/>
          <w:szCs w:val="24"/>
        </w:rPr>
        <w:t xml:space="preserve"> date </w:t>
      </w:r>
      <w:proofErr w:type="spellStart"/>
      <w:r w:rsidRPr="00CC28EC">
        <w:rPr>
          <w:rFonts w:eastAsiaTheme="minorHAnsi"/>
          <w:sz w:val="24"/>
          <w:szCs w:val="24"/>
        </w:rPr>
        <w:t>până</w:t>
      </w:r>
      <w:proofErr w:type="spellEnd"/>
      <w:r w:rsidRPr="00CC28EC">
        <w:rPr>
          <w:rFonts w:eastAsiaTheme="minorHAnsi"/>
          <w:sz w:val="24"/>
          <w:szCs w:val="24"/>
        </w:rPr>
        <w:t xml:space="preserve"> </w:t>
      </w:r>
      <w:proofErr w:type="spellStart"/>
      <w:r w:rsidRPr="00CC28EC">
        <w:rPr>
          <w:rFonts w:eastAsiaTheme="minorHAnsi"/>
          <w:sz w:val="24"/>
          <w:szCs w:val="24"/>
        </w:rPr>
        <w:t>acum</w:t>
      </w:r>
      <w:proofErr w:type="spellEnd"/>
      <w:r w:rsidRPr="00CC28EC">
        <w:rPr>
          <w:rFonts w:eastAsiaTheme="minorHAnsi"/>
          <w:sz w:val="24"/>
          <w:szCs w:val="24"/>
        </w:rPr>
        <w:t xml:space="preserve"> </w:t>
      </w:r>
      <w:proofErr w:type="spellStart"/>
      <w:r w:rsidRPr="00CC28EC">
        <w:rPr>
          <w:rFonts w:eastAsiaTheme="minorHAnsi"/>
          <w:sz w:val="24"/>
          <w:szCs w:val="24"/>
        </w:rPr>
        <w:t>explicații</w:t>
      </w:r>
      <w:proofErr w:type="spellEnd"/>
      <w:r w:rsidRPr="00CC28EC">
        <w:rPr>
          <w:rFonts w:eastAsiaTheme="minorHAnsi"/>
          <w:sz w:val="24"/>
          <w:szCs w:val="24"/>
        </w:rPr>
        <w:t xml:space="preserve"> </w:t>
      </w:r>
      <w:proofErr w:type="spellStart"/>
      <w:r w:rsidRPr="00CC28EC">
        <w:rPr>
          <w:rFonts w:eastAsiaTheme="minorHAnsi"/>
          <w:sz w:val="24"/>
          <w:szCs w:val="24"/>
        </w:rPr>
        <w:t>clare</w:t>
      </w:r>
      <w:proofErr w:type="spellEnd"/>
      <w:r w:rsidRPr="00CC28EC">
        <w:rPr>
          <w:rFonts w:eastAsiaTheme="minorHAnsi"/>
          <w:sz w:val="24"/>
          <w:szCs w:val="24"/>
        </w:rPr>
        <w:t xml:space="preserve">: </w:t>
      </w:r>
      <w:proofErr w:type="spellStart"/>
      <w:r w:rsidRPr="00CC28EC">
        <w:rPr>
          <w:rFonts w:eastAsiaTheme="minorHAnsi"/>
          <w:sz w:val="24"/>
          <w:szCs w:val="24"/>
        </w:rPr>
        <w:t>până</w:t>
      </w:r>
      <w:proofErr w:type="spellEnd"/>
      <w:r w:rsidRPr="00CC28EC">
        <w:rPr>
          <w:rFonts w:eastAsiaTheme="minorHAnsi"/>
          <w:sz w:val="24"/>
          <w:szCs w:val="24"/>
        </w:rPr>
        <w:t xml:space="preserve"> </w:t>
      </w:r>
      <w:proofErr w:type="spellStart"/>
      <w:r w:rsidRPr="00CC28EC">
        <w:rPr>
          <w:rFonts w:eastAsiaTheme="minorHAnsi"/>
          <w:sz w:val="24"/>
          <w:szCs w:val="24"/>
        </w:rPr>
        <w:t>când</w:t>
      </w:r>
      <w:proofErr w:type="spellEnd"/>
      <w:r w:rsidRPr="00CC28EC">
        <w:rPr>
          <w:rFonts w:eastAsiaTheme="minorHAnsi"/>
          <w:sz w:val="24"/>
          <w:szCs w:val="24"/>
        </w:rPr>
        <w:t xml:space="preserve"> </w:t>
      </w:r>
      <w:proofErr w:type="spellStart"/>
      <w:r w:rsidRPr="00CC28EC">
        <w:rPr>
          <w:rFonts w:eastAsiaTheme="minorHAnsi"/>
          <w:sz w:val="24"/>
          <w:szCs w:val="24"/>
        </w:rPr>
        <w:t>va</w:t>
      </w:r>
      <w:proofErr w:type="spellEnd"/>
      <w:r w:rsidRPr="00CC28EC">
        <w:rPr>
          <w:rFonts w:eastAsiaTheme="minorHAnsi"/>
          <w:sz w:val="24"/>
          <w:szCs w:val="24"/>
        </w:rPr>
        <w:t xml:space="preserve"> </w:t>
      </w:r>
      <w:proofErr w:type="spellStart"/>
      <w:r w:rsidRPr="00CC28EC">
        <w:rPr>
          <w:rFonts w:eastAsiaTheme="minorHAnsi"/>
          <w:sz w:val="24"/>
          <w:szCs w:val="24"/>
        </w:rPr>
        <w:t>mai</w:t>
      </w:r>
      <w:proofErr w:type="spellEnd"/>
      <w:r w:rsidRPr="00CC28EC">
        <w:rPr>
          <w:rFonts w:eastAsiaTheme="minorHAnsi"/>
          <w:sz w:val="24"/>
          <w:szCs w:val="24"/>
        </w:rPr>
        <w:t xml:space="preserve"> </w:t>
      </w:r>
      <w:proofErr w:type="spellStart"/>
      <w:r w:rsidRPr="00CC28EC">
        <w:rPr>
          <w:rFonts w:eastAsiaTheme="minorHAnsi"/>
          <w:sz w:val="24"/>
          <w:szCs w:val="24"/>
        </w:rPr>
        <w:t>crește</w:t>
      </w:r>
      <w:proofErr w:type="spellEnd"/>
      <w:r w:rsidRPr="00CC28EC">
        <w:rPr>
          <w:rFonts w:eastAsiaTheme="minorHAnsi"/>
          <w:sz w:val="24"/>
          <w:szCs w:val="24"/>
        </w:rPr>
        <w:t xml:space="preserve">, de </w:t>
      </w:r>
      <w:proofErr w:type="spellStart"/>
      <w:r w:rsidRPr="00CC28EC">
        <w:rPr>
          <w:rFonts w:eastAsiaTheme="minorHAnsi"/>
          <w:sz w:val="24"/>
          <w:szCs w:val="24"/>
        </w:rPr>
        <w:t>ce</w:t>
      </w:r>
      <w:proofErr w:type="spellEnd"/>
      <w:r w:rsidRPr="00CC28EC">
        <w:rPr>
          <w:rFonts w:eastAsiaTheme="minorHAnsi"/>
          <w:sz w:val="24"/>
          <w:szCs w:val="24"/>
        </w:rPr>
        <w:t xml:space="preserve"> </w:t>
      </w:r>
      <w:proofErr w:type="spellStart"/>
      <w:r w:rsidRPr="00CC28EC">
        <w:rPr>
          <w:rFonts w:eastAsiaTheme="minorHAnsi"/>
          <w:sz w:val="24"/>
          <w:szCs w:val="24"/>
        </w:rPr>
        <w:t>crește</w:t>
      </w:r>
      <w:proofErr w:type="spellEnd"/>
      <w:r w:rsidRPr="00CC28EC">
        <w:rPr>
          <w:rFonts w:eastAsiaTheme="minorHAnsi"/>
          <w:sz w:val="24"/>
          <w:szCs w:val="24"/>
        </w:rPr>
        <w:t xml:space="preserve">, </w:t>
      </w:r>
      <w:proofErr w:type="spellStart"/>
      <w:r w:rsidRPr="00CC28EC">
        <w:rPr>
          <w:rFonts w:eastAsiaTheme="minorHAnsi"/>
          <w:sz w:val="24"/>
          <w:szCs w:val="24"/>
        </w:rPr>
        <w:t>dacă</w:t>
      </w:r>
      <w:proofErr w:type="spellEnd"/>
      <w:r w:rsidRPr="00CC28EC">
        <w:rPr>
          <w:rFonts w:eastAsiaTheme="minorHAnsi"/>
          <w:sz w:val="24"/>
          <w:szCs w:val="24"/>
        </w:rPr>
        <w:t xml:space="preserve"> ne </w:t>
      </w:r>
      <w:proofErr w:type="spellStart"/>
      <w:r w:rsidRPr="00CC28EC">
        <w:rPr>
          <w:rFonts w:eastAsiaTheme="minorHAnsi"/>
          <w:sz w:val="24"/>
          <w:szCs w:val="24"/>
        </w:rPr>
        <w:t>putem</w:t>
      </w:r>
      <w:proofErr w:type="spellEnd"/>
      <w:r w:rsidRPr="00CC28EC">
        <w:rPr>
          <w:rFonts w:eastAsiaTheme="minorHAnsi"/>
          <w:sz w:val="24"/>
          <w:szCs w:val="24"/>
        </w:rPr>
        <w:t xml:space="preserve"> </w:t>
      </w:r>
      <w:proofErr w:type="spellStart"/>
      <w:r w:rsidRPr="00CC28EC">
        <w:rPr>
          <w:rFonts w:eastAsiaTheme="minorHAnsi"/>
          <w:sz w:val="24"/>
          <w:szCs w:val="24"/>
        </w:rPr>
        <w:t>opri</w:t>
      </w:r>
      <w:proofErr w:type="spellEnd"/>
      <w:r w:rsidRPr="00CC28EC">
        <w:rPr>
          <w:rFonts w:eastAsiaTheme="minorHAnsi"/>
          <w:sz w:val="24"/>
          <w:szCs w:val="24"/>
        </w:rPr>
        <w:t xml:space="preserve"> din </w:t>
      </w:r>
      <w:proofErr w:type="spellStart"/>
      <w:r w:rsidRPr="00CC28EC">
        <w:rPr>
          <w:rFonts w:eastAsiaTheme="minorHAnsi"/>
          <w:sz w:val="24"/>
          <w:szCs w:val="24"/>
        </w:rPr>
        <w:t>îndatorare</w:t>
      </w:r>
      <w:proofErr w:type="spellEnd"/>
      <w:r w:rsidRPr="00CC28EC">
        <w:rPr>
          <w:rFonts w:eastAsiaTheme="minorHAnsi"/>
          <w:sz w:val="24"/>
          <w:szCs w:val="24"/>
        </w:rPr>
        <w:t xml:space="preserve">, pe </w:t>
      </w:r>
      <w:proofErr w:type="spellStart"/>
      <w:r w:rsidRPr="00CC28EC">
        <w:rPr>
          <w:rFonts w:eastAsiaTheme="minorHAnsi"/>
          <w:sz w:val="24"/>
          <w:szCs w:val="24"/>
        </w:rPr>
        <w:t>ce</w:t>
      </w:r>
      <w:proofErr w:type="spellEnd"/>
      <w:r w:rsidRPr="00CC28EC">
        <w:rPr>
          <w:rFonts w:eastAsiaTheme="minorHAnsi"/>
          <w:sz w:val="24"/>
          <w:szCs w:val="24"/>
        </w:rPr>
        <w:t xml:space="preserve"> am </w:t>
      </w:r>
      <w:proofErr w:type="spellStart"/>
      <w:r w:rsidRPr="00CC28EC">
        <w:rPr>
          <w:rFonts w:eastAsiaTheme="minorHAnsi"/>
          <w:sz w:val="24"/>
          <w:szCs w:val="24"/>
        </w:rPr>
        <w:t>cheltuit</w:t>
      </w:r>
      <w:proofErr w:type="spellEnd"/>
      <w:r w:rsidRPr="00CC28EC">
        <w:rPr>
          <w:rFonts w:eastAsiaTheme="minorHAnsi"/>
          <w:sz w:val="24"/>
          <w:szCs w:val="24"/>
        </w:rPr>
        <w:t xml:space="preserve"> </w:t>
      </w:r>
      <w:proofErr w:type="spellStart"/>
      <w:r w:rsidRPr="00CC28EC">
        <w:rPr>
          <w:rFonts w:eastAsiaTheme="minorHAnsi"/>
          <w:sz w:val="24"/>
          <w:szCs w:val="24"/>
        </w:rPr>
        <w:t>împrumuturile</w:t>
      </w:r>
      <w:proofErr w:type="spellEnd"/>
      <w:r w:rsidRPr="00CC28EC">
        <w:rPr>
          <w:rFonts w:eastAsiaTheme="minorHAnsi"/>
          <w:sz w:val="24"/>
          <w:szCs w:val="24"/>
        </w:rPr>
        <w:t xml:space="preserve">. Deci o </w:t>
      </w:r>
      <w:proofErr w:type="spellStart"/>
      <w:r w:rsidRPr="00CC28EC">
        <w:rPr>
          <w:rFonts w:eastAsiaTheme="minorHAnsi"/>
          <w:sz w:val="24"/>
          <w:szCs w:val="24"/>
        </w:rPr>
        <w:t>opacitate</w:t>
      </w:r>
      <w:proofErr w:type="spellEnd"/>
      <w:r w:rsidRPr="00CC28EC">
        <w:rPr>
          <w:rFonts w:eastAsiaTheme="minorHAnsi"/>
          <w:sz w:val="24"/>
          <w:szCs w:val="24"/>
        </w:rPr>
        <w:t xml:space="preserve"> </w:t>
      </w:r>
      <w:proofErr w:type="spellStart"/>
      <w:r w:rsidRPr="00CC28EC">
        <w:rPr>
          <w:rFonts w:eastAsiaTheme="minorHAnsi"/>
          <w:sz w:val="24"/>
          <w:szCs w:val="24"/>
        </w:rPr>
        <w:t>în</w:t>
      </w:r>
      <w:proofErr w:type="spellEnd"/>
      <w:r w:rsidRPr="00CC28EC">
        <w:rPr>
          <w:rFonts w:eastAsiaTheme="minorHAnsi"/>
          <w:sz w:val="24"/>
          <w:szCs w:val="24"/>
        </w:rPr>
        <w:t xml:space="preserve"> </w:t>
      </w:r>
      <w:proofErr w:type="spellStart"/>
      <w:r w:rsidRPr="00CC28EC">
        <w:rPr>
          <w:rFonts w:eastAsiaTheme="minorHAnsi"/>
          <w:sz w:val="24"/>
          <w:szCs w:val="24"/>
        </w:rPr>
        <w:t>comunicare</w:t>
      </w:r>
      <w:proofErr w:type="spellEnd"/>
      <w:r w:rsidRPr="00CC28EC">
        <w:rPr>
          <w:rFonts w:eastAsiaTheme="minorHAnsi"/>
          <w:sz w:val="24"/>
          <w:szCs w:val="24"/>
        </w:rPr>
        <w:t xml:space="preserve"> </w:t>
      </w:r>
      <w:proofErr w:type="spellStart"/>
      <w:r w:rsidRPr="00CC28EC">
        <w:rPr>
          <w:rFonts w:eastAsiaTheme="minorHAnsi"/>
          <w:sz w:val="24"/>
          <w:szCs w:val="24"/>
        </w:rPr>
        <w:t>și</w:t>
      </w:r>
      <w:proofErr w:type="spellEnd"/>
      <w:r w:rsidRPr="00CC28EC">
        <w:rPr>
          <w:rFonts w:eastAsiaTheme="minorHAnsi"/>
          <w:sz w:val="24"/>
          <w:szCs w:val="24"/>
        </w:rPr>
        <w:t xml:space="preserve"> </w:t>
      </w:r>
      <w:proofErr w:type="spellStart"/>
      <w:r w:rsidRPr="00CC28EC">
        <w:rPr>
          <w:rFonts w:eastAsiaTheme="minorHAnsi"/>
          <w:sz w:val="24"/>
          <w:szCs w:val="24"/>
        </w:rPr>
        <w:t>furnizare</w:t>
      </w:r>
      <w:proofErr w:type="spellEnd"/>
      <w:r w:rsidRPr="00CC28EC">
        <w:rPr>
          <w:rFonts w:eastAsiaTheme="minorHAnsi"/>
          <w:sz w:val="24"/>
          <w:szCs w:val="24"/>
        </w:rPr>
        <w:t xml:space="preserve"> de date </w:t>
      </w:r>
      <w:proofErr w:type="spellStart"/>
      <w:r w:rsidRPr="00CC28EC">
        <w:rPr>
          <w:rFonts w:eastAsiaTheme="minorHAnsi"/>
          <w:sz w:val="24"/>
          <w:szCs w:val="24"/>
        </w:rPr>
        <w:t>corecte</w:t>
      </w:r>
      <w:proofErr w:type="spellEnd"/>
      <w:r w:rsidRPr="00CC28EC">
        <w:rPr>
          <w:rFonts w:eastAsiaTheme="minorHAnsi"/>
          <w:sz w:val="24"/>
          <w:szCs w:val="24"/>
        </w:rPr>
        <w:t xml:space="preserve"> </w:t>
      </w:r>
      <w:proofErr w:type="spellStart"/>
      <w:r w:rsidRPr="00CC28EC">
        <w:rPr>
          <w:rFonts w:eastAsiaTheme="minorHAnsi"/>
          <w:sz w:val="24"/>
          <w:szCs w:val="24"/>
        </w:rPr>
        <w:t>nepermisă</w:t>
      </w:r>
      <w:proofErr w:type="spellEnd"/>
      <w:r w:rsidRPr="00CC28EC">
        <w:rPr>
          <w:rFonts w:eastAsiaTheme="minorHAnsi"/>
          <w:sz w:val="24"/>
          <w:szCs w:val="24"/>
        </w:rPr>
        <w:t>.</w:t>
      </w:r>
      <w:r w:rsidR="003B1B18" w:rsidRPr="00CC28EC">
        <w:rPr>
          <w:rFonts w:eastAsiaTheme="minorHAnsi"/>
          <w:sz w:val="24"/>
          <w:szCs w:val="24"/>
        </w:rPr>
        <w:t xml:space="preserve"> </w:t>
      </w:r>
      <w:proofErr w:type="spellStart"/>
      <w:r w:rsidRPr="00CC28EC">
        <w:rPr>
          <w:rFonts w:eastAsiaTheme="minorHAnsi"/>
          <w:sz w:val="24"/>
          <w:szCs w:val="24"/>
        </w:rPr>
        <w:t>Acest</w:t>
      </w:r>
      <w:proofErr w:type="spellEnd"/>
      <w:r w:rsidRPr="00CC28EC">
        <w:rPr>
          <w:rFonts w:eastAsiaTheme="minorHAnsi"/>
          <w:sz w:val="24"/>
          <w:szCs w:val="24"/>
        </w:rPr>
        <w:t xml:space="preserve"> </w:t>
      </w:r>
      <w:proofErr w:type="spellStart"/>
      <w:r w:rsidRPr="00CC28EC">
        <w:rPr>
          <w:rFonts w:eastAsiaTheme="minorHAnsi"/>
          <w:sz w:val="24"/>
          <w:szCs w:val="24"/>
        </w:rPr>
        <w:t>lucru</w:t>
      </w:r>
      <w:proofErr w:type="spellEnd"/>
      <w:r w:rsidRPr="00CC28EC">
        <w:rPr>
          <w:rFonts w:eastAsiaTheme="minorHAnsi"/>
          <w:sz w:val="24"/>
          <w:szCs w:val="24"/>
        </w:rPr>
        <w:t xml:space="preserve"> nu </w:t>
      </w:r>
      <w:proofErr w:type="spellStart"/>
      <w:r w:rsidRPr="00CC28EC">
        <w:rPr>
          <w:rFonts w:eastAsiaTheme="minorHAnsi"/>
          <w:sz w:val="24"/>
          <w:szCs w:val="24"/>
        </w:rPr>
        <w:t>este</w:t>
      </w:r>
      <w:proofErr w:type="spellEnd"/>
      <w:r w:rsidRPr="00CC28EC">
        <w:rPr>
          <w:rFonts w:eastAsiaTheme="minorHAnsi"/>
          <w:sz w:val="24"/>
          <w:szCs w:val="24"/>
        </w:rPr>
        <w:t xml:space="preserve"> </w:t>
      </w:r>
      <w:proofErr w:type="spellStart"/>
      <w:r w:rsidRPr="00CC28EC">
        <w:rPr>
          <w:rFonts w:eastAsiaTheme="minorHAnsi"/>
          <w:sz w:val="24"/>
          <w:szCs w:val="24"/>
        </w:rPr>
        <w:t>în</w:t>
      </w:r>
      <w:proofErr w:type="spellEnd"/>
      <w:r w:rsidRPr="00CC28EC">
        <w:rPr>
          <w:rFonts w:eastAsiaTheme="minorHAnsi"/>
          <w:sz w:val="24"/>
          <w:szCs w:val="24"/>
        </w:rPr>
        <w:t xml:space="preserve"> </w:t>
      </w:r>
      <w:proofErr w:type="spellStart"/>
      <w:r w:rsidRPr="00CC28EC">
        <w:rPr>
          <w:rFonts w:eastAsiaTheme="minorHAnsi"/>
          <w:sz w:val="24"/>
          <w:szCs w:val="24"/>
        </w:rPr>
        <w:t>măsură</w:t>
      </w:r>
      <w:proofErr w:type="spellEnd"/>
      <w:r w:rsidRPr="00CC28EC">
        <w:rPr>
          <w:rFonts w:eastAsiaTheme="minorHAnsi"/>
          <w:sz w:val="24"/>
          <w:szCs w:val="24"/>
        </w:rPr>
        <w:t xml:space="preserve"> </w:t>
      </w:r>
      <w:proofErr w:type="spellStart"/>
      <w:r w:rsidRPr="00CC28EC">
        <w:rPr>
          <w:rFonts w:eastAsiaTheme="minorHAnsi"/>
          <w:sz w:val="24"/>
          <w:szCs w:val="24"/>
        </w:rPr>
        <w:t>să</w:t>
      </w:r>
      <w:proofErr w:type="spellEnd"/>
      <w:r w:rsidRPr="00CC28EC">
        <w:rPr>
          <w:rFonts w:eastAsiaTheme="minorHAnsi"/>
          <w:sz w:val="24"/>
          <w:szCs w:val="24"/>
        </w:rPr>
        <w:t xml:space="preserve"> ne </w:t>
      </w:r>
      <w:proofErr w:type="spellStart"/>
      <w:r w:rsidRPr="00CC28EC">
        <w:rPr>
          <w:rFonts w:eastAsiaTheme="minorHAnsi"/>
          <w:sz w:val="24"/>
          <w:szCs w:val="24"/>
        </w:rPr>
        <w:t>atenueze</w:t>
      </w:r>
      <w:proofErr w:type="spellEnd"/>
      <w:r w:rsidRPr="00CC28EC">
        <w:rPr>
          <w:rFonts w:eastAsiaTheme="minorHAnsi"/>
          <w:sz w:val="24"/>
          <w:szCs w:val="24"/>
        </w:rPr>
        <w:t xml:space="preserve"> </w:t>
      </w:r>
      <w:proofErr w:type="spellStart"/>
      <w:r w:rsidRPr="00CC28EC">
        <w:rPr>
          <w:rFonts w:eastAsiaTheme="minorHAnsi"/>
          <w:sz w:val="24"/>
          <w:szCs w:val="24"/>
        </w:rPr>
        <w:t>îngrijorările</w:t>
      </w:r>
      <w:proofErr w:type="spellEnd"/>
      <w:r w:rsidRPr="00CC28EC">
        <w:rPr>
          <w:rFonts w:eastAsiaTheme="minorHAnsi"/>
          <w:sz w:val="24"/>
          <w:szCs w:val="24"/>
        </w:rPr>
        <w:t xml:space="preserve"> legate de </w:t>
      </w:r>
      <w:proofErr w:type="spellStart"/>
      <w:r w:rsidRPr="00CC28EC">
        <w:rPr>
          <w:rFonts w:eastAsiaTheme="minorHAnsi"/>
          <w:sz w:val="24"/>
          <w:szCs w:val="24"/>
        </w:rPr>
        <w:t>viitorul</w:t>
      </w:r>
      <w:proofErr w:type="spellEnd"/>
      <w:r w:rsidRPr="00CC28EC">
        <w:rPr>
          <w:rFonts w:eastAsiaTheme="minorHAnsi"/>
          <w:sz w:val="24"/>
          <w:szCs w:val="24"/>
        </w:rPr>
        <w:t xml:space="preserve"> </w:t>
      </w:r>
      <w:proofErr w:type="spellStart"/>
      <w:r w:rsidRPr="00CC28EC">
        <w:rPr>
          <w:rFonts w:eastAsiaTheme="minorHAnsi"/>
          <w:sz w:val="24"/>
          <w:szCs w:val="24"/>
        </w:rPr>
        <w:t>nivelului</w:t>
      </w:r>
      <w:proofErr w:type="spellEnd"/>
      <w:r w:rsidRPr="00CC28EC">
        <w:rPr>
          <w:rFonts w:eastAsiaTheme="minorHAnsi"/>
          <w:sz w:val="24"/>
          <w:szCs w:val="24"/>
        </w:rPr>
        <w:t xml:space="preserve"> </w:t>
      </w:r>
      <w:proofErr w:type="spellStart"/>
      <w:r w:rsidR="00B37530" w:rsidRPr="00CC28EC">
        <w:rPr>
          <w:rFonts w:eastAsiaTheme="minorHAnsi"/>
          <w:sz w:val="24"/>
          <w:szCs w:val="24"/>
        </w:rPr>
        <w:t>datoriei</w:t>
      </w:r>
      <w:proofErr w:type="spellEnd"/>
      <w:r w:rsidR="00B37530" w:rsidRPr="00CC28EC">
        <w:rPr>
          <w:rFonts w:eastAsiaTheme="minorHAnsi"/>
          <w:sz w:val="24"/>
          <w:szCs w:val="24"/>
        </w:rPr>
        <w:t xml:space="preserve"> </w:t>
      </w:r>
      <w:proofErr w:type="spellStart"/>
      <w:r w:rsidR="00B37530" w:rsidRPr="00CC28EC">
        <w:rPr>
          <w:rFonts w:eastAsiaTheme="minorHAnsi"/>
          <w:sz w:val="24"/>
          <w:szCs w:val="24"/>
        </w:rPr>
        <w:t>publice</w:t>
      </w:r>
      <w:proofErr w:type="spellEnd"/>
      <w:r w:rsidRPr="00CC28EC">
        <w:rPr>
          <w:rFonts w:eastAsiaTheme="minorHAnsi"/>
          <w:sz w:val="24"/>
          <w:szCs w:val="24"/>
        </w:rPr>
        <w:t>.</w:t>
      </w:r>
    </w:p>
    <w:p w14:paraId="31C9128B" w14:textId="7B49ADBF" w:rsidR="0059540C" w:rsidRPr="00CC28EC" w:rsidRDefault="00F20B54" w:rsidP="0059540C">
      <w:pPr>
        <w:autoSpaceDE/>
        <w:autoSpaceDN/>
        <w:jc w:val="both"/>
        <w:rPr>
          <w:rFonts w:eastAsiaTheme="minorHAnsi"/>
          <w:sz w:val="24"/>
          <w:szCs w:val="24"/>
        </w:rPr>
      </w:pPr>
      <w:r w:rsidRPr="00CC28EC">
        <w:rPr>
          <w:rFonts w:eastAsiaTheme="minorHAnsi"/>
          <w:sz w:val="24"/>
          <w:szCs w:val="24"/>
        </w:rPr>
        <w:tab/>
        <w:t xml:space="preserve">Se pare </w:t>
      </w:r>
      <w:proofErr w:type="spellStart"/>
      <w:r w:rsidRPr="00CC28EC">
        <w:rPr>
          <w:rFonts w:eastAsiaTheme="minorHAnsi"/>
          <w:sz w:val="24"/>
          <w:szCs w:val="24"/>
        </w:rPr>
        <w:t>că</w:t>
      </w:r>
      <w:proofErr w:type="spellEnd"/>
      <w:r w:rsidRPr="00CC28EC">
        <w:rPr>
          <w:rFonts w:eastAsiaTheme="minorHAnsi"/>
          <w:sz w:val="24"/>
          <w:szCs w:val="24"/>
        </w:rPr>
        <w:t xml:space="preserve"> </w:t>
      </w:r>
      <w:proofErr w:type="spellStart"/>
      <w:r w:rsidRPr="00CC28EC">
        <w:rPr>
          <w:rFonts w:eastAsiaTheme="minorHAnsi"/>
          <w:sz w:val="24"/>
          <w:szCs w:val="24"/>
        </w:rPr>
        <w:t>decidenții</w:t>
      </w:r>
      <w:proofErr w:type="spellEnd"/>
      <w:r w:rsidRPr="00CC28EC">
        <w:rPr>
          <w:rFonts w:eastAsiaTheme="minorHAnsi"/>
          <w:sz w:val="24"/>
          <w:szCs w:val="24"/>
        </w:rPr>
        <w:t xml:space="preserve"> </w:t>
      </w:r>
      <w:proofErr w:type="spellStart"/>
      <w:r w:rsidRPr="00CC28EC">
        <w:rPr>
          <w:rFonts w:eastAsiaTheme="minorHAnsi"/>
          <w:sz w:val="24"/>
          <w:szCs w:val="24"/>
        </w:rPr>
        <w:t>politici</w:t>
      </w:r>
      <w:proofErr w:type="spellEnd"/>
      <w:r w:rsidRPr="00CC28EC">
        <w:rPr>
          <w:rFonts w:eastAsiaTheme="minorHAnsi"/>
          <w:sz w:val="24"/>
          <w:szCs w:val="24"/>
        </w:rPr>
        <w:t xml:space="preserve"> nu </w:t>
      </w:r>
      <w:proofErr w:type="spellStart"/>
      <w:r w:rsidRPr="00CC28EC">
        <w:rPr>
          <w:rFonts w:eastAsiaTheme="minorHAnsi"/>
          <w:sz w:val="24"/>
          <w:szCs w:val="24"/>
        </w:rPr>
        <w:t>iau</w:t>
      </w:r>
      <w:proofErr w:type="spellEnd"/>
      <w:r w:rsidRPr="00CC28EC">
        <w:rPr>
          <w:rFonts w:eastAsiaTheme="minorHAnsi"/>
          <w:sz w:val="24"/>
          <w:szCs w:val="24"/>
        </w:rPr>
        <w:t xml:space="preserve"> </w:t>
      </w:r>
      <w:proofErr w:type="spellStart"/>
      <w:r w:rsidRPr="00CC28EC">
        <w:rPr>
          <w:rFonts w:eastAsiaTheme="minorHAnsi"/>
          <w:sz w:val="24"/>
          <w:szCs w:val="24"/>
        </w:rPr>
        <w:t>în</w:t>
      </w:r>
      <w:proofErr w:type="spellEnd"/>
      <w:r w:rsidRPr="00CC28EC">
        <w:rPr>
          <w:rFonts w:eastAsiaTheme="minorHAnsi"/>
          <w:sz w:val="24"/>
          <w:szCs w:val="24"/>
        </w:rPr>
        <w:t xml:space="preserve"> </w:t>
      </w:r>
      <w:proofErr w:type="spellStart"/>
      <w:r w:rsidRPr="00CC28EC">
        <w:rPr>
          <w:rFonts w:eastAsiaTheme="minorHAnsi"/>
          <w:sz w:val="24"/>
          <w:szCs w:val="24"/>
        </w:rPr>
        <w:t>considerare</w:t>
      </w:r>
      <w:proofErr w:type="spellEnd"/>
      <w:r w:rsidRPr="00CC28EC">
        <w:rPr>
          <w:rFonts w:eastAsiaTheme="minorHAnsi"/>
          <w:sz w:val="24"/>
          <w:szCs w:val="24"/>
        </w:rPr>
        <w:t xml:space="preserve"> </w:t>
      </w:r>
      <w:proofErr w:type="spellStart"/>
      <w:r w:rsidRPr="00CC28EC">
        <w:rPr>
          <w:rFonts w:eastAsiaTheme="minorHAnsi"/>
          <w:sz w:val="24"/>
          <w:szCs w:val="24"/>
        </w:rPr>
        <w:t>faptul</w:t>
      </w:r>
      <w:proofErr w:type="spellEnd"/>
      <w:r w:rsidRPr="00CC28EC">
        <w:rPr>
          <w:rFonts w:eastAsiaTheme="minorHAnsi"/>
          <w:sz w:val="24"/>
          <w:szCs w:val="24"/>
        </w:rPr>
        <w:t xml:space="preserve"> </w:t>
      </w:r>
      <w:proofErr w:type="spellStart"/>
      <w:r w:rsidRPr="00CC28EC">
        <w:rPr>
          <w:rFonts w:eastAsiaTheme="minorHAnsi"/>
          <w:sz w:val="24"/>
          <w:szCs w:val="24"/>
        </w:rPr>
        <w:t>că</w:t>
      </w:r>
      <w:proofErr w:type="spellEnd"/>
      <w:r w:rsidRPr="00CC28EC">
        <w:rPr>
          <w:rFonts w:eastAsiaTheme="minorHAnsi"/>
          <w:sz w:val="24"/>
          <w:szCs w:val="24"/>
        </w:rPr>
        <w:t xml:space="preserve"> nu </w:t>
      </w:r>
      <w:proofErr w:type="spellStart"/>
      <w:r w:rsidRPr="00CC28EC">
        <w:rPr>
          <w:rFonts w:eastAsiaTheme="minorHAnsi"/>
          <w:sz w:val="24"/>
          <w:szCs w:val="24"/>
        </w:rPr>
        <w:t>trebuie</w:t>
      </w:r>
      <w:proofErr w:type="spellEnd"/>
      <w:r w:rsidRPr="00CC28EC">
        <w:rPr>
          <w:rFonts w:eastAsiaTheme="minorHAnsi"/>
          <w:sz w:val="24"/>
          <w:szCs w:val="24"/>
        </w:rPr>
        <w:t xml:space="preserve"> </w:t>
      </w:r>
      <w:proofErr w:type="spellStart"/>
      <w:r w:rsidRPr="00CC28EC">
        <w:rPr>
          <w:rFonts w:eastAsiaTheme="minorHAnsi"/>
          <w:sz w:val="24"/>
          <w:szCs w:val="24"/>
        </w:rPr>
        <w:t>să</w:t>
      </w:r>
      <w:proofErr w:type="spellEnd"/>
      <w:r w:rsidRPr="00CC28EC">
        <w:rPr>
          <w:rFonts w:eastAsiaTheme="minorHAnsi"/>
          <w:sz w:val="24"/>
          <w:szCs w:val="24"/>
        </w:rPr>
        <w:t xml:space="preserve"> </w:t>
      </w:r>
      <w:proofErr w:type="spellStart"/>
      <w:r w:rsidRPr="00CC28EC">
        <w:rPr>
          <w:rFonts w:eastAsiaTheme="minorHAnsi"/>
          <w:sz w:val="24"/>
          <w:szCs w:val="24"/>
        </w:rPr>
        <w:t>te</w:t>
      </w:r>
      <w:proofErr w:type="spellEnd"/>
      <w:r w:rsidRPr="00CC28EC">
        <w:rPr>
          <w:rFonts w:eastAsiaTheme="minorHAnsi"/>
          <w:sz w:val="24"/>
          <w:szCs w:val="24"/>
        </w:rPr>
        <w:t xml:space="preserve"> </w:t>
      </w:r>
      <w:proofErr w:type="spellStart"/>
      <w:r w:rsidRPr="00CC28EC">
        <w:rPr>
          <w:rFonts w:eastAsiaTheme="minorHAnsi"/>
          <w:sz w:val="24"/>
          <w:szCs w:val="24"/>
        </w:rPr>
        <w:t>îndatorezi</w:t>
      </w:r>
      <w:proofErr w:type="spellEnd"/>
      <w:r w:rsidRPr="00CC28EC">
        <w:rPr>
          <w:rFonts w:eastAsiaTheme="minorHAnsi"/>
          <w:sz w:val="24"/>
          <w:szCs w:val="24"/>
        </w:rPr>
        <w:t xml:space="preserve"> </w:t>
      </w:r>
      <w:proofErr w:type="spellStart"/>
      <w:r w:rsidRPr="00CC28EC">
        <w:rPr>
          <w:rFonts w:eastAsiaTheme="minorHAnsi"/>
          <w:sz w:val="24"/>
          <w:szCs w:val="24"/>
        </w:rPr>
        <w:t>continuu</w:t>
      </w:r>
      <w:proofErr w:type="spellEnd"/>
      <w:r w:rsidRPr="00CC28EC">
        <w:rPr>
          <w:rFonts w:eastAsiaTheme="minorHAnsi"/>
          <w:sz w:val="24"/>
          <w:szCs w:val="24"/>
        </w:rPr>
        <w:t xml:space="preserve">, </w:t>
      </w:r>
      <w:proofErr w:type="spellStart"/>
      <w:r w:rsidRPr="00CC28EC">
        <w:rPr>
          <w:rFonts w:eastAsiaTheme="minorHAnsi"/>
          <w:sz w:val="24"/>
          <w:szCs w:val="24"/>
        </w:rPr>
        <w:t>împrumuturile</w:t>
      </w:r>
      <w:proofErr w:type="spellEnd"/>
      <w:r w:rsidRPr="00CC28EC">
        <w:rPr>
          <w:rFonts w:eastAsiaTheme="minorHAnsi"/>
          <w:sz w:val="24"/>
          <w:szCs w:val="24"/>
        </w:rPr>
        <w:t xml:space="preserve"> nu </w:t>
      </w:r>
      <w:proofErr w:type="spellStart"/>
      <w:r w:rsidRPr="00CC28EC">
        <w:rPr>
          <w:rFonts w:eastAsiaTheme="minorHAnsi"/>
          <w:sz w:val="24"/>
          <w:szCs w:val="24"/>
        </w:rPr>
        <w:t>trebuie</w:t>
      </w:r>
      <w:proofErr w:type="spellEnd"/>
      <w:r w:rsidRPr="00CC28EC">
        <w:rPr>
          <w:rFonts w:eastAsiaTheme="minorHAnsi"/>
          <w:sz w:val="24"/>
          <w:szCs w:val="24"/>
        </w:rPr>
        <w:t xml:space="preserve"> </w:t>
      </w:r>
      <w:proofErr w:type="spellStart"/>
      <w:r w:rsidRPr="00CC28EC">
        <w:rPr>
          <w:rFonts w:eastAsiaTheme="minorHAnsi"/>
          <w:sz w:val="24"/>
          <w:szCs w:val="24"/>
        </w:rPr>
        <w:t>să</w:t>
      </w:r>
      <w:proofErr w:type="spellEnd"/>
      <w:r w:rsidRPr="00CC28EC">
        <w:rPr>
          <w:rFonts w:eastAsiaTheme="minorHAnsi"/>
          <w:sz w:val="24"/>
          <w:szCs w:val="24"/>
        </w:rPr>
        <w:t xml:space="preserve"> fie o </w:t>
      </w:r>
      <w:proofErr w:type="spellStart"/>
      <w:r w:rsidRPr="00CC28EC">
        <w:rPr>
          <w:rFonts w:eastAsiaTheme="minorHAnsi"/>
          <w:sz w:val="24"/>
          <w:szCs w:val="24"/>
        </w:rPr>
        <w:t>practică</w:t>
      </w:r>
      <w:proofErr w:type="spellEnd"/>
      <w:r w:rsidRPr="00CC28EC">
        <w:rPr>
          <w:rFonts w:eastAsiaTheme="minorHAnsi"/>
          <w:sz w:val="24"/>
          <w:szCs w:val="24"/>
        </w:rPr>
        <w:t xml:space="preserve"> </w:t>
      </w:r>
      <w:proofErr w:type="spellStart"/>
      <w:r w:rsidRPr="00CC28EC">
        <w:rPr>
          <w:rFonts w:eastAsiaTheme="minorHAnsi"/>
          <w:sz w:val="24"/>
          <w:szCs w:val="24"/>
        </w:rPr>
        <w:t>obișnuită</w:t>
      </w:r>
      <w:proofErr w:type="spellEnd"/>
      <w:r w:rsidRPr="00CC28EC">
        <w:rPr>
          <w:rFonts w:eastAsiaTheme="minorHAnsi"/>
          <w:sz w:val="24"/>
          <w:szCs w:val="24"/>
        </w:rPr>
        <w:t>, de zi cu zi.</w:t>
      </w:r>
      <w:r w:rsidR="00B27295" w:rsidRPr="00CC28EC">
        <w:rPr>
          <w:rFonts w:eastAsiaTheme="minorHAnsi"/>
          <w:sz w:val="24"/>
          <w:szCs w:val="24"/>
        </w:rPr>
        <w:t xml:space="preserve"> De </w:t>
      </w:r>
      <w:proofErr w:type="spellStart"/>
      <w:r w:rsidR="00B27295" w:rsidRPr="00CC28EC">
        <w:rPr>
          <w:rFonts w:eastAsiaTheme="minorHAnsi"/>
          <w:sz w:val="24"/>
          <w:szCs w:val="24"/>
        </w:rPr>
        <w:t>asemenea</w:t>
      </w:r>
      <w:proofErr w:type="spellEnd"/>
      <w:r w:rsidR="00B27295" w:rsidRPr="00CC28EC">
        <w:rPr>
          <w:rFonts w:eastAsiaTheme="minorHAnsi"/>
          <w:sz w:val="24"/>
          <w:szCs w:val="24"/>
        </w:rPr>
        <w:t xml:space="preserve"> </w:t>
      </w:r>
      <w:bookmarkStart w:id="14" w:name="_Hlk85385193"/>
      <w:proofErr w:type="spellStart"/>
      <w:r w:rsidR="00B27295" w:rsidRPr="00CC28EC">
        <w:rPr>
          <w:rFonts w:eastAsiaTheme="minorHAnsi"/>
          <w:sz w:val="24"/>
          <w:szCs w:val="24"/>
        </w:rPr>
        <w:t>sumele</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rezultate</w:t>
      </w:r>
      <w:proofErr w:type="spellEnd"/>
      <w:r w:rsidR="00B27295" w:rsidRPr="00CC28EC">
        <w:rPr>
          <w:rFonts w:eastAsiaTheme="minorHAnsi"/>
          <w:sz w:val="24"/>
          <w:szCs w:val="24"/>
        </w:rPr>
        <w:t xml:space="preserve"> din </w:t>
      </w:r>
      <w:proofErr w:type="spellStart"/>
      <w:r w:rsidR="00B27295" w:rsidRPr="00CC28EC">
        <w:rPr>
          <w:rFonts w:eastAsiaTheme="minorHAnsi"/>
          <w:sz w:val="24"/>
          <w:szCs w:val="24"/>
        </w:rPr>
        <w:t>împrumuturi</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trebui</w:t>
      </w:r>
      <w:r w:rsidR="00B27295" w:rsidRPr="00CC28EC">
        <w:rPr>
          <w:rFonts w:eastAsiaTheme="minorHAnsi"/>
          <w:sz w:val="24"/>
          <w:szCs w:val="24"/>
        </w:rPr>
        <w:t>e</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utilizate</w:t>
      </w:r>
      <w:proofErr w:type="spellEnd"/>
      <w:r w:rsidR="0059540C" w:rsidRPr="00CC28EC">
        <w:rPr>
          <w:rFonts w:eastAsiaTheme="minorHAnsi"/>
          <w:sz w:val="24"/>
          <w:szCs w:val="24"/>
        </w:rPr>
        <w:t xml:space="preserve">, </w:t>
      </w:r>
      <w:proofErr w:type="spellStart"/>
      <w:r w:rsidR="00B27295" w:rsidRPr="00CC28EC">
        <w:rPr>
          <w:rFonts w:eastAsiaTheme="minorHAnsi"/>
          <w:sz w:val="24"/>
          <w:szCs w:val="24"/>
        </w:rPr>
        <w:t>spre</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domenii</w:t>
      </w:r>
      <w:proofErr w:type="spellEnd"/>
      <w:r w:rsidR="00B27295" w:rsidRPr="00CC28EC">
        <w:rPr>
          <w:rFonts w:eastAsiaTheme="minorHAnsi"/>
          <w:sz w:val="24"/>
          <w:szCs w:val="24"/>
        </w:rPr>
        <w:t xml:space="preserve"> care </w:t>
      </w:r>
      <w:proofErr w:type="spellStart"/>
      <w:r w:rsidR="00B27295" w:rsidRPr="00CC28EC">
        <w:rPr>
          <w:rFonts w:eastAsiaTheme="minorHAnsi"/>
          <w:sz w:val="24"/>
          <w:szCs w:val="24"/>
        </w:rPr>
        <w:t>aduc</w:t>
      </w:r>
      <w:proofErr w:type="spellEnd"/>
      <w:r w:rsidR="00B27295" w:rsidRPr="00CC28EC">
        <w:rPr>
          <w:rFonts w:eastAsiaTheme="minorHAnsi"/>
          <w:sz w:val="24"/>
          <w:szCs w:val="24"/>
        </w:rPr>
        <w:t xml:space="preserve"> </w:t>
      </w:r>
      <w:proofErr w:type="spellStart"/>
      <w:r w:rsidR="0059540C" w:rsidRPr="00CC28EC">
        <w:rPr>
          <w:rFonts w:eastAsiaTheme="minorHAnsi"/>
          <w:sz w:val="24"/>
          <w:szCs w:val="24"/>
        </w:rPr>
        <w:t>valoare</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adăugată</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în</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economie</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făcând</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posibil</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obținerea</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în</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viitor</w:t>
      </w:r>
      <w:proofErr w:type="spellEnd"/>
      <w:r w:rsidR="00B27295" w:rsidRPr="00CC28EC">
        <w:rPr>
          <w:rFonts w:eastAsiaTheme="minorHAnsi"/>
          <w:sz w:val="24"/>
          <w:szCs w:val="24"/>
        </w:rPr>
        <w:t xml:space="preserve"> de </w:t>
      </w:r>
      <w:proofErr w:type="spellStart"/>
      <w:r w:rsidR="00B27295" w:rsidRPr="00CC28EC">
        <w:rPr>
          <w:rFonts w:eastAsiaTheme="minorHAnsi"/>
          <w:sz w:val="24"/>
          <w:szCs w:val="24"/>
        </w:rPr>
        <w:t>sume</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pentru</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rambursarea</w:t>
      </w:r>
      <w:proofErr w:type="spellEnd"/>
      <w:r w:rsidR="0059540C" w:rsidRPr="00CC28EC">
        <w:rPr>
          <w:rFonts w:eastAsiaTheme="minorHAnsi"/>
          <w:sz w:val="24"/>
          <w:szCs w:val="24"/>
        </w:rPr>
        <w:t xml:space="preserve"> </w:t>
      </w:r>
      <w:proofErr w:type="spellStart"/>
      <w:r w:rsidR="0059540C" w:rsidRPr="00CC28EC">
        <w:rPr>
          <w:rFonts w:eastAsiaTheme="minorHAnsi"/>
          <w:sz w:val="24"/>
          <w:szCs w:val="24"/>
        </w:rPr>
        <w:t>datori</w:t>
      </w:r>
      <w:r w:rsidR="00B27295" w:rsidRPr="00CC28EC">
        <w:rPr>
          <w:rFonts w:eastAsiaTheme="minorHAnsi"/>
          <w:sz w:val="24"/>
          <w:szCs w:val="24"/>
        </w:rPr>
        <w:t>ei</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contractate</w:t>
      </w:r>
      <w:proofErr w:type="spellEnd"/>
      <w:r w:rsidR="0059540C" w:rsidRPr="00CC28EC">
        <w:rPr>
          <w:rFonts w:eastAsiaTheme="minorHAnsi"/>
          <w:sz w:val="24"/>
          <w:szCs w:val="24"/>
        </w:rPr>
        <w:t>.</w:t>
      </w:r>
    </w:p>
    <w:p w14:paraId="73082D8B" w14:textId="77B12116" w:rsidR="0059540C" w:rsidRPr="00CC28EC" w:rsidRDefault="0059540C" w:rsidP="00D15750">
      <w:pPr>
        <w:autoSpaceDE/>
        <w:autoSpaceDN/>
        <w:jc w:val="both"/>
        <w:rPr>
          <w:rFonts w:eastAsiaTheme="minorHAnsi"/>
          <w:sz w:val="24"/>
          <w:szCs w:val="24"/>
        </w:rPr>
      </w:pPr>
      <w:r w:rsidRPr="00CC28EC">
        <w:rPr>
          <w:rFonts w:eastAsiaTheme="minorHAnsi"/>
        </w:rPr>
        <w:tab/>
      </w:r>
      <w:r w:rsidR="00B27295" w:rsidRPr="00CC28EC">
        <w:rPr>
          <w:rFonts w:eastAsiaTheme="minorHAnsi"/>
          <w:sz w:val="24"/>
          <w:szCs w:val="24"/>
        </w:rPr>
        <w:t xml:space="preserve">De </w:t>
      </w:r>
      <w:proofErr w:type="spellStart"/>
      <w:r w:rsidR="00B27295" w:rsidRPr="00CC28EC">
        <w:rPr>
          <w:rFonts w:eastAsiaTheme="minorHAnsi"/>
          <w:sz w:val="24"/>
          <w:szCs w:val="24"/>
        </w:rPr>
        <w:t>asemenea</w:t>
      </w:r>
      <w:proofErr w:type="spellEnd"/>
      <w:r w:rsidR="00B27295" w:rsidRPr="00CC28EC">
        <w:rPr>
          <w:rFonts w:eastAsiaTheme="minorHAnsi"/>
          <w:sz w:val="24"/>
          <w:szCs w:val="24"/>
        </w:rPr>
        <w:t xml:space="preserve">, se pare </w:t>
      </w:r>
      <w:proofErr w:type="spellStart"/>
      <w:r w:rsidR="00B27295" w:rsidRPr="00CC28EC">
        <w:rPr>
          <w:rFonts w:eastAsiaTheme="minorHAnsi"/>
          <w:sz w:val="24"/>
          <w:szCs w:val="24"/>
        </w:rPr>
        <w:t>că</w:t>
      </w:r>
      <w:proofErr w:type="spellEnd"/>
      <w:r w:rsidR="00B27295" w:rsidRPr="00CC28EC">
        <w:rPr>
          <w:rFonts w:eastAsiaTheme="minorHAnsi"/>
          <w:sz w:val="24"/>
          <w:szCs w:val="24"/>
        </w:rPr>
        <w:t xml:space="preserve"> nu </w:t>
      </w:r>
      <w:proofErr w:type="spellStart"/>
      <w:r w:rsidR="00B27295" w:rsidRPr="00CC28EC">
        <w:rPr>
          <w:rFonts w:eastAsiaTheme="minorHAnsi"/>
          <w:sz w:val="24"/>
          <w:szCs w:val="24"/>
        </w:rPr>
        <w:t>știu</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faptul</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că</w:t>
      </w:r>
      <w:proofErr w:type="spellEnd"/>
      <w:r w:rsidR="00B27295" w:rsidRPr="00CC28EC">
        <w:rPr>
          <w:rFonts w:eastAsiaTheme="minorHAnsi"/>
          <w:sz w:val="24"/>
          <w:szCs w:val="24"/>
        </w:rPr>
        <w:t xml:space="preserve"> </w:t>
      </w:r>
      <w:proofErr w:type="spellStart"/>
      <w:r w:rsidRPr="00CC28EC">
        <w:rPr>
          <w:rFonts w:eastAsiaTheme="minorHAnsi"/>
          <w:sz w:val="24"/>
          <w:szCs w:val="24"/>
        </w:rPr>
        <w:t>dimensiunile</w:t>
      </w:r>
      <w:proofErr w:type="spellEnd"/>
      <w:r w:rsidRPr="00CC28EC">
        <w:rPr>
          <w:rFonts w:eastAsiaTheme="minorHAnsi"/>
          <w:sz w:val="24"/>
          <w:szCs w:val="24"/>
        </w:rPr>
        <w:t xml:space="preserve"> </w:t>
      </w:r>
      <w:proofErr w:type="spellStart"/>
      <w:r w:rsidRPr="00CC28EC">
        <w:rPr>
          <w:rFonts w:eastAsiaTheme="minorHAnsi"/>
          <w:sz w:val="24"/>
          <w:szCs w:val="24"/>
        </w:rPr>
        <w:t>îndatorării</w:t>
      </w:r>
      <w:proofErr w:type="spellEnd"/>
      <w:r w:rsidRPr="00CC28EC">
        <w:rPr>
          <w:rFonts w:eastAsiaTheme="minorHAnsi"/>
          <w:sz w:val="24"/>
          <w:szCs w:val="24"/>
        </w:rPr>
        <w:t xml:space="preserve"> </w:t>
      </w:r>
      <w:proofErr w:type="spellStart"/>
      <w:r w:rsidRPr="00CC28EC">
        <w:rPr>
          <w:rFonts w:eastAsiaTheme="minorHAnsi"/>
          <w:sz w:val="24"/>
          <w:szCs w:val="24"/>
        </w:rPr>
        <w:t>publice</w:t>
      </w:r>
      <w:proofErr w:type="spellEnd"/>
      <w:r w:rsidRPr="00CC28EC">
        <w:rPr>
          <w:rFonts w:eastAsiaTheme="minorHAnsi"/>
          <w:sz w:val="24"/>
          <w:szCs w:val="24"/>
        </w:rPr>
        <w:t xml:space="preserve"> </w:t>
      </w:r>
      <w:r w:rsidR="00B27295" w:rsidRPr="00CC28EC">
        <w:rPr>
          <w:rFonts w:eastAsiaTheme="minorHAnsi"/>
          <w:sz w:val="24"/>
          <w:szCs w:val="24"/>
        </w:rPr>
        <w:t>(</w:t>
      </w:r>
      <w:r w:rsidRPr="00CC28EC">
        <w:rPr>
          <w:rFonts w:eastAsiaTheme="minorHAnsi"/>
          <w:sz w:val="24"/>
          <w:szCs w:val="24"/>
        </w:rPr>
        <w:t xml:space="preserve">rata la care se </w:t>
      </w:r>
      <w:proofErr w:type="spellStart"/>
      <w:r w:rsidRPr="00CC28EC">
        <w:rPr>
          <w:rFonts w:eastAsiaTheme="minorHAnsi"/>
          <w:sz w:val="24"/>
          <w:szCs w:val="24"/>
        </w:rPr>
        <w:t>acumulează</w:t>
      </w:r>
      <w:proofErr w:type="spellEnd"/>
      <w:r w:rsidRPr="00CC28EC">
        <w:rPr>
          <w:rFonts w:eastAsiaTheme="minorHAnsi"/>
          <w:sz w:val="24"/>
          <w:szCs w:val="24"/>
        </w:rPr>
        <w:t xml:space="preserve"> </w:t>
      </w:r>
      <w:proofErr w:type="spellStart"/>
      <w:r w:rsidRPr="00CC28EC">
        <w:rPr>
          <w:rFonts w:eastAsiaTheme="minorHAnsi"/>
          <w:sz w:val="24"/>
          <w:szCs w:val="24"/>
        </w:rPr>
        <w:t>datoria</w:t>
      </w:r>
      <w:proofErr w:type="spellEnd"/>
      <w:r w:rsidRPr="00CC28EC">
        <w:rPr>
          <w:rFonts w:eastAsiaTheme="minorHAnsi"/>
          <w:sz w:val="24"/>
          <w:szCs w:val="24"/>
        </w:rPr>
        <w:t xml:space="preserve"> </w:t>
      </w:r>
      <w:proofErr w:type="spellStart"/>
      <w:r w:rsidRPr="00CC28EC">
        <w:rPr>
          <w:rFonts w:eastAsiaTheme="minorHAnsi"/>
          <w:sz w:val="24"/>
          <w:szCs w:val="24"/>
        </w:rPr>
        <w:t>publică</w:t>
      </w:r>
      <w:proofErr w:type="spellEnd"/>
      <w:r w:rsidRPr="00CC28EC">
        <w:rPr>
          <w:rFonts w:eastAsiaTheme="minorHAnsi"/>
          <w:sz w:val="24"/>
          <w:szCs w:val="24"/>
        </w:rPr>
        <w:t xml:space="preserve">, </w:t>
      </w:r>
      <w:proofErr w:type="spellStart"/>
      <w:r w:rsidR="00B27295" w:rsidRPr="00CC28EC">
        <w:rPr>
          <w:rFonts w:eastAsiaTheme="minorHAnsi"/>
          <w:sz w:val="24"/>
          <w:szCs w:val="24"/>
        </w:rPr>
        <w:t>volumul</w:t>
      </w:r>
      <w:proofErr w:type="spellEnd"/>
      <w:r w:rsidR="00B27295" w:rsidRPr="00CC28EC">
        <w:rPr>
          <w:rFonts w:eastAsiaTheme="minorHAnsi"/>
          <w:sz w:val="24"/>
          <w:szCs w:val="24"/>
        </w:rPr>
        <w:t xml:space="preserve"> total </w:t>
      </w:r>
      <w:r w:rsidRPr="00CC28EC">
        <w:rPr>
          <w:rFonts w:eastAsiaTheme="minorHAnsi"/>
          <w:sz w:val="24"/>
          <w:szCs w:val="24"/>
        </w:rPr>
        <w:t xml:space="preserve">a </w:t>
      </w:r>
      <w:proofErr w:type="spellStart"/>
      <w:r w:rsidRPr="00CC28EC">
        <w:rPr>
          <w:rFonts w:eastAsiaTheme="minorHAnsi"/>
          <w:sz w:val="24"/>
          <w:szCs w:val="24"/>
        </w:rPr>
        <w:t>datoriei</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poate</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avea</w:t>
      </w:r>
      <w:proofErr w:type="spellEnd"/>
      <w:r w:rsidRPr="00CC28EC">
        <w:rPr>
          <w:rFonts w:eastAsiaTheme="minorHAnsi"/>
          <w:sz w:val="24"/>
          <w:szCs w:val="24"/>
        </w:rPr>
        <w:t xml:space="preserve"> </w:t>
      </w:r>
      <w:proofErr w:type="spellStart"/>
      <w:r w:rsidRPr="00CC28EC">
        <w:rPr>
          <w:rFonts w:eastAsiaTheme="minorHAnsi"/>
          <w:sz w:val="24"/>
          <w:szCs w:val="24"/>
        </w:rPr>
        <w:t>efecte</w:t>
      </w:r>
      <w:proofErr w:type="spellEnd"/>
      <w:r w:rsidRPr="00CC28EC">
        <w:rPr>
          <w:rFonts w:eastAsiaTheme="minorHAnsi"/>
          <w:sz w:val="24"/>
          <w:szCs w:val="24"/>
        </w:rPr>
        <w:t xml:space="preserve"> </w:t>
      </w:r>
      <w:proofErr w:type="spellStart"/>
      <w:r w:rsidR="00B27295" w:rsidRPr="00CC28EC">
        <w:rPr>
          <w:rFonts w:eastAsiaTheme="minorHAnsi"/>
          <w:sz w:val="24"/>
          <w:szCs w:val="24"/>
        </w:rPr>
        <w:t>neplăcute</w:t>
      </w:r>
      <w:proofErr w:type="spellEnd"/>
      <w:r w:rsidRPr="00CC28EC">
        <w:rPr>
          <w:rFonts w:eastAsiaTheme="minorHAnsi"/>
          <w:sz w:val="24"/>
          <w:szCs w:val="24"/>
        </w:rPr>
        <w:t xml:space="preserve"> (</w:t>
      </w:r>
      <w:proofErr w:type="spellStart"/>
      <w:r w:rsidRPr="00CC28EC">
        <w:rPr>
          <w:rFonts w:eastAsiaTheme="minorHAnsi"/>
          <w:sz w:val="24"/>
          <w:szCs w:val="24"/>
        </w:rPr>
        <w:t>creșterea</w:t>
      </w:r>
      <w:proofErr w:type="spellEnd"/>
      <w:r w:rsidRPr="00CC28EC">
        <w:rPr>
          <w:rFonts w:eastAsiaTheme="minorHAnsi"/>
          <w:sz w:val="24"/>
          <w:szCs w:val="24"/>
        </w:rPr>
        <w:t xml:space="preserve"> </w:t>
      </w:r>
      <w:proofErr w:type="spellStart"/>
      <w:r w:rsidRPr="00CC28EC">
        <w:rPr>
          <w:rFonts w:eastAsiaTheme="minorHAnsi"/>
          <w:sz w:val="24"/>
          <w:szCs w:val="24"/>
        </w:rPr>
        <w:t>ratei</w:t>
      </w:r>
      <w:proofErr w:type="spellEnd"/>
      <w:r w:rsidRPr="00CC28EC">
        <w:rPr>
          <w:rFonts w:eastAsiaTheme="minorHAnsi"/>
          <w:sz w:val="24"/>
          <w:szCs w:val="24"/>
        </w:rPr>
        <w:t xml:space="preserve"> </w:t>
      </w:r>
      <w:proofErr w:type="spellStart"/>
      <w:r w:rsidRPr="00CC28EC">
        <w:rPr>
          <w:rFonts w:eastAsiaTheme="minorHAnsi"/>
          <w:sz w:val="24"/>
          <w:szCs w:val="24"/>
        </w:rPr>
        <w:t>dobânzii</w:t>
      </w:r>
      <w:proofErr w:type="spellEnd"/>
      <w:r w:rsidRPr="00CC28EC">
        <w:rPr>
          <w:rFonts w:eastAsiaTheme="minorHAnsi"/>
          <w:sz w:val="24"/>
          <w:szCs w:val="24"/>
        </w:rPr>
        <w:t xml:space="preserve">, </w:t>
      </w:r>
      <w:proofErr w:type="spellStart"/>
      <w:r w:rsidRPr="00CC28EC">
        <w:rPr>
          <w:rFonts w:eastAsiaTheme="minorHAnsi"/>
          <w:sz w:val="24"/>
          <w:szCs w:val="24"/>
        </w:rPr>
        <w:t>creșterea</w:t>
      </w:r>
      <w:proofErr w:type="spellEnd"/>
      <w:r w:rsidRPr="00CC28EC">
        <w:rPr>
          <w:rFonts w:eastAsiaTheme="minorHAnsi"/>
          <w:sz w:val="24"/>
          <w:szCs w:val="24"/>
        </w:rPr>
        <w:t xml:space="preserve"> </w:t>
      </w:r>
      <w:proofErr w:type="spellStart"/>
      <w:r w:rsidR="00B27295" w:rsidRPr="00CC28EC">
        <w:rPr>
          <w:rFonts w:eastAsiaTheme="minorHAnsi"/>
          <w:sz w:val="24"/>
          <w:szCs w:val="24"/>
        </w:rPr>
        <w:t>cursului</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valutar</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creșterea</w:t>
      </w:r>
      <w:proofErr w:type="spellEnd"/>
      <w:r w:rsidR="00B27295" w:rsidRPr="00CC28EC">
        <w:rPr>
          <w:rFonts w:eastAsiaTheme="minorHAnsi"/>
          <w:sz w:val="24"/>
          <w:szCs w:val="24"/>
        </w:rPr>
        <w:t xml:space="preserve"> </w:t>
      </w:r>
      <w:proofErr w:type="spellStart"/>
      <w:r w:rsidR="00B27295" w:rsidRPr="00CC28EC">
        <w:rPr>
          <w:rFonts w:eastAsiaTheme="minorHAnsi"/>
          <w:sz w:val="24"/>
          <w:szCs w:val="24"/>
        </w:rPr>
        <w:t>inflației</w:t>
      </w:r>
      <w:proofErr w:type="spellEnd"/>
      <w:r w:rsidRPr="00CC28EC">
        <w:rPr>
          <w:rFonts w:eastAsiaTheme="minorHAnsi"/>
          <w:sz w:val="24"/>
          <w:szCs w:val="24"/>
        </w:rPr>
        <w:t xml:space="preserve">) </w:t>
      </w:r>
      <w:r w:rsidR="00B27295" w:rsidRPr="00CC28EC">
        <w:rPr>
          <w:rFonts w:eastAsiaTheme="minorHAnsi"/>
          <w:sz w:val="24"/>
          <w:szCs w:val="24"/>
        </w:rPr>
        <w:t xml:space="preserve">cu </w:t>
      </w:r>
      <w:proofErr w:type="spellStart"/>
      <w:r w:rsidR="00B27295" w:rsidRPr="00CC28EC">
        <w:rPr>
          <w:rFonts w:eastAsiaTheme="minorHAnsi"/>
          <w:sz w:val="24"/>
          <w:szCs w:val="24"/>
        </w:rPr>
        <w:t>efecte</w:t>
      </w:r>
      <w:proofErr w:type="spellEnd"/>
      <w:r w:rsidRPr="00CC28EC">
        <w:rPr>
          <w:rFonts w:eastAsiaTheme="minorHAnsi"/>
          <w:sz w:val="24"/>
          <w:szCs w:val="24"/>
        </w:rPr>
        <w:t xml:space="preserve"> negative </w:t>
      </w:r>
      <w:proofErr w:type="spellStart"/>
      <w:r w:rsidRPr="00CC28EC">
        <w:rPr>
          <w:rFonts w:eastAsiaTheme="minorHAnsi"/>
          <w:sz w:val="24"/>
          <w:szCs w:val="24"/>
        </w:rPr>
        <w:t>asupra</w:t>
      </w:r>
      <w:proofErr w:type="spellEnd"/>
      <w:r w:rsidRPr="00CC28EC">
        <w:rPr>
          <w:rFonts w:eastAsiaTheme="minorHAnsi"/>
          <w:sz w:val="24"/>
          <w:szCs w:val="24"/>
        </w:rPr>
        <w:t xml:space="preserve"> </w:t>
      </w:r>
      <w:proofErr w:type="spellStart"/>
      <w:r w:rsidR="00B27295" w:rsidRPr="00CC28EC">
        <w:rPr>
          <w:rFonts w:eastAsiaTheme="minorHAnsi"/>
          <w:sz w:val="24"/>
          <w:szCs w:val="24"/>
        </w:rPr>
        <w:t>nivelului</w:t>
      </w:r>
      <w:proofErr w:type="spellEnd"/>
      <w:r w:rsidR="00B27295" w:rsidRPr="00CC28EC">
        <w:rPr>
          <w:rFonts w:eastAsiaTheme="minorHAnsi"/>
          <w:sz w:val="24"/>
          <w:szCs w:val="24"/>
        </w:rPr>
        <w:t xml:space="preserve"> de </w:t>
      </w:r>
      <w:proofErr w:type="spellStart"/>
      <w:r w:rsidR="00B27295" w:rsidRPr="00CC28EC">
        <w:rPr>
          <w:rFonts w:eastAsiaTheme="minorHAnsi"/>
          <w:sz w:val="24"/>
          <w:szCs w:val="24"/>
        </w:rPr>
        <w:t>trai</w:t>
      </w:r>
      <w:proofErr w:type="spellEnd"/>
      <w:r w:rsidRPr="00CC28EC">
        <w:rPr>
          <w:rFonts w:eastAsiaTheme="minorHAnsi"/>
          <w:sz w:val="24"/>
          <w:szCs w:val="24"/>
        </w:rPr>
        <w:t>.</w:t>
      </w:r>
      <w:bookmarkEnd w:id="14"/>
    </w:p>
    <w:p w14:paraId="58E4471A" w14:textId="77777777" w:rsidR="006E2BA3" w:rsidRDefault="00726D61" w:rsidP="006E2BA3">
      <w:pPr>
        <w:keepNext/>
        <w:spacing w:before="120" w:after="120" w:line="276" w:lineRule="auto"/>
        <w:ind w:firstLine="567"/>
        <w:outlineLvl w:val="1"/>
        <w:rPr>
          <w:b/>
          <w:iCs/>
          <w:smallCaps/>
          <w:sz w:val="24"/>
          <w:szCs w:val="24"/>
        </w:rPr>
      </w:pPr>
      <w:r w:rsidRPr="00CC28EC">
        <w:tab/>
      </w:r>
      <w:r w:rsidR="006E2BA3">
        <w:rPr>
          <w:b/>
          <w:iCs/>
          <w:smallCaps/>
          <w:sz w:val="24"/>
          <w:szCs w:val="24"/>
        </w:rPr>
        <w:t>References</w:t>
      </w:r>
    </w:p>
    <w:p w14:paraId="4888A0C3" w14:textId="77777777" w:rsidR="006E2BA3" w:rsidRDefault="006E2BA3" w:rsidP="006E2BA3">
      <w:pPr>
        <w:shd w:val="clear" w:color="auto" w:fill="FFFFFF" w:themeFill="background1"/>
        <w:tabs>
          <w:tab w:val="left" w:pos="90"/>
        </w:tabs>
        <w:jc w:val="both"/>
        <w:rPr>
          <w:sz w:val="24"/>
          <w:szCs w:val="24"/>
        </w:rPr>
      </w:pPr>
      <w:r>
        <w:rPr>
          <w:sz w:val="24"/>
          <w:szCs w:val="24"/>
        </w:rPr>
        <w:t>1. Barro, Robert, (1974), Are government bonds net wealth? Journal of Political Economy 82(6): 1095-1117</w:t>
      </w:r>
    </w:p>
    <w:p w14:paraId="3C8C3D65" w14:textId="77777777" w:rsidR="006E2BA3" w:rsidRDefault="006E2BA3" w:rsidP="006E2BA3">
      <w:pPr>
        <w:widowControl w:val="0"/>
        <w:overflowPunct w:val="0"/>
        <w:adjustRightInd w:val="0"/>
        <w:jc w:val="both"/>
        <w:textAlignment w:val="baseline"/>
        <w:rPr>
          <w:sz w:val="24"/>
          <w:szCs w:val="24"/>
        </w:rPr>
      </w:pPr>
      <w:r>
        <w:rPr>
          <w:rFonts w:ascii="TimesNewRoman,Bold" w:hAnsi="TimesNewRoman,Bold"/>
          <w:sz w:val="24"/>
          <w:szCs w:val="24"/>
        </w:rPr>
        <w:t xml:space="preserve">2. </w:t>
      </w:r>
      <w:r>
        <w:rPr>
          <w:sz w:val="24"/>
          <w:szCs w:val="24"/>
        </w:rPr>
        <w:t xml:space="preserve">Beaumont, Craig, </w:t>
      </w:r>
      <w:proofErr w:type="spellStart"/>
      <w:r>
        <w:rPr>
          <w:sz w:val="24"/>
          <w:szCs w:val="24"/>
        </w:rPr>
        <w:t>Hakura</w:t>
      </w:r>
      <w:proofErr w:type="spellEnd"/>
      <w:r>
        <w:rPr>
          <w:sz w:val="24"/>
          <w:szCs w:val="24"/>
        </w:rPr>
        <w:t xml:space="preserve">, Dalia, (2021), The Common Framework: Utilizing its Flexibility to Support Developing Countries’ Recovery, IMF, Strategy, Policy and Review, </w:t>
      </w:r>
      <w:proofErr w:type="spellStart"/>
      <w:r>
        <w:rPr>
          <w:sz w:val="24"/>
          <w:szCs w:val="24"/>
        </w:rPr>
        <w:t>pag</w:t>
      </w:r>
      <w:proofErr w:type="spellEnd"/>
      <w:r>
        <w:rPr>
          <w:sz w:val="24"/>
          <w:szCs w:val="24"/>
        </w:rPr>
        <w:t>. 3</w:t>
      </w:r>
    </w:p>
    <w:p w14:paraId="6B1C1C63" w14:textId="77777777" w:rsidR="006E2BA3" w:rsidRDefault="006E2BA3" w:rsidP="006E2BA3">
      <w:pPr>
        <w:shd w:val="clear" w:color="auto" w:fill="FFFFFF" w:themeFill="background1"/>
        <w:jc w:val="both"/>
        <w:rPr>
          <w:sz w:val="24"/>
          <w:szCs w:val="24"/>
        </w:rPr>
      </w:pPr>
      <w:r>
        <w:rPr>
          <w:sz w:val="24"/>
          <w:szCs w:val="24"/>
        </w:rPr>
        <w:t xml:space="preserve">3. </w:t>
      </w:r>
      <w:bookmarkStart w:id="15" w:name="_Hlk80460910"/>
      <w:proofErr w:type="spellStart"/>
      <w:r>
        <w:rPr>
          <w:sz w:val="24"/>
          <w:szCs w:val="24"/>
        </w:rPr>
        <w:t>Bilan</w:t>
      </w:r>
      <w:proofErr w:type="spellEnd"/>
      <w:r>
        <w:rPr>
          <w:sz w:val="24"/>
          <w:szCs w:val="24"/>
        </w:rPr>
        <w:t>, Irina, (2016)</w:t>
      </w:r>
      <w:bookmarkEnd w:id="15"/>
      <w:r>
        <w:rPr>
          <w:sz w:val="24"/>
          <w:szCs w:val="24"/>
        </w:rPr>
        <w:t xml:space="preserve">, Overview of the Main Theories </w:t>
      </w:r>
      <w:proofErr w:type="spellStart"/>
      <w:r>
        <w:rPr>
          <w:sz w:val="24"/>
          <w:szCs w:val="24"/>
        </w:rPr>
        <w:t>onthe</w:t>
      </w:r>
      <w:proofErr w:type="spellEnd"/>
      <w:r>
        <w:rPr>
          <w:sz w:val="24"/>
          <w:szCs w:val="24"/>
        </w:rPr>
        <w:t xml:space="preserve"> Economic Effects of Public Indebtedness, EIRP Proceedings, Vol 11</w:t>
      </w:r>
    </w:p>
    <w:p w14:paraId="3079F3DB" w14:textId="77777777" w:rsidR="006E2BA3" w:rsidRDefault="006E2BA3" w:rsidP="006E2BA3">
      <w:pPr>
        <w:tabs>
          <w:tab w:val="left" w:pos="-90"/>
        </w:tabs>
        <w:jc w:val="both"/>
        <w:rPr>
          <w:sz w:val="24"/>
          <w:szCs w:val="24"/>
        </w:rPr>
      </w:pPr>
      <w:bookmarkStart w:id="16" w:name="_Hlk80523982"/>
      <w:r>
        <w:rPr>
          <w:sz w:val="24"/>
          <w:szCs w:val="24"/>
        </w:rPr>
        <w:t xml:space="preserve">4. </w:t>
      </w:r>
      <w:proofErr w:type="spellStart"/>
      <w:r>
        <w:rPr>
          <w:sz w:val="24"/>
          <w:szCs w:val="24"/>
        </w:rPr>
        <w:t>Cerna</w:t>
      </w:r>
      <w:proofErr w:type="spellEnd"/>
      <w:r>
        <w:rPr>
          <w:sz w:val="24"/>
          <w:szCs w:val="24"/>
        </w:rPr>
        <w:t xml:space="preserve">, </w:t>
      </w:r>
      <w:proofErr w:type="spellStart"/>
      <w:r>
        <w:rPr>
          <w:sz w:val="24"/>
          <w:szCs w:val="24"/>
        </w:rPr>
        <w:t>Silviu</w:t>
      </w:r>
      <w:proofErr w:type="spellEnd"/>
      <w:r>
        <w:rPr>
          <w:sz w:val="24"/>
          <w:szCs w:val="24"/>
        </w:rPr>
        <w:t>, (2019)</w:t>
      </w:r>
      <w:bookmarkEnd w:id="16"/>
      <w:r>
        <w:rPr>
          <w:sz w:val="24"/>
          <w:szCs w:val="24"/>
        </w:rPr>
        <w:t xml:space="preserve">, Teoria </w:t>
      </w:r>
      <w:proofErr w:type="spellStart"/>
      <w:r>
        <w:rPr>
          <w:sz w:val="24"/>
          <w:szCs w:val="24"/>
        </w:rPr>
        <w:t>monetară</w:t>
      </w:r>
      <w:proofErr w:type="spellEnd"/>
      <w:r>
        <w:rPr>
          <w:sz w:val="24"/>
          <w:szCs w:val="24"/>
        </w:rPr>
        <w:t xml:space="preserve"> </w:t>
      </w:r>
      <w:proofErr w:type="spellStart"/>
      <w:r>
        <w:rPr>
          <w:sz w:val="24"/>
          <w:szCs w:val="24"/>
        </w:rPr>
        <w:t>modernă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implicațiile</w:t>
      </w:r>
      <w:proofErr w:type="spellEnd"/>
      <w:r>
        <w:rPr>
          <w:sz w:val="24"/>
          <w:szCs w:val="24"/>
        </w:rPr>
        <w:t xml:space="preserve"> sale </w:t>
      </w:r>
      <w:proofErr w:type="spellStart"/>
      <w:r>
        <w:rPr>
          <w:sz w:val="24"/>
          <w:szCs w:val="24"/>
        </w:rPr>
        <w:t>nefaste</w:t>
      </w:r>
      <w:proofErr w:type="spellEnd"/>
      <w:r>
        <w:rPr>
          <w:sz w:val="24"/>
          <w:szCs w:val="24"/>
        </w:rPr>
        <w:t xml:space="preserve">, </w:t>
      </w:r>
      <w:proofErr w:type="spellStart"/>
      <w:r>
        <w:rPr>
          <w:sz w:val="24"/>
          <w:szCs w:val="24"/>
        </w:rPr>
        <w:t>Oeconomica</w:t>
      </w:r>
      <w:proofErr w:type="spellEnd"/>
      <w:r>
        <w:rPr>
          <w:sz w:val="24"/>
          <w:szCs w:val="24"/>
        </w:rPr>
        <w:t>, no. 3</w:t>
      </w:r>
    </w:p>
    <w:p w14:paraId="518CF5FE" w14:textId="77777777" w:rsidR="006E2BA3" w:rsidRDefault="006E2BA3" w:rsidP="006E2BA3">
      <w:pPr>
        <w:tabs>
          <w:tab w:val="left" w:pos="-90"/>
        </w:tabs>
        <w:jc w:val="both"/>
        <w:rPr>
          <w:sz w:val="24"/>
          <w:szCs w:val="24"/>
        </w:rPr>
      </w:pPr>
      <w:r>
        <w:rPr>
          <w:sz w:val="24"/>
          <w:szCs w:val="24"/>
        </w:rPr>
        <w:t xml:space="preserve">5. </w:t>
      </w:r>
      <w:proofErr w:type="spellStart"/>
      <w:r>
        <w:rPr>
          <w:sz w:val="24"/>
          <w:szCs w:val="24"/>
        </w:rPr>
        <w:t>Cerna</w:t>
      </w:r>
      <w:proofErr w:type="spellEnd"/>
      <w:r>
        <w:rPr>
          <w:sz w:val="24"/>
          <w:szCs w:val="24"/>
        </w:rPr>
        <w:t xml:space="preserve">, </w:t>
      </w:r>
      <w:proofErr w:type="spellStart"/>
      <w:r>
        <w:rPr>
          <w:sz w:val="24"/>
          <w:szCs w:val="24"/>
        </w:rPr>
        <w:t>Silviu</w:t>
      </w:r>
      <w:proofErr w:type="spellEnd"/>
      <w:r>
        <w:rPr>
          <w:sz w:val="24"/>
          <w:szCs w:val="24"/>
        </w:rPr>
        <w:t xml:space="preserve">, (2020), </w:t>
      </w:r>
      <w:proofErr w:type="spellStart"/>
      <w:r>
        <w:rPr>
          <w:sz w:val="24"/>
          <w:szCs w:val="24"/>
        </w:rPr>
        <w:t>Consecințe</w:t>
      </w:r>
      <w:proofErr w:type="spellEnd"/>
      <w:r>
        <w:rPr>
          <w:sz w:val="24"/>
          <w:szCs w:val="24"/>
        </w:rPr>
        <w:t xml:space="preserve"> </w:t>
      </w:r>
      <w:proofErr w:type="spellStart"/>
      <w:r>
        <w:rPr>
          <w:sz w:val="24"/>
          <w:szCs w:val="24"/>
        </w:rPr>
        <w:t>economice</w:t>
      </w:r>
      <w:proofErr w:type="spellEnd"/>
      <w:r>
        <w:rPr>
          <w:sz w:val="24"/>
          <w:szCs w:val="24"/>
        </w:rPr>
        <w:t xml:space="preserve"> ale </w:t>
      </w:r>
      <w:proofErr w:type="spellStart"/>
      <w:r>
        <w:rPr>
          <w:sz w:val="24"/>
          <w:szCs w:val="24"/>
        </w:rPr>
        <w:t>datoriei</w:t>
      </w:r>
      <w:proofErr w:type="spellEnd"/>
      <w:r>
        <w:rPr>
          <w:sz w:val="24"/>
          <w:szCs w:val="24"/>
        </w:rPr>
        <w:t xml:space="preserve"> </w:t>
      </w:r>
      <w:proofErr w:type="spellStart"/>
      <w:r>
        <w:rPr>
          <w:sz w:val="24"/>
          <w:szCs w:val="24"/>
        </w:rPr>
        <w:t>publice</w:t>
      </w:r>
      <w:proofErr w:type="spellEnd"/>
      <w:r>
        <w:rPr>
          <w:sz w:val="24"/>
          <w:szCs w:val="24"/>
        </w:rPr>
        <w:t xml:space="preserve">, </w:t>
      </w:r>
      <w:hyperlink r:id="rId8" w:history="1">
        <w:r>
          <w:rPr>
            <w:rStyle w:val="Hyperlink"/>
          </w:rPr>
          <w:t>https://www.contributors.ro/</w:t>
        </w:r>
      </w:hyperlink>
    </w:p>
    <w:p w14:paraId="27C5FE85" w14:textId="77777777" w:rsidR="006E2BA3" w:rsidRDefault="006E2BA3" w:rsidP="006E2BA3">
      <w:pPr>
        <w:widowControl w:val="0"/>
        <w:overflowPunct w:val="0"/>
        <w:adjustRightInd w:val="0"/>
        <w:jc w:val="both"/>
        <w:textAlignment w:val="baseline"/>
        <w:rPr>
          <w:rFonts w:eastAsiaTheme="minorHAnsi"/>
          <w:sz w:val="24"/>
          <w:szCs w:val="24"/>
        </w:rPr>
      </w:pPr>
      <w:r>
        <w:rPr>
          <w:rFonts w:ascii="TimesNewRoman,Bold" w:hAnsi="TimesNewRoman,Bold"/>
          <w:sz w:val="24"/>
          <w:szCs w:val="24"/>
        </w:rPr>
        <w:t>6.</w:t>
      </w:r>
      <w:r>
        <w:rPr>
          <w:sz w:val="24"/>
          <w:szCs w:val="24"/>
        </w:rPr>
        <w:t xml:space="preserve"> </w:t>
      </w:r>
      <w:proofErr w:type="spellStart"/>
      <w:r>
        <w:rPr>
          <w:sz w:val="24"/>
          <w:szCs w:val="24"/>
        </w:rPr>
        <w:t>Comisia</w:t>
      </w:r>
      <w:proofErr w:type="spellEnd"/>
      <w:r>
        <w:rPr>
          <w:sz w:val="24"/>
          <w:szCs w:val="24"/>
        </w:rPr>
        <w:t xml:space="preserve"> </w:t>
      </w:r>
      <w:proofErr w:type="spellStart"/>
      <w:r>
        <w:rPr>
          <w:sz w:val="24"/>
          <w:szCs w:val="24"/>
        </w:rPr>
        <w:t>Europeană</w:t>
      </w:r>
      <w:proofErr w:type="spellEnd"/>
      <w:r>
        <w:rPr>
          <w:sz w:val="24"/>
          <w:szCs w:val="24"/>
        </w:rPr>
        <w:t xml:space="preserve">, </w:t>
      </w:r>
      <w:proofErr w:type="spellStart"/>
      <w:r>
        <w:rPr>
          <w:sz w:val="24"/>
          <w:szCs w:val="24"/>
        </w:rPr>
        <w:t>Raportul</w:t>
      </w:r>
      <w:proofErr w:type="spellEnd"/>
      <w:r>
        <w:rPr>
          <w:sz w:val="24"/>
          <w:szCs w:val="24"/>
        </w:rPr>
        <w:t xml:space="preserve"> de </w:t>
      </w:r>
      <w:proofErr w:type="spellStart"/>
      <w:r>
        <w:rPr>
          <w:sz w:val="24"/>
          <w:szCs w:val="24"/>
        </w:rPr>
        <w:t>țară</w:t>
      </w:r>
      <w:proofErr w:type="spellEnd"/>
      <w:r>
        <w:rPr>
          <w:sz w:val="24"/>
          <w:szCs w:val="24"/>
        </w:rPr>
        <w:t xml:space="preserve"> din 2020 </w:t>
      </w:r>
      <w:proofErr w:type="spellStart"/>
      <w:r>
        <w:rPr>
          <w:sz w:val="24"/>
          <w:szCs w:val="24"/>
        </w:rPr>
        <w:t>privind</w:t>
      </w:r>
      <w:proofErr w:type="spellEnd"/>
      <w:r>
        <w:rPr>
          <w:sz w:val="24"/>
          <w:szCs w:val="24"/>
        </w:rPr>
        <w:t xml:space="preserve"> </w:t>
      </w:r>
      <w:proofErr w:type="spellStart"/>
      <w:r>
        <w:rPr>
          <w:sz w:val="24"/>
          <w:szCs w:val="24"/>
        </w:rPr>
        <w:t>România</w:t>
      </w:r>
      <w:proofErr w:type="spellEnd"/>
      <w:r>
        <w:rPr>
          <w:sz w:val="24"/>
          <w:szCs w:val="24"/>
        </w:rPr>
        <w:t xml:space="preserve">, </w:t>
      </w:r>
      <w:proofErr w:type="spellStart"/>
      <w:r>
        <w:rPr>
          <w:sz w:val="24"/>
          <w:szCs w:val="24"/>
        </w:rPr>
        <w:t>Bruxelles</w:t>
      </w:r>
      <w:proofErr w:type="spellEnd"/>
      <w:r>
        <w:rPr>
          <w:sz w:val="24"/>
          <w:szCs w:val="24"/>
        </w:rPr>
        <w:t xml:space="preserve">, p. 29, </w:t>
      </w:r>
      <w:proofErr w:type="spellStart"/>
      <w:r>
        <w:rPr>
          <w:sz w:val="24"/>
          <w:szCs w:val="24"/>
        </w:rPr>
        <w:t>htt</w:t>
      </w:r>
      <w:proofErr w:type="spellEnd"/>
      <w:r>
        <w:rPr>
          <w:sz w:val="24"/>
          <w:szCs w:val="24"/>
        </w:rPr>
        <w:t xml:space="preserve"> ps://eur-lex.europa.eu/legal-content/RO/TXT/PDF /?</w:t>
      </w:r>
      <w:proofErr w:type="spellStart"/>
      <w:r>
        <w:rPr>
          <w:sz w:val="24"/>
          <w:szCs w:val="24"/>
        </w:rPr>
        <w:t>uri</w:t>
      </w:r>
      <w:proofErr w:type="spellEnd"/>
      <w:r>
        <w:rPr>
          <w:sz w:val="24"/>
          <w:szCs w:val="24"/>
        </w:rPr>
        <w:t>=CELEX :52020SC0522&amp;from=RO</w:t>
      </w:r>
    </w:p>
    <w:p w14:paraId="71C207B5" w14:textId="77777777" w:rsidR="006E2BA3" w:rsidRDefault="006E2BA3" w:rsidP="006E2BA3">
      <w:pPr>
        <w:tabs>
          <w:tab w:val="left" w:pos="-90"/>
        </w:tabs>
        <w:jc w:val="both"/>
        <w:rPr>
          <w:sz w:val="24"/>
          <w:szCs w:val="24"/>
        </w:rPr>
      </w:pPr>
      <w:r>
        <w:rPr>
          <w:sz w:val="24"/>
          <w:szCs w:val="24"/>
        </w:rPr>
        <w:t xml:space="preserve">7. </w:t>
      </w:r>
      <w:proofErr w:type="spellStart"/>
      <w:r>
        <w:rPr>
          <w:sz w:val="24"/>
          <w:szCs w:val="24"/>
        </w:rPr>
        <w:t>Consiliul</w:t>
      </w:r>
      <w:proofErr w:type="spellEnd"/>
      <w:r>
        <w:rPr>
          <w:sz w:val="24"/>
          <w:szCs w:val="24"/>
        </w:rPr>
        <w:t xml:space="preserve"> Fiscal, (2019), </w:t>
      </w:r>
      <w:proofErr w:type="spellStart"/>
      <w:r>
        <w:rPr>
          <w:sz w:val="24"/>
          <w:szCs w:val="24"/>
        </w:rPr>
        <w:t>Raport</w:t>
      </w:r>
      <w:proofErr w:type="spellEnd"/>
      <w:r>
        <w:rPr>
          <w:sz w:val="24"/>
          <w:szCs w:val="24"/>
        </w:rPr>
        <w:t xml:space="preserve"> </w:t>
      </w:r>
      <w:proofErr w:type="spellStart"/>
      <w:r>
        <w:rPr>
          <w:sz w:val="24"/>
          <w:szCs w:val="24"/>
        </w:rPr>
        <w:t>anual</w:t>
      </w:r>
      <w:proofErr w:type="spellEnd"/>
    </w:p>
    <w:p w14:paraId="3BAEB153" w14:textId="77777777" w:rsidR="006E2BA3" w:rsidRDefault="006E2BA3" w:rsidP="006E2BA3">
      <w:pPr>
        <w:shd w:val="clear" w:color="auto" w:fill="FFFFFF" w:themeFill="background1"/>
        <w:jc w:val="both"/>
        <w:rPr>
          <w:sz w:val="24"/>
          <w:szCs w:val="24"/>
        </w:rPr>
      </w:pPr>
      <w:r>
        <w:rPr>
          <w:sz w:val="24"/>
          <w:szCs w:val="24"/>
        </w:rPr>
        <w:t xml:space="preserve">8. </w:t>
      </w:r>
      <w:proofErr w:type="spellStart"/>
      <w:r>
        <w:rPr>
          <w:sz w:val="24"/>
          <w:szCs w:val="24"/>
        </w:rPr>
        <w:t>Deacu</w:t>
      </w:r>
      <w:proofErr w:type="spellEnd"/>
      <w:r>
        <w:rPr>
          <w:sz w:val="24"/>
          <w:szCs w:val="24"/>
        </w:rPr>
        <w:t xml:space="preserve">, Elena, (2021), </w:t>
      </w:r>
      <w:proofErr w:type="spellStart"/>
      <w:r>
        <w:rPr>
          <w:sz w:val="24"/>
          <w:szCs w:val="24"/>
        </w:rPr>
        <w:t>Datoria</w:t>
      </w:r>
      <w:proofErr w:type="spellEnd"/>
      <w:r>
        <w:rPr>
          <w:sz w:val="24"/>
          <w:szCs w:val="24"/>
        </w:rPr>
        <w:t xml:space="preserve"> </w:t>
      </w:r>
      <w:proofErr w:type="spellStart"/>
      <w:r>
        <w:rPr>
          <w:sz w:val="24"/>
          <w:szCs w:val="24"/>
        </w:rPr>
        <w:t>publică</w:t>
      </w:r>
      <w:proofErr w:type="spellEnd"/>
      <w:r>
        <w:rPr>
          <w:sz w:val="24"/>
          <w:szCs w:val="24"/>
        </w:rPr>
        <w:t xml:space="preserve"> din </w:t>
      </w:r>
      <w:proofErr w:type="spellStart"/>
      <w:r>
        <w:rPr>
          <w:sz w:val="24"/>
          <w:szCs w:val="24"/>
        </w:rPr>
        <w:t>România</w:t>
      </w:r>
      <w:proofErr w:type="spellEnd"/>
      <w:r>
        <w:rPr>
          <w:sz w:val="24"/>
          <w:szCs w:val="24"/>
        </w:rPr>
        <w:t xml:space="preserve"> s-a </w:t>
      </w:r>
      <w:proofErr w:type="spellStart"/>
      <w:r>
        <w:rPr>
          <w:sz w:val="24"/>
          <w:szCs w:val="24"/>
        </w:rPr>
        <w:t>dublat</w:t>
      </w:r>
      <w:proofErr w:type="spellEnd"/>
      <w:r>
        <w:rPr>
          <w:sz w:val="24"/>
          <w:szCs w:val="24"/>
        </w:rPr>
        <w:t xml:space="preserve"> </w:t>
      </w:r>
      <w:proofErr w:type="spellStart"/>
      <w:r>
        <w:rPr>
          <w:sz w:val="24"/>
          <w:szCs w:val="24"/>
        </w:rPr>
        <w:t>față</w:t>
      </w:r>
      <w:proofErr w:type="spellEnd"/>
      <w:r>
        <w:rPr>
          <w:sz w:val="24"/>
          <w:szCs w:val="24"/>
        </w:rPr>
        <w:t xml:space="preserve"> de 2015. Ce se </w:t>
      </w:r>
      <w:proofErr w:type="spellStart"/>
      <w:r>
        <w:rPr>
          <w:sz w:val="24"/>
          <w:szCs w:val="24"/>
        </w:rPr>
        <w:t>întâmplă</w:t>
      </w:r>
      <w:proofErr w:type="spellEnd"/>
      <w:r>
        <w:rPr>
          <w:sz w:val="24"/>
          <w:szCs w:val="24"/>
        </w:rPr>
        <w:t xml:space="preserve"> </w:t>
      </w:r>
      <w:proofErr w:type="spellStart"/>
      <w:r>
        <w:rPr>
          <w:sz w:val="24"/>
          <w:szCs w:val="24"/>
        </w:rPr>
        <w:t>când</w:t>
      </w:r>
      <w:proofErr w:type="spellEnd"/>
      <w:r>
        <w:rPr>
          <w:sz w:val="24"/>
          <w:szCs w:val="24"/>
        </w:rPr>
        <w:t xml:space="preserve"> </w:t>
      </w:r>
      <w:proofErr w:type="spellStart"/>
      <w:r>
        <w:rPr>
          <w:sz w:val="24"/>
          <w:szCs w:val="24"/>
        </w:rPr>
        <w:t>datoria</w:t>
      </w:r>
      <w:proofErr w:type="spellEnd"/>
      <w:r>
        <w:rPr>
          <w:sz w:val="24"/>
          <w:szCs w:val="24"/>
        </w:rPr>
        <w:t xml:space="preserve"> </w:t>
      </w:r>
      <w:proofErr w:type="spellStart"/>
      <w:r>
        <w:rPr>
          <w:sz w:val="24"/>
          <w:szCs w:val="24"/>
        </w:rPr>
        <w:t>trece</w:t>
      </w:r>
      <w:proofErr w:type="spellEnd"/>
      <w:r>
        <w:rPr>
          <w:sz w:val="24"/>
          <w:szCs w:val="24"/>
        </w:rPr>
        <w:t xml:space="preserve"> de </w:t>
      </w:r>
      <w:proofErr w:type="spellStart"/>
      <w:r>
        <w:rPr>
          <w:sz w:val="24"/>
          <w:szCs w:val="24"/>
        </w:rPr>
        <w:t>pragul</w:t>
      </w:r>
      <w:proofErr w:type="spellEnd"/>
      <w:r>
        <w:rPr>
          <w:sz w:val="24"/>
          <w:szCs w:val="24"/>
        </w:rPr>
        <w:t xml:space="preserve"> de 50% din PIB / Cum se </w:t>
      </w:r>
      <w:proofErr w:type="spellStart"/>
      <w:r>
        <w:rPr>
          <w:sz w:val="24"/>
          <w:szCs w:val="24"/>
        </w:rPr>
        <w:t>compară</w:t>
      </w:r>
      <w:proofErr w:type="spellEnd"/>
      <w:r>
        <w:rPr>
          <w:sz w:val="24"/>
          <w:szCs w:val="24"/>
        </w:rPr>
        <w:t xml:space="preserve"> </w:t>
      </w:r>
      <w:proofErr w:type="spellStart"/>
      <w:r>
        <w:rPr>
          <w:sz w:val="24"/>
          <w:szCs w:val="24"/>
        </w:rPr>
        <w:t>datoria</w:t>
      </w:r>
      <w:proofErr w:type="spellEnd"/>
      <w:r>
        <w:rPr>
          <w:sz w:val="24"/>
          <w:szCs w:val="24"/>
        </w:rPr>
        <w:t xml:space="preserve"> </w:t>
      </w:r>
      <w:proofErr w:type="spellStart"/>
      <w:r>
        <w:rPr>
          <w:sz w:val="24"/>
          <w:szCs w:val="24"/>
        </w:rPr>
        <w:t>României</w:t>
      </w:r>
      <w:proofErr w:type="spellEnd"/>
      <w:r>
        <w:rPr>
          <w:sz w:val="24"/>
          <w:szCs w:val="24"/>
        </w:rPr>
        <w:t xml:space="preserve"> cu </w:t>
      </w:r>
      <w:proofErr w:type="spellStart"/>
      <w:r>
        <w:rPr>
          <w:sz w:val="24"/>
          <w:szCs w:val="24"/>
        </w:rPr>
        <w:t>cea</w:t>
      </w:r>
      <w:proofErr w:type="spellEnd"/>
      <w:r>
        <w:rPr>
          <w:sz w:val="24"/>
          <w:szCs w:val="24"/>
        </w:rPr>
        <w:t xml:space="preserve"> a </w:t>
      </w:r>
      <w:proofErr w:type="spellStart"/>
      <w:r>
        <w:rPr>
          <w:sz w:val="24"/>
          <w:szCs w:val="24"/>
        </w:rPr>
        <w:t>țărilor</w:t>
      </w:r>
      <w:proofErr w:type="spellEnd"/>
      <w:r>
        <w:rPr>
          <w:sz w:val="24"/>
          <w:szCs w:val="24"/>
        </w:rPr>
        <w:t xml:space="preserve"> din UE, Economedia.ro</w:t>
      </w:r>
    </w:p>
    <w:p w14:paraId="37D59FAF" w14:textId="77777777" w:rsidR="006E2BA3" w:rsidRDefault="006E2BA3" w:rsidP="006E2BA3">
      <w:pPr>
        <w:widowControl w:val="0"/>
        <w:overflowPunct w:val="0"/>
        <w:adjustRightInd w:val="0"/>
        <w:jc w:val="both"/>
        <w:textAlignment w:val="baseline"/>
        <w:rPr>
          <w:sz w:val="24"/>
          <w:szCs w:val="24"/>
        </w:rPr>
      </w:pPr>
      <w:r>
        <w:rPr>
          <w:sz w:val="24"/>
          <w:szCs w:val="24"/>
        </w:rPr>
        <w:t>9. Eurostat, (2014), Manual on Government Deficit and Debt, 2014 edition</w:t>
      </w:r>
    </w:p>
    <w:p w14:paraId="195BD0F2" w14:textId="77777777" w:rsidR="006E2BA3" w:rsidRDefault="006E2BA3" w:rsidP="006E2BA3">
      <w:pPr>
        <w:tabs>
          <w:tab w:val="left" w:pos="360"/>
        </w:tabs>
        <w:jc w:val="both"/>
        <w:rPr>
          <w:sz w:val="24"/>
          <w:szCs w:val="24"/>
        </w:rPr>
      </w:pPr>
      <w:r>
        <w:rPr>
          <w:sz w:val="24"/>
          <w:szCs w:val="24"/>
        </w:rPr>
        <w:t>10. International Monetary Fund, (2012), Coping with high debt and sluggish growth, World Economic Outlook October 2012. Washington, D.C</w:t>
      </w:r>
    </w:p>
    <w:p w14:paraId="726B9B9E" w14:textId="77777777" w:rsidR="006E2BA3" w:rsidRDefault="006E2BA3" w:rsidP="006E2BA3">
      <w:pPr>
        <w:jc w:val="both"/>
        <w:rPr>
          <w:sz w:val="24"/>
          <w:szCs w:val="24"/>
          <w:lang w:val="ro-RO"/>
        </w:rPr>
      </w:pPr>
      <w:r>
        <w:rPr>
          <w:sz w:val="24"/>
          <w:szCs w:val="24"/>
          <w:lang w:val="ro-RO"/>
        </w:rPr>
        <w:t>11. Georgescu, George, (2017), History paradigms: the public debt of Romania in the last 100 years, MPRA Paper No. 82219</w:t>
      </w:r>
    </w:p>
    <w:p w14:paraId="253DF615" w14:textId="77777777" w:rsidR="006E2BA3" w:rsidRDefault="006E2BA3" w:rsidP="006E2BA3">
      <w:pPr>
        <w:jc w:val="both"/>
        <w:rPr>
          <w:sz w:val="24"/>
          <w:szCs w:val="24"/>
        </w:rPr>
      </w:pPr>
      <w:r>
        <w:rPr>
          <w:sz w:val="24"/>
          <w:szCs w:val="24"/>
        </w:rPr>
        <w:t>12. Hilton, S. Kris, Public debt and economic growth contemporary evidence from a developing economy, Asian Journal of Economics and Banking, Vol. 5 No. 2, 2021, pp. 173-193</w:t>
      </w:r>
    </w:p>
    <w:p w14:paraId="55165CDE" w14:textId="77777777" w:rsidR="006E2BA3" w:rsidRDefault="006E2BA3" w:rsidP="006E2BA3">
      <w:pPr>
        <w:tabs>
          <w:tab w:val="left" w:pos="360"/>
        </w:tabs>
        <w:jc w:val="both"/>
        <w:rPr>
          <w:sz w:val="24"/>
          <w:szCs w:val="24"/>
        </w:rPr>
      </w:pPr>
      <w:r>
        <w:rPr>
          <w:sz w:val="24"/>
          <w:szCs w:val="24"/>
        </w:rPr>
        <w:t xml:space="preserve">13. Krugman, Paul, (2009), How Did Economists Get It So Wrong? The New York Times Magazine, 6 September </w:t>
      </w:r>
    </w:p>
    <w:p w14:paraId="55F5974D" w14:textId="77777777" w:rsidR="006E2BA3" w:rsidRDefault="006E2BA3" w:rsidP="006E2BA3">
      <w:pPr>
        <w:shd w:val="clear" w:color="auto" w:fill="FFFFFF" w:themeFill="background1"/>
        <w:tabs>
          <w:tab w:val="left" w:pos="-90"/>
        </w:tabs>
        <w:jc w:val="both"/>
        <w:rPr>
          <w:sz w:val="24"/>
          <w:szCs w:val="24"/>
        </w:rPr>
      </w:pPr>
      <w:r>
        <w:rPr>
          <w:sz w:val="24"/>
          <w:szCs w:val="24"/>
        </w:rPr>
        <w:t xml:space="preserve">14. </w:t>
      </w:r>
      <w:bookmarkStart w:id="17" w:name="_Hlk80461607"/>
      <w:proofErr w:type="spellStart"/>
      <w:r>
        <w:rPr>
          <w:sz w:val="24"/>
          <w:szCs w:val="24"/>
        </w:rPr>
        <w:t>Mencinger</w:t>
      </w:r>
      <w:proofErr w:type="spellEnd"/>
      <w:r>
        <w:rPr>
          <w:sz w:val="24"/>
          <w:szCs w:val="24"/>
        </w:rPr>
        <w:t xml:space="preserve">, </w:t>
      </w:r>
      <w:proofErr w:type="spellStart"/>
      <w:r>
        <w:rPr>
          <w:sz w:val="24"/>
          <w:szCs w:val="24"/>
        </w:rPr>
        <w:t>Jernej</w:t>
      </w:r>
      <w:proofErr w:type="spellEnd"/>
      <w:r>
        <w:rPr>
          <w:sz w:val="24"/>
          <w:szCs w:val="24"/>
        </w:rPr>
        <w:t xml:space="preserve">, </w:t>
      </w:r>
      <w:proofErr w:type="spellStart"/>
      <w:r>
        <w:rPr>
          <w:sz w:val="24"/>
          <w:szCs w:val="24"/>
        </w:rPr>
        <w:t>Aristovnik</w:t>
      </w:r>
      <w:proofErr w:type="spellEnd"/>
      <w:r>
        <w:rPr>
          <w:sz w:val="24"/>
          <w:szCs w:val="24"/>
        </w:rPr>
        <w:t xml:space="preserve">, Aleksander, </w:t>
      </w:r>
      <w:proofErr w:type="spellStart"/>
      <w:r>
        <w:rPr>
          <w:sz w:val="24"/>
          <w:szCs w:val="24"/>
        </w:rPr>
        <w:t>Verbič</w:t>
      </w:r>
      <w:proofErr w:type="spellEnd"/>
      <w:r>
        <w:rPr>
          <w:sz w:val="24"/>
          <w:szCs w:val="24"/>
        </w:rPr>
        <w:t>, Miroslav, (2014)</w:t>
      </w:r>
      <w:bookmarkEnd w:id="17"/>
      <w:r>
        <w:rPr>
          <w:sz w:val="24"/>
          <w:szCs w:val="24"/>
        </w:rPr>
        <w:t xml:space="preserve">, </w:t>
      </w:r>
      <w:proofErr w:type="spellStart"/>
      <w:r>
        <w:rPr>
          <w:sz w:val="24"/>
          <w:szCs w:val="24"/>
        </w:rPr>
        <w:t>Impactul</w:t>
      </w:r>
      <w:proofErr w:type="spellEnd"/>
      <w:r>
        <w:rPr>
          <w:sz w:val="24"/>
          <w:szCs w:val="24"/>
        </w:rPr>
        <w:t xml:space="preserve"> </w:t>
      </w:r>
      <w:proofErr w:type="spellStart"/>
      <w:r>
        <w:rPr>
          <w:sz w:val="24"/>
          <w:szCs w:val="24"/>
        </w:rPr>
        <w:t>creşterii</w:t>
      </w:r>
      <w:proofErr w:type="spellEnd"/>
      <w:r>
        <w:rPr>
          <w:sz w:val="24"/>
          <w:szCs w:val="24"/>
        </w:rPr>
        <w:t xml:space="preserve"> </w:t>
      </w:r>
      <w:proofErr w:type="spellStart"/>
      <w:r>
        <w:rPr>
          <w:sz w:val="24"/>
          <w:szCs w:val="24"/>
        </w:rPr>
        <w:t>datoriei</w:t>
      </w:r>
      <w:proofErr w:type="spellEnd"/>
      <w:r>
        <w:rPr>
          <w:sz w:val="24"/>
          <w:szCs w:val="24"/>
        </w:rPr>
        <w:t xml:space="preserve"> </w:t>
      </w:r>
      <w:proofErr w:type="spellStart"/>
      <w:r>
        <w:rPr>
          <w:sz w:val="24"/>
          <w:szCs w:val="24"/>
        </w:rPr>
        <w:t>publice</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creşterii</w:t>
      </w:r>
      <w:proofErr w:type="spellEnd"/>
      <w:r>
        <w:rPr>
          <w:sz w:val="24"/>
          <w:szCs w:val="24"/>
        </w:rPr>
        <w:t xml:space="preserve"> </w:t>
      </w:r>
      <w:proofErr w:type="spellStart"/>
      <w:r>
        <w:rPr>
          <w:sz w:val="24"/>
          <w:szCs w:val="24"/>
        </w:rPr>
        <w:t>economice</w:t>
      </w:r>
      <w:proofErr w:type="spellEnd"/>
      <w:r>
        <w:rPr>
          <w:sz w:val="24"/>
          <w:szCs w:val="24"/>
        </w:rPr>
        <w:t xml:space="preserve"> din </w:t>
      </w:r>
      <w:proofErr w:type="spellStart"/>
      <w:r>
        <w:rPr>
          <w:sz w:val="24"/>
          <w:szCs w:val="24"/>
        </w:rPr>
        <w:t>Uniunea</w:t>
      </w:r>
      <w:proofErr w:type="spellEnd"/>
      <w:r>
        <w:rPr>
          <w:sz w:val="24"/>
          <w:szCs w:val="24"/>
        </w:rPr>
        <w:t xml:space="preserve"> </w:t>
      </w:r>
      <w:proofErr w:type="spellStart"/>
      <w:r>
        <w:rPr>
          <w:sz w:val="24"/>
          <w:szCs w:val="24"/>
        </w:rPr>
        <w:t>Europeană</w:t>
      </w:r>
      <w:proofErr w:type="spellEnd"/>
      <w:r>
        <w:rPr>
          <w:sz w:val="24"/>
          <w:szCs w:val="24"/>
        </w:rPr>
        <w:t xml:space="preserve">, </w:t>
      </w:r>
      <w:proofErr w:type="spellStart"/>
      <w:r>
        <w:rPr>
          <w:sz w:val="24"/>
          <w:szCs w:val="24"/>
        </w:rPr>
        <w:t>Amfiteatru</w:t>
      </w:r>
      <w:proofErr w:type="spellEnd"/>
      <w:r>
        <w:rPr>
          <w:sz w:val="24"/>
          <w:szCs w:val="24"/>
        </w:rPr>
        <w:t xml:space="preserve"> Economic, </w:t>
      </w:r>
      <w:proofErr w:type="spellStart"/>
      <w:r>
        <w:rPr>
          <w:sz w:val="24"/>
          <w:szCs w:val="24"/>
        </w:rPr>
        <w:t>Volum</w:t>
      </w:r>
      <w:proofErr w:type="spellEnd"/>
      <w:r>
        <w:rPr>
          <w:sz w:val="24"/>
          <w:szCs w:val="24"/>
        </w:rPr>
        <w:t>: 16, nr. 35, pp. 341 – 341</w:t>
      </w:r>
    </w:p>
    <w:p w14:paraId="49BA38F8" w14:textId="77777777" w:rsidR="006E2BA3" w:rsidRDefault="006E2BA3" w:rsidP="006E2BA3">
      <w:pPr>
        <w:widowControl w:val="0"/>
        <w:overflowPunct w:val="0"/>
        <w:adjustRightInd w:val="0"/>
        <w:jc w:val="both"/>
        <w:textAlignment w:val="baseline"/>
        <w:rPr>
          <w:rFonts w:eastAsiaTheme="minorHAnsi"/>
          <w:sz w:val="24"/>
          <w:szCs w:val="24"/>
        </w:rPr>
      </w:pPr>
      <w:r>
        <w:rPr>
          <w:sz w:val="24"/>
          <w:szCs w:val="24"/>
        </w:rPr>
        <w:t xml:space="preserve">15. </w:t>
      </w:r>
      <w:proofErr w:type="spellStart"/>
      <w:r>
        <w:rPr>
          <w:sz w:val="24"/>
          <w:szCs w:val="24"/>
        </w:rPr>
        <w:t>Ministerul</w:t>
      </w:r>
      <w:proofErr w:type="spellEnd"/>
      <w:r>
        <w:rPr>
          <w:sz w:val="24"/>
          <w:szCs w:val="24"/>
        </w:rPr>
        <w:t xml:space="preserve"> </w:t>
      </w:r>
      <w:proofErr w:type="spellStart"/>
      <w:r>
        <w:rPr>
          <w:sz w:val="24"/>
          <w:szCs w:val="24"/>
        </w:rPr>
        <w:t>Finanțelor</w:t>
      </w:r>
      <w:proofErr w:type="spellEnd"/>
      <w:r>
        <w:rPr>
          <w:sz w:val="24"/>
          <w:szCs w:val="24"/>
        </w:rPr>
        <w:t xml:space="preserve"> </w:t>
      </w:r>
      <w:proofErr w:type="spellStart"/>
      <w:r>
        <w:rPr>
          <w:sz w:val="24"/>
          <w:szCs w:val="24"/>
        </w:rPr>
        <w:t>Publice</w:t>
      </w:r>
      <w:proofErr w:type="spellEnd"/>
      <w:r>
        <w:rPr>
          <w:sz w:val="24"/>
          <w:szCs w:val="24"/>
        </w:rPr>
        <w:t xml:space="preserve">, (2021), </w:t>
      </w:r>
      <w:proofErr w:type="spellStart"/>
      <w:r>
        <w:rPr>
          <w:sz w:val="24"/>
          <w:szCs w:val="24"/>
        </w:rPr>
        <w:t>Raport</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datoria</w:t>
      </w:r>
      <w:proofErr w:type="spellEnd"/>
      <w:r>
        <w:rPr>
          <w:sz w:val="24"/>
          <w:szCs w:val="24"/>
        </w:rPr>
        <w:t xml:space="preserve"> publica iunie_2021</w:t>
      </w:r>
    </w:p>
    <w:p w14:paraId="08284D53" w14:textId="77777777" w:rsidR="006E2BA3" w:rsidRDefault="006E2BA3" w:rsidP="006E2BA3">
      <w:pPr>
        <w:shd w:val="clear" w:color="auto" w:fill="FFFFFF" w:themeFill="background1"/>
        <w:tabs>
          <w:tab w:val="left" w:pos="-90"/>
        </w:tabs>
        <w:jc w:val="both"/>
        <w:rPr>
          <w:sz w:val="24"/>
          <w:szCs w:val="24"/>
        </w:rPr>
      </w:pPr>
      <w:r>
        <w:rPr>
          <w:sz w:val="24"/>
          <w:szCs w:val="24"/>
        </w:rPr>
        <w:t>16. Modigliani, Franco, (1961), Long-run implications of alternative fiscal policies and the burden of the national debt, The Economic Journal, Vol. 71 No. 284, pp. 730-755</w:t>
      </w:r>
    </w:p>
    <w:p w14:paraId="0D2B2AB8" w14:textId="77777777" w:rsidR="006E2BA3" w:rsidRDefault="006E2BA3" w:rsidP="006E2BA3">
      <w:pPr>
        <w:shd w:val="clear" w:color="auto" w:fill="FFFFFF" w:themeFill="background1"/>
        <w:tabs>
          <w:tab w:val="left" w:pos="-90"/>
        </w:tabs>
        <w:jc w:val="both"/>
        <w:rPr>
          <w:sz w:val="24"/>
          <w:szCs w:val="24"/>
        </w:rPr>
      </w:pPr>
      <w:r>
        <w:rPr>
          <w:sz w:val="24"/>
          <w:szCs w:val="24"/>
        </w:rPr>
        <w:t xml:space="preserve">17. </w:t>
      </w:r>
      <w:proofErr w:type="spellStart"/>
      <w:r>
        <w:rPr>
          <w:sz w:val="24"/>
          <w:szCs w:val="24"/>
        </w:rPr>
        <w:t>Moroșan</w:t>
      </w:r>
      <w:proofErr w:type="spellEnd"/>
      <w:r>
        <w:rPr>
          <w:sz w:val="24"/>
          <w:szCs w:val="24"/>
        </w:rPr>
        <w:t xml:space="preserve">, Gheorghe, (2017), </w:t>
      </w:r>
      <w:proofErr w:type="spellStart"/>
      <w:r>
        <w:rPr>
          <w:sz w:val="24"/>
          <w:szCs w:val="24"/>
        </w:rPr>
        <w:t>Finanțe</w:t>
      </w:r>
      <w:proofErr w:type="spellEnd"/>
      <w:r>
        <w:rPr>
          <w:sz w:val="24"/>
          <w:szCs w:val="24"/>
        </w:rPr>
        <w:t xml:space="preserve"> </w:t>
      </w:r>
      <w:proofErr w:type="spellStart"/>
      <w:r>
        <w:rPr>
          <w:sz w:val="24"/>
          <w:szCs w:val="24"/>
        </w:rPr>
        <w:t>Generale</w:t>
      </w:r>
      <w:proofErr w:type="spellEnd"/>
      <w:r>
        <w:rPr>
          <w:sz w:val="24"/>
          <w:szCs w:val="24"/>
        </w:rPr>
        <w:t xml:space="preserve">, </w:t>
      </w:r>
      <w:proofErr w:type="spellStart"/>
      <w:r>
        <w:rPr>
          <w:sz w:val="24"/>
          <w:szCs w:val="24"/>
        </w:rPr>
        <w:t>Editura</w:t>
      </w:r>
      <w:proofErr w:type="spellEnd"/>
      <w:r>
        <w:rPr>
          <w:sz w:val="24"/>
          <w:szCs w:val="24"/>
        </w:rPr>
        <w:t xml:space="preserve"> </w:t>
      </w:r>
      <w:proofErr w:type="spellStart"/>
      <w:r>
        <w:rPr>
          <w:sz w:val="24"/>
          <w:szCs w:val="24"/>
        </w:rPr>
        <w:t>Didactică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Pedagogică</w:t>
      </w:r>
      <w:proofErr w:type="spellEnd"/>
      <w:r>
        <w:rPr>
          <w:sz w:val="24"/>
          <w:szCs w:val="24"/>
        </w:rPr>
        <w:t xml:space="preserve">, </w:t>
      </w:r>
      <w:proofErr w:type="spellStart"/>
      <w:r>
        <w:rPr>
          <w:sz w:val="24"/>
          <w:szCs w:val="24"/>
        </w:rPr>
        <w:t>București</w:t>
      </w:r>
      <w:proofErr w:type="spellEnd"/>
    </w:p>
    <w:p w14:paraId="4C1285D9" w14:textId="77777777" w:rsidR="006E2BA3" w:rsidRDefault="006E2BA3" w:rsidP="006E2BA3">
      <w:pPr>
        <w:jc w:val="both"/>
        <w:rPr>
          <w:sz w:val="24"/>
          <w:szCs w:val="24"/>
        </w:rPr>
      </w:pPr>
      <w:r>
        <w:rPr>
          <w:sz w:val="24"/>
          <w:szCs w:val="24"/>
        </w:rPr>
        <w:t xml:space="preserve">18. OUG 64/2007 </w:t>
      </w:r>
      <w:proofErr w:type="spellStart"/>
      <w:r>
        <w:rPr>
          <w:sz w:val="24"/>
          <w:szCs w:val="24"/>
        </w:rPr>
        <w:t>privind</w:t>
      </w:r>
      <w:proofErr w:type="spellEnd"/>
      <w:r>
        <w:rPr>
          <w:sz w:val="24"/>
          <w:szCs w:val="24"/>
        </w:rPr>
        <w:t xml:space="preserve"> </w:t>
      </w:r>
      <w:proofErr w:type="spellStart"/>
      <w:r>
        <w:rPr>
          <w:sz w:val="24"/>
          <w:szCs w:val="24"/>
        </w:rPr>
        <w:t>datoria</w:t>
      </w:r>
      <w:proofErr w:type="spellEnd"/>
      <w:r>
        <w:rPr>
          <w:sz w:val="24"/>
          <w:szCs w:val="24"/>
        </w:rPr>
        <w:t xml:space="preserve"> </w:t>
      </w:r>
      <w:proofErr w:type="spellStart"/>
      <w:r>
        <w:rPr>
          <w:sz w:val="24"/>
          <w:szCs w:val="24"/>
        </w:rPr>
        <w:t>publică</w:t>
      </w:r>
      <w:proofErr w:type="spellEnd"/>
      <w:r>
        <w:rPr>
          <w:sz w:val="24"/>
          <w:szCs w:val="24"/>
        </w:rPr>
        <w:t xml:space="preserve"> </w:t>
      </w:r>
    </w:p>
    <w:p w14:paraId="7DA5A7BA" w14:textId="77777777" w:rsidR="006E2BA3" w:rsidRDefault="006E2BA3" w:rsidP="006E2BA3">
      <w:pPr>
        <w:shd w:val="clear" w:color="auto" w:fill="FFFFFF" w:themeFill="background1"/>
        <w:tabs>
          <w:tab w:val="left" w:pos="-90"/>
        </w:tabs>
        <w:jc w:val="both"/>
        <w:rPr>
          <w:sz w:val="24"/>
          <w:szCs w:val="24"/>
        </w:rPr>
      </w:pPr>
      <w:r>
        <w:rPr>
          <w:sz w:val="24"/>
          <w:szCs w:val="24"/>
        </w:rPr>
        <w:lastRenderedPageBreak/>
        <w:t xml:space="preserve">19. </w:t>
      </w:r>
      <w:bookmarkStart w:id="18" w:name="_Hlk80712703"/>
      <w:proofErr w:type="spellStart"/>
      <w:r>
        <w:rPr>
          <w:sz w:val="24"/>
          <w:szCs w:val="24"/>
        </w:rPr>
        <w:t>Panait</w:t>
      </w:r>
      <w:proofErr w:type="spellEnd"/>
      <w:r>
        <w:rPr>
          <w:sz w:val="24"/>
          <w:szCs w:val="24"/>
        </w:rPr>
        <w:t xml:space="preserve">, Nicoleta, </w:t>
      </w:r>
      <w:proofErr w:type="spellStart"/>
      <w:r>
        <w:rPr>
          <w:sz w:val="24"/>
          <w:szCs w:val="24"/>
        </w:rPr>
        <w:t>Georgeta</w:t>
      </w:r>
      <w:proofErr w:type="spellEnd"/>
      <w:r>
        <w:rPr>
          <w:sz w:val="24"/>
          <w:szCs w:val="24"/>
        </w:rPr>
        <w:t xml:space="preserve">, </w:t>
      </w:r>
      <w:proofErr w:type="spellStart"/>
      <w:r>
        <w:rPr>
          <w:sz w:val="24"/>
          <w:szCs w:val="24"/>
        </w:rPr>
        <w:t>Panait</w:t>
      </w:r>
      <w:proofErr w:type="spellEnd"/>
      <w:r>
        <w:rPr>
          <w:sz w:val="24"/>
          <w:szCs w:val="24"/>
        </w:rPr>
        <w:t xml:space="preserve">, Costin, </w:t>
      </w:r>
      <w:proofErr w:type="spellStart"/>
      <w:r>
        <w:rPr>
          <w:sz w:val="24"/>
          <w:szCs w:val="24"/>
        </w:rPr>
        <w:t>Alexandru</w:t>
      </w:r>
      <w:proofErr w:type="spellEnd"/>
      <w:r>
        <w:rPr>
          <w:sz w:val="24"/>
          <w:szCs w:val="24"/>
        </w:rPr>
        <w:t>, (2020)</w:t>
      </w:r>
      <w:bookmarkEnd w:id="18"/>
      <w:r>
        <w:rPr>
          <w:sz w:val="24"/>
          <w:szCs w:val="24"/>
        </w:rPr>
        <w:t xml:space="preserve">, The Evolution of Public Debt of Romania in the Context of the Covid-19 Crisis, Global Economic Observer, "Nicolae </w:t>
      </w:r>
      <w:proofErr w:type="spellStart"/>
      <w:r>
        <w:rPr>
          <w:sz w:val="24"/>
          <w:szCs w:val="24"/>
        </w:rPr>
        <w:t>Titulescu</w:t>
      </w:r>
      <w:proofErr w:type="spellEnd"/>
      <w:r>
        <w:rPr>
          <w:sz w:val="24"/>
          <w:szCs w:val="24"/>
        </w:rPr>
        <w:t>" University of Bucharest, Faculty of Economic Sciences; Institute for World Economy of the Romanian Academy, vol. 8(1), pages 52-56</w:t>
      </w:r>
    </w:p>
    <w:p w14:paraId="572078DD" w14:textId="77777777" w:rsidR="006E2BA3" w:rsidRDefault="006E2BA3" w:rsidP="006E2BA3">
      <w:pPr>
        <w:shd w:val="clear" w:color="auto" w:fill="FFFFFF" w:themeFill="background1"/>
        <w:tabs>
          <w:tab w:val="left" w:pos="-90"/>
        </w:tabs>
        <w:jc w:val="both"/>
        <w:rPr>
          <w:sz w:val="24"/>
          <w:szCs w:val="24"/>
        </w:rPr>
      </w:pPr>
      <w:r>
        <w:rPr>
          <w:sz w:val="24"/>
          <w:szCs w:val="24"/>
        </w:rPr>
        <w:t xml:space="preserve">20. </w:t>
      </w:r>
      <w:proofErr w:type="spellStart"/>
      <w:r>
        <w:rPr>
          <w:sz w:val="24"/>
          <w:szCs w:val="24"/>
        </w:rPr>
        <w:t>Pană</w:t>
      </w:r>
      <w:proofErr w:type="spellEnd"/>
      <w:r>
        <w:rPr>
          <w:sz w:val="24"/>
          <w:szCs w:val="24"/>
        </w:rPr>
        <w:t xml:space="preserve">, Marin, (2021 a), Nu </w:t>
      </w:r>
      <w:proofErr w:type="spellStart"/>
      <w:r>
        <w:rPr>
          <w:sz w:val="24"/>
          <w:szCs w:val="24"/>
        </w:rPr>
        <w:t>doar</w:t>
      </w:r>
      <w:proofErr w:type="spellEnd"/>
      <w:r>
        <w:rPr>
          <w:sz w:val="24"/>
          <w:szCs w:val="24"/>
        </w:rPr>
        <w:t xml:space="preserve"> </w:t>
      </w:r>
      <w:proofErr w:type="spellStart"/>
      <w:r>
        <w:rPr>
          <w:sz w:val="24"/>
          <w:szCs w:val="24"/>
        </w:rPr>
        <w:t>datoria</w:t>
      </w:r>
      <w:proofErr w:type="spellEnd"/>
      <w:r>
        <w:rPr>
          <w:sz w:val="24"/>
          <w:szCs w:val="24"/>
        </w:rPr>
        <w:t xml:space="preserve"> e </w:t>
      </w:r>
      <w:proofErr w:type="spellStart"/>
      <w:r>
        <w:rPr>
          <w:sz w:val="24"/>
          <w:szCs w:val="24"/>
        </w:rPr>
        <w:t>problema</w:t>
      </w:r>
      <w:proofErr w:type="spellEnd"/>
      <w:r>
        <w:rPr>
          <w:sz w:val="24"/>
          <w:szCs w:val="24"/>
        </w:rPr>
        <w:t xml:space="preserve">, ci </w:t>
      </w:r>
      <w:proofErr w:type="spellStart"/>
      <w:r>
        <w:rPr>
          <w:sz w:val="24"/>
          <w:szCs w:val="24"/>
        </w:rPr>
        <w:t>și</w:t>
      </w:r>
      <w:proofErr w:type="spellEnd"/>
      <w:r>
        <w:rPr>
          <w:sz w:val="24"/>
          <w:szCs w:val="24"/>
        </w:rPr>
        <w:t xml:space="preserve"> </w:t>
      </w:r>
      <w:proofErr w:type="spellStart"/>
      <w:r>
        <w:rPr>
          <w:sz w:val="24"/>
          <w:szCs w:val="24"/>
        </w:rPr>
        <w:t>prețul</w:t>
      </w:r>
      <w:proofErr w:type="spellEnd"/>
      <w:r>
        <w:rPr>
          <w:sz w:val="24"/>
          <w:szCs w:val="24"/>
        </w:rPr>
        <w:t xml:space="preserve"> </w:t>
      </w:r>
      <w:proofErr w:type="spellStart"/>
      <w:r>
        <w:rPr>
          <w:sz w:val="24"/>
          <w:szCs w:val="24"/>
        </w:rPr>
        <w:t>ei</w:t>
      </w:r>
      <w:proofErr w:type="spellEnd"/>
      <w:r>
        <w:rPr>
          <w:sz w:val="24"/>
          <w:szCs w:val="24"/>
        </w:rPr>
        <w:t xml:space="preserve">: 3 </w:t>
      </w:r>
      <w:proofErr w:type="spellStart"/>
      <w:r>
        <w:rPr>
          <w:sz w:val="24"/>
          <w:szCs w:val="24"/>
        </w:rPr>
        <w:t>miliarde</w:t>
      </w:r>
      <w:proofErr w:type="spellEnd"/>
      <w:r>
        <w:rPr>
          <w:sz w:val="24"/>
          <w:szCs w:val="24"/>
        </w:rPr>
        <w:t xml:space="preserve"> de euro </w:t>
      </w:r>
      <w:proofErr w:type="spellStart"/>
      <w:r>
        <w:rPr>
          <w:sz w:val="24"/>
          <w:szCs w:val="24"/>
        </w:rPr>
        <w:t>dați</w:t>
      </w:r>
      <w:proofErr w:type="spellEnd"/>
      <w:r>
        <w:rPr>
          <w:sz w:val="24"/>
          <w:szCs w:val="24"/>
        </w:rPr>
        <w:t xml:space="preserve"> pe </w:t>
      </w:r>
      <w:proofErr w:type="spellStart"/>
      <w:r>
        <w:rPr>
          <w:sz w:val="24"/>
          <w:szCs w:val="24"/>
        </w:rPr>
        <w:t>dobânzi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2020 </w:t>
      </w:r>
      <w:proofErr w:type="spellStart"/>
      <w:r>
        <w:rPr>
          <w:sz w:val="24"/>
          <w:szCs w:val="24"/>
        </w:rPr>
        <w:t>și</w:t>
      </w:r>
      <w:proofErr w:type="spellEnd"/>
      <w:r>
        <w:rPr>
          <w:sz w:val="24"/>
          <w:szCs w:val="24"/>
        </w:rPr>
        <w:t xml:space="preserve"> </w:t>
      </w:r>
      <w:proofErr w:type="spellStart"/>
      <w:r>
        <w:rPr>
          <w:sz w:val="24"/>
          <w:szCs w:val="24"/>
        </w:rPr>
        <w:t>aproape</w:t>
      </w:r>
      <w:proofErr w:type="spellEnd"/>
      <w:r>
        <w:rPr>
          <w:sz w:val="24"/>
          <w:szCs w:val="24"/>
        </w:rPr>
        <w:t xml:space="preserve"> 30 de </w:t>
      </w:r>
      <w:proofErr w:type="spellStart"/>
      <w:r>
        <w:rPr>
          <w:sz w:val="24"/>
          <w:szCs w:val="24"/>
        </w:rPr>
        <w:t>miliarde</w:t>
      </w:r>
      <w:proofErr w:type="spellEnd"/>
      <w:r>
        <w:rPr>
          <w:sz w:val="24"/>
          <w:szCs w:val="24"/>
        </w:rPr>
        <w:t xml:space="preserve"> de euro </w:t>
      </w:r>
      <w:proofErr w:type="spellStart"/>
      <w:r>
        <w:rPr>
          <w:sz w:val="24"/>
          <w:szCs w:val="24"/>
        </w:rPr>
        <w:t>în</w:t>
      </w:r>
      <w:proofErr w:type="spellEnd"/>
      <w:r>
        <w:rPr>
          <w:sz w:val="24"/>
          <w:szCs w:val="24"/>
        </w:rPr>
        <w:t xml:space="preserve"> </w:t>
      </w:r>
      <w:proofErr w:type="spellStart"/>
      <w:r>
        <w:rPr>
          <w:sz w:val="24"/>
          <w:szCs w:val="24"/>
        </w:rPr>
        <w:t>ultimii</w:t>
      </w:r>
      <w:proofErr w:type="spellEnd"/>
      <w:r>
        <w:rPr>
          <w:sz w:val="24"/>
          <w:szCs w:val="24"/>
        </w:rPr>
        <w:t xml:space="preserve"> 15 ani. </w:t>
      </w:r>
      <w:proofErr w:type="spellStart"/>
      <w:r>
        <w:rPr>
          <w:sz w:val="24"/>
          <w:szCs w:val="24"/>
        </w:rPr>
        <w:t>Observații</w:t>
      </w:r>
      <w:proofErr w:type="spellEnd"/>
      <w:r>
        <w:rPr>
          <w:sz w:val="24"/>
          <w:szCs w:val="24"/>
        </w:rPr>
        <w:t xml:space="preserve">, https://cursdeguvernare.ro/, </w:t>
      </w:r>
      <w:proofErr w:type="spellStart"/>
      <w:r>
        <w:rPr>
          <w:sz w:val="24"/>
          <w:szCs w:val="24"/>
        </w:rPr>
        <w:t>accesat</w:t>
      </w:r>
      <w:proofErr w:type="spellEnd"/>
      <w:r>
        <w:rPr>
          <w:sz w:val="24"/>
          <w:szCs w:val="24"/>
        </w:rPr>
        <w:t xml:space="preserve"> la 15.10.2021</w:t>
      </w:r>
    </w:p>
    <w:p w14:paraId="13C99E83" w14:textId="77777777" w:rsidR="006E2BA3" w:rsidRDefault="006E2BA3" w:rsidP="006E2BA3">
      <w:pPr>
        <w:shd w:val="clear" w:color="auto" w:fill="FFFFFF"/>
        <w:jc w:val="both"/>
        <w:textAlignment w:val="baseline"/>
        <w:outlineLvl w:val="0"/>
        <w:rPr>
          <w:sz w:val="24"/>
          <w:szCs w:val="24"/>
        </w:rPr>
      </w:pPr>
      <w:r>
        <w:rPr>
          <w:sz w:val="24"/>
          <w:szCs w:val="24"/>
        </w:rPr>
        <w:t xml:space="preserve">21. </w:t>
      </w:r>
      <w:bookmarkStart w:id="19" w:name="_Hlk85381945"/>
      <w:r>
        <w:rPr>
          <w:sz w:val="24"/>
          <w:szCs w:val="24"/>
        </w:rPr>
        <w:fldChar w:fldCharType="begin"/>
      </w:r>
      <w:r>
        <w:rPr>
          <w:sz w:val="24"/>
          <w:szCs w:val="24"/>
        </w:rPr>
        <w:instrText xml:space="preserve"> HYPERLINK "https://cursdeguvernare.ro/author/marin-pana" </w:instrText>
      </w:r>
      <w:r>
        <w:rPr>
          <w:sz w:val="24"/>
          <w:szCs w:val="24"/>
        </w:rPr>
        <w:fldChar w:fldCharType="separate"/>
      </w:r>
      <w:r>
        <w:rPr>
          <w:rStyle w:val="Hyperlink"/>
        </w:rPr>
        <w:t>Pan</w:t>
      </w:r>
      <w:r>
        <w:rPr>
          <w:sz w:val="24"/>
          <w:szCs w:val="24"/>
        </w:rPr>
        <w:fldChar w:fldCharType="end"/>
      </w:r>
      <w:r>
        <w:rPr>
          <w:sz w:val="24"/>
          <w:szCs w:val="24"/>
        </w:rPr>
        <w:t xml:space="preserve">ă, Marin, (2021 b), </w:t>
      </w:r>
      <w:hyperlink r:id="rId9" w:history="1">
        <w:r>
          <w:rPr>
            <w:rStyle w:val="Hyperlink"/>
            <w:kern w:val="36"/>
          </w:rPr>
          <w:t>Structura și problemele datoriei publice a României, care se apropie de pragul de 500 miliarde</w:t>
        </w:r>
      </w:hyperlink>
      <w:r>
        <w:rPr>
          <w:kern w:val="36"/>
          <w:sz w:val="24"/>
          <w:szCs w:val="24"/>
        </w:rPr>
        <w:t>, https://cursdeguvernare.ro/</w:t>
      </w:r>
      <w:r>
        <w:rPr>
          <w:sz w:val="24"/>
          <w:szCs w:val="24"/>
        </w:rPr>
        <w:t xml:space="preserve">, </w:t>
      </w:r>
      <w:proofErr w:type="spellStart"/>
      <w:r>
        <w:rPr>
          <w:sz w:val="24"/>
          <w:szCs w:val="24"/>
        </w:rPr>
        <w:t>accesat</w:t>
      </w:r>
      <w:proofErr w:type="spellEnd"/>
      <w:r>
        <w:rPr>
          <w:sz w:val="24"/>
          <w:szCs w:val="24"/>
        </w:rPr>
        <w:t xml:space="preserve"> la 17.10.2021</w:t>
      </w:r>
    </w:p>
    <w:p w14:paraId="38D2D478" w14:textId="77777777" w:rsidR="006E2BA3" w:rsidRDefault="006E2BA3" w:rsidP="006E2BA3">
      <w:pPr>
        <w:tabs>
          <w:tab w:val="left" w:pos="-90"/>
        </w:tabs>
        <w:jc w:val="both"/>
        <w:rPr>
          <w:sz w:val="24"/>
          <w:szCs w:val="24"/>
        </w:rPr>
      </w:pPr>
      <w:r>
        <w:rPr>
          <w:sz w:val="24"/>
          <w:szCs w:val="24"/>
        </w:rPr>
        <w:t xml:space="preserve">22. </w:t>
      </w:r>
      <w:proofErr w:type="spellStart"/>
      <w:r>
        <w:rPr>
          <w:sz w:val="24"/>
          <w:szCs w:val="24"/>
        </w:rPr>
        <w:t>Regulamentului</w:t>
      </w:r>
      <w:proofErr w:type="spellEnd"/>
      <w:r>
        <w:rPr>
          <w:sz w:val="24"/>
          <w:szCs w:val="24"/>
        </w:rPr>
        <w:t xml:space="preserve"> (CE) nr. 1.466/1997 al </w:t>
      </w:r>
      <w:proofErr w:type="spellStart"/>
      <w:r>
        <w:rPr>
          <w:sz w:val="24"/>
          <w:szCs w:val="24"/>
        </w:rPr>
        <w:t>Consiliului</w:t>
      </w:r>
      <w:proofErr w:type="spellEnd"/>
      <w:r>
        <w:rPr>
          <w:sz w:val="24"/>
          <w:szCs w:val="24"/>
        </w:rPr>
        <w:t xml:space="preserve"> din 7 </w:t>
      </w:r>
      <w:proofErr w:type="spellStart"/>
      <w:r>
        <w:rPr>
          <w:sz w:val="24"/>
          <w:szCs w:val="24"/>
        </w:rPr>
        <w:t>iulie</w:t>
      </w:r>
      <w:proofErr w:type="spellEnd"/>
      <w:r>
        <w:rPr>
          <w:sz w:val="24"/>
          <w:szCs w:val="24"/>
        </w:rPr>
        <w:t xml:space="preserve"> 1997 </w:t>
      </w:r>
      <w:proofErr w:type="spellStart"/>
      <w:r>
        <w:rPr>
          <w:sz w:val="24"/>
          <w:szCs w:val="24"/>
        </w:rPr>
        <w:t>privind</w:t>
      </w:r>
      <w:proofErr w:type="spellEnd"/>
      <w:r>
        <w:rPr>
          <w:sz w:val="24"/>
          <w:szCs w:val="24"/>
        </w:rPr>
        <w:t xml:space="preserve"> </w:t>
      </w:r>
      <w:proofErr w:type="spellStart"/>
      <w:r>
        <w:rPr>
          <w:sz w:val="24"/>
          <w:szCs w:val="24"/>
        </w:rPr>
        <w:t>consolidarea</w:t>
      </w:r>
      <w:proofErr w:type="spellEnd"/>
      <w:r>
        <w:rPr>
          <w:sz w:val="24"/>
          <w:szCs w:val="24"/>
        </w:rPr>
        <w:t xml:space="preserve"> </w:t>
      </w:r>
      <w:proofErr w:type="spellStart"/>
      <w:r>
        <w:rPr>
          <w:sz w:val="24"/>
          <w:szCs w:val="24"/>
        </w:rPr>
        <w:t>supravegherii</w:t>
      </w:r>
      <w:proofErr w:type="spellEnd"/>
      <w:r>
        <w:rPr>
          <w:sz w:val="24"/>
          <w:szCs w:val="24"/>
        </w:rPr>
        <w:t xml:space="preserve"> </w:t>
      </w:r>
      <w:proofErr w:type="spellStart"/>
      <w:r>
        <w:rPr>
          <w:sz w:val="24"/>
          <w:szCs w:val="24"/>
        </w:rPr>
        <w:t>poziţiilor</w:t>
      </w:r>
      <w:proofErr w:type="spellEnd"/>
      <w:r>
        <w:rPr>
          <w:sz w:val="24"/>
          <w:szCs w:val="24"/>
        </w:rPr>
        <w:t xml:space="preserve"> </w:t>
      </w:r>
      <w:proofErr w:type="spellStart"/>
      <w:r>
        <w:rPr>
          <w:sz w:val="24"/>
          <w:szCs w:val="24"/>
        </w:rPr>
        <w:t>bugetare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supravegherea</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coordonarea</w:t>
      </w:r>
      <w:proofErr w:type="spellEnd"/>
      <w:r>
        <w:rPr>
          <w:sz w:val="24"/>
          <w:szCs w:val="24"/>
        </w:rPr>
        <w:t xml:space="preserve"> </w:t>
      </w:r>
      <w:proofErr w:type="spellStart"/>
      <w:r>
        <w:rPr>
          <w:sz w:val="24"/>
          <w:szCs w:val="24"/>
        </w:rPr>
        <w:t>politicilor</w:t>
      </w:r>
      <w:proofErr w:type="spellEnd"/>
      <w:r>
        <w:rPr>
          <w:sz w:val="24"/>
          <w:szCs w:val="24"/>
        </w:rPr>
        <w:t xml:space="preserve"> </w:t>
      </w:r>
      <w:proofErr w:type="spellStart"/>
      <w:r>
        <w:rPr>
          <w:sz w:val="24"/>
          <w:szCs w:val="24"/>
        </w:rPr>
        <w:t>economice</w:t>
      </w:r>
      <w:proofErr w:type="spellEnd"/>
    </w:p>
    <w:bookmarkEnd w:id="19"/>
    <w:p w14:paraId="0B2DC102" w14:textId="77777777" w:rsidR="006E2BA3" w:rsidRDefault="006E2BA3" w:rsidP="006E2BA3">
      <w:pPr>
        <w:shd w:val="clear" w:color="auto" w:fill="FFFFFF" w:themeFill="background1"/>
        <w:tabs>
          <w:tab w:val="left" w:pos="-90"/>
        </w:tabs>
        <w:jc w:val="both"/>
        <w:rPr>
          <w:sz w:val="24"/>
          <w:szCs w:val="24"/>
        </w:rPr>
      </w:pPr>
      <w:r>
        <w:rPr>
          <w:sz w:val="24"/>
          <w:szCs w:val="24"/>
        </w:rPr>
        <w:t>23.Ricardo, David, (1951), On the principles of political economy and taxation, in Sraffa, P. (Ed.), The Works and Correspondence of David Ricardo, Vol. 1, Cambridge University Press, Cambridge, with the collaboration of M. Dobb</w:t>
      </w:r>
    </w:p>
    <w:p w14:paraId="75523327" w14:textId="77777777" w:rsidR="006E2BA3" w:rsidRDefault="006E2BA3" w:rsidP="006E2BA3">
      <w:pPr>
        <w:rPr>
          <w:sz w:val="24"/>
          <w:szCs w:val="24"/>
        </w:rPr>
        <w:sectPr w:rsidR="006E2BA3" w:rsidSect="006E2BA3">
          <w:type w:val="continuous"/>
          <w:pgSz w:w="11907" w:h="16840"/>
          <w:pgMar w:top="1123" w:right="1123" w:bottom="1123" w:left="1123" w:header="374" w:footer="374" w:gutter="0"/>
          <w:cols w:space="720"/>
        </w:sectPr>
      </w:pPr>
    </w:p>
    <w:p w14:paraId="6D815FAB" w14:textId="77777777" w:rsidR="006E2BA3" w:rsidRDefault="006E2BA3" w:rsidP="006E2BA3">
      <w:pPr>
        <w:shd w:val="clear" w:color="auto" w:fill="FFFFFF" w:themeFill="background1"/>
        <w:tabs>
          <w:tab w:val="left" w:pos="-90"/>
        </w:tabs>
        <w:ind w:hanging="270"/>
        <w:jc w:val="both"/>
        <w:rPr>
          <w:sz w:val="24"/>
          <w:szCs w:val="24"/>
        </w:rPr>
      </w:pPr>
      <w:r>
        <w:rPr>
          <w:sz w:val="24"/>
          <w:szCs w:val="24"/>
        </w:rPr>
        <w:t xml:space="preserve">24. Law no. 69/2010 a </w:t>
      </w:r>
      <w:proofErr w:type="spellStart"/>
      <w:r>
        <w:rPr>
          <w:sz w:val="24"/>
          <w:szCs w:val="24"/>
        </w:rPr>
        <w:t>responsabilităţii</w:t>
      </w:r>
      <w:proofErr w:type="spellEnd"/>
      <w:r>
        <w:rPr>
          <w:sz w:val="24"/>
          <w:szCs w:val="24"/>
        </w:rPr>
        <w:t xml:space="preserve"> fiscal-</w:t>
      </w:r>
      <w:proofErr w:type="spellStart"/>
      <w:r>
        <w:rPr>
          <w:sz w:val="24"/>
          <w:szCs w:val="24"/>
        </w:rPr>
        <w:t>bugetare</w:t>
      </w:r>
      <w:proofErr w:type="spellEnd"/>
      <w:r>
        <w:rPr>
          <w:sz w:val="24"/>
          <w:szCs w:val="24"/>
        </w:rPr>
        <w:t xml:space="preserve"> </w:t>
      </w:r>
    </w:p>
    <w:p w14:paraId="174010BE" w14:textId="77777777" w:rsidR="006E2BA3" w:rsidRDefault="006E2BA3" w:rsidP="006E2BA3">
      <w:pPr>
        <w:tabs>
          <w:tab w:val="left" w:pos="-90"/>
        </w:tabs>
        <w:ind w:hanging="270"/>
        <w:jc w:val="both"/>
        <w:rPr>
          <w:sz w:val="24"/>
          <w:szCs w:val="24"/>
          <w:lang w:val="ro-RO"/>
        </w:rPr>
      </w:pPr>
      <w:r>
        <w:rPr>
          <w:sz w:val="24"/>
          <w:szCs w:val="24"/>
        </w:rPr>
        <w:t>25. https://</w:t>
      </w:r>
      <w:r>
        <w:rPr>
          <w:sz w:val="24"/>
          <w:szCs w:val="24"/>
          <w:lang w:val="ro-RO"/>
        </w:rPr>
        <w:t>eur-lex.europa.eu</w:t>
      </w:r>
    </w:p>
    <w:p w14:paraId="0FCF18FA" w14:textId="77777777" w:rsidR="006E2BA3" w:rsidRDefault="006E2BA3" w:rsidP="006E2BA3">
      <w:pPr>
        <w:rPr>
          <w:sz w:val="24"/>
          <w:szCs w:val="24"/>
          <w:lang w:val="ro-RO"/>
        </w:rPr>
        <w:sectPr w:rsidR="006E2BA3">
          <w:type w:val="continuous"/>
          <w:pgSz w:w="11907" w:h="16840"/>
          <w:pgMar w:top="1417" w:right="1417" w:bottom="1417" w:left="1417" w:header="380" w:footer="380" w:gutter="0"/>
          <w:cols w:space="720"/>
        </w:sectPr>
      </w:pPr>
    </w:p>
    <w:p w14:paraId="16FDDB08" w14:textId="77777777" w:rsidR="006E2BA3" w:rsidRDefault="006E2BA3" w:rsidP="006E2BA3">
      <w:pPr>
        <w:tabs>
          <w:tab w:val="left" w:pos="0"/>
        </w:tabs>
        <w:overflowPunct w:val="0"/>
        <w:adjustRightInd w:val="0"/>
        <w:ind w:hanging="270"/>
        <w:jc w:val="both"/>
        <w:textAlignment w:val="baseline"/>
        <w:rPr>
          <w:sz w:val="24"/>
          <w:szCs w:val="24"/>
        </w:rPr>
      </w:pPr>
      <w:r>
        <w:rPr>
          <w:sz w:val="24"/>
          <w:szCs w:val="24"/>
        </w:rPr>
        <w:t xml:space="preserve">26. </w:t>
      </w:r>
      <w:hyperlink r:id="rId10" w:history="1">
        <w:r>
          <w:rPr>
            <w:rStyle w:val="Hyperlink"/>
          </w:rPr>
          <w:t>https://www.financialmarket.ro/terms/datorie-publica/</w:t>
        </w:r>
      </w:hyperlink>
      <w:r>
        <w:rPr>
          <w:sz w:val="24"/>
          <w:szCs w:val="24"/>
        </w:rPr>
        <w:t xml:space="preserve"> </w:t>
      </w:r>
      <w:proofErr w:type="spellStart"/>
      <w:r>
        <w:rPr>
          <w:sz w:val="24"/>
          <w:szCs w:val="24"/>
        </w:rPr>
        <w:t>accesat</w:t>
      </w:r>
      <w:proofErr w:type="spellEnd"/>
      <w:r>
        <w:rPr>
          <w:sz w:val="24"/>
          <w:szCs w:val="24"/>
        </w:rPr>
        <w:t xml:space="preserve"> la 26.09.2021</w:t>
      </w:r>
    </w:p>
    <w:p w14:paraId="23C87BD4" w14:textId="77777777" w:rsidR="006E2BA3" w:rsidRDefault="006E2BA3" w:rsidP="006E2BA3">
      <w:pPr>
        <w:tabs>
          <w:tab w:val="left" w:pos="-90"/>
        </w:tabs>
        <w:ind w:left="-270"/>
        <w:jc w:val="both"/>
        <w:rPr>
          <w:sz w:val="24"/>
          <w:szCs w:val="24"/>
        </w:rPr>
      </w:pPr>
      <w:r>
        <w:rPr>
          <w:sz w:val="24"/>
          <w:szCs w:val="24"/>
        </w:rPr>
        <w:t xml:space="preserve">27. </w:t>
      </w:r>
      <w:hyperlink r:id="rId11" w:history="1">
        <w:r>
          <w:rPr>
            <w:rStyle w:val="Hyperlink"/>
          </w:rPr>
          <w:t>https://mfinante.gov.rob</w:t>
        </w:r>
      </w:hyperlink>
      <w:r>
        <w:rPr>
          <w:sz w:val="24"/>
          <w:szCs w:val="24"/>
        </w:rPr>
        <w:t xml:space="preserve">  </w:t>
      </w:r>
    </w:p>
    <w:p w14:paraId="5D433726" w14:textId="77777777" w:rsidR="006E2BA3" w:rsidRDefault="006E2BA3" w:rsidP="006E2BA3">
      <w:pPr>
        <w:tabs>
          <w:tab w:val="left" w:pos="-90"/>
        </w:tabs>
        <w:ind w:left="-270"/>
        <w:jc w:val="both"/>
        <w:rPr>
          <w:sz w:val="24"/>
          <w:szCs w:val="24"/>
        </w:rPr>
      </w:pPr>
    </w:p>
    <w:p w14:paraId="76A7A36A" w14:textId="77777777" w:rsidR="006E2BA3" w:rsidRDefault="006E2BA3" w:rsidP="006E2BA3">
      <w:pPr>
        <w:tabs>
          <w:tab w:val="left" w:pos="-90"/>
        </w:tabs>
        <w:ind w:left="-270"/>
        <w:jc w:val="both"/>
        <w:rPr>
          <w:sz w:val="24"/>
          <w:szCs w:val="24"/>
        </w:rPr>
      </w:pPr>
    </w:p>
    <w:p w14:paraId="183507F4" w14:textId="77777777" w:rsidR="006E2BA3" w:rsidRDefault="006E2BA3" w:rsidP="006E2BA3">
      <w:pPr>
        <w:tabs>
          <w:tab w:val="left" w:pos="-90"/>
        </w:tabs>
        <w:ind w:left="-270"/>
        <w:jc w:val="both"/>
        <w:rPr>
          <w:sz w:val="24"/>
          <w:szCs w:val="24"/>
        </w:rPr>
      </w:pPr>
    </w:p>
    <w:p w14:paraId="00D90CB7" w14:textId="457EEB97" w:rsidR="00677872" w:rsidRPr="00CC28EC" w:rsidRDefault="00677872" w:rsidP="00E92D21">
      <w:pPr>
        <w:pStyle w:val="Heading2"/>
        <w:spacing w:before="120" w:after="120" w:line="276" w:lineRule="auto"/>
        <w:ind w:firstLine="567"/>
        <w:rPr>
          <w:rFonts w:eastAsiaTheme="minorHAnsi"/>
          <w:sz w:val="24"/>
          <w:szCs w:val="24"/>
        </w:rPr>
      </w:pPr>
    </w:p>
    <w:p w14:paraId="48776542" w14:textId="77777777" w:rsidR="00677872" w:rsidRPr="00CC28EC" w:rsidRDefault="00677872" w:rsidP="00093BEB">
      <w:pPr>
        <w:pStyle w:val="Default"/>
        <w:spacing w:line="276" w:lineRule="auto"/>
        <w:jc w:val="both"/>
        <w:rPr>
          <w:rFonts w:ascii="Times New Roman" w:eastAsiaTheme="minorHAnsi" w:hAnsi="Times New Roman"/>
          <w:sz w:val="24"/>
          <w:szCs w:val="24"/>
        </w:rPr>
      </w:pPr>
    </w:p>
    <w:sectPr w:rsidR="00677872" w:rsidRPr="00CC28EC" w:rsidSect="00E92D21">
      <w:headerReference w:type="even" r:id="rId12"/>
      <w:headerReference w:type="default" r:id="rId13"/>
      <w:footerReference w:type="even" r:id="rId14"/>
      <w:footerReference w:type="default" r:id="rId15"/>
      <w:type w:val="continuous"/>
      <w:pgSz w:w="11907" w:h="16840" w:code="9"/>
      <w:pgMar w:top="1123" w:right="1123" w:bottom="1123" w:left="1123" w:header="374" w:footer="37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63AF" w14:textId="77777777" w:rsidR="00F232F3" w:rsidRDefault="00F232F3" w:rsidP="00726D61">
      <w:r>
        <w:separator/>
      </w:r>
    </w:p>
  </w:endnote>
  <w:endnote w:type="continuationSeparator" w:id="0">
    <w:p w14:paraId="12C60322" w14:textId="77777777" w:rsidR="00F232F3" w:rsidRDefault="00F232F3" w:rsidP="0072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DBB0" w14:textId="77777777" w:rsidR="00C72B13" w:rsidRDefault="00C72B13" w:rsidP="00AC035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1DF548" w14:textId="77777777" w:rsidR="00C72B13" w:rsidRDefault="00C72B13" w:rsidP="00AC035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749668"/>
      <w:docPartObj>
        <w:docPartGallery w:val="Page Numbers (Bottom of Page)"/>
        <w:docPartUnique/>
      </w:docPartObj>
    </w:sdtPr>
    <w:sdtEndPr>
      <w:rPr>
        <w:noProof/>
      </w:rPr>
    </w:sdtEndPr>
    <w:sdtContent>
      <w:p w14:paraId="7F4FAF0A" w14:textId="77777777" w:rsidR="00C72B13" w:rsidRDefault="00C72B1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EFB21D2" w14:textId="77777777" w:rsidR="00C72B13" w:rsidRDefault="00C72B13" w:rsidP="00AC0352">
    <w:pPr>
      <w:pStyle w:val="Footer"/>
      <w:tabs>
        <w:tab w:val="clear" w:pos="4320"/>
        <w:tab w:val="clear" w:pos="8640"/>
        <w:tab w:val="left" w:pos="7632"/>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838" w14:textId="77777777" w:rsidR="00F232F3" w:rsidRDefault="00F232F3" w:rsidP="00726D61">
      <w:r>
        <w:separator/>
      </w:r>
    </w:p>
  </w:footnote>
  <w:footnote w:type="continuationSeparator" w:id="0">
    <w:p w14:paraId="116938A0" w14:textId="77777777" w:rsidR="00F232F3" w:rsidRDefault="00F232F3" w:rsidP="0072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9576" w14:textId="77777777" w:rsidR="00C72B13" w:rsidRDefault="00C72B13">
    <w:pPr>
      <w:pStyle w:val="Header"/>
    </w:pPr>
    <w:r w:rsidRPr="00922745">
      <w:rPr>
        <w:b/>
        <w:i/>
      </w:rPr>
      <w:t xml:space="preserve">Advances in Electrical and Computer Engineering                                           </w:t>
    </w:r>
    <w:r>
      <w:rPr>
        <w:b/>
        <w:i/>
      </w:rPr>
      <w:t xml:space="preserve">                          </w:t>
    </w:r>
    <w:r w:rsidRPr="00922745">
      <w:rPr>
        <w:b/>
        <w:i/>
      </w:rPr>
      <w:t xml:space="preserve"> Volume </w:t>
    </w:r>
    <w:r>
      <w:rPr>
        <w:b/>
        <w:i/>
      </w:rPr>
      <w:t>xx</w:t>
    </w:r>
    <w:r w:rsidRPr="00922745">
      <w:rPr>
        <w:b/>
        <w:i/>
      </w:rPr>
      <w:t>, Number</w:t>
    </w:r>
    <w:r>
      <w:rPr>
        <w:b/>
        <w:i/>
      </w:rPr>
      <w:t xml:space="preserve"> x</w:t>
    </w:r>
    <w:r w:rsidRPr="00922745">
      <w:rPr>
        <w:b/>
        <w:i/>
      </w:rPr>
      <w:t>, 20</w:t>
    </w:r>
    <w:r>
      <w:rPr>
        <w:b/>
        <w:i/>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E340" w14:textId="77777777" w:rsidR="00C72B13" w:rsidRPr="00876828" w:rsidRDefault="00C72B13" w:rsidP="00876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327"/>
    <w:multiLevelType w:val="hybridMultilevel"/>
    <w:tmpl w:val="75106FF8"/>
    <w:lvl w:ilvl="0" w:tplc="27241254">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29A30DEF"/>
    <w:multiLevelType w:val="multilevel"/>
    <w:tmpl w:val="739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27FAF"/>
    <w:multiLevelType w:val="hybridMultilevel"/>
    <w:tmpl w:val="79A089F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6EFF7A98"/>
    <w:multiLevelType w:val="hybridMultilevel"/>
    <w:tmpl w:val="48B01E90"/>
    <w:lvl w:ilvl="0" w:tplc="E3B419B4">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D61"/>
    <w:rsid w:val="00001913"/>
    <w:rsid w:val="00001A60"/>
    <w:rsid w:val="00002A3B"/>
    <w:rsid w:val="00003ED1"/>
    <w:rsid w:val="0000532A"/>
    <w:rsid w:val="00005EF5"/>
    <w:rsid w:val="00007BA2"/>
    <w:rsid w:val="000214F8"/>
    <w:rsid w:val="000230EB"/>
    <w:rsid w:val="000244E4"/>
    <w:rsid w:val="00024FBB"/>
    <w:rsid w:val="00034069"/>
    <w:rsid w:val="00034286"/>
    <w:rsid w:val="0003552C"/>
    <w:rsid w:val="000451AE"/>
    <w:rsid w:val="00050BEE"/>
    <w:rsid w:val="000547D3"/>
    <w:rsid w:val="000658FF"/>
    <w:rsid w:val="00073F7D"/>
    <w:rsid w:val="00081E18"/>
    <w:rsid w:val="00093BEB"/>
    <w:rsid w:val="0009503A"/>
    <w:rsid w:val="000A0C59"/>
    <w:rsid w:val="000A1891"/>
    <w:rsid w:val="000A2741"/>
    <w:rsid w:val="000A2FBA"/>
    <w:rsid w:val="000A42AA"/>
    <w:rsid w:val="000A7D63"/>
    <w:rsid w:val="000B3690"/>
    <w:rsid w:val="000B4C9C"/>
    <w:rsid w:val="000B5C6C"/>
    <w:rsid w:val="000B61BA"/>
    <w:rsid w:val="000C2B1D"/>
    <w:rsid w:val="000C3CA8"/>
    <w:rsid w:val="000C4B64"/>
    <w:rsid w:val="000C6D53"/>
    <w:rsid w:val="000D060C"/>
    <w:rsid w:val="000D0C4B"/>
    <w:rsid w:val="000D3A38"/>
    <w:rsid w:val="000D45F1"/>
    <w:rsid w:val="000D5BFE"/>
    <w:rsid w:val="000E003C"/>
    <w:rsid w:val="000E0147"/>
    <w:rsid w:val="000E4F08"/>
    <w:rsid w:val="000E5A4C"/>
    <w:rsid w:val="000F02AC"/>
    <w:rsid w:val="00100009"/>
    <w:rsid w:val="0010560B"/>
    <w:rsid w:val="00107EB4"/>
    <w:rsid w:val="001221EB"/>
    <w:rsid w:val="00123F39"/>
    <w:rsid w:val="00125A34"/>
    <w:rsid w:val="00137A50"/>
    <w:rsid w:val="0014052E"/>
    <w:rsid w:val="00144A18"/>
    <w:rsid w:val="00146860"/>
    <w:rsid w:val="00151552"/>
    <w:rsid w:val="00152DB5"/>
    <w:rsid w:val="00154FA7"/>
    <w:rsid w:val="00156FFB"/>
    <w:rsid w:val="00162502"/>
    <w:rsid w:val="0016555F"/>
    <w:rsid w:val="00166640"/>
    <w:rsid w:val="00166C43"/>
    <w:rsid w:val="00172ECB"/>
    <w:rsid w:val="001807AD"/>
    <w:rsid w:val="001832A7"/>
    <w:rsid w:val="001872A7"/>
    <w:rsid w:val="001943B1"/>
    <w:rsid w:val="001A15A5"/>
    <w:rsid w:val="001A598A"/>
    <w:rsid w:val="001B1151"/>
    <w:rsid w:val="001C0B12"/>
    <w:rsid w:val="001C16F4"/>
    <w:rsid w:val="001C410A"/>
    <w:rsid w:val="001C5B15"/>
    <w:rsid w:val="001C7C47"/>
    <w:rsid w:val="001D6A32"/>
    <w:rsid w:val="001E277A"/>
    <w:rsid w:val="001E2FCE"/>
    <w:rsid w:val="001E3B35"/>
    <w:rsid w:val="00201C38"/>
    <w:rsid w:val="00203BA3"/>
    <w:rsid w:val="002053C5"/>
    <w:rsid w:val="002056FC"/>
    <w:rsid w:val="0021015D"/>
    <w:rsid w:val="002346FE"/>
    <w:rsid w:val="002375E1"/>
    <w:rsid w:val="00241AA0"/>
    <w:rsid w:val="00253F21"/>
    <w:rsid w:val="00255CD8"/>
    <w:rsid w:val="00256A1A"/>
    <w:rsid w:val="002615B3"/>
    <w:rsid w:val="002616C7"/>
    <w:rsid w:val="002655EC"/>
    <w:rsid w:val="00266A65"/>
    <w:rsid w:val="0027391C"/>
    <w:rsid w:val="00274BAB"/>
    <w:rsid w:val="00290773"/>
    <w:rsid w:val="0029708C"/>
    <w:rsid w:val="002A2361"/>
    <w:rsid w:val="002A37E7"/>
    <w:rsid w:val="002A4FD2"/>
    <w:rsid w:val="002B758D"/>
    <w:rsid w:val="002C1006"/>
    <w:rsid w:val="002C3E17"/>
    <w:rsid w:val="002C51DD"/>
    <w:rsid w:val="002C6350"/>
    <w:rsid w:val="002C78DD"/>
    <w:rsid w:val="002C7FD2"/>
    <w:rsid w:val="002E05EC"/>
    <w:rsid w:val="002E0E05"/>
    <w:rsid w:val="002E2F96"/>
    <w:rsid w:val="002E4575"/>
    <w:rsid w:val="002E7362"/>
    <w:rsid w:val="002F052D"/>
    <w:rsid w:val="002F11B9"/>
    <w:rsid w:val="0030645F"/>
    <w:rsid w:val="00307018"/>
    <w:rsid w:val="0031067C"/>
    <w:rsid w:val="00314D6F"/>
    <w:rsid w:val="00314E30"/>
    <w:rsid w:val="00316377"/>
    <w:rsid w:val="0031647E"/>
    <w:rsid w:val="0032287D"/>
    <w:rsid w:val="00325D0B"/>
    <w:rsid w:val="00336AB6"/>
    <w:rsid w:val="003377EF"/>
    <w:rsid w:val="003424B3"/>
    <w:rsid w:val="003468D9"/>
    <w:rsid w:val="003479C3"/>
    <w:rsid w:val="0035363B"/>
    <w:rsid w:val="00360B7D"/>
    <w:rsid w:val="00371A0C"/>
    <w:rsid w:val="0037278C"/>
    <w:rsid w:val="003767A7"/>
    <w:rsid w:val="00376E59"/>
    <w:rsid w:val="003805D8"/>
    <w:rsid w:val="003812AB"/>
    <w:rsid w:val="003813F9"/>
    <w:rsid w:val="00386ACE"/>
    <w:rsid w:val="00394863"/>
    <w:rsid w:val="003971BA"/>
    <w:rsid w:val="003A72AD"/>
    <w:rsid w:val="003B0492"/>
    <w:rsid w:val="003B1199"/>
    <w:rsid w:val="003B1B18"/>
    <w:rsid w:val="003B25BF"/>
    <w:rsid w:val="003B5AB8"/>
    <w:rsid w:val="003C00CB"/>
    <w:rsid w:val="003C3671"/>
    <w:rsid w:val="003C45DC"/>
    <w:rsid w:val="003D5C1E"/>
    <w:rsid w:val="003D6F59"/>
    <w:rsid w:val="003E0006"/>
    <w:rsid w:val="003E04F7"/>
    <w:rsid w:val="003E1CFF"/>
    <w:rsid w:val="003E22A8"/>
    <w:rsid w:val="003E2CF5"/>
    <w:rsid w:val="003E30C2"/>
    <w:rsid w:val="003E3296"/>
    <w:rsid w:val="003F5288"/>
    <w:rsid w:val="003F7FC9"/>
    <w:rsid w:val="004056BC"/>
    <w:rsid w:val="00406E5C"/>
    <w:rsid w:val="00412540"/>
    <w:rsid w:val="0041323D"/>
    <w:rsid w:val="004135A4"/>
    <w:rsid w:val="0041568D"/>
    <w:rsid w:val="0041721A"/>
    <w:rsid w:val="00420A71"/>
    <w:rsid w:val="00423BC1"/>
    <w:rsid w:val="0042647D"/>
    <w:rsid w:val="00426B3F"/>
    <w:rsid w:val="004271CE"/>
    <w:rsid w:val="00431254"/>
    <w:rsid w:val="0043531D"/>
    <w:rsid w:val="00456FE6"/>
    <w:rsid w:val="00470080"/>
    <w:rsid w:val="00475AF4"/>
    <w:rsid w:val="00475CEA"/>
    <w:rsid w:val="00476525"/>
    <w:rsid w:val="004853FB"/>
    <w:rsid w:val="004875C8"/>
    <w:rsid w:val="00490A66"/>
    <w:rsid w:val="004914BA"/>
    <w:rsid w:val="0049361E"/>
    <w:rsid w:val="0049486E"/>
    <w:rsid w:val="00496017"/>
    <w:rsid w:val="004A4709"/>
    <w:rsid w:val="004A756F"/>
    <w:rsid w:val="004B526F"/>
    <w:rsid w:val="004C260A"/>
    <w:rsid w:val="004C28BD"/>
    <w:rsid w:val="004C6670"/>
    <w:rsid w:val="004C7EB4"/>
    <w:rsid w:val="004D0278"/>
    <w:rsid w:val="004D1D1D"/>
    <w:rsid w:val="004E199F"/>
    <w:rsid w:val="004E211B"/>
    <w:rsid w:val="004E4474"/>
    <w:rsid w:val="004E581B"/>
    <w:rsid w:val="004F0C30"/>
    <w:rsid w:val="004F1EFB"/>
    <w:rsid w:val="004F25EF"/>
    <w:rsid w:val="00501252"/>
    <w:rsid w:val="005038F2"/>
    <w:rsid w:val="005040E7"/>
    <w:rsid w:val="00506881"/>
    <w:rsid w:val="00511566"/>
    <w:rsid w:val="00512B42"/>
    <w:rsid w:val="00520703"/>
    <w:rsid w:val="00520FC4"/>
    <w:rsid w:val="0052351C"/>
    <w:rsid w:val="00524827"/>
    <w:rsid w:val="00533BBD"/>
    <w:rsid w:val="0054744F"/>
    <w:rsid w:val="00551C82"/>
    <w:rsid w:val="00552840"/>
    <w:rsid w:val="00553830"/>
    <w:rsid w:val="00553A8D"/>
    <w:rsid w:val="00555B0E"/>
    <w:rsid w:val="00560F98"/>
    <w:rsid w:val="0057504A"/>
    <w:rsid w:val="00575700"/>
    <w:rsid w:val="005760FD"/>
    <w:rsid w:val="00577A2D"/>
    <w:rsid w:val="005831D1"/>
    <w:rsid w:val="0058657C"/>
    <w:rsid w:val="0059540C"/>
    <w:rsid w:val="00596086"/>
    <w:rsid w:val="005961B4"/>
    <w:rsid w:val="0059659A"/>
    <w:rsid w:val="005970ED"/>
    <w:rsid w:val="005A07D3"/>
    <w:rsid w:val="005A11CC"/>
    <w:rsid w:val="005A1F12"/>
    <w:rsid w:val="005B082B"/>
    <w:rsid w:val="005B1E32"/>
    <w:rsid w:val="005B2ECE"/>
    <w:rsid w:val="005B3EAE"/>
    <w:rsid w:val="005B6DAD"/>
    <w:rsid w:val="005C211D"/>
    <w:rsid w:val="005C49B5"/>
    <w:rsid w:val="005C7BEF"/>
    <w:rsid w:val="005D7A77"/>
    <w:rsid w:val="005E14B0"/>
    <w:rsid w:val="005E7E28"/>
    <w:rsid w:val="005F3BF7"/>
    <w:rsid w:val="005F4DAD"/>
    <w:rsid w:val="006002D6"/>
    <w:rsid w:val="00606E3E"/>
    <w:rsid w:val="006115CC"/>
    <w:rsid w:val="0061593F"/>
    <w:rsid w:val="006213F9"/>
    <w:rsid w:val="00621885"/>
    <w:rsid w:val="006229A8"/>
    <w:rsid w:val="00622B28"/>
    <w:rsid w:val="00626AEB"/>
    <w:rsid w:val="006320B9"/>
    <w:rsid w:val="006323CF"/>
    <w:rsid w:val="006351C0"/>
    <w:rsid w:val="00635DD1"/>
    <w:rsid w:val="00641A4B"/>
    <w:rsid w:val="006612B7"/>
    <w:rsid w:val="00662943"/>
    <w:rsid w:val="00664DD6"/>
    <w:rsid w:val="006677AC"/>
    <w:rsid w:val="00670552"/>
    <w:rsid w:val="00672125"/>
    <w:rsid w:val="00677872"/>
    <w:rsid w:val="00680CBB"/>
    <w:rsid w:val="00683857"/>
    <w:rsid w:val="00687295"/>
    <w:rsid w:val="00687AF7"/>
    <w:rsid w:val="00691C67"/>
    <w:rsid w:val="0069425F"/>
    <w:rsid w:val="0069672E"/>
    <w:rsid w:val="006A1028"/>
    <w:rsid w:val="006A15E2"/>
    <w:rsid w:val="006B2EE0"/>
    <w:rsid w:val="006B46A8"/>
    <w:rsid w:val="006B66F1"/>
    <w:rsid w:val="006B78B7"/>
    <w:rsid w:val="006C1549"/>
    <w:rsid w:val="006C2861"/>
    <w:rsid w:val="006C532C"/>
    <w:rsid w:val="006C604A"/>
    <w:rsid w:val="006C6968"/>
    <w:rsid w:val="006D11E6"/>
    <w:rsid w:val="006D4E45"/>
    <w:rsid w:val="006D6BCA"/>
    <w:rsid w:val="006D6DAF"/>
    <w:rsid w:val="006D7180"/>
    <w:rsid w:val="006E0909"/>
    <w:rsid w:val="006E2BA3"/>
    <w:rsid w:val="006E37BE"/>
    <w:rsid w:val="006E4440"/>
    <w:rsid w:val="006E7A45"/>
    <w:rsid w:val="006F4356"/>
    <w:rsid w:val="0070102B"/>
    <w:rsid w:val="00703105"/>
    <w:rsid w:val="00704F01"/>
    <w:rsid w:val="00707488"/>
    <w:rsid w:val="007128B6"/>
    <w:rsid w:val="00716601"/>
    <w:rsid w:val="00724669"/>
    <w:rsid w:val="00726D61"/>
    <w:rsid w:val="00727F74"/>
    <w:rsid w:val="007313AC"/>
    <w:rsid w:val="00733C4A"/>
    <w:rsid w:val="00734AAE"/>
    <w:rsid w:val="00737847"/>
    <w:rsid w:val="00746056"/>
    <w:rsid w:val="00751B9A"/>
    <w:rsid w:val="00751D9F"/>
    <w:rsid w:val="0075324C"/>
    <w:rsid w:val="00753CCB"/>
    <w:rsid w:val="00762393"/>
    <w:rsid w:val="00764D3B"/>
    <w:rsid w:val="00765E7B"/>
    <w:rsid w:val="007671FB"/>
    <w:rsid w:val="00775126"/>
    <w:rsid w:val="00777319"/>
    <w:rsid w:val="007831F1"/>
    <w:rsid w:val="0078481C"/>
    <w:rsid w:val="00793C93"/>
    <w:rsid w:val="007B220E"/>
    <w:rsid w:val="007B4799"/>
    <w:rsid w:val="007B49FE"/>
    <w:rsid w:val="007C1E68"/>
    <w:rsid w:val="007C2566"/>
    <w:rsid w:val="007C5FB1"/>
    <w:rsid w:val="007C6E8A"/>
    <w:rsid w:val="007D0A65"/>
    <w:rsid w:val="007D0CC3"/>
    <w:rsid w:val="007D2520"/>
    <w:rsid w:val="007D749C"/>
    <w:rsid w:val="007F00B7"/>
    <w:rsid w:val="007F07E6"/>
    <w:rsid w:val="007F202E"/>
    <w:rsid w:val="007F755E"/>
    <w:rsid w:val="007F7AEA"/>
    <w:rsid w:val="007F7D88"/>
    <w:rsid w:val="00804962"/>
    <w:rsid w:val="00805A0E"/>
    <w:rsid w:val="0080686C"/>
    <w:rsid w:val="008074D6"/>
    <w:rsid w:val="008101B3"/>
    <w:rsid w:val="00816BDD"/>
    <w:rsid w:val="00820EC5"/>
    <w:rsid w:val="00821DB4"/>
    <w:rsid w:val="00825453"/>
    <w:rsid w:val="00827C77"/>
    <w:rsid w:val="00830AC5"/>
    <w:rsid w:val="00831591"/>
    <w:rsid w:val="00833E88"/>
    <w:rsid w:val="00834BE3"/>
    <w:rsid w:val="008414DA"/>
    <w:rsid w:val="00842B75"/>
    <w:rsid w:val="008439F2"/>
    <w:rsid w:val="0084449F"/>
    <w:rsid w:val="0084479C"/>
    <w:rsid w:val="0084552F"/>
    <w:rsid w:val="00847735"/>
    <w:rsid w:val="008504CC"/>
    <w:rsid w:val="008511D1"/>
    <w:rsid w:val="00853C0F"/>
    <w:rsid w:val="00856118"/>
    <w:rsid w:val="008572EB"/>
    <w:rsid w:val="008577BF"/>
    <w:rsid w:val="00857BF8"/>
    <w:rsid w:val="00861AC9"/>
    <w:rsid w:val="00861B59"/>
    <w:rsid w:val="00863543"/>
    <w:rsid w:val="008670A3"/>
    <w:rsid w:val="0087416F"/>
    <w:rsid w:val="0087513F"/>
    <w:rsid w:val="00876828"/>
    <w:rsid w:val="00881CB3"/>
    <w:rsid w:val="00882456"/>
    <w:rsid w:val="00883EFD"/>
    <w:rsid w:val="00884C29"/>
    <w:rsid w:val="00887E7D"/>
    <w:rsid w:val="00891CEE"/>
    <w:rsid w:val="00893678"/>
    <w:rsid w:val="008944CE"/>
    <w:rsid w:val="00896D15"/>
    <w:rsid w:val="00896DDC"/>
    <w:rsid w:val="00897E24"/>
    <w:rsid w:val="008A0A90"/>
    <w:rsid w:val="008A6029"/>
    <w:rsid w:val="008C7BBA"/>
    <w:rsid w:val="008D19E1"/>
    <w:rsid w:val="008D749B"/>
    <w:rsid w:val="008E0748"/>
    <w:rsid w:val="008E298E"/>
    <w:rsid w:val="008E490E"/>
    <w:rsid w:val="008E56C5"/>
    <w:rsid w:val="008E629E"/>
    <w:rsid w:val="008F3CA4"/>
    <w:rsid w:val="008F784E"/>
    <w:rsid w:val="00902E2D"/>
    <w:rsid w:val="00903B83"/>
    <w:rsid w:val="0092283E"/>
    <w:rsid w:val="00933AD7"/>
    <w:rsid w:val="0094097E"/>
    <w:rsid w:val="00941601"/>
    <w:rsid w:val="00941631"/>
    <w:rsid w:val="009418EF"/>
    <w:rsid w:val="009423AA"/>
    <w:rsid w:val="00950A3B"/>
    <w:rsid w:val="00950DE2"/>
    <w:rsid w:val="00960387"/>
    <w:rsid w:val="009618C1"/>
    <w:rsid w:val="00962BEA"/>
    <w:rsid w:val="009808B8"/>
    <w:rsid w:val="00987A6F"/>
    <w:rsid w:val="00991752"/>
    <w:rsid w:val="009A250E"/>
    <w:rsid w:val="009A34BC"/>
    <w:rsid w:val="009A37CC"/>
    <w:rsid w:val="009A39D5"/>
    <w:rsid w:val="009A49DE"/>
    <w:rsid w:val="009B0DBE"/>
    <w:rsid w:val="009B2BF7"/>
    <w:rsid w:val="009B6C14"/>
    <w:rsid w:val="009B6E66"/>
    <w:rsid w:val="009C08F1"/>
    <w:rsid w:val="009C0BD2"/>
    <w:rsid w:val="009C7FB1"/>
    <w:rsid w:val="009D199C"/>
    <w:rsid w:val="009E067D"/>
    <w:rsid w:val="009E5D70"/>
    <w:rsid w:val="009F27AA"/>
    <w:rsid w:val="009F3A1D"/>
    <w:rsid w:val="009F6E9E"/>
    <w:rsid w:val="009F7B4B"/>
    <w:rsid w:val="00A03B5D"/>
    <w:rsid w:val="00A078D3"/>
    <w:rsid w:val="00A10B67"/>
    <w:rsid w:val="00A167A8"/>
    <w:rsid w:val="00A175A0"/>
    <w:rsid w:val="00A3497A"/>
    <w:rsid w:val="00A40302"/>
    <w:rsid w:val="00A414FB"/>
    <w:rsid w:val="00A425DB"/>
    <w:rsid w:val="00A435D7"/>
    <w:rsid w:val="00A45611"/>
    <w:rsid w:val="00A45A38"/>
    <w:rsid w:val="00A51EFA"/>
    <w:rsid w:val="00A520E3"/>
    <w:rsid w:val="00A53CCD"/>
    <w:rsid w:val="00A55707"/>
    <w:rsid w:val="00A571E5"/>
    <w:rsid w:val="00A60433"/>
    <w:rsid w:val="00A631AD"/>
    <w:rsid w:val="00A668E1"/>
    <w:rsid w:val="00A71E31"/>
    <w:rsid w:val="00A7290B"/>
    <w:rsid w:val="00A75C9C"/>
    <w:rsid w:val="00A84378"/>
    <w:rsid w:val="00A871A5"/>
    <w:rsid w:val="00A91206"/>
    <w:rsid w:val="00A91972"/>
    <w:rsid w:val="00A976A1"/>
    <w:rsid w:val="00AA2EFE"/>
    <w:rsid w:val="00AA4483"/>
    <w:rsid w:val="00AB1403"/>
    <w:rsid w:val="00AB1E41"/>
    <w:rsid w:val="00AB25B0"/>
    <w:rsid w:val="00AB3833"/>
    <w:rsid w:val="00AB4A4D"/>
    <w:rsid w:val="00AC0352"/>
    <w:rsid w:val="00AC11CD"/>
    <w:rsid w:val="00AC2DCD"/>
    <w:rsid w:val="00AC7B3B"/>
    <w:rsid w:val="00AD29A6"/>
    <w:rsid w:val="00AD42F3"/>
    <w:rsid w:val="00AD6C81"/>
    <w:rsid w:val="00AD768C"/>
    <w:rsid w:val="00AE0D4A"/>
    <w:rsid w:val="00AE2BC7"/>
    <w:rsid w:val="00AE40F5"/>
    <w:rsid w:val="00AE5366"/>
    <w:rsid w:val="00AE6DE3"/>
    <w:rsid w:val="00AF2819"/>
    <w:rsid w:val="00AF48B0"/>
    <w:rsid w:val="00AF581F"/>
    <w:rsid w:val="00AF5839"/>
    <w:rsid w:val="00AF5A54"/>
    <w:rsid w:val="00AF5FC5"/>
    <w:rsid w:val="00AF6470"/>
    <w:rsid w:val="00B000B0"/>
    <w:rsid w:val="00B00B2A"/>
    <w:rsid w:val="00B02132"/>
    <w:rsid w:val="00B023DD"/>
    <w:rsid w:val="00B037F3"/>
    <w:rsid w:val="00B06040"/>
    <w:rsid w:val="00B139E6"/>
    <w:rsid w:val="00B2309C"/>
    <w:rsid w:val="00B265DB"/>
    <w:rsid w:val="00B27295"/>
    <w:rsid w:val="00B27D71"/>
    <w:rsid w:val="00B329B7"/>
    <w:rsid w:val="00B334B8"/>
    <w:rsid w:val="00B3356D"/>
    <w:rsid w:val="00B355D5"/>
    <w:rsid w:val="00B37530"/>
    <w:rsid w:val="00B40B47"/>
    <w:rsid w:val="00B419A3"/>
    <w:rsid w:val="00B42AB4"/>
    <w:rsid w:val="00B469CD"/>
    <w:rsid w:val="00B5053B"/>
    <w:rsid w:val="00B53CB5"/>
    <w:rsid w:val="00B549FA"/>
    <w:rsid w:val="00B54C24"/>
    <w:rsid w:val="00B56033"/>
    <w:rsid w:val="00B641E4"/>
    <w:rsid w:val="00B73E63"/>
    <w:rsid w:val="00B824C3"/>
    <w:rsid w:val="00B829DB"/>
    <w:rsid w:val="00B838DF"/>
    <w:rsid w:val="00B86DC3"/>
    <w:rsid w:val="00B90053"/>
    <w:rsid w:val="00BA040C"/>
    <w:rsid w:val="00BA5F18"/>
    <w:rsid w:val="00BA61C8"/>
    <w:rsid w:val="00BB331D"/>
    <w:rsid w:val="00BC025C"/>
    <w:rsid w:val="00BC0727"/>
    <w:rsid w:val="00BD091D"/>
    <w:rsid w:val="00BD3266"/>
    <w:rsid w:val="00BD4A34"/>
    <w:rsid w:val="00BE3EB0"/>
    <w:rsid w:val="00BE48F2"/>
    <w:rsid w:val="00BE4DC8"/>
    <w:rsid w:val="00C05A37"/>
    <w:rsid w:val="00C06B3E"/>
    <w:rsid w:val="00C07D7C"/>
    <w:rsid w:val="00C12C35"/>
    <w:rsid w:val="00C16CAE"/>
    <w:rsid w:val="00C21AE1"/>
    <w:rsid w:val="00C2369F"/>
    <w:rsid w:val="00C2479E"/>
    <w:rsid w:val="00C30DFA"/>
    <w:rsid w:val="00C317FC"/>
    <w:rsid w:val="00C407EF"/>
    <w:rsid w:val="00C47E5F"/>
    <w:rsid w:val="00C51AE3"/>
    <w:rsid w:val="00C54A52"/>
    <w:rsid w:val="00C565E9"/>
    <w:rsid w:val="00C60158"/>
    <w:rsid w:val="00C60B17"/>
    <w:rsid w:val="00C60C4A"/>
    <w:rsid w:val="00C60F88"/>
    <w:rsid w:val="00C66330"/>
    <w:rsid w:val="00C7195A"/>
    <w:rsid w:val="00C72B13"/>
    <w:rsid w:val="00C72F80"/>
    <w:rsid w:val="00C81CAC"/>
    <w:rsid w:val="00C82AF2"/>
    <w:rsid w:val="00C921D5"/>
    <w:rsid w:val="00C93ED0"/>
    <w:rsid w:val="00C9609B"/>
    <w:rsid w:val="00C965F3"/>
    <w:rsid w:val="00C96C6C"/>
    <w:rsid w:val="00CA2445"/>
    <w:rsid w:val="00CB6DF4"/>
    <w:rsid w:val="00CC28EC"/>
    <w:rsid w:val="00CC76E8"/>
    <w:rsid w:val="00CC7784"/>
    <w:rsid w:val="00CD16C1"/>
    <w:rsid w:val="00CD1BB1"/>
    <w:rsid w:val="00CD2A59"/>
    <w:rsid w:val="00CD3CAD"/>
    <w:rsid w:val="00CD6EC0"/>
    <w:rsid w:val="00CE1490"/>
    <w:rsid w:val="00CE5552"/>
    <w:rsid w:val="00CE5CB6"/>
    <w:rsid w:val="00CF10C3"/>
    <w:rsid w:val="00CF7207"/>
    <w:rsid w:val="00D04E59"/>
    <w:rsid w:val="00D06F2C"/>
    <w:rsid w:val="00D12D9D"/>
    <w:rsid w:val="00D15750"/>
    <w:rsid w:val="00D20626"/>
    <w:rsid w:val="00D220F0"/>
    <w:rsid w:val="00D22698"/>
    <w:rsid w:val="00D24624"/>
    <w:rsid w:val="00D25579"/>
    <w:rsid w:val="00D259C9"/>
    <w:rsid w:val="00D37610"/>
    <w:rsid w:val="00D37C89"/>
    <w:rsid w:val="00D425E4"/>
    <w:rsid w:val="00D51EB9"/>
    <w:rsid w:val="00D5476D"/>
    <w:rsid w:val="00D5630C"/>
    <w:rsid w:val="00D606B8"/>
    <w:rsid w:val="00D662AB"/>
    <w:rsid w:val="00D678D4"/>
    <w:rsid w:val="00D7208F"/>
    <w:rsid w:val="00D74782"/>
    <w:rsid w:val="00D76445"/>
    <w:rsid w:val="00D816D7"/>
    <w:rsid w:val="00D817E2"/>
    <w:rsid w:val="00D818E1"/>
    <w:rsid w:val="00D82241"/>
    <w:rsid w:val="00D84800"/>
    <w:rsid w:val="00D84DFE"/>
    <w:rsid w:val="00D86A20"/>
    <w:rsid w:val="00D87498"/>
    <w:rsid w:val="00D90235"/>
    <w:rsid w:val="00D90C8F"/>
    <w:rsid w:val="00D93B07"/>
    <w:rsid w:val="00DA0AF7"/>
    <w:rsid w:val="00DA1232"/>
    <w:rsid w:val="00DA149B"/>
    <w:rsid w:val="00DA1A5E"/>
    <w:rsid w:val="00DA2EBD"/>
    <w:rsid w:val="00DA322C"/>
    <w:rsid w:val="00DA440B"/>
    <w:rsid w:val="00DA7EF3"/>
    <w:rsid w:val="00DB11CF"/>
    <w:rsid w:val="00DB5D48"/>
    <w:rsid w:val="00DC0AFB"/>
    <w:rsid w:val="00DC2DAD"/>
    <w:rsid w:val="00DD2C11"/>
    <w:rsid w:val="00DD2DAB"/>
    <w:rsid w:val="00DD3148"/>
    <w:rsid w:val="00DD4F2D"/>
    <w:rsid w:val="00DD50B4"/>
    <w:rsid w:val="00DD5DA7"/>
    <w:rsid w:val="00DD7180"/>
    <w:rsid w:val="00DE0798"/>
    <w:rsid w:val="00DE2ACE"/>
    <w:rsid w:val="00DE2E24"/>
    <w:rsid w:val="00DE6DC8"/>
    <w:rsid w:val="00DF1C35"/>
    <w:rsid w:val="00DF3DDE"/>
    <w:rsid w:val="00DF4F57"/>
    <w:rsid w:val="00DF5775"/>
    <w:rsid w:val="00DF7ED8"/>
    <w:rsid w:val="00E04521"/>
    <w:rsid w:val="00E04BDD"/>
    <w:rsid w:val="00E06A4F"/>
    <w:rsid w:val="00E07180"/>
    <w:rsid w:val="00E12A52"/>
    <w:rsid w:val="00E201EC"/>
    <w:rsid w:val="00E20203"/>
    <w:rsid w:val="00E21071"/>
    <w:rsid w:val="00E2415D"/>
    <w:rsid w:val="00E27C6E"/>
    <w:rsid w:val="00E3463D"/>
    <w:rsid w:val="00E425CA"/>
    <w:rsid w:val="00E43DB6"/>
    <w:rsid w:val="00E514B6"/>
    <w:rsid w:val="00E51F45"/>
    <w:rsid w:val="00E55898"/>
    <w:rsid w:val="00E73798"/>
    <w:rsid w:val="00E7385B"/>
    <w:rsid w:val="00E73B03"/>
    <w:rsid w:val="00E74335"/>
    <w:rsid w:val="00E7449E"/>
    <w:rsid w:val="00E75D2C"/>
    <w:rsid w:val="00E80B1E"/>
    <w:rsid w:val="00E844A4"/>
    <w:rsid w:val="00E84606"/>
    <w:rsid w:val="00E84B20"/>
    <w:rsid w:val="00E90F6C"/>
    <w:rsid w:val="00E91C15"/>
    <w:rsid w:val="00E92D21"/>
    <w:rsid w:val="00E92E5D"/>
    <w:rsid w:val="00E93A37"/>
    <w:rsid w:val="00E958CA"/>
    <w:rsid w:val="00E96051"/>
    <w:rsid w:val="00E96A66"/>
    <w:rsid w:val="00E97E8A"/>
    <w:rsid w:val="00EA2A30"/>
    <w:rsid w:val="00EA59BC"/>
    <w:rsid w:val="00EA63D3"/>
    <w:rsid w:val="00EA6AFD"/>
    <w:rsid w:val="00EB1795"/>
    <w:rsid w:val="00EB7B67"/>
    <w:rsid w:val="00EC08FA"/>
    <w:rsid w:val="00EC408B"/>
    <w:rsid w:val="00EC5028"/>
    <w:rsid w:val="00EC58D5"/>
    <w:rsid w:val="00ED2AAB"/>
    <w:rsid w:val="00EE1BD9"/>
    <w:rsid w:val="00EE5CCA"/>
    <w:rsid w:val="00EF58A9"/>
    <w:rsid w:val="00EF72E6"/>
    <w:rsid w:val="00EF73B7"/>
    <w:rsid w:val="00F01275"/>
    <w:rsid w:val="00F01BD2"/>
    <w:rsid w:val="00F140EB"/>
    <w:rsid w:val="00F20B54"/>
    <w:rsid w:val="00F20DBD"/>
    <w:rsid w:val="00F2261F"/>
    <w:rsid w:val="00F232F3"/>
    <w:rsid w:val="00F2381C"/>
    <w:rsid w:val="00F2413E"/>
    <w:rsid w:val="00F24BF7"/>
    <w:rsid w:val="00F25AC8"/>
    <w:rsid w:val="00F3689D"/>
    <w:rsid w:val="00F4130F"/>
    <w:rsid w:val="00F419B9"/>
    <w:rsid w:val="00F42BC1"/>
    <w:rsid w:val="00F434AB"/>
    <w:rsid w:val="00F4373E"/>
    <w:rsid w:val="00F56EA9"/>
    <w:rsid w:val="00F6014E"/>
    <w:rsid w:val="00F6373E"/>
    <w:rsid w:val="00F823BF"/>
    <w:rsid w:val="00F829A1"/>
    <w:rsid w:val="00F8370D"/>
    <w:rsid w:val="00F8483C"/>
    <w:rsid w:val="00F84CAA"/>
    <w:rsid w:val="00F85BD4"/>
    <w:rsid w:val="00F94A4C"/>
    <w:rsid w:val="00F958A1"/>
    <w:rsid w:val="00F9623E"/>
    <w:rsid w:val="00FA015C"/>
    <w:rsid w:val="00FA0E13"/>
    <w:rsid w:val="00FA1B26"/>
    <w:rsid w:val="00FA2283"/>
    <w:rsid w:val="00FA4C7B"/>
    <w:rsid w:val="00FA5022"/>
    <w:rsid w:val="00FA7E93"/>
    <w:rsid w:val="00FB3795"/>
    <w:rsid w:val="00FB6706"/>
    <w:rsid w:val="00FB75EF"/>
    <w:rsid w:val="00FC2480"/>
    <w:rsid w:val="00FD0D47"/>
    <w:rsid w:val="00FD1CDB"/>
    <w:rsid w:val="00FD4FB7"/>
    <w:rsid w:val="00FE3191"/>
    <w:rsid w:val="00FE3A8E"/>
    <w:rsid w:val="00FE7779"/>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3994"/>
  <w15:docId w15:val="{9A752743-51C3-4DD3-9530-3318C770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82"/>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Title"/>
    <w:next w:val="Normal"/>
    <w:link w:val="Heading1Char"/>
    <w:qFormat/>
    <w:rsid w:val="00726D61"/>
    <w:pPr>
      <w:framePr w:w="9360" w:hSpace="187" w:vSpace="187" w:wrap="notBeside" w:vAnchor="text" w:hAnchor="page" w:xAlign="center" w:y="1"/>
      <w:contextualSpacing w:val="0"/>
      <w:jc w:val="center"/>
      <w:outlineLvl w:val="0"/>
    </w:pPr>
    <w:rPr>
      <w:rFonts w:ascii="Times New Roman" w:eastAsia="Times New Roman" w:hAnsi="Times New Roman" w:cs="Times New Roman"/>
      <w:b/>
      <w:spacing w:val="0"/>
      <w:sz w:val="24"/>
      <w:szCs w:val="24"/>
    </w:rPr>
  </w:style>
  <w:style w:type="paragraph" w:styleId="Heading2">
    <w:name w:val="heading 2"/>
    <w:basedOn w:val="Normal"/>
    <w:next w:val="Normal"/>
    <w:link w:val="Heading2Char"/>
    <w:qFormat/>
    <w:rsid w:val="00726D61"/>
    <w:pPr>
      <w:keepNext/>
      <w:spacing w:before="240" w:after="240" w:line="360" w:lineRule="auto"/>
      <w:outlineLvl w:val="1"/>
    </w:pPr>
    <w:rPr>
      <w:b/>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D61"/>
    <w:rPr>
      <w:rFonts w:ascii="Times New Roman" w:eastAsia="Times New Roman" w:hAnsi="Times New Roman" w:cs="Times New Roman"/>
      <w:b/>
      <w:kern w:val="28"/>
      <w:sz w:val="24"/>
      <w:szCs w:val="24"/>
    </w:rPr>
  </w:style>
  <w:style w:type="character" w:customStyle="1" w:styleId="Heading2Char">
    <w:name w:val="Heading 2 Char"/>
    <w:basedOn w:val="DefaultParagraphFont"/>
    <w:link w:val="Heading2"/>
    <w:rsid w:val="00726D61"/>
    <w:rPr>
      <w:rFonts w:ascii="Times New Roman" w:eastAsia="Times New Roman" w:hAnsi="Times New Roman" w:cs="Times New Roman"/>
      <w:b/>
      <w:iCs/>
      <w:smallCaps/>
      <w:sz w:val="20"/>
      <w:szCs w:val="20"/>
    </w:rPr>
  </w:style>
  <w:style w:type="paragraph" w:customStyle="1" w:styleId="References">
    <w:name w:val="References"/>
    <w:basedOn w:val="Normal"/>
    <w:rsid w:val="00726D61"/>
    <w:pPr>
      <w:jc w:val="both"/>
    </w:pPr>
    <w:rPr>
      <w:sz w:val="16"/>
      <w:szCs w:val="16"/>
    </w:rPr>
  </w:style>
  <w:style w:type="paragraph" w:styleId="Footer">
    <w:name w:val="footer"/>
    <w:basedOn w:val="Normal"/>
    <w:link w:val="FooterChar"/>
    <w:uiPriority w:val="99"/>
    <w:rsid w:val="00726D61"/>
    <w:pPr>
      <w:tabs>
        <w:tab w:val="center" w:pos="4320"/>
        <w:tab w:val="right" w:pos="8640"/>
      </w:tabs>
    </w:pPr>
  </w:style>
  <w:style w:type="character" w:customStyle="1" w:styleId="FooterChar">
    <w:name w:val="Footer Char"/>
    <w:basedOn w:val="DefaultParagraphFont"/>
    <w:link w:val="Footer"/>
    <w:uiPriority w:val="99"/>
    <w:rsid w:val="00726D61"/>
    <w:rPr>
      <w:rFonts w:ascii="Times New Roman" w:eastAsia="Times New Roman" w:hAnsi="Times New Roman" w:cs="Times New Roman"/>
      <w:sz w:val="20"/>
      <w:szCs w:val="20"/>
    </w:rPr>
  </w:style>
  <w:style w:type="paragraph" w:styleId="Header">
    <w:name w:val="header"/>
    <w:basedOn w:val="Normal"/>
    <w:link w:val="HeaderChar"/>
    <w:uiPriority w:val="99"/>
    <w:rsid w:val="00726D61"/>
    <w:pPr>
      <w:tabs>
        <w:tab w:val="center" w:pos="4320"/>
        <w:tab w:val="right" w:pos="8640"/>
      </w:tabs>
    </w:pPr>
  </w:style>
  <w:style w:type="character" w:customStyle="1" w:styleId="HeaderChar">
    <w:name w:val="Header Char"/>
    <w:basedOn w:val="DefaultParagraphFont"/>
    <w:link w:val="Header"/>
    <w:rsid w:val="00726D61"/>
    <w:rPr>
      <w:rFonts w:ascii="Times New Roman" w:eastAsia="Times New Roman" w:hAnsi="Times New Roman" w:cs="Times New Roman"/>
      <w:sz w:val="20"/>
      <w:szCs w:val="20"/>
    </w:rPr>
  </w:style>
  <w:style w:type="character" w:styleId="Hyperlink">
    <w:name w:val="Hyperlink"/>
    <w:uiPriority w:val="99"/>
    <w:rsid w:val="00726D61"/>
    <w:rPr>
      <w:color w:val="0000FF"/>
      <w:u w:val="single"/>
    </w:rPr>
  </w:style>
  <w:style w:type="table" w:styleId="TableGrid">
    <w:name w:val="Table Grid"/>
    <w:basedOn w:val="TableNormal"/>
    <w:rsid w:val="00726D61"/>
    <w:pPr>
      <w:autoSpaceDE w:val="0"/>
      <w:autoSpaceDN w:val="0"/>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26D61"/>
  </w:style>
  <w:style w:type="paragraph" w:customStyle="1" w:styleId="Enumeration">
    <w:name w:val="Enumeration"/>
    <w:basedOn w:val="Normal"/>
    <w:qFormat/>
    <w:rsid w:val="00726D61"/>
    <w:pPr>
      <w:widowControl w:val="0"/>
      <w:spacing w:line="252" w:lineRule="auto"/>
      <w:jc w:val="both"/>
    </w:pPr>
  </w:style>
  <w:style w:type="paragraph" w:customStyle="1" w:styleId="Default">
    <w:name w:val="Default"/>
    <w:rsid w:val="00726D61"/>
    <w:pPr>
      <w:widowControl w:val="0"/>
      <w:overflowPunct w:val="0"/>
      <w:autoSpaceDE w:val="0"/>
      <w:autoSpaceDN w:val="0"/>
      <w:adjustRightInd w:val="0"/>
      <w:spacing w:after="0" w:line="240" w:lineRule="auto"/>
      <w:textAlignment w:val="baseline"/>
    </w:pPr>
    <w:rPr>
      <w:rFonts w:ascii="TimesNewRoman,Bold" w:eastAsia="Times New Roman" w:hAnsi="TimesNewRoman,Bold" w:cs="Times New Roman"/>
      <w:sz w:val="20"/>
      <w:szCs w:val="20"/>
    </w:rPr>
  </w:style>
  <w:style w:type="paragraph" w:styleId="Title">
    <w:name w:val="Title"/>
    <w:basedOn w:val="Normal"/>
    <w:next w:val="Normal"/>
    <w:link w:val="TitleChar"/>
    <w:uiPriority w:val="10"/>
    <w:qFormat/>
    <w:rsid w:val="00726D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D61"/>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53F21"/>
    <w:pPr>
      <w:autoSpaceDE/>
      <w:autoSpaceDN/>
      <w:spacing w:before="100" w:beforeAutospacing="1" w:after="100" w:afterAutospacing="1"/>
    </w:pPr>
    <w:rPr>
      <w:sz w:val="24"/>
      <w:szCs w:val="24"/>
    </w:rPr>
  </w:style>
  <w:style w:type="paragraph" w:styleId="ListParagraph">
    <w:name w:val="List Paragraph"/>
    <w:basedOn w:val="Normal"/>
    <w:uiPriority w:val="34"/>
    <w:qFormat/>
    <w:rsid w:val="00887E7D"/>
    <w:pPr>
      <w:ind w:left="720"/>
      <w:contextualSpacing/>
    </w:pPr>
  </w:style>
  <w:style w:type="paragraph" w:styleId="EndnoteText">
    <w:name w:val="endnote text"/>
    <w:basedOn w:val="Normal"/>
    <w:link w:val="EndnoteTextChar"/>
    <w:uiPriority w:val="99"/>
    <w:semiHidden/>
    <w:unhideWhenUsed/>
    <w:rsid w:val="00406E5C"/>
  </w:style>
  <w:style w:type="character" w:customStyle="1" w:styleId="EndnoteTextChar">
    <w:name w:val="Endnote Text Char"/>
    <w:basedOn w:val="DefaultParagraphFont"/>
    <w:link w:val="EndnoteText"/>
    <w:uiPriority w:val="99"/>
    <w:semiHidden/>
    <w:rsid w:val="00406E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06E5C"/>
    <w:rPr>
      <w:vertAlign w:val="superscript"/>
    </w:rPr>
  </w:style>
  <w:style w:type="paragraph" w:styleId="FootnoteText">
    <w:name w:val="footnote text"/>
    <w:basedOn w:val="Normal"/>
    <w:link w:val="FootnoteTextChar"/>
    <w:uiPriority w:val="99"/>
    <w:semiHidden/>
    <w:unhideWhenUsed/>
    <w:rsid w:val="00406E5C"/>
  </w:style>
  <w:style w:type="character" w:customStyle="1" w:styleId="FootnoteTextChar">
    <w:name w:val="Footnote Text Char"/>
    <w:basedOn w:val="DefaultParagraphFont"/>
    <w:link w:val="FootnoteText"/>
    <w:uiPriority w:val="99"/>
    <w:semiHidden/>
    <w:rsid w:val="00406E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6E5C"/>
    <w:rPr>
      <w:vertAlign w:val="superscript"/>
    </w:rPr>
  </w:style>
  <w:style w:type="character" w:customStyle="1" w:styleId="UnresolvedMention1">
    <w:name w:val="Unresolved Mention1"/>
    <w:basedOn w:val="DefaultParagraphFont"/>
    <w:uiPriority w:val="99"/>
    <w:semiHidden/>
    <w:unhideWhenUsed/>
    <w:rsid w:val="00146860"/>
    <w:rPr>
      <w:color w:val="605E5C"/>
      <w:shd w:val="clear" w:color="auto" w:fill="E1DFDD"/>
    </w:rPr>
  </w:style>
  <w:style w:type="character" w:styleId="UnresolvedMention">
    <w:name w:val="Unresolved Mention"/>
    <w:basedOn w:val="DefaultParagraphFont"/>
    <w:uiPriority w:val="99"/>
    <w:semiHidden/>
    <w:unhideWhenUsed/>
    <w:rsid w:val="007D0A65"/>
    <w:rPr>
      <w:color w:val="605E5C"/>
      <w:shd w:val="clear" w:color="auto" w:fill="E1DFDD"/>
    </w:rPr>
  </w:style>
  <w:style w:type="character" w:customStyle="1" w:styleId="hlfld-contribauthor">
    <w:name w:val="hlfld-contribauthor"/>
    <w:basedOn w:val="DefaultParagraphFont"/>
    <w:rsid w:val="009A250E"/>
  </w:style>
  <w:style w:type="character" w:customStyle="1" w:styleId="nlmgiven-names">
    <w:name w:val="nlm_given-names"/>
    <w:basedOn w:val="DefaultParagraphFont"/>
    <w:rsid w:val="009A250E"/>
  </w:style>
  <w:style w:type="character" w:customStyle="1" w:styleId="nlmyear">
    <w:name w:val="nlm_year"/>
    <w:basedOn w:val="DefaultParagraphFont"/>
    <w:rsid w:val="009A250E"/>
  </w:style>
  <w:style w:type="character" w:customStyle="1" w:styleId="nlmarticle-title">
    <w:name w:val="nlm_article-title"/>
    <w:basedOn w:val="DefaultParagraphFont"/>
    <w:rsid w:val="009A250E"/>
  </w:style>
  <w:style w:type="character" w:customStyle="1" w:styleId="reflink-block">
    <w:name w:val="reflink-block"/>
    <w:basedOn w:val="DefaultParagraphFont"/>
    <w:rsid w:val="009A250E"/>
  </w:style>
  <w:style w:type="character" w:styleId="Strong">
    <w:name w:val="Strong"/>
    <w:basedOn w:val="DefaultParagraphFont"/>
    <w:uiPriority w:val="22"/>
    <w:qFormat/>
    <w:rsid w:val="002C7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8556">
      <w:bodyDiv w:val="1"/>
      <w:marLeft w:val="0"/>
      <w:marRight w:val="0"/>
      <w:marTop w:val="0"/>
      <w:marBottom w:val="0"/>
      <w:divBdr>
        <w:top w:val="none" w:sz="0" w:space="0" w:color="auto"/>
        <w:left w:val="none" w:sz="0" w:space="0" w:color="auto"/>
        <w:bottom w:val="none" w:sz="0" w:space="0" w:color="auto"/>
        <w:right w:val="none" w:sz="0" w:space="0" w:color="auto"/>
      </w:divBdr>
      <w:divsChild>
        <w:div w:id="680937518">
          <w:marLeft w:val="0"/>
          <w:marRight w:val="0"/>
          <w:marTop w:val="0"/>
          <w:marBottom w:val="0"/>
          <w:divBdr>
            <w:top w:val="none" w:sz="0" w:space="0" w:color="auto"/>
            <w:left w:val="none" w:sz="0" w:space="0" w:color="auto"/>
            <w:bottom w:val="none" w:sz="0" w:space="0" w:color="auto"/>
            <w:right w:val="none" w:sz="0" w:space="0" w:color="auto"/>
          </w:divBdr>
          <w:divsChild>
            <w:div w:id="875698936">
              <w:marLeft w:val="0"/>
              <w:marRight w:val="0"/>
              <w:marTop w:val="0"/>
              <w:marBottom w:val="0"/>
              <w:divBdr>
                <w:top w:val="none" w:sz="0" w:space="0" w:color="auto"/>
                <w:left w:val="none" w:sz="0" w:space="0" w:color="auto"/>
                <w:bottom w:val="none" w:sz="0" w:space="0" w:color="auto"/>
                <w:right w:val="none" w:sz="0" w:space="0" w:color="auto"/>
              </w:divBdr>
              <w:divsChild>
                <w:div w:id="1099913540">
                  <w:marLeft w:val="0"/>
                  <w:marRight w:val="0"/>
                  <w:marTop w:val="0"/>
                  <w:marBottom w:val="0"/>
                  <w:divBdr>
                    <w:top w:val="none" w:sz="0" w:space="0" w:color="auto"/>
                    <w:left w:val="none" w:sz="0" w:space="0" w:color="auto"/>
                    <w:bottom w:val="none" w:sz="0" w:space="0" w:color="auto"/>
                    <w:right w:val="none" w:sz="0" w:space="0" w:color="auto"/>
                  </w:divBdr>
                  <w:divsChild>
                    <w:div w:id="1123426435">
                      <w:marLeft w:val="0"/>
                      <w:marRight w:val="0"/>
                      <w:marTop w:val="0"/>
                      <w:marBottom w:val="0"/>
                      <w:divBdr>
                        <w:top w:val="none" w:sz="0" w:space="0" w:color="auto"/>
                        <w:left w:val="none" w:sz="0" w:space="0" w:color="auto"/>
                        <w:bottom w:val="none" w:sz="0" w:space="0" w:color="auto"/>
                        <w:right w:val="none" w:sz="0" w:space="0" w:color="auto"/>
                      </w:divBdr>
                      <w:divsChild>
                        <w:div w:id="409356441">
                          <w:marLeft w:val="0"/>
                          <w:marRight w:val="0"/>
                          <w:marTop w:val="0"/>
                          <w:marBottom w:val="0"/>
                          <w:divBdr>
                            <w:top w:val="none" w:sz="0" w:space="0" w:color="auto"/>
                            <w:left w:val="none" w:sz="0" w:space="0" w:color="auto"/>
                            <w:bottom w:val="none" w:sz="0" w:space="0" w:color="auto"/>
                            <w:right w:val="none" w:sz="0" w:space="0" w:color="auto"/>
                          </w:divBdr>
                          <w:divsChild>
                            <w:div w:id="156388258">
                              <w:marLeft w:val="0"/>
                              <w:marRight w:val="0"/>
                              <w:marTop w:val="0"/>
                              <w:marBottom w:val="0"/>
                              <w:divBdr>
                                <w:top w:val="none" w:sz="0" w:space="0" w:color="auto"/>
                                <w:left w:val="none" w:sz="0" w:space="0" w:color="auto"/>
                                <w:bottom w:val="none" w:sz="0" w:space="0" w:color="auto"/>
                                <w:right w:val="none" w:sz="0" w:space="0" w:color="auto"/>
                              </w:divBdr>
                              <w:divsChild>
                                <w:div w:id="56364874">
                                  <w:marLeft w:val="0"/>
                                  <w:marRight w:val="0"/>
                                  <w:marTop w:val="0"/>
                                  <w:marBottom w:val="0"/>
                                  <w:divBdr>
                                    <w:top w:val="none" w:sz="0" w:space="0" w:color="auto"/>
                                    <w:left w:val="none" w:sz="0" w:space="0" w:color="auto"/>
                                    <w:bottom w:val="none" w:sz="0" w:space="0" w:color="auto"/>
                                    <w:right w:val="none" w:sz="0" w:space="0" w:color="auto"/>
                                  </w:divBdr>
                                  <w:divsChild>
                                    <w:div w:id="4109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538954">
          <w:marLeft w:val="0"/>
          <w:marRight w:val="0"/>
          <w:marTop w:val="0"/>
          <w:marBottom w:val="0"/>
          <w:divBdr>
            <w:top w:val="none" w:sz="0" w:space="0" w:color="auto"/>
            <w:left w:val="none" w:sz="0" w:space="0" w:color="auto"/>
            <w:bottom w:val="none" w:sz="0" w:space="0" w:color="auto"/>
            <w:right w:val="none" w:sz="0" w:space="0" w:color="auto"/>
          </w:divBdr>
          <w:divsChild>
            <w:div w:id="267279797">
              <w:marLeft w:val="0"/>
              <w:marRight w:val="0"/>
              <w:marTop w:val="0"/>
              <w:marBottom w:val="0"/>
              <w:divBdr>
                <w:top w:val="none" w:sz="0" w:space="0" w:color="auto"/>
                <w:left w:val="none" w:sz="0" w:space="0" w:color="auto"/>
                <w:bottom w:val="none" w:sz="0" w:space="0" w:color="auto"/>
                <w:right w:val="none" w:sz="0" w:space="0" w:color="auto"/>
              </w:divBdr>
              <w:divsChild>
                <w:div w:id="652174470">
                  <w:marLeft w:val="0"/>
                  <w:marRight w:val="0"/>
                  <w:marTop w:val="0"/>
                  <w:marBottom w:val="0"/>
                  <w:divBdr>
                    <w:top w:val="none" w:sz="0" w:space="0" w:color="auto"/>
                    <w:left w:val="none" w:sz="0" w:space="0" w:color="auto"/>
                    <w:bottom w:val="none" w:sz="0" w:space="0" w:color="auto"/>
                    <w:right w:val="none" w:sz="0" w:space="0" w:color="auto"/>
                  </w:divBdr>
                  <w:divsChild>
                    <w:div w:id="603610416">
                      <w:marLeft w:val="0"/>
                      <w:marRight w:val="0"/>
                      <w:marTop w:val="0"/>
                      <w:marBottom w:val="0"/>
                      <w:divBdr>
                        <w:top w:val="none" w:sz="0" w:space="0" w:color="auto"/>
                        <w:left w:val="none" w:sz="0" w:space="0" w:color="auto"/>
                        <w:bottom w:val="none" w:sz="0" w:space="0" w:color="auto"/>
                        <w:right w:val="none" w:sz="0" w:space="0" w:color="auto"/>
                      </w:divBdr>
                      <w:divsChild>
                        <w:div w:id="1113749523">
                          <w:marLeft w:val="0"/>
                          <w:marRight w:val="0"/>
                          <w:marTop w:val="0"/>
                          <w:marBottom w:val="0"/>
                          <w:divBdr>
                            <w:top w:val="none" w:sz="0" w:space="0" w:color="auto"/>
                            <w:left w:val="none" w:sz="0" w:space="0" w:color="auto"/>
                            <w:bottom w:val="none" w:sz="0" w:space="0" w:color="auto"/>
                            <w:right w:val="none" w:sz="0" w:space="0" w:color="auto"/>
                          </w:divBdr>
                          <w:divsChild>
                            <w:div w:id="1658919502">
                              <w:marLeft w:val="0"/>
                              <w:marRight w:val="0"/>
                              <w:marTop w:val="0"/>
                              <w:marBottom w:val="0"/>
                              <w:divBdr>
                                <w:top w:val="single" w:sz="2" w:space="15" w:color="auto"/>
                                <w:left w:val="single" w:sz="2" w:space="15" w:color="auto"/>
                                <w:bottom w:val="single" w:sz="2" w:space="15" w:color="auto"/>
                                <w:right w:val="single" w:sz="2" w:space="15" w:color="auto"/>
                              </w:divBdr>
                              <w:divsChild>
                                <w:div w:id="1634604663">
                                  <w:marLeft w:val="0"/>
                                  <w:marRight w:val="0"/>
                                  <w:marTop w:val="0"/>
                                  <w:marBottom w:val="150"/>
                                  <w:divBdr>
                                    <w:top w:val="none" w:sz="0" w:space="0" w:color="auto"/>
                                    <w:left w:val="none" w:sz="0" w:space="0" w:color="auto"/>
                                    <w:bottom w:val="none" w:sz="0" w:space="0" w:color="auto"/>
                                    <w:right w:val="none" w:sz="0" w:space="0" w:color="auto"/>
                                  </w:divBdr>
                                  <w:divsChild>
                                    <w:div w:id="573205374">
                                      <w:marLeft w:val="0"/>
                                      <w:marRight w:val="0"/>
                                      <w:marTop w:val="0"/>
                                      <w:marBottom w:val="0"/>
                                      <w:divBdr>
                                        <w:top w:val="none" w:sz="0" w:space="0" w:color="auto"/>
                                        <w:left w:val="none" w:sz="0" w:space="0" w:color="auto"/>
                                        <w:bottom w:val="none" w:sz="0" w:space="0" w:color="auto"/>
                                        <w:right w:val="none" w:sz="0" w:space="0" w:color="auto"/>
                                      </w:divBdr>
                                    </w:div>
                                  </w:divsChild>
                                </w:div>
                                <w:div w:id="424809933">
                                  <w:marLeft w:val="0"/>
                                  <w:marRight w:val="0"/>
                                  <w:marTop w:val="0"/>
                                  <w:marBottom w:val="0"/>
                                  <w:divBdr>
                                    <w:top w:val="none" w:sz="0" w:space="0" w:color="auto"/>
                                    <w:left w:val="none" w:sz="0" w:space="0" w:color="auto"/>
                                    <w:bottom w:val="none" w:sz="0" w:space="0" w:color="auto"/>
                                    <w:right w:val="none" w:sz="0" w:space="0" w:color="auto"/>
                                  </w:divBdr>
                                  <w:divsChild>
                                    <w:div w:id="1060861817">
                                      <w:marLeft w:val="0"/>
                                      <w:marRight w:val="0"/>
                                      <w:marTop w:val="0"/>
                                      <w:marBottom w:val="0"/>
                                      <w:divBdr>
                                        <w:top w:val="none" w:sz="0" w:space="0" w:color="auto"/>
                                        <w:left w:val="none" w:sz="0" w:space="0" w:color="auto"/>
                                        <w:bottom w:val="none" w:sz="0" w:space="0" w:color="auto"/>
                                        <w:right w:val="none" w:sz="0" w:space="0" w:color="auto"/>
                                      </w:divBdr>
                                      <w:divsChild>
                                        <w:div w:id="16537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640">
                                  <w:marLeft w:val="0"/>
                                  <w:marRight w:val="0"/>
                                  <w:marTop w:val="0"/>
                                  <w:marBottom w:val="150"/>
                                  <w:divBdr>
                                    <w:top w:val="none" w:sz="0" w:space="0" w:color="auto"/>
                                    <w:left w:val="none" w:sz="0" w:space="0" w:color="auto"/>
                                    <w:bottom w:val="none" w:sz="0" w:space="0" w:color="auto"/>
                                    <w:right w:val="none" w:sz="0" w:space="0" w:color="auto"/>
                                  </w:divBdr>
                                  <w:divsChild>
                                    <w:div w:id="1435173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648211">
      <w:bodyDiv w:val="1"/>
      <w:marLeft w:val="0"/>
      <w:marRight w:val="0"/>
      <w:marTop w:val="0"/>
      <w:marBottom w:val="0"/>
      <w:divBdr>
        <w:top w:val="none" w:sz="0" w:space="0" w:color="auto"/>
        <w:left w:val="none" w:sz="0" w:space="0" w:color="auto"/>
        <w:bottom w:val="none" w:sz="0" w:space="0" w:color="auto"/>
        <w:right w:val="none" w:sz="0" w:space="0" w:color="auto"/>
      </w:divBdr>
      <w:divsChild>
        <w:div w:id="769353851">
          <w:marLeft w:val="0"/>
          <w:marRight w:val="0"/>
          <w:marTop w:val="0"/>
          <w:marBottom w:val="0"/>
          <w:divBdr>
            <w:top w:val="none" w:sz="0" w:space="0" w:color="auto"/>
            <w:left w:val="none" w:sz="0" w:space="0" w:color="auto"/>
            <w:bottom w:val="none" w:sz="0" w:space="0" w:color="auto"/>
            <w:right w:val="none" w:sz="0" w:space="0" w:color="auto"/>
          </w:divBdr>
        </w:div>
        <w:div w:id="1828091077">
          <w:marLeft w:val="0"/>
          <w:marRight w:val="0"/>
          <w:marTop w:val="0"/>
          <w:marBottom w:val="0"/>
          <w:divBdr>
            <w:top w:val="none" w:sz="0" w:space="0" w:color="auto"/>
            <w:left w:val="none" w:sz="0" w:space="0" w:color="auto"/>
            <w:bottom w:val="none" w:sz="0" w:space="0" w:color="auto"/>
            <w:right w:val="none" w:sz="0" w:space="0" w:color="auto"/>
          </w:divBdr>
        </w:div>
        <w:div w:id="1649744929">
          <w:marLeft w:val="0"/>
          <w:marRight w:val="0"/>
          <w:marTop w:val="0"/>
          <w:marBottom w:val="0"/>
          <w:divBdr>
            <w:top w:val="none" w:sz="0" w:space="0" w:color="auto"/>
            <w:left w:val="none" w:sz="0" w:space="0" w:color="auto"/>
            <w:bottom w:val="none" w:sz="0" w:space="0" w:color="auto"/>
            <w:right w:val="none" w:sz="0" w:space="0" w:color="auto"/>
          </w:divBdr>
        </w:div>
      </w:divsChild>
    </w:div>
    <w:div w:id="785003660">
      <w:bodyDiv w:val="1"/>
      <w:marLeft w:val="0"/>
      <w:marRight w:val="0"/>
      <w:marTop w:val="0"/>
      <w:marBottom w:val="0"/>
      <w:divBdr>
        <w:top w:val="none" w:sz="0" w:space="0" w:color="auto"/>
        <w:left w:val="none" w:sz="0" w:space="0" w:color="auto"/>
        <w:bottom w:val="none" w:sz="0" w:space="0" w:color="auto"/>
        <w:right w:val="none" w:sz="0" w:space="0" w:color="auto"/>
      </w:divBdr>
      <w:divsChild>
        <w:div w:id="827358008">
          <w:marLeft w:val="0"/>
          <w:marRight w:val="0"/>
          <w:marTop w:val="0"/>
          <w:marBottom w:val="0"/>
          <w:divBdr>
            <w:top w:val="none" w:sz="0" w:space="0" w:color="auto"/>
            <w:left w:val="none" w:sz="0" w:space="0" w:color="auto"/>
            <w:bottom w:val="none" w:sz="0" w:space="0" w:color="auto"/>
            <w:right w:val="none" w:sz="0" w:space="0" w:color="auto"/>
          </w:divBdr>
        </w:div>
        <w:div w:id="1000276892">
          <w:marLeft w:val="0"/>
          <w:marRight w:val="0"/>
          <w:marTop w:val="0"/>
          <w:marBottom w:val="0"/>
          <w:divBdr>
            <w:top w:val="none" w:sz="0" w:space="0" w:color="auto"/>
            <w:left w:val="none" w:sz="0" w:space="0" w:color="auto"/>
            <w:bottom w:val="none" w:sz="0" w:space="0" w:color="auto"/>
            <w:right w:val="none" w:sz="0" w:space="0" w:color="auto"/>
          </w:divBdr>
        </w:div>
      </w:divsChild>
    </w:div>
    <w:div w:id="961693411">
      <w:bodyDiv w:val="1"/>
      <w:marLeft w:val="0"/>
      <w:marRight w:val="0"/>
      <w:marTop w:val="0"/>
      <w:marBottom w:val="0"/>
      <w:divBdr>
        <w:top w:val="none" w:sz="0" w:space="0" w:color="auto"/>
        <w:left w:val="none" w:sz="0" w:space="0" w:color="auto"/>
        <w:bottom w:val="none" w:sz="0" w:space="0" w:color="auto"/>
        <w:right w:val="none" w:sz="0" w:space="0" w:color="auto"/>
      </w:divBdr>
      <w:divsChild>
        <w:div w:id="163785813">
          <w:marLeft w:val="0"/>
          <w:marRight w:val="0"/>
          <w:marTop w:val="0"/>
          <w:marBottom w:val="0"/>
          <w:divBdr>
            <w:top w:val="none" w:sz="0" w:space="0" w:color="auto"/>
            <w:left w:val="none" w:sz="0" w:space="0" w:color="auto"/>
            <w:bottom w:val="none" w:sz="0" w:space="0" w:color="auto"/>
            <w:right w:val="none" w:sz="0" w:space="0" w:color="auto"/>
          </w:divBdr>
        </w:div>
        <w:div w:id="1409883374">
          <w:marLeft w:val="0"/>
          <w:marRight w:val="0"/>
          <w:marTop w:val="0"/>
          <w:marBottom w:val="0"/>
          <w:divBdr>
            <w:top w:val="none" w:sz="0" w:space="0" w:color="auto"/>
            <w:left w:val="none" w:sz="0" w:space="0" w:color="auto"/>
            <w:bottom w:val="none" w:sz="0" w:space="0" w:color="auto"/>
            <w:right w:val="none" w:sz="0" w:space="0" w:color="auto"/>
          </w:divBdr>
        </w:div>
        <w:div w:id="1977643281">
          <w:marLeft w:val="0"/>
          <w:marRight w:val="0"/>
          <w:marTop w:val="0"/>
          <w:marBottom w:val="0"/>
          <w:divBdr>
            <w:top w:val="none" w:sz="0" w:space="0" w:color="auto"/>
            <w:left w:val="none" w:sz="0" w:space="0" w:color="auto"/>
            <w:bottom w:val="none" w:sz="0" w:space="0" w:color="auto"/>
            <w:right w:val="none" w:sz="0" w:space="0" w:color="auto"/>
          </w:divBdr>
        </w:div>
      </w:divsChild>
    </w:div>
    <w:div w:id="1207722045">
      <w:bodyDiv w:val="1"/>
      <w:marLeft w:val="0"/>
      <w:marRight w:val="0"/>
      <w:marTop w:val="0"/>
      <w:marBottom w:val="0"/>
      <w:divBdr>
        <w:top w:val="none" w:sz="0" w:space="0" w:color="auto"/>
        <w:left w:val="none" w:sz="0" w:space="0" w:color="auto"/>
        <w:bottom w:val="none" w:sz="0" w:space="0" w:color="auto"/>
        <w:right w:val="none" w:sz="0" w:space="0" w:color="auto"/>
      </w:divBdr>
    </w:div>
    <w:div w:id="1248925124">
      <w:bodyDiv w:val="1"/>
      <w:marLeft w:val="0"/>
      <w:marRight w:val="0"/>
      <w:marTop w:val="0"/>
      <w:marBottom w:val="0"/>
      <w:divBdr>
        <w:top w:val="none" w:sz="0" w:space="0" w:color="auto"/>
        <w:left w:val="none" w:sz="0" w:space="0" w:color="auto"/>
        <w:bottom w:val="none" w:sz="0" w:space="0" w:color="auto"/>
        <w:right w:val="none" w:sz="0" w:space="0" w:color="auto"/>
      </w:divBdr>
      <w:divsChild>
        <w:div w:id="1884442571">
          <w:marLeft w:val="0"/>
          <w:marRight w:val="0"/>
          <w:marTop w:val="0"/>
          <w:marBottom w:val="0"/>
          <w:divBdr>
            <w:top w:val="none" w:sz="0" w:space="0" w:color="auto"/>
            <w:left w:val="none" w:sz="0" w:space="0" w:color="auto"/>
            <w:bottom w:val="none" w:sz="0" w:space="0" w:color="auto"/>
            <w:right w:val="none" w:sz="0" w:space="0" w:color="auto"/>
          </w:divBdr>
        </w:div>
        <w:div w:id="1286473068">
          <w:marLeft w:val="0"/>
          <w:marRight w:val="0"/>
          <w:marTop w:val="0"/>
          <w:marBottom w:val="0"/>
          <w:divBdr>
            <w:top w:val="none" w:sz="0" w:space="0" w:color="auto"/>
            <w:left w:val="none" w:sz="0" w:space="0" w:color="auto"/>
            <w:bottom w:val="none" w:sz="0" w:space="0" w:color="auto"/>
            <w:right w:val="none" w:sz="0" w:space="0" w:color="auto"/>
          </w:divBdr>
        </w:div>
        <w:div w:id="129447371">
          <w:marLeft w:val="0"/>
          <w:marRight w:val="0"/>
          <w:marTop w:val="0"/>
          <w:marBottom w:val="0"/>
          <w:divBdr>
            <w:top w:val="none" w:sz="0" w:space="0" w:color="auto"/>
            <w:left w:val="none" w:sz="0" w:space="0" w:color="auto"/>
            <w:bottom w:val="none" w:sz="0" w:space="0" w:color="auto"/>
            <w:right w:val="none" w:sz="0" w:space="0" w:color="auto"/>
          </w:divBdr>
        </w:div>
        <w:div w:id="1212813278">
          <w:marLeft w:val="0"/>
          <w:marRight w:val="0"/>
          <w:marTop w:val="0"/>
          <w:marBottom w:val="0"/>
          <w:divBdr>
            <w:top w:val="none" w:sz="0" w:space="0" w:color="auto"/>
            <w:left w:val="none" w:sz="0" w:space="0" w:color="auto"/>
            <w:bottom w:val="none" w:sz="0" w:space="0" w:color="auto"/>
            <w:right w:val="none" w:sz="0" w:space="0" w:color="auto"/>
          </w:divBdr>
        </w:div>
        <w:div w:id="879635508">
          <w:marLeft w:val="0"/>
          <w:marRight w:val="0"/>
          <w:marTop w:val="0"/>
          <w:marBottom w:val="0"/>
          <w:divBdr>
            <w:top w:val="none" w:sz="0" w:space="0" w:color="auto"/>
            <w:left w:val="none" w:sz="0" w:space="0" w:color="auto"/>
            <w:bottom w:val="none" w:sz="0" w:space="0" w:color="auto"/>
            <w:right w:val="none" w:sz="0" w:space="0" w:color="auto"/>
          </w:divBdr>
        </w:div>
      </w:divsChild>
    </w:div>
    <w:div w:id="1846477640">
      <w:bodyDiv w:val="1"/>
      <w:marLeft w:val="0"/>
      <w:marRight w:val="0"/>
      <w:marTop w:val="0"/>
      <w:marBottom w:val="0"/>
      <w:divBdr>
        <w:top w:val="none" w:sz="0" w:space="0" w:color="auto"/>
        <w:left w:val="none" w:sz="0" w:space="0" w:color="auto"/>
        <w:bottom w:val="none" w:sz="0" w:space="0" w:color="auto"/>
        <w:right w:val="none" w:sz="0" w:space="0" w:color="auto"/>
      </w:divBdr>
    </w:div>
    <w:div w:id="20668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ibutors.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inante.gov.ro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inancialmarket.ro/terms/datorie-publica/" TargetMode="External"/><Relationship Id="rId4" Type="http://schemas.openxmlformats.org/officeDocument/2006/relationships/settings" Target="settings.xml"/><Relationship Id="rId9" Type="http://schemas.openxmlformats.org/officeDocument/2006/relationships/hyperlink" Target="https://cursdeguvernare.ro/structura-si-problemele-datoriei-publice-a-romaniei-care-se-apropie-de-pragul-de-500-miliard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6687-F11E-4AAC-A533-D4E1370B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6489</TotalTime>
  <Pages>9</Pages>
  <Words>5422</Words>
  <Characters>30907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Morosan</dc:creator>
  <cp:keywords/>
  <dc:description/>
  <cp:lastModifiedBy>Gheorghe Morosan</cp:lastModifiedBy>
  <cp:revision>583</cp:revision>
  <cp:lastPrinted>2021-03-18T11:24:00Z</cp:lastPrinted>
  <dcterms:created xsi:type="dcterms:W3CDTF">2021-01-23T10:04:00Z</dcterms:created>
  <dcterms:modified xsi:type="dcterms:W3CDTF">2021-10-19T09:23:00Z</dcterms:modified>
</cp:coreProperties>
</file>