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283D" w14:textId="75A5C4A9" w:rsidR="00CC55C0" w:rsidRPr="00347E5F" w:rsidRDefault="004D4166" w:rsidP="00ED320D">
      <w:pPr>
        <w:pStyle w:val="Frspaiere"/>
        <w:jc w:val="center"/>
        <w:rPr>
          <w:rFonts w:ascii="Times New Roman" w:hAnsi="Times New Roman"/>
          <w:b/>
          <w:bCs/>
          <w:sz w:val="28"/>
          <w:szCs w:val="28"/>
          <w:lang w:val="en-US"/>
        </w:rPr>
      </w:pPr>
      <w:r w:rsidRPr="00347E5F">
        <w:rPr>
          <w:rFonts w:ascii="Times New Roman" w:hAnsi="Times New Roman"/>
          <w:b/>
          <w:bCs/>
          <w:sz w:val="28"/>
          <w:szCs w:val="28"/>
          <w:lang w:val="en-US"/>
        </w:rPr>
        <w:t>AN ANALYSIS OF THE FINANCIAL PEFRORMACE O</w:t>
      </w:r>
      <w:r w:rsidR="00ED320D">
        <w:rPr>
          <w:rFonts w:ascii="Times New Roman" w:hAnsi="Times New Roman"/>
          <w:b/>
          <w:bCs/>
          <w:sz w:val="28"/>
          <w:szCs w:val="28"/>
          <w:lang w:val="en-US"/>
        </w:rPr>
        <w:t>F THE</w:t>
      </w:r>
      <w:r w:rsidRPr="00347E5F">
        <w:rPr>
          <w:rFonts w:ascii="Times New Roman" w:hAnsi="Times New Roman"/>
          <w:b/>
          <w:bCs/>
          <w:sz w:val="28"/>
          <w:szCs w:val="28"/>
          <w:lang w:val="en-US"/>
        </w:rPr>
        <w:t xml:space="preserve"> BANKING SECTOR DURING 2015-2019</w:t>
      </w:r>
    </w:p>
    <w:p w14:paraId="7022A9B5" w14:textId="77777777" w:rsidR="0080084B" w:rsidRDefault="0080084B" w:rsidP="00ED320D">
      <w:pPr>
        <w:spacing w:before="0" w:after="0" w:line="240" w:lineRule="auto"/>
        <w:jc w:val="center"/>
        <w:rPr>
          <w:rFonts w:ascii="Times New Roman" w:hAnsi="Times New Roman"/>
          <w:sz w:val="24"/>
          <w:szCs w:val="24"/>
        </w:rPr>
      </w:pPr>
    </w:p>
    <w:p w14:paraId="32A3DC97" w14:textId="56D5CC2B" w:rsidR="006D01FD" w:rsidRPr="00ED320D" w:rsidRDefault="006D01FD" w:rsidP="00ED320D">
      <w:pPr>
        <w:pStyle w:val="NormalWeb"/>
        <w:spacing w:before="0" w:beforeAutospacing="0" w:after="0" w:afterAutospacing="0"/>
        <w:ind w:left="0"/>
        <w:jc w:val="both"/>
        <w:rPr>
          <w:rFonts w:ascii="Times New Roman" w:hAnsi="Times New Roman"/>
          <w:i/>
          <w:iCs/>
          <w:color w:val="auto"/>
          <w:szCs w:val="20"/>
          <w:lang w:val="en-US"/>
        </w:rPr>
      </w:pPr>
      <w:r w:rsidRPr="0009420F">
        <w:rPr>
          <w:rFonts w:ascii="Times New Roman" w:hAnsi="Times New Roman"/>
          <w:b/>
          <w:bCs/>
          <w:color w:val="auto"/>
          <w:szCs w:val="20"/>
          <w:lang w:val="en-US"/>
        </w:rPr>
        <w:t>Abstr</w:t>
      </w:r>
      <w:r w:rsidR="001849C4" w:rsidRPr="0009420F">
        <w:rPr>
          <w:rFonts w:ascii="Times New Roman" w:hAnsi="Times New Roman"/>
          <w:b/>
          <w:bCs/>
          <w:color w:val="auto"/>
          <w:szCs w:val="20"/>
          <w:lang w:val="en-US"/>
        </w:rPr>
        <w:t>act:</w:t>
      </w:r>
      <w:r w:rsidR="001849C4" w:rsidRPr="00347E5F">
        <w:rPr>
          <w:rFonts w:ascii="Times New Roman" w:hAnsi="Times New Roman"/>
          <w:color w:val="auto"/>
          <w:sz w:val="24"/>
          <w:lang w:val="en-US"/>
        </w:rPr>
        <w:t xml:space="preserve"> </w:t>
      </w:r>
      <w:r w:rsidR="00A257CE" w:rsidRPr="00ED320D">
        <w:rPr>
          <w:rFonts w:ascii="Times New Roman" w:hAnsi="Times New Roman"/>
          <w:i/>
          <w:iCs/>
          <w:color w:val="auto"/>
          <w:szCs w:val="20"/>
          <w:lang w:val="en-US"/>
        </w:rPr>
        <w:t xml:space="preserve">The main task of the financial performance’s </w:t>
      </w:r>
      <w:r w:rsidR="00347E5F" w:rsidRPr="00ED320D">
        <w:rPr>
          <w:rFonts w:ascii="Times New Roman" w:hAnsi="Times New Roman"/>
          <w:i/>
          <w:iCs/>
          <w:color w:val="auto"/>
          <w:szCs w:val="20"/>
          <w:lang w:val="en-US"/>
        </w:rPr>
        <w:t>assessment</w:t>
      </w:r>
      <w:r w:rsidR="00A257CE" w:rsidRPr="00ED320D">
        <w:rPr>
          <w:rFonts w:ascii="Times New Roman" w:hAnsi="Times New Roman"/>
          <w:i/>
          <w:iCs/>
          <w:color w:val="auto"/>
          <w:szCs w:val="20"/>
          <w:lang w:val="en-US"/>
        </w:rPr>
        <w:t xml:space="preserve"> is directly and completely dependent on the main goal of the bank’s financial management – to maximize the </w:t>
      </w:r>
      <w:r w:rsidR="00347E5F" w:rsidRPr="00ED320D">
        <w:rPr>
          <w:rFonts w:ascii="Times New Roman" w:hAnsi="Times New Roman"/>
          <w:i/>
          <w:iCs/>
          <w:color w:val="auto"/>
          <w:szCs w:val="20"/>
          <w:lang w:val="en-US"/>
        </w:rPr>
        <w:t>business’s</w:t>
      </w:r>
      <w:r w:rsidR="00A257CE" w:rsidRPr="00ED320D">
        <w:rPr>
          <w:rFonts w:ascii="Times New Roman" w:hAnsi="Times New Roman"/>
          <w:i/>
          <w:iCs/>
          <w:color w:val="auto"/>
          <w:szCs w:val="20"/>
          <w:lang w:val="en-US"/>
        </w:rPr>
        <w:t xml:space="preserve"> economic value. The management of the financial performance identifies, optimizes and </w:t>
      </w:r>
      <w:r w:rsidR="00347E5F" w:rsidRPr="00ED320D">
        <w:rPr>
          <w:rFonts w:ascii="Times New Roman" w:hAnsi="Times New Roman"/>
          <w:i/>
          <w:iCs/>
          <w:color w:val="auto"/>
          <w:szCs w:val="20"/>
          <w:lang w:val="en-US"/>
        </w:rPr>
        <w:t>diagnoses</w:t>
      </w:r>
      <w:r w:rsidR="00A257CE" w:rsidRPr="00ED320D">
        <w:rPr>
          <w:rFonts w:ascii="Times New Roman" w:hAnsi="Times New Roman"/>
          <w:i/>
          <w:iCs/>
          <w:color w:val="auto"/>
          <w:szCs w:val="20"/>
          <w:lang w:val="en-US"/>
        </w:rPr>
        <w:t xml:space="preserve"> the processes that are generating economic value added. The analysis of the bank’s efficiency indicators generates decisions of major importance for the future evolution </w:t>
      </w:r>
      <w:r w:rsidR="00286523" w:rsidRPr="00ED320D">
        <w:rPr>
          <w:rFonts w:ascii="Times New Roman" w:hAnsi="Times New Roman"/>
          <w:i/>
          <w:iCs/>
          <w:color w:val="auto"/>
          <w:szCs w:val="20"/>
          <w:lang w:val="en-US"/>
        </w:rPr>
        <w:t>of the bank and its performance.</w:t>
      </w:r>
      <w:r w:rsidR="007B4AED" w:rsidRPr="00ED320D">
        <w:rPr>
          <w:rFonts w:ascii="Times New Roman" w:hAnsi="Times New Roman"/>
          <w:i/>
          <w:iCs/>
          <w:color w:val="auto"/>
          <w:szCs w:val="20"/>
          <w:lang w:val="en-US"/>
        </w:rPr>
        <w:t xml:space="preserve"> Due</w:t>
      </w:r>
      <w:r w:rsidR="00347E5F" w:rsidRPr="00ED320D">
        <w:rPr>
          <w:rFonts w:ascii="Times New Roman" w:hAnsi="Times New Roman"/>
          <w:i/>
          <w:iCs/>
          <w:color w:val="auto"/>
          <w:szCs w:val="20"/>
          <w:lang w:val="en-US"/>
        </w:rPr>
        <w:t xml:space="preserve"> </w:t>
      </w:r>
      <w:r w:rsidR="007B4AED" w:rsidRPr="00ED320D">
        <w:rPr>
          <w:rFonts w:ascii="Times New Roman" w:hAnsi="Times New Roman"/>
          <w:i/>
          <w:iCs/>
          <w:color w:val="auto"/>
          <w:szCs w:val="20"/>
          <w:lang w:val="en-US"/>
        </w:rPr>
        <w:t xml:space="preserve">to the fact that it plays a key role in national economies, the bank statistics may produce insights about the economic situation. The impact of the banking activities over </w:t>
      </w:r>
      <w:r w:rsidR="00347E5F" w:rsidRPr="00ED320D">
        <w:rPr>
          <w:rFonts w:ascii="Times New Roman" w:hAnsi="Times New Roman"/>
          <w:i/>
          <w:iCs/>
          <w:color w:val="auto"/>
          <w:szCs w:val="20"/>
          <w:lang w:val="en-US"/>
        </w:rPr>
        <w:t>monetary</w:t>
      </w:r>
      <w:r w:rsidR="007B4AED" w:rsidRPr="00ED320D">
        <w:rPr>
          <w:rFonts w:ascii="Times New Roman" w:hAnsi="Times New Roman"/>
          <w:i/>
          <w:iCs/>
          <w:color w:val="auto"/>
          <w:szCs w:val="20"/>
          <w:lang w:val="en-US"/>
        </w:rPr>
        <w:t xml:space="preserve"> statistics, such as monetary base and the domestic private sector crediting.</w:t>
      </w:r>
    </w:p>
    <w:p w14:paraId="5759837B" w14:textId="5D69E52D" w:rsidR="001B6001" w:rsidRDefault="001B6001" w:rsidP="00ED320D">
      <w:pPr>
        <w:pStyle w:val="Frspaiere"/>
        <w:jc w:val="both"/>
        <w:rPr>
          <w:rFonts w:ascii="Times New Roman" w:hAnsi="Times New Roman"/>
          <w:sz w:val="24"/>
          <w:szCs w:val="24"/>
          <w:lang w:val="en-US" w:eastAsia="ro-RO"/>
        </w:rPr>
      </w:pPr>
    </w:p>
    <w:p w14:paraId="3F2DF79D" w14:textId="2F8962FD" w:rsidR="0009420F" w:rsidRPr="00C65EFE" w:rsidRDefault="0009420F" w:rsidP="0009420F">
      <w:pPr>
        <w:pStyle w:val="Titlu"/>
        <w:jc w:val="both"/>
        <w:rPr>
          <w:sz w:val="20"/>
          <w:szCs w:val="20"/>
          <w:lang w:val="en-GB"/>
        </w:rPr>
      </w:pPr>
      <w:r>
        <w:rPr>
          <w:sz w:val="20"/>
          <w:szCs w:val="20"/>
          <w:lang w:val="en-GB"/>
        </w:rPr>
        <w:t xml:space="preserve">Keywords: </w:t>
      </w:r>
      <w:r w:rsidR="00C35233" w:rsidRPr="00FA4751">
        <w:rPr>
          <w:b w:val="0"/>
          <w:bCs w:val="0"/>
          <w:iCs/>
          <w:sz w:val="20"/>
          <w:szCs w:val="20"/>
          <w:lang w:val="en-GB"/>
        </w:rPr>
        <w:t>performance</w:t>
      </w:r>
      <w:r w:rsidRPr="00FA4751">
        <w:rPr>
          <w:b w:val="0"/>
          <w:bCs w:val="0"/>
          <w:iCs/>
          <w:sz w:val="20"/>
          <w:szCs w:val="20"/>
          <w:lang w:val="en-GB"/>
        </w:rPr>
        <w:t xml:space="preserve">, </w:t>
      </w:r>
      <w:r w:rsidR="00C35233" w:rsidRPr="00FA4751">
        <w:rPr>
          <w:b w:val="0"/>
          <w:bCs w:val="0"/>
          <w:iCs/>
          <w:sz w:val="20"/>
          <w:szCs w:val="20"/>
          <w:lang w:val="en-GB"/>
        </w:rPr>
        <w:t xml:space="preserve">efficiency, </w:t>
      </w:r>
      <w:r w:rsidR="00FA4751" w:rsidRPr="00FA4751">
        <w:rPr>
          <w:rStyle w:val="y2iqfc"/>
          <w:b w:val="0"/>
          <w:bCs w:val="0"/>
          <w:iCs/>
          <w:color w:val="202124"/>
          <w:sz w:val="20"/>
          <w:szCs w:val="20"/>
          <w:lang w:val="en-US"/>
        </w:rPr>
        <w:t xml:space="preserve">rate of return on assets, return on equity, </w:t>
      </w:r>
      <w:r w:rsidRPr="00FA4751">
        <w:rPr>
          <w:b w:val="0"/>
          <w:bCs w:val="0"/>
          <w:iCs/>
          <w:sz w:val="20"/>
          <w:szCs w:val="20"/>
          <w:lang w:val="en-GB"/>
        </w:rPr>
        <w:t>bank</w:t>
      </w:r>
      <w:r w:rsidR="00C35233" w:rsidRPr="00FA4751">
        <w:rPr>
          <w:b w:val="0"/>
          <w:bCs w:val="0"/>
          <w:iCs/>
          <w:sz w:val="20"/>
          <w:szCs w:val="20"/>
          <w:lang w:val="en-GB"/>
        </w:rPr>
        <w:t>s</w:t>
      </w:r>
      <w:r>
        <w:rPr>
          <w:b w:val="0"/>
          <w:bCs w:val="0"/>
          <w:i/>
          <w:sz w:val="20"/>
          <w:szCs w:val="20"/>
          <w:lang w:val="en-GB"/>
        </w:rPr>
        <w:t>,</w:t>
      </w:r>
    </w:p>
    <w:p w14:paraId="59286C8A" w14:textId="77777777" w:rsidR="00C35233" w:rsidRPr="00C35233" w:rsidRDefault="0009420F" w:rsidP="00C35233">
      <w:pPr>
        <w:spacing w:before="0" w:after="0" w:line="240" w:lineRule="auto"/>
        <w:jc w:val="both"/>
        <w:rPr>
          <w:rFonts w:ascii="Times New Roman" w:hAnsi="Times New Roman"/>
        </w:rPr>
      </w:pPr>
      <w:r w:rsidRPr="00C35233">
        <w:rPr>
          <w:rFonts w:ascii="Times New Roman" w:hAnsi="Times New Roman"/>
          <w:b/>
          <w:bCs/>
          <w:iCs/>
        </w:rPr>
        <w:t>JEL Classification</w:t>
      </w:r>
      <w:r w:rsidRPr="00C35233">
        <w:rPr>
          <w:rFonts w:ascii="Times New Roman" w:hAnsi="Times New Roman"/>
          <w:iCs/>
        </w:rPr>
        <w:t xml:space="preserve">: </w:t>
      </w:r>
      <w:r w:rsidR="00C35233" w:rsidRPr="00C35233">
        <w:rPr>
          <w:rFonts w:ascii="Times New Roman" w:hAnsi="Times New Roman"/>
        </w:rPr>
        <w:t>G21, M40, M48</w:t>
      </w:r>
    </w:p>
    <w:p w14:paraId="6181108F" w14:textId="7ED8DD5E" w:rsidR="0009420F" w:rsidRDefault="0009420F" w:rsidP="0009420F">
      <w:pPr>
        <w:pStyle w:val="Titlu"/>
        <w:jc w:val="left"/>
        <w:rPr>
          <w:b w:val="0"/>
          <w:iCs/>
          <w:sz w:val="20"/>
          <w:szCs w:val="20"/>
          <w:lang w:val="en-US"/>
        </w:rPr>
      </w:pPr>
    </w:p>
    <w:p w14:paraId="4289E549" w14:textId="77777777" w:rsidR="0009420F" w:rsidRPr="00347E5F" w:rsidRDefault="0009420F" w:rsidP="00ED320D">
      <w:pPr>
        <w:pStyle w:val="Frspaiere"/>
        <w:jc w:val="both"/>
        <w:rPr>
          <w:rFonts w:ascii="Times New Roman" w:hAnsi="Times New Roman"/>
          <w:sz w:val="24"/>
          <w:szCs w:val="24"/>
          <w:lang w:val="en-US" w:eastAsia="ro-RO"/>
        </w:rPr>
      </w:pPr>
    </w:p>
    <w:p w14:paraId="1EDE01C2" w14:textId="2C3EF43E" w:rsidR="007B4AED" w:rsidRPr="00D4612B" w:rsidRDefault="007B4AED" w:rsidP="00ED320D">
      <w:pPr>
        <w:pStyle w:val="Frspaiere"/>
        <w:ind w:firstLine="720"/>
        <w:jc w:val="both"/>
        <w:rPr>
          <w:rFonts w:ascii="Times New Roman" w:hAnsi="Times New Roman"/>
          <w:b/>
          <w:bCs/>
          <w:sz w:val="24"/>
          <w:szCs w:val="24"/>
          <w:lang w:val="en-US"/>
        </w:rPr>
      </w:pPr>
      <w:r w:rsidRPr="00D4612B">
        <w:rPr>
          <w:rFonts w:ascii="Times New Roman" w:hAnsi="Times New Roman"/>
          <w:b/>
          <w:bCs/>
          <w:sz w:val="24"/>
          <w:szCs w:val="24"/>
          <w:lang w:val="en-US"/>
        </w:rPr>
        <w:t>INTRODUCTION</w:t>
      </w:r>
    </w:p>
    <w:p w14:paraId="127A6767" w14:textId="77777777" w:rsidR="00D4612B" w:rsidRDefault="00D4612B" w:rsidP="00ED320D">
      <w:pPr>
        <w:spacing w:before="0" w:after="0" w:line="240" w:lineRule="auto"/>
        <w:ind w:firstLine="720"/>
        <w:jc w:val="both"/>
        <w:rPr>
          <w:rStyle w:val="google-src-text"/>
          <w:rFonts w:ascii="Times New Roman" w:hAnsi="Times New Roman"/>
          <w:sz w:val="24"/>
        </w:rPr>
      </w:pPr>
    </w:p>
    <w:p w14:paraId="7EEFCAE0" w14:textId="6FAE72E3" w:rsidR="007B4AED" w:rsidRPr="00347E5F" w:rsidRDefault="007B4AED" w:rsidP="00ED320D">
      <w:pPr>
        <w:spacing w:before="0" w:after="0" w:line="240" w:lineRule="auto"/>
        <w:ind w:firstLine="720"/>
        <w:jc w:val="both"/>
        <w:rPr>
          <w:rStyle w:val="google-src-text"/>
          <w:rFonts w:ascii="Times New Roman" w:hAnsi="Times New Roman"/>
          <w:sz w:val="24"/>
        </w:rPr>
      </w:pPr>
      <w:r w:rsidRPr="00347E5F">
        <w:rPr>
          <w:rStyle w:val="google-src-text"/>
          <w:rFonts w:ascii="Times New Roman" w:hAnsi="Times New Roman"/>
          <w:sz w:val="24"/>
        </w:rPr>
        <w:t>Because the banks are pa</w:t>
      </w:r>
      <w:r w:rsidR="00347E5F">
        <w:rPr>
          <w:rStyle w:val="google-src-text"/>
          <w:rFonts w:ascii="Times New Roman" w:hAnsi="Times New Roman"/>
          <w:sz w:val="24"/>
        </w:rPr>
        <w:t>r</w:t>
      </w:r>
      <w:r w:rsidRPr="00347E5F">
        <w:rPr>
          <w:rStyle w:val="google-src-text"/>
          <w:rFonts w:ascii="Times New Roman" w:hAnsi="Times New Roman"/>
          <w:sz w:val="24"/>
        </w:rPr>
        <w:t xml:space="preserve">ticipating in both internal </w:t>
      </w:r>
      <w:r w:rsidR="006B0073" w:rsidRPr="00347E5F">
        <w:rPr>
          <w:rStyle w:val="google-src-text"/>
          <w:rFonts w:ascii="Times New Roman" w:hAnsi="Times New Roman"/>
          <w:sz w:val="24"/>
        </w:rPr>
        <w:t xml:space="preserve">and international </w:t>
      </w:r>
      <w:r w:rsidRPr="00347E5F">
        <w:rPr>
          <w:rStyle w:val="google-src-text"/>
          <w:rFonts w:ascii="Times New Roman" w:hAnsi="Times New Roman"/>
          <w:sz w:val="24"/>
        </w:rPr>
        <w:t xml:space="preserve">financial systems </w:t>
      </w:r>
      <w:r w:rsidR="006B0073" w:rsidRPr="00347E5F">
        <w:rPr>
          <w:rStyle w:val="google-src-text"/>
          <w:rFonts w:ascii="Times New Roman" w:hAnsi="Times New Roman"/>
          <w:sz w:val="24"/>
        </w:rPr>
        <w:t xml:space="preserve">and playing a key role in national economies, the banking financial indicators may offer clues about country’s economical situation. A </w:t>
      </w:r>
      <w:r w:rsidR="00347E5F" w:rsidRPr="00347E5F">
        <w:rPr>
          <w:rStyle w:val="google-src-text"/>
          <w:rFonts w:ascii="Times New Roman" w:hAnsi="Times New Roman"/>
          <w:sz w:val="24"/>
        </w:rPr>
        <w:t>powerful</w:t>
      </w:r>
      <w:r w:rsidR="006B0073" w:rsidRPr="00347E5F">
        <w:rPr>
          <w:rStyle w:val="google-src-text"/>
          <w:rFonts w:ascii="Times New Roman" w:hAnsi="Times New Roman"/>
          <w:sz w:val="24"/>
        </w:rPr>
        <w:t xml:space="preserve"> banking sector is </w:t>
      </w:r>
      <w:r w:rsidR="00347E5F" w:rsidRPr="00347E5F">
        <w:rPr>
          <w:rStyle w:val="google-src-text"/>
          <w:rFonts w:ascii="Times New Roman" w:hAnsi="Times New Roman"/>
          <w:sz w:val="24"/>
        </w:rPr>
        <w:t>channeling</w:t>
      </w:r>
      <w:r w:rsidR="006B0073" w:rsidRPr="00347E5F">
        <w:rPr>
          <w:rStyle w:val="google-src-text"/>
          <w:rFonts w:ascii="Times New Roman" w:hAnsi="Times New Roman"/>
          <w:sz w:val="24"/>
        </w:rPr>
        <w:t xml:space="preserve"> efficiently the funds in order to consolidate the financial and economic system of any country.</w:t>
      </w:r>
      <w:r w:rsidR="006B0073" w:rsidRPr="00347E5F">
        <w:rPr>
          <w:rFonts w:ascii="Times New Roman" w:hAnsi="Times New Roman"/>
          <w:sz w:val="24"/>
        </w:rPr>
        <w:t xml:space="preserve"> </w:t>
      </w:r>
      <w:r w:rsidR="006B0073" w:rsidRPr="00347E5F">
        <w:rPr>
          <w:rStyle w:val="google-src-text"/>
          <w:rFonts w:ascii="Times New Roman" w:hAnsi="Times New Roman"/>
          <w:sz w:val="24"/>
        </w:rPr>
        <w:t>(Sharma D. Sharma A. K., Barua M.K., 2013)</w:t>
      </w:r>
    </w:p>
    <w:p w14:paraId="129F414F" w14:textId="1C76F166" w:rsidR="00934B7A" w:rsidRPr="00347E5F" w:rsidRDefault="00C148BC" w:rsidP="00ED320D">
      <w:pPr>
        <w:spacing w:before="0" w:after="0" w:line="240" w:lineRule="auto"/>
        <w:ind w:firstLine="720"/>
        <w:jc w:val="both"/>
        <w:rPr>
          <w:rStyle w:val="google-src-text"/>
          <w:rFonts w:ascii="Times New Roman" w:hAnsi="Times New Roman"/>
          <w:sz w:val="24"/>
        </w:rPr>
      </w:pPr>
      <w:r w:rsidRPr="00347E5F">
        <w:rPr>
          <w:rStyle w:val="google-src-text"/>
          <w:rFonts w:ascii="Times New Roman" w:hAnsi="Times New Roman"/>
          <w:sz w:val="24"/>
        </w:rPr>
        <w:t>Banking management is a complex activity carried on depending on the profit maximization and risk minimization goals.</w:t>
      </w:r>
    </w:p>
    <w:p w14:paraId="145482D9" w14:textId="1AAEC6A6" w:rsidR="00C148BC" w:rsidRPr="00347E5F" w:rsidRDefault="00C148BC" w:rsidP="00ED320D">
      <w:pPr>
        <w:spacing w:before="0" w:after="0" w:line="240" w:lineRule="auto"/>
        <w:ind w:firstLine="720"/>
        <w:jc w:val="both"/>
        <w:rPr>
          <w:rStyle w:val="google-src-text"/>
          <w:rFonts w:ascii="Times New Roman" w:hAnsi="Times New Roman"/>
          <w:sz w:val="24"/>
        </w:rPr>
      </w:pPr>
      <w:r w:rsidRPr="00347E5F">
        <w:rPr>
          <w:rStyle w:val="google-src-text"/>
          <w:rFonts w:ascii="Times New Roman" w:hAnsi="Times New Roman"/>
          <w:sz w:val="24"/>
        </w:rPr>
        <w:t xml:space="preserve">Bank performance reflects the efficiency of capital allocation and mobilization. In order to fulfill this goal, the banks have to </w:t>
      </w:r>
      <w:r w:rsidR="00574AB3" w:rsidRPr="00347E5F">
        <w:rPr>
          <w:rStyle w:val="google-src-text"/>
          <w:rFonts w:ascii="Times New Roman" w:hAnsi="Times New Roman"/>
          <w:sz w:val="24"/>
        </w:rPr>
        <w:t xml:space="preserve">invest their funds to support the economic growth, to allocate funds for investments concurring to economic structural changes </w:t>
      </w:r>
      <w:r w:rsidR="00DC63AB" w:rsidRPr="00347E5F">
        <w:rPr>
          <w:rStyle w:val="google-src-text"/>
          <w:rFonts w:ascii="Times New Roman" w:hAnsi="Times New Roman"/>
          <w:sz w:val="24"/>
        </w:rPr>
        <w:t xml:space="preserve">and to productivity increase, to ease the payments in such a manner that the market could operate with low costs (Nedelescu M., Bunescu P., 2017). The information </w:t>
      </w:r>
      <w:r w:rsidR="00347E5F" w:rsidRPr="00347E5F">
        <w:rPr>
          <w:rStyle w:val="google-src-text"/>
          <w:rFonts w:ascii="Times New Roman" w:hAnsi="Times New Roman"/>
          <w:sz w:val="24"/>
        </w:rPr>
        <w:t>referring</w:t>
      </w:r>
      <w:r w:rsidR="00DC63AB" w:rsidRPr="00347E5F">
        <w:rPr>
          <w:rStyle w:val="google-src-text"/>
          <w:rFonts w:ascii="Times New Roman" w:hAnsi="Times New Roman"/>
          <w:sz w:val="24"/>
        </w:rPr>
        <w:t xml:space="preserve"> to the bank’s performance </w:t>
      </w:r>
      <w:r w:rsidR="00CC2B72" w:rsidRPr="00347E5F">
        <w:rPr>
          <w:rStyle w:val="google-src-text"/>
          <w:rFonts w:ascii="Times New Roman" w:hAnsi="Times New Roman"/>
          <w:sz w:val="24"/>
        </w:rPr>
        <w:t xml:space="preserve">and the analysis of the information are very </w:t>
      </w:r>
      <w:r w:rsidR="00347E5F" w:rsidRPr="00347E5F">
        <w:rPr>
          <w:rStyle w:val="google-src-text"/>
          <w:rFonts w:ascii="Times New Roman" w:hAnsi="Times New Roman"/>
          <w:sz w:val="24"/>
        </w:rPr>
        <w:t>helpful</w:t>
      </w:r>
      <w:r w:rsidR="00CC2B72" w:rsidRPr="00347E5F">
        <w:rPr>
          <w:rStyle w:val="google-src-text"/>
          <w:rFonts w:ascii="Times New Roman" w:hAnsi="Times New Roman"/>
          <w:sz w:val="24"/>
        </w:rPr>
        <w:t xml:space="preserve"> for the investors, for the firms applying for a loan, for the </w:t>
      </w:r>
      <w:r w:rsidR="00347E5F" w:rsidRPr="00347E5F">
        <w:rPr>
          <w:rStyle w:val="google-src-text"/>
          <w:rFonts w:ascii="Times New Roman" w:hAnsi="Times New Roman"/>
          <w:sz w:val="24"/>
        </w:rPr>
        <w:t>businessmen</w:t>
      </w:r>
      <w:r w:rsidR="00CC2B72" w:rsidRPr="00347E5F">
        <w:rPr>
          <w:rStyle w:val="google-src-text"/>
          <w:rFonts w:ascii="Times New Roman" w:hAnsi="Times New Roman"/>
          <w:sz w:val="24"/>
        </w:rPr>
        <w:t xml:space="preserve"> or deponents which have stable relationships with a banking institution </w:t>
      </w:r>
      <w:r w:rsidR="00CC2B72" w:rsidRPr="00347E5F">
        <w:rPr>
          <w:rFonts w:ascii="Times New Roman" w:hAnsi="Times New Roman"/>
          <w:sz w:val="24"/>
          <w:szCs w:val="24"/>
          <w:lang w:eastAsia="ro-RO"/>
        </w:rPr>
        <w:t>(Niţu, I., 2002)</w:t>
      </w:r>
      <w:r w:rsidR="00CC2B72" w:rsidRPr="00347E5F">
        <w:rPr>
          <w:rStyle w:val="google-src-text"/>
          <w:rFonts w:ascii="Times New Roman" w:hAnsi="Times New Roman"/>
          <w:sz w:val="24"/>
        </w:rPr>
        <w:t>.</w:t>
      </w:r>
    </w:p>
    <w:p w14:paraId="27B5BCB9" w14:textId="4BFBBB4F" w:rsidR="00CC2B72" w:rsidRPr="00347E5F" w:rsidRDefault="00CC2B72" w:rsidP="00ED320D">
      <w:pPr>
        <w:spacing w:before="0" w:after="0" w:line="240" w:lineRule="auto"/>
        <w:ind w:firstLine="720"/>
        <w:jc w:val="both"/>
        <w:rPr>
          <w:rFonts w:ascii="Times New Roman" w:hAnsi="Times New Roman"/>
          <w:sz w:val="24"/>
          <w:szCs w:val="24"/>
          <w:lang w:eastAsia="ro-RO"/>
        </w:rPr>
      </w:pPr>
      <w:r w:rsidRPr="00347E5F">
        <w:rPr>
          <w:rStyle w:val="google-src-text"/>
          <w:rFonts w:ascii="Times New Roman" w:hAnsi="Times New Roman"/>
          <w:sz w:val="24"/>
        </w:rPr>
        <w:t xml:space="preserve">Manolescu, G. şi Sîrbea Diaconescu, A. (2001) are stating that „the profitability includes the vision referring to covering the </w:t>
      </w:r>
      <w:r w:rsidR="00F30FEF" w:rsidRPr="00347E5F">
        <w:rPr>
          <w:rStyle w:val="google-src-text"/>
          <w:rFonts w:ascii="Times New Roman" w:hAnsi="Times New Roman"/>
          <w:sz w:val="24"/>
        </w:rPr>
        <w:t xml:space="preserve">investments with own funds at each operational </w:t>
      </w:r>
      <w:r w:rsidR="00347E5F" w:rsidRPr="00347E5F">
        <w:rPr>
          <w:rStyle w:val="google-src-text"/>
          <w:rFonts w:ascii="Times New Roman" w:hAnsi="Times New Roman"/>
          <w:sz w:val="24"/>
        </w:rPr>
        <w:t>center</w:t>
      </w:r>
      <w:r w:rsidR="00F30FEF" w:rsidRPr="00347E5F">
        <w:rPr>
          <w:rStyle w:val="google-src-text"/>
          <w:rFonts w:ascii="Times New Roman" w:hAnsi="Times New Roman"/>
          <w:sz w:val="24"/>
        </w:rPr>
        <w:t xml:space="preserve"> level, established as profit </w:t>
      </w:r>
      <w:r w:rsidR="00347E5F" w:rsidRPr="00347E5F">
        <w:rPr>
          <w:rStyle w:val="google-src-text"/>
          <w:rFonts w:ascii="Times New Roman" w:hAnsi="Times New Roman"/>
          <w:sz w:val="24"/>
        </w:rPr>
        <w:t>center</w:t>
      </w:r>
      <w:r w:rsidRPr="00347E5F">
        <w:rPr>
          <w:rStyle w:val="google-src-text"/>
          <w:rFonts w:ascii="Times New Roman" w:hAnsi="Times New Roman"/>
          <w:sz w:val="24"/>
        </w:rPr>
        <w:t>”</w:t>
      </w:r>
      <w:r w:rsidR="00F30FEF" w:rsidRPr="00347E5F">
        <w:rPr>
          <w:rStyle w:val="google-src-text"/>
          <w:rFonts w:ascii="Times New Roman" w:hAnsi="Times New Roman"/>
          <w:sz w:val="24"/>
        </w:rPr>
        <w:t>. Rotaru, C. (200</w:t>
      </w:r>
      <w:r w:rsidR="0011160A">
        <w:rPr>
          <w:rStyle w:val="google-src-text"/>
          <w:rFonts w:ascii="Times New Roman" w:hAnsi="Times New Roman"/>
          <w:sz w:val="24"/>
        </w:rPr>
        <w:t>1</w:t>
      </w:r>
      <w:r w:rsidR="00F30FEF" w:rsidRPr="00347E5F">
        <w:rPr>
          <w:rStyle w:val="google-src-text"/>
          <w:rFonts w:ascii="Times New Roman" w:hAnsi="Times New Roman"/>
          <w:sz w:val="24"/>
        </w:rPr>
        <w:t xml:space="preserve">) </w:t>
      </w:r>
      <w:r w:rsidR="00347E5F">
        <w:rPr>
          <w:rStyle w:val="google-src-text"/>
          <w:rFonts w:ascii="Times New Roman" w:hAnsi="Times New Roman"/>
          <w:sz w:val="24"/>
        </w:rPr>
        <w:t>notes</w:t>
      </w:r>
      <w:r w:rsidR="00F30FEF" w:rsidRPr="00347E5F">
        <w:rPr>
          <w:rStyle w:val="google-src-text"/>
          <w:rFonts w:ascii="Times New Roman" w:hAnsi="Times New Roman"/>
          <w:sz w:val="24"/>
        </w:rPr>
        <w:t xml:space="preserve"> </w:t>
      </w:r>
      <w:r w:rsidR="00347E5F" w:rsidRPr="00347E5F">
        <w:rPr>
          <w:rStyle w:val="google-src-text"/>
          <w:rFonts w:ascii="Times New Roman" w:hAnsi="Times New Roman"/>
          <w:sz w:val="24"/>
        </w:rPr>
        <w:t>that</w:t>
      </w:r>
      <w:r w:rsidR="00F30FEF" w:rsidRPr="00347E5F">
        <w:rPr>
          <w:rStyle w:val="google-src-text"/>
          <w:rFonts w:ascii="Times New Roman" w:hAnsi="Times New Roman"/>
          <w:sz w:val="24"/>
        </w:rPr>
        <w:t xml:space="preserve"> the performance must regarded</w:t>
      </w:r>
      <w:r w:rsidR="00735143" w:rsidRPr="00347E5F">
        <w:rPr>
          <w:rStyle w:val="google-src-text"/>
          <w:rFonts w:ascii="Times New Roman" w:hAnsi="Times New Roman"/>
          <w:sz w:val="24"/>
        </w:rPr>
        <w:t xml:space="preserve"> mostly</w:t>
      </w:r>
      <w:r w:rsidR="00F30FEF" w:rsidRPr="00347E5F">
        <w:rPr>
          <w:rStyle w:val="google-src-text"/>
          <w:rFonts w:ascii="Times New Roman" w:hAnsi="Times New Roman"/>
          <w:sz w:val="24"/>
        </w:rPr>
        <w:t xml:space="preserve"> in terms of stability</w:t>
      </w:r>
      <w:r w:rsidR="00735143" w:rsidRPr="00347E5F">
        <w:rPr>
          <w:rStyle w:val="google-src-text"/>
          <w:rFonts w:ascii="Times New Roman" w:hAnsi="Times New Roman"/>
          <w:sz w:val="24"/>
        </w:rPr>
        <w:t xml:space="preserve">, </w:t>
      </w:r>
      <w:r w:rsidR="00F30FEF" w:rsidRPr="00347E5F">
        <w:rPr>
          <w:rStyle w:val="google-src-text"/>
          <w:rFonts w:ascii="Times New Roman" w:hAnsi="Times New Roman"/>
          <w:sz w:val="24"/>
        </w:rPr>
        <w:t xml:space="preserve">efficiency and </w:t>
      </w:r>
      <w:r w:rsidR="00735143" w:rsidRPr="00347E5F">
        <w:rPr>
          <w:rStyle w:val="google-src-text"/>
          <w:rFonts w:ascii="Times New Roman" w:hAnsi="Times New Roman"/>
          <w:sz w:val="24"/>
        </w:rPr>
        <w:t xml:space="preserve">less in terms of competition, the latter being rather an outcome of the performance level. </w:t>
      </w:r>
    </w:p>
    <w:p w14:paraId="7FB29247" w14:textId="00A2BBA3" w:rsidR="008E5E25" w:rsidRPr="00347E5F" w:rsidRDefault="008E5E25" w:rsidP="00ED320D">
      <w:pPr>
        <w:pStyle w:val="Frspaiere"/>
        <w:jc w:val="both"/>
        <w:rPr>
          <w:rStyle w:val="google-src-text"/>
          <w:rFonts w:ascii="Times New Roman" w:hAnsi="Times New Roman"/>
          <w:sz w:val="24"/>
          <w:lang w:val="en-US"/>
        </w:rPr>
      </w:pPr>
    </w:p>
    <w:p w14:paraId="6277FBA3" w14:textId="5B96507B" w:rsidR="00735143" w:rsidRDefault="00735143" w:rsidP="00ED320D">
      <w:pPr>
        <w:pStyle w:val="Frspaiere"/>
        <w:numPr>
          <w:ilvl w:val="0"/>
          <w:numId w:val="10"/>
        </w:numPr>
        <w:jc w:val="both"/>
        <w:rPr>
          <w:rStyle w:val="google-src-text"/>
          <w:rFonts w:ascii="Times New Roman" w:hAnsi="Times New Roman"/>
          <w:b/>
          <w:bCs/>
          <w:sz w:val="24"/>
          <w:lang w:val="en-US"/>
        </w:rPr>
      </w:pPr>
      <w:r w:rsidRPr="00347E5F">
        <w:rPr>
          <w:rStyle w:val="google-src-text"/>
          <w:rFonts w:ascii="Times New Roman" w:hAnsi="Times New Roman"/>
          <w:b/>
          <w:bCs/>
          <w:sz w:val="24"/>
          <w:lang w:val="en-US"/>
        </w:rPr>
        <w:t>General aspects regardin</w:t>
      </w:r>
      <w:r w:rsidR="00347E5F">
        <w:rPr>
          <w:rStyle w:val="google-src-text"/>
          <w:rFonts w:ascii="Times New Roman" w:hAnsi="Times New Roman"/>
          <w:b/>
          <w:bCs/>
          <w:sz w:val="24"/>
          <w:lang w:val="en-US"/>
        </w:rPr>
        <w:t>g</w:t>
      </w:r>
      <w:r w:rsidRPr="00347E5F">
        <w:rPr>
          <w:rStyle w:val="google-src-text"/>
          <w:rFonts w:ascii="Times New Roman" w:hAnsi="Times New Roman"/>
          <w:b/>
          <w:bCs/>
          <w:sz w:val="24"/>
          <w:lang w:val="en-US"/>
        </w:rPr>
        <w:t xml:space="preserve"> the banking management concept</w:t>
      </w:r>
    </w:p>
    <w:p w14:paraId="309A6D34" w14:textId="77777777" w:rsidR="00D4612B" w:rsidRPr="00347E5F" w:rsidRDefault="00D4612B" w:rsidP="00D4612B">
      <w:pPr>
        <w:pStyle w:val="Frspaiere"/>
        <w:ind w:left="720"/>
        <w:jc w:val="both"/>
        <w:rPr>
          <w:rStyle w:val="google-src-text"/>
          <w:rFonts w:ascii="Times New Roman" w:hAnsi="Times New Roman"/>
          <w:b/>
          <w:bCs/>
          <w:sz w:val="24"/>
          <w:lang w:val="en-US"/>
        </w:rPr>
      </w:pPr>
    </w:p>
    <w:p w14:paraId="511F54D3" w14:textId="63AB962D" w:rsidR="00D228CC" w:rsidRPr="00347E5F" w:rsidRDefault="00D228CC" w:rsidP="00ED320D">
      <w:pPr>
        <w:pStyle w:val="PreformatatHTML"/>
        <w:ind w:firstLine="720"/>
        <w:jc w:val="both"/>
        <w:rPr>
          <w:rFonts w:ascii="Times New Roman" w:hAnsi="Times New Roman" w:cs="Times New Roman"/>
          <w:color w:val="202124"/>
          <w:sz w:val="24"/>
          <w:szCs w:val="24"/>
          <w:lang w:val="en-US"/>
        </w:rPr>
      </w:pPr>
      <w:r w:rsidRPr="00347E5F">
        <w:rPr>
          <w:rStyle w:val="y2iqfc"/>
          <w:rFonts w:ascii="Times New Roman" w:hAnsi="Times New Roman" w:cs="Times New Roman"/>
          <w:color w:val="202124"/>
          <w:sz w:val="24"/>
          <w:szCs w:val="24"/>
          <w:lang w:val="en-US"/>
        </w:rPr>
        <w:t>Financial performance management is a set of analytical methods, decision-making models and operational techniques that allow the bank to continuously and systematically strengthen its financial performance by adequately adapting its structures and functions to changes, both incremental and of major magnitude which the business environment receive.</w:t>
      </w:r>
    </w:p>
    <w:p w14:paraId="6A82E146" w14:textId="48AD1A88" w:rsidR="00D228CC" w:rsidRPr="00347E5F" w:rsidRDefault="00D228CC" w:rsidP="00ED320D">
      <w:pPr>
        <w:pStyle w:val="PreformatatHTML"/>
        <w:ind w:firstLine="720"/>
        <w:jc w:val="both"/>
        <w:rPr>
          <w:rStyle w:val="y2iqfc"/>
          <w:rFonts w:ascii="Times New Roman" w:hAnsi="Times New Roman" w:cs="Times New Roman"/>
          <w:color w:val="202124"/>
          <w:sz w:val="24"/>
          <w:szCs w:val="24"/>
          <w:lang w:val="en-US"/>
        </w:rPr>
      </w:pPr>
      <w:r w:rsidRPr="00347E5F">
        <w:rPr>
          <w:rStyle w:val="y2iqfc"/>
          <w:rFonts w:ascii="Times New Roman" w:hAnsi="Times New Roman" w:cs="Times New Roman"/>
          <w:color w:val="202124"/>
          <w:sz w:val="24"/>
          <w:szCs w:val="24"/>
          <w:lang w:val="en-US"/>
        </w:rPr>
        <w:t>The main components of the performance management are the analysis and evaluation of performance based on the financial situation and strategic planning of banking performance. Banking performance analysis can be performed based on bank income and expenses, and/or with the help of profitability and efficiency indicators, and strategic banking performance planning can be performed either at the level of the entire bank or at each organizational link, following both profitability, as well as bank costs.</w:t>
      </w:r>
    </w:p>
    <w:p w14:paraId="1168549E" w14:textId="3A093D41" w:rsidR="00D228CC" w:rsidRPr="00347E5F" w:rsidRDefault="00D228CC" w:rsidP="00ED320D">
      <w:pPr>
        <w:spacing w:before="0" w:after="0" w:line="240" w:lineRule="auto"/>
        <w:ind w:firstLine="720"/>
        <w:jc w:val="both"/>
        <w:rPr>
          <w:rFonts w:ascii="Times New Roman" w:hAnsi="Times New Roman"/>
          <w:sz w:val="24"/>
          <w:szCs w:val="24"/>
        </w:rPr>
      </w:pPr>
      <w:r w:rsidRPr="00347E5F">
        <w:rPr>
          <w:rStyle w:val="y2iqfc"/>
          <w:rFonts w:ascii="Times New Roman" w:hAnsi="Times New Roman"/>
          <w:color w:val="202124"/>
          <w:sz w:val="24"/>
          <w:szCs w:val="24"/>
        </w:rPr>
        <w:t>The management of banking performance, together with the management of banking assets and liabilities, must contribute to an increasingly efficient activity. There are several concepts regarding the organization of the banking performance management process.</w:t>
      </w:r>
    </w:p>
    <w:p w14:paraId="76FF660D" w14:textId="6272A833" w:rsidR="00C62E05" w:rsidRPr="00347E5F" w:rsidRDefault="00C62E05" w:rsidP="00ED320D">
      <w:pPr>
        <w:pStyle w:val="PreformatatHTML"/>
        <w:ind w:firstLine="720"/>
        <w:jc w:val="both"/>
        <w:rPr>
          <w:rStyle w:val="y2iqfc"/>
          <w:rFonts w:ascii="Times New Roman" w:hAnsi="Times New Roman" w:cs="Times New Roman"/>
          <w:color w:val="202124"/>
          <w:sz w:val="24"/>
          <w:szCs w:val="24"/>
          <w:lang w:val="en-US"/>
        </w:rPr>
      </w:pPr>
      <w:r w:rsidRPr="00347E5F">
        <w:rPr>
          <w:rStyle w:val="y2iqfc"/>
          <w:rFonts w:ascii="Times New Roman" w:hAnsi="Times New Roman" w:cs="Times New Roman"/>
          <w:color w:val="202124"/>
          <w:sz w:val="24"/>
          <w:szCs w:val="24"/>
          <w:lang w:val="en-US"/>
        </w:rPr>
        <w:t xml:space="preserve">The first one refers to how the banking performance should be pursued: at the level of the entire bank or ensuring it at each organizational link. It is beneficial to organize the performance </w:t>
      </w:r>
      <w:r w:rsidRPr="00347E5F">
        <w:rPr>
          <w:rStyle w:val="y2iqfc"/>
          <w:rFonts w:ascii="Times New Roman" w:hAnsi="Times New Roman" w:cs="Times New Roman"/>
          <w:color w:val="202124"/>
          <w:sz w:val="24"/>
          <w:szCs w:val="24"/>
          <w:lang w:val="en-US"/>
        </w:rPr>
        <w:lastRenderedPageBreak/>
        <w:t>on each banking unit, and at the central level, on separate departments. The option of organizing a bank in the form of profit centers allows measuring the financial contribution of each business center through appropriate and specific indicators of costs and profitability.</w:t>
      </w:r>
    </w:p>
    <w:p w14:paraId="08927E2E" w14:textId="471D5F90" w:rsidR="00C62E05" w:rsidRPr="00347E5F" w:rsidRDefault="00C62E05" w:rsidP="00ED320D">
      <w:pPr>
        <w:pStyle w:val="NormalWeb"/>
        <w:spacing w:before="0" w:beforeAutospacing="0" w:after="0" w:afterAutospacing="0"/>
        <w:ind w:left="0" w:firstLine="720"/>
        <w:jc w:val="both"/>
        <w:rPr>
          <w:rFonts w:ascii="Times New Roman" w:hAnsi="Times New Roman"/>
          <w:color w:val="auto"/>
          <w:sz w:val="24"/>
          <w:lang w:val="en-US"/>
        </w:rPr>
      </w:pPr>
      <w:r w:rsidRPr="00347E5F">
        <w:rPr>
          <w:rStyle w:val="y2iqfc"/>
          <w:rFonts w:ascii="Times New Roman" w:hAnsi="Times New Roman"/>
          <w:color w:val="202124"/>
          <w:sz w:val="24"/>
          <w:lang w:val="en-US"/>
        </w:rPr>
        <w:t>The second concept, refers to the way of setting up the planning, determination, analysis and corrections brought to the bank's performances, by establishing models for expressing the bank's performance. Profitability models include all forms of income - interest, commissions, taxes, other income - and all expenses - interest, wages, equipment, depreciation of assets, provisions for loans and losses - that belong to each profit center. Therefore, an important role of the profitability model is that of solving the cost of resources.</w:t>
      </w:r>
    </w:p>
    <w:p w14:paraId="2360F433" w14:textId="77777777" w:rsidR="0085459C" w:rsidRPr="00347E5F" w:rsidRDefault="0085459C" w:rsidP="00ED320D">
      <w:pPr>
        <w:autoSpaceDE w:val="0"/>
        <w:autoSpaceDN w:val="0"/>
        <w:adjustRightInd w:val="0"/>
        <w:spacing w:before="0" w:after="0" w:line="240" w:lineRule="auto"/>
        <w:ind w:left="720"/>
        <w:jc w:val="both"/>
        <w:rPr>
          <w:rFonts w:ascii="Times New Roman" w:hAnsi="Times New Roman"/>
          <w:b/>
          <w:sz w:val="24"/>
          <w:szCs w:val="24"/>
          <w:lang w:eastAsia="ro-RO"/>
        </w:rPr>
      </w:pPr>
    </w:p>
    <w:p w14:paraId="639E621E" w14:textId="2F5C3AA9" w:rsidR="0075428C" w:rsidRDefault="00F24EB1" w:rsidP="00ED320D">
      <w:pPr>
        <w:pStyle w:val="Listparagraf"/>
        <w:numPr>
          <w:ilvl w:val="0"/>
          <w:numId w:val="9"/>
        </w:numPr>
        <w:autoSpaceDE w:val="0"/>
        <w:autoSpaceDN w:val="0"/>
        <w:adjustRightInd w:val="0"/>
        <w:spacing w:before="0" w:after="0" w:line="240" w:lineRule="auto"/>
        <w:jc w:val="both"/>
        <w:rPr>
          <w:rFonts w:ascii="Times New Roman" w:hAnsi="Times New Roman"/>
          <w:b/>
          <w:sz w:val="24"/>
          <w:szCs w:val="24"/>
          <w:lang w:eastAsia="ro-RO"/>
        </w:rPr>
      </w:pPr>
      <w:r w:rsidRPr="00F24EB1">
        <w:rPr>
          <w:rFonts w:ascii="Times New Roman" w:hAnsi="Times New Roman"/>
          <w:b/>
          <w:sz w:val="24"/>
          <w:szCs w:val="24"/>
          <w:lang w:eastAsia="ro-RO"/>
        </w:rPr>
        <w:t>INDICATORS FOR ASSESSING PERFORMANCE IN BANKS</w:t>
      </w:r>
    </w:p>
    <w:p w14:paraId="004325E9" w14:textId="77777777" w:rsidR="00D4612B" w:rsidRPr="00D4612B" w:rsidRDefault="00D4612B" w:rsidP="00D4612B">
      <w:pPr>
        <w:autoSpaceDE w:val="0"/>
        <w:autoSpaceDN w:val="0"/>
        <w:adjustRightInd w:val="0"/>
        <w:spacing w:before="0" w:after="0" w:line="240" w:lineRule="auto"/>
        <w:ind w:left="720"/>
        <w:jc w:val="both"/>
        <w:rPr>
          <w:rFonts w:ascii="Times New Roman" w:hAnsi="Times New Roman"/>
          <w:b/>
          <w:sz w:val="24"/>
          <w:szCs w:val="24"/>
          <w:lang w:eastAsia="ro-RO"/>
        </w:rPr>
      </w:pPr>
    </w:p>
    <w:p w14:paraId="5D78C313" w14:textId="52ED1175" w:rsidR="00C62E05" w:rsidRPr="00347E5F" w:rsidRDefault="00C62E05" w:rsidP="00ED320D">
      <w:pPr>
        <w:pStyle w:val="PreformatatHTML"/>
        <w:ind w:firstLine="720"/>
        <w:jc w:val="both"/>
        <w:rPr>
          <w:rFonts w:ascii="Times New Roman" w:hAnsi="Times New Roman" w:cs="Times New Roman"/>
          <w:color w:val="202124"/>
          <w:sz w:val="24"/>
          <w:szCs w:val="24"/>
          <w:lang w:val="en-US"/>
        </w:rPr>
      </w:pPr>
      <w:r w:rsidRPr="00347E5F">
        <w:rPr>
          <w:rStyle w:val="y2iqfc"/>
          <w:rFonts w:ascii="Times New Roman" w:hAnsi="Times New Roman" w:cs="Times New Roman"/>
          <w:color w:val="202124"/>
          <w:sz w:val="24"/>
          <w:szCs w:val="24"/>
          <w:lang w:val="en-US"/>
        </w:rPr>
        <w:t xml:space="preserve">The financial viability and institutional shortcomings of a bank are also determined by financial assessments, extensive portfolio analysis, an assessment of the bank's overall risk profile. Based on the profit obtained, banks can quantify performance using a system of banking performance indicators. The indicators for assessing the banking performance have a great expressiveness, reflecting a lot of aspects: the degree of profit generation, the operational and managerial efficiency, etc. (Nedelescu M., Bunescu P., 2017). In the literature, banking performance is expressed by indicators of profitability and indicators of financial soundness or risk. (Apătăchioaie A., 2015). The traditional indicators used for </w:t>
      </w:r>
      <w:r w:rsidR="00AB109A" w:rsidRPr="00347E5F">
        <w:rPr>
          <w:rStyle w:val="y2iqfc"/>
          <w:rFonts w:ascii="Times New Roman" w:hAnsi="Times New Roman" w:cs="Times New Roman"/>
          <w:color w:val="202124"/>
          <w:sz w:val="24"/>
          <w:szCs w:val="24"/>
          <w:lang w:val="en-US"/>
        </w:rPr>
        <w:t xml:space="preserve">bank’s </w:t>
      </w:r>
      <w:r w:rsidRPr="00347E5F">
        <w:rPr>
          <w:rStyle w:val="y2iqfc"/>
          <w:rFonts w:ascii="Times New Roman" w:hAnsi="Times New Roman" w:cs="Times New Roman"/>
          <w:color w:val="202124"/>
          <w:sz w:val="24"/>
          <w:szCs w:val="24"/>
          <w:lang w:val="en-US"/>
        </w:rPr>
        <w:t xml:space="preserve">performance analysis </w:t>
      </w:r>
      <w:r w:rsidR="00AB109A" w:rsidRPr="00347E5F">
        <w:rPr>
          <w:rStyle w:val="y2iqfc"/>
          <w:rFonts w:ascii="Times New Roman" w:hAnsi="Times New Roman" w:cs="Times New Roman"/>
          <w:color w:val="202124"/>
          <w:sz w:val="24"/>
          <w:szCs w:val="24"/>
          <w:lang w:val="en-US"/>
        </w:rPr>
        <w:t xml:space="preserve">are </w:t>
      </w:r>
      <w:r w:rsidR="00AB109A" w:rsidRPr="00347E5F">
        <w:rPr>
          <w:rFonts w:ascii="Times New Roman" w:hAnsi="Times New Roman"/>
          <w:bCs/>
          <w:iCs/>
          <w:sz w:val="24"/>
          <w:szCs w:val="24"/>
          <w:lang w:val="en-US"/>
        </w:rPr>
        <w:t>return on assets and return on equity.</w:t>
      </w:r>
    </w:p>
    <w:p w14:paraId="5A658F13" w14:textId="275C2566" w:rsidR="00AB109A" w:rsidRPr="00347E5F" w:rsidRDefault="00AB109A" w:rsidP="00ED320D">
      <w:pPr>
        <w:pStyle w:val="PreformatatHTML"/>
        <w:ind w:firstLine="720"/>
        <w:jc w:val="both"/>
        <w:rPr>
          <w:rFonts w:ascii="Times New Roman" w:hAnsi="Times New Roman" w:cs="Times New Roman"/>
          <w:color w:val="202124"/>
          <w:sz w:val="24"/>
          <w:szCs w:val="24"/>
          <w:lang w:val="en-US"/>
        </w:rPr>
      </w:pPr>
      <w:r w:rsidRPr="00347E5F">
        <w:rPr>
          <w:rStyle w:val="y2iqfc"/>
          <w:rFonts w:ascii="Times New Roman" w:hAnsi="Times New Roman" w:cs="Times New Roman"/>
          <w:color w:val="202124"/>
          <w:sz w:val="24"/>
          <w:szCs w:val="24"/>
          <w:lang w:val="en-US"/>
        </w:rPr>
        <w:t xml:space="preserve">The </w:t>
      </w:r>
      <w:r w:rsidRPr="00FA4751">
        <w:rPr>
          <w:rStyle w:val="y2iqfc"/>
          <w:rFonts w:ascii="Times New Roman" w:hAnsi="Times New Roman" w:cs="Times New Roman"/>
          <w:color w:val="202124"/>
          <w:sz w:val="24"/>
          <w:szCs w:val="24"/>
          <w:lang w:val="en-US"/>
        </w:rPr>
        <w:t>economic rate of return on assets or return on assets</w:t>
      </w:r>
      <w:r w:rsidRPr="00347E5F">
        <w:rPr>
          <w:rStyle w:val="y2iqfc"/>
          <w:rFonts w:ascii="Times New Roman" w:hAnsi="Times New Roman" w:cs="Times New Roman"/>
          <w:color w:val="202124"/>
          <w:sz w:val="24"/>
          <w:szCs w:val="24"/>
          <w:lang w:val="en-US"/>
        </w:rPr>
        <w:t xml:space="preserve"> indicates the share of net profit in assets at average value and expresses the net result as a performance of asset management, given a given volume of resources. This indicator varies between 0.5% and over 5%. A decreasing evolution shows that the bank has difficulties in generating revenues, so it must be increasing. (Riadi S., 2018).</w:t>
      </w:r>
    </w:p>
    <w:p w14:paraId="44567C31" w14:textId="15138A3B" w:rsidR="00B00C4D" w:rsidRPr="00347E5F" w:rsidRDefault="00AB109A" w:rsidP="00ED320D">
      <w:pPr>
        <w:pStyle w:val="PreformatatHTML"/>
        <w:ind w:firstLine="720"/>
        <w:jc w:val="both"/>
        <w:rPr>
          <w:rFonts w:ascii="Times New Roman" w:hAnsi="Times New Roman" w:cs="Times New Roman"/>
          <w:color w:val="202124"/>
          <w:sz w:val="24"/>
          <w:szCs w:val="24"/>
          <w:lang w:val="en-US"/>
        </w:rPr>
      </w:pPr>
      <w:r w:rsidRPr="00FA4751">
        <w:rPr>
          <w:rStyle w:val="y2iqfc"/>
          <w:rFonts w:ascii="Times New Roman" w:hAnsi="Times New Roman" w:cs="Times New Roman"/>
          <w:color w:val="202124"/>
          <w:sz w:val="24"/>
          <w:szCs w:val="24"/>
          <w:lang w:val="en-US"/>
        </w:rPr>
        <w:t>Financial profitability or return on equity</w:t>
      </w:r>
      <w:r w:rsidRPr="00347E5F">
        <w:rPr>
          <w:rStyle w:val="y2iqfc"/>
          <w:rFonts w:ascii="Times New Roman" w:hAnsi="Times New Roman" w:cs="Times New Roman"/>
          <w:color w:val="202124"/>
          <w:sz w:val="24"/>
          <w:szCs w:val="24"/>
          <w:lang w:val="en-US"/>
        </w:rPr>
        <w:t xml:space="preserve"> expresses the ratio between net profit and equity at average value, and reflects the efficiency with which management uses the capital invested in the shareholder bank to optimize profit (Apătăchioaie A., 2015), but at the same time measures the time needed for the shareholders to recover the investment. The calculation formula shows that the lower the equity, the higher the ROE, therefore, the bank's shareholders may not want to own too much equity. (Petersen M., Schoeman I., 2008). In the case of banks, a normal margin of this indicator is estimated to be between the significant thresholds of 10% and 30%. A severe disadvantage of this indicator is the ignorance of return risks, because according to modern capital market theory, the rate of return must be adjusted according to the risks taken to facilitate the comparison of different investor options of an investor. (Werner K., Moormann j., 2009). The Basel Accord imposed minimum capital requirements on banks. The restrictive nature of the legal minimum capital could cause banks to change their business strategy in favor of activities and assets that require lower capital requirements. (Greuning H., Brajovic Bratanovic S, 2003)</w:t>
      </w:r>
    </w:p>
    <w:p w14:paraId="4FE6B88B" w14:textId="6B646161" w:rsidR="00C50F03" w:rsidRPr="00347E5F" w:rsidRDefault="00C50F03" w:rsidP="00ED320D">
      <w:pPr>
        <w:spacing w:before="0" w:after="0" w:line="240" w:lineRule="auto"/>
        <w:ind w:firstLine="720"/>
        <w:jc w:val="both"/>
        <w:rPr>
          <w:rStyle w:val="y2iqfc"/>
          <w:rFonts w:ascii="Times New Roman" w:hAnsi="Times New Roman"/>
          <w:color w:val="202124"/>
          <w:sz w:val="24"/>
          <w:szCs w:val="24"/>
        </w:rPr>
      </w:pPr>
      <w:r w:rsidRPr="00347E5F">
        <w:rPr>
          <w:rStyle w:val="y2iqfc"/>
          <w:rFonts w:ascii="Times New Roman" w:hAnsi="Times New Roman"/>
          <w:color w:val="202124"/>
          <w:sz w:val="24"/>
          <w:szCs w:val="24"/>
        </w:rPr>
        <w:t>Each bank carrying out its banking activity aims to cover all expenses incurred for interest paid on the resources attracted to be covered by interest income, commissions, collected for investments made in particular in loans. In order to remain profitable, the difference between them must be greater, in order to be able to cover both the operating expenses and those with the operation of the bank (operational). For good performance management, banks must obtain an optimal relationship in the structure of its expenditures and, first of all, between the costs of resources and the general operating costs of the bank, in order to avoid diminishing profitability through exaggerated costs in this category of expenditures. Niţu I. (2000) considers that "situations in which an expense with the operation of the bank could in itself lead to a decrease in profitability should be avoided and excluded."</w:t>
      </w:r>
    </w:p>
    <w:p w14:paraId="64DDCBA8" w14:textId="3BD95D11" w:rsidR="00C50F03" w:rsidRDefault="00C50F03" w:rsidP="00ED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20"/>
        <w:jc w:val="both"/>
        <w:rPr>
          <w:rFonts w:ascii="Times New Roman" w:hAnsi="Times New Roman"/>
          <w:color w:val="202124"/>
          <w:sz w:val="24"/>
          <w:szCs w:val="24"/>
          <w:lang w:eastAsia="ro-RO" w:bidi="ar-SA"/>
        </w:rPr>
      </w:pPr>
      <w:r w:rsidRPr="00347E5F">
        <w:rPr>
          <w:rFonts w:ascii="Times New Roman" w:hAnsi="Times New Roman"/>
          <w:color w:val="202124"/>
          <w:sz w:val="24"/>
          <w:szCs w:val="24"/>
          <w:lang w:eastAsia="ro-RO" w:bidi="ar-SA"/>
        </w:rPr>
        <w:t xml:space="preserve">In order to prevent such situations, the banks analyze the efficiency of the operating activity in terms of the level of the cost / income indicator (activity cost) determined as a ratio between the total operating expenses and the total operating income. This indicator reflects the degree to which </w:t>
      </w:r>
      <w:r w:rsidRPr="00347E5F">
        <w:rPr>
          <w:rFonts w:ascii="Times New Roman" w:hAnsi="Times New Roman"/>
          <w:color w:val="202124"/>
          <w:sz w:val="24"/>
          <w:szCs w:val="24"/>
          <w:lang w:eastAsia="ro-RO" w:bidi="ar-SA"/>
        </w:rPr>
        <w:lastRenderedPageBreak/>
        <w:t>the revenues generated are used to cover the bank's expenses and must be as low as possible to show an efficient banking activity. The literature argues that the lower the ratio of operating expenses to total assets, the more efficient a bank is. (Staikouras C. Mamatzakis E. and Koutsomanoli-Filippaki A. 2008)</w:t>
      </w:r>
    </w:p>
    <w:p w14:paraId="1CD4171D" w14:textId="77777777" w:rsidR="00663C94" w:rsidRPr="00347E5F" w:rsidRDefault="00663C94" w:rsidP="00ED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20"/>
        <w:jc w:val="both"/>
        <w:rPr>
          <w:rFonts w:ascii="Times New Roman" w:hAnsi="Times New Roman"/>
          <w:color w:val="202124"/>
          <w:sz w:val="24"/>
          <w:szCs w:val="24"/>
          <w:lang w:eastAsia="ro-RO" w:bidi="ar-SA"/>
        </w:rPr>
      </w:pPr>
    </w:p>
    <w:p w14:paraId="431AD0E1" w14:textId="54571B7B" w:rsidR="00DA3C35" w:rsidRDefault="006156E7" w:rsidP="00ED320D">
      <w:pPr>
        <w:pStyle w:val="Listparagraf"/>
        <w:numPr>
          <w:ilvl w:val="0"/>
          <w:numId w:val="9"/>
        </w:numPr>
        <w:spacing w:before="0" w:after="0" w:line="240" w:lineRule="auto"/>
        <w:jc w:val="both"/>
        <w:rPr>
          <w:rFonts w:ascii="Times New Roman" w:hAnsi="Times New Roman"/>
          <w:b/>
          <w:bCs/>
          <w:sz w:val="24"/>
          <w:szCs w:val="24"/>
        </w:rPr>
      </w:pPr>
      <w:r w:rsidRPr="00347E5F">
        <w:rPr>
          <w:rFonts w:ascii="Times New Roman" w:hAnsi="Times New Roman"/>
          <w:b/>
          <w:bCs/>
          <w:sz w:val="24"/>
          <w:szCs w:val="24"/>
        </w:rPr>
        <w:t>A</w:t>
      </w:r>
      <w:r w:rsidR="00C50F03" w:rsidRPr="00347E5F">
        <w:rPr>
          <w:rFonts w:ascii="Times New Roman" w:hAnsi="Times New Roman"/>
          <w:b/>
          <w:bCs/>
          <w:sz w:val="24"/>
          <w:szCs w:val="24"/>
        </w:rPr>
        <w:t>nalysis of statistical data on</w:t>
      </w:r>
      <w:r w:rsidRPr="00347E5F">
        <w:rPr>
          <w:rFonts w:ascii="Times New Roman" w:hAnsi="Times New Roman"/>
          <w:b/>
          <w:bCs/>
          <w:sz w:val="24"/>
          <w:szCs w:val="24"/>
        </w:rPr>
        <w:t xml:space="preserve"> </w:t>
      </w:r>
      <w:r w:rsidR="00C50F03" w:rsidRPr="00347E5F">
        <w:rPr>
          <w:rFonts w:ascii="Times New Roman" w:hAnsi="Times New Roman"/>
          <w:b/>
          <w:bCs/>
          <w:sz w:val="24"/>
          <w:szCs w:val="24"/>
        </w:rPr>
        <w:t>banking performance indicators</w:t>
      </w:r>
    </w:p>
    <w:p w14:paraId="2CC62277" w14:textId="77777777" w:rsidR="00D4612B" w:rsidRPr="00D4612B" w:rsidRDefault="00D4612B" w:rsidP="00D4612B">
      <w:pPr>
        <w:spacing w:before="0" w:after="0" w:line="240" w:lineRule="auto"/>
        <w:ind w:left="720"/>
        <w:jc w:val="both"/>
        <w:rPr>
          <w:rFonts w:ascii="Times New Roman" w:hAnsi="Times New Roman"/>
          <w:b/>
          <w:bCs/>
          <w:sz w:val="24"/>
          <w:szCs w:val="24"/>
        </w:rPr>
      </w:pPr>
    </w:p>
    <w:p w14:paraId="1FEADAB7" w14:textId="1500DCAA" w:rsidR="00591D46" w:rsidRPr="00347E5F" w:rsidRDefault="00591D46" w:rsidP="00ED320D">
      <w:pPr>
        <w:spacing w:before="0" w:after="0" w:line="240" w:lineRule="auto"/>
        <w:ind w:firstLine="720"/>
        <w:jc w:val="both"/>
        <w:rPr>
          <w:rFonts w:ascii="Times New Roman" w:hAnsi="Times New Roman"/>
          <w:sz w:val="24"/>
          <w:szCs w:val="24"/>
        </w:rPr>
      </w:pPr>
      <w:r w:rsidRPr="00347E5F">
        <w:rPr>
          <w:rStyle w:val="y2iqfc"/>
          <w:rFonts w:ascii="Times New Roman" w:hAnsi="Times New Roman"/>
          <w:color w:val="202124"/>
          <w:sz w:val="24"/>
          <w:szCs w:val="24"/>
          <w:shd w:val="clear" w:color="auto" w:fill="FFFFFF" w:themeFill="background1"/>
        </w:rPr>
        <w:t>There are many analysis models of banks and other entities. Indicators are a basic tool for financial analysts and are essential for examining the efficiency of the banking management process, but also the risks associated with this activity. Changes over time in indicators provide a dynamic view of the performance of a bank or a banking system. Charts are powerful tools for analyzing trends and structures. They facilitate the comparison of performance and structures over periods of time, offering trend lines, but also the main changes in the evolution of indicators. Many factors can influence the profitability of a bank, but when analyzing banking performance we must take into account the economic environment, but also the regulatory framework in which the bank operates. Pasiouras F. and Kosmidou K (2007) found in their study, that the profitability of banks is affected not only by the specific characteristics of the bank, but also by the structure of the financial market and macroeconomic conditions. An unstable macroeconomic environment, with non-unitary economic performance, exchange rate fluctuations, rising inflation, is the main cause of financial system instability. In some cases, inflation can increase operating costs faster than revenues. The rapid increase in the inflation rate and the deterioration of the inflation outlook have necessitated an increase in the monetary policy rate. Low profitability can be both a consequence and a cause of the weak economic environment, at least for some countries, affecting the ability of banks to finance that country's economy. (KPMG, 2016).</w:t>
      </w:r>
    </w:p>
    <w:p w14:paraId="78BD05D9" w14:textId="5D1E35B4" w:rsidR="00AF3984" w:rsidRPr="00347E5F" w:rsidRDefault="00AF3984" w:rsidP="00ED320D">
      <w:pPr>
        <w:spacing w:before="0" w:after="0" w:line="240" w:lineRule="auto"/>
        <w:ind w:firstLine="720"/>
        <w:jc w:val="both"/>
        <w:rPr>
          <w:rFonts w:ascii="Times New Roman" w:hAnsi="Times New Roman"/>
          <w:b/>
          <w:bCs/>
          <w:sz w:val="24"/>
          <w:szCs w:val="24"/>
        </w:rPr>
      </w:pPr>
    </w:p>
    <w:p w14:paraId="3B37549B" w14:textId="2F63142C" w:rsidR="006156E7" w:rsidRDefault="00AB6991" w:rsidP="00ED320D">
      <w:pPr>
        <w:pStyle w:val="Listparagraf"/>
        <w:numPr>
          <w:ilvl w:val="1"/>
          <w:numId w:val="9"/>
        </w:numPr>
        <w:spacing w:before="0" w:after="0" w:line="240" w:lineRule="auto"/>
        <w:jc w:val="both"/>
        <w:rPr>
          <w:rFonts w:ascii="Times New Roman" w:hAnsi="Times New Roman"/>
          <w:b/>
          <w:bCs/>
          <w:sz w:val="24"/>
          <w:szCs w:val="24"/>
        </w:rPr>
      </w:pPr>
      <w:r w:rsidRPr="00347E5F">
        <w:rPr>
          <w:rFonts w:ascii="Times New Roman" w:hAnsi="Times New Roman"/>
          <w:b/>
          <w:bCs/>
          <w:sz w:val="24"/>
          <w:szCs w:val="24"/>
        </w:rPr>
        <w:t xml:space="preserve"> </w:t>
      </w:r>
      <w:r w:rsidR="006156E7" w:rsidRPr="00347E5F">
        <w:rPr>
          <w:rFonts w:ascii="Times New Roman" w:hAnsi="Times New Roman"/>
          <w:b/>
          <w:bCs/>
          <w:sz w:val="24"/>
          <w:szCs w:val="24"/>
        </w:rPr>
        <w:t>Methodology and data</w:t>
      </w:r>
    </w:p>
    <w:p w14:paraId="0709AE2F" w14:textId="77777777" w:rsidR="00D4612B" w:rsidRPr="00D4612B" w:rsidRDefault="00D4612B" w:rsidP="00D4612B">
      <w:pPr>
        <w:spacing w:before="0" w:after="0" w:line="240" w:lineRule="auto"/>
        <w:ind w:left="720"/>
        <w:jc w:val="both"/>
        <w:rPr>
          <w:rFonts w:ascii="Times New Roman" w:hAnsi="Times New Roman"/>
          <w:b/>
          <w:bCs/>
          <w:sz w:val="24"/>
          <w:szCs w:val="24"/>
        </w:rPr>
      </w:pPr>
    </w:p>
    <w:p w14:paraId="75007228" w14:textId="661DF663" w:rsidR="00DA3C35" w:rsidRPr="00347E5F" w:rsidRDefault="00735143" w:rsidP="00ED320D">
      <w:pPr>
        <w:spacing w:before="0" w:after="0" w:line="240" w:lineRule="auto"/>
        <w:ind w:firstLine="720"/>
        <w:jc w:val="both"/>
        <w:rPr>
          <w:rFonts w:ascii="Times New Roman" w:hAnsi="Times New Roman"/>
          <w:sz w:val="24"/>
          <w:szCs w:val="24"/>
        </w:rPr>
      </w:pPr>
      <w:r w:rsidRPr="00347E5F">
        <w:rPr>
          <w:rFonts w:ascii="Times New Roman" w:hAnsi="Times New Roman"/>
          <w:sz w:val="24"/>
          <w:szCs w:val="24"/>
        </w:rPr>
        <w:t>In order to assess the Romanian banking system</w:t>
      </w:r>
      <w:r w:rsidR="0034363E" w:rsidRPr="00347E5F">
        <w:rPr>
          <w:rFonts w:ascii="Times New Roman" w:hAnsi="Times New Roman"/>
          <w:sz w:val="24"/>
          <w:szCs w:val="24"/>
        </w:rPr>
        <w:t xml:space="preserve"> and other UE countries banking systems taking into account the banking </w:t>
      </w:r>
      <w:r w:rsidR="00643116" w:rsidRPr="00347E5F">
        <w:rPr>
          <w:rFonts w:ascii="Times New Roman" w:hAnsi="Times New Roman"/>
          <w:sz w:val="24"/>
          <w:szCs w:val="24"/>
        </w:rPr>
        <w:t>performance</w:t>
      </w:r>
      <w:r w:rsidR="0034363E" w:rsidRPr="00347E5F">
        <w:rPr>
          <w:rFonts w:ascii="Times New Roman" w:hAnsi="Times New Roman"/>
          <w:sz w:val="24"/>
          <w:szCs w:val="24"/>
        </w:rPr>
        <w:t xml:space="preserve"> indicators, we have used </w:t>
      </w:r>
      <w:r w:rsidR="00B534E4" w:rsidRPr="00347E5F">
        <w:rPr>
          <w:rFonts w:ascii="Times New Roman" w:hAnsi="Times New Roman"/>
          <w:sz w:val="24"/>
          <w:szCs w:val="24"/>
        </w:rPr>
        <w:t xml:space="preserve">a set of statistic data collecting methods and we have charted the data. The data is available on European Bank Central site, and for interpretation we have took account of </w:t>
      </w:r>
      <w:r w:rsidR="00603844">
        <w:rPr>
          <w:rFonts w:ascii="Times New Roman" w:hAnsi="Times New Roman"/>
          <w:sz w:val="24"/>
          <w:szCs w:val="24"/>
          <w:lang w:val="ro-RO"/>
        </w:rPr>
        <w:t>key risc indicators</w:t>
      </w:r>
      <w:r w:rsidR="00603844" w:rsidRPr="00347E5F">
        <w:rPr>
          <w:rFonts w:ascii="Times New Roman" w:hAnsi="Times New Roman"/>
          <w:sz w:val="24"/>
          <w:szCs w:val="24"/>
        </w:rPr>
        <w:t xml:space="preserve"> </w:t>
      </w:r>
      <w:r w:rsidR="00D30923" w:rsidRPr="00347E5F">
        <w:rPr>
          <w:rFonts w:ascii="Times New Roman" w:hAnsi="Times New Roman"/>
          <w:sz w:val="24"/>
          <w:szCs w:val="24"/>
        </w:rPr>
        <w:t xml:space="preserve">set up by in 2015 the </w:t>
      </w:r>
      <w:r w:rsidR="00B74492" w:rsidRPr="00347E5F">
        <w:rPr>
          <w:rFonts w:ascii="Times New Roman" w:hAnsi="Times New Roman"/>
          <w:sz w:val="24"/>
          <w:szCs w:val="24"/>
        </w:rPr>
        <w:t>European</w:t>
      </w:r>
      <w:r w:rsidR="00D30923" w:rsidRPr="00347E5F">
        <w:rPr>
          <w:rFonts w:ascii="Times New Roman" w:hAnsi="Times New Roman"/>
          <w:sz w:val="24"/>
          <w:szCs w:val="24"/>
        </w:rPr>
        <w:t xml:space="preserve"> Banking Authority for the indicators describing the banking profitability. This </w:t>
      </w:r>
      <w:r w:rsidR="00F941A1" w:rsidRPr="00347E5F">
        <w:rPr>
          <w:rFonts w:ascii="Times New Roman" w:hAnsi="Times New Roman"/>
          <w:sz w:val="24"/>
          <w:szCs w:val="24"/>
        </w:rPr>
        <w:t>analysis includes information collected using a sample of 14 UE banks (11 of EU and 3 of non EU member states: Romania, Cyprus and Poland). The average values of the indicators (taken from EBC reports) were compared for the two groups.</w:t>
      </w:r>
    </w:p>
    <w:p w14:paraId="5F7BEB18" w14:textId="45F16794" w:rsidR="00344623" w:rsidRPr="00347E5F" w:rsidRDefault="005853E4" w:rsidP="00A50CA0">
      <w:pPr>
        <w:spacing w:before="0" w:after="0" w:line="240" w:lineRule="auto"/>
        <w:ind w:firstLine="720"/>
        <w:jc w:val="both"/>
        <w:rPr>
          <w:rFonts w:ascii="Times New Roman" w:hAnsi="Times New Roman"/>
          <w:sz w:val="24"/>
          <w:szCs w:val="24"/>
        </w:rPr>
      </w:pPr>
      <w:r w:rsidRPr="00347E5F">
        <w:rPr>
          <w:rFonts w:ascii="Times New Roman" w:hAnsi="Times New Roman"/>
          <w:sz w:val="24"/>
          <w:szCs w:val="24"/>
        </w:rPr>
        <w:t xml:space="preserve">The total amount of assets belonging to UE banks increased in 2019 with 3 trillions euro compared with 2018, after a few years of </w:t>
      </w:r>
      <w:r w:rsidR="00643116" w:rsidRPr="00347E5F">
        <w:rPr>
          <w:rFonts w:ascii="Times New Roman" w:hAnsi="Times New Roman"/>
          <w:sz w:val="24"/>
          <w:szCs w:val="24"/>
        </w:rPr>
        <w:t>successive</w:t>
      </w:r>
      <w:r w:rsidRPr="00347E5F">
        <w:rPr>
          <w:rFonts w:ascii="Times New Roman" w:hAnsi="Times New Roman"/>
          <w:sz w:val="24"/>
          <w:szCs w:val="24"/>
        </w:rPr>
        <w:t xml:space="preserve"> decrease. Nevertheless, starting with 2008, the number of UE banks decreased </w:t>
      </w:r>
      <w:r w:rsidR="00643116" w:rsidRPr="00347E5F">
        <w:rPr>
          <w:rFonts w:ascii="Times New Roman" w:hAnsi="Times New Roman"/>
          <w:sz w:val="24"/>
          <w:szCs w:val="24"/>
        </w:rPr>
        <w:t>continuously</w:t>
      </w:r>
      <w:r w:rsidRPr="00347E5F">
        <w:rPr>
          <w:rFonts w:ascii="Times New Roman" w:hAnsi="Times New Roman"/>
          <w:sz w:val="24"/>
          <w:szCs w:val="24"/>
        </w:rPr>
        <w:t xml:space="preserve"> as a results of banking mergers (EFB, 2019).</w:t>
      </w:r>
      <w:r w:rsidR="00344623" w:rsidRPr="00347E5F">
        <w:rPr>
          <w:rFonts w:ascii="Times New Roman" w:hAnsi="Times New Roman"/>
          <w:sz w:val="24"/>
          <w:szCs w:val="24"/>
        </w:rPr>
        <w:t xml:space="preserve"> </w:t>
      </w:r>
    </w:p>
    <w:p w14:paraId="512AF1E3" w14:textId="100F49DC" w:rsidR="006D20EF" w:rsidRPr="00347E5F" w:rsidRDefault="00643116" w:rsidP="00D4612B">
      <w:pPr>
        <w:spacing w:before="120" w:after="12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E04F6EC" wp14:editId="57A94BC4">
            <wp:extent cx="5664200" cy="213995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0" cy="2139950"/>
                    </a:xfrm>
                    <a:prstGeom prst="rect">
                      <a:avLst/>
                    </a:prstGeom>
                    <a:noFill/>
                    <a:ln>
                      <a:noFill/>
                    </a:ln>
                  </pic:spPr>
                </pic:pic>
              </a:graphicData>
            </a:graphic>
          </wp:inline>
        </w:drawing>
      </w:r>
    </w:p>
    <w:p w14:paraId="70ABA05C" w14:textId="1504837C" w:rsidR="0033323D" w:rsidRPr="00347E5F" w:rsidRDefault="006D20EF" w:rsidP="00643116">
      <w:pPr>
        <w:spacing w:before="0" w:after="0" w:line="240" w:lineRule="auto"/>
        <w:ind w:firstLine="720"/>
        <w:jc w:val="both"/>
        <w:rPr>
          <w:rFonts w:ascii="Times New Roman" w:hAnsi="Times New Roman"/>
          <w:sz w:val="24"/>
          <w:szCs w:val="24"/>
        </w:rPr>
      </w:pPr>
      <w:r w:rsidRPr="00347E5F">
        <w:rPr>
          <w:rFonts w:ascii="Times New Roman" w:hAnsi="Times New Roman"/>
          <w:sz w:val="24"/>
          <w:szCs w:val="24"/>
        </w:rPr>
        <w:lastRenderedPageBreak/>
        <w:t>Looking at Figure 1</w:t>
      </w:r>
      <w:r w:rsidR="00D140F8">
        <w:rPr>
          <w:rFonts w:ascii="Times New Roman" w:hAnsi="Times New Roman"/>
          <w:sz w:val="24"/>
          <w:szCs w:val="24"/>
        </w:rPr>
        <w:t xml:space="preserve"> and figure 2</w:t>
      </w:r>
      <w:r w:rsidRPr="00347E5F">
        <w:rPr>
          <w:rFonts w:ascii="Times New Roman" w:hAnsi="Times New Roman"/>
          <w:sz w:val="24"/>
          <w:szCs w:val="24"/>
        </w:rPr>
        <w:t xml:space="preserve">, one can observe that the state with the highest number of banks was Germany (25%), followed by Poland (11%), Austria and Italy (9% each). </w:t>
      </w:r>
      <w:r w:rsidR="003467AD" w:rsidRPr="00347E5F">
        <w:rPr>
          <w:rFonts w:ascii="Times New Roman" w:hAnsi="Times New Roman"/>
          <w:sz w:val="24"/>
          <w:szCs w:val="24"/>
        </w:rPr>
        <w:t>Performing an addition of the</w:t>
      </w:r>
      <w:r w:rsidRPr="00347E5F">
        <w:rPr>
          <w:rFonts w:ascii="Times New Roman" w:hAnsi="Times New Roman"/>
          <w:sz w:val="24"/>
          <w:szCs w:val="24"/>
        </w:rPr>
        <w:t xml:space="preserve"> percentages </w:t>
      </w:r>
      <w:r w:rsidR="003467AD" w:rsidRPr="00347E5F">
        <w:rPr>
          <w:rFonts w:ascii="Times New Roman" w:hAnsi="Times New Roman"/>
          <w:sz w:val="24"/>
          <w:szCs w:val="24"/>
        </w:rPr>
        <w:t>reveals that over half of all UE banks were placed in these four states members of the UE (EBF, 2019).</w:t>
      </w:r>
    </w:p>
    <w:p w14:paraId="03657037" w14:textId="4CEF0355" w:rsidR="00572D97" w:rsidRPr="00347E5F" w:rsidRDefault="00F10F1D" w:rsidP="00BE6851">
      <w:pPr>
        <w:spacing w:before="120" w:after="0" w:line="240" w:lineRule="auto"/>
        <w:jc w:val="center"/>
        <w:rPr>
          <w:rFonts w:ascii="Times New Roman" w:hAnsi="Times New Roman"/>
          <w:sz w:val="24"/>
          <w:szCs w:val="24"/>
        </w:rPr>
      </w:pPr>
      <w:r w:rsidRPr="00347E5F">
        <w:rPr>
          <w:rFonts w:ascii="Times New Roman" w:hAnsi="Times New Roman"/>
          <w:noProof/>
          <w:sz w:val="24"/>
          <w:szCs w:val="24"/>
        </w:rPr>
        <w:drawing>
          <wp:inline distT="0" distB="0" distL="0" distR="0" wp14:anchorId="14539D73" wp14:editId="175F07AD">
            <wp:extent cx="4222750" cy="2482850"/>
            <wp:effectExtent l="0" t="0" r="635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2750" cy="2482850"/>
                    </a:xfrm>
                    <a:prstGeom prst="rect">
                      <a:avLst/>
                    </a:prstGeom>
                    <a:noFill/>
                    <a:ln>
                      <a:noFill/>
                    </a:ln>
                  </pic:spPr>
                </pic:pic>
              </a:graphicData>
            </a:graphic>
          </wp:inline>
        </w:drawing>
      </w:r>
    </w:p>
    <w:p w14:paraId="085FAACD" w14:textId="3AFBB415" w:rsidR="00F10F1D" w:rsidRPr="00347E5F" w:rsidRDefault="00F10F1D" w:rsidP="00ED320D">
      <w:pPr>
        <w:spacing w:before="0" w:after="0" w:line="240" w:lineRule="auto"/>
        <w:jc w:val="center"/>
        <w:rPr>
          <w:rFonts w:ascii="Times New Roman" w:hAnsi="Times New Roman"/>
          <w:sz w:val="24"/>
          <w:szCs w:val="24"/>
        </w:rPr>
      </w:pPr>
      <w:r w:rsidRPr="00347E5F">
        <w:rPr>
          <w:rFonts w:ascii="Times New Roman" w:hAnsi="Times New Roman"/>
          <w:sz w:val="24"/>
          <w:szCs w:val="24"/>
        </w:rPr>
        <w:t xml:space="preserve">Figure </w:t>
      </w:r>
      <w:r w:rsidR="0033323D" w:rsidRPr="00347E5F">
        <w:rPr>
          <w:rFonts w:ascii="Times New Roman" w:hAnsi="Times New Roman"/>
          <w:sz w:val="24"/>
          <w:szCs w:val="24"/>
        </w:rPr>
        <w:t>3</w:t>
      </w:r>
      <w:r w:rsidRPr="00347E5F">
        <w:rPr>
          <w:rFonts w:ascii="Times New Roman" w:hAnsi="Times New Roman"/>
          <w:sz w:val="24"/>
          <w:szCs w:val="24"/>
        </w:rPr>
        <w:t xml:space="preserve"> Total assets of banks Europe 2015-2020</w:t>
      </w:r>
    </w:p>
    <w:p w14:paraId="03563B36" w14:textId="42B91854" w:rsidR="00F10F1D" w:rsidRPr="00B74492" w:rsidRDefault="00F10F1D" w:rsidP="00B74492">
      <w:pPr>
        <w:spacing w:before="0" w:after="120" w:line="240" w:lineRule="auto"/>
        <w:jc w:val="center"/>
        <w:rPr>
          <w:rFonts w:ascii="Times New Roman" w:hAnsi="Times New Roman"/>
        </w:rPr>
      </w:pPr>
      <w:r w:rsidRPr="00B74492">
        <w:rPr>
          <w:rFonts w:ascii="Times New Roman" w:hAnsi="Times New Roman"/>
        </w:rPr>
        <w:t xml:space="preserve">Source: </w:t>
      </w:r>
      <w:hyperlink r:id="rId10" w:anchor="statisticContainer" w:history="1">
        <w:r w:rsidR="006379A3" w:rsidRPr="00B74492">
          <w:rPr>
            <w:rStyle w:val="Hyperlink"/>
            <w:rFonts w:ascii="Times New Roman" w:hAnsi="Times New Roman"/>
          </w:rPr>
          <w:t>https://www.statista.com/statistics/1124836/europe-bank-total-assets-quarterly/#statisticContainer</w:t>
        </w:r>
      </w:hyperlink>
      <w:r w:rsidR="006379A3" w:rsidRPr="00B74492">
        <w:rPr>
          <w:rFonts w:ascii="Times New Roman" w:hAnsi="Times New Roman"/>
        </w:rPr>
        <w:t xml:space="preserve"> </w:t>
      </w:r>
    </w:p>
    <w:p w14:paraId="6D43EA45" w14:textId="1C11B3E1" w:rsidR="00C370B2" w:rsidRPr="00347E5F" w:rsidRDefault="00C370B2" w:rsidP="00ED320D">
      <w:pPr>
        <w:spacing w:before="0" w:after="0" w:line="240" w:lineRule="auto"/>
        <w:ind w:firstLine="720"/>
        <w:jc w:val="both"/>
        <w:rPr>
          <w:rFonts w:ascii="Times New Roman" w:hAnsi="Times New Roman"/>
          <w:sz w:val="24"/>
          <w:szCs w:val="24"/>
        </w:rPr>
      </w:pPr>
      <w:r w:rsidRPr="00347E5F">
        <w:rPr>
          <w:rFonts w:ascii="Times New Roman" w:hAnsi="Times New Roman"/>
          <w:sz w:val="24"/>
          <w:szCs w:val="24"/>
        </w:rPr>
        <w:t xml:space="preserve">The foreign ownership of the financial intermediates is, in principle, a strong driving force for the financial integrations </w:t>
      </w:r>
      <w:r w:rsidRPr="00347E5F">
        <w:rPr>
          <w:rFonts w:ascii="Times New Roman" w:eastAsia="MyriadPro-Regular" w:hAnsi="Times New Roman"/>
          <w:sz w:val="24"/>
          <w:szCs w:val="24"/>
        </w:rPr>
        <w:t>(Staikouras C. Mamatzakis E. and Koutsomanoli-Filippaki A., 2008)</w:t>
      </w:r>
      <w:r w:rsidR="00B74492">
        <w:rPr>
          <w:rFonts w:ascii="Times New Roman" w:eastAsia="MyriadPro-Regular" w:hAnsi="Times New Roman"/>
          <w:sz w:val="24"/>
          <w:szCs w:val="24"/>
        </w:rPr>
        <w:t xml:space="preserve">. </w:t>
      </w:r>
      <w:r w:rsidRPr="00347E5F">
        <w:rPr>
          <w:rStyle w:val="google-src-text"/>
          <w:rFonts w:ascii="Times New Roman" w:hAnsi="Times New Roman"/>
          <w:sz w:val="24"/>
          <w:szCs w:val="24"/>
        </w:rPr>
        <w:t xml:space="preserve">Goddard J., Molyneux P., Wilson JOS, Tavakoli M., (2007) </w:t>
      </w:r>
      <w:r w:rsidR="00F66496" w:rsidRPr="00347E5F">
        <w:rPr>
          <w:rStyle w:val="google-src-text"/>
          <w:rFonts w:ascii="Times New Roman" w:hAnsi="Times New Roman"/>
          <w:sz w:val="24"/>
          <w:szCs w:val="24"/>
        </w:rPr>
        <w:t xml:space="preserve">consider that the integration and the liberalization of the </w:t>
      </w:r>
      <w:r w:rsidR="00643116" w:rsidRPr="00347E5F">
        <w:rPr>
          <w:rStyle w:val="google-src-text"/>
          <w:rFonts w:ascii="Times New Roman" w:hAnsi="Times New Roman"/>
          <w:sz w:val="24"/>
          <w:szCs w:val="24"/>
        </w:rPr>
        <w:t>European</w:t>
      </w:r>
      <w:r w:rsidR="00F66496" w:rsidRPr="00347E5F">
        <w:rPr>
          <w:rStyle w:val="google-src-text"/>
          <w:rFonts w:ascii="Times New Roman" w:hAnsi="Times New Roman"/>
          <w:sz w:val="24"/>
          <w:szCs w:val="24"/>
        </w:rPr>
        <w:t xml:space="preserve"> financial markets and of the payment system put a </w:t>
      </w:r>
      <w:r w:rsidR="00643116" w:rsidRPr="00347E5F">
        <w:rPr>
          <w:rStyle w:val="google-src-text"/>
          <w:rFonts w:ascii="Times New Roman" w:hAnsi="Times New Roman"/>
          <w:sz w:val="24"/>
          <w:szCs w:val="24"/>
        </w:rPr>
        <w:t>considerable</w:t>
      </w:r>
      <w:r w:rsidR="00F66496" w:rsidRPr="00347E5F">
        <w:rPr>
          <w:rStyle w:val="google-src-text"/>
          <w:rFonts w:ascii="Times New Roman" w:hAnsi="Times New Roman"/>
          <w:sz w:val="24"/>
          <w:szCs w:val="24"/>
        </w:rPr>
        <w:t xml:space="preserve"> pressure on the traditional bank’s activity directions.</w:t>
      </w:r>
    </w:p>
    <w:p w14:paraId="1C577204" w14:textId="64643B07" w:rsidR="00F66496" w:rsidRPr="00347E5F" w:rsidRDefault="00F66496" w:rsidP="00ED320D">
      <w:pPr>
        <w:spacing w:before="0" w:after="0" w:line="240" w:lineRule="auto"/>
        <w:ind w:firstLine="720"/>
        <w:jc w:val="both"/>
        <w:rPr>
          <w:rFonts w:ascii="Times New Roman" w:hAnsi="Times New Roman"/>
          <w:sz w:val="24"/>
          <w:szCs w:val="24"/>
        </w:rPr>
      </w:pPr>
      <w:r w:rsidRPr="00347E5F">
        <w:rPr>
          <w:rStyle w:val="google-src-text"/>
          <w:rFonts w:ascii="Times New Roman" w:hAnsi="Times New Roman"/>
          <w:sz w:val="24"/>
          <w:szCs w:val="24"/>
        </w:rPr>
        <w:t xml:space="preserve">We have </w:t>
      </w:r>
      <w:r w:rsidR="00643116" w:rsidRPr="00347E5F">
        <w:rPr>
          <w:rStyle w:val="google-src-text"/>
          <w:rFonts w:ascii="Times New Roman" w:hAnsi="Times New Roman"/>
          <w:sz w:val="24"/>
          <w:szCs w:val="24"/>
        </w:rPr>
        <w:t>analyzed</w:t>
      </w:r>
      <w:r w:rsidRPr="00347E5F">
        <w:rPr>
          <w:rStyle w:val="google-src-text"/>
          <w:rFonts w:ascii="Times New Roman" w:hAnsi="Times New Roman"/>
          <w:sz w:val="24"/>
          <w:szCs w:val="24"/>
        </w:rPr>
        <w:t xml:space="preserve"> </w:t>
      </w:r>
      <w:r w:rsidR="00766A6D" w:rsidRPr="00347E5F">
        <w:rPr>
          <w:rStyle w:val="google-src-text"/>
          <w:rFonts w:ascii="Times New Roman" w:hAnsi="Times New Roman"/>
          <w:sz w:val="24"/>
          <w:szCs w:val="24"/>
        </w:rPr>
        <w:t xml:space="preserve">further </w:t>
      </w:r>
      <w:r w:rsidRPr="00347E5F">
        <w:rPr>
          <w:rStyle w:val="google-src-text"/>
          <w:rFonts w:ascii="Times New Roman" w:hAnsi="Times New Roman"/>
          <w:sz w:val="24"/>
          <w:szCs w:val="24"/>
        </w:rPr>
        <w:t xml:space="preserve">the evolution of the ability of the </w:t>
      </w:r>
      <w:r w:rsidR="00643116" w:rsidRPr="00347E5F">
        <w:rPr>
          <w:rStyle w:val="google-src-text"/>
          <w:rFonts w:ascii="Times New Roman" w:hAnsi="Times New Roman"/>
          <w:sz w:val="24"/>
          <w:szCs w:val="24"/>
        </w:rPr>
        <w:t>European</w:t>
      </w:r>
      <w:r w:rsidRPr="00347E5F">
        <w:rPr>
          <w:rStyle w:val="google-src-text"/>
          <w:rFonts w:ascii="Times New Roman" w:hAnsi="Times New Roman"/>
          <w:sz w:val="24"/>
          <w:szCs w:val="24"/>
        </w:rPr>
        <w:t xml:space="preserve"> credit </w:t>
      </w:r>
      <w:r w:rsidR="00643116" w:rsidRPr="00347E5F">
        <w:rPr>
          <w:rStyle w:val="google-src-text"/>
          <w:rFonts w:ascii="Times New Roman" w:hAnsi="Times New Roman"/>
          <w:sz w:val="24"/>
          <w:szCs w:val="24"/>
        </w:rPr>
        <w:t>institution</w:t>
      </w:r>
      <w:r w:rsidRPr="00347E5F">
        <w:rPr>
          <w:rStyle w:val="google-src-text"/>
          <w:rFonts w:ascii="Times New Roman" w:hAnsi="Times New Roman"/>
          <w:sz w:val="24"/>
          <w:szCs w:val="24"/>
        </w:rPr>
        <w:t xml:space="preserve"> management to use </w:t>
      </w:r>
      <w:r w:rsidR="00643116" w:rsidRPr="00347E5F">
        <w:rPr>
          <w:rStyle w:val="google-src-text"/>
          <w:rFonts w:ascii="Times New Roman" w:hAnsi="Times New Roman"/>
          <w:sz w:val="24"/>
          <w:szCs w:val="24"/>
        </w:rPr>
        <w:t>resources</w:t>
      </w:r>
      <w:r w:rsidRPr="00347E5F">
        <w:rPr>
          <w:rStyle w:val="google-src-text"/>
          <w:rFonts w:ascii="Times New Roman" w:hAnsi="Times New Roman"/>
          <w:sz w:val="24"/>
          <w:szCs w:val="24"/>
        </w:rPr>
        <w:t xml:space="preserve"> o</w:t>
      </w:r>
      <w:r w:rsidR="00643116">
        <w:rPr>
          <w:rStyle w:val="google-src-text"/>
          <w:rFonts w:ascii="Times New Roman" w:hAnsi="Times New Roman"/>
          <w:sz w:val="24"/>
          <w:szCs w:val="24"/>
        </w:rPr>
        <w:t>f</w:t>
      </w:r>
      <w:r w:rsidRPr="00347E5F">
        <w:rPr>
          <w:rStyle w:val="google-src-text"/>
          <w:rFonts w:ascii="Times New Roman" w:hAnsi="Times New Roman"/>
          <w:sz w:val="24"/>
          <w:szCs w:val="24"/>
        </w:rPr>
        <w:t xml:space="preserve"> their disposal in order to maximize the profit. The period we’ve analyzed is during 2015 to 2019, looking at the economic rentability indicator (</w:t>
      </w:r>
      <w:r w:rsidR="00643116">
        <w:rPr>
          <w:rStyle w:val="google-src-text"/>
          <w:rFonts w:ascii="Times New Roman" w:hAnsi="Times New Roman"/>
          <w:sz w:val="24"/>
          <w:szCs w:val="24"/>
        </w:rPr>
        <w:t>figure 4</w:t>
      </w:r>
      <w:r w:rsidRPr="00347E5F">
        <w:rPr>
          <w:rStyle w:val="google-src-text"/>
          <w:rFonts w:ascii="Times New Roman" w:hAnsi="Times New Roman"/>
          <w:sz w:val="24"/>
          <w:szCs w:val="24"/>
        </w:rPr>
        <w:t>).</w:t>
      </w:r>
    </w:p>
    <w:p w14:paraId="1B6109CE" w14:textId="77777777" w:rsidR="00080377" w:rsidRPr="00347E5F" w:rsidRDefault="00080377" w:rsidP="00ED320D">
      <w:pPr>
        <w:pStyle w:val="Frspaiere"/>
        <w:spacing w:before="120"/>
        <w:jc w:val="center"/>
        <w:rPr>
          <w:rFonts w:ascii="Times New Roman" w:hAnsi="Times New Roman"/>
          <w:sz w:val="24"/>
          <w:szCs w:val="24"/>
          <w:lang w:val="en-US"/>
        </w:rPr>
      </w:pPr>
      <w:r w:rsidRPr="00347E5F">
        <w:rPr>
          <w:rFonts w:ascii="Times New Roman" w:hAnsi="Times New Roman"/>
          <w:noProof/>
          <w:sz w:val="24"/>
          <w:szCs w:val="24"/>
          <w:lang w:val="en-US"/>
        </w:rPr>
        <w:drawing>
          <wp:inline distT="0" distB="0" distL="0" distR="0" wp14:anchorId="7F641128" wp14:editId="7D39F488">
            <wp:extent cx="4608830" cy="227076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8830" cy="2270760"/>
                    </a:xfrm>
                    <a:prstGeom prst="rect">
                      <a:avLst/>
                    </a:prstGeom>
                    <a:noFill/>
                    <a:ln>
                      <a:noFill/>
                    </a:ln>
                  </pic:spPr>
                </pic:pic>
              </a:graphicData>
            </a:graphic>
          </wp:inline>
        </w:drawing>
      </w:r>
    </w:p>
    <w:p w14:paraId="74C1EE63" w14:textId="7BF77BDC" w:rsidR="00080377" w:rsidRPr="00347E5F" w:rsidRDefault="00643116" w:rsidP="00ED320D">
      <w:pPr>
        <w:pStyle w:val="Listparagraf"/>
        <w:widowControl w:val="0"/>
        <w:pBdr>
          <w:top w:val="nil"/>
          <w:left w:val="nil"/>
          <w:bottom w:val="nil"/>
          <w:right w:val="nil"/>
          <w:between w:val="nil"/>
        </w:pBdr>
        <w:spacing w:before="0" w:after="0" w:line="240" w:lineRule="auto"/>
        <w:ind w:left="0"/>
        <w:jc w:val="center"/>
        <w:rPr>
          <w:rFonts w:ascii="Times New Roman" w:hAnsi="Times New Roman"/>
          <w:sz w:val="24"/>
          <w:szCs w:val="24"/>
        </w:rPr>
      </w:pPr>
      <w:r>
        <w:rPr>
          <w:rFonts w:ascii="Times New Roman" w:hAnsi="Times New Roman"/>
          <w:b/>
          <w:bCs/>
          <w:sz w:val="24"/>
          <w:szCs w:val="24"/>
        </w:rPr>
        <w:t>Figure 4</w:t>
      </w:r>
      <w:r w:rsidR="00080377" w:rsidRPr="00347E5F">
        <w:rPr>
          <w:rFonts w:ascii="Times New Roman" w:hAnsi="Times New Roman"/>
          <w:sz w:val="24"/>
          <w:szCs w:val="24"/>
        </w:rPr>
        <w:t xml:space="preserve"> </w:t>
      </w:r>
      <w:r w:rsidR="00080377" w:rsidRPr="00AF1E91">
        <w:rPr>
          <w:rFonts w:ascii="Times New Roman" w:hAnsi="Times New Roman"/>
          <w:sz w:val="24"/>
          <w:szCs w:val="24"/>
        </w:rPr>
        <w:t>Evolu</w:t>
      </w:r>
      <w:r w:rsidR="00AF1E91">
        <w:rPr>
          <w:rFonts w:ascii="Times New Roman" w:hAnsi="Times New Roman"/>
          <w:sz w:val="24"/>
          <w:szCs w:val="24"/>
        </w:rPr>
        <w:t>tion of economic profitability, international comparisons</w:t>
      </w:r>
    </w:p>
    <w:p w14:paraId="4EE341E7" w14:textId="4CE73474" w:rsidR="00080377" w:rsidRPr="00347E5F" w:rsidRDefault="00080377" w:rsidP="00B74492">
      <w:pPr>
        <w:pStyle w:val="Listparagraf"/>
        <w:widowControl w:val="0"/>
        <w:pBdr>
          <w:top w:val="nil"/>
          <w:left w:val="nil"/>
          <w:bottom w:val="nil"/>
          <w:right w:val="nil"/>
          <w:between w:val="nil"/>
        </w:pBdr>
        <w:spacing w:before="0" w:after="120" w:line="240" w:lineRule="auto"/>
        <w:ind w:left="0"/>
        <w:jc w:val="center"/>
        <w:rPr>
          <w:rFonts w:ascii="Times New Roman" w:hAnsi="Times New Roman"/>
        </w:rPr>
      </w:pPr>
      <w:r w:rsidRPr="00347E5F">
        <w:rPr>
          <w:rFonts w:ascii="Times New Roman" w:hAnsi="Times New Roman"/>
        </w:rPr>
        <w:t>S</w:t>
      </w:r>
      <w:r w:rsidR="002429AB">
        <w:rPr>
          <w:rFonts w:ascii="Times New Roman" w:hAnsi="Times New Roman"/>
        </w:rPr>
        <w:t>ource</w:t>
      </w:r>
      <w:r w:rsidRPr="00347E5F">
        <w:rPr>
          <w:rFonts w:ascii="Times New Roman" w:hAnsi="Times New Roman"/>
        </w:rPr>
        <w:t xml:space="preserve">: </w:t>
      </w:r>
      <w:hyperlink r:id="rId12" w:history="1">
        <w:r w:rsidRPr="00347E5F">
          <w:rPr>
            <w:rStyle w:val="Hyperlink"/>
            <w:rFonts w:ascii="Times New Roman" w:hAnsi="Times New Roman"/>
          </w:rPr>
          <w:t>https://sdw.ecb.europa.eu/</w:t>
        </w:r>
      </w:hyperlink>
      <w:r w:rsidRPr="00347E5F">
        <w:rPr>
          <w:rFonts w:ascii="Times New Roman" w:hAnsi="Times New Roman"/>
        </w:rPr>
        <w:t xml:space="preserve">, </w:t>
      </w:r>
      <w:r w:rsidR="002429AB" w:rsidRPr="00347E5F">
        <w:rPr>
          <w:rFonts w:ascii="Times New Roman" w:hAnsi="Times New Roman"/>
        </w:rPr>
        <w:t>and authors own elaboration</w:t>
      </w:r>
    </w:p>
    <w:p w14:paraId="2BB317D9" w14:textId="12736841" w:rsidR="002B38E0" w:rsidRPr="00347E5F" w:rsidRDefault="00766A6D" w:rsidP="00ED320D">
      <w:pPr>
        <w:spacing w:before="0" w:after="0" w:line="240" w:lineRule="auto"/>
        <w:ind w:firstLine="720"/>
        <w:jc w:val="both"/>
        <w:rPr>
          <w:rFonts w:ascii="Times New Roman" w:eastAsia="MyriadPro-Regular" w:hAnsi="Times New Roman"/>
          <w:sz w:val="24"/>
          <w:szCs w:val="24"/>
        </w:rPr>
      </w:pPr>
      <w:r w:rsidRPr="00347E5F">
        <w:rPr>
          <w:rFonts w:ascii="Times New Roman" w:eastAsia="MyriadPro-Regular" w:hAnsi="Times New Roman"/>
          <w:sz w:val="24"/>
          <w:szCs w:val="24"/>
        </w:rPr>
        <w:t xml:space="preserve">Profitability is an indicator revealing the bank’s competitive </w:t>
      </w:r>
      <w:r w:rsidR="002B38E0" w:rsidRPr="00347E5F">
        <w:rPr>
          <w:rFonts w:ascii="Times New Roman" w:eastAsia="MyriadPro-Regular" w:hAnsi="Times New Roman"/>
          <w:sz w:val="24"/>
          <w:szCs w:val="24"/>
        </w:rPr>
        <w:t>banking</w:t>
      </w:r>
      <w:r w:rsidRPr="00347E5F">
        <w:rPr>
          <w:rFonts w:ascii="Times New Roman" w:eastAsia="MyriadPro-Regular" w:hAnsi="Times New Roman"/>
          <w:sz w:val="24"/>
          <w:szCs w:val="24"/>
        </w:rPr>
        <w:t xml:space="preserve"> position </w:t>
      </w:r>
      <w:r w:rsidR="002B38E0" w:rsidRPr="00347E5F">
        <w:rPr>
          <w:rFonts w:ascii="Times New Roman" w:eastAsia="MyriadPro-Regular" w:hAnsi="Times New Roman"/>
          <w:sz w:val="24"/>
          <w:szCs w:val="24"/>
        </w:rPr>
        <w:t xml:space="preserve">and the quality of </w:t>
      </w:r>
      <w:r w:rsidR="00C845B4" w:rsidRPr="00347E5F">
        <w:rPr>
          <w:rFonts w:ascii="Times New Roman" w:eastAsia="MyriadPro-Regular" w:hAnsi="Times New Roman"/>
          <w:sz w:val="24"/>
          <w:szCs w:val="24"/>
        </w:rPr>
        <w:t>the</w:t>
      </w:r>
      <w:r w:rsidR="002B38E0" w:rsidRPr="00347E5F">
        <w:rPr>
          <w:rFonts w:ascii="Times New Roman" w:eastAsia="MyriadPro-Regular" w:hAnsi="Times New Roman"/>
          <w:sz w:val="24"/>
          <w:szCs w:val="24"/>
        </w:rPr>
        <w:t xml:space="preserve"> management. </w:t>
      </w:r>
      <w:bookmarkStart w:id="0" w:name="_Hlk83321130"/>
      <w:r w:rsidR="002B38E0" w:rsidRPr="00347E5F">
        <w:rPr>
          <w:rFonts w:ascii="Times New Roman" w:hAnsi="Times New Roman" w:cs="Courier New"/>
          <w:sz w:val="24"/>
          <w:szCs w:val="42"/>
          <w:lang w:eastAsia="ro-RO"/>
        </w:rPr>
        <w:t xml:space="preserve">Analyzing the international comparison summarized in graph </w:t>
      </w:r>
      <w:r w:rsidR="001D6051">
        <w:rPr>
          <w:rFonts w:ascii="Times New Roman" w:hAnsi="Times New Roman" w:cs="Courier New"/>
          <w:sz w:val="24"/>
          <w:szCs w:val="42"/>
          <w:lang w:eastAsia="ro-RO"/>
        </w:rPr>
        <w:t>1</w:t>
      </w:r>
      <w:r w:rsidR="002B38E0" w:rsidRPr="00347E5F">
        <w:rPr>
          <w:rFonts w:ascii="Times New Roman" w:hAnsi="Times New Roman" w:cs="Courier New"/>
          <w:sz w:val="24"/>
          <w:szCs w:val="42"/>
          <w:lang w:eastAsia="ro-RO"/>
        </w:rPr>
        <w:t xml:space="preserve">, we find that the maintenance of the economic profitability rate for the Romanian banking system is above the average of the EU area (0.38%) due to the low degree of banking intermediation. </w:t>
      </w:r>
      <w:r w:rsidR="00C845B4" w:rsidRPr="00347E5F">
        <w:rPr>
          <w:rFonts w:ascii="Times New Roman" w:hAnsi="Times New Roman" w:cs="Courier New"/>
          <w:sz w:val="24"/>
          <w:szCs w:val="42"/>
          <w:lang w:eastAsia="ro-RO"/>
        </w:rPr>
        <w:t>If we perform a</w:t>
      </w:r>
      <w:r w:rsidR="002B38E0" w:rsidRPr="00347E5F">
        <w:rPr>
          <w:rFonts w:ascii="Times New Roman" w:hAnsi="Times New Roman" w:cs="Courier New"/>
          <w:sz w:val="24"/>
          <w:szCs w:val="42"/>
          <w:lang w:eastAsia="ro-RO"/>
        </w:rPr>
        <w:t xml:space="preserve"> regional analysis, data prior to the COVID 19 period show that</w:t>
      </w:r>
      <w:r w:rsidR="00C845B4" w:rsidRPr="00347E5F">
        <w:rPr>
          <w:rFonts w:ascii="Times New Roman" w:hAnsi="Times New Roman" w:cs="Courier New"/>
          <w:sz w:val="24"/>
          <w:szCs w:val="42"/>
          <w:lang w:eastAsia="ro-RO"/>
        </w:rPr>
        <w:t>,</w:t>
      </w:r>
      <w:r w:rsidR="002B38E0" w:rsidRPr="00347E5F">
        <w:rPr>
          <w:rFonts w:ascii="Times New Roman" w:hAnsi="Times New Roman" w:cs="Courier New"/>
          <w:sz w:val="24"/>
          <w:szCs w:val="42"/>
          <w:lang w:eastAsia="ro-RO"/>
        </w:rPr>
        <w:t xml:space="preserve"> during the analyzed period, the banking sectors in Cyprus, Italy, and Finland recorded low values (0.26 percent, 0.37 percent and 0.39 percent, respectively, December 2019), while those in Romania, Slovenia and the Czech Republic recorded high values, over 1 percent (1.67 percent, 1.29 percent, respectively 0.9 </w:t>
      </w:r>
      <w:r w:rsidR="002B38E0" w:rsidRPr="00347E5F">
        <w:rPr>
          <w:rFonts w:ascii="Times New Roman" w:hAnsi="Times New Roman" w:cs="Courier New"/>
          <w:sz w:val="24"/>
          <w:szCs w:val="42"/>
          <w:lang w:eastAsia="ro-RO"/>
        </w:rPr>
        <w:lastRenderedPageBreak/>
        <w:t xml:space="preserve">percent, at the end of 2019). The low values of this indicator generally </w:t>
      </w:r>
      <w:r w:rsidR="00C845B4" w:rsidRPr="00347E5F">
        <w:rPr>
          <w:rFonts w:ascii="Times New Roman" w:hAnsi="Times New Roman" w:cs="Courier New"/>
          <w:sz w:val="24"/>
          <w:szCs w:val="42"/>
          <w:lang w:eastAsia="ro-RO"/>
        </w:rPr>
        <w:t>reveal</w:t>
      </w:r>
      <w:r w:rsidR="002B38E0" w:rsidRPr="00347E5F">
        <w:rPr>
          <w:rFonts w:ascii="Times New Roman" w:hAnsi="Times New Roman" w:cs="Courier New"/>
          <w:sz w:val="24"/>
          <w:szCs w:val="42"/>
          <w:lang w:eastAsia="ro-RO"/>
        </w:rPr>
        <w:t xml:space="preserve"> unproductive investments, which cannot bring enough profit to banks. This is also confirmed by the study made by Pessarossi P. and Weill L. (2020), who found that high profitability does not ensure the stability of the bank. Also, the financial structure of the new EU countries has a low level of financial intermediation, with the exception of Cyprus and Malta</w:t>
      </w:r>
      <w:r w:rsidR="00C845B4" w:rsidRPr="00347E5F">
        <w:rPr>
          <w:rFonts w:ascii="Times New Roman" w:hAnsi="Times New Roman" w:cs="Courier New"/>
          <w:sz w:val="24"/>
          <w:szCs w:val="42"/>
          <w:lang w:eastAsia="ro-RO"/>
        </w:rPr>
        <w:t xml:space="preserve"> </w:t>
      </w:r>
      <w:r w:rsidR="00C845B4" w:rsidRPr="00347E5F">
        <w:rPr>
          <w:rFonts w:ascii="Times New Roman" w:eastAsia="MyriadPro-Regular" w:hAnsi="Times New Roman"/>
          <w:sz w:val="24"/>
          <w:szCs w:val="24"/>
        </w:rPr>
        <w:t>(Staikouras C. Mamatzakis E. and Koutsomanoli-Filippaki A., 2008)</w:t>
      </w:r>
      <w:r w:rsidR="002B38E0" w:rsidRPr="00347E5F">
        <w:rPr>
          <w:rFonts w:ascii="Times New Roman" w:hAnsi="Times New Roman" w:cs="Courier New"/>
          <w:sz w:val="24"/>
          <w:szCs w:val="42"/>
          <w:lang w:eastAsia="ro-RO"/>
        </w:rPr>
        <w:t>.</w:t>
      </w:r>
    </w:p>
    <w:bookmarkEnd w:id="0"/>
    <w:p w14:paraId="10B824E9" w14:textId="77777777" w:rsidR="005560B3" w:rsidRPr="00347E5F" w:rsidRDefault="005560B3" w:rsidP="00ED320D">
      <w:pPr>
        <w:autoSpaceDE w:val="0"/>
        <w:autoSpaceDN w:val="0"/>
        <w:adjustRightInd w:val="0"/>
        <w:spacing w:before="120" w:after="0" w:line="240" w:lineRule="auto"/>
        <w:jc w:val="center"/>
        <w:rPr>
          <w:rFonts w:ascii="Times New Roman" w:hAnsi="Times New Roman"/>
          <w:sz w:val="24"/>
          <w:szCs w:val="24"/>
        </w:rPr>
      </w:pPr>
      <w:r w:rsidRPr="00347E5F">
        <w:rPr>
          <w:rFonts w:ascii="Times New Roman" w:hAnsi="Times New Roman"/>
          <w:noProof/>
          <w:sz w:val="24"/>
          <w:szCs w:val="24"/>
        </w:rPr>
        <w:drawing>
          <wp:inline distT="0" distB="0" distL="0" distR="0" wp14:anchorId="049C9DF9" wp14:editId="29BE68AB">
            <wp:extent cx="4741545" cy="237490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1545" cy="2374900"/>
                    </a:xfrm>
                    <a:prstGeom prst="rect">
                      <a:avLst/>
                    </a:prstGeom>
                    <a:noFill/>
                    <a:ln>
                      <a:noFill/>
                    </a:ln>
                  </pic:spPr>
                </pic:pic>
              </a:graphicData>
            </a:graphic>
          </wp:inline>
        </w:drawing>
      </w:r>
    </w:p>
    <w:p w14:paraId="036CBA84" w14:textId="390E0D2B" w:rsidR="005560B3" w:rsidRPr="00347E5F" w:rsidRDefault="00B74492" w:rsidP="00ED320D">
      <w:pPr>
        <w:pStyle w:val="Listparagraf"/>
        <w:widowControl w:val="0"/>
        <w:pBdr>
          <w:top w:val="nil"/>
          <w:left w:val="nil"/>
          <w:bottom w:val="nil"/>
          <w:right w:val="nil"/>
          <w:between w:val="nil"/>
        </w:pBdr>
        <w:spacing w:before="0" w:after="0" w:line="240" w:lineRule="auto"/>
        <w:ind w:left="0"/>
        <w:jc w:val="center"/>
        <w:rPr>
          <w:rFonts w:ascii="Times New Roman" w:hAnsi="Times New Roman"/>
          <w:sz w:val="24"/>
          <w:szCs w:val="24"/>
        </w:rPr>
      </w:pPr>
      <w:r>
        <w:rPr>
          <w:rFonts w:ascii="Times New Roman" w:hAnsi="Times New Roman"/>
          <w:b/>
          <w:bCs/>
          <w:sz w:val="24"/>
          <w:szCs w:val="24"/>
        </w:rPr>
        <w:t>Figure 5</w:t>
      </w:r>
      <w:r w:rsidR="005560B3" w:rsidRPr="00347E5F">
        <w:rPr>
          <w:rFonts w:ascii="Times New Roman" w:hAnsi="Times New Roman"/>
          <w:sz w:val="24"/>
          <w:szCs w:val="24"/>
        </w:rPr>
        <w:t xml:space="preserve"> </w:t>
      </w:r>
      <w:r w:rsidR="009D2E92" w:rsidRPr="00347E5F">
        <w:rPr>
          <w:rFonts w:ascii="Times New Roman" w:hAnsi="Times New Roman"/>
          <w:sz w:val="24"/>
          <w:szCs w:val="24"/>
        </w:rPr>
        <w:t xml:space="preserve">The evolution of the financial return for different countries. </w:t>
      </w:r>
    </w:p>
    <w:p w14:paraId="7D3C1272" w14:textId="5EF47AC1" w:rsidR="005560B3" w:rsidRPr="00347E5F" w:rsidRDefault="005560B3" w:rsidP="00F844F3">
      <w:pPr>
        <w:pStyle w:val="Listparagraf"/>
        <w:widowControl w:val="0"/>
        <w:pBdr>
          <w:top w:val="nil"/>
          <w:left w:val="nil"/>
          <w:bottom w:val="nil"/>
          <w:right w:val="nil"/>
          <w:between w:val="nil"/>
        </w:pBdr>
        <w:spacing w:before="0" w:after="120" w:line="240" w:lineRule="auto"/>
        <w:ind w:left="0"/>
        <w:jc w:val="center"/>
        <w:rPr>
          <w:rFonts w:ascii="Times New Roman" w:hAnsi="Times New Roman"/>
        </w:rPr>
      </w:pPr>
      <w:r w:rsidRPr="00347E5F">
        <w:rPr>
          <w:rFonts w:ascii="Times New Roman" w:hAnsi="Times New Roman"/>
        </w:rPr>
        <w:t>S</w:t>
      </w:r>
      <w:r w:rsidR="002429AB">
        <w:rPr>
          <w:rFonts w:ascii="Times New Roman" w:hAnsi="Times New Roman"/>
        </w:rPr>
        <w:t>ource</w:t>
      </w:r>
      <w:r w:rsidRPr="00347E5F">
        <w:rPr>
          <w:rFonts w:ascii="Times New Roman" w:hAnsi="Times New Roman"/>
        </w:rPr>
        <w:t xml:space="preserve">: </w:t>
      </w:r>
      <w:hyperlink r:id="rId14" w:history="1">
        <w:r w:rsidRPr="00347E5F">
          <w:rPr>
            <w:rStyle w:val="Hyperlink"/>
            <w:rFonts w:ascii="Times New Roman" w:hAnsi="Times New Roman"/>
          </w:rPr>
          <w:t>https://sdw.ecb.europa.eu/</w:t>
        </w:r>
      </w:hyperlink>
      <w:r w:rsidR="00E57FD0" w:rsidRPr="00347E5F">
        <w:rPr>
          <w:rFonts w:ascii="Times New Roman" w:hAnsi="Times New Roman"/>
        </w:rPr>
        <w:t xml:space="preserve"> and authors own elaboration</w:t>
      </w:r>
    </w:p>
    <w:p w14:paraId="47379A84" w14:textId="545C90E4" w:rsidR="00107443" w:rsidRPr="00347E5F" w:rsidRDefault="00107443" w:rsidP="00B74492">
      <w:pPr>
        <w:pStyle w:val="PreformatatHTML"/>
        <w:ind w:firstLine="720"/>
        <w:jc w:val="both"/>
        <w:rPr>
          <w:rStyle w:val="y2iqfc"/>
          <w:rFonts w:ascii="Times New Roman" w:hAnsi="Times New Roman" w:cs="Times New Roman"/>
          <w:color w:val="202124"/>
          <w:sz w:val="24"/>
          <w:szCs w:val="42"/>
          <w:lang w:val="en-US"/>
        </w:rPr>
      </w:pPr>
      <w:r w:rsidRPr="00347E5F">
        <w:rPr>
          <w:rStyle w:val="y2iqfc"/>
          <w:rFonts w:ascii="Times New Roman" w:hAnsi="Times New Roman" w:cs="Times New Roman"/>
          <w:color w:val="202124"/>
          <w:sz w:val="24"/>
          <w:szCs w:val="42"/>
          <w:lang w:val="en-US"/>
        </w:rPr>
        <w:t xml:space="preserve">Based on the data from </w:t>
      </w:r>
      <w:r w:rsidR="00B74492">
        <w:rPr>
          <w:rStyle w:val="y2iqfc"/>
          <w:rFonts w:ascii="Times New Roman" w:hAnsi="Times New Roman" w:cs="Times New Roman"/>
          <w:color w:val="202124"/>
          <w:sz w:val="24"/>
          <w:szCs w:val="42"/>
          <w:lang w:val="en-US"/>
        </w:rPr>
        <w:t>figure 5</w:t>
      </w:r>
      <w:r w:rsidR="001D6051">
        <w:rPr>
          <w:rStyle w:val="y2iqfc"/>
          <w:rFonts w:ascii="Times New Roman" w:hAnsi="Times New Roman" w:cs="Times New Roman"/>
          <w:color w:val="202124"/>
          <w:sz w:val="24"/>
          <w:szCs w:val="42"/>
          <w:lang w:val="en-US"/>
        </w:rPr>
        <w:t xml:space="preserve"> </w:t>
      </w:r>
      <w:r w:rsidRPr="00347E5F">
        <w:rPr>
          <w:rStyle w:val="y2iqfc"/>
          <w:rFonts w:ascii="Times New Roman" w:hAnsi="Times New Roman" w:cs="Times New Roman"/>
          <w:color w:val="202124"/>
          <w:sz w:val="24"/>
          <w:szCs w:val="42"/>
          <w:lang w:val="en-US"/>
        </w:rPr>
        <w:t>we analyzed the evolution of the efficiency of using the capital invested by shareholders European credit institutions, for the period 2015-2019, with the help of the financial profitability indicator. Between 2015 and 2019, the EU average for ROE was 5.38 percent, but a quarter of banks had a profitability of 4.7 or less. We find that the values of financial profitability obtained by the Romanian banking sector remain above the EBA threshold (10 percent), positioning itself at the top of the indicator in the EU. According to the prudential limits of the European Banking Authority, it is best for banks to have this indicator above 10 percent, with the range between 6 percent and 10 percent indicating an average risk, and below 6 percent a high risk. (EBA, 2015). The regional analysis of the data, for the period 2015-2019, shows that the banking sectors in Cyprus, Luxembourg, Italy and Finland obtained values lower than 6 percent (2.94%, 4.39%, 4.76% and 4.91%, respectively, at end of 2019)</w:t>
      </w:r>
      <w:r w:rsidR="004E6A38">
        <w:rPr>
          <w:rStyle w:val="y2iqfc"/>
          <w:rFonts w:ascii="Times New Roman" w:hAnsi="Times New Roman" w:cs="Times New Roman"/>
          <w:color w:val="202124"/>
          <w:sz w:val="24"/>
          <w:szCs w:val="42"/>
          <w:lang w:val="en-US"/>
        </w:rPr>
        <w:t xml:space="preserve"> </w:t>
      </w:r>
      <w:r w:rsidRPr="00347E5F">
        <w:rPr>
          <w:rStyle w:val="y2iqfc"/>
          <w:rFonts w:ascii="Times New Roman" w:hAnsi="Times New Roman" w:cs="Times New Roman"/>
          <w:color w:val="202124"/>
          <w:sz w:val="24"/>
          <w:szCs w:val="42"/>
          <w:lang w:val="en-US"/>
        </w:rPr>
        <w:t xml:space="preserve">and Slovenia, the Czech Republic and Romania values are over 10 percent (10.35 </w:t>
      </w:r>
      <w:r w:rsidR="00AF5980" w:rsidRPr="00347E5F">
        <w:rPr>
          <w:rStyle w:val="y2iqfc"/>
          <w:rFonts w:ascii="Times New Roman" w:hAnsi="Times New Roman" w:cs="Times New Roman"/>
          <w:color w:val="202124"/>
          <w:sz w:val="24"/>
          <w:szCs w:val="42"/>
          <w:lang w:val="en-US"/>
        </w:rPr>
        <w:t>%</w:t>
      </w:r>
      <w:r w:rsidRPr="00347E5F">
        <w:rPr>
          <w:rStyle w:val="y2iqfc"/>
          <w:rFonts w:ascii="Times New Roman" w:hAnsi="Times New Roman" w:cs="Times New Roman"/>
          <w:color w:val="202124"/>
          <w:sz w:val="24"/>
          <w:szCs w:val="42"/>
          <w:lang w:val="en-US"/>
        </w:rPr>
        <w:t xml:space="preserve">, 12.52 </w:t>
      </w:r>
      <w:r w:rsidR="00AF5980" w:rsidRPr="00347E5F">
        <w:rPr>
          <w:rStyle w:val="y2iqfc"/>
          <w:rFonts w:ascii="Times New Roman" w:hAnsi="Times New Roman" w:cs="Times New Roman"/>
          <w:color w:val="202124"/>
          <w:sz w:val="24"/>
          <w:szCs w:val="42"/>
          <w:lang w:val="en-US"/>
        </w:rPr>
        <w:t>%</w:t>
      </w:r>
      <w:r w:rsidRPr="00347E5F">
        <w:rPr>
          <w:rStyle w:val="y2iqfc"/>
          <w:rFonts w:ascii="Times New Roman" w:hAnsi="Times New Roman" w:cs="Times New Roman"/>
          <w:color w:val="202124"/>
          <w:sz w:val="24"/>
          <w:szCs w:val="42"/>
          <w:lang w:val="en-US"/>
        </w:rPr>
        <w:t xml:space="preserve">, </w:t>
      </w:r>
      <w:r w:rsidR="00E54B42" w:rsidRPr="00347E5F">
        <w:rPr>
          <w:rStyle w:val="y2iqfc"/>
          <w:rFonts w:ascii="Times New Roman" w:hAnsi="Times New Roman" w:cs="Times New Roman"/>
          <w:color w:val="202124"/>
          <w:sz w:val="24"/>
          <w:szCs w:val="42"/>
          <w:lang w:val="en-US"/>
        </w:rPr>
        <w:t xml:space="preserve">and 15.22 % </w:t>
      </w:r>
      <w:r w:rsidRPr="00347E5F">
        <w:rPr>
          <w:rStyle w:val="y2iqfc"/>
          <w:rFonts w:ascii="Times New Roman" w:hAnsi="Times New Roman" w:cs="Times New Roman"/>
          <w:color w:val="202124"/>
          <w:sz w:val="24"/>
          <w:szCs w:val="42"/>
          <w:lang w:val="en-US"/>
        </w:rPr>
        <w:t>respectively, at the end of 2019). Moreover, market analysts' forecasts suggest that the ROE level of many euro area banks will most likely remain below 8 percent in the coming years, which will continue to act as a brake on bank share prices. (Elekdag S., Mitra S., 2020). A high return on equity indicates that a small investment of shareholders has been turned into a large profit, and this is very important for a business.</w:t>
      </w:r>
    </w:p>
    <w:p w14:paraId="10731977" w14:textId="31C2831F" w:rsidR="00DA3C35" w:rsidRPr="00347E5F" w:rsidRDefault="00DD1299" w:rsidP="00ED320D">
      <w:pPr>
        <w:spacing w:before="120" w:after="0" w:line="240" w:lineRule="auto"/>
        <w:jc w:val="center"/>
        <w:rPr>
          <w:rFonts w:ascii="Times New Roman" w:hAnsi="Times New Roman"/>
          <w:color w:val="00B050"/>
          <w:sz w:val="24"/>
          <w:szCs w:val="24"/>
        </w:rPr>
      </w:pPr>
      <w:r w:rsidRPr="00347E5F">
        <w:rPr>
          <w:rFonts w:ascii="Times New Roman" w:hAnsi="Times New Roman"/>
          <w:noProof/>
          <w:color w:val="00B050"/>
          <w:sz w:val="24"/>
          <w:szCs w:val="24"/>
        </w:rPr>
        <w:drawing>
          <wp:inline distT="0" distB="0" distL="0" distR="0" wp14:anchorId="59F0E93A" wp14:editId="5445E157">
            <wp:extent cx="4735830" cy="189865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35830" cy="1898650"/>
                    </a:xfrm>
                    <a:prstGeom prst="rect">
                      <a:avLst/>
                    </a:prstGeom>
                    <a:noFill/>
                    <a:ln>
                      <a:noFill/>
                    </a:ln>
                  </pic:spPr>
                </pic:pic>
              </a:graphicData>
            </a:graphic>
          </wp:inline>
        </w:drawing>
      </w:r>
    </w:p>
    <w:p w14:paraId="31F5894D" w14:textId="172D46CC" w:rsidR="0022229C" w:rsidRPr="00347E5F" w:rsidRDefault="008710DA" w:rsidP="00ED320D">
      <w:pPr>
        <w:pStyle w:val="Listparagraf"/>
        <w:widowControl w:val="0"/>
        <w:pBdr>
          <w:top w:val="nil"/>
          <w:left w:val="nil"/>
          <w:bottom w:val="nil"/>
          <w:right w:val="nil"/>
          <w:between w:val="nil"/>
        </w:pBdr>
        <w:spacing w:before="0" w:after="0" w:line="240" w:lineRule="auto"/>
        <w:ind w:left="0"/>
        <w:jc w:val="center"/>
        <w:rPr>
          <w:rFonts w:ascii="Times New Roman" w:hAnsi="Times New Roman"/>
          <w:sz w:val="24"/>
          <w:szCs w:val="24"/>
        </w:rPr>
      </w:pPr>
      <w:r>
        <w:rPr>
          <w:rFonts w:ascii="Times New Roman" w:hAnsi="Times New Roman"/>
          <w:b/>
          <w:bCs/>
          <w:sz w:val="24"/>
          <w:szCs w:val="24"/>
        </w:rPr>
        <w:t>Figure 6</w:t>
      </w:r>
      <w:r w:rsidR="0022229C" w:rsidRPr="00347E5F">
        <w:rPr>
          <w:rFonts w:ascii="Times New Roman" w:hAnsi="Times New Roman"/>
          <w:sz w:val="24"/>
          <w:szCs w:val="24"/>
        </w:rPr>
        <w:t xml:space="preserve"> </w:t>
      </w:r>
      <w:r w:rsidR="009D2E92" w:rsidRPr="00347E5F">
        <w:rPr>
          <w:rFonts w:ascii="Times New Roman" w:hAnsi="Times New Roman"/>
          <w:sz w:val="24"/>
          <w:szCs w:val="24"/>
        </w:rPr>
        <w:t xml:space="preserve">The analysis </w:t>
      </w:r>
      <w:r w:rsidR="00591D46" w:rsidRPr="00347E5F">
        <w:rPr>
          <w:rFonts w:ascii="Times New Roman" w:hAnsi="Times New Roman"/>
          <w:sz w:val="24"/>
          <w:szCs w:val="24"/>
        </w:rPr>
        <w:t>of the cost /income ration.</w:t>
      </w:r>
    </w:p>
    <w:p w14:paraId="33A10EAA" w14:textId="0D62B06E" w:rsidR="0022229C" w:rsidRPr="00347E5F" w:rsidRDefault="0022229C" w:rsidP="00ED320D">
      <w:pPr>
        <w:pStyle w:val="Listparagraf"/>
        <w:widowControl w:val="0"/>
        <w:pBdr>
          <w:top w:val="nil"/>
          <w:left w:val="nil"/>
          <w:bottom w:val="nil"/>
          <w:right w:val="nil"/>
          <w:between w:val="nil"/>
        </w:pBdr>
        <w:spacing w:before="0" w:after="0" w:line="240" w:lineRule="auto"/>
        <w:ind w:left="0"/>
        <w:jc w:val="center"/>
        <w:rPr>
          <w:rFonts w:ascii="Times New Roman" w:hAnsi="Times New Roman"/>
        </w:rPr>
      </w:pPr>
      <w:r w:rsidRPr="00347E5F">
        <w:rPr>
          <w:rFonts w:ascii="Times New Roman" w:hAnsi="Times New Roman"/>
        </w:rPr>
        <w:t>S</w:t>
      </w:r>
      <w:r w:rsidR="002429AB">
        <w:rPr>
          <w:rFonts w:ascii="Times New Roman" w:hAnsi="Times New Roman"/>
        </w:rPr>
        <w:t>ource</w:t>
      </w:r>
      <w:r w:rsidRPr="00347E5F">
        <w:rPr>
          <w:rFonts w:ascii="Times New Roman" w:hAnsi="Times New Roman"/>
        </w:rPr>
        <w:t xml:space="preserve">: </w:t>
      </w:r>
      <w:hyperlink r:id="rId16" w:history="1">
        <w:r w:rsidRPr="00347E5F">
          <w:rPr>
            <w:rStyle w:val="Hyperlink"/>
            <w:rFonts w:ascii="Times New Roman" w:hAnsi="Times New Roman"/>
          </w:rPr>
          <w:t>https://sdw.ecb.europa.eu/</w:t>
        </w:r>
      </w:hyperlink>
      <w:r w:rsidRPr="00347E5F">
        <w:rPr>
          <w:rFonts w:ascii="Times New Roman" w:hAnsi="Times New Roman"/>
        </w:rPr>
        <w:t xml:space="preserve">, </w:t>
      </w:r>
      <w:r w:rsidR="002429AB" w:rsidRPr="00347E5F">
        <w:rPr>
          <w:rFonts w:ascii="Times New Roman" w:hAnsi="Times New Roman"/>
        </w:rPr>
        <w:t>and authors own elaboration</w:t>
      </w:r>
    </w:p>
    <w:p w14:paraId="30E1A624" w14:textId="3CAFCB44" w:rsidR="00A96B51" w:rsidRPr="00347E5F" w:rsidRDefault="00A96B51" w:rsidP="00B74492">
      <w:pPr>
        <w:pStyle w:val="PreformatatHTML"/>
        <w:ind w:firstLine="720"/>
        <w:jc w:val="both"/>
        <w:rPr>
          <w:rFonts w:ascii="Times New Roman" w:hAnsi="Times New Roman" w:cs="Times New Roman"/>
          <w:color w:val="202124"/>
          <w:sz w:val="24"/>
          <w:szCs w:val="42"/>
          <w:lang w:val="en-US"/>
        </w:rPr>
      </w:pPr>
      <w:r w:rsidRPr="00347E5F">
        <w:rPr>
          <w:rStyle w:val="y2iqfc"/>
          <w:rFonts w:ascii="Times New Roman" w:hAnsi="Times New Roman" w:cs="Times New Roman"/>
          <w:color w:val="202124"/>
          <w:sz w:val="24"/>
          <w:szCs w:val="42"/>
          <w:lang w:val="en-US"/>
        </w:rPr>
        <w:lastRenderedPageBreak/>
        <w:t xml:space="preserve">Based on the data from </w:t>
      </w:r>
      <w:r w:rsidR="008710DA">
        <w:rPr>
          <w:rStyle w:val="y2iqfc"/>
          <w:rFonts w:ascii="Times New Roman" w:hAnsi="Times New Roman" w:cs="Times New Roman"/>
          <w:color w:val="202124"/>
          <w:sz w:val="24"/>
          <w:szCs w:val="42"/>
          <w:lang w:val="en-US"/>
        </w:rPr>
        <w:t>figure 6</w:t>
      </w:r>
      <w:r w:rsidRPr="00347E5F">
        <w:rPr>
          <w:rStyle w:val="y2iqfc"/>
          <w:rFonts w:ascii="Times New Roman" w:hAnsi="Times New Roman" w:cs="Times New Roman"/>
          <w:color w:val="202124"/>
          <w:sz w:val="24"/>
          <w:szCs w:val="42"/>
          <w:lang w:val="en-US"/>
        </w:rPr>
        <w:t xml:space="preserve">, we analyzed the efficiency of the operational activity of European credit institutions, for the period 2015-2019, using the cost / income indicator. From the analyzed data, we find that the efficiency of the operational activity of credit institutions in Romania is positioned in the medium risk range, according to the prudential limits of EBA and below the EU average (64.67%, at the end of 2019). According to the prudential limits of EBA, it is best for the bank for this indicator to be below 50 </w:t>
      </w:r>
      <w:r w:rsidR="00E54B42" w:rsidRPr="00347E5F">
        <w:rPr>
          <w:rStyle w:val="y2iqfc"/>
          <w:rFonts w:ascii="Times New Roman" w:hAnsi="Times New Roman" w:cs="Times New Roman"/>
          <w:color w:val="202124"/>
          <w:sz w:val="24"/>
          <w:szCs w:val="42"/>
          <w:lang w:val="en-US"/>
        </w:rPr>
        <w:t>%</w:t>
      </w:r>
      <w:r w:rsidRPr="00347E5F">
        <w:rPr>
          <w:rStyle w:val="y2iqfc"/>
          <w:rFonts w:ascii="Times New Roman" w:hAnsi="Times New Roman" w:cs="Times New Roman"/>
          <w:color w:val="202124"/>
          <w:sz w:val="24"/>
          <w:szCs w:val="42"/>
          <w:lang w:val="en-US"/>
        </w:rPr>
        <w:t xml:space="preserve">, in order to carry out its banking activity efficiently. The range between 50 </w:t>
      </w:r>
      <w:r w:rsidR="00E54B42" w:rsidRPr="00347E5F">
        <w:rPr>
          <w:rStyle w:val="y2iqfc"/>
          <w:rFonts w:ascii="Times New Roman" w:hAnsi="Times New Roman" w:cs="Times New Roman"/>
          <w:color w:val="202124"/>
          <w:sz w:val="24"/>
          <w:szCs w:val="42"/>
          <w:lang w:val="en-US"/>
        </w:rPr>
        <w:t>%</w:t>
      </w:r>
      <w:r w:rsidRPr="00347E5F">
        <w:rPr>
          <w:rStyle w:val="y2iqfc"/>
          <w:rFonts w:ascii="Times New Roman" w:hAnsi="Times New Roman" w:cs="Times New Roman"/>
          <w:color w:val="202124"/>
          <w:sz w:val="24"/>
          <w:szCs w:val="42"/>
          <w:lang w:val="en-US"/>
        </w:rPr>
        <w:t xml:space="preserve"> and 60 </w:t>
      </w:r>
      <w:r w:rsidR="00E54B42" w:rsidRPr="00347E5F">
        <w:rPr>
          <w:rStyle w:val="y2iqfc"/>
          <w:rFonts w:ascii="Times New Roman" w:hAnsi="Times New Roman" w:cs="Times New Roman"/>
          <w:color w:val="202124"/>
          <w:sz w:val="24"/>
          <w:szCs w:val="42"/>
          <w:lang w:val="en-US"/>
        </w:rPr>
        <w:t>%</w:t>
      </w:r>
      <w:r w:rsidRPr="00347E5F">
        <w:rPr>
          <w:rStyle w:val="y2iqfc"/>
          <w:rFonts w:ascii="Times New Roman" w:hAnsi="Times New Roman" w:cs="Times New Roman"/>
          <w:color w:val="202124"/>
          <w:sz w:val="24"/>
          <w:szCs w:val="42"/>
          <w:lang w:val="en-US"/>
        </w:rPr>
        <w:t xml:space="preserve"> indicates an average risk of the bank's operating activity. An indicator above 60 </w:t>
      </w:r>
      <w:r w:rsidR="00E54B42" w:rsidRPr="00347E5F">
        <w:rPr>
          <w:rStyle w:val="y2iqfc"/>
          <w:rFonts w:ascii="Times New Roman" w:hAnsi="Times New Roman" w:cs="Times New Roman"/>
          <w:color w:val="202124"/>
          <w:sz w:val="24"/>
          <w:szCs w:val="42"/>
          <w:lang w:val="en-US"/>
        </w:rPr>
        <w:t>%</w:t>
      </w:r>
      <w:r w:rsidRPr="00347E5F">
        <w:rPr>
          <w:rStyle w:val="y2iqfc"/>
          <w:rFonts w:ascii="Times New Roman" w:hAnsi="Times New Roman" w:cs="Times New Roman"/>
          <w:color w:val="202124"/>
          <w:sz w:val="24"/>
          <w:szCs w:val="42"/>
          <w:lang w:val="en-US"/>
        </w:rPr>
        <w:t xml:space="preserve"> to indicate a high risk of exploitation. Banks can improve operational efficiency both by increasing the degree of intermediation and by continuing consolidation trends. (EBA, 2018)</w:t>
      </w:r>
    </w:p>
    <w:p w14:paraId="6C1D49C4" w14:textId="32F1CC57" w:rsidR="00DA3C35" w:rsidRPr="00347E5F" w:rsidRDefault="00E54B42" w:rsidP="00B74492">
      <w:pPr>
        <w:pStyle w:val="Default"/>
        <w:spacing w:before="0" w:after="0" w:line="240" w:lineRule="auto"/>
        <w:ind w:firstLine="720"/>
        <w:jc w:val="both"/>
        <w:rPr>
          <w:color w:val="auto"/>
          <w:lang w:val="en-US"/>
        </w:rPr>
      </w:pPr>
      <w:r w:rsidRPr="00347E5F">
        <w:rPr>
          <w:rStyle w:val="y2iqfc"/>
          <w:color w:val="202124"/>
          <w:lang w:val="en-US"/>
        </w:rPr>
        <w:t>The operational profitability of Romanian banks, before the COVID 19 pandemic, had a positive dynamic, due to the “improvement of operating revenues, under the influence of accelerating growth of the national currency component of loans to the private sector, partially diminished by the continued upward trend in spending as a consequence of the increase in salary packages.” (BNR, 2019). For a regional analysis, data prior to the COVID 19 period show that the Czech banking sector recorded lower values, below 50 %, achieving efficient operating profitability, while those in Finland, Austria, Estonia, Italy, Luxembourg, France, Cyprus recorded high values, over 60 %, (60.29 %, 61.52 %, 65.18 %, 65.67 %, 67.76 %, 71.21 % and 73.94 %, respectively, at the end of 2019), indicating operational profitability deficient. In order to improve operational profitability, some banks have introduced organizational changes (such as outsourcing), reduced the territorial structure (number of branches), but also the number of employees.</w:t>
      </w:r>
      <w:r w:rsidR="00642D7A" w:rsidRPr="00347E5F">
        <w:rPr>
          <w:rStyle w:val="y2iqfc"/>
          <w:color w:val="202124"/>
          <w:lang w:val="en-US"/>
        </w:rPr>
        <w:t xml:space="preserve"> </w:t>
      </w:r>
      <w:r w:rsidR="00642D7A" w:rsidRPr="00347E5F">
        <w:rPr>
          <w:rFonts w:eastAsia="MyriadPro-Regular"/>
          <w:lang w:val="en-US"/>
        </w:rPr>
        <w:t>(Staikouras C. Mamatzakis E. and Koutsomanoli-Filippaki A. 2008).</w:t>
      </w:r>
      <w:r w:rsidR="00642D7A" w:rsidRPr="00347E5F">
        <w:rPr>
          <w:lang w:val="en-US"/>
        </w:rPr>
        <w:t xml:space="preserve"> </w:t>
      </w:r>
      <w:r w:rsidR="00642D7A" w:rsidRPr="00347E5F">
        <w:rPr>
          <w:rFonts w:eastAsia="MyriadPro-Regular"/>
          <w:lang w:val="en-US"/>
        </w:rPr>
        <w:t>Elekdag S. si Mitra S. (2020). Elekdag S. si Mitra S. (2020) noted that lower cost / income ratio are associated to a higher return.</w:t>
      </w:r>
    </w:p>
    <w:p w14:paraId="018A1D8D" w14:textId="77777777" w:rsidR="00E54B42" w:rsidRPr="00347E5F" w:rsidRDefault="00E54B42" w:rsidP="00ED320D">
      <w:pPr>
        <w:pStyle w:val="Default"/>
        <w:spacing w:before="0" w:after="0" w:line="240" w:lineRule="auto"/>
        <w:jc w:val="both"/>
        <w:rPr>
          <w:color w:val="auto"/>
          <w:lang w:val="en-US"/>
        </w:rPr>
      </w:pPr>
    </w:p>
    <w:p w14:paraId="60DA5A58" w14:textId="14CC7978" w:rsidR="00A27AD1" w:rsidRDefault="00501B2F" w:rsidP="00ED320D">
      <w:pPr>
        <w:pStyle w:val="Listparagraf"/>
        <w:numPr>
          <w:ilvl w:val="0"/>
          <w:numId w:val="9"/>
        </w:numPr>
        <w:spacing w:before="0" w:after="0" w:line="240" w:lineRule="auto"/>
        <w:jc w:val="both"/>
        <w:rPr>
          <w:rFonts w:ascii="Times New Roman" w:hAnsi="Times New Roman"/>
          <w:b/>
          <w:bCs/>
          <w:sz w:val="24"/>
          <w:szCs w:val="24"/>
        </w:rPr>
      </w:pPr>
      <w:r w:rsidRPr="00347E5F">
        <w:rPr>
          <w:rFonts w:ascii="Times New Roman" w:hAnsi="Times New Roman"/>
          <w:b/>
          <w:bCs/>
          <w:sz w:val="24"/>
          <w:szCs w:val="24"/>
        </w:rPr>
        <w:t>CON</w:t>
      </w:r>
      <w:r w:rsidR="0009420F">
        <w:rPr>
          <w:rFonts w:ascii="Times New Roman" w:hAnsi="Times New Roman"/>
          <w:b/>
          <w:bCs/>
          <w:sz w:val="24"/>
          <w:szCs w:val="24"/>
        </w:rPr>
        <w:t>CLUSION</w:t>
      </w:r>
    </w:p>
    <w:p w14:paraId="035CAD37" w14:textId="77777777" w:rsidR="00D4612B" w:rsidRPr="00D4612B" w:rsidRDefault="00D4612B" w:rsidP="00D4612B">
      <w:pPr>
        <w:spacing w:before="0" w:after="0" w:line="240" w:lineRule="auto"/>
        <w:ind w:left="720"/>
        <w:jc w:val="both"/>
        <w:rPr>
          <w:rFonts w:ascii="Times New Roman" w:hAnsi="Times New Roman"/>
          <w:b/>
          <w:bCs/>
          <w:sz w:val="24"/>
          <w:szCs w:val="24"/>
        </w:rPr>
      </w:pPr>
    </w:p>
    <w:p w14:paraId="0BE76E10" w14:textId="3F15B83C" w:rsidR="00A82D18" w:rsidRPr="00347E5F" w:rsidRDefault="00A82D18" w:rsidP="00B7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20"/>
        <w:jc w:val="both"/>
        <w:rPr>
          <w:rFonts w:ascii="Times New Roman" w:hAnsi="Times New Roman"/>
          <w:color w:val="202124"/>
          <w:sz w:val="24"/>
          <w:szCs w:val="42"/>
          <w:lang w:eastAsia="ro-RO" w:bidi="ar-SA"/>
        </w:rPr>
      </w:pPr>
      <w:r w:rsidRPr="00347E5F">
        <w:rPr>
          <w:rFonts w:ascii="Times New Roman" w:hAnsi="Times New Roman"/>
          <w:color w:val="202124"/>
          <w:sz w:val="24"/>
          <w:szCs w:val="42"/>
          <w:lang w:eastAsia="ro-RO" w:bidi="ar-SA"/>
        </w:rPr>
        <w:t xml:space="preserve">A bank's strategy must consider profitability as a precondition that influences its existence, development and future integrity. The final objective of the banking activity is to optimize the contribution of the operations it carries out and the permanent control of the costs in order to ensure the programmed level of profitability. We believe that a framework for evaluating banking performance must include an efficient organization through a clear allocation of income and expenses by business units, in relation to the different business </w:t>
      </w:r>
      <w:r w:rsidR="005640A6" w:rsidRPr="00347E5F">
        <w:rPr>
          <w:rFonts w:ascii="Times New Roman" w:hAnsi="Times New Roman"/>
          <w:color w:val="202124"/>
          <w:sz w:val="24"/>
          <w:szCs w:val="42"/>
          <w:lang w:eastAsia="ro-RO" w:bidi="ar-SA"/>
        </w:rPr>
        <w:t>directions</w:t>
      </w:r>
      <w:r w:rsidRPr="00347E5F">
        <w:rPr>
          <w:rFonts w:ascii="Times New Roman" w:hAnsi="Times New Roman"/>
          <w:color w:val="202124"/>
          <w:sz w:val="24"/>
          <w:szCs w:val="42"/>
          <w:lang w:eastAsia="ro-RO" w:bidi="ar-SA"/>
        </w:rPr>
        <w:t xml:space="preserve"> and / or products.</w:t>
      </w:r>
    </w:p>
    <w:p w14:paraId="05E7CA21" w14:textId="0B5A10F5" w:rsidR="00A82D18" w:rsidRPr="00347E5F" w:rsidRDefault="00AF5980" w:rsidP="00B74492">
      <w:pPr>
        <w:autoSpaceDE w:val="0"/>
        <w:autoSpaceDN w:val="0"/>
        <w:adjustRightInd w:val="0"/>
        <w:spacing w:before="0" w:after="0" w:line="240" w:lineRule="auto"/>
        <w:ind w:firstLine="720"/>
        <w:jc w:val="both"/>
        <w:rPr>
          <w:rFonts w:ascii="Times New Roman" w:hAnsi="Times New Roman"/>
          <w:color w:val="202124"/>
          <w:sz w:val="24"/>
          <w:szCs w:val="24"/>
          <w:shd w:val="clear" w:color="auto" w:fill="FFFFFF" w:themeFill="background1"/>
          <w:lang w:eastAsia="ro-RO"/>
        </w:rPr>
      </w:pPr>
      <w:r w:rsidRPr="00347E5F">
        <w:rPr>
          <w:rFonts w:ascii="Times New Roman" w:hAnsi="Times New Roman"/>
          <w:color w:val="202124"/>
          <w:sz w:val="24"/>
          <w:szCs w:val="24"/>
          <w:shd w:val="clear" w:color="auto" w:fill="FFFFFF" w:themeFill="background1"/>
          <w:lang w:eastAsia="ro-RO"/>
        </w:rPr>
        <w:t>A bank's strategy must consider profitability as a precondition that influences the existence, development and future integrity of the bank. The final objective of the banking activity is to optimize the contribution of the operations it carries out and the permanent control of the costs in order to ensure the programmed level of profitability. We believe that a framework for evaluating banking performance must include an efficient organization through a clear allocation of income and expenses by business units, in relation to the different business lines and / or products.</w:t>
      </w:r>
    </w:p>
    <w:p w14:paraId="0AFBC496" w14:textId="72324323" w:rsidR="00AF5980" w:rsidRPr="00347E5F" w:rsidRDefault="00AF5980" w:rsidP="00B74492">
      <w:pPr>
        <w:pStyle w:val="PreformatatHTML"/>
        <w:ind w:firstLine="720"/>
        <w:jc w:val="both"/>
        <w:rPr>
          <w:rFonts w:ascii="Times New Roman" w:hAnsi="Times New Roman" w:cs="Times New Roman"/>
          <w:color w:val="202124"/>
          <w:sz w:val="24"/>
          <w:szCs w:val="24"/>
          <w:lang w:val="en-US"/>
        </w:rPr>
      </w:pPr>
      <w:r w:rsidRPr="00347E5F">
        <w:rPr>
          <w:rStyle w:val="y2iqfc"/>
          <w:rFonts w:ascii="Times New Roman" w:hAnsi="Times New Roman" w:cs="Times New Roman"/>
          <w:color w:val="202124"/>
          <w:sz w:val="24"/>
          <w:szCs w:val="24"/>
          <w:lang w:val="en-US"/>
        </w:rPr>
        <w:t>The general profitability of the bank, as a final synthesis indicator of the entire activity, can be a resultant of the profitability derived from the profit centers which, in turn, will reflect the profitability of customers and, further, of the most efficient products and services offered to these customers. Also, the system of banking performance indicators can indicate both a synthetic and a comprehensive image of the bank, but in no case a complete picture of the results of a bank's activity. Therefore, these indicators need to be compared with similar indicators in order to be able to determine the real position of the bank in terms of profitability.</w:t>
      </w:r>
    </w:p>
    <w:p w14:paraId="0ACD9858" w14:textId="37BD3F4D" w:rsidR="00AF5980" w:rsidRPr="00347E5F" w:rsidRDefault="00AF5980" w:rsidP="00B74492">
      <w:pPr>
        <w:pStyle w:val="PreformatatHTML"/>
        <w:ind w:firstLine="720"/>
        <w:jc w:val="both"/>
        <w:rPr>
          <w:rFonts w:ascii="Times New Roman" w:hAnsi="Times New Roman" w:cs="Times New Roman"/>
          <w:color w:val="202124"/>
          <w:sz w:val="24"/>
          <w:szCs w:val="24"/>
          <w:lang w:val="en-US"/>
        </w:rPr>
      </w:pPr>
      <w:r w:rsidRPr="00347E5F">
        <w:rPr>
          <w:rStyle w:val="y2iqfc"/>
          <w:rFonts w:ascii="Times New Roman" w:hAnsi="Times New Roman" w:cs="Times New Roman"/>
          <w:color w:val="202124"/>
          <w:sz w:val="24"/>
          <w:szCs w:val="24"/>
          <w:shd w:val="clear" w:color="auto" w:fill="FFFFFF" w:themeFill="background1"/>
          <w:lang w:val="en-US"/>
        </w:rPr>
        <w:t xml:space="preserve">The comparative analysis presented in this paper, prior to the COVID 19 pandemic, shows that Romanian banks are well positioned, if we discuss about of profitability, above the EU average. At the end of 2019, the values of the main indicators of profitability, economic profitability (1.67%), financial profitability (15.22%), cost / income ratio (50.21%) remained high, but the annual average for each indicator obtained in the EU area (0.38%, 5.38% and 64.67%, respectively) positions the Romanian banking sector on the twelfth and eleventh position among </w:t>
      </w:r>
      <w:r w:rsidRPr="00347E5F">
        <w:rPr>
          <w:rStyle w:val="y2iqfc"/>
          <w:rFonts w:ascii="Times New Roman" w:hAnsi="Times New Roman" w:cs="Times New Roman"/>
          <w:color w:val="202124"/>
          <w:sz w:val="24"/>
          <w:szCs w:val="24"/>
          <w:shd w:val="clear" w:color="auto" w:fill="FFFFFF" w:themeFill="background1"/>
          <w:lang w:val="en-US"/>
        </w:rPr>
        <w:lastRenderedPageBreak/>
        <w:t>the EU states. Based on the results obtained, we consider that the Romanian banking sector has entered the crisis generated by the COVID 19 pandemic with significantly better financial health compared to the financial crisis of 2008, and this feature is valid for most European banking systems.</w:t>
      </w:r>
    </w:p>
    <w:p w14:paraId="6B4E647C" w14:textId="77777777" w:rsidR="007002C0" w:rsidRPr="00347E5F" w:rsidRDefault="007002C0" w:rsidP="00ED320D">
      <w:pPr>
        <w:spacing w:before="0" w:after="0" w:line="240" w:lineRule="auto"/>
        <w:jc w:val="both"/>
        <w:rPr>
          <w:rFonts w:ascii="Times New Roman" w:hAnsi="Times New Roman"/>
          <w:b/>
          <w:bCs/>
          <w:sz w:val="24"/>
          <w:szCs w:val="24"/>
        </w:rPr>
      </w:pPr>
    </w:p>
    <w:p w14:paraId="774D26FB" w14:textId="026E20B9" w:rsidR="00E0159D" w:rsidRDefault="001D73EE" w:rsidP="00ED320D">
      <w:pPr>
        <w:spacing w:before="0" w:after="0" w:line="240" w:lineRule="auto"/>
        <w:ind w:left="720"/>
        <w:jc w:val="both"/>
        <w:rPr>
          <w:rFonts w:ascii="Times New Roman" w:hAnsi="Times New Roman"/>
          <w:b/>
          <w:bCs/>
          <w:sz w:val="22"/>
          <w:szCs w:val="22"/>
        </w:rPr>
      </w:pPr>
      <w:r w:rsidRPr="000D3A97">
        <w:rPr>
          <w:rFonts w:ascii="Times New Roman" w:hAnsi="Times New Roman"/>
          <w:b/>
          <w:bCs/>
          <w:sz w:val="22"/>
          <w:szCs w:val="22"/>
        </w:rPr>
        <w:t>REFERENCES</w:t>
      </w:r>
    </w:p>
    <w:p w14:paraId="55EA0364" w14:textId="77777777" w:rsidR="00D4612B" w:rsidRPr="000D3A97" w:rsidRDefault="00D4612B" w:rsidP="00D4612B">
      <w:pPr>
        <w:spacing w:before="0" w:after="0" w:line="240" w:lineRule="auto"/>
        <w:jc w:val="both"/>
        <w:rPr>
          <w:rFonts w:ascii="Times New Roman" w:hAnsi="Times New Roman"/>
          <w:b/>
          <w:bCs/>
          <w:sz w:val="22"/>
          <w:szCs w:val="22"/>
        </w:rPr>
      </w:pPr>
    </w:p>
    <w:p w14:paraId="6ABFD76A" w14:textId="5224865B" w:rsidR="00B47A29" w:rsidRPr="000D3A97" w:rsidRDefault="00B47A29"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Apătăchioaie A., (2015), </w:t>
      </w:r>
      <w:r w:rsidRPr="000D3A97">
        <w:rPr>
          <w:rStyle w:val="google-src-text"/>
          <w:rFonts w:ascii="Times New Roman" w:hAnsi="Times New Roman"/>
          <w:i/>
          <w:iCs/>
          <w:sz w:val="22"/>
          <w:szCs w:val="22"/>
        </w:rPr>
        <w:t>The performance, banking risks and their regulation</w:t>
      </w:r>
      <w:r w:rsidRPr="000D3A97">
        <w:rPr>
          <w:rStyle w:val="google-src-text"/>
          <w:rFonts w:ascii="Times New Roman" w:hAnsi="Times New Roman"/>
          <w:sz w:val="22"/>
          <w:szCs w:val="22"/>
        </w:rPr>
        <w:t xml:space="preserve">, Procedia Economics and Financce 20, International Conference on Globalization and Higher Education in Economics and Business Administration, GEBA, 2013, </w:t>
      </w:r>
      <w:hyperlink r:id="rId17" w:history="1">
        <w:r w:rsidRPr="000D3A97">
          <w:rPr>
            <w:rStyle w:val="Hyperlink"/>
            <w:rFonts w:ascii="Times New Roman" w:hAnsi="Times New Roman"/>
            <w:sz w:val="22"/>
            <w:szCs w:val="22"/>
          </w:rPr>
          <w:t>https://doi.org/10.1016/S2212-5671(15)00044-1</w:t>
        </w:r>
      </w:hyperlink>
      <w:r w:rsidRPr="000D3A97">
        <w:rPr>
          <w:rStyle w:val="google-src-text"/>
          <w:rFonts w:ascii="Times New Roman" w:hAnsi="Times New Roman"/>
          <w:sz w:val="22"/>
          <w:szCs w:val="22"/>
        </w:rPr>
        <w:t xml:space="preserve"> </w:t>
      </w:r>
    </w:p>
    <w:p w14:paraId="06AAFE96" w14:textId="5E59211E" w:rsidR="00FA634B" w:rsidRPr="000D3A97" w:rsidRDefault="00FA634B"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Elekdag S., Mitra S., </w:t>
      </w:r>
      <w:r w:rsidR="000D3A97">
        <w:rPr>
          <w:rStyle w:val="google-src-text"/>
          <w:rFonts w:ascii="Times New Roman" w:hAnsi="Times New Roman"/>
          <w:sz w:val="22"/>
          <w:szCs w:val="22"/>
        </w:rPr>
        <w:t xml:space="preserve">(2020), </w:t>
      </w:r>
      <w:r w:rsidRPr="000D3A97">
        <w:rPr>
          <w:rStyle w:val="google-src-text"/>
          <w:rFonts w:ascii="Times New Roman" w:hAnsi="Times New Roman"/>
          <w:i/>
          <w:iCs/>
          <w:sz w:val="22"/>
          <w:szCs w:val="22"/>
        </w:rPr>
        <w:t>Breaking the Bank? A probabilistic assement of euro are bank profitability</w:t>
      </w:r>
      <w:r w:rsidRPr="000D3A97">
        <w:rPr>
          <w:rStyle w:val="google-src-text"/>
          <w:rFonts w:ascii="Times New Roman" w:hAnsi="Times New Roman"/>
          <w:sz w:val="22"/>
          <w:szCs w:val="22"/>
        </w:rPr>
        <w:t xml:space="preserve">, Journal of Banking and Finance, vol. 120, nov 2020, </w:t>
      </w:r>
      <w:hyperlink r:id="rId18" w:history="1">
        <w:r w:rsidRPr="000D3A97">
          <w:rPr>
            <w:rStyle w:val="Hyperlink"/>
            <w:rFonts w:ascii="Times New Roman" w:hAnsi="Times New Roman"/>
            <w:sz w:val="22"/>
            <w:szCs w:val="22"/>
          </w:rPr>
          <w:t>https://doi.org/10.1016/j.jbankfin.2020.105949</w:t>
        </w:r>
      </w:hyperlink>
      <w:r w:rsidRPr="000D3A97">
        <w:rPr>
          <w:rStyle w:val="google-src-text"/>
          <w:rFonts w:ascii="Times New Roman" w:hAnsi="Times New Roman"/>
          <w:sz w:val="22"/>
          <w:szCs w:val="22"/>
        </w:rPr>
        <w:t xml:space="preserve"> </w:t>
      </w:r>
    </w:p>
    <w:p w14:paraId="62EDA23B" w14:textId="5CF13A6C" w:rsidR="008B5AB8" w:rsidRPr="000D3A97" w:rsidRDefault="008B5AB8"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ECB (European Central Bank)</w:t>
      </w:r>
      <w:r w:rsidR="00243776" w:rsidRPr="000D3A97">
        <w:rPr>
          <w:rStyle w:val="google-src-text"/>
          <w:rFonts w:ascii="Times New Roman" w:hAnsi="Times New Roman"/>
          <w:sz w:val="22"/>
          <w:szCs w:val="22"/>
        </w:rPr>
        <w:t>,</w:t>
      </w:r>
      <w:r w:rsidRPr="000D3A97">
        <w:rPr>
          <w:rStyle w:val="google-src-text"/>
          <w:rFonts w:ascii="Times New Roman" w:hAnsi="Times New Roman"/>
          <w:sz w:val="22"/>
          <w:szCs w:val="22"/>
        </w:rPr>
        <w:t xml:space="preserve"> </w:t>
      </w:r>
      <w:r w:rsidR="000D3A97">
        <w:rPr>
          <w:rStyle w:val="google-src-text"/>
          <w:rFonts w:ascii="Times New Roman" w:hAnsi="Times New Roman"/>
          <w:sz w:val="22"/>
          <w:szCs w:val="22"/>
        </w:rPr>
        <w:t>(</w:t>
      </w:r>
      <w:r w:rsidRPr="000D3A97">
        <w:rPr>
          <w:rStyle w:val="google-src-text"/>
          <w:rFonts w:ascii="Times New Roman" w:hAnsi="Times New Roman"/>
          <w:sz w:val="22"/>
          <w:szCs w:val="22"/>
        </w:rPr>
        <w:t>2019</w:t>
      </w:r>
      <w:r w:rsidR="000D3A97">
        <w:rPr>
          <w:rStyle w:val="google-src-text"/>
          <w:rFonts w:ascii="Times New Roman" w:hAnsi="Times New Roman"/>
          <w:sz w:val="22"/>
          <w:szCs w:val="22"/>
        </w:rPr>
        <w:t>)</w:t>
      </w:r>
      <w:r w:rsidRPr="000D3A97">
        <w:rPr>
          <w:rStyle w:val="google-src-text"/>
          <w:rFonts w:ascii="Times New Roman" w:hAnsi="Times New Roman"/>
          <w:sz w:val="22"/>
          <w:szCs w:val="22"/>
        </w:rPr>
        <w:t xml:space="preserve">, </w:t>
      </w:r>
      <w:r w:rsidRPr="000D3A97">
        <w:rPr>
          <w:rStyle w:val="google-src-text"/>
          <w:rFonts w:ascii="Times New Roman" w:hAnsi="Times New Roman"/>
          <w:i/>
          <w:iCs/>
          <w:sz w:val="22"/>
          <w:szCs w:val="22"/>
        </w:rPr>
        <w:t>Financial Stability Review</w:t>
      </w:r>
      <w:r w:rsidRPr="000D3A97">
        <w:rPr>
          <w:rStyle w:val="google-src-text"/>
          <w:rFonts w:ascii="Times New Roman" w:hAnsi="Times New Roman"/>
          <w:sz w:val="22"/>
          <w:szCs w:val="22"/>
        </w:rPr>
        <w:t>, European Central Bank, Frankfurt 2019</w:t>
      </w:r>
    </w:p>
    <w:p w14:paraId="27F84D2F" w14:textId="173473D6" w:rsidR="00243776" w:rsidRPr="000D3A97" w:rsidRDefault="00243776"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EBA (European Bank Autority), </w:t>
      </w:r>
      <w:r w:rsidR="000D3A97">
        <w:rPr>
          <w:rStyle w:val="google-src-text"/>
          <w:rFonts w:ascii="Times New Roman" w:hAnsi="Times New Roman"/>
          <w:sz w:val="22"/>
          <w:szCs w:val="22"/>
        </w:rPr>
        <w:t>(</w:t>
      </w:r>
      <w:r w:rsidRPr="000D3A97">
        <w:rPr>
          <w:rStyle w:val="google-src-text"/>
          <w:rFonts w:ascii="Times New Roman" w:hAnsi="Times New Roman"/>
          <w:sz w:val="22"/>
          <w:szCs w:val="22"/>
        </w:rPr>
        <w:t>2018</w:t>
      </w:r>
      <w:r w:rsidR="000D3A97">
        <w:rPr>
          <w:rStyle w:val="google-src-text"/>
          <w:rFonts w:ascii="Times New Roman" w:hAnsi="Times New Roman"/>
          <w:sz w:val="22"/>
          <w:szCs w:val="22"/>
        </w:rPr>
        <w:t>)</w:t>
      </w:r>
      <w:r w:rsidRPr="000D3A97">
        <w:rPr>
          <w:rStyle w:val="google-src-text"/>
          <w:rFonts w:ascii="Times New Roman" w:hAnsi="Times New Roman"/>
          <w:sz w:val="22"/>
          <w:szCs w:val="22"/>
        </w:rPr>
        <w:t xml:space="preserve">, </w:t>
      </w:r>
      <w:r w:rsidRPr="000D3A97">
        <w:rPr>
          <w:rStyle w:val="google-src-text"/>
          <w:rFonts w:ascii="Times New Roman" w:hAnsi="Times New Roman"/>
          <w:i/>
          <w:iCs/>
          <w:sz w:val="22"/>
          <w:szCs w:val="22"/>
        </w:rPr>
        <w:t>Raport anual 2018</w:t>
      </w:r>
      <w:r w:rsidR="00B06DD9" w:rsidRPr="000D3A97">
        <w:rPr>
          <w:rStyle w:val="google-src-text"/>
          <w:rFonts w:ascii="Times New Roman" w:hAnsi="Times New Roman"/>
          <w:sz w:val="22"/>
          <w:szCs w:val="22"/>
        </w:rPr>
        <w:t xml:space="preserve">. </w:t>
      </w:r>
    </w:p>
    <w:p w14:paraId="4202FE4F" w14:textId="04DDD9D3" w:rsidR="00B06DD9" w:rsidRPr="000D3A97" w:rsidRDefault="00B06DD9"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EBF (European Federal Bank), </w:t>
      </w:r>
      <w:r w:rsidR="000D3A97">
        <w:rPr>
          <w:rStyle w:val="google-src-text"/>
          <w:rFonts w:ascii="Times New Roman" w:hAnsi="Times New Roman"/>
          <w:sz w:val="22"/>
          <w:szCs w:val="22"/>
        </w:rPr>
        <w:t>(</w:t>
      </w:r>
      <w:r w:rsidRPr="000D3A97">
        <w:rPr>
          <w:rStyle w:val="google-src-text"/>
          <w:rFonts w:ascii="Times New Roman" w:hAnsi="Times New Roman"/>
          <w:sz w:val="22"/>
          <w:szCs w:val="22"/>
        </w:rPr>
        <w:t>2019</w:t>
      </w:r>
      <w:r w:rsidR="000D3A97">
        <w:rPr>
          <w:rStyle w:val="google-src-text"/>
          <w:rFonts w:ascii="Times New Roman" w:hAnsi="Times New Roman"/>
          <w:sz w:val="22"/>
          <w:szCs w:val="22"/>
        </w:rPr>
        <w:t>)</w:t>
      </w:r>
      <w:r w:rsidRPr="000D3A97">
        <w:rPr>
          <w:rStyle w:val="google-src-text"/>
          <w:rFonts w:ascii="Times New Roman" w:hAnsi="Times New Roman"/>
          <w:sz w:val="22"/>
          <w:szCs w:val="22"/>
        </w:rPr>
        <w:t xml:space="preserve">, </w:t>
      </w:r>
      <w:r w:rsidRPr="000D3A97">
        <w:rPr>
          <w:rStyle w:val="google-src-text"/>
          <w:rFonts w:ascii="Times New Roman" w:hAnsi="Times New Roman"/>
          <w:i/>
          <w:iCs/>
          <w:sz w:val="22"/>
          <w:szCs w:val="22"/>
        </w:rPr>
        <w:t>Banking sectors performance 2019</w:t>
      </w:r>
      <w:r w:rsidRPr="000D3A97">
        <w:rPr>
          <w:rStyle w:val="google-src-text"/>
          <w:rFonts w:ascii="Times New Roman" w:hAnsi="Times New Roman"/>
          <w:sz w:val="22"/>
          <w:szCs w:val="22"/>
        </w:rPr>
        <w:t>.</w:t>
      </w:r>
    </w:p>
    <w:p w14:paraId="5C32E336" w14:textId="4A1FC15E" w:rsidR="00D3304F" w:rsidRPr="000D3A97" w:rsidRDefault="00D3304F"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Goddard J., Molyneux P., JOS Wilson,</w:t>
      </w:r>
      <w:r w:rsidR="000D3A97">
        <w:rPr>
          <w:rStyle w:val="google-src-text"/>
          <w:rFonts w:ascii="Times New Roman" w:hAnsi="Times New Roman"/>
          <w:sz w:val="22"/>
          <w:szCs w:val="22"/>
        </w:rPr>
        <w:t xml:space="preserve"> (2004),</w:t>
      </w:r>
      <w:r w:rsidRPr="000D3A97">
        <w:rPr>
          <w:rStyle w:val="google-src-text"/>
          <w:rFonts w:ascii="Times New Roman" w:hAnsi="Times New Roman"/>
          <w:sz w:val="22"/>
          <w:szCs w:val="22"/>
        </w:rPr>
        <w:t xml:space="preserve"> </w:t>
      </w:r>
      <w:r w:rsidRPr="000D3A97">
        <w:rPr>
          <w:rStyle w:val="google-src-text"/>
          <w:rFonts w:ascii="Times New Roman" w:hAnsi="Times New Roman"/>
          <w:i/>
          <w:iCs/>
          <w:sz w:val="22"/>
          <w:szCs w:val="22"/>
        </w:rPr>
        <w:t>The profitability of European banks: a cross-sectional and diynamic panel analysis</w:t>
      </w:r>
      <w:r w:rsidRPr="000D3A97">
        <w:rPr>
          <w:rStyle w:val="google-src-text"/>
          <w:rFonts w:ascii="Times New Roman" w:hAnsi="Times New Roman"/>
          <w:sz w:val="22"/>
          <w:szCs w:val="22"/>
        </w:rPr>
        <w:t>, The Manchester School, vol.72, no.3, june 2004.</w:t>
      </w:r>
    </w:p>
    <w:p w14:paraId="3D361B48" w14:textId="35CBF4FC" w:rsidR="00647A72" w:rsidRPr="000D3A97" w:rsidRDefault="00647A72"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Goddard J., Molyneux P., Wilson JOS, Tavakoli M., (2007), European baking: An overview, Journal of Banking and Finance 31</w:t>
      </w:r>
      <w:r w:rsidR="00D3304F" w:rsidRPr="000D3A97">
        <w:rPr>
          <w:rStyle w:val="google-src-text"/>
          <w:rFonts w:ascii="Times New Roman" w:hAnsi="Times New Roman"/>
          <w:sz w:val="22"/>
          <w:szCs w:val="22"/>
        </w:rPr>
        <w:t xml:space="preserve">, </w:t>
      </w:r>
      <w:hyperlink r:id="rId19" w:history="1">
        <w:r w:rsidR="00D3304F" w:rsidRPr="000D3A97">
          <w:rPr>
            <w:rStyle w:val="Hyperlink"/>
            <w:rFonts w:ascii="Times New Roman" w:hAnsi="Times New Roman"/>
            <w:sz w:val="22"/>
            <w:szCs w:val="22"/>
          </w:rPr>
          <w:t>https://doi.org/10.1016/j.jbankfin.2007.01.002</w:t>
        </w:r>
      </w:hyperlink>
      <w:r w:rsidR="00D3304F" w:rsidRPr="000D3A97">
        <w:rPr>
          <w:rStyle w:val="google-src-text"/>
          <w:rFonts w:ascii="Times New Roman" w:hAnsi="Times New Roman"/>
          <w:sz w:val="22"/>
          <w:szCs w:val="22"/>
        </w:rPr>
        <w:t xml:space="preserve"> </w:t>
      </w:r>
    </w:p>
    <w:p w14:paraId="03E1E6CB" w14:textId="08F8EB94" w:rsidR="003C4E69" w:rsidRPr="000D3A97" w:rsidRDefault="003C4E69"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Greuning HV, Brajovic Bratanovic S., (2003), </w:t>
      </w:r>
      <w:r w:rsidRPr="000D3A97">
        <w:rPr>
          <w:rStyle w:val="google-src-text"/>
          <w:rFonts w:ascii="Times New Roman" w:hAnsi="Times New Roman"/>
          <w:i/>
          <w:iCs/>
          <w:sz w:val="22"/>
          <w:szCs w:val="22"/>
        </w:rPr>
        <w:t>Analyzing and Managing Banking Risk: A Framework for Assessing Corporate Governance and Financial Risk Management</w:t>
      </w:r>
      <w:r w:rsidRPr="000D3A97">
        <w:rPr>
          <w:rStyle w:val="google-src-text"/>
          <w:rFonts w:ascii="Times New Roman" w:hAnsi="Times New Roman"/>
          <w:sz w:val="22"/>
          <w:szCs w:val="22"/>
        </w:rPr>
        <w:t>, second edition, World Bank Publication, The World Bank</w:t>
      </w:r>
      <w:r w:rsidR="000D3A97">
        <w:rPr>
          <w:rStyle w:val="google-src-text"/>
          <w:rFonts w:ascii="Times New Roman" w:hAnsi="Times New Roman"/>
          <w:sz w:val="22"/>
          <w:szCs w:val="22"/>
        </w:rPr>
        <w:t>.</w:t>
      </w:r>
    </w:p>
    <w:p w14:paraId="03719D50" w14:textId="662A7A84" w:rsidR="00F97E7D" w:rsidRPr="000D3A97" w:rsidRDefault="008D5872"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Nedelescu</w:t>
      </w:r>
      <w:r w:rsidR="00D90CBC" w:rsidRPr="000D3A97">
        <w:rPr>
          <w:rStyle w:val="google-src-text"/>
          <w:rFonts w:ascii="Times New Roman" w:hAnsi="Times New Roman"/>
          <w:sz w:val="22"/>
          <w:szCs w:val="22"/>
        </w:rPr>
        <w:t>,</w:t>
      </w:r>
      <w:r w:rsidRPr="000D3A97">
        <w:rPr>
          <w:rStyle w:val="google-src-text"/>
          <w:rFonts w:ascii="Times New Roman" w:hAnsi="Times New Roman"/>
          <w:sz w:val="22"/>
          <w:szCs w:val="22"/>
        </w:rPr>
        <w:t xml:space="preserve"> M., Bunescu P. (2017)</w:t>
      </w:r>
      <w:r w:rsidR="00E30C4D" w:rsidRPr="000D3A97">
        <w:rPr>
          <w:rStyle w:val="google-src-text"/>
          <w:rFonts w:ascii="Times New Roman" w:hAnsi="Times New Roman"/>
          <w:sz w:val="22"/>
          <w:szCs w:val="22"/>
        </w:rPr>
        <w:t>.</w:t>
      </w:r>
      <w:r w:rsidRPr="000D3A97">
        <w:rPr>
          <w:rStyle w:val="google-src-text"/>
          <w:rFonts w:ascii="Times New Roman" w:hAnsi="Times New Roman"/>
          <w:sz w:val="22"/>
          <w:szCs w:val="22"/>
        </w:rPr>
        <w:t xml:space="preserve"> </w:t>
      </w:r>
      <w:r w:rsidRPr="000D3A97">
        <w:rPr>
          <w:rStyle w:val="google-src-text"/>
          <w:rFonts w:ascii="Times New Roman" w:hAnsi="Times New Roman"/>
          <w:i/>
          <w:iCs/>
          <w:sz w:val="22"/>
          <w:szCs w:val="22"/>
        </w:rPr>
        <w:t>Gestiune bancară</w:t>
      </w:r>
      <w:r w:rsidRPr="000D3A97">
        <w:rPr>
          <w:rStyle w:val="google-src-text"/>
          <w:rFonts w:ascii="Times New Roman" w:hAnsi="Times New Roman"/>
          <w:sz w:val="22"/>
          <w:szCs w:val="22"/>
        </w:rPr>
        <w:t>, Editura Pro Universitaria, București</w:t>
      </w:r>
      <w:r w:rsidR="00D90CBC" w:rsidRPr="000D3A97">
        <w:rPr>
          <w:rStyle w:val="google-src-text"/>
          <w:rFonts w:ascii="Times New Roman" w:hAnsi="Times New Roman"/>
          <w:sz w:val="22"/>
          <w:szCs w:val="22"/>
        </w:rPr>
        <w:t>.</w:t>
      </w:r>
    </w:p>
    <w:p w14:paraId="0476D040" w14:textId="30730656" w:rsidR="00CB001C" w:rsidRPr="000D3A97" w:rsidRDefault="00CB001C" w:rsidP="00ED320D">
      <w:pPr>
        <w:pStyle w:val="Textnotdesubsol"/>
        <w:numPr>
          <w:ilvl w:val="0"/>
          <w:numId w:val="4"/>
        </w:numPr>
        <w:spacing w:before="0"/>
        <w:ind w:left="714" w:hanging="357"/>
        <w:rPr>
          <w:sz w:val="22"/>
          <w:szCs w:val="22"/>
          <w:lang w:val="en-US"/>
        </w:rPr>
      </w:pPr>
      <w:r w:rsidRPr="000D3A97">
        <w:rPr>
          <w:sz w:val="22"/>
          <w:szCs w:val="22"/>
          <w:lang w:val="en-US"/>
        </w:rPr>
        <w:t>Niţu, I. (2002)</w:t>
      </w:r>
      <w:r w:rsidR="00942D01" w:rsidRPr="000D3A97">
        <w:rPr>
          <w:sz w:val="22"/>
          <w:szCs w:val="22"/>
          <w:lang w:val="en-US"/>
        </w:rPr>
        <w:t xml:space="preserve">, </w:t>
      </w:r>
      <w:r w:rsidRPr="000D3A97">
        <w:rPr>
          <w:i/>
          <w:iCs/>
          <w:sz w:val="22"/>
          <w:szCs w:val="22"/>
          <w:lang w:val="en-US"/>
        </w:rPr>
        <w:t>Principiile profitabilității bancare</w:t>
      </w:r>
      <w:r w:rsidRPr="000D3A97">
        <w:rPr>
          <w:sz w:val="22"/>
          <w:szCs w:val="22"/>
          <w:lang w:val="en-US"/>
        </w:rPr>
        <w:t xml:space="preserve">, Editura Expert, </w:t>
      </w:r>
      <w:r w:rsidR="00FA34FB" w:rsidRPr="000D3A97">
        <w:rPr>
          <w:sz w:val="22"/>
          <w:szCs w:val="22"/>
          <w:lang w:val="en-US"/>
        </w:rPr>
        <w:t>București</w:t>
      </w:r>
      <w:r w:rsidRPr="000D3A97">
        <w:rPr>
          <w:sz w:val="22"/>
          <w:szCs w:val="22"/>
          <w:lang w:val="en-US"/>
        </w:rPr>
        <w:t>.</w:t>
      </w:r>
    </w:p>
    <w:p w14:paraId="2DA5C232" w14:textId="2D4C0BBB" w:rsidR="00C35233" w:rsidRPr="000D3A97" w:rsidRDefault="00D90CBC" w:rsidP="00C35233">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Manolescu, G., Sîrbea Diaconescu, A. (2001)</w:t>
      </w:r>
      <w:r w:rsidR="00E30C4D" w:rsidRPr="000D3A97">
        <w:rPr>
          <w:rStyle w:val="google-src-text"/>
          <w:rFonts w:ascii="Times New Roman" w:hAnsi="Times New Roman"/>
          <w:sz w:val="22"/>
          <w:szCs w:val="22"/>
        </w:rPr>
        <w:t>.</w:t>
      </w:r>
      <w:r w:rsidR="000D3A97">
        <w:rPr>
          <w:rStyle w:val="google-src-text"/>
          <w:rFonts w:ascii="Times New Roman" w:hAnsi="Times New Roman"/>
          <w:sz w:val="22"/>
          <w:szCs w:val="22"/>
        </w:rPr>
        <w:t>, Management bancar</w:t>
      </w:r>
      <w:r w:rsidR="00E30C4D" w:rsidRPr="000D3A97">
        <w:rPr>
          <w:rStyle w:val="google-src-text"/>
          <w:rFonts w:ascii="Times New Roman" w:hAnsi="Times New Roman"/>
          <w:sz w:val="22"/>
          <w:szCs w:val="22"/>
        </w:rPr>
        <w:t xml:space="preserve">, </w:t>
      </w:r>
      <w:r w:rsidRPr="000D3A97">
        <w:rPr>
          <w:rStyle w:val="google-src-text"/>
          <w:rFonts w:ascii="Times New Roman" w:hAnsi="Times New Roman"/>
          <w:sz w:val="22"/>
          <w:szCs w:val="22"/>
        </w:rPr>
        <w:t xml:space="preserve">Editura </w:t>
      </w:r>
      <w:r w:rsidR="009A5E1D" w:rsidRPr="000D3A97">
        <w:rPr>
          <w:rStyle w:val="google-src-text"/>
          <w:rFonts w:ascii="Times New Roman" w:hAnsi="Times New Roman"/>
          <w:sz w:val="22"/>
          <w:szCs w:val="22"/>
        </w:rPr>
        <w:t>Fundației</w:t>
      </w:r>
      <w:r w:rsidRPr="000D3A97">
        <w:rPr>
          <w:rStyle w:val="google-src-text"/>
          <w:rFonts w:ascii="Times New Roman" w:hAnsi="Times New Roman"/>
          <w:sz w:val="22"/>
          <w:szCs w:val="22"/>
        </w:rPr>
        <w:t xml:space="preserve"> de Mâine, </w:t>
      </w:r>
      <w:r w:rsidR="009A5E1D" w:rsidRPr="000D3A97">
        <w:rPr>
          <w:rStyle w:val="google-src-text"/>
          <w:rFonts w:ascii="Times New Roman" w:hAnsi="Times New Roman"/>
          <w:sz w:val="22"/>
          <w:szCs w:val="22"/>
        </w:rPr>
        <w:t>București</w:t>
      </w:r>
      <w:r w:rsidRPr="000D3A97">
        <w:rPr>
          <w:rStyle w:val="google-src-text"/>
          <w:rFonts w:ascii="Times New Roman" w:hAnsi="Times New Roman"/>
          <w:sz w:val="22"/>
          <w:szCs w:val="22"/>
        </w:rPr>
        <w:t>.</w:t>
      </w:r>
    </w:p>
    <w:p w14:paraId="08AA245C" w14:textId="46A11B6B" w:rsidR="00C35233" w:rsidRPr="000D3A97" w:rsidRDefault="00D90CBC" w:rsidP="00C35233">
      <w:pPr>
        <w:pStyle w:val="Listparagraf"/>
        <w:numPr>
          <w:ilvl w:val="0"/>
          <w:numId w:val="4"/>
        </w:numPr>
        <w:spacing w:before="0" w:after="0" w:line="240" w:lineRule="auto"/>
        <w:ind w:left="714" w:hanging="357"/>
        <w:jc w:val="both"/>
        <w:rPr>
          <w:rFonts w:ascii="Times New Roman" w:hAnsi="Times New Roman"/>
          <w:sz w:val="22"/>
          <w:szCs w:val="22"/>
        </w:rPr>
      </w:pPr>
      <w:r w:rsidRPr="000D3A97">
        <w:rPr>
          <w:rStyle w:val="google-src-text"/>
          <w:rFonts w:ascii="Times New Roman" w:hAnsi="Times New Roman"/>
          <w:sz w:val="22"/>
          <w:szCs w:val="22"/>
        </w:rPr>
        <w:t>Rotaru C. (</w:t>
      </w:r>
      <w:r w:rsidR="00C35233" w:rsidRPr="000D3A97">
        <w:rPr>
          <w:rStyle w:val="google-src-text"/>
          <w:rFonts w:ascii="Times New Roman" w:hAnsi="Times New Roman"/>
          <w:sz w:val="22"/>
          <w:szCs w:val="22"/>
          <w:lang w:val="ro-RO"/>
        </w:rPr>
        <w:t>2001</w:t>
      </w:r>
      <w:r w:rsidRPr="000D3A97">
        <w:rPr>
          <w:rStyle w:val="google-src-text"/>
          <w:rFonts w:ascii="Times New Roman" w:hAnsi="Times New Roman"/>
          <w:sz w:val="22"/>
          <w:szCs w:val="22"/>
        </w:rPr>
        <w:t>)</w:t>
      </w:r>
      <w:r w:rsidR="00C35233" w:rsidRPr="000D3A97">
        <w:rPr>
          <w:rStyle w:val="google-src-text"/>
          <w:rFonts w:ascii="Times New Roman" w:hAnsi="Times New Roman"/>
          <w:sz w:val="22"/>
          <w:szCs w:val="22"/>
        </w:rPr>
        <w:t xml:space="preserve"> </w:t>
      </w:r>
      <w:r w:rsidR="00C35233" w:rsidRPr="000D3A97">
        <w:rPr>
          <w:rFonts w:ascii="Times New Roman" w:hAnsi="Times New Roman"/>
          <w:i/>
          <w:sz w:val="22"/>
          <w:szCs w:val="22"/>
          <w:lang w:val="ro-RO"/>
        </w:rPr>
        <w:t>Managementul performanței bancare</w:t>
      </w:r>
      <w:r w:rsidR="00C35233" w:rsidRPr="000D3A97">
        <w:rPr>
          <w:rFonts w:ascii="Times New Roman" w:hAnsi="Times New Roman"/>
          <w:sz w:val="22"/>
          <w:szCs w:val="22"/>
          <w:lang w:val="ro-RO"/>
        </w:rPr>
        <w:t>, Editura Expert, București, 2001</w:t>
      </w:r>
    </w:p>
    <w:p w14:paraId="7B46BCD4" w14:textId="5CCEBBD2" w:rsidR="00ED2F39" w:rsidRPr="000D3A97" w:rsidRDefault="00ED2F39"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Riadi S., (2018). </w:t>
      </w:r>
      <w:r w:rsidRPr="000D3A97">
        <w:rPr>
          <w:rStyle w:val="google-src-text"/>
          <w:rFonts w:ascii="Times New Roman" w:hAnsi="Times New Roman"/>
          <w:i/>
          <w:iCs/>
          <w:sz w:val="22"/>
          <w:szCs w:val="22"/>
        </w:rPr>
        <w:t>The effect of third parties fund, non performing loan, capital adequacy ratio, loan to deposit ratio, return on assets, net interest margin and operating expenses operating income on lending (Study in regional development bank in Indonesia)</w:t>
      </w:r>
      <w:r w:rsidRPr="000D3A97">
        <w:rPr>
          <w:rStyle w:val="google-src-text"/>
          <w:rFonts w:ascii="Times New Roman" w:hAnsi="Times New Roman"/>
          <w:sz w:val="22"/>
          <w:szCs w:val="22"/>
        </w:rPr>
        <w:t>, Proceeding of the International Conference on Industrial Engeneering and Operations Manangement Bandung, Indonesia, March 6-8, 2018</w:t>
      </w:r>
      <w:r w:rsidR="001E18D3" w:rsidRPr="000D3A97">
        <w:rPr>
          <w:rStyle w:val="google-src-text"/>
          <w:rFonts w:ascii="Times New Roman" w:hAnsi="Times New Roman"/>
          <w:sz w:val="22"/>
          <w:szCs w:val="22"/>
        </w:rPr>
        <w:t>.</w:t>
      </w:r>
    </w:p>
    <w:p w14:paraId="7371195D" w14:textId="041C0FE1" w:rsidR="00D56B9E" w:rsidRPr="000D3A97" w:rsidRDefault="00D56B9E"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Menicucci E., Paolucci,</w:t>
      </w:r>
      <w:r w:rsidR="00064C8D" w:rsidRPr="000D3A97">
        <w:rPr>
          <w:rStyle w:val="google-src-text"/>
          <w:rFonts w:ascii="Times New Roman" w:hAnsi="Times New Roman"/>
          <w:sz w:val="22"/>
          <w:szCs w:val="22"/>
        </w:rPr>
        <w:t xml:space="preserve"> (2016),</w:t>
      </w:r>
      <w:r w:rsidRPr="000D3A97">
        <w:rPr>
          <w:rStyle w:val="google-src-text"/>
          <w:rFonts w:ascii="Times New Roman" w:hAnsi="Times New Roman"/>
          <w:sz w:val="22"/>
          <w:szCs w:val="22"/>
        </w:rPr>
        <w:t xml:space="preserve"> </w:t>
      </w:r>
      <w:r w:rsidRPr="000D3A97">
        <w:rPr>
          <w:rStyle w:val="google-src-text"/>
          <w:rFonts w:ascii="Times New Roman" w:hAnsi="Times New Roman"/>
          <w:i/>
          <w:iCs/>
          <w:sz w:val="22"/>
          <w:szCs w:val="22"/>
        </w:rPr>
        <w:t>The determinats of bank profitability: empirical evidence from European banking sector</w:t>
      </w:r>
      <w:r w:rsidRPr="000D3A97">
        <w:rPr>
          <w:rStyle w:val="google-src-text"/>
          <w:rFonts w:ascii="Times New Roman" w:hAnsi="Times New Roman"/>
          <w:sz w:val="22"/>
          <w:szCs w:val="22"/>
        </w:rPr>
        <w:t xml:space="preserve">, Journal of financial reporting </w:t>
      </w:r>
      <w:r w:rsidR="00064C8D" w:rsidRPr="000D3A97">
        <w:rPr>
          <w:rStyle w:val="google-src-text"/>
          <w:rFonts w:ascii="Times New Roman" w:hAnsi="Times New Roman"/>
          <w:sz w:val="22"/>
          <w:szCs w:val="22"/>
        </w:rPr>
        <w:t>and accounting, 2016, vol. 14, issue 1</w:t>
      </w:r>
      <w:r w:rsidR="001E18D3" w:rsidRPr="000D3A97">
        <w:rPr>
          <w:rStyle w:val="google-src-text"/>
          <w:rFonts w:ascii="Times New Roman" w:hAnsi="Times New Roman"/>
          <w:sz w:val="22"/>
          <w:szCs w:val="22"/>
        </w:rPr>
        <w:t>.</w:t>
      </w:r>
    </w:p>
    <w:p w14:paraId="1A338C30" w14:textId="7B372A83" w:rsidR="002B4600" w:rsidRPr="000D3A97" w:rsidRDefault="002B4600"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NBR (National Bank </w:t>
      </w:r>
      <w:r w:rsidR="00CF6964" w:rsidRPr="000D3A97">
        <w:rPr>
          <w:rStyle w:val="google-src-text"/>
          <w:rFonts w:ascii="Times New Roman" w:hAnsi="Times New Roman"/>
          <w:sz w:val="22"/>
          <w:szCs w:val="22"/>
        </w:rPr>
        <w:t>of</w:t>
      </w:r>
      <w:r w:rsidRPr="000D3A97">
        <w:rPr>
          <w:rStyle w:val="google-src-text"/>
          <w:rFonts w:ascii="Times New Roman" w:hAnsi="Times New Roman"/>
          <w:sz w:val="22"/>
          <w:szCs w:val="22"/>
        </w:rPr>
        <w:t xml:space="preserve"> Romania), (2019), </w:t>
      </w:r>
      <w:r w:rsidRPr="000D3A97">
        <w:rPr>
          <w:rStyle w:val="google-src-text"/>
          <w:rFonts w:ascii="Times New Roman" w:hAnsi="Times New Roman"/>
          <w:i/>
          <w:iCs/>
          <w:sz w:val="22"/>
          <w:szCs w:val="22"/>
        </w:rPr>
        <w:t>Financial stability report</w:t>
      </w:r>
      <w:r w:rsidRPr="000D3A97">
        <w:rPr>
          <w:rStyle w:val="google-src-text"/>
          <w:rFonts w:ascii="Times New Roman" w:hAnsi="Times New Roman"/>
          <w:sz w:val="22"/>
          <w:szCs w:val="22"/>
        </w:rPr>
        <w:t>, december 2019.</w:t>
      </w:r>
    </w:p>
    <w:p w14:paraId="6ADAB21C" w14:textId="0D9E8F3E" w:rsidR="00847D83" w:rsidRPr="000D3A97" w:rsidRDefault="00847D83"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Pasiouras F., Kosmidou K,</w:t>
      </w:r>
      <w:r w:rsidR="00064C8D" w:rsidRPr="000D3A97">
        <w:rPr>
          <w:rStyle w:val="google-src-text"/>
          <w:rFonts w:ascii="Times New Roman" w:hAnsi="Times New Roman"/>
          <w:sz w:val="22"/>
          <w:szCs w:val="22"/>
        </w:rPr>
        <w:t xml:space="preserve"> (2007), </w:t>
      </w:r>
      <w:r w:rsidRPr="000D3A97">
        <w:rPr>
          <w:rStyle w:val="google-src-text"/>
          <w:rFonts w:ascii="Times New Roman" w:hAnsi="Times New Roman"/>
          <w:i/>
          <w:iCs/>
          <w:sz w:val="22"/>
          <w:szCs w:val="22"/>
        </w:rPr>
        <w:t>Factors influencing the profitability of domestic and foreign commercial banks in the European Union</w:t>
      </w:r>
      <w:r w:rsidRPr="000D3A97">
        <w:rPr>
          <w:rStyle w:val="google-src-text"/>
          <w:rFonts w:ascii="Times New Roman" w:hAnsi="Times New Roman"/>
          <w:sz w:val="22"/>
          <w:szCs w:val="22"/>
        </w:rPr>
        <w:t>, Research in International Business an Finance, vol. 21, issue 2, june 2007</w:t>
      </w:r>
      <w:r w:rsidR="00D56521" w:rsidRPr="000D3A97">
        <w:rPr>
          <w:rStyle w:val="google-src-text"/>
          <w:rFonts w:ascii="Times New Roman" w:hAnsi="Times New Roman"/>
          <w:sz w:val="22"/>
          <w:szCs w:val="22"/>
        </w:rPr>
        <w:t>,</w:t>
      </w:r>
      <w:r w:rsidR="00D56521" w:rsidRPr="000D3A97">
        <w:rPr>
          <w:rFonts w:ascii="Times New Roman" w:hAnsi="Times New Roman"/>
          <w:sz w:val="22"/>
          <w:szCs w:val="22"/>
        </w:rPr>
        <w:t xml:space="preserve"> </w:t>
      </w:r>
      <w:hyperlink r:id="rId20" w:history="1">
        <w:r w:rsidR="00D56521" w:rsidRPr="000D3A97">
          <w:rPr>
            <w:rStyle w:val="Hyperlink"/>
            <w:rFonts w:ascii="Times New Roman" w:hAnsi="Times New Roman"/>
            <w:sz w:val="22"/>
            <w:szCs w:val="22"/>
          </w:rPr>
          <w:t>https://doi.org/10.1016/j.ribaf.2006.03.007</w:t>
        </w:r>
      </w:hyperlink>
      <w:r w:rsidR="00D56521" w:rsidRPr="000D3A97">
        <w:rPr>
          <w:rStyle w:val="google-src-text"/>
          <w:rFonts w:ascii="Times New Roman" w:hAnsi="Times New Roman"/>
          <w:sz w:val="22"/>
          <w:szCs w:val="22"/>
        </w:rPr>
        <w:t xml:space="preserve"> </w:t>
      </w:r>
    </w:p>
    <w:p w14:paraId="14A2E002" w14:textId="2D134DD6" w:rsidR="000C2755" w:rsidRPr="000D3A97" w:rsidRDefault="000C2755"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Petersen M., Schoeman I., </w:t>
      </w:r>
      <w:r w:rsidR="00064C8D" w:rsidRPr="000D3A97">
        <w:rPr>
          <w:rStyle w:val="google-src-text"/>
          <w:rFonts w:ascii="Times New Roman" w:hAnsi="Times New Roman"/>
          <w:sz w:val="22"/>
          <w:szCs w:val="22"/>
        </w:rPr>
        <w:t xml:space="preserve">(2008), </w:t>
      </w:r>
      <w:r w:rsidRPr="000D3A97">
        <w:rPr>
          <w:rStyle w:val="google-src-text"/>
          <w:rFonts w:ascii="Times New Roman" w:hAnsi="Times New Roman"/>
          <w:i/>
          <w:iCs/>
          <w:sz w:val="22"/>
          <w:szCs w:val="22"/>
        </w:rPr>
        <w:t>Modeling of banking profit via return on assets and return on equity</w:t>
      </w:r>
      <w:r w:rsidRPr="000D3A97">
        <w:rPr>
          <w:rStyle w:val="google-src-text"/>
          <w:rFonts w:ascii="Times New Roman" w:hAnsi="Times New Roman"/>
          <w:sz w:val="22"/>
          <w:szCs w:val="22"/>
        </w:rPr>
        <w:t xml:space="preserve">, Proceedings of the World Congress on Engineering 2008, vol II, WCE 2008, jul 2, Londol, U.K. </w:t>
      </w:r>
    </w:p>
    <w:p w14:paraId="0A6E2C39" w14:textId="7B8D3807" w:rsidR="00A03FFE" w:rsidRPr="000D3A97" w:rsidRDefault="00A03FFE"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Pessarossi P., Weill L, </w:t>
      </w:r>
      <w:r w:rsidR="00064C8D" w:rsidRPr="000D3A97">
        <w:rPr>
          <w:rStyle w:val="google-src-text"/>
          <w:rFonts w:ascii="Times New Roman" w:hAnsi="Times New Roman"/>
          <w:sz w:val="22"/>
          <w:szCs w:val="22"/>
        </w:rPr>
        <w:t xml:space="preserve">(2020), </w:t>
      </w:r>
      <w:r w:rsidRPr="000D3A97">
        <w:rPr>
          <w:rStyle w:val="google-src-text"/>
          <w:rFonts w:ascii="Times New Roman" w:hAnsi="Times New Roman"/>
          <w:i/>
          <w:iCs/>
          <w:sz w:val="22"/>
          <w:szCs w:val="22"/>
        </w:rPr>
        <w:t>Does high profitability improve stability for European banks?</w:t>
      </w:r>
      <w:r w:rsidRPr="000D3A97">
        <w:rPr>
          <w:rStyle w:val="google-src-text"/>
          <w:rFonts w:ascii="Times New Roman" w:hAnsi="Times New Roman"/>
          <w:sz w:val="22"/>
          <w:szCs w:val="22"/>
        </w:rPr>
        <w:t>, Research in Internationa</w:t>
      </w:r>
      <w:r w:rsidR="00097166" w:rsidRPr="000D3A97">
        <w:rPr>
          <w:rStyle w:val="google-src-text"/>
          <w:rFonts w:ascii="Times New Roman" w:hAnsi="Times New Roman"/>
          <w:sz w:val="22"/>
          <w:szCs w:val="22"/>
        </w:rPr>
        <w:t>l</w:t>
      </w:r>
      <w:r w:rsidRPr="000D3A97">
        <w:rPr>
          <w:rStyle w:val="google-src-text"/>
          <w:rFonts w:ascii="Times New Roman" w:hAnsi="Times New Roman"/>
          <w:sz w:val="22"/>
          <w:szCs w:val="22"/>
        </w:rPr>
        <w:t xml:space="preserve"> Business and Finance, vol. 53, o</w:t>
      </w:r>
      <w:r w:rsidR="000D3A97" w:rsidRPr="000D3A97">
        <w:rPr>
          <w:rStyle w:val="google-src-text"/>
          <w:rFonts w:ascii="Times New Roman" w:hAnsi="Times New Roman"/>
          <w:sz w:val="22"/>
          <w:szCs w:val="22"/>
        </w:rPr>
        <w:t>ctober</w:t>
      </w:r>
      <w:r w:rsidRPr="000D3A97">
        <w:rPr>
          <w:rStyle w:val="google-src-text"/>
          <w:rFonts w:ascii="Times New Roman" w:hAnsi="Times New Roman"/>
          <w:sz w:val="22"/>
          <w:szCs w:val="22"/>
        </w:rPr>
        <w:t xml:space="preserve"> 2020, </w:t>
      </w:r>
      <w:hyperlink r:id="rId21" w:history="1">
        <w:r w:rsidRPr="000D3A97">
          <w:rPr>
            <w:rStyle w:val="Hyperlink"/>
            <w:rFonts w:ascii="Times New Roman" w:hAnsi="Times New Roman"/>
            <w:sz w:val="22"/>
            <w:szCs w:val="22"/>
          </w:rPr>
          <w:t>https://doi.org/10.1016/j.ribaf.2020.101220</w:t>
        </w:r>
      </w:hyperlink>
      <w:r w:rsidRPr="000D3A97">
        <w:rPr>
          <w:rStyle w:val="google-src-text"/>
          <w:rFonts w:ascii="Times New Roman" w:hAnsi="Times New Roman"/>
          <w:sz w:val="22"/>
          <w:szCs w:val="22"/>
        </w:rPr>
        <w:t xml:space="preserve"> </w:t>
      </w:r>
    </w:p>
    <w:p w14:paraId="60B3DAB4" w14:textId="623F51B5" w:rsidR="000A46CA" w:rsidRPr="000D3A97" w:rsidRDefault="000A46CA"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Sharma D., Sharma AK, Barua MK, </w:t>
      </w:r>
      <w:r w:rsidR="00064C8D" w:rsidRPr="000D3A97">
        <w:rPr>
          <w:rStyle w:val="google-src-text"/>
          <w:rFonts w:ascii="Times New Roman" w:hAnsi="Times New Roman"/>
          <w:sz w:val="22"/>
          <w:szCs w:val="22"/>
        </w:rPr>
        <w:t xml:space="preserve">(2013), </w:t>
      </w:r>
      <w:r w:rsidRPr="000D3A97">
        <w:rPr>
          <w:rStyle w:val="google-src-text"/>
          <w:rFonts w:ascii="Times New Roman" w:hAnsi="Times New Roman"/>
          <w:i/>
          <w:iCs/>
          <w:sz w:val="22"/>
          <w:szCs w:val="22"/>
        </w:rPr>
        <w:t xml:space="preserve">Efficiency and productivity of banking sector: a critical analysis of literature and design of conceptual </w:t>
      </w:r>
      <w:r w:rsidR="0077369A" w:rsidRPr="000D3A97">
        <w:rPr>
          <w:rStyle w:val="google-src-text"/>
          <w:rFonts w:ascii="Times New Roman" w:hAnsi="Times New Roman"/>
          <w:i/>
          <w:iCs/>
          <w:sz w:val="22"/>
          <w:szCs w:val="22"/>
        </w:rPr>
        <w:t>model</w:t>
      </w:r>
      <w:r w:rsidRPr="000D3A97">
        <w:rPr>
          <w:rStyle w:val="google-src-text"/>
          <w:rFonts w:ascii="Times New Roman" w:hAnsi="Times New Roman"/>
          <w:sz w:val="22"/>
          <w:szCs w:val="22"/>
        </w:rPr>
        <w:t>, Qualitative Research in Financial Markets, vol. 5, issue 2,</w:t>
      </w:r>
      <w:r w:rsidR="00064C8D" w:rsidRPr="000D3A97">
        <w:rPr>
          <w:rStyle w:val="google-src-text"/>
          <w:rFonts w:ascii="Times New Roman" w:hAnsi="Times New Roman"/>
          <w:sz w:val="22"/>
          <w:szCs w:val="22"/>
        </w:rPr>
        <w:t xml:space="preserve"> 2013</w:t>
      </w:r>
      <w:r w:rsidRPr="000D3A97">
        <w:rPr>
          <w:rStyle w:val="google-src-text"/>
          <w:rFonts w:ascii="Times New Roman" w:hAnsi="Times New Roman"/>
          <w:sz w:val="22"/>
          <w:szCs w:val="22"/>
        </w:rPr>
        <w:t xml:space="preserve"> </w:t>
      </w:r>
      <w:hyperlink r:id="rId22" w:history="1">
        <w:r w:rsidRPr="000D3A97">
          <w:rPr>
            <w:rStyle w:val="Hyperlink"/>
            <w:rFonts w:ascii="Times New Roman" w:hAnsi="Times New Roman"/>
            <w:sz w:val="22"/>
            <w:szCs w:val="22"/>
          </w:rPr>
          <w:t>https://doi.org/10.1108/QRFM-10-2011-0025</w:t>
        </w:r>
      </w:hyperlink>
      <w:r w:rsidRPr="000D3A97">
        <w:rPr>
          <w:rStyle w:val="google-src-text"/>
          <w:rFonts w:ascii="Times New Roman" w:hAnsi="Times New Roman"/>
          <w:sz w:val="22"/>
          <w:szCs w:val="22"/>
        </w:rPr>
        <w:t xml:space="preserve"> </w:t>
      </w:r>
    </w:p>
    <w:p w14:paraId="2BE43C10" w14:textId="01D00589" w:rsidR="00C84452" w:rsidRPr="000D3A97" w:rsidRDefault="00C84452" w:rsidP="00ED320D">
      <w:pPr>
        <w:pStyle w:val="Listparagraf"/>
        <w:numPr>
          <w:ilvl w:val="0"/>
          <w:numId w:val="4"/>
        </w:numPr>
        <w:spacing w:before="0" w:after="0" w:line="240" w:lineRule="auto"/>
        <w:jc w:val="both"/>
        <w:rPr>
          <w:rFonts w:ascii="Times New Roman" w:eastAsia="MyriadPro-Regular" w:hAnsi="Times New Roman"/>
          <w:sz w:val="22"/>
          <w:szCs w:val="22"/>
        </w:rPr>
      </w:pPr>
      <w:r w:rsidRPr="000D3A97">
        <w:rPr>
          <w:rFonts w:ascii="Times New Roman" w:eastAsia="MyriadPro-Regular" w:hAnsi="Times New Roman"/>
          <w:sz w:val="22"/>
          <w:szCs w:val="22"/>
        </w:rPr>
        <w:t xml:space="preserve">Staikouras C. Mamatzakis E. and Koutsomanoli-Filippaki A. (2008), </w:t>
      </w:r>
      <w:r w:rsidRPr="000D3A97">
        <w:rPr>
          <w:rFonts w:ascii="Times New Roman" w:eastAsia="MyriadPro-Regular" w:hAnsi="Times New Roman"/>
          <w:i/>
          <w:iCs/>
          <w:sz w:val="22"/>
          <w:szCs w:val="22"/>
        </w:rPr>
        <w:t>An empirical investigation of operating performance in the new European baking landscape</w:t>
      </w:r>
      <w:r w:rsidRPr="000D3A97">
        <w:rPr>
          <w:rFonts w:ascii="Times New Roman" w:eastAsia="MyriadPro-Regular" w:hAnsi="Times New Roman"/>
          <w:sz w:val="22"/>
          <w:szCs w:val="22"/>
        </w:rPr>
        <w:t>, Global F</w:t>
      </w:r>
      <w:r w:rsidR="000D3A97">
        <w:rPr>
          <w:rFonts w:ascii="Times New Roman" w:eastAsia="MyriadPro-Regular" w:hAnsi="Times New Roman"/>
          <w:sz w:val="22"/>
          <w:szCs w:val="22"/>
        </w:rPr>
        <w:t>i</w:t>
      </w:r>
      <w:r w:rsidRPr="000D3A97">
        <w:rPr>
          <w:rFonts w:ascii="Times New Roman" w:eastAsia="MyriadPro-Regular" w:hAnsi="Times New Roman"/>
          <w:sz w:val="22"/>
          <w:szCs w:val="22"/>
        </w:rPr>
        <w:t xml:space="preserve">nance Journal, vol.19, issue 1, </w:t>
      </w:r>
      <w:hyperlink r:id="rId23" w:history="1">
        <w:r w:rsidRPr="000D3A97">
          <w:rPr>
            <w:rStyle w:val="Hyperlink"/>
            <w:rFonts w:ascii="Times New Roman" w:eastAsia="MyriadPro-Regular" w:hAnsi="Times New Roman"/>
            <w:sz w:val="22"/>
            <w:szCs w:val="22"/>
          </w:rPr>
          <w:t>https://doi.org/10.1016/j.gfj.2008.01.001</w:t>
        </w:r>
      </w:hyperlink>
      <w:r w:rsidRPr="000D3A97">
        <w:rPr>
          <w:rFonts w:ascii="Times New Roman" w:eastAsia="MyriadPro-Regular" w:hAnsi="Times New Roman"/>
          <w:sz w:val="22"/>
          <w:szCs w:val="22"/>
        </w:rPr>
        <w:t xml:space="preserve"> </w:t>
      </w:r>
    </w:p>
    <w:p w14:paraId="0B740D9A" w14:textId="2A4EBF45" w:rsidR="00D56B9E" w:rsidRDefault="00D56B9E" w:rsidP="00ED320D">
      <w:pPr>
        <w:pStyle w:val="Listparagraf"/>
        <w:numPr>
          <w:ilvl w:val="0"/>
          <w:numId w:val="4"/>
        </w:numPr>
        <w:spacing w:before="0" w:after="0" w:line="240" w:lineRule="auto"/>
        <w:ind w:left="714" w:hanging="357"/>
        <w:jc w:val="both"/>
        <w:rPr>
          <w:rStyle w:val="google-src-text"/>
          <w:rFonts w:ascii="Times New Roman" w:hAnsi="Times New Roman"/>
          <w:sz w:val="22"/>
          <w:szCs w:val="22"/>
        </w:rPr>
      </w:pPr>
      <w:r w:rsidRPr="000D3A97">
        <w:rPr>
          <w:rStyle w:val="google-src-text"/>
          <w:rFonts w:ascii="Times New Roman" w:hAnsi="Times New Roman"/>
          <w:sz w:val="22"/>
          <w:szCs w:val="22"/>
        </w:rPr>
        <w:t xml:space="preserve">Werner K., Moormann J., </w:t>
      </w:r>
      <w:r w:rsidR="000D3A97">
        <w:rPr>
          <w:rStyle w:val="google-src-text"/>
          <w:rFonts w:ascii="Times New Roman" w:hAnsi="Times New Roman"/>
          <w:sz w:val="22"/>
          <w:szCs w:val="22"/>
        </w:rPr>
        <w:t xml:space="preserve">(2009), </w:t>
      </w:r>
      <w:r w:rsidRPr="000D3A97">
        <w:rPr>
          <w:rStyle w:val="google-src-text"/>
          <w:rFonts w:ascii="Times New Roman" w:hAnsi="Times New Roman"/>
          <w:i/>
          <w:iCs/>
          <w:sz w:val="22"/>
          <w:szCs w:val="22"/>
        </w:rPr>
        <w:t>Efficiency and profitability of European banks: how important is operational efficiency?</w:t>
      </w:r>
      <w:r w:rsidRPr="000D3A97">
        <w:rPr>
          <w:rStyle w:val="google-src-text"/>
          <w:rFonts w:ascii="Times New Roman" w:hAnsi="Times New Roman"/>
          <w:sz w:val="22"/>
          <w:szCs w:val="22"/>
        </w:rPr>
        <w:t>, Frankfurt Scool-Working Paper Series, No 111</w:t>
      </w:r>
      <w:r w:rsidR="001E18D3" w:rsidRPr="000D3A97">
        <w:rPr>
          <w:rStyle w:val="google-src-text"/>
          <w:rFonts w:ascii="Times New Roman" w:hAnsi="Times New Roman"/>
          <w:sz w:val="22"/>
          <w:szCs w:val="22"/>
        </w:rPr>
        <w:t>.</w:t>
      </w:r>
    </w:p>
    <w:sectPr w:rsidR="00D56B9E" w:rsidSect="00351D5B">
      <w:pgSz w:w="11909" w:h="16834" w:code="9"/>
      <w:pgMar w:top="1134" w:right="1134"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47C6" w14:textId="77777777" w:rsidR="00A43898" w:rsidRDefault="00A43898" w:rsidP="00B00C4D">
      <w:pPr>
        <w:spacing w:before="0" w:after="0" w:line="240" w:lineRule="auto"/>
      </w:pPr>
      <w:r>
        <w:separator/>
      </w:r>
    </w:p>
  </w:endnote>
  <w:endnote w:type="continuationSeparator" w:id="0">
    <w:p w14:paraId="1B1A75C8" w14:textId="77777777" w:rsidR="00A43898" w:rsidRDefault="00A43898" w:rsidP="00B00C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D172" w14:textId="77777777" w:rsidR="00A43898" w:rsidRDefault="00A43898" w:rsidP="00B00C4D">
      <w:pPr>
        <w:spacing w:before="0" w:after="0" w:line="240" w:lineRule="auto"/>
      </w:pPr>
      <w:r>
        <w:separator/>
      </w:r>
    </w:p>
  </w:footnote>
  <w:footnote w:type="continuationSeparator" w:id="0">
    <w:p w14:paraId="2D629EA7" w14:textId="77777777" w:rsidR="00A43898" w:rsidRDefault="00A43898" w:rsidP="00B00C4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00777"/>
    <w:multiLevelType w:val="hybridMultilevel"/>
    <w:tmpl w:val="4A3C71C2"/>
    <w:lvl w:ilvl="0" w:tplc="B2806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E7F4B"/>
    <w:multiLevelType w:val="multilevel"/>
    <w:tmpl w:val="7CE01D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20516A4"/>
    <w:multiLevelType w:val="multilevel"/>
    <w:tmpl w:val="9558EF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35418C"/>
    <w:multiLevelType w:val="hybridMultilevel"/>
    <w:tmpl w:val="95A2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06B9D"/>
    <w:multiLevelType w:val="hybridMultilevel"/>
    <w:tmpl w:val="7DACD0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DC7416"/>
    <w:multiLevelType w:val="multilevel"/>
    <w:tmpl w:val="C3E227BE"/>
    <w:lvl w:ilvl="0">
      <w:start w:val="2"/>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2CC247B"/>
    <w:multiLevelType w:val="hybridMultilevel"/>
    <w:tmpl w:val="9D68252E"/>
    <w:lvl w:ilvl="0" w:tplc="9F82EF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7B4342"/>
    <w:multiLevelType w:val="hybridMultilevel"/>
    <w:tmpl w:val="E8AA83A0"/>
    <w:lvl w:ilvl="0" w:tplc="0809000D">
      <w:start w:val="1"/>
      <w:numFmt w:val="bullet"/>
      <w:lvlText w:val=""/>
      <w:lvlJc w:val="left"/>
      <w:pPr>
        <w:ind w:left="108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ACE65C4"/>
    <w:multiLevelType w:val="hybridMultilevel"/>
    <w:tmpl w:val="272E5A9C"/>
    <w:lvl w:ilvl="0" w:tplc="3EA469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827AD7"/>
    <w:multiLevelType w:val="multilevel"/>
    <w:tmpl w:val="B61AB1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
  </w:num>
  <w:num w:numId="3">
    <w:abstractNumId w:val="4"/>
  </w:num>
  <w:num w:numId="4">
    <w:abstractNumId w:val="3"/>
  </w:num>
  <w:num w:numId="5">
    <w:abstractNumId w:val="9"/>
  </w:num>
  <w:num w:numId="6">
    <w:abstractNumId w:val="0"/>
  </w:num>
  <w:num w:numId="7">
    <w:abstractNumId w:val="8"/>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4D"/>
    <w:rsid w:val="0001654B"/>
    <w:rsid w:val="00030B10"/>
    <w:rsid w:val="00052AA7"/>
    <w:rsid w:val="000621CB"/>
    <w:rsid w:val="00064C8D"/>
    <w:rsid w:val="000729AB"/>
    <w:rsid w:val="000738C7"/>
    <w:rsid w:val="00080377"/>
    <w:rsid w:val="00082D2D"/>
    <w:rsid w:val="0009420F"/>
    <w:rsid w:val="00097166"/>
    <w:rsid w:val="000A46CA"/>
    <w:rsid w:val="000A6DED"/>
    <w:rsid w:val="000B1EF5"/>
    <w:rsid w:val="000B7046"/>
    <w:rsid w:val="000C0433"/>
    <w:rsid w:val="000C2755"/>
    <w:rsid w:val="000C5D19"/>
    <w:rsid w:val="000D3A97"/>
    <w:rsid w:val="00106FB7"/>
    <w:rsid w:val="00107443"/>
    <w:rsid w:val="0011160A"/>
    <w:rsid w:val="0012173C"/>
    <w:rsid w:val="0012512E"/>
    <w:rsid w:val="00137127"/>
    <w:rsid w:val="001468AB"/>
    <w:rsid w:val="001478AA"/>
    <w:rsid w:val="00147A9C"/>
    <w:rsid w:val="00175CDE"/>
    <w:rsid w:val="001849C4"/>
    <w:rsid w:val="00184D03"/>
    <w:rsid w:val="00185522"/>
    <w:rsid w:val="001A4B90"/>
    <w:rsid w:val="001B48AD"/>
    <w:rsid w:val="001B6001"/>
    <w:rsid w:val="001B6AFD"/>
    <w:rsid w:val="001C2477"/>
    <w:rsid w:val="001D01BA"/>
    <w:rsid w:val="001D4F46"/>
    <w:rsid w:val="001D6051"/>
    <w:rsid w:val="001D73EE"/>
    <w:rsid w:val="001E04CE"/>
    <w:rsid w:val="001E18D3"/>
    <w:rsid w:val="00220949"/>
    <w:rsid w:val="0022229C"/>
    <w:rsid w:val="002248F9"/>
    <w:rsid w:val="002357D0"/>
    <w:rsid w:val="002429AB"/>
    <w:rsid w:val="00243776"/>
    <w:rsid w:val="00245BEB"/>
    <w:rsid w:val="00251F82"/>
    <w:rsid w:val="00254B4C"/>
    <w:rsid w:val="002566DA"/>
    <w:rsid w:val="002568A4"/>
    <w:rsid w:val="00276BC5"/>
    <w:rsid w:val="00286523"/>
    <w:rsid w:val="00293F71"/>
    <w:rsid w:val="002B38E0"/>
    <w:rsid w:val="002B4600"/>
    <w:rsid w:val="002B564B"/>
    <w:rsid w:val="002B6BF3"/>
    <w:rsid w:val="002D7926"/>
    <w:rsid w:val="002E2B1D"/>
    <w:rsid w:val="002F2498"/>
    <w:rsid w:val="0030082D"/>
    <w:rsid w:val="00302E57"/>
    <w:rsid w:val="00303D0D"/>
    <w:rsid w:val="0032422A"/>
    <w:rsid w:val="0033323D"/>
    <w:rsid w:val="00333F3D"/>
    <w:rsid w:val="00341D56"/>
    <w:rsid w:val="0034363E"/>
    <w:rsid w:val="00343887"/>
    <w:rsid w:val="00344623"/>
    <w:rsid w:val="00345457"/>
    <w:rsid w:val="003467AD"/>
    <w:rsid w:val="00347E5F"/>
    <w:rsid w:val="00351D5B"/>
    <w:rsid w:val="00364450"/>
    <w:rsid w:val="00365B35"/>
    <w:rsid w:val="00367FB2"/>
    <w:rsid w:val="0037462D"/>
    <w:rsid w:val="00375AB6"/>
    <w:rsid w:val="00390EEE"/>
    <w:rsid w:val="003B2E10"/>
    <w:rsid w:val="003C1232"/>
    <w:rsid w:val="003C150C"/>
    <w:rsid w:val="003C30D9"/>
    <w:rsid w:val="003C4E69"/>
    <w:rsid w:val="003D3C45"/>
    <w:rsid w:val="003F3EE2"/>
    <w:rsid w:val="003F7E9A"/>
    <w:rsid w:val="00403DD2"/>
    <w:rsid w:val="004346FC"/>
    <w:rsid w:val="00436E8F"/>
    <w:rsid w:val="00465A54"/>
    <w:rsid w:val="004664D4"/>
    <w:rsid w:val="00471178"/>
    <w:rsid w:val="00476DAA"/>
    <w:rsid w:val="004905D9"/>
    <w:rsid w:val="00494533"/>
    <w:rsid w:val="00494806"/>
    <w:rsid w:val="004A7976"/>
    <w:rsid w:val="004B4A77"/>
    <w:rsid w:val="004D4166"/>
    <w:rsid w:val="004D4405"/>
    <w:rsid w:val="004D668D"/>
    <w:rsid w:val="004E2D35"/>
    <w:rsid w:val="004E6A38"/>
    <w:rsid w:val="00501B2F"/>
    <w:rsid w:val="005115AB"/>
    <w:rsid w:val="00514C44"/>
    <w:rsid w:val="005209E4"/>
    <w:rsid w:val="0053387E"/>
    <w:rsid w:val="00535A83"/>
    <w:rsid w:val="0054080B"/>
    <w:rsid w:val="00542AF0"/>
    <w:rsid w:val="00544202"/>
    <w:rsid w:val="00545C75"/>
    <w:rsid w:val="005560B3"/>
    <w:rsid w:val="00562CC2"/>
    <w:rsid w:val="00563981"/>
    <w:rsid w:val="005640A6"/>
    <w:rsid w:val="00566D75"/>
    <w:rsid w:val="00572D97"/>
    <w:rsid w:val="00574AB3"/>
    <w:rsid w:val="005853E4"/>
    <w:rsid w:val="00590F60"/>
    <w:rsid w:val="00591D46"/>
    <w:rsid w:val="00594A7D"/>
    <w:rsid w:val="005A5BCA"/>
    <w:rsid w:val="005B1D65"/>
    <w:rsid w:val="005B4A5D"/>
    <w:rsid w:val="005B4A85"/>
    <w:rsid w:val="005C3939"/>
    <w:rsid w:val="005C42AD"/>
    <w:rsid w:val="005D2285"/>
    <w:rsid w:val="005D61BA"/>
    <w:rsid w:val="005D759C"/>
    <w:rsid w:val="00603844"/>
    <w:rsid w:val="00614EB4"/>
    <w:rsid w:val="006156E7"/>
    <w:rsid w:val="006215A4"/>
    <w:rsid w:val="006379A3"/>
    <w:rsid w:val="00642D7A"/>
    <w:rsid w:val="00643116"/>
    <w:rsid w:val="00646B52"/>
    <w:rsid w:val="00647A72"/>
    <w:rsid w:val="0065046B"/>
    <w:rsid w:val="0065122B"/>
    <w:rsid w:val="00652D52"/>
    <w:rsid w:val="00657288"/>
    <w:rsid w:val="00663C94"/>
    <w:rsid w:val="00664A56"/>
    <w:rsid w:val="006650FC"/>
    <w:rsid w:val="00683633"/>
    <w:rsid w:val="00690311"/>
    <w:rsid w:val="00691CB9"/>
    <w:rsid w:val="0069643A"/>
    <w:rsid w:val="006B0073"/>
    <w:rsid w:val="006B2509"/>
    <w:rsid w:val="006C44F3"/>
    <w:rsid w:val="006D01FD"/>
    <w:rsid w:val="006D20EF"/>
    <w:rsid w:val="006D76EF"/>
    <w:rsid w:val="006F1BB3"/>
    <w:rsid w:val="006F4F07"/>
    <w:rsid w:val="006F7147"/>
    <w:rsid w:val="007002C0"/>
    <w:rsid w:val="00713571"/>
    <w:rsid w:val="00715104"/>
    <w:rsid w:val="00716E5C"/>
    <w:rsid w:val="00717009"/>
    <w:rsid w:val="00731D1D"/>
    <w:rsid w:val="00735143"/>
    <w:rsid w:val="00745906"/>
    <w:rsid w:val="00750C71"/>
    <w:rsid w:val="0075428C"/>
    <w:rsid w:val="00766A6D"/>
    <w:rsid w:val="0077369A"/>
    <w:rsid w:val="00774DCA"/>
    <w:rsid w:val="00791BF9"/>
    <w:rsid w:val="00794CE0"/>
    <w:rsid w:val="007A1263"/>
    <w:rsid w:val="007A67BC"/>
    <w:rsid w:val="007B40C6"/>
    <w:rsid w:val="007B4AED"/>
    <w:rsid w:val="007C0EAE"/>
    <w:rsid w:val="007C6E04"/>
    <w:rsid w:val="007C72AD"/>
    <w:rsid w:val="007F0377"/>
    <w:rsid w:val="007F1C05"/>
    <w:rsid w:val="007F42E0"/>
    <w:rsid w:val="007F4BDB"/>
    <w:rsid w:val="0080084B"/>
    <w:rsid w:val="0081360D"/>
    <w:rsid w:val="00817594"/>
    <w:rsid w:val="00833E2D"/>
    <w:rsid w:val="0084397F"/>
    <w:rsid w:val="00847D83"/>
    <w:rsid w:val="0085459C"/>
    <w:rsid w:val="008710DA"/>
    <w:rsid w:val="0088424A"/>
    <w:rsid w:val="00885DBC"/>
    <w:rsid w:val="00887352"/>
    <w:rsid w:val="00887642"/>
    <w:rsid w:val="008A2A57"/>
    <w:rsid w:val="008B1C86"/>
    <w:rsid w:val="008B5AB8"/>
    <w:rsid w:val="008C4449"/>
    <w:rsid w:val="008C5B4A"/>
    <w:rsid w:val="008C7DE4"/>
    <w:rsid w:val="008D5872"/>
    <w:rsid w:val="008E2C2E"/>
    <w:rsid w:val="008E5E25"/>
    <w:rsid w:val="008E7ACE"/>
    <w:rsid w:val="008F09AF"/>
    <w:rsid w:val="008F2849"/>
    <w:rsid w:val="0091005E"/>
    <w:rsid w:val="00912F31"/>
    <w:rsid w:val="00921880"/>
    <w:rsid w:val="009262D3"/>
    <w:rsid w:val="00932374"/>
    <w:rsid w:val="00934B7A"/>
    <w:rsid w:val="00937EB8"/>
    <w:rsid w:val="00942838"/>
    <w:rsid w:val="0094285F"/>
    <w:rsid w:val="00942D01"/>
    <w:rsid w:val="00945599"/>
    <w:rsid w:val="00945E6A"/>
    <w:rsid w:val="009462CB"/>
    <w:rsid w:val="00953CF0"/>
    <w:rsid w:val="00955BAB"/>
    <w:rsid w:val="00962167"/>
    <w:rsid w:val="00962744"/>
    <w:rsid w:val="00963DFE"/>
    <w:rsid w:val="009660DB"/>
    <w:rsid w:val="00970061"/>
    <w:rsid w:val="00985B58"/>
    <w:rsid w:val="009A5E1D"/>
    <w:rsid w:val="009B2C2A"/>
    <w:rsid w:val="009B5EF9"/>
    <w:rsid w:val="009D0C50"/>
    <w:rsid w:val="009D2E92"/>
    <w:rsid w:val="009D3A69"/>
    <w:rsid w:val="009D7E6B"/>
    <w:rsid w:val="009E1EA5"/>
    <w:rsid w:val="009F6193"/>
    <w:rsid w:val="00A03726"/>
    <w:rsid w:val="00A03FFE"/>
    <w:rsid w:val="00A20D98"/>
    <w:rsid w:val="00A216C1"/>
    <w:rsid w:val="00A222ED"/>
    <w:rsid w:val="00A23E2D"/>
    <w:rsid w:val="00A257CE"/>
    <w:rsid w:val="00A27AD1"/>
    <w:rsid w:val="00A3277A"/>
    <w:rsid w:val="00A43898"/>
    <w:rsid w:val="00A50CA0"/>
    <w:rsid w:val="00A62A69"/>
    <w:rsid w:val="00A77616"/>
    <w:rsid w:val="00A82D18"/>
    <w:rsid w:val="00A9136B"/>
    <w:rsid w:val="00A96B51"/>
    <w:rsid w:val="00AA01EC"/>
    <w:rsid w:val="00AA35A7"/>
    <w:rsid w:val="00AB109A"/>
    <w:rsid w:val="00AB6991"/>
    <w:rsid w:val="00AE041E"/>
    <w:rsid w:val="00AF1D35"/>
    <w:rsid w:val="00AF1E91"/>
    <w:rsid w:val="00AF3984"/>
    <w:rsid w:val="00AF5980"/>
    <w:rsid w:val="00B00C4D"/>
    <w:rsid w:val="00B05CE9"/>
    <w:rsid w:val="00B06DD9"/>
    <w:rsid w:val="00B070F3"/>
    <w:rsid w:val="00B10EC9"/>
    <w:rsid w:val="00B12503"/>
    <w:rsid w:val="00B21861"/>
    <w:rsid w:val="00B42CBF"/>
    <w:rsid w:val="00B466AA"/>
    <w:rsid w:val="00B47A29"/>
    <w:rsid w:val="00B534E4"/>
    <w:rsid w:val="00B57FDD"/>
    <w:rsid w:val="00B673E0"/>
    <w:rsid w:val="00B674E8"/>
    <w:rsid w:val="00B70ED3"/>
    <w:rsid w:val="00B74145"/>
    <w:rsid w:val="00B74492"/>
    <w:rsid w:val="00B77F52"/>
    <w:rsid w:val="00B8577A"/>
    <w:rsid w:val="00B97519"/>
    <w:rsid w:val="00BB2FE8"/>
    <w:rsid w:val="00BB6445"/>
    <w:rsid w:val="00BC0145"/>
    <w:rsid w:val="00BC3FB3"/>
    <w:rsid w:val="00BE1E38"/>
    <w:rsid w:val="00BE3375"/>
    <w:rsid w:val="00BE6851"/>
    <w:rsid w:val="00BF7448"/>
    <w:rsid w:val="00C0730B"/>
    <w:rsid w:val="00C12290"/>
    <w:rsid w:val="00C1379E"/>
    <w:rsid w:val="00C148BC"/>
    <w:rsid w:val="00C2307A"/>
    <w:rsid w:val="00C236B4"/>
    <w:rsid w:val="00C24974"/>
    <w:rsid w:val="00C35233"/>
    <w:rsid w:val="00C370B2"/>
    <w:rsid w:val="00C427C4"/>
    <w:rsid w:val="00C45773"/>
    <w:rsid w:val="00C46069"/>
    <w:rsid w:val="00C50646"/>
    <w:rsid w:val="00C50F03"/>
    <w:rsid w:val="00C60DEB"/>
    <w:rsid w:val="00C62E05"/>
    <w:rsid w:val="00C64FAC"/>
    <w:rsid w:val="00C70FAA"/>
    <w:rsid w:val="00C71F47"/>
    <w:rsid w:val="00C83C13"/>
    <w:rsid w:val="00C84452"/>
    <w:rsid w:val="00C845B4"/>
    <w:rsid w:val="00C9046F"/>
    <w:rsid w:val="00C92732"/>
    <w:rsid w:val="00CB001C"/>
    <w:rsid w:val="00CC2B72"/>
    <w:rsid w:val="00CC55C0"/>
    <w:rsid w:val="00CD23FC"/>
    <w:rsid w:val="00CD3828"/>
    <w:rsid w:val="00CD42FF"/>
    <w:rsid w:val="00CE14BD"/>
    <w:rsid w:val="00CE68E6"/>
    <w:rsid w:val="00CF6964"/>
    <w:rsid w:val="00D03853"/>
    <w:rsid w:val="00D10591"/>
    <w:rsid w:val="00D136CD"/>
    <w:rsid w:val="00D140F8"/>
    <w:rsid w:val="00D228CC"/>
    <w:rsid w:val="00D22C27"/>
    <w:rsid w:val="00D3081F"/>
    <w:rsid w:val="00D30923"/>
    <w:rsid w:val="00D3304F"/>
    <w:rsid w:val="00D40960"/>
    <w:rsid w:val="00D4612B"/>
    <w:rsid w:val="00D47E17"/>
    <w:rsid w:val="00D5351C"/>
    <w:rsid w:val="00D55C70"/>
    <w:rsid w:val="00D56521"/>
    <w:rsid w:val="00D56B9E"/>
    <w:rsid w:val="00D60340"/>
    <w:rsid w:val="00D6179A"/>
    <w:rsid w:val="00D734F1"/>
    <w:rsid w:val="00D90CBC"/>
    <w:rsid w:val="00DA3C35"/>
    <w:rsid w:val="00DB0C7A"/>
    <w:rsid w:val="00DB326D"/>
    <w:rsid w:val="00DB61D9"/>
    <w:rsid w:val="00DC63AB"/>
    <w:rsid w:val="00DD1299"/>
    <w:rsid w:val="00DD1DF3"/>
    <w:rsid w:val="00DD5C8D"/>
    <w:rsid w:val="00E0159D"/>
    <w:rsid w:val="00E05FB3"/>
    <w:rsid w:val="00E067DB"/>
    <w:rsid w:val="00E25AB9"/>
    <w:rsid w:val="00E30C4D"/>
    <w:rsid w:val="00E54B42"/>
    <w:rsid w:val="00E57FD0"/>
    <w:rsid w:val="00E61778"/>
    <w:rsid w:val="00E74732"/>
    <w:rsid w:val="00E94C79"/>
    <w:rsid w:val="00EA4DAC"/>
    <w:rsid w:val="00EC0724"/>
    <w:rsid w:val="00EC4931"/>
    <w:rsid w:val="00ED2F39"/>
    <w:rsid w:val="00ED320D"/>
    <w:rsid w:val="00ED7945"/>
    <w:rsid w:val="00EE1FDC"/>
    <w:rsid w:val="00F10F1D"/>
    <w:rsid w:val="00F24EB1"/>
    <w:rsid w:val="00F273D7"/>
    <w:rsid w:val="00F30FEF"/>
    <w:rsid w:val="00F32944"/>
    <w:rsid w:val="00F33369"/>
    <w:rsid w:val="00F42107"/>
    <w:rsid w:val="00F53A2C"/>
    <w:rsid w:val="00F543A8"/>
    <w:rsid w:val="00F66496"/>
    <w:rsid w:val="00F67C85"/>
    <w:rsid w:val="00F67E2C"/>
    <w:rsid w:val="00F71F2D"/>
    <w:rsid w:val="00F844F3"/>
    <w:rsid w:val="00F941A1"/>
    <w:rsid w:val="00F9581F"/>
    <w:rsid w:val="00F96290"/>
    <w:rsid w:val="00F97E7D"/>
    <w:rsid w:val="00FA34FB"/>
    <w:rsid w:val="00FA4751"/>
    <w:rsid w:val="00FA634B"/>
    <w:rsid w:val="00FA6F9D"/>
    <w:rsid w:val="00FB2CDA"/>
    <w:rsid w:val="00FB5D94"/>
    <w:rsid w:val="00FC7D94"/>
    <w:rsid w:val="00FD2717"/>
    <w:rsid w:val="00FE2D58"/>
    <w:rsid w:val="00FE42DC"/>
    <w:rsid w:val="00FF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71F5"/>
  <w15:chartTrackingRefBased/>
  <w15:docId w15:val="{7D056656-BDE1-4EF3-A736-006F168A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C4D"/>
    <w:pPr>
      <w:spacing w:before="200" w:after="200" w:line="276" w:lineRule="auto"/>
    </w:pPr>
    <w:rPr>
      <w:rFonts w:ascii="Calibri" w:eastAsia="Times New Roman" w:hAnsi="Calibri" w:cs="Times New Roman"/>
      <w:sz w:val="20"/>
      <w:szCs w:val="20"/>
      <w:lang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rsid w:val="00B00C4D"/>
    <w:pPr>
      <w:spacing w:after="0" w:line="240" w:lineRule="auto"/>
      <w:jc w:val="both"/>
    </w:pPr>
    <w:rPr>
      <w:rFonts w:ascii="Times New Roman" w:hAnsi="Times New Roman"/>
      <w:lang w:val="x-none" w:bidi="ar-SA"/>
    </w:rPr>
  </w:style>
  <w:style w:type="character" w:customStyle="1" w:styleId="TextnotdesubsolCaracter">
    <w:name w:val="Text notă de subsol Caracter"/>
    <w:basedOn w:val="Fontdeparagrafimplicit"/>
    <w:link w:val="Textnotdesubsol"/>
    <w:uiPriority w:val="99"/>
    <w:rsid w:val="00B00C4D"/>
    <w:rPr>
      <w:rFonts w:ascii="Times New Roman" w:eastAsia="Times New Roman" w:hAnsi="Times New Roman" w:cs="Times New Roman"/>
      <w:sz w:val="20"/>
      <w:szCs w:val="20"/>
      <w:lang w:val="x-none"/>
    </w:rPr>
  </w:style>
  <w:style w:type="character" w:styleId="Referinnotdesubsol">
    <w:name w:val="footnote reference"/>
    <w:uiPriority w:val="99"/>
    <w:rsid w:val="00B00C4D"/>
    <w:rPr>
      <w:vertAlign w:val="superscript"/>
    </w:rPr>
  </w:style>
  <w:style w:type="paragraph" w:styleId="Frspaiere">
    <w:name w:val="No Spacing"/>
    <w:basedOn w:val="Normal"/>
    <w:link w:val="FrspaiereCaracter"/>
    <w:uiPriority w:val="1"/>
    <w:qFormat/>
    <w:rsid w:val="00B00C4D"/>
    <w:pPr>
      <w:spacing w:before="0" w:after="0" w:line="240" w:lineRule="auto"/>
    </w:pPr>
    <w:rPr>
      <w:lang w:val="x-none" w:eastAsia="x-none" w:bidi="ar-SA"/>
    </w:rPr>
  </w:style>
  <w:style w:type="character" w:customStyle="1" w:styleId="FrspaiereCaracter">
    <w:name w:val="Fără spațiere Caracter"/>
    <w:link w:val="Frspaiere"/>
    <w:uiPriority w:val="1"/>
    <w:rsid w:val="00B00C4D"/>
    <w:rPr>
      <w:rFonts w:ascii="Calibri" w:eastAsia="Times New Roman" w:hAnsi="Calibri" w:cs="Times New Roman"/>
      <w:sz w:val="20"/>
      <w:szCs w:val="20"/>
      <w:lang w:val="x-none" w:eastAsia="x-none"/>
    </w:rPr>
  </w:style>
  <w:style w:type="paragraph" w:customStyle="1" w:styleId="Default">
    <w:name w:val="Default"/>
    <w:rsid w:val="00657288"/>
    <w:pPr>
      <w:autoSpaceDE w:val="0"/>
      <w:autoSpaceDN w:val="0"/>
      <w:adjustRightInd w:val="0"/>
      <w:spacing w:before="200" w:after="200" w:line="276" w:lineRule="auto"/>
    </w:pPr>
    <w:rPr>
      <w:rFonts w:ascii="Times New Roman" w:eastAsia="Times New Roman" w:hAnsi="Times New Roman" w:cs="Times New Roman"/>
      <w:color w:val="000000"/>
      <w:sz w:val="24"/>
      <w:szCs w:val="24"/>
      <w:lang w:val="ro-RO" w:eastAsia="ro-RO"/>
    </w:rPr>
  </w:style>
  <w:style w:type="paragraph" w:styleId="Listparagraf">
    <w:name w:val="List Paragraph"/>
    <w:basedOn w:val="Normal"/>
    <w:uiPriority w:val="34"/>
    <w:qFormat/>
    <w:rsid w:val="0075428C"/>
    <w:pPr>
      <w:ind w:left="720"/>
      <w:contextualSpacing/>
    </w:pPr>
  </w:style>
  <w:style w:type="character" w:styleId="Hyperlink">
    <w:name w:val="Hyperlink"/>
    <w:basedOn w:val="Fontdeparagrafimplicit"/>
    <w:uiPriority w:val="99"/>
    <w:unhideWhenUsed/>
    <w:rsid w:val="001B6001"/>
    <w:rPr>
      <w:color w:val="0563C1" w:themeColor="hyperlink"/>
      <w:u w:val="single"/>
    </w:rPr>
  </w:style>
  <w:style w:type="character" w:customStyle="1" w:styleId="google-src-text">
    <w:name w:val="google-src-text"/>
    <w:basedOn w:val="Fontdeparagrafimplicit"/>
    <w:rsid w:val="005209E4"/>
  </w:style>
  <w:style w:type="paragraph" w:styleId="NormalWeb">
    <w:name w:val="Normal (Web)"/>
    <w:basedOn w:val="Normal"/>
    <w:uiPriority w:val="99"/>
    <w:unhideWhenUsed/>
    <w:rsid w:val="005209E4"/>
    <w:pPr>
      <w:spacing w:before="100" w:beforeAutospacing="1" w:after="100" w:afterAutospacing="1" w:line="240" w:lineRule="auto"/>
      <w:ind w:left="2160"/>
    </w:pPr>
    <w:rPr>
      <w:color w:val="5A5A5A"/>
      <w:szCs w:val="24"/>
      <w:lang w:val="ro-RO" w:eastAsia="ro-RO"/>
    </w:rPr>
  </w:style>
  <w:style w:type="character" w:customStyle="1" w:styleId="ln2talineat">
    <w:name w:val="ln2talineat"/>
    <w:basedOn w:val="Fontdeparagrafimplicit"/>
    <w:rsid w:val="005C3939"/>
  </w:style>
  <w:style w:type="character" w:styleId="MeniuneNerezolvat">
    <w:name w:val="Unresolved Mention"/>
    <w:basedOn w:val="Fontdeparagrafimplicit"/>
    <w:uiPriority w:val="99"/>
    <w:semiHidden/>
    <w:unhideWhenUsed/>
    <w:rsid w:val="00D56521"/>
    <w:rPr>
      <w:color w:val="605E5C"/>
      <w:shd w:val="clear" w:color="auto" w:fill="E1DFDD"/>
    </w:rPr>
  </w:style>
  <w:style w:type="table" w:styleId="Tabelgril">
    <w:name w:val="Table Grid"/>
    <w:basedOn w:val="TabelNormal"/>
    <w:uiPriority w:val="39"/>
    <w:rsid w:val="0036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simplu5">
    <w:name w:val="Plain Table 5"/>
    <w:basedOn w:val="TabelNormal"/>
    <w:uiPriority w:val="45"/>
    <w:rsid w:val="00367F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eformatatHTML">
    <w:name w:val="HTML Preformatted"/>
    <w:basedOn w:val="Normal"/>
    <w:link w:val="PreformatatHTMLCaracter"/>
    <w:uiPriority w:val="99"/>
    <w:unhideWhenUsed/>
    <w:rsid w:val="00A8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val="ro-RO" w:eastAsia="ro-RO" w:bidi="ar-SA"/>
    </w:rPr>
  </w:style>
  <w:style w:type="character" w:customStyle="1" w:styleId="PreformatatHTMLCaracter">
    <w:name w:val="Preformatat HTML Caracter"/>
    <w:basedOn w:val="Fontdeparagrafimplicit"/>
    <w:link w:val="PreformatatHTML"/>
    <w:uiPriority w:val="99"/>
    <w:rsid w:val="00A82D18"/>
    <w:rPr>
      <w:rFonts w:ascii="Courier New" w:eastAsia="Times New Roman" w:hAnsi="Courier New" w:cs="Courier New"/>
      <w:sz w:val="20"/>
      <w:szCs w:val="20"/>
      <w:lang w:val="ro-RO" w:eastAsia="ro-RO"/>
    </w:rPr>
  </w:style>
  <w:style w:type="character" w:customStyle="1" w:styleId="y2iqfc">
    <w:name w:val="y2iqfc"/>
    <w:basedOn w:val="Fontdeparagrafimplicit"/>
    <w:rsid w:val="00A82D18"/>
  </w:style>
  <w:style w:type="paragraph" w:styleId="Titlu">
    <w:name w:val="Title"/>
    <w:basedOn w:val="Normal"/>
    <w:link w:val="TitluCaracter"/>
    <w:qFormat/>
    <w:rsid w:val="0009420F"/>
    <w:pPr>
      <w:spacing w:before="0" w:after="0" w:line="240" w:lineRule="auto"/>
      <w:jc w:val="center"/>
    </w:pPr>
    <w:rPr>
      <w:rFonts w:ascii="Times New Roman" w:hAnsi="Times New Roman"/>
      <w:b/>
      <w:bCs/>
      <w:sz w:val="28"/>
      <w:szCs w:val="24"/>
      <w:lang w:val="es-ES" w:eastAsia="es-ES" w:bidi="ar-SA"/>
    </w:rPr>
  </w:style>
  <w:style w:type="character" w:customStyle="1" w:styleId="TitluCaracter">
    <w:name w:val="Titlu Caracter"/>
    <w:basedOn w:val="Fontdeparagrafimplicit"/>
    <w:link w:val="Titlu"/>
    <w:rsid w:val="0009420F"/>
    <w:rPr>
      <w:rFonts w:ascii="Times New Roman" w:eastAsia="Times New Roman" w:hAnsi="Times New Roman" w:cs="Times New Roman"/>
      <w:b/>
      <w:b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04656">
      <w:bodyDiv w:val="1"/>
      <w:marLeft w:val="0"/>
      <w:marRight w:val="0"/>
      <w:marTop w:val="0"/>
      <w:marBottom w:val="0"/>
      <w:divBdr>
        <w:top w:val="none" w:sz="0" w:space="0" w:color="auto"/>
        <w:left w:val="none" w:sz="0" w:space="0" w:color="auto"/>
        <w:bottom w:val="none" w:sz="0" w:space="0" w:color="auto"/>
        <w:right w:val="none" w:sz="0" w:space="0" w:color="auto"/>
      </w:divBdr>
    </w:div>
    <w:div w:id="930893126">
      <w:bodyDiv w:val="1"/>
      <w:marLeft w:val="0"/>
      <w:marRight w:val="0"/>
      <w:marTop w:val="0"/>
      <w:marBottom w:val="0"/>
      <w:divBdr>
        <w:top w:val="none" w:sz="0" w:space="0" w:color="auto"/>
        <w:left w:val="none" w:sz="0" w:space="0" w:color="auto"/>
        <w:bottom w:val="none" w:sz="0" w:space="0" w:color="auto"/>
        <w:right w:val="none" w:sz="0" w:space="0" w:color="auto"/>
      </w:divBdr>
    </w:div>
    <w:div w:id="196260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doi.org/10.1016/j.jbankfin.2020.105949" TargetMode="External"/><Relationship Id="rId3" Type="http://schemas.openxmlformats.org/officeDocument/2006/relationships/styles" Target="styles.xml"/><Relationship Id="rId21" Type="http://schemas.openxmlformats.org/officeDocument/2006/relationships/hyperlink" Target="https://doi.org/10.1016/j.ribaf.2020.101220" TargetMode="External"/><Relationship Id="rId7" Type="http://schemas.openxmlformats.org/officeDocument/2006/relationships/endnotes" Target="endnotes.xml"/><Relationship Id="rId12" Type="http://schemas.openxmlformats.org/officeDocument/2006/relationships/hyperlink" Target="https://sdw.ecb.europa.eu/" TargetMode="External"/><Relationship Id="rId17" Type="http://schemas.openxmlformats.org/officeDocument/2006/relationships/hyperlink" Target="https://doi.org/10.1016/S2212-5671(15)00044-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dw.ecb.europa.eu/" TargetMode="External"/><Relationship Id="rId20" Type="http://schemas.openxmlformats.org/officeDocument/2006/relationships/hyperlink" Target="https://doi.org/10.1016/j.ribaf.2006.03.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16/j.gfj.2008.01.001" TargetMode="External"/><Relationship Id="rId10" Type="http://schemas.openxmlformats.org/officeDocument/2006/relationships/hyperlink" Target="https://www.statista.com/statistics/1124836/europe-bank-total-assets-quarterly/" TargetMode="External"/><Relationship Id="rId19" Type="http://schemas.openxmlformats.org/officeDocument/2006/relationships/hyperlink" Target="https://doi.org/10.1016/j.jbankfin.2007.01.0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dw.ecb.europa.eu/" TargetMode="External"/><Relationship Id="rId22" Type="http://schemas.openxmlformats.org/officeDocument/2006/relationships/hyperlink" Target="https://doi.org/10.1108/QRFM-10-2011-0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66E1B-E94E-4233-81D0-8A457056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3673</Words>
  <Characters>21305</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mariana.vlad@usm.ro</cp:lastModifiedBy>
  <cp:revision>29</cp:revision>
  <dcterms:created xsi:type="dcterms:W3CDTF">2021-10-22T11:23:00Z</dcterms:created>
  <dcterms:modified xsi:type="dcterms:W3CDTF">2021-10-25T07:55:00Z</dcterms:modified>
</cp:coreProperties>
</file>