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AC2B1" w14:textId="23E2311A" w:rsidR="00AB45F6" w:rsidRDefault="00C3234D" w:rsidP="00F549F7">
      <w:pPr>
        <w:pStyle w:val="Titlu1"/>
        <w:spacing w:after="240" w:line="240" w:lineRule="auto"/>
        <w:jc w:val="center"/>
        <w:rPr>
          <w:rFonts w:ascii="Times New Roman" w:hAnsi="Times New Roman" w:cs="Times New Roman"/>
          <w:b/>
          <w:bCs/>
          <w:color w:val="000000" w:themeColor="text1"/>
          <w:sz w:val="28"/>
          <w:szCs w:val="28"/>
        </w:rPr>
      </w:pPr>
      <w:bookmarkStart w:id="0" w:name="_Toc106635312"/>
      <w:bookmarkStart w:id="1" w:name="_Toc106731992"/>
      <w:r w:rsidRPr="00C3234D">
        <w:rPr>
          <w:rFonts w:ascii="Times New Roman" w:hAnsi="Times New Roman" w:cs="Times New Roman"/>
          <w:b/>
          <w:bCs/>
          <w:color w:val="000000" w:themeColor="text1"/>
          <w:sz w:val="28"/>
          <w:szCs w:val="28"/>
        </w:rPr>
        <w:t>Rolul educației și a investițiilor în educație asupra</w:t>
      </w:r>
      <w:r w:rsidR="00AB45F6" w:rsidRPr="00C3234D">
        <w:rPr>
          <w:rFonts w:ascii="Times New Roman" w:hAnsi="Times New Roman" w:cs="Times New Roman"/>
          <w:b/>
          <w:bCs/>
          <w:color w:val="000000" w:themeColor="text1"/>
          <w:sz w:val="28"/>
          <w:szCs w:val="28"/>
        </w:rPr>
        <w:t xml:space="preserve"> inserției pe piața muncii a proaspeților absolvenți</w:t>
      </w:r>
      <w:bookmarkEnd w:id="0"/>
      <w:bookmarkEnd w:id="1"/>
    </w:p>
    <w:p w14:paraId="51A9083B" w14:textId="77777777" w:rsidR="00C3234D" w:rsidRDefault="00C3234D" w:rsidP="00C3234D">
      <w:pPr>
        <w:shd w:val="clear" w:color="auto" w:fill="FFFFFF"/>
        <w:tabs>
          <w:tab w:val="left" w:pos="3402"/>
        </w:tabs>
        <w:spacing w:after="0" w:line="276" w:lineRule="auto"/>
        <w:ind w:firstLine="709"/>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Drd. Alina CRÎȘMARIU (căs. ȘOMÎTCĂ)</w:t>
      </w:r>
    </w:p>
    <w:p w14:paraId="5CADA5B6" w14:textId="77777777" w:rsidR="00C3234D" w:rsidRDefault="00C3234D" w:rsidP="00C3234D">
      <w:pPr>
        <w:shd w:val="clear" w:color="auto" w:fill="FFFFFF"/>
        <w:tabs>
          <w:tab w:val="left" w:pos="3402"/>
        </w:tabs>
        <w:spacing w:after="0" w:line="276" w:lineRule="auto"/>
        <w:ind w:firstLine="709"/>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Coordonator științific Prof. univ. dr. Elena HLACIUC</w:t>
      </w:r>
    </w:p>
    <w:p w14:paraId="0CBB0EA3" w14:textId="77777777" w:rsidR="00C3234D" w:rsidRPr="00A2011D" w:rsidRDefault="00C3234D" w:rsidP="00C3234D">
      <w:pPr>
        <w:shd w:val="clear" w:color="auto" w:fill="FFFFFF"/>
        <w:tabs>
          <w:tab w:val="left" w:pos="3402"/>
        </w:tabs>
        <w:spacing w:after="0" w:line="276" w:lineRule="auto"/>
        <w:jc w:val="center"/>
        <w:rPr>
          <w:rFonts w:ascii="Times New Roman" w:eastAsia="Times New Roman" w:hAnsi="Times New Roman" w:cs="Times New Roman"/>
          <w:sz w:val="24"/>
          <w:szCs w:val="28"/>
        </w:rPr>
      </w:pPr>
      <w:r w:rsidRPr="00A2011D">
        <w:rPr>
          <w:rFonts w:ascii="Times New Roman" w:eastAsia="Times New Roman" w:hAnsi="Times New Roman" w:cs="Times New Roman"/>
          <w:sz w:val="24"/>
          <w:szCs w:val="28"/>
        </w:rPr>
        <w:t>Universitatea Ștefan cel Mare Suceava, România</w:t>
      </w:r>
    </w:p>
    <w:p w14:paraId="7F2D3CAE" w14:textId="77777777" w:rsidR="00C3234D" w:rsidRDefault="00C3234D" w:rsidP="00C3234D">
      <w:pPr>
        <w:shd w:val="clear" w:color="auto" w:fill="FFFFFF"/>
        <w:tabs>
          <w:tab w:val="left" w:pos="3402"/>
        </w:tabs>
        <w:spacing w:after="0" w:line="276" w:lineRule="auto"/>
        <w:jc w:val="center"/>
        <w:rPr>
          <w:rStyle w:val="Hyperlink"/>
          <w:rFonts w:ascii="Times New Roman" w:eastAsia="Times New Roman" w:hAnsi="Times New Roman" w:cs="Times New Roman"/>
          <w:sz w:val="24"/>
          <w:szCs w:val="28"/>
        </w:rPr>
      </w:pPr>
      <w:hyperlink r:id="rId8" w:history="1">
        <w:r w:rsidRPr="00980F41">
          <w:rPr>
            <w:rStyle w:val="Hyperlink"/>
            <w:rFonts w:ascii="Times New Roman" w:eastAsia="Times New Roman" w:hAnsi="Times New Roman" w:cs="Times New Roman"/>
            <w:sz w:val="24"/>
            <w:szCs w:val="28"/>
          </w:rPr>
          <w:t>somitca.alina@usm.ro</w:t>
        </w:r>
      </w:hyperlink>
      <w:r>
        <w:rPr>
          <w:rStyle w:val="Hyperlink"/>
          <w:rFonts w:ascii="Times New Roman" w:eastAsia="Times New Roman" w:hAnsi="Times New Roman" w:cs="Times New Roman"/>
          <w:sz w:val="24"/>
          <w:szCs w:val="28"/>
        </w:rPr>
        <w:t xml:space="preserve"> </w:t>
      </w:r>
    </w:p>
    <w:p w14:paraId="057DEBA1" w14:textId="77777777" w:rsidR="00C3234D" w:rsidRDefault="00C3234D" w:rsidP="00C3234D">
      <w:pPr>
        <w:shd w:val="clear" w:color="auto" w:fill="FFFFFF"/>
        <w:tabs>
          <w:tab w:val="left" w:pos="3402"/>
        </w:tabs>
        <w:spacing w:after="0" w:line="276" w:lineRule="auto"/>
        <w:jc w:val="center"/>
        <w:rPr>
          <w:rFonts w:ascii="Times New Roman" w:eastAsia="Times New Roman" w:hAnsi="Times New Roman" w:cs="Times New Roman"/>
          <w:sz w:val="24"/>
          <w:szCs w:val="28"/>
        </w:rPr>
      </w:pPr>
      <w:r>
        <w:rPr>
          <w:rStyle w:val="Hyperlink"/>
          <w:rFonts w:ascii="Times New Roman" w:eastAsia="Times New Roman" w:hAnsi="Times New Roman" w:cs="Times New Roman"/>
          <w:sz w:val="24"/>
          <w:szCs w:val="28"/>
        </w:rPr>
        <w:t>elena.hlaciuc@usm.ro</w:t>
      </w:r>
    </w:p>
    <w:p w14:paraId="22AC27F7" w14:textId="77777777" w:rsidR="00C3234D" w:rsidRPr="00C3234D" w:rsidRDefault="00C3234D" w:rsidP="00C3234D"/>
    <w:p w14:paraId="4379CF75" w14:textId="77777777" w:rsidR="00AB45F6" w:rsidRPr="00AB45F6" w:rsidRDefault="00AB45F6" w:rsidP="00F549F7">
      <w:pPr>
        <w:autoSpaceDE w:val="0"/>
        <w:autoSpaceDN w:val="0"/>
        <w:adjustRightInd w:val="0"/>
        <w:spacing w:after="0" w:line="240" w:lineRule="auto"/>
        <w:jc w:val="both"/>
        <w:rPr>
          <w:rFonts w:ascii="Times New Roman" w:hAnsi="Times New Roman" w:cs="Times New Roman"/>
          <w:b/>
          <w:bCs/>
          <w:sz w:val="24"/>
          <w:szCs w:val="24"/>
        </w:rPr>
      </w:pPr>
      <w:r w:rsidRPr="00AB45F6">
        <w:rPr>
          <w:rFonts w:ascii="Times New Roman" w:hAnsi="Times New Roman" w:cs="Times New Roman"/>
          <w:b/>
          <w:bCs/>
          <w:sz w:val="24"/>
          <w:szCs w:val="24"/>
        </w:rPr>
        <w:t>Abstract</w:t>
      </w:r>
    </w:p>
    <w:p w14:paraId="0B6097F5" w14:textId="4C62ECCF" w:rsidR="00EF40E9" w:rsidRPr="008953A8" w:rsidRDefault="00ED6D23" w:rsidP="00F549F7">
      <w:pPr>
        <w:autoSpaceDE w:val="0"/>
        <w:autoSpaceDN w:val="0"/>
        <w:adjustRightInd w:val="0"/>
        <w:spacing w:after="0" w:line="240" w:lineRule="auto"/>
        <w:jc w:val="both"/>
        <w:rPr>
          <w:rFonts w:ascii="Times New Roman" w:hAnsi="Times New Roman" w:cs="Times New Roman"/>
          <w:i/>
          <w:iCs/>
          <w:sz w:val="20"/>
          <w:szCs w:val="20"/>
        </w:rPr>
      </w:pPr>
      <w:r w:rsidRPr="008953A8">
        <w:rPr>
          <w:rFonts w:ascii="Times New Roman" w:hAnsi="Times New Roman" w:cs="Times New Roman"/>
          <w:i/>
          <w:iCs/>
          <w:sz w:val="20"/>
          <w:szCs w:val="20"/>
        </w:rPr>
        <w:t>Problema inserției pe piața muncii a absolvenților rămâne o prioritate pentru factorii de decizie din învățământul superior internațional. Aceste preocupări au primit o atenție sporită în climatul actual de incertitudine pe piața muncii. Factorii de decizie continuă să sublinieze importanța „abilităților de angajare” pentru ca absolvenții să fie complet pregătiți pentru a face față provocărilor de pe piața muncii, aflată în continuă schimbare.</w:t>
      </w:r>
      <w:r w:rsidR="00EF40E9" w:rsidRPr="008953A8">
        <w:rPr>
          <w:rFonts w:ascii="Times New Roman" w:hAnsi="Times New Roman" w:cs="Times New Roman"/>
          <w:i/>
          <w:iCs/>
          <w:sz w:val="20"/>
          <w:szCs w:val="20"/>
        </w:rPr>
        <w:t xml:space="preserve"> Această lucrare trece în revistă unele dintre temele empirice și conceptuale cheie în domeniul inserției pe piața muncii a absolvenților de studii superioare din ultimul deceniu</w:t>
      </w:r>
      <w:r w:rsidR="00412348">
        <w:rPr>
          <w:rFonts w:ascii="Times New Roman" w:hAnsi="Times New Roman" w:cs="Times New Roman"/>
          <w:i/>
          <w:iCs/>
          <w:sz w:val="20"/>
          <w:szCs w:val="20"/>
        </w:rPr>
        <w:t xml:space="preserve"> și încearcă să demonstreze rolul pe care îl au nivelul studiilor și investițiile în educației asupra inserției pe piața muncii. Cu ajutorul modelării econometrice, am încercat să reliefăm influența asupra inserției pe piața muncii a nivelului studiilor absolvite, a finanțării acordate educației și a investițiilor publice în sistemul de învățământ.</w:t>
      </w:r>
    </w:p>
    <w:p w14:paraId="4AF3BE58" w14:textId="77777777" w:rsidR="00EF40E9" w:rsidRDefault="00EF40E9" w:rsidP="00F549F7">
      <w:pPr>
        <w:autoSpaceDE w:val="0"/>
        <w:autoSpaceDN w:val="0"/>
        <w:adjustRightInd w:val="0"/>
        <w:spacing w:after="0" w:line="240" w:lineRule="auto"/>
        <w:jc w:val="both"/>
        <w:rPr>
          <w:rFonts w:ascii="Times New Roman" w:hAnsi="Times New Roman" w:cs="Times New Roman"/>
          <w:sz w:val="24"/>
          <w:szCs w:val="24"/>
        </w:rPr>
      </w:pPr>
    </w:p>
    <w:p w14:paraId="2FA1651B" w14:textId="125A90F5" w:rsidR="00EF40E9" w:rsidRDefault="00EF40E9" w:rsidP="00F549F7">
      <w:pPr>
        <w:spacing w:after="0" w:line="240" w:lineRule="auto"/>
        <w:jc w:val="both"/>
        <w:rPr>
          <w:rFonts w:ascii="Times New Roman" w:hAnsi="Times New Roman" w:cs="Times New Roman"/>
          <w:szCs w:val="28"/>
        </w:rPr>
      </w:pPr>
      <w:r>
        <w:rPr>
          <w:rFonts w:ascii="Times New Roman" w:hAnsi="Times New Roman" w:cs="Times New Roman"/>
          <w:b/>
          <w:sz w:val="24"/>
          <w:szCs w:val="28"/>
        </w:rPr>
        <w:t>Keywords</w:t>
      </w:r>
      <w:r>
        <w:rPr>
          <w:rFonts w:ascii="Times New Roman" w:hAnsi="Times New Roman" w:cs="Times New Roman"/>
          <w:szCs w:val="28"/>
        </w:rPr>
        <w:t xml:space="preserve">: </w:t>
      </w:r>
      <w:r w:rsidR="00A80286">
        <w:rPr>
          <w:rFonts w:ascii="Times New Roman" w:hAnsi="Times New Roman" w:cs="Times New Roman"/>
          <w:szCs w:val="28"/>
        </w:rPr>
        <w:t>inserția pe piața muncii, rata de angajare, învățământ</w:t>
      </w:r>
    </w:p>
    <w:p w14:paraId="613F4EC5" w14:textId="12DA89C4" w:rsidR="00EF40E9" w:rsidRDefault="00EF40E9" w:rsidP="00F549F7">
      <w:pPr>
        <w:spacing w:after="0" w:line="240" w:lineRule="auto"/>
        <w:jc w:val="both"/>
        <w:rPr>
          <w:rFonts w:ascii="Times New Roman" w:hAnsi="Times New Roman" w:cs="Times New Roman"/>
          <w:szCs w:val="28"/>
        </w:rPr>
      </w:pPr>
      <w:r>
        <w:rPr>
          <w:rFonts w:ascii="Times New Roman" w:hAnsi="Times New Roman" w:cs="Times New Roman"/>
          <w:b/>
          <w:sz w:val="24"/>
          <w:szCs w:val="28"/>
        </w:rPr>
        <w:t>JEL Classification</w:t>
      </w:r>
      <w:r w:rsidRPr="0015449C">
        <w:rPr>
          <w:rFonts w:ascii="Times New Roman" w:hAnsi="Times New Roman" w:cs="Times New Roman"/>
          <w:b/>
          <w:sz w:val="24"/>
          <w:szCs w:val="28"/>
        </w:rPr>
        <w:t>:</w:t>
      </w:r>
      <w:r w:rsidRPr="0015449C">
        <w:rPr>
          <w:rFonts w:ascii="Times New Roman" w:hAnsi="Times New Roman" w:cs="Times New Roman"/>
          <w:szCs w:val="28"/>
        </w:rPr>
        <w:t xml:space="preserve"> H83</w:t>
      </w:r>
      <w:r w:rsidR="0015449C" w:rsidRPr="0015449C">
        <w:rPr>
          <w:rFonts w:ascii="Times New Roman" w:hAnsi="Times New Roman" w:cs="Times New Roman"/>
          <w:szCs w:val="28"/>
        </w:rPr>
        <w:t>, I26</w:t>
      </w:r>
    </w:p>
    <w:p w14:paraId="53062CFF" w14:textId="77777777" w:rsidR="00EF40E9" w:rsidRDefault="00EF40E9" w:rsidP="00F549F7">
      <w:pPr>
        <w:spacing w:after="0" w:line="240" w:lineRule="auto"/>
        <w:jc w:val="both"/>
        <w:rPr>
          <w:rFonts w:ascii="Times New Roman" w:hAnsi="Times New Roman" w:cs="Times New Roman"/>
          <w:szCs w:val="28"/>
        </w:rPr>
      </w:pPr>
    </w:p>
    <w:p w14:paraId="26F28CDE" w14:textId="1F42BFED" w:rsidR="00EF40E9" w:rsidRPr="00D86EDE" w:rsidRDefault="00EF40E9" w:rsidP="00F549F7">
      <w:pPr>
        <w:spacing w:line="240" w:lineRule="auto"/>
        <w:jc w:val="both"/>
        <w:rPr>
          <w:rFonts w:ascii="Times New Roman" w:hAnsi="Times New Roman" w:cs="Times New Roman"/>
          <w:b/>
          <w:bCs/>
          <w:szCs w:val="28"/>
        </w:rPr>
      </w:pPr>
      <w:r w:rsidRPr="00D86EDE">
        <w:rPr>
          <w:rFonts w:ascii="Times New Roman" w:hAnsi="Times New Roman" w:cs="Times New Roman"/>
          <w:b/>
          <w:bCs/>
          <w:szCs w:val="28"/>
        </w:rPr>
        <w:t>INTRODUCERE</w:t>
      </w:r>
    </w:p>
    <w:p w14:paraId="4B641BF9" w14:textId="431BCC1A" w:rsidR="00EF40E9" w:rsidRDefault="00EF40E9" w:rsidP="00F549F7">
      <w:pPr>
        <w:spacing w:line="240" w:lineRule="auto"/>
        <w:ind w:firstLine="708"/>
        <w:jc w:val="both"/>
        <w:rPr>
          <w:rFonts w:ascii="Times New Roman" w:hAnsi="Times New Roman" w:cs="Times New Roman"/>
          <w:bCs/>
          <w:sz w:val="24"/>
          <w:szCs w:val="24"/>
        </w:rPr>
      </w:pPr>
      <w:r w:rsidRPr="001823C3">
        <w:rPr>
          <w:rFonts w:ascii="Times New Roman" w:hAnsi="Times New Roman" w:cs="Times New Roman"/>
          <w:sz w:val="24"/>
          <w:szCs w:val="24"/>
        </w:rPr>
        <w:t>Societatea actuală este caracterizată printr-o dinamică rapidă</w:t>
      </w:r>
      <w:r>
        <w:rPr>
          <w:rFonts w:ascii="Times New Roman" w:hAnsi="Times New Roman" w:cs="Times New Roman"/>
          <w:sz w:val="24"/>
          <w:szCs w:val="24"/>
        </w:rPr>
        <w:t>,</w:t>
      </w:r>
      <w:r w:rsidRPr="001823C3">
        <w:rPr>
          <w:rFonts w:ascii="Times New Roman" w:hAnsi="Times New Roman" w:cs="Times New Roman"/>
          <w:sz w:val="24"/>
          <w:szCs w:val="24"/>
        </w:rPr>
        <w:t xml:space="preserve"> care ridică o serie de problematici la nivel </w:t>
      </w:r>
      <w:r w:rsidRPr="001823C3">
        <w:rPr>
          <w:rFonts w:ascii="Times New Roman" w:hAnsi="Times New Roman" w:cs="Times New Roman"/>
          <w:sz w:val="24"/>
          <w:szCs w:val="24"/>
        </w:rPr>
        <w:t>educațional</w:t>
      </w:r>
      <w:r w:rsidRPr="001823C3">
        <w:rPr>
          <w:rFonts w:ascii="Times New Roman" w:hAnsi="Times New Roman" w:cs="Times New Roman"/>
          <w:sz w:val="24"/>
          <w:szCs w:val="24"/>
        </w:rPr>
        <w:t xml:space="preserve"> și economico-social. Astfel societatea trebuie să găsească modalitățile adecvate de rezolvare a acestor probleme și să creeze premisele dezvoltării economico-sociale viitoare. Una dintre provocările majore ale societății moderne este adaptarea sectorului educațional la cerințele pieței muncii, caracterizată de o dinamică permanentă și rapidă. </w:t>
      </w:r>
      <w:r w:rsidRPr="001823C3">
        <w:rPr>
          <w:rFonts w:ascii="Times New Roman" w:hAnsi="Times New Roman" w:cs="Times New Roman"/>
          <w:bCs/>
          <w:sz w:val="24"/>
          <w:szCs w:val="24"/>
        </w:rPr>
        <w:t>În teoria și practica europeană, se consideră că principalul atu al procesului educativ este un risc de șomaj cu atât mai scăzut cu cât nivelul educației este mai ridicat. Dar totuși, există absolvenți de studii superioare care nu reușesc să se integreze pe piața muncii sau nu reușesc să își găsească un loc de muncă pe măsura competențelor dobândite în anii de studiu.</w:t>
      </w:r>
      <w:r>
        <w:rPr>
          <w:rFonts w:ascii="Times New Roman" w:hAnsi="Times New Roman" w:cs="Times New Roman"/>
          <w:bCs/>
          <w:sz w:val="24"/>
          <w:szCs w:val="24"/>
        </w:rPr>
        <w:t xml:space="preserve"> Sistemul de învățământ superior este obligat prin răspunderea publică asumată să ofere posibilitatea studenților să urmeze programe de studii care să le permită integrarea ușoară și potrivită pe piața muncii. Cu alte cuvinte, prin autonomia cu care sunt investite universitățile, acestea au puterea de a utiliza banul public în mod responsabil și în concordanță cu cerințele părților interesate: studenți, angajatorii, autoritățile guvernamentale etc.</w:t>
      </w:r>
    </w:p>
    <w:p w14:paraId="7C2BBA2D" w14:textId="784537FF" w:rsidR="00EF40E9" w:rsidRPr="00F549F7" w:rsidRDefault="00EF40E9" w:rsidP="00F549F7">
      <w:pPr>
        <w:autoSpaceDE w:val="0"/>
        <w:autoSpaceDN w:val="0"/>
        <w:adjustRightInd w:val="0"/>
        <w:spacing w:after="0" w:line="240" w:lineRule="auto"/>
        <w:ind w:firstLine="708"/>
        <w:jc w:val="both"/>
        <w:rPr>
          <w:rFonts w:ascii="Times New Roman" w:hAnsi="Times New Roman" w:cs="Times New Roman"/>
          <w:sz w:val="24"/>
          <w:szCs w:val="24"/>
        </w:rPr>
      </w:pPr>
      <w:r w:rsidRPr="00F549F7">
        <w:rPr>
          <w:rFonts w:ascii="Times New Roman" w:hAnsi="Times New Roman" w:cs="Times New Roman"/>
          <w:b/>
          <w:color w:val="000000" w:themeColor="text1"/>
          <w:sz w:val="24"/>
          <w:szCs w:val="24"/>
        </w:rPr>
        <w:t>Scopul cercetării</w:t>
      </w:r>
      <w:r w:rsidRPr="00F549F7">
        <w:rPr>
          <w:rFonts w:ascii="Times New Roman" w:hAnsi="Times New Roman" w:cs="Times New Roman"/>
          <w:color w:val="000000" w:themeColor="text1"/>
          <w:sz w:val="24"/>
          <w:szCs w:val="24"/>
        </w:rPr>
        <w:t xml:space="preserve"> este direcționat spre </w:t>
      </w:r>
      <w:r w:rsidRPr="00F549F7">
        <w:rPr>
          <w:rFonts w:ascii="Times New Roman" w:hAnsi="Times New Roman" w:cs="Times New Roman"/>
          <w:sz w:val="24"/>
          <w:szCs w:val="24"/>
        </w:rPr>
        <w:t xml:space="preserve">reliefarea </w:t>
      </w:r>
      <w:r w:rsidRPr="00F549F7">
        <w:rPr>
          <w:rFonts w:ascii="Times New Roman" w:hAnsi="Times New Roman" w:cs="Times New Roman"/>
          <w:sz w:val="24"/>
          <w:szCs w:val="24"/>
        </w:rPr>
        <w:t xml:space="preserve">impactului pe care îl au nivelul studiilor viitorilor absolvenți și a investițiilor în sistemul educațional asupra </w:t>
      </w:r>
      <w:r w:rsidRPr="00F549F7">
        <w:rPr>
          <w:rFonts w:ascii="Times New Roman" w:hAnsi="Times New Roman" w:cs="Times New Roman"/>
          <w:sz w:val="24"/>
          <w:szCs w:val="24"/>
        </w:rPr>
        <w:t>ratei de angajare a proaspeților absolvenți. Cercetarea noastră își propune să plaseze problema inserției absolvenților în contextul schimbării inter-relațiilor dintre instituțiile de învățământ superior și piața muncii și al răspunderii publice asumate de instituțiile de învățământ superior.</w:t>
      </w:r>
    </w:p>
    <w:p w14:paraId="3492581E" w14:textId="4F6B52F7" w:rsidR="00EF40E9" w:rsidRDefault="00EF40E9" w:rsidP="00F549F7">
      <w:pPr>
        <w:spacing w:after="0" w:line="240" w:lineRule="auto"/>
        <w:ind w:firstLine="708"/>
        <w:jc w:val="both"/>
        <w:rPr>
          <w:rFonts w:ascii="Times New Roman" w:hAnsi="Times New Roman" w:cs="Times New Roman"/>
          <w:sz w:val="24"/>
          <w:szCs w:val="24"/>
        </w:rPr>
      </w:pPr>
      <w:r w:rsidRPr="00F549F7">
        <w:rPr>
          <w:rFonts w:ascii="Times New Roman" w:hAnsi="Times New Roman" w:cs="Times New Roman"/>
          <w:sz w:val="24"/>
          <w:szCs w:val="24"/>
        </w:rPr>
        <w:t xml:space="preserve">În ceea ce privește elementul de noutate al acestei </w:t>
      </w:r>
      <w:r w:rsidRPr="00F549F7">
        <w:rPr>
          <w:rFonts w:ascii="Times New Roman" w:hAnsi="Times New Roman" w:cs="Times New Roman"/>
          <w:sz w:val="24"/>
          <w:szCs w:val="24"/>
        </w:rPr>
        <w:t>cercetări</w:t>
      </w:r>
      <w:r w:rsidRPr="00F549F7">
        <w:rPr>
          <w:rFonts w:ascii="Times New Roman" w:hAnsi="Times New Roman" w:cs="Times New Roman"/>
          <w:sz w:val="24"/>
          <w:szCs w:val="24"/>
        </w:rPr>
        <w:t xml:space="preserve">, acesta este dat tocmai de modalitatea de abordare a </w:t>
      </w:r>
      <w:r w:rsidRPr="00F549F7">
        <w:rPr>
          <w:rFonts w:ascii="Times New Roman" w:hAnsi="Times New Roman" w:cs="Times New Roman"/>
          <w:sz w:val="24"/>
          <w:szCs w:val="24"/>
        </w:rPr>
        <w:t xml:space="preserve">impactului pe care îl are </w:t>
      </w:r>
      <w:r w:rsidRPr="00F549F7">
        <w:rPr>
          <w:rFonts w:ascii="Times New Roman" w:hAnsi="Times New Roman" w:cs="Times New Roman"/>
          <w:sz w:val="24"/>
          <w:szCs w:val="24"/>
        </w:rPr>
        <w:t xml:space="preserve">sistemul de învățământ </w:t>
      </w:r>
      <w:r w:rsidRPr="00F549F7">
        <w:rPr>
          <w:rFonts w:ascii="Times New Roman" w:hAnsi="Times New Roman" w:cs="Times New Roman"/>
          <w:sz w:val="24"/>
          <w:szCs w:val="24"/>
        </w:rPr>
        <w:t xml:space="preserve">asupra </w:t>
      </w:r>
      <w:r w:rsidRPr="00F549F7">
        <w:rPr>
          <w:rFonts w:ascii="Times New Roman" w:hAnsi="Times New Roman" w:cs="Times New Roman"/>
          <w:sz w:val="24"/>
          <w:szCs w:val="24"/>
        </w:rPr>
        <w:t>inserți</w:t>
      </w:r>
      <w:r w:rsidRPr="00F549F7">
        <w:rPr>
          <w:rFonts w:ascii="Times New Roman" w:hAnsi="Times New Roman" w:cs="Times New Roman"/>
          <w:sz w:val="24"/>
          <w:szCs w:val="24"/>
        </w:rPr>
        <w:t>ei</w:t>
      </w:r>
      <w:r w:rsidRPr="00F549F7">
        <w:rPr>
          <w:rFonts w:ascii="Times New Roman" w:hAnsi="Times New Roman" w:cs="Times New Roman"/>
          <w:sz w:val="24"/>
          <w:szCs w:val="24"/>
        </w:rPr>
        <w:t xml:space="preserve"> pe piața muncii. Sugestiile pe care le propunem în baza analizei noastre ar trebui să fie un punct de plecare pentru factorii cu rol decizional pentru atingerea obiectivului de dezvoltare durabilă prin sprijinirea educației de calitate la nivelul învățământului în general și al învățământului superior în special.</w:t>
      </w:r>
    </w:p>
    <w:p w14:paraId="07899454" w14:textId="3A1CC2FC" w:rsidR="00EF40E9" w:rsidRDefault="00EF40E9" w:rsidP="00F549F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Ipotezele de la care pornim sunt:</w:t>
      </w:r>
    </w:p>
    <w:p w14:paraId="15E66D51" w14:textId="7B803508" w:rsidR="00EF40E9" w:rsidRDefault="00EF40E9" w:rsidP="00F549F7">
      <w:pPr>
        <w:pStyle w:val="Listparagraf"/>
        <w:numPr>
          <w:ilvl w:val="0"/>
          <w:numId w:val="5"/>
        </w:numPr>
        <w:spacing w:after="0" w:line="240" w:lineRule="auto"/>
        <w:jc w:val="both"/>
        <w:rPr>
          <w:rFonts w:ascii="Times New Roman" w:hAnsi="Times New Roman" w:cs="Times New Roman"/>
          <w:sz w:val="24"/>
          <w:szCs w:val="24"/>
        </w:rPr>
      </w:pPr>
      <w:bookmarkStart w:id="2" w:name="_Hlk170716677"/>
      <w:r>
        <w:rPr>
          <w:rFonts w:ascii="Times New Roman" w:hAnsi="Times New Roman" w:cs="Times New Roman"/>
          <w:sz w:val="24"/>
          <w:szCs w:val="24"/>
        </w:rPr>
        <w:t>Nivelul studiilor influențează probabilitatea de angajare a proaspeților absolvenți;</w:t>
      </w:r>
    </w:p>
    <w:p w14:paraId="34B2E6A0" w14:textId="2D7FD43A" w:rsidR="00EF40E9" w:rsidRDefault="00EF40E9" w:rsidP="00F549F7">
      <w:pPr>
        <w:pStyle w:val="List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Valoarea investițiilor publice în sistemul educațional influențează rata de angajare a proaspeților absolvenți;</w:t>
      </w:r>
    </w:p>
    <w:p w14:paraId="66FC0DDC" w14:textId="1A52EE93" w:rsidR="00EF40E9" w:rsidRDefault="00EF40E9" w:rsidP="00F549F7">
      <w:pPr>
        <w:pStyle w:val="List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Valoarea finanțării publice a sistemului educațional influențează rata de angajare a absolvenților.</w:t>
      </w:r>
    </w:p>
    <w:bookmarkEnd w:id="2"/>
    <w:p w14:paraId="058500BB" w14:textId="5F543E0F" w:rsidR="00EF40E9" w:rsidRPr="001823C3" w:rsidRDefault="00EF40E9" w:rsidP="00F549F7">
      <w:pPr>
        <w:spacing w:before="240" w:after="0" w:line="240" w:lineRule="auto"/>
        <w:ind w:firstLine="567"/>
        <w:jc w:val="both"/>
        <w:rPr>
          <w:rFonts w:ascii="Times New Roman" w:hAnsi="Times New Roman" w:cs="Times New Roman"/>
          <w:sz w:val="24"/>
          <w:szCs w:val="24"/>
        </w:rPr>
      </w:pPr>
      <w:r w:rsidRPr="00795E2C">
        <w:rPr>
          <w:rFonts w:ascii="Times New Roman" w:eastAsia="Times New Roman" w:hAnsi="Times New Roman" w:cs="Times New Roman"/>
          <w:sz w:val="24"/>
          <w:szCs w:val="24"/>
        </w:rPr>
        <w:t xml:space="preserve">În această cercetare vom analiza existența unei legături de lungă durată între </w:t>
      </w:r>
      <w:r>
        <w:rPr>
          <w:rFonts w:ascii="Times New Roman" w:eastAsia="Times New Roman" w:hAnsi="Times New Roman" w:cs="Times New Roman"/>
          <w:sz w:val="24"/>
          <w:szCs w:val="24"/>
        </w:rPr>
        <w:t>nivelul studiilor și valoarea investițiilor în sistemul de învățământ asupra ratei de angajare a proaspeților absolvenți</w:t>
      </w:r>
      <w:r w:rsidRPr="00795E2C">
        <w:rPr>
          <w:rFonts w:ascii="Times New Roman" w:eastAsia="Times New Roman" w:hAnsi="Times New Roman" w:cs="Times New Roman"/>
          <w:sz w:val="24"/>
          <w:szCs w:val="24"/>
        </w:rPr>
        <w:t>, bazată pe serii de date din perioada 20</w:t>
      </w:r>
      <w:r>
        <w:rPr>
          <w:rFonts w:ascii="Times New Roman" w:eastAsia="Times New Roman" w:hAnsi="Times New Roman" w:cs="Times New Roman"/>
          <w:sz w:val="24"/>
          <w:szCs w:val="24"/>
        </w:rPr>
        <w:t>12</w:t>
      </w:r>
      <w:r w:rsidRPr="00795E2C">
        <w:rPr>
          <w:rFonts w:ascii="Times New Roman" w:eastAsia="Times New Roman" w:hAnsi="Times New Roman" w:cs="Times New Roman"/>
          <w:sz w:val="24"/>
          <w:szCs w:val="24"/>
        </w:rPr>
        <w:t xml:space="preserve"> – 20</w:t>
      </w:r>
      <w:r>
        <w:rPr>
          <w:rFonts w:ascii="Times New Roman" w:eastAsia="Times New Roman" w:hAnsi="Times New Roman" w:cs="Times New Roman"/>
          <w:sz w:val="24"/>
          <w:szCs w:val="24"/>
        </w:rPr>
        <w:t>23</w:t>
      </w:r>
      <w:r w:rsidRPr="00795E2C">
        <w:rPr>
          <w:rFonts w:ascii="Times New Roman" w:eastAsia="Times New Roman" w:hAnsi="Times New Roman" w:cs="Times New Roman"/>
          <w:sz w:val="24"/>
          <w:szCs w:val="24"/>
        </w:rPr>
        <w:t xml:space="preserve"> și cu ajutorul</w:t>
      </w:r>
      <w:r>
        <w:rPr>
          <w:rFonts w:ascii="Times New Roman" w:eastAsia="Times New Roman" w:hAnsi="Times New Roman" w:cs="Times New Roman"/>
          <w:sz w:val="24"/>
          <w:szCs w:val="24"/>
        </w:rPr>
        <w:t xml:space="preserve"> </w:t>
      </w:r>
      <w:r w:rsidRPr="00795E2C">
        <w:rPr>
          <w:rFonts w:ascii="Times New Roman" w:eastAsia="Times New Roman" w:hAnsi="Times New Roman" w:cs="Times New Roman"/>
          <w:sz w:val="24"/>
          <w:szCs w:val="24"/>
        </w:rPr>
        <w:t>IBM SPSS Statistics</w:t>
      </w:r>
      <w:r>
        <w:rPr>
          <w:rFonts w:ascii="Times New Roman" w:eastAsia="Times New Roman" w:hAnsi="Times New Roman" w:cs="Times New Roman"/>
          <w:sz w:val="24"/>
          <w:szCs w:val="24"/>
        </w:rPr>
        <w:t xml:space="preserve"> 26</w:t>
      </w:r>
      <w:r>
        <w:rPr>
          <w:rFonts w:ascii="Times New Roman" w:eastAsia="Times New Roman" w:hAnsi="Times New Roman" w:cs="Times New Roman"/>
          <w:sz w:val="24"/>
          <w:szCs w:val="24"/>
        </w:rPr>
        <w:t xml:space="preserve"> și </w:t>
      </w:r>
      <w:r w:rsidRPr="00795E2C">
        <w:rPr>
          <w:rFonts w:ascii="Times New Roman" w:eastAsia="Times New Roman" w:hAnsi="Times New Roman" w:cs="Times New Roman"/>
          <w:sz w:val="24"/>
          <w:szCs w:val="24"/>
        </w:rPr>
        <w:t xml:space="preserve">vom estima un model </w:t>
      </w:r>
      <w:r>
        <w:rPr>
          <w:rFonts w:ascii="Times New Roman" w:eastAsia="Times New Roman" w:hAnsi="Times New Roman" w:cs="Times New Roman"/>
          <w:sz w:val="24"/>
          <w:szCs w:val="24"/>
        </w:rPr>
        <w:t>econometric.</w:t>
      </w:r>
      <w:r w:rsidR="00412348">
        <w:rPr>
          <w:rFonts w:ascii="Times New Roman" w:eastAsia="Times New Roman" w:hAnsi="Times New Roman" w:cs="Times New Roman"/>
          <w:sz w:val="24"/>
          <w:szCs w:val="24"/>
        </w:rPr>
        <w:t xml:space="preserve"> Indicatorii utilizați au fost aleși prin prisma </w:t>
      </w:r>
      <w:r w:rsidR="00FE6F2F">
        <w:rPr>
          <w:rFonts w:ascii="Times New Roman" w:eastAsia="Times New Roman" w:hAnsi="Times New Roman" w:cs="Times New Roman"/>
          <w:sz w:val="24"/>
          <w:szCs w:val="24"/>
        </w:rPr>
        <w:t>rolului decizional al universităților, dar și al guvernului în ceea ce privește parcursul educațional al viitorilor absolvenți.</w:t>
      </w:r>
    </w:p>
    <w:p w14:paraId="1F17A71C" w14:textId="53B57EF6" w:rsidR="00EF40E9" w:rsidRPr="008C3DAB" w:rsidRDefault="00EF40E9" w:rsidP="00F549F7">
      <w:pPr>
        <w:spacing w:line="240" w:lineRule="auto"/>
        <w:ind w:firstLine="567"/>
        <w:jc w:val="both"/>
        <w:rPr>
          <w:rFonts w:ascii="Times New Roman" w:eastAsia="Times New Roman" w:hAnsi="Times New Roman" w:cs="Times New Roman"/>
          <w:sz w:val="24"/>
          <w:szCs w:val="24"/>
        </w:rPr>
      </w:pPr>
      <w:r w:rsidRPr="00795E2C">
        <w:rPr>
          <w:rFonts w:ascii="Times New Roman" w:eastAsia="Times New Roman" w:hAnsi="Times New Roman" w:cs="Times New Roman"/>
          <w:sz w:val="24"/>
          <w:szCs w:val="24"/>
        </w:rPr>
        <w:t xml:space="preserve">În ceea ce privește metodologia de cercetare, aceasta se bazează </w:t>
      </w:r>
      <w:r>
        <w:rPr>
          <w:rFonts w:ascii="Times New Roman" w:eastAsia="Times New Roman" w:hAnsi="Times New Roman" w:cs="Times New Roman"/>
          <w:sz w:val="24"/>
          <w:szCs w:val="24"/>
        </w:rPr>
        <w:t xml:space="preserve">în prima parte a lucrării </w:t>
      </w:r>
      <w:r w:rsidRPr="00795E2C">
        <w:rPr>
          <w:rFonts w:ascii="Times New Roman" w:eastAsia="Times New Roman" w:hAnsi="Times New Roman" w:cs="Times New Roman"/>
          <w:sz w:val="24"/>
          <w:szCs w:val="24"/>
        </w:rPr>
        <w:t>pe consultarea unui număr consistent de surse bibliografice, reprezentate de articole științifice publicate în reviste naționale și internaționale</w:t>
      </w:r>
      <w:r>
        <w:rPr>
          <w:rFonts w:ascii="Times New Roman" w:eastAsia="Times New Roman" w:hAnsi="Times New Roman" w:cs="Times New Roman"/>
          <w:sz w:val="24"/>
          <w:szCs w:val="24"/>
        </w:rPr>
        <w:t xml:space="preserve">. </w:t>
      </w:r>
      <w:r w:rsidRPr="00795E2C">
        <w:rPr>
          <w:rFonts w:ascii="Times New Roman" w:eastAsia="Times New Roman" w:hAnsi="Times New Roman" w:cs="Times New Roman"/>
          <w:sz w:val="24"/>
          <w:szCs w:val="24"/>
        </w:rPr>
        <w:t>Metodologia de cercetare a avut în vedere aplicarea diverselor metode, precum observația, analiza comparativă, selecția, deducția și inducția.</w:t>
      </w:r>
      <w:r>
        <w:rPr>
          <w:rFonts w:ascii="Times New Roman" w:eastAsia="Times New Roman" w:hAnsi="Times New Roman" w:cs="Times New Roman"/>
          <w:sz w:val="24"/>
          <w:szCs w:val="24"/>
        </w:rPr>
        <w:t xml:space="preserve"> În a doua parte a lucrării, c</w:t>
      </w:r>
      <w:r w:rsidRPr="0066226E">
        <w:rPr>
          <w:rFonts w:ascii="Times New Roman" w:eastAsia="Times New Roman" w:hAnsi="Times New Roman" w:cs="Times New Roman"/>
          <w:sz w:val="24"/>
          <w:szCs w:val="24"/>
        </w:rPr>
        <w:t>e</w:t>
      </w:r>
      <w:r>
        <w:rPr>
          <w:rFonts w:ascii="Times New Roman" w:eastAsia="Times New Roman" w:hAnsi="Times New Roman" w:cs="Times New Roman"/>
          <w:sz w:val="24"/>
          <w:szCs w:val="24"/>
        </w:rPr>
        <w:t>rcetarea noastră este</w:t>
      </w:r>
      <w:r>
        <w:rPr>
          <w:rFonts w:ascii="Times New Roman" w:eastAsia="Times New Roman" w:hAnsi="Times New Roman" w:cs="Times New Roman"/>
          <w:sz w:val="24"/>
          <w:szCs w:val="24"/>
        </w:rPr>
        <w:t xml:space="preserve"> una</w:t>
      </w:r>
      <w:r>
        <w:rPr>
          <w:rFonts w:ascii="Times New Roman" w:eastAsia="Times New Roman" w:hAnsi="Times New Roman" w:cs="Times New Roman"/>
          <w:sz w:val="24"/>
          <w:szCs w:val="24"/>
        </w:rPr>
        <w:t xml:space="preserve"> de tip cant</w:t>
      </w:r>
      <w:r w:rsidRPr="0066226E">
        <w:rPr>
          <w:rFonts w:ascii="Times New Roman" w:eastAsia="Times New Roman" w:hAnsi="Times New Roman" w:cs="Times New Roman"/>
          <w:sz w:val="24"/>
          <w:szCs w:val="24"/>
        </w:rPr>
        <w:t>itativ și intenționează să demonstreze și să accentueze</w:t>
      </w:r>
      <w:r>
        <w:rPr>
          <w:rFonts w:ascii="Times New Roman" w:eastAsia="Times New Roman" w:hAnsi="Times New Roman" w:cs="Times New Roman"/>
          <w:sz w:val="24"/>
          <w:szCs w:val="24"/>
        </w:rPr>
        <w:t xml:space="preserve"> </w:t>
      </w:r>
      <w:r w:rsidRPr="0066226E">
        <w:rPr>
          <w:rFonts w:ascii="Times New Roman" w:eastAsia="Times New Roman" w:hAnsi="Times New Roman" w:cs="Times New Roman"/>
          <w:sz w:val="24"/>
          <w:szCs w:val="24"/>
        </w:rPr>
        <w:t xml:space="preserve">importanța </w:t>
      </w:r>
      <w:r>
        <w:rPr>
          <w:rFonts w:ascii="Times New Roman" w:eastAsia="Times New Roman" w:hAnsi="Times New Roman" w:cs="Times New Roman"/>
          <w:sz w:val="24"/>
          <w:szCs w:val="24"/>
        </w:rPr>
        <w:t>edu</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ației </w:t>
      </w:r>
      <w:r w:rsidRPr="0066226E">
        <w:rPr>
          <w:rFonts w:ascii="Times New Roman" w:eastAsia="Times New Roman" w:hAnsi="Times New Roman" w:cs="Times New Roman"/>
          <w:sz w:val="24"/>
          <w:szCs w:val="24"/>
        </w:rPr>
        <w:t xml:space="preserve">în asigurarea </w:t>
      </w:r>
      <w:r>
        <w:rPr>
          <w:rFonts w:ascii="Times New Roman" w:eastAsia="Times New Roman" w:hAnsi="Times New Roman" w:cs="Times New Roman"/>
          <w:sz w:val="24"/>
          <w:szCs w:val="24"/>
        </w:rPr>
        <w:t>angaj</w:t>
      </w:r>
      <w:r w:rsidR="00A80286">
        <w:rPr>
          <w:rFonts w:ascii="Times New Roman" w:eastAsia="Times New Roman" w:hAnsi="Times New Roman" w:cs="Times New Roman"/>
          <w:sz w:val="24"/>
          <w:szCs w:val="24"/>
        </w:rPr>
        <w:t>ării</w:t>
      </w:r>
      <w:r>
        <w:rPr>
          <w:rFonts w:ascii="Times New Roman" w:eastAsia="Times New Roman" w:hAnsi="Times New Roman" w:cs="Times New Roman"/>
          <w:sz w:val="24"/>
          <w:szCs w:val="24"/>
        </w:rPr>
        <w:t xml:space="preserve"> absolvenților</w:t>
      </w:r>
      <w:r>
        <w:rPr>
          <w:rFonts w:ascii="Times New Roman" w:eastAsia="Times New Roman" w:hAnsi="Times New Roman" w:cs="Times New Roman"/>
          <w:sz w:val="24"/>
          <w:szCs w:val="24"/>
        </w:rPr>
        <w:t xml:space="preserve">. De asemenea, putem afirma că se încadrează în teoria pozitivă, iar instrumentul folosit este studiul de caz. </w:t>
      </w:r>
    </w:p>
    <w:p w14:paraId="5416724C" w14:textId="4DE36DC3" w:rsidR="00EF40E9" w:rsidRPr="00D86EDE" w:rsidRDefault="00EF40E9" w:rsidP="00F549F7">
      <w:pPr>
        <w:tabs>
          <w:tab w:val="left" w:pos="284"/>
        </w:tabs>
        <w:spacing w:line="240" w:lineRule="auto"/>
        <w:jc w:val="both"/>
        <w:rPr>
          <w:rFonts w:ascii="Times New Roman" w:hAnsi="Times New Roman" w:cs="Times New Roman"/>
          <w:b/>
          <w:sz w:val="24"/>
          <w:szCs w:val="24"/>
        </w:rPr>
      </w:pPr>
      <w:r w:rsidRPr="00D86EDE">
        <w:rPr>
          <w:rFonts w:ascii="Times New Roman" w:hAnsi="Times New Roman" w:cs="Times New Roman"/>
          <w:b/>
          <w:sz w:val="24"/>
          <w:szCs w:val="24"/>
        </w:rPr>
        <w:t>REVIZUIREA LITERATURII DE SPECIALITATE</w:t>
      </w:r>
    </w:p>
    <w:p w14:paraId="5B5E81D6" w14:textId="77777777" w:rsidR="00EF40E9" w:rsidRDefault="00EF40E9" w:rsidP="00F549F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În literatura de specialitate internațională, termenul de „</w:t>
      </w:r>
      <w:r w:rsidRPr="0033704C">
        <w:rPr>
          <w:rFonts w:ascii="Times New Roman" w:hAnsi="Times New Roman" w:cs="Times New Roman"/>
          <w:sz w:val="24"/>
          <w:szCs w:val="24"/>
        </w:rPr>
        <w:t>employability</w:t>
      </w:r>
      <w:r>
        <w:rPr>
          <w:rFonts w:ascii="Times New Roman" w:hAnsi="Times New Roman" w:cs="Times New Roman"/>
          <w:sz w:val="24"/>
          <w:szCs w:val="24"/>
        </w:rPr>
        <w:t xml:space="preserve">” este folosit cu sensul de capacitate de angajare sau inserție pe piața muncii. Astfel, definițiile pe care le are acest concept întrunesc trei modalități de abordare. </w:t>
      </w:r>
    </w:p>
    <w:p w14:paraId="53A7E85A" w14:textId="42764907" w:rsidR="00EF40E9" w:rsidRDefault="00EF40E9" w:rsidP="00F549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Prima abordare a capacității de angajare pune în prim-plan </w:t>
      </w:r>
      <w:r>
        <w:rPr>
          <w:rFonts w:ascii="Times New Roman" w:hAnsi="Times New Roman" w:cs="Times New Roman"/>
          <w:sz w:val="24"/>
          <w:szCs w:val="24"/>
        </w:rPr>
        <w:t>„</w:t>
      </w:r>
      <w:r>
        <w:rPr>
          <w:rFonts w:ascii="Times New Roman" w:hAnsi="Times New Roman" w:cs="Times New Roman"/>
          <w:sz w:val="24"/>
          <w:szCs w:val="24"/>
        </w:rPr>
        <w:t>capacitățile indivizilor.</w:t>
      </w:r>
      <w:r>
        <w:rPr>
          <w:rFonts w:ascii="Times New Roman" w:hAnsi="Times New Roman" w:cs="Times New Roman"/>
          <w:sz w:val="24"/>
          <w:szCs w:val="24"/>
        </w:rPr>
        <w:t>”</w:t>
      </w:r>
      <w:r w:rsidR="00747E91">
        <w:rPr>
          <w:rFonts w:ascii="Times New Roman" w:hAnsi="Times New Roman" w:cs="Times New Roman"/>
          <w:sz w:val="24"/>
          <w:szCs w:val="24"/>
        </w:rPr>
        <w:t xml:space="preserve"> (Hogan et al., 2013)</w:t>
      </w:r>
      <w:r>
        <w:rPr>
          <w:rFonts w:ascii="Times New Roman" w:hAnsi="Times New Roman" w:cs="Times New Roman"/>
          <w:sz w:val="24"/>
          <w:szCs w:val="24"/>
        </w:rPr>
        <w:t xml:space="preserve"> Astfel, se consideră că inserția pe piața muncii a unui individ depinde de caracteristicile sale personale si intrinseci. </w:t>
      </w:r>
      <w:r w:rsidRPr="0033704C">
        <w:rPr>
          <w:rFonts w:ascii="Times New Roman" w:hAnsi="Times New Roman" w:cs="Times New Roman"/>
          <w:sz w:val="24"/>
          <w:szCs w:val="24"/>
        </w:rPr>
        <w:t>Hillage și Pollard</w:t>
      </w:r>
      <w:r w:rsidR="00E543CD">
        <w:rPr>
          <w:rFonts w:ascii="Times New Roman" w:hAnsi="Times New Roman" w:cs="Times New Roman"/>
          <w:sz w:val="24"/>
          <w:szCs w:val="24"/>
        </w:rPr>
        <w:t xml:space="preserve"> (1998)</w:t>
      </w:r>
      <w:r w:rsidRPr="0033704C">
        <w:rPr>
          <w:rFonts w:ascii="Times New Roman" w:hAnsi="Times New Roman" w:cs="Times New Roman"/>
          <w:sz w:val="24"/>
          <w:szCs w:val="24"/>
        </w:rPr>
        <w:t xml:space="preserve"> </w:t>
      </w:r>
      <w:r>
        <w:rPr>
          <w:rFonts w:ascii="Times New Roman" w:hAnsi="Times New Roman" w:cs="Times New Roman"/>
          <w:sz w:val="24"/>
          <w:szCs w:val="24"/>
        </w:rPr>
        <w:t xml:space="preserve">numesc aceste </w:t>
      </w:r>
      <w:r>
        <w:rPr>
          <w:rFonts w:ascii="Times New Roman" w:hAnsi="Times New Roman" w:cs="Times New Roman"/>
          <w:sz w:val="24"/>
          <w:szCs w:val="24"/>
        </w:rPr>
        <w:t>caracteristici</w:t>
      </w:r>
      <w:r>
        <w:rPr>
          <w:rFonts w:ascii="Times New Roman" w:hAnsi="Times New Roman" w:cs="Times New Roman"/>
          <w:sz w:val="24"/>
          <w:szCs w:val="24"/>
        </w:rPr>
        <w:t xml:space="preserve"> ca fiind </w:t>
      </w:r>
      <w:r w:rsidRPr="0033704C">
        <w:rPr>
          <w:rFonts w:ascii="Times New Roman" w:hAnsi="Times New Roman" w:cs="Times New Roman"/>
          <w:sz w:val="24"/>
          <w:szCs w:val="24"/>
        </w:rPr>
        <w:t>capa</w:t>
      </w:r>
      <w:r>
        <w:rPr>
          <w:rFonts w:ascii="Times New Roman" w:hAnsi="Times New Roman" w:cs="Times New Roman"/>
          <w:sz w:val="24"/>
          <w:szCs w:val="24"/>
        </w:rPr>
        <w:t>cități</w:t>
      </w:r>
      <w:r w:rsidRPr="0033704C">
        <w:rPr>
          <w:rFonts w:ascii="Times New Roman" w:hAnsi="Times New Roman" w:cs="Times New Roman"/>
          <w:sz w:val="24"/>
          <w:szCs w:val="24"/>
        </w:rPr>
        <w:t xml:space="preserve">, Yorke (2006) </w:t>
      </w:r>
      <w:r>
        <w:rPr>
          <w:rFonts w:ascii="Times New Roman" w:hAnsi="Times New Roman" w:cs="Times New Roman"/>
          <w:sz w:val="24"/>
          <w:szCs w:val="24"/>
        </w:rPr>
        <w:t>le numește</w:t>
      </w:r>
      <w:r w:rsidRPr="0033704C">
        <w:rPr>
          <w:rFonts w:ascii="Times New Roman" w:hAnsi="Times New Roman" w:cs="Times New Roman"/>
          <w:sz w:val="24"/>
          <w:szCs w:val="24"/>
        </w:rPr>
        <w:t xml:space="preserve"> set de realizări – aptitudini, înțelegeri și atribute personale, iar pentru De Voset</w:t>
      </w:r>
      <w:r w:rsidR="00747E91">
        <w:rPr>
          <w:rFonts w:ascii="Times New Roman" w:hAnsi="Times New Roman" w:cs="Times New Roman"/>
          <w:sz w:val="24"/>
          <w:szCs w:val="24"/>
        </w:rPr>
        <w:t xml:space="preserve"> et al. (2011) </w:t>
      </w:r>
      <w:r w:rsidRPr="0033704C">
        <w:rPr>
          <w:rFonts w:ascii="Times New Roman" w:hAnsi="Times New Roman" w:cs="Times New Roman"/>
          <w:sz w:val="24"/>
          <w:szCs w:val="24"/>
        </w:rPr>
        <w:t>acestea</w:t>
      </w:r>
      <w:r>
        <w:rPr>
          <w:rFonts w:ascii="Times New Roman" w:hAnsi="Times New Roman" w:cs="Times New Roman"/>
          <w:sz w:val="24"/>
          <w:szCs w:val="24"/>
        </w:rPr>
        <w:t xml:space="preserve"> se măsoară în termeni de capacitate </w:t>
      </w:r>
      <w:r w:rsidRPr="0033704C">
        <w:rPr>
          <w:rFonts w:ascii="Times New Roman" w:hAnsi="Times New Roman" w:cs="Times New Roman"/>
          <w:sz w:val="24"/>
          <w:szCs w:val="24"/>
        </w:rPr>
        <w:t>și voință. Morrison</w:t>
      </w:r>
      <w:r w:rsidR="00E543CD">
        <w:rPr>
          <w:rFonts w:ascii="Times New Roman" w:hAnsi="Times New Roman" w:cs="Times New Roman"/>
          <w:sz w:val="24"/>
          <w:szCs w:val="24"/>
        </w:rPr>
        <w:t xml:space="preserve"> (2012) </w:t>
      </w:r>
      <w:r>
        <w:rPr>
          <w:rFonts w:ascii="Times New Roman" w:hAnsi="Times New Roman" w:cs="Times New Roman"/>
          <w:sz w:val="24"/>
          <w:szCs w:val="24"/>
        </w:rPr>
        <w:t>realizează o sinteză a tuturor acestor definiții prin sublinierea dimensiunilor</w:t>
      </w:r>
      <w:r w:rsidRPr="0033704C">
        <w:rPr>
          <w:rFonts w:ascii="Times New Roman" w:hAnsi="Times New Roman" w:cs="Times New Roman"/>
          <w:sz w:val="24"/>
          <w:szCs w:val="24"/>
        </w:rPr>
        <w:t xml:space="preserve"> absolute ale capacității de angajare care </w:t>
      </w:r>
      <w:r>
        <w:rPr>
          <w:rFonts w:ascii="Times New Roman" w:hAnsi="Times New Roman" w:cs="Times New Roman"/>
          <w:sz w:val="24"/>
          <w:szCs w:val="24"/>
        </w:rPr>
        <w:t xml:space="preserve">are în vedere faptul </w:t>
      </w:r>
      <w:r w:rsidRPr="0033704C">
        <w:rPr>
          <w:rFonts w:ascii="Times New Roman" w:hAnsi="Times New Roman" w:cs="Times New Roman"/>
          <w:sz w:val="24"/>
          <w:szCs w:val="24"/>
        </w:rPr>
        <w:t>că indivizii posedă abilitățile, abilitățile și atitudinile adecvat</w:t>
      </w:r>
      <w:r>
        <w:rPr>
          <w:rFonts w:ascii="Times New Roman" w:hAnsi="Times New Roman" w:cs="Times New Roman"/>
          <w:sz w:val="24"/>
          <w:szCs w:val="24"/>
        </w:rPr>
        <w:t>e de care au nevoie angajatorii.</w:t>
      </w:r>
    </w:p>
    <w:p w14:paraId="6B8996F7" w14:textId="779D430E" w:rsidR="00EF40E9" w:rsidRDefault="00EF40E9" w:rsidP="00F549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doua abordare a inserției pe piața muncii atrage </w:t>
      </w:r>
      <w:r w:rsidRPr="0033704C">
        <w:rPr>
          <w:rFonts w:ascii="Times New Roman" w:hAnsi="Times New Roman" w:cs="Times New Roman"/>
          <w:sz w:val="24"/>
          <w:szCs w:val="24"/>
        </w:rPr>
        <w:t>atenția asupra dimensiunilor relat</w:t>
      </w:r>
      <w:r>
        <w:rPr>
          <w:rFonts w:ascii="Times New Roman" w:hAnsi="Times New Roman" w:cs="Times New Roman"/>
          <w:sz w:val="24"/>
          <w:szCs w:val="24"/>
        </w:rPr>
        <w:t>ive ale capacității de angajare,</w:t>
      </w:r>
      <w:r w:rsidRPr="0033704C">
        <w:rPr>
          <w:rFonts w:ascii="Times New Roman" w:hAnsi="Times New Roman" w:cs="Times New Roman"/>
          <w:sz w:val="24"/>
          <w:szCs w:val="24"/>
        </w:rPr>
        <w:t xml:space="preserve"> ignorând faptul că angajabilitatea este determinată în primul rând de piața muncii</w:t>
      </w:r>
      <w:r>
        <w:rPr>
          <w:rFonts w:ascii="Times New Roman" w:hAnsi="Times New Roman" w:cs="Times New Roman"/>
          <w:sz w:val="24"/>
          <w:szCs w:val="24"/>
        </w:rPr>
        <w:t xml:space="preserve">. </w:t>
      </w:r>
      <w:r w:rsidRPr="0033704C">
        <w:rPr>
          <w:rFonts w:ascii="Times New Roman" w:hAnsi="Times New Roman" w:cs="Times New Roman"/>
          <w:sz w:val="24"/>
          <w:szCs w:val="24"/>
        </w:rPr>
        <w:t>Brown</w:t>
      </w:r>
      <w:r>
        <w:rPr>
          <w:rFonts w:ascii="Times New Roman" w:hAnsi="Times New Roman" w:cs="Times New Roman"/>
          <w:sz w:val="24"/>
          <w:szCs w:val="24"/>
        </w:rPr>
        <w:t xml:space="preserve"> et</w:t>
      </w:r>
      <w:r w:rsidRPr="0033704C">
        <w:rPr>
          <w:rFonts w:ascii="Times New Roman" w:hAnsi="Times New Roman" w:cs="Times New Roman"/>
          <w:sz w:val="24"/>
          <w:szCs w:val="24"/>
        </w:rPr>
        <w:t xml:space="preserve"> al. </w:t>
      </w:r>
      <w:r>
        <w:rPr>
          <w:rFonts w:ascii="Times New Roman" w:hAnsi="Times New Roman" w:cs="Times New Roman"/>
          <w:sz w:val="24"/>
          <w:szCs w:val="24"/>
        </w:rPr>
        <w:t>definește capacitatea de angajare</w:t>
      </w:r>
      <w:r w:rsidRPr="0033704C">
        <w:rPr>
          <w:rFonts w:ascii="Times New Roman" w:hAnsi="Times New Roman" w:cs="Times New Roman"/>
          <w:sz w:val="24"/>
          <w:szCs w:val="24"/>
        </w:rPr>
        <w:t xml:space="preserve"> ca fiind „șansele relative de a găsi și menține diferite tipuri de locuri de muncă</w:t>
      </w:r>
      <w:r>
        <w:rPr>
          <w:rFonts w:ascii="Times New Roman" w:hAnsi="Times New Roman" w:cs="Times New Roman"/>
          <w:sz w:val="24"/>
          <w:szCs w:val="24"/>
        </w:rPr>
        <w:t>.</w:t>
      </w:r>
      <w:r w:rsidRPr="0033704C">
        <w:rPr>
          <w:rFonts w:ascii="Times New Roman" w:hAnsi="Times New Roman" w:cs="Times New Roman"/>
          <w:sz w:val="24"/>
          <w:szCs w:val="24"/>
        </w:rPr>
        <w:t>”</w:t>
      </w:r>
      <w:r w:rsidR="00E543CD">
        <w:rPr>
          <w:rFonts w:ascii="Times New Roman" w:hAnsi="Times New Roman" w:cs="Times New Roman"/>
          <w:sz w:val="24"/>
          <w:szCs w:val="24"/>
        </w:rPr>
        <w:t>(Brown et. al, 2003)</w:t>
      </w:r>
      <w:r w:rsidRPr="0033704C">
        <w:rPr>
          <w:rFonts w:ascii="Times New Roman" w:hAnsi="Times New Roman" w:cs="Times New Roman"/>
          <w:sz w:val="24"/>
          <w:szCs w:val="24"/>
        </w:rPr>
        <w:t xml:space="preserve"> </w:t>
      </w:r>
      <w:r>
        <w:rPr>
          <w:rFonts w:ascii="Times New Roman" w:hAnsi="Times New Roman" w:cs="Times New Roman"/>
          <w:sz w:val="24"/>
          <w:szCs w:val="24"/>
        </w:rPr>
        <w:t>Se consideră că inserția pe piața muncii</w:t>
      </w:r>
      <w:r w:rsidRPr="0033704C">
        <w:rPr>
          <w:rFonts w:ascii="Times New Roman" w:hAnsi="Times New Roman" w:cs="Times New Roman"/>
          <w:sz w:val="24"/>
          <w:szCs w:val="24"/>
        </w:rPr>
        <w:t xml:space="preserve"> poate fi influențată de factori externi</w:t>
      </w:r>
      <w:r>
        <w:rPr>
          <w:rFonts w:ascii="Times New Roman" w:hAnsi="Times New Roman" w:cs="Times New Roman"/>
          <w:sz w:val="24"/>
          <w:szCs w:val="24"/>
        </w:rPr>
        <w:t xml:space="preserve">: </w:t>
      </w:r>
      <w:r>
        <w:rPr>
          <w:rFonts w:ascii="Times New Roman" w:hAnsi="Times New Roman" w:cs="Times New Roman"/>
          <w:sz w:val="24"/>
          <w:szCs w:val="24"/>
        </w:rPr>
        <w:t>„</w:t>
      </w:r>
      <w:r w:rsidRPr="0033704C">
        <w:rPr>
          <w:rFonts w:ascii="Times New Roman" w:hAnsi="Times New Roman" w:cs="Times New Roman"/>
          <w:sz w:val="24"/>
          <w:szCs w:val="24"/>
        </w:rPr>
        <w:t>sociali, instituționali și economici</w:t>
      </w:r>
      <w:r>
        <w:rPr>
          <w:rFonts w:ascii="Times New Roman" w:hAnsi="Times New Roman" w:cs="Times New Roman"/>
          <w:sz w:val="24"/>
          <w:szCs w:val="24"/>
        </w:rPr>
        <w:t>.</w:t>
      </w:r>
      <w:r>
        <w:rPr>
          <w:rFonts w:ascii="Times New Roman" w:hAnsi="Times New Roman" w:cs="Times New Roman"/>
          <w:sz w:val="24"/>
          <w:szCs w:val="24"/>
        </w:rPr>
        <w:t>”</w:t>
      </w:r>
      <w:r w:rsidR="00E543CD">
        <w:rPr>
          <w:rFonts w:ascii="Times New Roman" w:hAnsi="Times New Roman" w:cs="Times New Roman"/>
          <w:sz w:val="24"/>
          <w:szCs w:val="24"/>
        </w:rPr>
        <w:t xml:space="preserve"> (Sin &amp; Amaral, 2017)</w:t>
      </w:r>
      <w:r>
        <w:rPr>
          <w:rFonts w:ascii="Times New Roman" w:hAnsi="Times New Roman" w:cs="Times New Roman"/>
          <w:sz w:val="24"/>
          <w:szCs w:val="24"/>
        </w:rPr>
        <w:t xml:space="preserve"> </w:t>
      </w:r>
      <w:r w:rsidRPr="0033704C">
        <w:rPr>
          <w:rFonts w:ascii="Times New Roman" w:hAnsi="Times New Roman" w:cs="Times New Roman"/>
          <w:sz w:val="24"/>
          <w:szCs w:val="24"/>
        </w:rPr>
        <w:t xml:space="preserve">Acest lucru sugerează că va trebui să înțelegem contextele politice, sociale și economice relevante, precum și modul în care acești factori </w:t>
      </w:r>
      <w:r>
        <w:rPr>
          <w:rFonts w:ascii="Times New Roman" w:hAnsi="Times New Roman" w:cs="Times New Roman"/>
          <w:sz w:val="24"/>
          <w:szCs w:val="24"/>
        </w:rPr>
        <w:t>interacționează</w:t>
      </w:r>
      <w:r w:rsidRPr="0033704C">
        <w:rPr>
          <w:rFonts w:ascii="Times New Roman" w:hAnsi="Times New Roman" w:cs="Times New Roman"/>
          <w:sz w:val="24"/>
          <w:szCs w:val="24"/>
        </w:rPr>
        <w:t xml:space="preserve"> pentru a </w:t>
      </w:r>
      <w:r>
        <w:rPr>
          <w:rFonts w:ascii="Times New Roman" w:hAnsi="Times New Roman" w:cs="Times New Roman"/>
          <w:sz w:val="24"/>
          <w:szCs w:val="24"/>
        </w:rPr>
        <w:t>„</w:t>
      </w:r>
      <w:r w:rsidRPr="0033704C">
        <w:rPr>
          <w:rFonts w:ascii="Times New Roman" w:hAnsi="Times New Roman" w:cs="Times New Roman"/>
          <w:sz w:val="24"/>
          <w:szCs w:val="24"/>
        </w:rPr>
        <w:t>înțelege pe deplin conceptul</w:t>
      </w:r>
      <w:r>
        <w:rPr>
          <w:rFonts w:ascii="Times New Roman" w:hAnsi="Times New Roman" w:cs="Times New Roman"/>
          <w:sz w:val="24"/>
          <w:szCs w:val="24"/>
        </w:rPr>
        <w:t>.</w:t>
      </w:r>
      <w:r>
        <w:rPr>
          <w:rFonts w:ascii="Times New Roman" w:hAnsi="Times New Roman" w:cs="Times New Roman"/>
          <w:sz w:val="24"/>
          <w:szCs w:val="24"/>
        </w:rPr>
        <w:t>”</w:t>
      </w:r>
      <w:r w:rsidR="00E543CD">
        <w:rPr>
          <w:rFonts w:ascii="Times New Roman" w:hAnsi="Times New Roman" w:cs="Times New Roman"/>
          <w:sz w:val="24"/>
          <w:szCs w:val="24"/>
        </w:rPr>
        <w:t xml:space="preserve"> (Speight et al, 2012)</w:t>
      </w:r>
    </w:p>
    <w:p w14:paraId="18716C82" w14:textId="12D06998" w:rsidR="00EF40E9" w:rsidRDefault="00EF40E9" w:rsidP="00F549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C83DFA">
        <w:rPr>
          <w:rFonts w:ascii="Times New Roman" w:hAnsi="Times New Roman" w:cs="Times New Roman"/>
          <w:sz w:val="24"/>
          <w:szCs w:val="24"/>
        </w:rPr>
        <w:t xml:space="preserve"> </w:t>
      </w:r>
      <w:r>
        <w:rPr>
          <w:rFonts w:ascii="Times New Roman" w:hAnsi="Times New Roman" w:cs="Times New Roman"/>
          <w:sz w:val="24"/>
          <w:szCs w:val="24"/>
        </w:rPr>
        <w:t xml:space="preserve">treia modalitate de abordare a conceptului pune accent pe </w:t>
      </w:r>
      <w:r w:rsidRPr="00C83DFA">
        <w:rPr>
          <w:rFonts w:ascii="Times New Roman" w:hAnsi="Times New Roman" w:cs="Times New Roman"/>
          <w:sz w:val="24"/>
          <w:szCs w:val="24"/>
        </w:rPr>
        <w:t xml:space="preserve">„dualitatea </w:t>
      </w:r>
      <w:r>
        <w:rPr>
          <w:rFonts w:ascii="Times New Roman" w:hAnsi="Times New Roman" w:cs="Times New Roman"/>
          <w:sz w:val="24"/>
          <w:szCs w:val="24"/>
        </w:rPr>
        <w:t>inserției pe piața muncii</w:t>
      </w:r>
      <w:r w:rsidRPr="00C83DFA">
        <w:rPr>
          <w:rFonts w:ascii="Times New Roman" w:hAnsi="Times New Roman" w:cs="Times New Roman"/>
          <w:sz w:val="24"/>
          <w:szCs w:val="24"/>
        </w:rPr>
        <w:t>”</w:t>
      </w:r>
      <w:r>
        <w:rPr>
          <w:rFonts w:ascii="Times New Roman" w:hAnsi="Times New Roman" w:cs="Times New Roman"/>
          <w:sz w:val="24"/>
          <w:szCs w:val="24"/>
        </w:rPr>
        <w:t>, care provine din</w:t>
      </w:r>
      <w:r w:rsidRPr="00C83DFA">
        <w:rPr>
          <w:rFonts w:ascii="Times New Roman" w:hAnsi="Times New Roman" w:cs="Times New Roman"/>
          <w:sz w:val="24"/>
          <w:szCs w:val="24"/>
        </w:rPr>
        <w:t xml:space="preserve"> necesitatea de a înțelege atât dimensiunile absolute, cât și relative ale capacității de angajare. Small</w:t>
      </w:r>
      <w:r>
        <w:rPr>
          <w:rFonts w:ascii="Times New Roman" w:hAnsi="Times New Roman" w:cs="Times New Roman"/>
          <w:sz w:val="24"/>
          <w:szCs w:val="24"/>
        </w:rPr>
        <w:t xml:space="preserve"> et al. </w:t>
      </w:r>
      <w:r w:rsidR="00E543CD">
        <w:rPr>
          <w:rFonts w:ascii="Times New Roman" w:hAnsi="Times New Roman" w:cs="Times New Roman"/>
          <w:sz w:val="24"/>
          <w:szCs w:val="24"/>
        </w:rPr>
        <w:t xml:space="preserve">(2018) </w:t>
      </w:r>
      <w:r>
        <w:rPr>
          <w:rFonts w:ascii="Times New Roman" w:hAnsi="Times New Roman" w:cs="Times New Roman"/>
          <w:sz w:val="24"/>
          <w:szCs w:val="24"/>
        </w:rPr>
        <w:t>definește conceptul</w:t>
      </w:r>
      <w:r w:rsidRPr="00C83DFA">
        <w:rPr>
          <w:rFonts w:ascii="Times New Roman" w:hAnsi="Times New Roman" w:cs="Times New Roman"/>
          <w:sz w:val="24"/>
          <w:szCs w:val="24"/>
        </w:rPr>
        <w:t xml:space="preserve"> ca fiin</w:t>
      </w:r>
      <w:r>
        <w:rPr>
          <w:rFonts w:ascii="Times New Roman" w:hAnsi="Times New Roman" w:cs="Times New Roman"/>
          <w:sz w:val="24"/>
          <w:szCs w:val="24"/>
        </w:rPr>
        <w:t xml:space="preserve">d „capacitatea de a fi autonom </w:t>
      </w:r>
      <w:r w:rsidRPr="00C83DFA">
        <w:rPr>
          <w:rFonts w:ascii="Times New Roman" w:hAnsi="Times New Roman" w:cs="Times New Roman"/>
          <w:sz w:val="24"/>
          <w:szCs w:val="24"/>
        </w:rPr>
        <w:t>pe piața muncii, utilizând cunoștințele, abilitățile și atributele individuale și adaptându-le la contextul de angajare, prezentându-le angajatorilor,</w:t>
      </w:r>
      <w:r>
        <w:rPr>
          <w:rFonts w:ascii="Times New Roman" w:hAnsi="Times New Roman" w:cs="Times New Roman"/>
          <w:sz w:val="24"/>
          <w:szCs w:val="24"/>
        </w:rPr>
        <w:t xml:space="preserve"> ținând cont în același timp</w:t>
      </w:r>
      <w:r w:rsidRPr="00C83DFA">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C83DFA">
        <w:rPr>
          <w:rFonts w:ascii="Times New Roman" w:hAnsi="Times New Roman" w:cs="Times New Roman"/>
          <w:sz w:val="24"/>
          <w:szCs w:val="24"/>
        </w:rPr>
        <w:t>constrângeri</w:t>
      </w:r>
      <w:r>
        <w:rPr>
          <w:rFonts w:ascii="Times New Roman" w:hAnsi="Times New Roman" w:cs="Times New Roman"/>
          <w:sz w:val="24"/>
          <w:szCs w:val="24"/>
        </w:rPr>
        <w:t>le</w:t>
      </w:r>
      <w:r w:rsidRPr="00C83DFA">
        <w:rPr>
          <w:rFonts w:ascii="Times New Roman" w:hAnsi="Times New Roman" w:cs="Times New Roman"/>
          <w:sz w:val="24"/>
          <w:szCs w:val="24"/>
        </w:rPr>
        <w:t xml:space="preserve"> externe și de altă natură</w:t>
      </w:r>
      <w:r>
        <w:rPr>
          <w:rFonts w:ascii="Times New Roman" w:hAnsi="Times New Roman" w:cs="Times New Roman"/>
          <w:sz w:val="24"/>
          <w:szCs w:val="24"/>
        </w:rPr>
        <w:t>.”</w:t>
      </w:r>
    </w:p>
    <w:p w14:paraId="525C648F" w14:textId="2B88FE51" w:rsidR="00EF40E9" w:rsidRDefault="00EF40E9" w:rsidP="00F549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Ultimele două abordări </w:t>
      </w:r>
      <w:r w:rsidRPr="00E02502">
        <w:rPr>
          <w:rFonts w:ascii="Times New Roman" w:hAnsi="Times New Roman" w:cs="Times New Roman"/>
          <w:sz w:val="24"/>
          <w:szCs w:val="24"/>
        </w:rPr>
        <w:t>recunosc importanța caracteristicilor personale care</w:t>
      </w:r>
      <w:r>
        <w:rPr>
          <w:rFonts w:ascii="Times New Roman" w:hAnsi="Times New Roman" w:cs="Times New Roman"/>
          <w:sz w:val="24"/>
          <w:szCs w:val="24"/>
        </w:rPr>
        <w:t xml:space="preserve"> contribuie la obținerea unui loc de muncă de căt</w:t>
      </w:r>
      <w:r w:rsidR="002E6846">
        <w:rPr>
          <w:rFonts w:ascii="Times New Roman" w:hAnsi="Times New Roman" w:cs="Times New Roman"/>
          <w:sz w:val="24"/>
          <w:szCs w:val="24"/>
        </w:rPr>
        <w:t>re</w:t>
      </w:r>
      <w:r>
        <w:rPr>
          <w:rFonts w:ascii="Times New Roman" w:hAnsi="Times New Roman" w:cs="Times New Roman"/>
          <w:sz w:val="24"/>
          <w:szCs w:val="24"/>
        </w:rPr>
        <w:t xml:space="preserve"> un proaspăt </w:t>
      </w:r>
      <w:r w:rsidRPr="00E02502">
        <w:rPr>
          <w:rFonts w:ascii="Times New Roman" w:hAnsi="Times New Roman" w:cs="Times New Roman"/>
          <w:sz w:val="24"/>
          <w:szCs w:val="24"/>
        </w:rPr>
        <w:t xml:space="preserve">absolvent, dar subliniază și influența factorilor externi asupra oportunităților de angajare. </w:t>
      </w:r>
    </w:p>
    <w:p w14:paraId="3D8A97AB" w14:textId="0FC77D6A" w:rsidR="00EF40E9" w:rsidRDefault="00EF40E9" w:rsidP="00F549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După cum se poate observa, în literatura de specialitate nu s-a ajuns la o definiție unanim acceptată a capacității de angajare. Acest lucru a determinat apariția unor abordări diferite privind măsurarea acesteia. Consiliul Europei </w:t>
      </w:r>
      <w:r>
        <w:rPr>
          <w:rFonts w:ascii="Times New Roman" w:hAnsi="Times New Roman" w:cs="Times New Roman"/>
          <w:sz w:val="24"/>
          <w:szCs w:val="24"/>
        </w:rPr>
        <w:t>măsoară</w:t>
      </w:r>
      <w:r>
        <w:rPr>
          <w:rFonts w:ascii="Times New Roman" w:hAnsi="Times New Roman" w:cs="Times New Roman"/>
          <w:sz w:val="24"/>
          <w:szCs w:val="24"/>
        </w:rPr>
        <w:t xml:space="preserve"> inserția pe piața muncii prin intermediul ratei de </w:t>
      </w:r>
      <w:r>
        <w:rPr>
          <w:rFonts w:ascii="Times New Roman" w:hAnsi="Times New Roman" w:cs="Times New Roman"/>
          <w:sz w:val="24"/>
          <w:szCs w:val="24"/>
        </w:rPr>
        <w:t>angajare</w:t>
      </w:r>
      <w:r>
        <w:rPr>
          <w:rFonts w:ascii="Times New Roman" w:hAnsi="Times New Roman" w:cs="Times New Roman"/>
          <w:sz w:val="24"/>
          <w:szCs w:val="24"/>
        </w:rPr>
        <w:t xml:space="preserve"> a </w:t>
      </w:r>
      <w:r>
        <w:rPr>
          <w:rFonts w:ascii="Times New Roman" w:hAnsi="Times New Roman" w:cs="Times New Roman"/>
          <w:sz w:val="24"/>
          <w:szCs w:val="24"/>
        </w:rPr>
        <w:t>proaspeților</w:t>
      </w:r>
      <w:r>
        <w:rPr>
          <w:rFonts w:ascii="Times New Roman" w:hAnsi="Times New Roman" w:cs="Times New Roman"/>
          <w:sz w:val="24"/>
          <w:szCs w:val="24"/>
        </w:rPr>
        <w:t xml:space="preserve"> absolvenți, </w:t>
      </w:r>
      <w:r>
        <w:rPr>
          <w:rFonts w:ascii="Times New Roman" w:hAnsi="Times New Roman" w:cs="Times New Roman"/>
          <w:sz w:val="24"/>
          <w:szCs w:val="24"/>
        </w:rPr>
        <w:t>calculat</w:t>
      </w:r>
      <w:r>
        <w:rPr>
          <w:rFonts w:ascii="Times New Roman" w:hAnsi="Times New Roman" w:cs="Times New Roman"/>
          <w:sz w:val="24"/>
          <w:szCs w:val="24"/>
        </w:rPr>
        <w:t xml:space="preserve"> ca </w:t>
      </w:r>
      <w:r w:rsidRPr="005445B8">
        <w:rPr>
          <w:rFonts w:ascii="Times New Roman" w:hAnsi="Times New Roman" w:cs="Times New Roman"/>
          <w:sz w:val="24"/>
          <w:szCs w:val="24"/>
        </w:rPr>
        <w:t>procent de absolvenți angajați între 20 și 34 de ani la trei ani după absolvire</w:t>
      </w:r>
      <w:r>
        <w:rPr>
          <w:rFonts w:ascii="Times New Roman" w:hAnsi="Times New Roman" w:cs="Times New Roman"/>
          <w:sz w:val="24"/>
          <w:szCs w:val="24"/>
        </w:rPr>
        <w:t xml:space="preserve">. Dar trebuie să menționăm că </w:t>
      </w:r>
      <w:r w:rsidRPr="005445B8">
        <w:rPr>
          <w:rFonts w:ascii="Times New Roman" w:hAnsi="Times New Roman" w:cs="Times New Roman"/>
          <w:sz w:val="24"/>
          <w:szCs w:val="24"/>
        </w:rPr>
        <w:t xml:space="preserve">rata de angajare a studenților a fost folosită ca </w:t>
      </w:r>
      <w:r>
        <w:rPr>
          <w:rFonts w:ascii="Times New Roman" w:hAnsi="Times New Roman" w:cs="Times New Roman"/>
          <w:sz w:val="24"/>
          <w:szCs w:val="24"/>
        </w:rPr>
        <w:t>„</w:t>
      </w:r>
      <w:r w:rsidRPr="005445B8">
        <w:rPr>
          <w:rFonts w:ascii="Times New Roman" w:hAnsi="Times New Roman" w:cs="Times New Roman"/>
          <w:sz w:val="24"/>
          <w:szCs w:val="24"/>
        </w:rPr>
        <w:t>un simplu indicator al angajabilității</w:t>
      </w:r>
      <w:r>
        <w:rPr>
          <w:rFonts w:ascii="Times New Roman" w:hAnsi="Times New Roman" w:cs="Times New Roman"/>
          <w:sz w:val="24"/>
          <w:szCs w:val="24"/>
        </w:rPr>
        <w:t>”</w:t>
      </w:r>
      <w:r w:rsidR="00E543CD">
        <w:rPr>
          <w:rFonts w:ascii="Times New Roman" w:hAnsi="Times New Roman" w:cs="Times New Roman"/>
          <w:sz w:val="24"/>
          <w:szCs w:val="24"/>
        </w:rPr>
        <w:t xml:space="preserve"> (Yorke, 2006)</w:t>
      </w:r>
      <w:r>
        <w:rPr>
          <w:rFonts w:ascii="Times New Roman" w:hAnsi="Times New Roman" w:cs="Times New Roman"/>
          <w:sz w:val="24"/>
          <w:szCs w:val="24"/>
        </w:rPr>
        <w:t>,</w:t>
      </w:r>
      <w:r w:rsidRPr="005445B8">
        <w:rPr>
          <w:rFonts w:ascii="Times New Roman" w:hAnsi="Times New Roman" w:cs="Times New Roman"/>
          <w:sz w:val="24"/>
          <w:szCs w:val="24"/>
        </w:rPr>
        <w:t xml:space="preserve"> </w:t>
      </w:r>
      <w:r>
        <w:rPr>
          <w:rFonts w:ascii="Times New Roman" w:hAnsi="Times New Roman" w:cs="Times New Roman"/>
          <w:sz w:val="24"/>
          <w:szCs w:val="24"/>
        </w:rPr>
        <w:t>chiar dacă</w:t>
      </w:r>
      <w:r w:rsidRPr="005445B8">
        <w:rPr>
          <w:rFonts w:ascii="Times New Roman" w:hAnsi="Times New Roman" w:cs="Times New Roman"/>
          <w:sz w:val="24"/>
          <w:szCs w:val="24"/>
        </w:rPr>
        <w:t xml:space="preserve"> angajarea este diferită de capacitatea de angajare. Statisticile privind ocuparea forței de muncă măsoară doar dobândirea efectivă a unui loc de muncă. Capacitatea de angajare depășește acest lucru și măsoară potențialul absolventului de a obține și </w:t>
      </w:r>
      <w:r>
        <w:rPr>
          <w:rFonts w:ascii="Times New Roman" w:hAnsi="Times New Roman" w:cs="Times New Roman"/>
          <w:sz w:val="24"/>
          <w:szCs w:val="24"/>
        </w:rPr>
        <w:t>se integra</w:t>
      </w:r>
      <w:r w:rsidRPr="005445B8">
        <w:rPr>
          <w:rFonts w:ascii="Times New Roman" w:hAnsi="Times New Roman" w:cs="Times New Roman"/>
          <w:sz w:val="24"/>
          <w:szCs w:val="24"/>
        </w:rPr>
        <w:t xml:space="preserve"> într-un loc de muncă. Este mai mult decât un set de atribute personale și o destinație, ci </w:t>
      </w:r>
      <w:r>
        <w:rPr>
          <w:rFonts w:ascii="Times New Roman" w:hAnsi="Times New Roman" w:cs="Times New Roman"/>
          <w:sz w:val="24"/>
          <w:szCs w:val="24"/>
        </w:rPr>
        <w:t>„</w:t>
      </w:r>
      <w:r w:rsidRPr="005445B8">
        <w:rPr>
          <w:rFonts w:ascii="Times New Roman" w:hAnsi="Times New Roman" w:cs="Times New Roman"/>
          <w:sz w:val="24"/>
          <w:szCs w:val="24"/>
        </w:rPr>
        <w:t>un proces în schimbare</w:t>
      </w:r>
      <w:r>
        <w:rPr>
          <w:rFonts w:ascii="Times New Roman" w:hAnsi="Times New Roman" w:cs="Times New Roman"/>
          <w:sz w:val="24"/>
          <w:szCs w:val="24"/>
        </w:rPr>
        <w:t>”</w:t>
      </w:r>
      <w:r w:rsidR="00E543CD">
        <w:rPr>
          <w:rFonts w:ascii="Times New Roman" w:hAnsi="Times New Roman" w:cs="Times New Roman"/>
          <w:sz w:val="24"/>
          <w:szCs w:val="24"/>
        </w:rPr>
        <w:t xml:space="preserve"> (Taylor, 2016)</w:t>
      </w:r>
      <w:r>
        <w:rPr>
          <w:rFonts w:ascii="Times New Roman" w:hAnsi="Times New Roman" w:cs="Times New Roman"/>
          <w:sz w:val="24"/>
          <w:szCs w:val="24"/>
        </w:rPr>
        <w:t>,</w:t>
      </w:r>
      <w:r w:rsidRPr="005445B8">
        <w:rPr>
          <w:rFonts w:ascii="Times New Roman" w:hAnsi="Times New Roman" w:cs="Times New Roman"/>
          <w:sz w:val="24"/>
          <w:szCs w:val="24"/>
        </w:rPr>
        <w:t xml:space="preserve"> care trebuie îmbunătățit continuu pentru a fi relevant pe piața muncii. </w:t>
      </w:r>
    </w:p>
    <w:p w14:paraId="08E94D2C" w14:textId="07222662" w:rsidR="00EF40E9" w:rsidRDefault="00EF40E9" w:rsidP="00F549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Inserția pe piața muncii a </w:t>
      </w:r>
      <w:r>
        <w:rPr>
          <w:rFonts w:ascii="Times New Roman" w:hAnsi="Times New Roman" w:cs="Times New Roman"/>
          <w:sz w:val="24"/>
          <w:szCs w:val="24"/>
        </w:rPr>
        <w:t>proaspeților</w:t>
      </w:r>
      <w:r>
        <w:rPr>
          <w:rFonts w:ascii="Times New Roman" w:hAnsi="Times New Roman" w:cs="Times New Roman"/>
          <w:sz w:val="24"/>
          <w:szCs w:val="24"/>
        </w:rPr>
        <w:t xml:space="preserve"> absolvenți </w:t>
      </w:r>
      <w:r w:rsidRPr="005445B8">
        <w:rPr>
          <w:rFonts w:ascii="Times New Roman" w:hAnsi="Times New Roman" w:cs="Times New Roman"/>
          <w:sz w:val="24"/>
          <w:szCs w:val="24"/>
        </w:rPr>
        <w:t>nu ar trebui considerată pur și simplu ca obiectiv final</w:t>
      </w:r>
      <w:r>
        <w:rPr>
          <w:rFonts w:ascii="Times New Roman" w:hAnsi="Times New Roman" w:cs="Times New Roman"/>
          <w:sz w:val="24"/>
          <w:szCs w:val="24"/>
        </w:rPr>
        <w:t xml:space="preserve">, ci mai degrabă ca o adaptare a competențelor formate de instituțiile de învățământ superior la cerințele de pe piața muncii. Astfel instituțiile de învățământ trebuie să dezvolte programe de studii cerute de piața muncii sau să adapteze programele existente la cerințele </w:t>
      </w:r>
      <w:r>
        <w:rPr>
          <w:rFonts w:ascii="Times New Roman" w:hAnsi="Times New Roman" w:cs="Times New Roman"/>
          <w:sz w:val="24"/>
          <w:szCs w:val="24"/>
        </w:rPr>
        <w:t>pieței</w:t>
      </w:r>
      <w:r>
        <w:rPr>
          <w:rFonts w:ascii="Times New Roman" w:hAnsi="Times New Roman" w:cs="Times New Roman"/>
          <w:sz w:val="24"/>
          <w:szCs w:val="24"/>
        </w:rPr>
        <w:t>. Trebuie reconsiderată ideea de angajare a absolvenților, punând accent nu doar pe angajare, ci pe ”cum” este realizată angajare.</w:t>
      </w:r>
    </w:p>
    <w:p w14:paraId="7942407C" w14:textId="77777777" w:rsidR="00EF40E9" w:rsidRDefault="00EF40E9" w:rsidP="00F549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Interacțiunea între sistemul de învățământ superior </w:t>
      </w:r>
      <w:r w:rsidRPr="00B26D00">
        <w:rPr>
          <w:rFonts w:ascii="Times New Roman" w:hAnsi="Times New Roman" w:cs="Times New Roman"/>
          <w:sz w:val="24"/>
          <w:szCs w:val="24"/>
        </w:rPr>
        <w:t>și piața muncii a fost</w:t>
      </w:r>
      <w:r>
        <w:rPr>
          <w:rFonts w:ascii="Times New Roman" w:hAnsi="Times New Roman" w:cs="Times New Roman"/>
          <w:sz w:val="24"/>
          <w:szCs w:val="24"/>
        </w:rPr>
        <w:t xml:space="preserve"> </w:t>
      </w:r>
      <w:r w:rsidRPr="00B26D00">
        <w:rPr>
          <w:rFonts w:ascii="Times New Roman" w:hAnsi="Times New Roman" w:cs="Times New Roman"/>
          <w:sz w:val="24"/>
          <w:szCs w:val="24"/>
        </w:rPr>
        <w:t>remodelat</w:t>
      </w:r>
      <w:r>
        <w:rPr>
          <w:rFonts w:ascii="Times New Roman" w:hAnsi="Times New Roman" w:cs="Times New Roman"/>
          <w:sz w:val="24"/>
          <w:szCs w:val="24"/>
        </w:rPr>
        <w:t xml:space="preserve">ă </w:t>
      </w:r>
      <w:r w:rsidRPr="00B26D00">
        <w:rPr>
          <w:rFonts w:ascii="Times New Roman" w:hAnsi="Times New Roman" w:cs="Times New Roman"/>
          <w:sz w:val="24"/>
          <w:szCs w:val="24"/>
        </w:rPr>
        <w:t xml:space="preserve">considerabil de-a lungul timpului. Acest lucru a fost determinat în principal de o serie de schimbări </w:t>
      </w:r>
      <w:r>
        <w:rPr>
          <w:rFonts w:ascii="Times New Roman" w:hAnsi="Times New Roman" w:cs="Times New Roman"/>
          <w:sz w:val="24"/>
          <w:szCs w:val="24"/>
        </w:rPr>
        <w:t xml:space="preserve">care au avut loc </w:t>
      </w:r>
      <w:r w:rsidRPr="00B26D00">
        <w:rPr>
          <w:rFonts w:ascii="Times New Roman" w:hAnsi="Times New Roman" w:cs="Times New Roman"/>
          <w:sz w:val="24"/>
          <w:szCs w:val="24"/>
        </w:rPr>
        <w:t>la</w:t>
      </w:r>
      <w:r>
        <w:rPr>
          <w:rFonts w:ascii="Times New Roman" w:hAnsi="Times New Roman" w:cs="Times New Roman"/>
          <w:sz w:val="24"/>
          <w:szCs w:val="24"/>
        </w:rPr>
        <w:t xml:space="preserve"> nivelul</w:t>
      </w:r>
      <w:r w:rsidRPr="00B26D00">
        <w:rPr>
          <w:rFonts w:ascii="Times New Roman" w:hAnsi="Times New Roman" w:cs="Times New Roman"/>
          <w:sz w:val="24"/>
          <w:szCs w:val="24"/>
        </w:rPr>
        <w:t xml:space="preserve"> instituți</w:t>
      </w:r>
      <w:r>
        <w:rPr>
          <w:rFonts w:ascii="Times New Roman" w:hAnsi="Times New Roman" w:cs="Times New Roman"/>
          <w:sz w:val="24"/>
          <w:szCs w:val="24"/>
        </w:rPr>
        <w:t>ilor de învățământ superior</w:t>
      </w:r>
      <w:r w:rsidRPr="00B26D00">
        <w:rPr>
          <w:rFonts w:ascii="Times New Roman" w:hAnsi="Times New Roman" w:cs="Times New Roman"/>
          <w:sz w:val="24"/>
          <w:szCs w:val="24"/>
        </w:rPr>
        <w:t xml:space="preserve">, cât și în natura economiei. Cele </w:t>
      </w:r>
      <w:r>
        <w:rPr>
          <w:rFonts w:ascii="Times New Roman" w:hAnsi="Times New Roman" w:cs="Times New Roman"/>
          <w:sz w:val="24"/>
          <w:szCs w:val="24"/>
        </w:rPr>
        <w:t xml:space="preserve">importante schimbări provin din </w:t>
      </w:r>
      <w:r w:rsidRPr="00B26D00">
        <w:rPr>
          <w:rFonts w:ascii="Times New Roman" w:hAnsi="Times New Roman" w:cs="Times New Roman"/>
          <w:sz w:val="24"/>
          <w:szCs w:val="24"/>
        </w:rPr>
        <w:t xml:space="preserve">masificarea treptată a </w:t>
      </w:r>
      <w:r>
        <w:rPr>
          <w:rFonts w:ascii="Times New Roman" w:hAnsi="Times New Roman" w:cs="Times New Roman"/>
          <w:sz w:val="24"/>
          <w:szCs w:val="24"/>
        </w:rPr>
        <w:t xml:space="preserve">instituțiilor de învățământ superior </w:t>
      </w:r>
      <w:r w:rsidRPr="00B26D00">
        <w:rPr>
          <w:rFonts w:ascii="Times New Roman" w:hAnsi="Times New Roman" w:cs="Times New Roman"/>
          <w:sz w:val="24"/>
          <w:szCs w:val="24"/>
        </w:rPr>
        <w:t xml:space="preserve"> </w:t>
      </w:r>
      <w:r>
        <w:rPr>
          <w:rFonts w:ascii="Times New Roman" w:hAnsi="Times New Roman" w:cs="Times New Roman"/>
          <w:sz w:val="24"/>
          <w:szCs w:val="24"/>
        </w:rPr>
        <w:t xml:space="preserve">din ultimele </w:t>
      </w:r>
      <w:r w:rsidRPr="00B26D00">
        <w:rPr>
          <w:rFonts w:ascii="Times New Roman" w:hAnsi="Times New Roman" w:cs="Times New Roman"/>
          <w:sz w:val="24"/>
          <w:szCs w:val="24"/>
        </w:rPr>
        <w:t>decenii și</w:t>
      </w:r>
      <w:r>
        <w:rPr>
          <w:rFonts w:ascii="Times New Roman" w:hAnsi="Times New Roman" w:cs="Times New Roman"/>
          <w:sz w:val="24"/>
          <w:szCs w:val="24"/>
        </w:rPr>
        <w:t xml:space="preserve"> din </w:t>
      </w:r>
      <w:r w:rsidRPr="00B26D00">
        <w:rPr>
          <w:rFonts w:ascii="Times New Roman" w:hAnsi="Times New Roman" w:cs="Times New Roman"/>
          <w:sz w:val="24"/>
          <w:szCs w:val="24"/>
        </w:rPr>
        <w:t>angajamentul statului față de finanțarea publică</w:t>
      </w:r>
      <w:r>
        <w:rPr>
          <w:rFonts w:ascii="Times New Roman" w:hAnsi="Times New Roman" w:cs="Times New Roman"/>
          <w:sz w:val="24"/>
          <w:szCs w:val="24"/>
        </w:rPr>
        <w:t xml:space="preserve">. Astfel, statul </w:t>
      </w:r>
      <w:r w:rsidRPr="00B26D00">
        <w:rPr>
          <w:rFonts w:ascii="Times New Roman" w:hAnsi="Times New Roman" w:cs="Times New Roman"/>
          <w:sz w:val="24"/>
          <w:szCs w:val="24"/>
        </w:rPr>
        <w:t xml:space="preserve">continuă să exercite presiuni asupra sistemului pentru a-și îmbunătăți rezultatele, calitatea și receptivitatea generală a pieței (DFE, 2010). Astfel de schimbări au coincis cu </w:t>
      </w:r>
      <w:r>
        <w:rPr>
          <w:rFonts w:ascii="Times New Roman" w:hAnsi="Times New Roman" w:cs="Times New Roman"/>
          <w:sz w:val="24"/>
          <w:szCs w:val="24"/>
        </w:rPr>
        <w:t xml:space="preserve">globalizarea </w:t>
      </w:r>
      <w:r w:rsidRPr="00B26D00">
        <w:rPr>
          <w:rFonts w:ascii="Times New Roman" w:hAnsi="Times New Roman" w:cs="Times New Roman"/>
          <w:sz w:val="24"/>
          <w:szCs w:val="24"/>
        </w:rPr>
        <w:t>economie</w:t>
      </w:r>
      <w:r>
        <w:rPr>
          <w:rFonts w:ascii="Times New Roman" w:hAnsi="Times New Roman" w:cs="Times New Roman"/>
          <w:sz w:val="24"/>
          <w:szCs w:val="24"/>
        </w:rPr>
        <w:t>i</w:t>
      </w:r>
      <w:r w:rsidRPr="00B26D00">
        <w:rPr>
          <w:rFonts w:ascii="Times New Roman" w:hAnsi="Times New Roman" w:cs="Times New Roman"/>
          <w:sz w:val="24"/>
          <w:szCs w:val="24"/>
        </w:rPr>
        <w:t>, care impune cerințe tot mai mari asupra forței de muncă și necesită noi forme de competențe legate de muncă</w:t>
      </w:r>
      <w:r>
        <w:rPr>
          <w:rFonts w:ascii="Times New Roman" w:hAnsi="Times New Roman" w:cs="Times New Roman"/>
          <w:sz w:val="24"/>
          <w:szCs w:val="24"/>
        </w:rPr>
        <w:t xml:space="preserve">. </w:t>
      </w:r>
      <w:r w:rsidRPr="00B26D00">
        <w:rPr>
          <w:rFonts w:ascii="Times New Roman" w:hAnsi="Times New Roman" w:cs="Times New Roman"/>
          <w:sz w:val="24"/>
          <w:szCs w:val="24"/>
        </w:rPr>
        <w:t xml:space="preserve">Astfel, în mod tradițional, </w:t>
      </w:r>
      <w:r>
        <w:rPr>
          <w:rFonts w:ascii="Times New Roman" w:hAnsi="Times New Roman" w:cs="Times New Roman"/>
          <w:sz w:val="24"/>
          <w:szCs w:val="24"/>
        </w:rPr>
        <w:t>sistemul de învățământ superior a fost văzut</w:t>
      </w:r>
      <w:r w:rsidRPr="00B26D00">
        <w:rPr>
          <w:rFonts w:ascii="Times New Roman" w:hAnsi="Times New Roman" w:cs="Times New Roman"/>
          <w:sz w:val="24"/>
          <w:szCs w:val="24"/>
        </w:rPr>
        <w:t xml:space="preserve"> ca </w:t>
      </w:r>
      <w:r>
        <w:rPr>
          <w:rFonts w:ascii="Times New Roman" w:hAnsi="Times New Roman" w:cs="Times New Roman"/>
          <w:sz w:val="24"/>
          <w:szCs w:val="24"/>
        </w:rPr>
        <w:t>o bază de la</w:t>
      </w:r>
      <w:r w:rsidRPr="00B26D00">
        <w:rPr>
          <w:rFonts w:ascii="Times New Roman" w:hAnsi="Times New Roman" w:cs="Times New Roman"/>
          <w:sz w:val="24"/>
          <w:szCs w:val="24"/>
        </w:rPr>
        <w:t xml:space="preserve"> care absolvenții s-ar putea integra cu succes în viața economică, precum și deservirea eficientă a economiei.</w:t>
      </w:r>
    </w:p>
    <w:p w14:paraId="65B805F7" w14:textId="78E888F3" w:rsidR="00EF40E9" w:rsidRDefault="00EF40E9" w:rsidP="00C804EA">
      <w:pPr>
        <w:autoSpaceDE w:val="0"/>
        <w:autoSpaceDN w:val="0"/>
        <w:adjustRightInd w:val="0"/>
        <w:spacing w:before="240"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Chiar dacă în literatura de specialitate este recunoscut faptul</w:t>
      </w:r>
      <w:r w:rsidRPr="0020205B">
        <w:rPr>
          <w:rFonts w:ascii="Times New Roman" w:hAnsi="Times New Roman" w:cs="Times New Roman"/>
          <w:sz w:val="24"/>
          <w:szCs w:val="24"/>
        </w:rPr>
        <w:t xml:space="preserve"> că responsabilitatea </w:t>
      </w:r>
      <w:r>
        <w:rPr>
          <w:rFonts w:ascii="Times New Roman" w:hAnsi="Times New Roman" w:cs="Times New Roman"/>
          <w:sz w:val="24"/>
          <w:szCs w:val="24"/>
        </w:rPr>
        <w:t xml:space="preserve">privind inserția pe piața muncii </w:t>
      </w:r>
      <w:r w:rsidRPr="0020205B">
        <w:rPr>
          <w:rFonts w:ascii="Times New Roman" w:hAnsi="Times New Roman" w:cs="Times New Roman"/>
          <w:sz w:val="24"/>
          <w:szCs w:val="24"/>
        </w:rPr>
        <w:t>aparține unui spectru larg de părți interesate,</w:t>
      </w:r>
      <w:r>
        <w:rPr>
          <w:rFonts w:ascii="Times New Roman" w:hAnsi="Times New Roman" w:cs="Times New Roman"/>
          <w:sz w:val="24"/>
          <w:szCs w:val="24"/>
        </w:rPr>
        <w:t xml:space="preserve"> totuși responsabilitatea cea mai mare revine instituțiilor de </w:t>
      </w:r>
      <w:r w:rsidRPr="0020205B">
        <w:rPr>
          <w:rFonts w:ascii="Times New Roman" w:hAnsi="Times New Roman" w:cs="Times New Roman"/>
          <w:sz w:val="24"/>
          <w:szCs w:val="24"/>
        </w:rPr>
        <w:t>învățământ superior</w:t>
      </w:r>
      <w:r>
        <w:rPr>
          <w:rFonts w:ascii="Times New Roman" w:hAnsi="Times New Roman" w:cs="Times New Roman"/>
          <w:sz w:val="24"/>
          <w:szCs w:val="24"/>
        </w:rPr>
        <w:t>, care</w:t>
      </w:r>
      <w:r w:rsidRPr="0020205B">
        <w:rPr>
          <w:rFonts w:ascii="Times New Roman" w:hAnsi="Times New Roman" w:cs="Times New Roman"/>
          <w:sz w:val="24"/>
          <w:szCs w:val="24"/>
        </w:rPr>
        <w:t xml:space="preserve"> trebuie să ofere </w:t>
      </w:r>
      <w:r>
        <w:rPr>
          <w:rFonts w:ascii="Times New Roman" w:hAnsi="Times New Roman" w:cs="Times New Roman"/>
          <w:sz w:val="24"/>
          <w:szCs w:val="24"/>
        </w:rPr>
        <w:t>„</w:t>
      </w:r>
      <w:r w:rsidRPr="0020205B">
        <w:rPr>
          <w:rFonts w:ascii="Times New Roman" w:hAnsi="Times New Roman" w:cs="Times New Roman"/>
          <w:sz w:val="24"/>
          <w:szCs w:val="24"/>
        </w:rPr>
        <w:t>diplome cu val</w:t>
      </w:r>
      <w:r>
        <w:rPr>
          <w:rFonts w:ascii="Times New Roman" w:hAnsi="Times New Roman" w:cs="Times New Roman"/>
          <w:sz w:val="24"/>
          <w:szCs w:val="24"/>
        </w:rPr>
        <w:t>oare durabilă beneficiarilor săi.</w:t>
      </w:r>
      <w:r>
        <w:rPr>
          <w:rFonts w:ascii="Times New Roman" w:hAnsi="Times New Roman" w:cs="Times New Roman"/>
          <w:sz w:val="24"/>
          <w:szCs w:val="24"/>
        </w:rPr>
        <w:t>”</w:t>
      </w:r>
      <w:r w:rsidR="00E543CD">
        <w:rPr>
          <w:rFonts w:ascii="Times New Roman" w:hAnsi="Times New Roman" w:cs="Times New Roman"/>
          <w:sz w:val="24"/>
          <w:szCs w:val="24"/>
        </w:rPr>
        <w:t>(Cheng et</w:t>
      </w:r>
      <w:r w:rsidR="002E6846">
        <w:rPr>
          <w:rFonts w:ascii="Times New Roman" w:hAnsi="Times New Roman" w:cs="Times New Roman"/>
          <w:sz w:val="24"/>
          <w:szCs w:val="24"/>
        </w:rPr>
        <w:t xml:space="preserve"> al., 2022</w:t>
      </w:r>
      <w:r w:rsidR="00E543CD">
        <w:rPr>
          <w:rFonts w:ascii="Times New Roman" w:hAnsi="Times New Roman" w:cs="Times New Roman"/>
          <w:sz w:val="24"/>
          <w:szCs w:val="24"/>
        </w:rPr>
        <w:t>)</w:t>
      </w:r>
      <w:r w:rsidR="002E6846">
        <w:rPr>
          <w:rFonts w:ascii="Times New Roman" w:hAnsi="Times New Roman" w:cs="Times New Roman"/>
          <w:sz w:val="24"/>
          <w:szCs w:val="24"/>
        </w:rPr>
        <w:t xml:space="preserve"> </w:t>
      </w:r>
      <w:r w:rsidRPr="0020205B">
        <w:rPr>
          <w:rFonts w:ascii="Times New Roman" w:hAnsi="Times New Roman" w:cs="Times New Roman"/>
          <w:sz w:val="24"/>
          <w:szCs w:val="24"/>
        </w:rPr>
        <w:t xml:space="preserve">Acest lucru </w:t>
      </w:r>
      <w:r>
        <w:rPr>
          <w:rFonts w:ascii="Times New Roman" w:hAnsi="Times New Roman" w:cs="Times New Roman"/>
          <w:sz w:val="24"/>
          <w:szCs w:val="24"/>
        </w:rPr>
        <w:t xml:space="preserve">presupune ca instituțiile de învățământ să fie deschise </w:t>
      </w:r>
      <w:r w:rsidRPr="0020205B">
        <w:rPr>
          <w:rFonts w:ascii="Times New Roman" w:hAnsi="Times New Roman" w:cs="Times New Roman"/>
          <w:sz w:val="24"/>
          <w:szCs w:val="24"/>
        </w:rPr>
        <w:t xml:space="preserve">să implice angajatori și </w:t>
      </w:r>
      <w:r>
        <w:rPr>
          <w:rFonts w:ascii="Times New Roman" w:hAnsi="Times New Roman" w:cs="Times New Roman"/>
          <w:sz w:val="24"/>
          <w:szCs w:val="24"/>
        </w:rPr>
        <w:t xml:space="preserve">societatea </w:t>
      </w:r>
      <w:r w:rsidRPr="0020205B">
        <w:rPr>
          <w:rFonts w:ascii="Times New Roman" w:hAnsi="Times New Roman" w:cs="Times New Roman"/>
          <w:sz w:val="24"/>
          <w:szCs w:val="24"/>
        </w:rPr>
        <w:t xml:space="preserve">în proiectarea curriculară. De asemenea, va însemna predarea studenților </w:t>
      </w:r>
      <w:r>
        <w:rPr>
          <w:rFonts w:ascii="Times New Roman" w:hAnsi="Times New Roman" w:cs="Times New Roman"/>
          <w:sz w:val="24"/>
          <w:szCs w:val="24"/>
        </w:rPr>
        <w:t>de abilități</w:t>
      </w:r>
      <w:r w:rsidRPr="0020205B">
        <w:rPr>
          <w:rFonts w:ascii="Times New Roman" w:hAnsi="Times New Roman" w:cs="Times New Roman"/>
          <w:sz w:val="24"/>
          <w:szCs w:val="24"/>
        </w:rPr>
        <w:t xml:space="preserve"> transferabile de pregătire pentru muncă de care au nevoie </w:t>
      </w:r>
      <w:r w:rsidRPr="0020205B">
        <w:rPr>
          <w:rFonts w:ascii="Times New Roman" w:hAnsi="Times New Roman" w:cs="Times New Roman"/>
          <w:sz w:val="24"/>
          <w:szCs w:val="24"/>
        </w:rPr>
        <w:t>a</w:t>
      </w:r>
      <w:r>
        <w:rPr>
          <w:rFonts w:ascii="Times New Roman" w:hAnsi="Times New Roman" w:cs="Times New Roman"/>
          <w:sz w:val="24"/>
          <w:szCs w:val="24"/>
        </w:rPr>
        <w:t>ngajatorii</w:t>
      </w:r>
      <w:r w:rsidRPr="0020205B">
        <w:rPr>
          <w:rFonts w:ascii="Times New Roman" w:hAnsi="Times New Roman" w:cs="Times New Roman"/>
          <w:sz w:val="24"/>
          <w:szCs w:val="24"/>
        </w:rPr>
        <w:t xml:space="preserve">, inclusiv munca în echipă și dezvoltarea </w:t>
      </w:r>
      <w:r>
        <w:rPr>
          <w:rFonts w:ascii="Times New Roman" w:hAnsi="Times New Roman" w:cs="Times New Roman"/>
          <w:sz w:val="24"/>
          <w:szCs w:val="24"/>
        </w:rPr>
        <w:t xml:space="preserve">eticii în muncă. </w:t>
      </w:r>
      <w:r w:rsidRPr="0020205B">
        <w:rPr>
          <w:rFonts w:ascii="Times New Roman" w:hAnsi="Times New Roman" w:cs="Times New Roman"/>
          <w:sz w:val="24"/>
          <w:szCs w:val="24"/>
        </w:rPr>
        <w:t xml:space="preserve">Accentul pus pe rolul </w:t>
      </w:r>
      <w:r>
        <w:rPr>
          <w:rFonts w:ascii="Times New Roman" w:hAnsi="Times New Roman" w:cs="Times New Roman"/>
          <w:sz w:val="24"/>
          <w:szCs w:val="24"/>
        </w:rPr>
        <w:t>principal</w:t>
      </w:r>
      <w:r w:rsidRPr="0020205B">
        <w:rPr>
          <w:rFonts w:ascii="Times New Roman" w:hAnsi="Times New Roman" w:cs="Times New Roman"/>
          <w:sz w:val="24"/>
          <w:szCs w:val="24"/>
        </w:rPr>
        <w:t xml:space="preserve"> al instituțiilor de învățământ superior în </w:t>
      </w:r>
      <w:r>
        <w:rPr>
          <w:rFonts w:ascii="Times New Roman" w:hAnsi="Times New Roman" w:cs="Times New Roman"/>
          <w:sz w:val="24"/>
          <w:szCs w:val="24"/>
        </w:rPr>
        <w:t>inserția pe piața muncii a absolvenților a</w:t>
      </w:r>
      <w:r w:rsidRPr="0020205B">
        <w:rPr>
          <w:rFonts w:ascii="Times New Roman" w:hAnsi="Times New Roman" w:cs="Times New Roman"/>
          <w:sz w:val="24"/>
          <w:szCs w:val="24"/>
        </w:rPr>
        <w:t xml:space="preserve"> stârnit îngrijorarea că guvernul și angajatorii sunt scutiți de o astfel </w:t>
      </w:r>
      <w:r>
        <w:rPr>
          <w:rFonts w:ascii="Times New Roman" w:hAnsi="Times New Roman" w:cs="Times New Roman"/>
          <w:sz w:val="24"/>
          <w:szCs w:val="24"/>
        </w:rPr>
        <w:t xml:space="preserve">de responsabilitate. </w:t>
      </w:r>
      <w:r w:rsidRPr="0020205B">
        <w:rPr>
          <w:rFonts w:ascii="Times New Roman" w:hAnsi="Times New Roman" w:cs="Times New Roman"/>
          <w:sz w:val="24"/>
          <w:szCs w:val="24"/>
        </w:rPr>
        <w:t>Sin și Neave</w:t>
      </w:r>
      <w:r w:rsidR="002E6846">
        <w:rPr>
          <w:rFonts w:ascii="Times New Roman" w:hAnsi="Times New Roman" w:cs="Times New Roman"/>
          <w:sz w:val="24"/>
          <w:szCs w:val="24"/>
        </w:rPr>
        <w:t xml:space="preserve"> (2016) </w:t>
      </w:r>
      <w:r w:rsidRPr="0020205B">
        <w:rPr>
          <w:rFonts w:ascii="Times New Roman" w:hAnsi="Times New Roman" w:cs="Times New Roman"/>
          <w:sz w:val="24"/>
          <w:szCs w:val="24"/>
        </w:rPr>
        <w:t xml:space="preserve">susțin că instituțiile de învățământ superior au </w:t>
      </w:r>
      <w:r>
        <w:rPr>
          <w:rFonts w:ascii="Times New Roman" w:hAnsi="Times New Roman" w:cs="Times New Roman"/>
          <w:sz w:val="24"/>
          <w:szCs w:val="24"/>
        </w:rPr>
        <w:t>„</w:t>
      </w:r>
      <w:r w:rsidRPr="0020205B">
        <w:rPr>
          <w:rFonts w:ascii="Times New Roman" w:hAnsi="Times New Roman" w:cs="Times New Roman"/>
          <w:sz w:val="24"/>
          <w:szCs w:val="24"/>
        </w:rPr>
        <w:t>un rol utilitar</w:t>
      </w:r>
      <w:r>
        <w:rPr>
          <w:rFonts w:ascii="Times New Roman" w:hAnsi="Times New Roman" w:cs="Times New Roman"/>
          <w:sz w:val="24"/>
          <w:szCs w:val="24"/>
        </w:rPr>
        <w:t>”</w:t>
      </w:r>
      <w:r w:rsidRPr="00ED6D23">
        <w:rPr>
          <w:rStyle w:val="Referinnotdefinal"/>
          <w:rFonts w:ascii="Times New Roman" w:hAnsi="Times New Roman" w:cs="Times New Roman"/>
          <w:sz w:val="24"/>
          <w:szCs w:val="24"/>
        </w:rPr>
        <w:t xml:space="preserve"> </w:t>
      </w:r>
      <w:r w:rsidR="00747E91">
        <w:rPr>
          <w:rFonts w:ascii="Times New Roman" w:hAnsi="Times New Roman" w:cs="Times New Roman"/>
          <w:sz w:val="24"/>
          <w:szCs w:val="24"/>
        </w:rPr>
        <w:t>(Sin &amp; neave, 2016)</w:t>
      </w:r>
      <w:r w:rsidRPr="0020205B">
        <w:rPr>
          <w:rFonts w:ascii="Times New Roman" w:hAnsi="Times New Roman" w:cs="Times New Roman"/>
          <w:sz w:val="24"/>
          <w:szCs w:val="24"/>
        </w:rPr>
        <w:t xml:space="preserve"> </w:t>
      </w:r>
      <w:r>
        <w:rPr>
          <w:rFonts w:ascii="Times New Roman" w:hAnsi="Times New Roman" w:cs="Times New Roman"/>
          <w:sz w:val="24"/>
          <w:szCs w:val="24"/>
        </w:rPr>
        <w:t>în formarea de cunoștințe avansate, abilități și competențe</w:t>
      </w:r>
      <w:r w:rsidRPr="0020205B">
        <w:rPr>
          <w:rFonts w:ascii="Times New Roman" w:hAnsi="Times New Roman" w:cs="Times New Roman"/>
          <w:sz w:val="24"/>
          <w:szCs w:val="24"/>
        </w:rPr>
        <w:t xml:space="preserve"> de care au nevoie</w:t>
      </w:r>
      <w:r>
        <w:rPr>
          <w:rFonts w:ascii="Times New Roman" w:hAnsi="Times New Roman" w:cs="Times New Roman"/>
          <w:sz w:val="24"/>
          <w:szCs w:val="24"/>
        </w:rPr>
        <w:t xml:space="preserve"> studenții</w:t>
      </w:r>
      <w:r w:rsidRPr="0020205B">
        <w:rPr>
          <w:rFonts w:ascii="Times New Roman" w:hAnsi="Times New Roman" w:cs="Times New Roman"/>
          <w:sz w:val="24"/>
          <w:szCs w:val="24"/>
        </w:rPr>
        <w:t xml:space="preserve"> pe parcursul vieții lor profesionale. </w:t>
      </w:r>
      <w:r>
        <w:rPr>
          <w:rFonts w:ascii="Times New Roman" w:hAnsi="Times New Roman" w:cs="Times New Roman"/>
          <w:sz w:val="24"/>
          <w:szCs w:val="24"/>
        </w:rPr>
        <w:t xml:space="preserve">Cu această teorie este de acord și </w:t>
      </w:r>
      <w:r w:rsidRPr="0020205B">
        <w:rPr>
          <w:rFonts w:ascii="Times New Roman" w:hAnsi="Times New Roman" w:cs="Times New Roman"/>
          <w:sz w:val="24"/>
          <w:szCs w:val="24"/>
        </w:rPr>
        <w:t>Frankham</w:t>
      </w:r>
      <w:r w:rsidR="002E6846">
        <w:rPr>
          <w:rFonts w:ascii="Times New Roman" w:hAnsi="Times New Roman" w:cs="Times New Roman"/>
          <w:sz w:val="24"/>
          <w:szCs w:val="24"/>
        </w:rPr>
        <w:t xml:space="preserve"> (2017)</w:t>
      </w:r>
      <w:r>
        <w:rPr>
          <w:rFonts w:ascii="Times New Roman" w:hAnsi="Times New Roman" w:cs="Times New Roman"/>
          <w:sz w:val="24"/>
          <w:szCs w:val="24"/>
        </w:rPr>
        <w:t xml:space="preserve">, </w:t>
      </w:r>
      <w:r>
        <w:rPr>
          <w:rFonts w:ascii="Times New Roman" w:hAnsi="Times New Roman" w:cs="Times New Roman"/>
          <w:sz w:val="24"/>
          <w:szCs w:val="24"/>
        </w:rPr>
        <w:t>care consideră</w:t>
      </w:r>
      <w:r w:rsidRPr="0020205B">
        <w:rPr>
          <w:rFonts w:ascii="Times New Roman" w:hAnsi="Times New Roman" w:cs="Times New Roman"/>
          <w:sz w:val="24"/>
          <w:szCs w:val="24"/>
        </w:rPr>
        <w:t xml:space="preserve"> că sarcina responsabilității pentru politica guvernamentală în acest domeniu este atribuită </w:t>
      </w:r>
      <w:r>
        <w:rPr>
          <w:rFonts w:ascii="Times New Roman" w:hAnsi="Times New Roman" w:cs="Times New Roman"/>
          <w:sz w:val="24"/>
          <w:szCs w:val="24"/>
        </w:rPr>
        <w:t>„</w:t>
      </w:r>
      <w:r w:rsidRPr="0020205B">
        <w:rPr>
          <w:rFonts w:ascii="Times New Roman" w:hAnsi="Times New Roman" w:cs="Times New Roman"/>
          <w:sz w:val="24"/>
          <w:szCs w:val="24"/>
        </w:rPr>
        <w:t>celor care sunt supuși acestor politici, mai degrabă decât celor care le instigă.</w:t>
      </w:r>
      <w:r>
        <w:rPr>
          <w:rFonts w:ascii="Times New Roman" w:hAnsi="Times New Roman" w:cs="Times New Roman"/>
          <w:sz w:val="24"/>
          <w:szCs w:val="24"/>
        </w:rPr>
        <w:t>”</w:t>
      </w:r>
      <w:r>
        <w:rPr>
          <w:rFonts w:ascii="Times New Roman" w:hAnsi="Times New Roman" w:cs="Times New Roman"/>
          <w:sz w:val="24"/>
          <w:szCs w:val="24"/>
        </w:rPr>
        <w:t xml:space="preserve"> Astfel se sugerează că factorii de decizie ar trebui să își asume responsabilitatea publică față de toate programele de studii aprobate</w:t>
      </w:r>
      <w:r w:rsidRPr="0020205B">
        <w:rPr>
          <w:rFonts w:ascii="Times New Roman" w:hAnsi="Times New Roman" w:cs="Times New Roman"/>
          <w:sz w:val="24"/>
          <w:szCs w:val="24"/>
        </w:rPr>
        <w:t xml:space="preserve">, pentru a îmbunătăți </w:t>
      </w:r>
      <w:r>
        <w:rPr>
          <w:rFonts w:ascii="Times New Roman" w:hAnsi="Times New Roman" w:cs="Times New Roman"/>
          <w:sz w:val="24"/>
          <w:szCs w:val="24"/>
        </w:rPr>
        <w:t>inserția pe piața muncii a proaspeților absolvenți</w:t>
      </w:r>
      <w:r>
        <w:rPr>
          <w:rFonts w:ascii="Times New Roman" w:hAnsi="Times New Roman" w:cs="Times New Roman"/>
          <w:sz w:val="24"/>
          <w:szCs w:val="24"/>
        </w:rPr>
        <w:t>.</w:t>
      </w:r>
    </w:p>
    <w:p w14:paraId="145D84DD" w14:textId="5812A2E4" w:rsidR="00FE6F2F" w:rsidRPr="00451226" w:rsidRDefault="00FE6F2F" w:rsidP="00C804EA">
      <w:pPr>
        <w:spacing w:before="240" w:after="0" w:line="240" w:lineRule="auto"/>
        <w:ind w:firstLine="708"/>
        <w:jc w:val="both"/>
        <w:rPr>
          <w:rFonts w:ascii="Times New Roman" w:hAnsi="Times New Roman" w:cs="Times New Roman"/>
          <w:sz w:val="24"/>
          <w:szCs w:val="24"/>
        </w:rPr>
      </w:pPr>
      <w:r w:rsidRPr="00451226">
        <w:rPr>
          <w:rFonts w:ascii="Times New Roman" w:hAnsi="Times New Roman" w:cs="Times New Roman"/>
          <w:sz w:val="24"/>
          <w:szCs w:val="24"/>
        </w:rPr>
        <w:t>Ocuparea forței de muncă este punct important în Strategia Națională pentru Dezvoltarea Durabilă a României 2030, cuprinsă în cadrul Obiectivul 8: Muncă decentă și creștere economică</w:t>
      </w:r>
      <w:r w:rsidRPr="00451226">
        <w:rPr>
          <w:rFonts w:ascii="Times New Roman" w:hAnsi="Times New Roman"/>
          <w:sz w:val="24"/>
        </w:rPr>
        <w:t xml:space="preserve">. </w:t>
      </w:r>
      <w:r w:rsidRPr="00451226">
        <w:rPr>
          <w:rFonts w:ascii="Times New Roman" w:hAnsi="Times New Roman" w:cs="Times New Roman"/>
          <w:sz w:val="24"/>
          <w:szCs w:val="24"/>
        </w:rPr>
        <w:t xml:space="preserve"> Focusul acestui obiectiv îl reprezintă “promovarea unei creșteri economice susținute, deschisă tuturor și durabilă, a ocupării depline și productive a forței de muncă și asigurarea de locuri de muncă decente </w:t>
      </w:r>
      <w:r w:rsidRPr="00451226">
        <w:rPr>
          <w:rFonts w:ascii="Times New Roman" w:hAnsi="Times New Roman" w:cs="Times New Roman"/>
          <w:sz w:val="24"/>
          <w:szCs w:val="24"/>
        </w:rPr>
        <w:lastRenderedPageBreak/>
        <w:t>pentru toți</w:t>
      </w:r>
      <w:r>
        <w:rPr>
          <w:rFonts w:ascii="Times New Roman" w:hAnsi="Times New Roman" w:cs="Times New Roman"/>
          <w:sz w:val="24"/>
          <w:szCs w:val="24"/>
        </w:rPr>
        <w:t>.</w:t>
      </w:r>
      <w:r w:rsidRPr="0045122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1226">
        <w:rPr>
          <w:rFonts w:ascii="Times New Roman" w:hAnsi="Times New Roman" w:cs="Times New Roman"/>
          <w:sz w:val="24"/>
          <w:szCs w:val="24"/>
        </w:rPr>
        <w:t>Conceptul de responsabilitatea publică în managementul universitar a suferit o schimbare de paradigmă, în sensul trecerii „de la respectarea regulilor la producerea de rezultate.</w:t>
      </w:r>
      <w:r>
        <w:rPr>
          <w:rFonts w:ascii="Times New Roman" w:hAnsi="Times New Roman" w:cs="Times New Roman"/>
          <w:sz w:val="24"/>
          <w:szCs w:val="24"/>
        </w:rPr>
        <w:t>”</w:t>
      </w:r>
      <w:r>
        <w:rPr>
          <w:rFonts w:ascii="Times New Roman" w:hAnsi="Times New Roman" w:cs="Times New Roman"/>
          <w:sz w:val="24"/>
          <w:szCs w:val="24"/>
        </w:rPr>
        <w:t xml:space="preserve"> (Burke, 2005)</w:t>
      </w:r>
      <w:r>
        <w:rPr>
          <w:rFonts w:ascii="Times New Roman" w:hAnsi="Times New Roman" w:cs="Times New Roman"/>
          <w:sz w:val="24"/>
          <w:szCs w:val="24"/>
        </w:rPr>
        <w:t xml:space="preserve"> </w:t>
      </w:r>
      <w:r w:rsidRPr="00451226">
        <w:rPr>
          <w:rFonts w:ascii="Times New Roman" w:hAnsi="Times New Roman" w:cs="Times New Roman"/>
          <w:sz w:val="24"/>
          <w:szCs w:val="24"/>
        </w:rPr>
        <w:t>În învățământul superior, rezultatele au în vedere modul de folosire a banului public pentru necesitățile impuse de piața muncii, necesități traduse prin competențe ale absolvenților. Finanțarea bazată pe performanță este unul dintre numeroasele programe de responsabilitate și o măsură larg recunoscută pentru îmbunătățirea responsabilității publice în învățământul superior. Această modalitate de finanțare este recunoscută ca un instrument funcțional care va a</w:t>
      </w:r>
      <w:r>
        <w:rPr>
          <w:rFonts w:ascii="Times New Roman" w:hAnsi="Times New Roman" w:cs="Times New Roman"/>
          <w:sz w:val="24"/>
          <w:szCs w:val="24"/>
        </w:rPr>
        <w:t>m</w:t>
      </w:r>
      <w:r w:rsidRPr="00451226">
        <w:rPr>
          <w:rFonts w:ascii="Times New Roman" w:hAnsi="Times New Roman" w:cs="Times New Roman"/>
          <w:sz w:val="24"/>
          <w:szCs w:val="24"/>
        </w:rPr>
        <w:t xml:space="preserve">plifica gradul de responsabilitate a instituțiilor de învățământ superior, deoarece managerilor li se atribuie responsabilitatea îndeplinirii țintelor stabilite în funcție de o serie de indicatori măsurabili, cum ar fi inserția pe piața muncii a tinerilor absolvenți și finanțarea programelor de studii cerute de piața muncii. </w:t>
      </w:r>
    </w:p>
    <w:p w14:paraId="0CCE9D55" w14:textId="77777777" w:rsidR="00FE6F2F" w:rsidRDefault="00FE6F2F" w:rsidP="00FE6F2F">
      <w:pPr>
        <w:spacing w:after="0" w:line="240" w:lineRule="auto"/>
        <w:ind w:firstLine="708"/>
        <w:jc w:val="both"/>
        <w:rPr>
          <w:rFonts w:ascii="Times New Roman" w:hAnsi="Times New Roman" w:cs="Times New Roman"/>
          <w:sz w:val="24"/>
          <w:szCs w:val="24"/>
        </w:rPr>
      </w:pPr>
      <w:r w:rsidRPr="00451226">
        <w:rPr>
          <w:rFonts w:ascii="Times New Roman" w:hAnsi="Times New Roman" w:cs="Times New Roman"/>
          <w:sz w:val="24"/>
          <w:szCs w:val="24"/>
        </w:rPr>
        <w:t xml:space="preserve"> </w:t>
      </w:r>
      <w:r w:rsidRPr="001127D7">
        <w:rPr>
          <w:rFonts w:ascii="Times New Roman" w:hAnsi="Times New Roman" w:cs="Times New Roman"/>
          <w:sz w:val="24"/>
          <w:szCs w:val="24"/>
        </w:rPr>
        <w:t>Dar pentru realizarea acestor schimbări în sistemul de învățământ superior este nevoie de o schimbare de paradigmă: „de la uniformitate și dispersie la diferențiere și concentrare.</w:t>
      </w:r>
      <w:r>
        <w:rPr>
          <w:rFonts w:ascii="Times New Roman" w:hAnsi="Times New Roman" w:cs="Times New Roman"/>
          <w:sz w:val="24"/>
          <w:szCs w:val="24"/>
        </w:rPr>
        <w:t xml:space="preserve">” (Miclea, 2007) </w:t>
      </w:r>
    </w:p>
    <w:p w14:paraId="4C95D16C" w14:textId="4060FABC" w:rsidR="00FE6F2F" w:rsidRPr="00451226" w:rsidRDefault="00FE6F2F" w:rsidP="00FE6F2F">
      <w:pPr>
        <w:spacing w:after="0" w:line="240" w:lineRule="auto"/>
        <w:jc w:val="both"/>
        <w:rPr>
          <w:rFonts w:ascii="Times New Roman" w:hAnsi="Times New Roman" w:cs="Times New Roman"/>
          <w:sz w:val="24"/>
        </w:rPr>
      </w:pPr>
      <w:r w:rsidRPr="00451226">
        <w:rPr>
          <w:rFonts w:ascii="Times New Roman" w:hAnsi="Times New Roman" w:cs="Times New Roman"/>
          <w:sz w:val="24"/>
        </w:rPr>
        <w:t>„O relație pozitivă dintre educație și forța de muncă este esențială pentru orice economie pentru a crește și a crea valoare. Această relație se reflecta cel mai bine printr-o ofertă tot mai mare de lucrători bine educați care promovează dezvoltarea economică. Alegerile actuale în direcția educației afectează în mod semnificativ performanța pieței muncii în viitor, sistemul de învățământ fiind răspunzător de oferirea de cunoștințe si abilități indivizilor înspre participarea eficientă la viața societății, înspre extinderea cunoștințele actuale și înspre capacitatea de a putea activa, integra și reintegra cu succes pe piața muncii.”</w:t>
      </w:r>
      <w:r>
        <w:rPr>
          <w:rFonts w:ascii="Times New Roman" w:hAnsi="Times New Roman" w:cs="Times New Roman"/>
          <w:sz w:val="24"/>
        </w:rPr>
        <w:t xml:space="preserve"> (Șerban, 2012)</w:t>
      </w:r>
    </w:p>
    <w:p w14:paraId="198D46BA" w14:textId="77777777" w:rsidR="00FE6F2F" w:rsidRDefault="00FE6F2F" w:rsidP="00F549F7">
      <w:pPr>
        <w:autoSpaceDE w:val="0"/>
        <w:autoSpaceDN w:val="0"/>
        <w:adjustRightInd w:val="0"/>
        <w:spacing w:line="240" w:lineRule="auto"/>
        <w:ind w:firstLine="708"/>
        <w:jc w:val="both"/>
        <w:rPr>
          <w:rFonts w:ascii="Times New Roman" w:hAnsi="Times New Roman" w:cs="Times New Roman"/>
          <w:sz w:val="24"/>
          <w:szCs w:val="24"/>
        </w:rPr>
      </w:pPr>
    </w:p>
    <w:p w14:paraId="30720AF7" w14:textId="59C10A17" w:rsidR="00EF40E9" w:rsidRPr="00F549F7" w:rsidRDefault="00EF40E9" w:rsidP="00F549F7">
      <w:pPr>
        <w:autoSpaceDE w:val="0"/>
        <w:autoSpaceDN w:val="0"/>
        <w:adjustRightInd w:val="0"/>
        <w:spacing w:line="240" w:lineRule="auto"/>
        <w:jc w:val="both"/>
        <w:rPr>
          <w:rFonts w:ascii="Times New Roman" w:hAnsi="Times New Roman" w:cs="Times New Roman"/>
          <w:b/>
          <w:bCs/>
          <w:sz w:val="24"/>
          <w:szCs w:val="24"/>
        </w:rPr>
      </w:pPr>
      <w:r w:rsidRPr="00F549F7">
        <w:rPr>
          <w:rFonts w:ascii="Times New Roman" w:hAnsi="Times New Roman" w:cs="Times New Roman"/>
          <w:b/>
          <w:bCs/>
          <w:sz w:val="24"/>
          <w:szCs w:val="24"/>
        </w:rPr>
        <w:t>CONȚINUTUL LUCRĂRII</w:t>
      </w:r>
    </w:p>
    <w:p w14:paraId="22D6FA9C" w14:textId="49FE6A44" w:rsidR="00EF40E9" w:rsidRDefault="00EF40E9" w:rsidP="00FE6F2F">
      <w:pPr>
        <w:autoSpaceDE w:val="0"/>
        <w:autoSpaceDN w:val="0"/>
        <w:adjustRightInd w:val="0"/>
        <w:spacing w:before="24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Prin prezenta lucrare am urmărit să determinăm legătura pe care o are valoarea investițiilor în sistemul de învățământ și nivelul educației asupra ratei de angajare a proaspeților absolvenți. Pentru a duce la îndeplinire scopul nostru, am ales o serie de indicatori prezentați în Tabelul nr. </w:t>
      </w:r>
      <w:r w:rsidR="002E6846">
        <w:rPr>
          <w:rFonts w:ascii="Times New Roman" w:hAnsi="Times New Roman" w:cs="Times New Roman"/>
          <w:sz w:val="24"/>
          <w:szCs w:val="24"/>
        </w:rPr>
        <w:t>1</w:t>
      </w:r>
      <w:r>
        <w:rPr>
          <w:rFonts w:ascii="Times New Roman" w:hAnsi="Times New Roman" w:cs="Times New Roman"/>
          <w:sz w:val="24"/>
          <w:szCs w:val="24"/>
        </w:rPr>
        <w:t>.</w:t>
      </w:r>
      <w:r w:rsidR="00412348">
        <w:rPr>
          <w:rFonts w:ascii="Times New Roman" w:hAnsi="Times New Roman" w:cs="Times New Roman"/>
          <w:sz w:val="24"/>
          <w:szCs w:val="24"/>
        </w:rPr>
        <w:t xml:space="preserve"> </w:t>
      </w:r>
    </w:p>
    <w:p w14:paraId="19640EE4" w14:textId="58C8BFD4" w:rsidR="00EF40E9" w:rsidRPr="00F549F7" w:rsidRDefault="00EF40E9" w:rsidP="00F549F7">
      <w:pPr>
        <w:autoSpaceDE w:val="0"/>
        <w:autoSpaceDN w:val="0"/>
        <w:adjustRightInd w:val="0"/>
        <w:spacing w:line="240" w:lineRule="auto"/>
        <w:rPr>
          <w:rFonts w:ascii="Times New Roman" w:hAnsi="Times New Roman" w:cs="Times New Roman"/>
          <w:sz w:val="20"/>
          <w:szCs w:val="20"/>
        </w:rPr>
      </w:pPr>
      <w:r w:rsidRPr="00F549F7">
        <w:rPr>
          <w:rFonts w:ascii="Times New Roman" w:hAnsi="Times New Roman" w:cs="Times New Roman"/>
          <w:sz w:val="20"/>
          <w:szCs w:val="20"/>
        </w:rPr>
        <w:t xml:space="preserve">Tabelul nr. </w:t>
      </w:r>
      <w:r w:rsidR="002E6846">
        <w:rPr>
          <w:rFonts w:ascii="Times New Roman" w:hAnsi="Times New Roman" w:cs="Times New Roman"/>
          <w:sz w:val="20"/>
          <w:szCs w:val="20"/>
        </w:rPr>
        <w:t>1</w:t>
      </w:r>
      <w:r w:rsidRPr="00F549F7">
        <w:rPr>
          <w:rFonts w:ascii="Times New Roman" w:hAnsi="Times New Roman" w:cs="Times New Roman"/>
          <w:sz w:val="20"/>
          <w:szCs w:val="20"/>
        </w:rPr>
        <w:t xml:space="preserve"> – Abrevierea indicatorilor utilizați în analiza</w:t>
      </w:r>
    </w:p>
    <w:tbl>
      <w:tblPr>
        <w:tblStyle w:val="Tabelprimar3"/>
        <w:tblW w:w="9747" w:type="dxa"/>
        <w:tblLook w:val="04A0" w:firstRow="1" w:lastRow="0" w:firstColumn="1" w:lastColumn="0" w:noHBand="0" w:noVBand="1"/>
      </w:tblPr>
      <w:tblGrid>
        <w:gridCol w:w="1526"/>
        <w:gridCol w:w="5283"/>
        <w:gridCol w:w="2938"/>
      </w:tblGrid>
      <w:tr w:rsidR="00EF40E9" w:rsidRPr="00F549F7" w14:paraId="22007543" w14:textId="77777777" w:rsidTr="006460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6" w:type="dxa"/>
          </w:tcPr>
          <w:p w14:paraId="08161875" w14:textId="7032CD56" w:rsidR="00EF40E9" w:rsidRPr="00F549F7" w:rsidRDefault="00EF40E9" w:rsidP="00F549F7">
            <w:pPr>
              <w:autoSpaceDE w:val="0"/>
              <w:autoSpaceDN w:val="0"/>
              <w:adjustRightInd w:val="0"/>
              <w:jc w:val="both"/>
              <w:rPr>
                <w:rFonts w:ascii="Times New Roman" w:hAnsi="Times New Roman" w:cs="Times New Roman"/>
                <w:sz w:val="20"/>
                <w:szCs w:val="20"/>
              </w:rPr>
            </w:pPr>
            <w:r w:rsidRPr="00F549F7">
              <w:rPr>
                <w:rFonts w:ascii="Times New Roman" w:hAnsi="Times New Roman" w:cs="Times New Roman"/>
                <w:sz w:val="20"/>
                <w:szCs w:val="20"/>
              </w:rPr>
              <w:t>N</w:t>
            </w:r>
            <w:r w:rsidRPr="00F549F7">
              <w:rPr>
                <w:rFonts w:ascii="Times New Roman" w:hAnsi="Times New Roman" w:cs="Times New Roman"/>
                <w:caps w:val="0"/>
                <w:sz w:val="20"/>
                <w:szCs w:val="20"/>
              </w:rPr>
              <w:t>r. Crt.</w:t>
            </w:r>
          </w:p>
        </w:tc>
        <w:tc>
          <w:tcPr>
            <w:tcW w:w="5283" w:type="dxa"/>
          </w:tcPr>
          <w:p w14:paraId="52B4F314" w14:textId="066993F1" w:rsidR="00EF40E9" w:rsidRPr="00F549F7" w:rsidRDefault="00EF40E9" w:rsidP="00F549F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549F7">
              <w:rPr>
                <w:rFonts w:ascii="Times New Roman" w:hAnsi="Times New Roman" w:cs="Times New Roman"/>
                <w:sz w:val="20"/>
                <w:szCs w:val="20"/>
              </w:rPr>
              <w:t>D</w:t>
            </w:r>
            <w:r w:rsidRPr="00F549F7">
              <w:rPr>
                <w:rFonts w:ascii="Times New Roman" w:hAnsi="Times New Roman" w:cs="Times New Roman"/>
                <w:caps w:val="0"/>
                <w:sz w:val="20"/>
                <w:szCs w:val="20"/>
              </w:rPr>
              <w:t>enumire indicator</w:t>
            </w:r>
          </w:p>
        </w:tc>
        <w:tc>
          <w:tcPr>
            <w:tcW w:w="2938" w:type="dxa"/>
          </w:tcPr>
          <w:p w14:paraId="02DE3769" w14:textId="63F5E24C" w:rsidR="00EF40E9" w:rsidRPr="00F549F7" w:rsidRDefault="00EF40E9" w:rsidP="00F549F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549F7">
              <w:rPr>
                <w:rFonts w:ascii="Times New Roman" w:hAnsi="Times New Roman" w:cs="Times New Roman"/>
                <w:sz w:val="20"/>
                <w:szCs w:val="20"/>
              </w:rPr>
              <w:t>A</w:t>
            </w:r>
            <w:r w:rsidRPr="00F549F7">
              <w:rPr>
                <w:rFonts w:ascii="Times New Roman" w:hAnsi="Times New Roman" w:cs="Times New Roman"/>
                <w:caps w:val="0"/>
                <w:sz w:val="20"/>
                <w:szCs w:val="20"/>
              </w:rPr>
              <w:t>breviere</w:t>
            </w:r>
          </w:p>
        </w:tc>
      </w:tr>
      <w:tr w:rsidR="00EF40E9" w:rsidRPr="00F549F7" w14:paraId="0499C657" w14:textId="77777777" w:rsidTr="006460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69F5513" w14:textId="58EB3926" w:rsidR="00EF40E9" w:rsidRPr="00F549F7" w:rsidRDefault="00EF40E9" w:rsidP="00F549F7">
            <w:pPr>
              <w:autoSpaceDE w:val="0"/>
              <w:autoSpaceDN w:val="0"/>
              <w:adjustRightInd w:val="0"/>
              <w:jc w:val="both"/>
              <w:rPr>
                <w:rFonts w:ascii="Times New Roman" w:hAnsi="Times New Roman" w:cs="Times New Roman"/>
                <w:sz w:val="20"/>
                <w:szCs w:val="20"/>
              </w:rPr>
            </w:pPr>
            <w:r w:rsidRPr="00F549F7">
              <w:rPr>
                <w:rFonts w:ascii="Times New Roman" w:hAnsi="Times New Roman" w:cs="Times New Roman"/>
                <w:sz w:val="20"/>
                <w:szCs w:val="20"/>
              </w:rPr>
              <w:t>1.</w:t>
            </w:r>
          </w:p>
        </w:tc>
        <w:tc>
          <w:tcPr>
            <w:tcW w:w="5283" w:type="dxa"/>
          </w:tcPr>
          <w:p w14:paraId="298F7A31" w14:textId="1CEF7947" w:rsidR="00EF40E9" w:rsidRPr="00F549F7" w:rsidRDefault="00EF40E9" w:rsidP="00F549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549F7">
              <w:rPr>
                <w:rFonts w:ascii="Times New Roman" w:hAnsi="Times New Roman" w:cs="Times New Roman"/>
                <w:sz w:val="20"/>
                <w:szCs w:val="20"/>
              </w:rPr>
              <w:t>Ratele de ocupare a proaspeților absolvenți</w:t>
            </w:r>
          </w:p>
        </w:tc>
        <w:tc>
          <w:tcPr>
            <w:tcW w:w="2938" w:type="dxa"/>
          </w:tcPr>
          <w:p w14:paraId="004F7DCD" w14:textId="43DE1C51" w:rsidR="00EF40E9" w:rsidRPr="00F549F7" w:rsidRDefault="00EF40E9" w:rsidP="00F549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549F7">
              <w:rPr>
                <w:rFonts w:ascii="Times New Roman" w:hAnsi="Times New Roman" w:cs="Times New Roman"/>
                <w:color w:val="000000"/>
                <w:sz w:val="20"/>
                <w:szCs w:val="20"/>
              </w:rPr>
              <w:t>ERG</w:t>
            </w:r>
          </w:p>
        </w:tc>
      </w:tr>
      <w:tr w:rsidR="00EF40E9" w:rsidRPr="00F549F7" w14:paraId="3A16EA4B" w14:textId="77777777" w:rsidTr="006460DE">
        <w:tc>
          <w:tcPr>
            <w:cnfStyle w:val="001000000000" w:firstRow="0" w:lastRow="0" w:firstColumn="1" w:lastColumn="0" w:oddVBand="0" w:evenVBand="0" w:oddHBand="0" w:evenHBand="0" w:firstRowFirstColumn="0" w:firstRowLastColumn="0" w:lastRowFirstColumn="0" w:lastRowLastColumn="0"/>
            <w:tcW w:w="1526" w:type="dxa"/>
          </w:tcPr>
          <w:p w14:paraId="1A5AB92C" w14:textId="25D099D5" w:rsidR="00EF40E9" w:rsidRPr="00F549F7" w:rsidRDefault="00EF40E9" w:rsidP="00F549F7">
            <w:pPr>
              <w:autoSpaceDE w:val="0"/>
              <w:autoSpaceDN w:val="0"/>
              <w:adjustRightInd w:val="0"/>
              <w:jc w:val="both"/>
              <w:rPr>
                <w:rFonts w:ascii="Times New Roman" w:hAnsi="Times New Roman" w:cs="Times New Roman"/>
                <w:sz w:val="20"/>
                <w:szCs w:val="20"/>
              </w:rPr>
            </w:pPr>
            <w:bookmarkStart w:id="3" w:name="_Hlk170632774"/>
            <w:r w:rsidRPr="00F549F7">
              <w:rPr>
                <w:rFonts w:ascii="Times New Roman" w:hAnsi="Times New Roman" w:cs="Times New Roman"/>
                <w:sz w:val="20"/>
                <w:szCs w:val="20"/>
              </w:rPr>
              <w:t>2.</w:t>
            </w:r>
          </w:p>
        </w:tc>
        <w:tc>
          <w:tcPr>
            <w:tcW w:w="5283" w:type="dxa"/>
          </w:tcPr>
          <w:p w14:paraId="257E8C5D" w14:textId="6B0447FA" w:rsidR="00EF40E9" w:rsidRPr="00F549F7" w:rsidRDefault="00EF40E9" w:rsidP="00F549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4" w:name="_Hlk170630064"/>
            <w:r w:rsidRPr="00F549F7">
              <w:rPr>
                <w:rFonts w:ascii="Times New Roman" w:hAnsi="Times New Roman" w:cs="Times New Roman"/>
                <w:sz w:val="20"/>
                <w:szCs w:val="20"/>
              </w:rPr>
              <w:t>Nivelul de studii terțiare</w:t>
            </w:r>
            <w:bookmarkEnd w:id="4"/>
          </w:p>
        </w:tc>
        <w:tc>
          <w:tcPr>
            <w:tcW w:w="2938" w:type="dxa"/>
          </w:tcPr>
          <w:p w14:paraId="02DB8200" w14:textId="3AF122D2" w:rsidR="00EF40E9" w:rsidRPr="00F549F7" w:rsidRDefault="00EF40E9" w:rsidP="00F549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549F7">
              <w:rPr>
                <w:rFonts w:ascii="Times New Roman" w:hAnsi="Times New Roman" w:cs="Times New Roman"/>
                <w:color w:val="000000"/>
                <w:sz w:val="20"/>
                <w:szCs w:val="20"/>
              </w:rPr>
              <w:t>TEA</w:t>
            </w:r>
          </w:p>
        </w:tc>
      </w:tr>
      <w:tr w:rsidR="00EF40E9" w:rsidRPr="00F549F7" w14:paraId="10724B9C" w14:textId="77777777" w:rsidTr="006460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C27087E" w14:textId="749992F3" w:rsidR="00EF40E9" w:rsidRPr="00F549F7" w:rsidRDefault="00EF40E9" w:rsidP="00F549F7">
            <w:pPr>
              <w:autoSpaceDE w:val="0"/>
              <w:autoSpaceDN w:val="0"/>
              <w:adjustRightInd w:val="0"/>
              <w:jc w:val="both"/>
              <w:rPr>
                <w:rFonts w:ascii="Times New Roman" w:hAnsi="Times New Roman" w:cs="Times New Roman"/>
                <w:sz w:val="20"/>
                <w:szCs w:val="20"/>
              </w:rPr>
            </w:pPr>
            <w:r w:rsidRPr="00F549F7">
              <w:rPr>
                <w:rFonts w:ascii="Times New Roman" w:hAnsi="Times New Roman" w:cs="Times New Roman"/>
                <w:sz w:val="20"/>
                <w:szCs w:val="20"/>
              </w:rPr>
              <w:t>3.</w:t>
            </w:r>
          </w:p>
        </w:tc>
        <w:tc>
          <w:tcPr>
            <w:tcW w:w="5283" w:type="dxa"/>
          </w:tcPr>
          <w:p w14:paraId="207D9647" w14:textId="7C76909F" w:rsidR="00EF40E9" w:rsidRPr="00F549F7" w:rsidRDefault="00EF40E9" w:rsidP="00F549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549F7">
              <w:rPr>
                <w:rFonts w:ascii="Times New Roman" w:hAnsi="Times New Roman" w:cs="Times New Roman"/>
                <w:sz w:val="20"/>
                <w:szCs w:val="20"/>
              </w:rPr>
              <w:t xml:space="preserve">Ponderea investițiilor din PIB </w:t>
            </w:r>
            <w:r w:rsidRPr="00F549F7">
              <w:rPr>
                <w:rFonts w:ascii="Times New Roman" w:hAnsi="Times New Roman" w:cs="Times New Roman"/>
                <w:sz w:val="20"/>
                <w:szCs w:val="20"/>
              </w:rPr>
              <w:t>în învățământ</w:t>
            </w:r>
          </w:p>
        </w:tc>
        <w:tc>
          <w:tcPr>
            <w:tcW w:w="2938" w:type="dxa"/>
          </w:tcPr>
          <w:p w14:paraId="0CFAE6BB" w14:textId="4FD1B27F" w:rsidR="00EF40E9" w:rsidRPr="00F549F7" w:rsidRDefault="00EF40E9" w:rsidP="00F549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549F7">
              <w:rPr>
                <w:rFonts w:ascii="Times New Roman" w:hAnsi="Times New Roman" w:cs="Times New Roman"/>
                <w:color w:val="000000"/>
                <w:sz w:val="20"/>
                <w:szCs w:val="20"/>
              </w:rPr>
              <w:t>IGDP</w:t>
            </w:r>
          </w:p>
        </w:tc>
      </w:tr>
      <w:tr w:rsidR="00EF40E9" w:rsidRPr="00F549F7" w14:paraId="752AF715" w14:textId="77777777" w:rsidTr="006460DE">
        <w:tc>
          <w:tcPr>
            <w:cnfStyle w:val="001000000000" w:firstRow="0" w:lastRow="0" w:firstColumn="1" w:lastColumn="0" w:oddVBand="0" w:evenVBand="0" w:oddHBand="0" w:evenHBand="0" w:firstRowFirstColumn="0" w:firstRowLastColumn="0" w:lastRowFirstColumn="0" w:lastRowLastColumn="0"/>
            <w:tcW w:w="1526" w:type="dxa"/>
          </w:tcPr>
          <w:p w14:paraId="0BCB5194" w14:textId="2B2CBB74" w:rsidR="00EF40E9" w:rsidRPr="00F549F7" w:rsidRDefault="00EF40E9" w:rsidP="00F549F7">
            <w:pPr>
              <w:autoSpaceDE w:val="0"/>
              <w:autoSpaceDN w:val="0"/>
              <w:adjustRightInd w:val="0"/>
              <w:jc w:val="both"/>
              <w:rPr>
                <w:rFonts w:ascii="Times New Roman" w:hAnsi="Times New Roman" w:cs="Times New Roman"/>
                <w:sz w:val="20"/>
                <w:szCs w:val="20"/>
              </w:rPr>
            </w:pPr>
            <w:r w:rsidRPr="00F549F7">
              <w:rPr>
                <w:rFonts w:ascii="Times New Roman" w:hAnsi="Times New Roman" w:cs="Times New Roman"/>
                <w:sz w:val="20"/>
                <w:szCs w:val="20"/>
              </w:rPr>
              <w:t>4.</w:t>
            </w:r>
          </w:p>
        </w:tc>
        <w:tc>
          <w:tcPr>
            <w:tcW w:w="5283" w:type="dxa"/>
          </w:tcPr>
          <w:p w14:paraId="12054D32" w14:textId="7D9D7868" w:rsidR="00EF40E9" w:rsidRPr="00F549F7" w:rsidRDefault="00EF40E9" w:rsidP="00F549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549F7">
              <w:rPr>
                <w:rFonts w:ascii="Times New Roman" w:hAnsi="Times New Roman" w:cs="Times New Roman"/>
                <w:sz w:val="20"/>
                <w:szCs w:val="20"/>
              </w:rPr>
              <w:t xml:space="preserve">Cheltuielile publice pentru educație </w:t>
            </w:r>
            <w:r w:rsidRPr="00F549F7">
              <w:rPr>
                <w:rFonts w:ascii="Times New Roman" w:hAnsi="Times New Roman" w:cs="Times New Roman"/>
                <w:sz w:val="20"/>
                <w:szCs w:val="20"/>
              </w:rPr>
              <w:t>(nivel terțiar)</w:t>
            </w:r>
          </w:p>
        </w:tc>
        <w:tc>
          <w:tcPr>
            <w:tcW w:w="2938" w:type="dxa"/>
          </w:tcPr>
          <w:p w14:paraId="706F3401" w14:textId="3AB994AB" w:rsidR="00EF40E9" w:rsidRPr="00F549F7" w:rsidRDefault="00EF40E9" w:rsidP="00F549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549F7">
              <w:rPr>
                <w:rFonts w:ascii="Times New Roman" w:hAnsi="Times New Roman" w:cs="Times New Roman"/>
                <w:color w:val="000000"/>
                <w:sz w:val="20"/>
                <w:szCs w:val="20"/>
              </w:rPr>
              <w:t>PEE</w:t>
            </w:r>
          </w:p>
        </w:tc>
      </w:tr>
    </w:tbl>
    <w:bookmarkEnd w:id="3"/>
    <w:p w14:paraId="4B6A6C8D" w14:textId="292ADA67" w:rsidR="00EF40E9" w:rsidRPr="002E6846" w:rsidRDefault="00EF40E9" w:rsidP="00FE6F2F">
      <w:pPr>
        <w:autoSpaceDE w:val="0"/>
        <w:autoSpaceDN w:val="0"/>
        <w:adjustRightInd w:val="0"/>
        <w:spacing w:before="240" w:line="240" w:lineRule="auto"/>
        <w:jc w:val="both"/>
        <w:rPr>
          <w:rFonts w:ascii="Times New Roman" w:hAnsi="Times New Roman" w:cs="Times New Roman"/>
          <w:sz w:val="20"/>
          <w:szCs w:val="20"/>
        </w:rPr>
      </w:pPr>
      <w:r w:rsidRPr="002E6846">
        <w:rPr>
          <w:rFonts w:ascii="Times New Roman" w:hAnsi="Times New Roman" w:cs="Times New Roman"/>
          <w:sz w:val="20"/>
          <w:szCs w:val="20"/>
        </w:rPr>
        <w:t>Sursa: Prelucrare proprie</w:t>
      </w:r>
    </w:p>
    <w:p w14:paraId="41FED91B" w14:textId="2A5ED70C" w:rsidR="00EF40E9" w:rsidRDefault="00EF40E9" w:rsidP="00C804EA">
      <w:pPr>
        <w:autoSpaceDE w:val="0"/>
        <w:autoSpaceDN w:val="0"/>
        <w:adjustRightInd w:val="0"/>
        <w:spacing w:before="24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Pentru realizarea demersului nostru, am considerat ca variantă dependentă ERG – rata de ocupare a proaspeților absolvenți, iar ca variabile independente PEE – nivelul studiilor terțiare, IGDP – ponderea </w:t>
      </w:r>
      <w:r w:rsidRPr="006460DE">
        <w:rPr>
          <w:rFonts w:ascii="Times New Roman" w:hAnsi="Times New Roman" w:cs="Times New Roman"/>
          <w:sz w:val="24"/>
          <w:szCs w:val="24"/>
        </w:rPr>
        <w:t>investițiilor din PIB în învățământ</w:t>
      </w:r>
      <w:r>
        <w:rPr>
          <w:rFonts w:ascii="Times New Roman" w:hAnsi="Times New Roman" w:cs="Times New Roman"/>
          <w:sz w:val="24"/>
          <w:szCs w:val="24"/>
        </w:rPr>
        <w:t xml:space="preserve"> și TEA -</w:t>
      </w:r>
      <w:r w:rsidRPr="006460DE">
        <w:t xml:space="preserve"> </w:t>
      </w:r>
      <w:r w:rsidRPr="006460DE">
        <w:rPr>
          <w:rFonts w:ascii="Times New Roman" w:hAnsi="Times New Roman" w:cs="Times New Roman"/>
          <w:sz w:val="24"/>
          <w:szCs w:val="24"/>
        </w:rPr>
        <w:t>Nivelul de studii terțiare</w:t>
      </w:r>
      <w:r>
        <w:rPr>
          <w:rFonts w:ascii="Times New Roman" w:hAnsi="Times New Roman" w:cs="Times New Roman"/>
          <w:sz w:val="24"/>
          <w:szCs w:val="24"/>
        </w:rPr>
        <w:t xml:space="preserve">. Perioada analizată este 2012-2023, perioadă impusă de disponibilitatea datelor. Datele au fost preluate de pe </w:t>
      </w:r>
      <w:hyperlink r:id="rId9" w:history="1">
        <w:r w:rsidRPr="00191517">
          <w:rPr>
            <w:rStyle w:val="Hyperlink"/>
            <w:rFonts w:ascii="Times New Roman" w:hAnsi="Times New Roman" w:cs="Times New Roman"/>
            <w:sz w:val="24"/>
            <w:szCs w:val="24"/>
          </w:rPr>
          <w:t>https://ec.europa.eu/eurostat</w:t>
        </w:r>
      </w:hyperlink>
      <w:r>
        <w:rPr>
          <w:rFonts w:ascii="Times New Roman" w:hAnsi="Times New Roman" w:cs="Times New Roman"/>
          <w:sz w:val="24"/>
          <w:szCs w:val="24"/>
        </w:rPr>
        <w:t xml:space="preserve"> și prelucrate cu ajutorul programului de modelare econometrică IBM SPSS Statistics 26. Tabelul nr. </w:t>
      </w:r>
      <w:r w:rsidR="002E6846">
        <w:rPr>
          <w:rFonts w:ascii="Times New Roman" w:hAnsi="Times New Roman" w:cs="Times New Roman"/>
          <w:sz w:val="24"/>
          <w:szCs w:val="24"/>
        </w:rPr>
        <w:t>2</w:t>
      </w:r>
      <w:r>
        <w:rPr>
          <w:rFonts w:ascii="Times New Roman" w:hAnsi="Times New Roman" w:cs="Times New Roman"/>
          <w:sz w:val="24"/>
          <w:szCs w:val="24"/>
        </w:rPr>
        <w:t xml:space="preserve"> prezintă variabilele utilizate în analiza noastră.</w:t>
      </w:r>
    </w:p>
    <w:p w14:paraId="7E6F5069" w14:textId="72EBC167" w:rsidR="00EF40E9" w:rsidRPr="002E6846" w:rsidRDefault="00EF40E9" w:rsidP="00F549F7">
      <w:pPr>
        <w:autoSpaceDE w:val="0"/>
        <w:autoSpaceDN w:val="0"/>
        <w:adjustRightInd w:val="0"/>
        <w:spacing w:line="240" w:lineRule="auto"/>
        <w:rPr>
          <w:rFonts w:ascii="Times New Roman" w:hAnsi="Times New Roman" w:cs="Times New Roman"/>
          <w:sz w:val="20"/>
          <w:szCs w:val="20"/>
        </w:rPr>
      </w:pPr>
      <w:r w:rsidRPr="002E6846">
        <w:rPr>
          <w:rFonts w:ascii="Times New Roman" w:hAnsi="Times New Roman" w:cs="Times New Roman"/>
          <w:sz w:val="20"/>
          <w:szCs w:val="20"/>
        </w:rPr>
        <w:t xml:space="preserve">Tabelul nr. </w:t>
      </w:r>
      <w:r w:rsidR="002E6846" w:rsidRPr="002E6846">
        <w:rPr>
          <w:rFonts w:ascii="Times New Roman" w:hAnsi="Times New Roman" w:cs="Times New Roman"/>
          <w:sz w:val="20"/>
          <w:szCs w:val="20"/>
        </w:rPr>
        <w:t>2</w:t>
      </w:r>
      <w:r w:rsidRPr="002E6846">
        <w:rPr>
          <w:rFonts w:ascii="Times New Roman" w:hAnsi="Times New Roman" w:cs="Times New Roman"/>
          <w:sz w:val="20"/>
          <w:szCs w:val="20"/>
        </w:rPr>
        <w:t xml:space="preserve"> </w:t>
      </w:r>
      <w:r w:rsidR="002E6846">
        <w:rPr>
          <w:rFonts w:ascii="Times New Roman" w:hAnsi="Times New Roman" w:cs="Times New Roman"/>
          <w:sz w:val="20"/>
          <w:szCs w:val="20"/>
        </w:rPr>
        <w:t>– Variabilele introduse</w:t>
      </w:r>
    </w:p>
    <w:tbl>
      <w:tblPr>
        <w:tblW w:w="9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21"/>
        <w:gridCol w:w="2810"/>
        <w:gridCol w:w="2810"/>
        <w:gridCol w:w="1967"/>
      </w:tblGrid>
      <w:tr w:rsidR="00EF40E9" w:rsidRPr="0014382F" w14:paraId="0EC8B7A5" w14:textId="77777777" w:rsidTr="005B1BC3">
        <w:tblPrEx>
          <w:tblCellMar>
            <w:top w:w="0" w:type="dxa"/>
            <w:bottom w:w="0" w:type="dxa"/>
          </w:tblCellMar>
        </w:tblPrEx>
        <w:trPr>
          <w:cantSplit/>
          <w:trHeight w:val="192"/>
        </w:trPr>
        <w:tc>
          <w:tcPr>
            <w:tcW w:w="9108" w:type="dxa"/>
            <w:gridSpan w:val="4"/>
            <w:tcBorders>
              <w:top w:val="nil"/>
              <w:left w:val="nil"/>
              <w:bottom w:val="nil"/>
              <w:right w:val="nil"/>
            </w:tcBorders>
            <w:shd w:val="clear" w:color="auto" w:fill="FFFFFF"/>
            <w:vAlign w:val="center"/>
          </w:tcPr>
          <w:p w14:paraId="7531B3B9" w14:textId="77777777" w:rsidR="00EF40E9" w:rsidRPr="0014382F" w:rsidRDefault="00EF40E9" w:rsidP="00F549F7">
            <w:pPr>
              <w:autoSpaceDE w:val="0"/>
              <w:autoSpaceDN w:val="0"/>
              <w:adjustRightInd w:val="0"/>
              <w:spacing w:after="0" w:line="240" w:lineRule="auto"/>
              <w:ind w:left="60" w:right="60"/>
              <w:jc w:val="center"/>
              <w:rPr>
                <w:rFonts w:ascii="Arial" w:hAnsi="Arial" w:cs="Arial"/>
                <w:color w:val="010205"/>
              </w:rPr>
            </w:pPr>
            <w:r w:rsidRPr="0014382F">
              <w:rPr>
                <w:rFonts w:ascii="Arial" w:hAnsi="Arial" w:cs="Arial"/>
                <w:b/>
                <w:bCs/>
                <w:color w:val="010205"/>
              </w:rPr>
              <w:t>Variables Entered/Removed</w:t>
            </w:r>
            <w:r w:rsidRPr="0014382F">
              <w:rPr>
                <w:rFonts w:ascii="Arial" w:hAnsi="Arial" w:cs="Arial"/>
                <w:b/>
                <w:bCs/>
                <w:color w:val="010205"/>
                <w:vertAlign w:val="superscript"/>
              </w:rPr>
              <w:t>a</w:t>
            </w:r>
          </w:p>
        </w:tc>
      </w:tr>
      <w:tr w:rsidR="00EF40E9" w:rsidRPr="0014382F" w14:paraId="61664CE5" w14:textId="77777777" w:rsidTr="00A2210C">
        <w:tblPrEx>
          <w:tblCellMar>
            <w:top w:w="0" w:type="dxa"/>
            <w:bottom w:w="0" w:type="dxa"/>
          </w:tblCellMar>
        </w:tblPrEx>
        <w:trPr>
          <w:cantSplit/>
          <w:trHeight w:val="380"/>
        </w:trPr>
        <w:tc>
          <w:tcPr>
            <w:tcW w:w="1521" w:type="dxa"/>
            <w:tcBorders>
              <w:top w:val="nil"/>
              <w:left w:val="nil"/>
              <w:bottom w:val="single" w:sz="8" w:space="0" w:color="152935"/>
              <w:right w:val="nil"/>
            </w:tcBorders>
            <w:shd w:val="clear" w:color="auto" w:fill="FFFFFF"/>
            <w:vAlign w:val="bottom"/>
          </w:tcPr>
          <w:p w14:paraId="4539FD19" w14:textId="77777777" w:rsidR="00EF40E9" w:rsidRPr="0014382F" w:rsidRDefault="00EF40E9" w:rsidP="00F549F7">
            <w:pPr>
              <w:autoSpaceDE w:val="0"/>
              <w:autoSpaceDN w:val="0"/>
              <w:adjustRightInd w:val="0"/>
              <w:spacing w:after="0" w:line="240" w:lineRule="auto"/>
              <w:ind w:left="60" w:right="60"/>
              <w:rPr>
                <w:rFonts w:ascii="Arial" w:hAnsi="Arial" w:cs="Arial"/>
                <w:color w:val="264A60"/>
                <w:sz w:val="18"/>
                <w:szCs w:val="18"/>
              </w:rPr>
            </w:pPr>
            <w:r w:rsidRPr="0014382F">
              <w:rPr>
                <w:rFonts w:ascii="Arial" w:hAnsi="Arial" w:cs="Arial"/>
                <w:color w:val="264A60"/>
                <w:sz w:val="18"/>
                <w:szCs w:val="18"/>
              </w:rPr>
              <w:t>Model</w:t>
            </w:r>
          </w:p>
        </w:tc>
        <w:tc>
          <w:tcPr>
            <w:tcW w:w="2810" w:type="dxa"/>
            <w:tcBorders>
              <w:top w:val="nil"/>
              <w:left w:val="nil"/>
              <w:bottom w:val="single" w:sz="8" w:space="0" w:color="152935"/>
              <w:right w:val="single" w:sz="8" w:space="0" w:color="E0E0E0"/>
            </w:tcBorders>
            <w:shd w:val="clear" w:color="auto" w:fill="FFFFFF"/>
            <w:vAlign w:val="bottom"/>
          </w:tcPr>
          <w:p w14:paraId="5CAF7ED9" w14:textId="77777777" w:rsidR="00EF40E9" w:rsidRPr="0014382F"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14382F">
              <w:rPr>
                <w:rFonts w:ascii="Arial" w:hAnsi="Arial" w:cs="Arial"/>
                <w:color w:val="264A60"/>
                <w:sz w:val="18"/>
                <w:szCs w:val="18"/>
              </w:rPr>
              <w:t>Variables Entered</w:t>
            </w:r>
          </w:p>
        </w:tc>
        <w:tc>
          <w:tcPr>
            <w:tcW w:w="2810" w:type="dxa"/>
            <w:tcBorders>
              <w:top w:val="nil"/>
              <w:left w:val="single" w:sz="8" w:space="0" w:color="E0E0E0"/>
              <w:bottom w:val="single" w:sz="8" w:space="0" w:color="152935"/>
              <w:right w:val="single" w:sz="8" w:space="0" w:color="E0E0E0"/>
            </w:tcBorders>
            <w:shd w:val="clear" w:color="auto" w:fill="FFFFFF"/>
            <w:vAlign w:val="bottom"/>
          </w:tcPr>
          <w:p w14:paraId="53A231B5" w14:textId="77777777" w:rsidR="00EF40E9" w:rsidRPr="0014382F"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14382F">
              <w:rPr>
                <w:rFonts w:ascii="Arial" w:hAnsi="Arial" w:cs="Arial"/>
                <w:color w:val="264A60"/>
                <w:sz w:val="18"/>
                <w:szCs w:val="18"/>
              </w:rPr>
              <w:t>Variables Removed</w:t>
            </w:r>
          </w:p>
        </w:tc>
        <w:tc>
          <w:tcPr>
            <w:tcW w:w="1967" w:type="dxa"/>
            <w:tcBorders>
              <w:top w:val="nil"/>
              <w:left w:val="single" w:sz="8" w:space="0" w:color="E0E0E0"/>
              <w:bottom w:val="single" w:sz="8" w:space="0" w:color="152935"/>
              <w:right w:val="nil"/>
            </w:tcBorders>
            <w:shd w:val="clear" w:color="auto" w:fill="FFFFFF"/>
            <w:vAlign w:val="bottom"/>
          </w:tcPr>
          <w:p w14:paraId="1059D5A8" w14:textId="77777777" w:rsidR="00EF40E9" w:rsidRPr="0014382F"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14382F">
              <w:rPr>
                <w:rFonts w:ascii="Arial" w:hAnsi="Arial" w:cs="Arial"/>
                <w:color w:val="264A60"/>
                <w:sz w:val="18"/>
                <w:szCs w:val="18"/>
              </w:rPr>
              <w:t>Method</w:t>
            </w:r>
          </w:p>
        </w:tc>
      </w:tr>
      <w:tr w:rsidR="00EF40E9" w:rsidRPr="0014382F" w14:paraId="2635CC23" w14:textId="77777777" w:rsidTr="00A2210C">
        <w:tblPrEx>
          <w:tblCellMar>
            <w:top w:w="0" w:type="dxa"/>
            <w:bottom w:w="0" w:type="dxa"/>
          </w:tblCellMar>
        </w:tblPrEx>
        <w:trPr>
          <w:cantSplit/>
          <w:trHeight w:val="380"/>
        </w:trPr>
        <w:tc>
          <w:tcPr>
            <w:tcW w:w="1521" w:type="dxa"/>
            <w:tcBorders>
              <w:top w:val="single" w:sz="8" w:space="0" w:color="152935"/>
              <w:left w:val="nil"/>
              <w:bottom w:val="single" w:sz="8" w:space="0" w:color="152935"/>
              <w:right w:val="nil"/>
            </w:tcBorders>
            <w:shd w:val="clear" w:color="auto" w:fill="E0E0E0"/>
          </w:tcPr>
          <w:p w14:paraId="2CA0D63E" w14:textId="77777777" w:rsidR="00EF40E9" w:rsidRPr="0014382F" w:rsidRDefault="00EF40E9" w:rsidP="00F549F7">
            <w:pPr>
              <w:autoSpaceDE w:val="0"/>
              <w:autoSpaceDN w:val="0"/>
              <w:adjustRightInd w:val="0"/>
              <w:spacing w:after="0" w:line="240" w:lineRule="auto"/>
              <w:ind w:left="60" w:right="60"/>
              <w:rPr>
                <w:rFonts w:ascii="Arial" w:hAnsi="Arial" w:cs="Arial"/>
                <w:color w:val="264A60"/>
                <w:sz w:val="18"/>
                <w:szCs w:val="18"/>
              </w:rPr>
            </w:pPr>
            <w:r w:rsidRPr="0014382F">
              <w:rPr>
                <w:rFonts w:ascii="Arial" w:hAnsi="Arial" w:cs="Arial"/>
                <w:color w:val="264A60"/>
                <w:sz w:val="18"/>
                <w:szCs w:val="18"/>
              </w:rPr>
              <w:t>1</w:t>
            </w:r>
          </w:p>
        </w:tc>
        <w:tc>
          <w:tcPr>
            <w:tcW w:w="2810" w:type="dxa"/>
            <w:tcBorders>
              <w:top w:val="single" w:sz="8" w:space="0" w:color="152935"/>
              <w:left w:val="nil"/>
              <w:bottom w:val="single" w:sz="8" w:space="0" w:color="152935"/>
              <w:right w:val="single" w:sz="8" w:space="0" w:color="E0E0E0"/>
            </w:tcBorders>
            <w:shd w:val="clear" w:color="auto" w:fill="FFFFFF"/>
          </w:tcPr>
          <w:p w14:paraId="3147D553" w14:textId="77777777" w:rsidR="00EF40E9" w:rsidRPr="0014382F" w:rsidRDefault="00EF40E9" w:rsidP="00F549F7">
            <w:pPr>
              <w:autoSpaceDE w:val="0"/>
              <w:autoSpaceDN w:val="0"/>
              <w:adjustRightInd w:val="0"/>
              <w:spacing w:after="0" w:line="240" w:lineRule="auto"/>
              <w:ind w:left="60" w:right="60"/>
              <w:rPr>
                <w:rFonts w:ascii="Arial" w:hAnsi="Arial" w:cs="Arial"/>
                <w:color w:val="010205"/>
                <w:sz w:val="18"/>
                <w:szCs w:val="18"/>
              </w:rPr>
            </w:pPr>
            <w:r w:rsidRPr="0014382F">
              <w:rPr>
                <w:rFonts w:ascii="Arial" w:hAnsi="Arial" w:cs="Arial"/>
                <w:color w:val="010205"/>
                <w:sz w:val="18"/>
                <w:szCs w:val="18"/>
              </w:rPr>
              <w:t>PEE, IGDP, TEA</w:t>
            </w:r>
            <w:r w:rsidRPr="0014382F">
              <w:rPr>
                <w:rFonts w:ascii="Arial" w:hAnsi="Arial" w:cs="Arial"/>
                <w:color w:val="010205"/>
                <w:sz w:val="18"/>
                <w:szCs w:val="18"/>
                <w:vertAlign w:val="superscript"/>
              </w:rPr>
              <w:t>b</w:t>
            </w:r>
          </w:p>
        </w:tc>
        <w:tc>
          <w:tcPr>
            <w:tcW w:w="2810" w:type="dxa"/>
            <w:tcBorders>
              <w:top w:val="single" w:sz="8" w:space="0" w:color="152935"/>
              <w:left w:val="single" w:sz="8" w:space="0" w:color="E0E0E0"/>
              <w:bottom w:val="single" w:sz="8" w:space="0" w:color="152935"/>
              <w:right w:val="single" w:sz="8" w:space="0" w:color="E0E0E0"/>
            </w:tcBorders>
            <w:shd w:val="clear" w:color="auto" w:fill="FFFFFF"/>
          </w:tcPr>
          <w:p w14:paraId="2BCFB1F6"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w:t>
            </w:r>
          </w:p>
        </w:tc>
        <w:tc>
          <w:tcPr>
            <w:tcW w:w="1967" w:type="dxa"/>
            <w:tcBorders>
              <w:top w:val="single" w:sz="8" w:space="0" w:color="152935"/>
              <w:left w:val="single" w:sz="8" w:space="0" w:color="E0E0E0"/>
              <w:bottom w:val="single" w:sz="8" w:space="0" w:color="152935"/>
              <w:right w:val="nil"/>
            </w:tcBorders>
            <w:shd w:val="clear" w:color="auto" w:fill="FFFFFF"/>
          </w:tcPr>
          <w:p w14:paraId="59EAF7EB" w14:textId="77777777" w:rsidR="00EF40E9" w:rsidRPr="0014382F" w:rsidRDefault="00EF40E9" w:rsidP="00F549F7">
            <w:pPr>
              <w:autoSpaceDE w:val="0"/>
              <w:autoSpaceDN w:val="0"/>
              <w:adjustRightInd w:val="0"/>
              <w:spacing w:after="0" w:line="240" w:lineRule="auto"/>
              <w:ind w:left="60" w:right="60"/>
              <w:rPr>
                <w:rFonts w:ascii="Arial" w:hAnsi="Arial" w:cs="Arial"/>
                <w:color w:val="010205"/>
                <w:sz w:val="18"/>
                <w:szCs w:val="18"/>
              </w:rPr>
            </w:pPr>
            <w:r w:rsidRPr="0014382F">
              <w:rPr>
                <w:rFonts w:ascii="Arial" w:hAnsi="Arial" w:cs="Arial"/>
                <w:color w:val="010205"/>
                <w:sz w:val="18"/>
                <w:szCs w:val="18"/>
              </w:rPr>
              <w:t>Enter</w:t>
            </w:r>
          </w:p>
        </w:tc>
      </w:tr>
      <w:tr w:rsidR="00EF40E9" w:rsidRPr="0014382F" w14:paraId="09D95763" w14:textId="77777777" w:rsidTr="005B1BC3">
        <w:tblPrEx>
          <w:tblCellMar>
            <w:top w:w="0" w:type="dxa"/>
            <w:bottom w:w="0" w:type="dxa"/>
          </w:tblCellMar>
        </w:tblPrEx>
        <w:trPr>
          <w:cantSplit/>
          <w:trHeight w:val="186"/>
        </w:trPr>
        <w:tc>
          <w:tcPr>
            <w:tcW w:w="9108" w:type="dxa"/>
            <w:gridSpan w:val="4"/>
            <w:tcBorders>
              <w:top w:val="nil"/>
              <w:left w:val="nil"/>
              <w:bottom w:val="nil"/>
              <w:right w:val="nil"/>
            </w:tcBorders>
            <w:shd w:val="clear" w:color="auto" w:fill="FFFFFF"/>
          </w:tcPr>
          <w:p w14:paraId="78E5256A" w14:textId="77777777" w:rsidR="00EF40E9" w:rsidRPr="0014382F" w:rsidRDefault="00EF40E9" w:rsidP="00F549F7">
            <w:pPr>
              <w:autoSpaceDE w:val="0"/>
              <w:autoSpaceDN w:val="0"/>
              <w:adjustRightInd w:val="0"/>
              <w:spacing w:after="0" w:line="240" w:lineRule="auto"/>
              <w:ind w:left="60" w:right="60"/>
              <w:rPr>
                <w:rFonts w:ascii="Arial" w:hAnsi="Arial" w:cs="Arial"/>
                <w:color w:val="010205"/>
                <w:sz w:val="18"/>
                <w:szCs w:val="18"/>
              </w:rPr>
            </w:pPr>
            <w:r w:rsidRPr="0014382F">
              <w:rPr>
                <w:rFonts w:ascii="Arial" w:hAnsi="Arial" w:cs="Arial"/>
                <w:color w:val="010205"/>
                <w:sz w:val="18"/>
                <w:szCs w:val="18"/>
              </w:rPr>
              <w:t>a. Dependent Variable: ERG</w:t>
            </w:r>
          </w:p>
        </w:tc>
      </w:tr>
      <w:tr w:rsidR="00EF40E9" w:rsidRPr="0014382F" w14:paraId="2288E96B" w14:textId="77777777" w:rsidTr="005B1BC3">
        <w:tblPrEx>
          <w:tblCellMar>
            <w:top w:w="0" w:type="dxa"/>
            <w:bottom w:w="0" w:type="dxa"/>
          </w:tblCellMar>
        </w:tblPrEx>
        <w:trPr>
          <w:cantSplit/>
          <w:trHeight w:val="192"/>
        </w:trPr>
        <w:tc>
          <w:tcPr>
            <w:tcW w:w="9108" w:type="dxa"/>
            <w:gridSpan w:val="4"/>
            <w:tcBorders>
              <w:top w:val="nil"/>
              <w:left w:val="nil"/>
              <w:bottom w:val="nil"/>
              <w:right w:val="nil"/>
            </w:tcBorders>
            <w:shd w:val="clear" w:color="auto" w:fill="FFFFFF"/>
          </w:tcPr>
          <w:p w14:paraId="71FA1873" w14:textId="77777777" w:rsidR="00EF40E9" w:rsidRPr="0014382F" w:rsidRDefault="00EF40E9" w:rsidP="00F549F7">
            <w:pPr>
              <w:autoSpaceDE w:val="0"/>
              <w:autoSpaceDN w:val="0"/>
              <w:adjustRightInd w:val="0"/>
              <w:spacing w:after="0" w:line="240" w:lineRule="auto"/>
              <w:ind w:left="60" w:right="60"/>
              <w:rPr>
                <w:rFonts w:ascii="Arial" w:hAnsi="Arial" w:cs="Arial"/>
                <w:color w:val="010205"/>
                <w:sz w:val="18"/>
                <w:szCs w:val="18"/>
              </w:rPr>
            </w:pPr>
            <w:r w:rsidRPr="0014382F">
              <w:rPr>
                <w:rFonts w:ascii="Arial" w:hAnsi="Arial" w:cs="Arial"/>
                <w:color w:val="010205"/>
                <w:sz w:val="18"/>
                <w:szCs w:val="18"/>
              </w:rPr>
              <w:t>b. All requested variables entered.</w:t>
            </w:r>
          </w:p>
        </w:tc>
      </w:tr>
    </w:tbl>
    <w:p w14:paraId="6D276A26" w14:textId="71831514" w:rsidR="00EF40E9" w:rsidRPr="002E6846" w:rsidRDefault="00EF40E9" w:rsidP="00C804EA">
      <w:pPr>
        <w:autoSpaceDE w:val="0"/>
        <w:autoSpaceDN w:val="0"/>
        <w:adjustRightInd w:val="0"/>
        <w:spacing w:before="240" w:line="240" w:lineRule="auto"/>
        <w:jc w:val="both"/>
        <w:rPr>
          <w:rFonts w:ascii="Times New Roman" w:hAnsi="Times New Roman" w:cs="Times New Roman"/>
          <w:sz w:val="20"/>
          <w:szCs w:val="20"/>
        </w:rPr>
      </w:pPr>
      <w:r w:rsidRPr="002E6846">
        <w:rPr>
          <w:rFonts w:ascii="Times New Roman" w:hAnsi="Times New Roman" w:cs="Times New Roman"/>
          <w:sz w:val="20"/>
          <w:szCs w:val="20"/>
        </w:rPr>
        <w:lastRenderedPageBreak/>
        <w:t>Sursa: Prelucrare proprie în SPSS 26</w:t>
      </w:r>
    </w:p>
    <w:p w14:paraId="2AC5543B" w14:textId="1A766D6F" w:rsidR="00EF40E9" w:rsidRDefault="00EF40E9" w:rsidP="00F549F7">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În urma </w:t>
      </w:r>
      <w:r w:rsidRPr="005B1BC3">
        <w:rPr>
          <w:rFonts w:ascii="Times New Roman" w:hAnsi="Times New Roman" w:cs="Times New Roman"/>
          <w:sz w:val="24"/>
          <w:szCs w:val="24"/>
        </w:rPr>
        <w:t>prelucrării datelor</w:t>
      </w:r>
      <w:r>
        <w:rPr>
          <w:rFonts w:ascii="Times New Roman" w:hAnsi="Times New Roman" w:cs="Times New Roman"/>
          <w:sz w:val="24"/>
          <w:szCs w:val="24"/>
        </w:rPr>
        <w:t xml:space="preserve">, rezultatele obținute </w:t>
      </w:r>
      <w:r w:rsidRPr="005B1BC3">
        <w:rPr>
          <w:rFonts w:ascii="Times New Roman" w:hAnsi="Times New Roman" w:cs="Times New Roman"/>
          <w:sz w:val="24"/>
          <w:szCs w:val="24"/>
        </w:rPr>
        <w:t>ne-au ajutat la proiectarea unui model</w:t>
      </w:r>
      <w:r>
        <w:rPr>
          <w:rFonts w:ascii="Times New Roman" w:hAnsi="Times New Roman" w:cs="Times New Roman"/>
          <w:sz w:val="24"/>
          <w:szCs w:val="24"/>
        </w:rPr>
        <w:t xml:space="preserve"> </w:t>
      </w:r>
      <w:r w:rsidRPr="005B1BC3">
        <w:rPr>
          <w:rFonts w:ascii="Times New Roman" w:hAnsi="Times New Roman" w:cs="Times New Roman"/>
          <w:sz w:val="24"/>
          <w:szCs w:val="24"/>
        </w:rPr>
        <w:t xml:space="preserve">econometric între variabilele </w:t>
      </w:r>
      <w:r>
        <w:rPr>
          <w:rFonts w:ascii="Times New Roman" w:hAnsi="Times New Roman" w:cs="Times New Roman"/>
          <w:sz w:val="24"/>
          <w:szCs w:val="24"/>
        </w:rPr>
        <w:t xml:space="preserve">ERG, TEA, IGDP și PEE. </w:t>
      </w:r>
      <w:r w:rsidR="002E6846">
        <w:rPr>
          <w:rFonts w:ascii="Times New Roman" w:hAnsi="Times New Roman" w:cs="Times New Roman"/>
          <w:sz w:val="24"/>
          <w:szCs w:val="24"/>
        </w:rPr>
        <w:t>Tabelul nr. 3 prezintă matricea corelațiilor pentru variabilele analizate.</w:t>
      </w:r>
    </w:p>
    <w:p w14:paraId="3CC06CE2" w14:textId="77777777" w:rsidR="00C804EA" w:rsidRDefault="00C804EA" w:rsidP="00F549F7">
      <w:pPr>
        <w:autoSpaceDE w:val="0"/>
        <w:autoSpaceDN w:val="0"/>
        <w:adjustRightInd w:val="0"/>
        <w:spacing w:line="240" w:lineRule="auto"/>
        <w:ind w:firstLine="708"/>
        <w:jc w:val="both"/>
        <w:rPr>
          <w:rFonts w:ascii="Times New Roman" w:hAnsi="Times New Roman" w:cs="Times New Roman"/>
          <w:sz w:val="24"/>
          <w:szCs w:val="24"/>
        </w:rPr>
      </w:pPr>
    </w:p>
    <w:p w14:paraId="1DB7EA66" w14:textId="77777777" w:rsidR="00C804EA" w:rsidRDefault="00C804EA" w:rsidP="002E6846">
      <w:pPr>
        <w:autoSpaceDE w:val="0"/>
        <w:autoSpaceDN w:val="0"/>
        <w:adjustRightInd w:val="0"/>
        <w:spacing w:line="240" w:lineRule="auto"/>
        <w:rPr>
          <w:rFonts w:ascii="Times New Roman" w:hAnsi="Times New Roman" w:cs="Times New Roman"/>
          <w:sz w:val="20"/>
          <w:szCs w:val="20"/>
        </w:rPr>
      </w:pPr>
    </w:p>
    <w:p w14:paraId="5C4FAD51" w14:textId="4D785DEB" w:rsidR="002E6846" w:rsidRPr="005B1BC3" w:rsidRDefault="002E6846" w:rsidP="00C804EA">
      <w:pPr>
        <w:autoSpaceDE w:val="0"/>
        <w:autoSpaceDN w:val="0"/>
        <w:adjustRightInd w:val="0"/>
        <w:spacing w:after="0" w:line="240" w:lineRule="auto"/>
        <w:rPr>
          <w:rFonts w:ascii="Times New Roman" w:hAnsi="Times New Roman" w:cs="Times New Roman"/>
          <w:sz w:val="24"/>
          <w:szCs w:val="24"/>
        </w:rPr>
      </w:pPr>
      <w:r w:rsidRPr="002E6846">
        <w:rPr>
          <w:rFonts w:ascii="Times New Roman" w:hAnsi="Times New Roman" w:cs="Times New Roman"/>
          <w:sz w:val="20"/>
          <w:szCs w:val="20"/>
        </w:rPr>
        <w:t xml:space="preserve">Tabelul nr. </w:t>
      </w:r>
      <w:r>
        <w:rPr>
          <w:rFonts w:ascii="Times New Roman" w:hAnsi="Times New Roman" w:cs="Times New Roman"/>
          <w:sz w:val="20"/>
          <w:szCs w:val="20"/>
        </w:rPr>
        <w:t>3</w:t>
      </w:r>
      <w:r w:rsidRPr="002E6846">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Matricea corelațiilor</w:t>
      </w:r>
    </w:p>
    <w:tbl>
      <w:tblPr>
        <w:tblW w:w="7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7"/>
        <w:gridCol w:w="781"/>
        <w:gridCol w:w="1090"/>
        <w:gridCol w:w="1090"/>
        <w:gridCol w:w="1090"/>
        <w:gridCol w:w="1096"/>
      </w:tblGrid>
      <w:tr w:rsidR="00EF40E9" w:rsidRPr="0014382F" w14:paraId="38F189F9" w14:textId="77777777" w:rsidTr="00C804EA">
        <w:tblPrEx>
          <w:tblCellMar>
            <w:top w:w="0" w:type="dxa"/>
            <w:bottom w:w="0" w:type="dxa"/>
          </w:tblCellMar>
        </w:tblPrEx>
        <w:trPr>
          <w:cantSplit/>
          <w:trHeight w:val="296"/>
        </w:trPr>
        <w:tc>
          <w:tcPr>
            <w:tcW w:w="7264" w:type="dxa"/>
            <w:gridSpan w:val="6"/>
            <w:tcBorders>
              <w:top w:val="nil"/>
              <w:left w:val="nil"/>
              <w:bottom w:val="nil"/>
              <w:right w:val="nil"/>
            </w:tcBorders>
            <w:shd w:val="clear" w:color="auto" w:fill="FFFFFF"/>
            <w:vAlign w:val="center"/>
          </w:tcPr>
          <w:p w14:paraId="28E6CA74" w14:textId="77777777" w:rsidR="00EF40E9" w:rsidRPr="0014382F" w:rsidRDefault="00EF40E9" w:rsidP="00F549F7">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14382F">
              <w:rPr>
                <w:rFonts w:ascii="Times New Roman" w:hAnsi="Times New Roman" w:cs="Times New Roman"/>
                <w:b/>
                <w:bCs/>
                <w:color w:val="010205"/>
                <w:sz w:val="20"/>
                <w:szCs w:val="20"/>
              </w:rPr>
              <w:t>Correlations</w:t>
            </w:r>
          </w:p>
        </w:tc>
      </w:tr>
      <w:tr w:rsidR="00EF40E9" w:rsidRPr="0014382F" w14:paraId="4489FC84" w14:textId="77777777" w:rsidTr="00C804EA">
        <w:tblPrEx>
          <w:tblCellMar>
            <w:top w:w="0" w:type="dxa"/>
            <w:bottom w:w="0" w:type="dxa"/>
          </w:tblCellMar>
        </w:tblPrEx>
        <w:trPr>
          <w:cantSplit/>
          <w:trHeight w:val="285"/>
        </w:trPr>
        <w:tc>
          <w:tcPr>
            <w:tcW w:w="2898" w:type="dxa"/>
            <w:gridSpan w:val="2"/>
            <w:tcBorders>
              <w:top w:val="nil"/>
              <w:left w:val="nil"/>
              <w:bottom w:val="single" w:sz="8" w:space="0" w:color="152935"/>
              <w:right w:val="nil"/>
            </w:tcBorders>
            <w:shd w:val="clear" w:color="auto" w:fill="FFFFFF"/>
            <w:vAlign w:val="bottom"/>
          </w:tcPr>
          <w:p w14:paraId="2546FA63" w14:textId="77777777" w:rsidR="00EF40E9" w:rsidRPr="0014382F" w:rsidRDefault="00EF40E9" w:rsidP="00F549F7">
            <w:pPr>
              <w:autoSpaceDE w:val="0"/>
              <w:autoSpaceDN w:val="0"/>
              <w:adjustRightInd w:val="0"/>
              <w:spacing w:after="0" w:line="240" w:lineRule="auto"/>
              <w:rPr>
                <w:rFonts w:ascii="Times New Roman" w:hAnsi="Times New Roman" w:cs="Times New Roman"/>
                <w:sz w:val="20"/>
                <w:szCs w:val="20"/>
              </w:rPr>
            </w:pPr>
          </w:p>
        </w:tc>
        <w:tc>
          <w:tcPr>
            <w:tcW w:w="1090" w:type="dxa"/>
            <w:tcBorders>
              <w:top w:val="nil"/>
              <w:left w:val="nil"/>
              <w:bottom w:val="single" w:sz="8" w:space="0" w:color="152935"/>
              <w:right w:val="single" w:sz="8" w:space="0" w:color="E0E0E0"/>
            </w:tcBorders>
            <w:shd w:val="clear" w:color="auto" w:fill="FFFFFF"/>
            <w:vAlign w:val="bottom"/>
          </w:tcPr>
          <w:p w14:paraId="2F007524" w14:textId="77777777" w:rsidR="00EF40E9" w:rsidRPr="0014382F" w:rsidRDefault="00EF40E9" w:rsidP="00F549F7">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14382F">
              <w:rPr>
                <w:rFonts w:ascii="Times New Roman" w:hAnsi="Times New Roman" w:cs="Times New Roman"/>
                <w:color w:val="264A60"/>
                <w:sz w:val="20"/>
                <w:szCs w:val="20"/>
              </w:rPr>
              <w:t>ERG</w:t>
            </w:r>
          </w:p>
        </w:tc>
        <w:tc>
          <w:tcPr>
            <w:tcW w:w="1090" w:type="dxa"/>
            <w:tcBorders>
              <w:top w:val="nil"/>
              <w:left w:val="single" w:sz="8" w:space="0" w:color="E0E0E0"/>
              <w:bottom w:val="single" w:sz="8" w:space="0" w:color="152935"/>
              <w:right w:val="single" w:sz="8" w:space="0" w:color="E0E0E0"/>
            </w:tcBorders>
            <w:shd w:val="clear" w:color="auto" w:fill="FFFFFF"/>
            <w:vAlign w:val="bottom"/>
          </w:tcPr>
          <w:p w14:paraId="3F9AC35D" w14:textId="77777777" w:rsidR="00EF40E9" w:rsidRPr="0014382F" w:rsidRDefault="00EF40E9" w:rsidP="00F549F7">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14382F">
              <w:rPr>
                <w:rFonts w:ascii="Times New Roman" w:hAnsi="Times New Roman" w:cs="Times New Roman"/>
                <w:color w:val="264A60"/>
                <w:sz w:val="20"/>
                <w:szCs w:val="20"/>
              </w:rPr>
              <w:t>TEA</w:t>
            </w:r>
          </w:p>
        </w:tc>
        <w:tc>
          <w:tcPr>
            <w:tcW w:w="1090" w:type="dxa"/>
            <w:tcBorders>
              <w:top w:val="nil"/>
              <w:left w:val="single" w:sz="8" w:space="0" w:color="E0E0E0"/>
              <w:bottom w:val="single" w:sz="8" w:space="0" w:color="152935"/>
              <w:right w:val="single" w:sz="8" w:space="0" w:color="E0E0E0"/>
            </w:tcBorders>
            <w:shd w:val="clear" w:color="auto" w:fill="FFFFFF"/>
            <w:vAlign w:val="bottom"/>
          </w:tcPr>
          <w:p w14:paraId="2F45A618" w14:textId="77777777" w:rsidR="00EF40E9" w:rsidRPr="0014382F" w:rsidRDefault="00EF40E9" w:rsidP="00F549F7">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14382F">
              <w:rPr>
                <w:rFonts w:ascii="Times New Roman" w:hAnsi="Times New Roman" w:cs="Times New Roman"/>
                <w:color w:val="264A60"/>
                <w:sz w:val="20"/>
                <w:szCs w:val="20"/>
              </w:rPr>
              <w:t>IGDP</w:t>
            </w:r>
          </w:p>
        </w:tc>
        <w:tc>
          <w:tcPr>
            <w:tcW w:w="1092" w:type="dxa"/>
            <w:tcBorders>
              <w:top w:val="nil"/>
              <w:left w:val="single" w:sz="8" w:space="0" w:color="E0E0E0"/>
              <w:bottom w:val="single" w:sz="8" w:space="0" w:color="152935"/>
              <w:right w:val="nil"/>
            </w:tcBorders>
            <w:shd w:val="clear" w:color="auto" w:fill="FFFFFF"/>
            <w:vAlign w:val="bottom"/>
          </w:tcPr>
          <w:p w14:paraId="1E01C25C" w14:textId="77777777" w:rsidR="00EF40E9" w:rsidRPr="0014382F" w:rsidRDefault="00EF40E9" w:rsidP="00F549F7">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14382F">
              <w:rPr>
                <w:rFonts w:ascii="Times New Roman" w:hAnsi="Times New Roman" w:cs="Times New Roman"/>
                <w:color w:val="264A60"/>
                <w:sz w:val="20"/>
                <w:szCs w:val="20"/>
              </w:rPr>
              <w:t>PEE</w:t>
            </w:r>
          </w:p>
        </w:tc>
      </w:tr>
      <w:tr w:rsidR="00EF40E9" w:rsidRPr="0014382F" w14:paraId="530A1181" w14:textId="77777777" w:rsidTr="00C804EA">
        <w:tblPrEx>
          <w:tblCellMar>
            <w:top w:w="0" w:type="dxa"/>
            <w:bottom w:w="0" w:type="dxa"/>
          </w:tblCellMar>
        </w:tblPrEx>
        <w:trPr>
          <w:cantSplit/>
          <w:trHeight w:val="296"/>
        </w:trPr>
        <w:tc>
          <w:tcPr>
            <w:tcW w:w="2117" w:type="dxa"/>
            <w:vMerge w:val="restart"/>
            <w:tcBorders>
              <w:top w:val="single" w:sz="8" w:space="0" w:color="152935"/>
              <w:left w:val="nil"/>
              <w:bottom w:val="nil"/>
              <w:right w:val="nil"/>
            </w:tcBorders>
            <w:shd w:val="clear" w:color="auto" w:fill="E0E0E0"/>
          </w:tcPr>
          <w:p w14:paraId="7CA93D86" w14:textId="77777777" w:rsidR="00EF40E9" w:rsidRPr="0014382F" w:rsidRDefault="00EF40E9" w:rsidP="00F549F7">
            <w:pPr>
              <w:autoSpaceDE w:val="0"/>
              <w:autoSpaceDN w:val="0"/>
              <w:adjustRightInd w:val="0"/>
              <w:spacing w:after="0" w:line="240" w:lineRule="auto"/>
              <w:ind w:left="60" w:right="60"/>
              <w:rPr>
                <w:rFonts w:ascii="Times New Roman" w:hAnsi="Times New Roman" w:cs="Times New Roman"/>
                <w:color w:val="264A60"/>
                <w:sz w:val="20"/>
                <w:szCs w:val="20"/>
              </w:rPr>
            </w:pPr>
            <w:r w:rsidRPr="0014382F">
              <w:rPr>
                <w:rFonts w:ascii="Times New Roman" w:hAnsi="Times New Roman" w:cs="Times New Roman"/>
                <w:color w:val="264A60"/>
                <w:sz w:val="20"/>
                <w:szCs w:val="20"/>
              </w:rPr>
              <w:t>Pearson Correlation</w:t>
            </w:r>
          </w:p>
        </w:tc>
        <w:tc>
          <w:tcPr>
            <w:tcW w:w="781" w:type="dxa"/>
            <w:tcBorders>
              <w:top w:val="single" w:sz="8" w:space="0" w:color="152935"/>
              <w:left w:val="nil"/>
              <w:bottom w:val="single" w:sz="8" w:space="0" w:color="AEAEAE"/>
              <w:right w:val="nil"/>
            </w:tcBorders>
            <w:shd w:val="clear" w:color="auto" w:fill="E0E0E0"/>
          </w:tcPr>
          <w:p w14:paraId="03AA3B43" w14:textId="77777777" w:rsidR="00EF40E9" w:rsidRPr="0014382F" w:rsidRDefault="00EF40E9" w:rsidP="00F549F7">
            <w:pPr>
              <w:autoSpaceDE w:val="0"/>
              <w:autoSpaceDN w:val="0"/>
              <w:adjustRightInd w:val="0"/>
              <w:spacing w:after="0" w:line="240" w:lineRule="auto"/>
              <w:ind w:left="60" w:right="60"/>
              <w:rPr>
                <w:rFonts w:ascii="Times New Roman" w:hAnsi="Times New Roman" w:cs="Times New Roman"/>
                <w:color w:val="264A60"/>
                <w:sz w:val="20"/>
                <w:szCs w:val="20"/>
              </w:rPr>
            </w:pPr>
            <w:r w:rsidRPr="0014382F">
              <w:rPr>
                <w:rFonts w:ascii="Times New Roman" w:hAnsi="Times New Roman" w:cs="Times New Roman"/>
                <w:color w:val="264A60"/>
                <w:sz w:val="20"/>
                <w:szCs w:val="20"/>
              </w:rPr>
              <w:t>ERG</w:t>
            </w:r>
          </w:p>
        </w:tc>
        <w:tc>
          <w:tcPr>
            <w:tcW w:w="1090" w:type="dxa"/>
            <w:tcBorders>
              <w:top w:val="single" w:sz="8" w:space="0" w:color="152935"/>
              <w:left w:val="nil"/>
              <w:bottom w:val="single" w:sz="8" w:space="0" w:color="AEAEAE"/>
              <w:right w:val="single" w:sz="8" w:space="0" w:color="E0E0E0"/>
            </w:tcBorders>
            <w:shd w:val="clear" w:color="auto" w:fill="FFFFFF"/>
          </w:tcPr>
          <w:p w14:paraId="34B03D4D"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1,000</w:t>
            </w:r>
          </w:p>
        </w:tc>
        <w:tc>
          <w:tcPr>
            <w:tcW w:w="1090" w:type="dxa"/>
            <w:tcBorders>
              <w:top w:val="single" w:sz="8" w:space="0" w:color="152935"/>
              <w:left w:val="single" w:sz="8" w:space="0" w:color="E0E0E0"/>
              <w:bottom w:val="single" w:sz="8" w:space="0" w:color="AEAEAE"/>
              <w:right w:val="single" w:sz="8" w:space="0" w:color="E0E0E0"/>
            </w:tcBorders>
            <w:shd w:val="clear" w:color="auto" w:fill="FFFFFF"/>
          </w:tcPr>
          <w:p w14:paraId="682C8325"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,290</w:t>
            </w:r>
          </w:p>
        </w:tc>
        <w:tc>
          <w:tcPr>
            <w:tcW w:w="1090" w:type="dxa"/>
            <w:tcBorders>
              <w:top w:val="single" w:sz="8" w:space="0" w:color="152935"/>
              <w:left w:val="single" w:sz="8" w:space="0" w:color="E0E0E0"/>
              <w:bottom w:val="single" w:sz="8" w:space="0" w:color="AEAEAE"/>
              <w:right w:val="single" w:sz="8" w:space="0" w:color="E0E0E0"/>
            </w:tcBorders>
            <w:shd w:val="clear" w:color="auto" w:fill="FFFFFF"/>
          </w:tcPr>
          <w:p w14:paraId="0EB009EC" w14:textId="570446FF"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,562</w:t>
            </w:r>
          </w:p>
        </w:tc>
        <w:tc>
          <w:tcPr>
            <w:tcW w:w="1092" w:type="dxa"/>
            <w:tcBorders>
              <w:top w:val="single" w:sz="8" w:space="0" w:color="152935"/>
              <w:left w:val="single" w:sz="8" w:space="0" w:color="E0E0E0"/>
              <w:bottom w:val="single" w:sz="8" w:space="0" w:color="AEAEAE"/>
              <w:right w:val="nil"/>
            </w:tcBorders>
            <w:shd w:val="clear" w:color="auto" w:fill="FFFFFF"/>
          </w:tcPr>
          <w:p w14:paraId="1279504B"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,680</w:t>
            </w:r>
          </w:p>
        </w:tc>
      </w:tr>
      <w:tr w:rsidR="00EF40E9" w:rsidRPr="0014382F" w14:paraId="59790C3F" w14:textId="77777777" w:rsidTr="00C804EA">
        <w:tblPrEx>
          <w:tblCellMar>
            <w:top w:w="0" w:type="dxa"/>
            <w:bottom w:w="0" w:type="dxa"/>
          </w:tblCellMar>
        </w:tblPrEx>
        <w:trPr>
          <w:cantSplit/>
          <w:trHeight w:val="131"/>
        </w:trPr>
        <w:tc>
          <w:tcPr>
            <w:tcW w:w="2117" w:type="dxa"/>
            <w:vMerge/>
            <w:tcBorders>
              <w:top w:val="single" w:sz="8" w:space="0" w:color="152935"/>
              <w:left w:val="nil"/>
              <w:bottom w:val="nil"/>
              <w:right w:val="nil"/>
            </w:tcBorders>
            <w:shd w:val="clear" w:color="auto" w:fill="E0E0E0"/>
          </w:tcPr>
          <w:p w14:paraId="444E6DE9" w14:textId="77777777" w:rsidR="00EF40E9" w:rsidRPr="0014382F" w:rsidRDefault="00EF40E9" w:rsidP="00F549F7">
            <w:pPr>
              <w:autoSpaceDE w:val="0"/>
              <w:autoSpaceDN w:val="0"/>
              <w:adjustRightInd w:val="0"/>
              <w:spacing w:after="0" w:line="240" w:lineRule="auto"/>
              <w:rPr>
                <w:rFonts w:ascii="Times New Roman" w:hAnsi="Times New Roman" w:cs="Times New Roman"/>
                <w:color w:val="010205"/>
                <w:sz w:val="20"/>
                <w:szCs w:val="20"/>
              </w:rPr>
            </w:pPr>
          </w:p>
        </w:tc>
        <w:tc>
          <w:tcPr>
            <w:tcW w:w="781" w:type="dxa"/>
            <w:tcBorders>
              <w:top w:val="single" w:sz="8" w:space="0" w:color="AEAEAE"/>
              <w:left w:val="nil"/>
              <w:bottom w:val="single" w:sz="8" w:space="0" w:color="AEAEAE"/>
              <w:right w:val="nil"/>
            </w:tcBorders>
            <w:shd w:val="clear" w:color="auto" w:fill="E0E0E0"/>
          </w:tcPr>
          <w:p w14:paraId="0FDB5AA4" w14:textId="77777777" w:rsidR="00EF40E9" w:rsidRPr="0014382F" w:rsidRDefault="00EF40E9" w:rsidP="00F549F7">
            <w:pPr>
              <w:autoSpaceDE w:val="0"/>
              <w:autoSpaceDN w:val="0"/>
              <w:adjustRightInd w:val="0"/>
              <w:spacing w:after="0" w:line="240" w:lineRule="auto"/>
              <w:ind w:left="60" w:right="60"/>
              <w:rPr>
                <w:rFonts w:ascii="Times New Roman" w:hAnsi="Times New Roman" w:cs="Times New Roman"/>
                <w:color w:val="264A60"/>
                <w:sz w:val="20"/>
                <w:szCs w:val="20"/>
              </w:rPr>
            </w:pPr>
            <w:r w:rsidRPr="0014382F">
              <w:rPr>
                <w:rFonts w:ascii="Times New Roman" w:hAnsi="Times New Roman" w:cs="Times New Roman"/>
                <w:color w:val="264A60"/>
                <w:sz w:val="20"/>
                <w:szCs w:val="20"/>
              </w:rPr>
              <w:t>TEA</w:t>
            </w:r>
          </w:p>
        </w:tc>
        <w:tc>
          <w:tcPr>
            <w:tcW w:w="1090" w:type="dxa"/>
            <w:tcBorders>
              <w:top w:val="single" w:sz="8" w:space="0" w:color="AEAEAE"/>
              <w:left w:val="nil"/>
              <w:bottom w:val="single" w:sz="8" w:space="0" w:color="AEAEAE"/>
              <w:right w:val="single" w:sz="8" w:space="0" w:color="E0E0E0"/>
            </w:tcBorders>
            <w:shd w:val="clear" w:color="auto" w:fill="FFFFFF"/>
          </w:tcPr>
          <w:p w14:paraId="6D30F4A1"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,290</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0A25C764"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1,000</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665F0764"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-,478</w:t>
            </w:r>
          </w:p>
        </w:tc>
        <w:tc>
          <w:tcPr>
            <w:tcW w:w="1092" w:type="dxa"/>
            <w:tcBorders>
              <w:top w:val="single" w:sz="8" w:space="0" w:color="AEAEAE"/>
              <w:left w:val="single" w:sz="8" w:space="0" w:color="E0E0E0"/>
              <w:bottom w:val="single" w:sz="8" w:space="0" w:color="AEAEAE"/>
              <w:right w:val="nil"/>
            </w:tcBorders>
            <w:shd w:val="clear" w:color="auto" w:fill="FFFFFF"/>
          </w:tcPr>
          <w:p w14:paraId="66AB6CC7"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,130</w:t>
            </w:r>
          </w:p>
        </w:tc>
      </w:tr>
      <w:tr w:rsidR="00EF40E9" w:rsidRPr="0014382F" w14:paraId="57014B21" w14:textId="77777777" w:rsidTr="00C804EA">
        <w:tblPrEx>
          <w:tblCellMar>
            <w:top w:w="0" w:type="dxa"/>
            <w:bottom w:w="0" w:type="dxa"/>
          </w:tblCellMar>
        </w:tblPrEx>
        <w:trPr>
          <w:cantSplit/>
          <w:trHeight w:val="131"/>
        </w:trPr>
        <w:tc>
          <w:tcPr>
            <w:tcW w:w="2117" w:type="dxa"/>
            <w:vMerge/>
            <w:tcBorders>
              <w:top w:val="single" w:sz="8" w:space="0" w:color="152935"/>
              <w:left w:val="nil"/>
              <w:bottom w:val="nil"/>
              <w:right w:val="nil"/>
            </w:tcBorders>
            <w:shd w:val="clear" w:color="auto" w:fill="E0E0E0"/>
          </w:tcPr>
          <w:p w14:paraId="13D7B3B1" w14:textId="77777777" w:rsidR="00EF40E9" w:rsidRPr="0014382F" w:rsidRDefault="00EF40E9" w:rsidP="00F549F7">
            <w:pPr>
              <w:autoSpaceDE w:val="0"/>
              <w:autoSpaceDN w:val="0"/>
              <w:adjustRightInd w:val="0"/>
              <w:spacing w:after="0" w:line="240" w:lineRule="auto"/>
              <w:rPr>
                <w:rFonts w:ascii="Times New Roman" w:hAnsi="Times New Roman" w:cs="Times New Roman"/>
                <w:color w:val="010205"/>
                <w:sz w:val="20"/>
                <w:szCs w:val="20"/>
              </w:rPr>
            </w:pPr>
          </w:p>
        </w:tc>
        <w:tc>
          <w:tcPr>
            <w:tcW w:w="781" w:type="dxa"/>
            <w:tcBorders>
              <w:top w:val="single" w:sz="8" w:space="0" w:color="AEAEAE"/>
              <w:left w:val="nil"/>
              <w:bottom w:val="single" w:sz="8" w:space="0" w:color="AEAEAE"/>
              <w:right w:val="nil"/>
            </w:tcBorders>
            <w:shd w:val="clear" w:color="auto" w:fill="E0E0E0"/>
          </w:tcPr>
          <w:p w14:paraId="551548DE" w14:textId="77777777" w:rsidR="00EF40E9" w:rsidRPr="0014382F" w:rsidRDefault="00EF40E9" w:rsidP="00F549F7">
            <w:pPr>
              <w:autoSpaceDE w:val="0"/>
              <w:autoSpaceDN w:val="0"/>
              <w:adjustRightInd w:val="0"/>
              <w:spacing w:after="0" w:line="240" w:lineRule="auto"/>
              <w:ind w:left="60" w:right="60"/>
              <w:rPr>
                <w:rFonts w:ascii="Times New Roman" w:hAnsi="Times New Roman" w:cs="Times New Roman"/>
                <w:color w:val="264A60"/>
                <w:sz w:val="20"/>
                <w:szCs w:val="20"/>
              </w:rPr>
            </w:pPr>
            <w:r w:rsidRPr="0014382F">
              <w:rPr>
                <w:rFonts w:ascii="Times New Roman" w:hAnsi="Times New Roman" w:cs="Times New Roman"/>
                <w:color w:val="264A60"/>
                <w:sz w:val="20"/>
                <w:szCs w:val="20"/>
              </w:rPr>
              <w:t>IGDP</w:t>
            </w:r>
          </w:p>
        </w:tc>
        <w:tc>
          <w:tcPr>
            <w:tcW w:w="1090" w:type="dxa"/>
            <w:tcBorders>
              <w:top w:val="single" w:sz="8" w:space="0" w:color="AEAEAE"/>
              <w:left w:val="nil"/>
              <w:bottom w:val="single" w:sz="8" w:space="0" w:color="AEAEAE"/>
              <w:right w:val="single" w:sz="8" w:space="0" w:color="E0E0E0"/>
            </w:tcBorders>
            <w:shd w:val="clear" w:color="auto" w:fill="FFFFFF"/>
          </w:tcPr>
          <w:p w14:paraId="2C995600"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-,562</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11850051"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-,478</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3669CD63"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1,000</w:t>
            </w:r>
          </w:p>
        </w:tc>
        <w:tc>
          <w:tcPr>
            <w:tcW w:w="1092" w:type="dxa"/>
            <w:tcBorders>
              <w:top w:val="single" w:sz="8" w:space="0" w:color="AEAEAE"/>
              <w:left w:val="single" w:sz="8" w:space="0" w:color="E0E0E0"/>
              <w:bottom w:val="single" w:sz="8" w:space="0" w:color="AEAEAE"/>
              <w:right w:val="nil"/>
            </w:tcBorders>
            <w:shd w:val="clear" w:color="auto" w:fill="FFFFFF"/>
          </w:tcPr>
          <w:p w14:paraId="13F91E04"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-,105</w:t>
            </w:r>
          </w:p>
        </w:tc>
      </w:tr>
      <w:tr w:rsidR="00EF40E9" w:rsidRPr="0014382F" w14:paraId="2587FB18" w14:textId="77777777" w:rsidTr="00C804EA">
        <w:tblPrEx>
          <w:tblCellMar>
            <w:top w:w="0" w:type="dxa"/>
            <w:bottom w:w="0" w:type="dxa"/>
          </w:tblCellMar>
        </w:tblPrEx>
        <w:trPr>
          <w:cantSplit/>
          <w:trHeight w:val="131"/>
        </w:trPr>
        <w:tc>
          <w:tcPr>
            <w:tcW w:w="2117" w:type="dxa"/>
            <w:vMerge/>
            <w:tcBorders>
              <w:top w:val="single" w:sz="8" w:space="0" w:color="152935"/>
              <w:left w:val="nil"/>
              <w:bottom w:val="nil"/>
              <w:right w:val="nil"/>
            </w:tcBorders>
            <w:shd w:val="clear" w:color="auto" w:fill="E0E0E0"/>
          </w:tcPr>
          <w:p w14:paraId="67AC1C5C" w14:textId="77777777" w:rsidR="00EF40E9" w:rsidRPr="0014382F" w:rsidRDefault="00EF40E9" w:rsidP="00F549F7">
            <w:pPr>
              <w:autoSpaceDE w:val="0"/>
              <w:autoSpaceDN w:val="0"/>
              <w:adjustRightInd w:val="0"/>
              <w:spacing w:after="0" w:line="240" w:lineRule="auto"/>
              <w:rPr>
                <w:rFonts w:ascii="Times New Roman" w:hAnsi="Times New Roman" w:cs="Times New Roman"/>
                <w:color w:val="010205"/>
                <w:sz w:val="20"/>
                <w:szCs w:val="20"/>
              </w:rPr>
            </w:pPr>
          </w:p>
        </w:tc>
        <w:tc>
          <w:tcPr>
            <w:tcW w:w="781" w:type="dxa"/>
            <w:tcBorders>
              <w:top w:val="single" w:sz="8" w:space="0" w:color="AEAEAE"/>
              <w:left w:val="nil"/>
              <w:bottom w:val="nil"/>
              <w:right w:val="nil"/>
            </w:tcBorders>
            <w:shd w:val="clear" w:color="auto" w:fill="E0E0E0"/>
          </w:tcPr>
          <w:p w14:paraId="50C8DA6D" w14:textId="77777777" w:rsidR="00EF40E9" w:rsidRPr="0014382F" w:rsidRDefault="00EF40E9" w:rsidP="00F549F7">
            <w:pPr>
              <w:autoSpaceDE w:val="0"/>
              <w:autoSpaceDN w:val="0"/>
              <w:adjustRightInd w:val="0"/>
              <w:spacing w:after="0" w:line="240" w:lineRule="auto"/>
              <w:ind w:left="60" w:right="60"/>
              <w:rPr>
                <w:rFonts w:ascii="Times New Roman" w:hAnsi="Times New Roman" w:cs="Times New Roman"/>
                <w:color w:val="264A60"/>
                <w:sz w:val="20"/>
                <w:szCs w:val="20"/>
              </w:rPr>
            </w:pPr>
            <w:r w:rsidRPr="0014382F">
              <w:rPr>
                <w:rFonts w:ascii="Times New Roman" w:hAnsi="Times New Roman" w:cs="Times New Roman"/>
                <w:color w:val="264A60"/>
                <w:sz w:val="20"/>
                <w:szCs w:val="20"/>
              </w:rPr>
              <w:t>PEE</w:t>
            </w:r>
          </w:p>
        </w:tc>
        <w:tc>
          <w:tcPr>
            <w:tcW w:w="1090" w:type="dxa"/>
            <w:tcBorders>
              <w:top w:val="single" w:sz="8" w:space="0" w:color="AEAEAE"/>
              <w:left w:val="nil"/>
              <w:bottom w:val="nil"/>
              <w:right w:val="single" w:sz="8" w:space="0" w:color="E0E0E0"/>
            </w:tcBorders>
            <w:shd w:val="clear" w:color="auto" w:fill="FFFFFF"/>
          </w:tcPr>
          <w:p w14:paraId="44705BBE"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,680</w:t>
            </w:r>
          </w:p>
        </w:tc>
        <w:tc>
          <w:tcPr>
            <w:tcW w:w="1090" w:type="dxa"/>
            <w:tcBorders>
              <w:top w:val="single" w:sz="8" w:space="0" w:color="AEAEAE"/>
              <w:left w:val="single" w:sz="8" w:space="0" w:color="E0E0E0"/>
              <w:bottom w:val="nil"/>
              <w:right w:val="single" w:sz="8" w:space="0" w:color="E0E0E0"/>
            </w:tcBorders>
            <w:shd w:val="clear" w:color="auto" w:fill="FFFFFF"/>
          </w:tcPr>
          <w:p w14:paraId="257C6131"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,130</w:t>
            </w:r>
          </w:p>
        </w:tc>
        <w:tc>
          <w:tcPr>
            <w:tcW w:w="1090" w:type="dxa"/>
            <w:tcBorders>
              <w:top w:val="single" w:sz="8" w:space="0" w:color="AEAEAE"/>
              <w:left w:val="single" w:sz="8" w:space="0" w:color="E0E0E0"/>
              <w:bottom w:val="nil"/>
              <w:right w:val="single" w:sz="8" w:space="0" w:color="E0E0E0"/>
            </w:tcBorders>
            <w:shd w:val="clear" w:color="auto" w:fill="FFFFFF"/>
          </w:tcPr>
          <w:p w14:paraId="2FA94E1F"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-,105</w:t>
            </w:r>
          </w:p>
        </w:tc>
        <w:tc>
          <w:tcPr>
            <w:tcW w:w="1092" w:type="dxa"/>
            <w:tcBorders>
              <w:top w:val="single" w:sz="8" w:space="0" w:color="AEAEAE"/>
              <w:left w:val="single" w:sz="8" w:space="0" w:color="E0E0E0"/>
              <w:bottom w:val="nil"/>
              <w:right w:val="nil"/>
            </w:tcBorders>
            <w:shd w:val="clear" w:color="auto" w:fill="FFFFFF"/>
          </w:tcPr>
          <w:p w14:paraId="0D26D361"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1,000</w:t>
            </w:r>
          </w:p>
        </w:tc>
      </w:tr>
      <w:tr w:rsidR="00EF40E9" w:rsidRPr="0014382F" w14:paraId="0CE33C00" w14:textId="77777777" w:rsidTr="00C804EA">
        <w:tblPrEx>
          <w:tblCellMar>
            <w:top w:w="0" w:type="dxa"/>
            <w:bottom w:w="0" w:type="dxa"/>
          </w:tblCellMar>
        </w:tblPrEx>
        <w:trPr>
          <w:cantSplit/>
          <w:trHeight w:val="285"/>
        </w:trPr>
        <w:tc>
          <w:tcPr>
            <w:tcW w:w="2117" w:type="dxa"/>
            <w:vMerge w:val="restart"/>
            <w:tcBorders>
              <w:top w:val="single" w:sz="8" w:space="0" w:color="AEAEAE"/>
              <w:left w:val="nil"/>
              <w:bottom w:val="nil"/>
              <w:right w:val="nil"/>
            </w:tcBorders>
            <w:shd w:val="clear" w:color="auto" w:fill="E0E0E0"/>
          </w:tcPr>
          <w:p w14:paraId="6CB88CCD" w14:textId="77777777" w:rsidR="00EF40E9" w:rsidRPr="0014382F" w:rsidRDefault="00EF40E9" w:rsidP="00F549F7">
            <w:pPr>
              <w:autoSpaceDE w:val="0"/>
              <w:autoSpaceDN w:val="0"/>
              <w:adjustRightInd w:val="0"/>
              <w:spacing w:after="0" w:line="240" w:lineRule="auto"/>
              <w:ind w:left="60" w:right="60"/>
              <w:rPr>
                <w:rFonts w:ascii="Times New Roman" w:hAnsi="Times New Roman" w:cs="Times New Roman"/>
                <w:color w:val="264A60"/>
                <w:sz w:val="20"/>
                <w:szCs w:val="20"/>
              </w:rPr>
            </w:pPr>
            <w:r w:rsidRPr="0014382F">
              <w:rPr>
                <w:rFonts w:ascii="Times New Roman" w:hAnsi="Times New Roman" w:cs="Times New Roman"/>
                <w:color w:val="264A60"/>
                <w:sz w:val="20"/>
                <w:szCs w:val="20"/>
              </w:rPr>
              <w:t>Sig. (1-tailed)</w:t>
            </w:r>
          </w:p>
        </w:tc>
        <w:tc>
          <w:tcPr>
            <w:tcW w:w="781" w:type="dxa"/>
            <w:tcBorders>
              <w:top w:val="single" w:sz="8" w:space="0" w:color="AEAEAE"/>
              <w:left w:val="nil"/>
              <w:bottom w:val="single" w:sz="8" w:space="0" w:color="AEAEAE"/>
              <w:right w:val="nil"/>
            </w:tcBorders>
            <w:shd w:val="clear" w:color="auto" w:fill="E0E0E0"/>
          </w:tcPr>
          <w:p w14:paraId="7EFE8071" w14:textId="77777777" w:rsidR="00EF40E9" w:rsidRPr="0014382F" w:rsidRDefault="00EF40E9" w:rsidP="00F549F7">
            <w:pPr>
              <w:autoSpaceDE w:val="0"/>
              <w:autoSpaceDN w:val="0"/>
              <w:adjustRightInd w:val="0"/>
              <w:spacing w:after="0" w:line="240" w:lineRule="auto"/>
              <w:ind w:left="60" w:right="60"/>
              <w:rPr>
                <w:rFonts w:ascii="Times New Roman" w:hAnsi="Times New Roman" w:cs="Times New Roman"/>
                <w:color w:val="264A60"/>
                <w:sz w:val="20"/>
                <w:szCs w:val="20"/>
              </w:rPr>
            </w:pPr>
            <w:r w:rsidRPr="0014382F">
              <w:rPr>
                <w:rFonts w:ascii="Times New Roman" w:hAnsi="Times New Roman" w:cs="Times New Roman"/>
                <w:color w:val="264A60"/>
                <w:sz w:val="20"/>
                <w:szCs w:val="20"/>
              </w:rPr>
              <w:t>ERG</w:t>
            </w:r>
          </w:p>
        </w:tc>
        <w:tc>
          <w:tcPr>
            <w:tcW w:w="1090" w:type="dxa"/>
            <w:tcBorders>
              <w:top w:val="single" w:sz="8" w:space="0" w:color="AEAEAE"/>
              <w:left w:val="nil"/>
              <w:bottom w:val="single" w:sz="8" w:space="0" w:color="AEAEAE"/>
              <w:right w:val="single" w:sz="8" w:space="0" w:color="E0E0E0"/>
            </w:tcBorders>
            <w:shd w:val="clear" w:color="auto" w:fill="FFFFFF"/>
          </w:tcPr>
          <w:p w14:paraId="04926584"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7F4D332B"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,180</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4FB0FDFE"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,028</w:t>
            </w:r>
          </w:p>
        </w:tc>
        <w:tc>
          <w:tcPr>
            <w:tcW w:w="1092" w:type="dxa"/>
            <w:tcBorders>
              <w:top w:val="single" w:sz="8" w:space="0" w:color="AEAEAE"/>
              <w:left w:val="single" w:sz="8" w:space="0" w:color="E0E0E0"/>
              <w:bottom w:val="single" w:sz="8" w:space="0" w:color="AEAEAE"/>
              <w:right w:val="nil"/>
            </w:tcBorders>
            <w:shd w:val="clear" w:color="auto" w:fill="FFFFFF"/>
          </w:tcPr>
          <w:p w14:paraId="540CDF66"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,007</w:t>
            </w:r>
          </w:p>
        </w:tc>
      </w:tr>
      <w:tr w:rsidR="00EF40E9" w:rsidRPr="0014382F" w14:paraId="232088C9" w14:textId="77777777" w:rsidTr="00C804EA">
        <w:tblPrEx>
          <w:tblCellMar>
            <w:top w:w="0" w:type="dxa"/>
            <w:bottom w:w="0" w:type="dxa"/>
          </w:tblCellMar>
        </w:tblPrEx>
        <w:trPr>
          <w:cantSplit/>
          <w:trHeight w:val="131"/>
        </w:trPr>
        <w:tc>
          <w:tcPr>
            <w:tcW w:w="2117" w:type="dxa"/>
            <w:vMerge/>
            <w:tcBorders>
              <w:top w:val="single" w:sz="8" w:space="0" w:color="AEAEAE"/>
              <w:left w:val="nil"/>
              <w:bottom w:val="nil"/>
              <w:right w:val="nil"/>
            </w:tcBorders>
            <w:shd w:val="clear" w:color="auto" w:fill="E0E0E0"/>
          </w:tcPr>
          <w:p w14:paraId="04818DB7" w14:textId="77777777" w:rsidR="00EF40E9" w:rsidRPr="0014382F" w:rsidRDefault="00EF40E9" w:rsidP="00F549F7">
            <w:pPr>
              <w:autoSpaceDE w:val="0"/>
              <w:autoSpaceDN w:val="0"/>
              <w:adjustRightInd w:val="0"/>
              <w:spacing w:after="0" w:line="240" w:lineRule="auto"/>
              <w:rPr>
                <w:rFonts w:ascii="Times New Roman" w:hAnsi="Times New Roman" w:cs="Times New Roman"/>
                <w:color w:val="010205"/>
                <w:sz w:val="20"/>
                <w:szCs w:val="20"/>
              </w:rPr>
            </w:pPr>
          </w:p>
        </w:tc>
        <w:tc>
          <w:tcPr>
            <w:tcW w:w="781" w:type="dxa"/>
            <w:tcBorders>
              <w:top w:val="single" w:sz="8" w:space="0" w:color="AEAEAE"/>
              <w:left w:val="nil"/>
              <w:bottom w:val="single" w:sz="8" w:space="0" w:color="AEAEAE"/>
              <w:right w:val="nil"/>
            </w:tcBorders>
            <w:shd w:val="clear" w:color="auto" w:fill="E0E0E0"/>
          </w:tcPr>
          <w:p w14:paraId="7926646B" w14:textId="77777777" w:rsidR="00EF40E9" w:rsidRPr="0014382F" w:rsidRDefault="00EF40E9" w:rsidP="00F549F7">
            <w:pPr>
              <w:autoSpaceDE w:val="0"/>
              <w:autoSpaceDN w:val="0"/>
              <w:adjustRightInd w:val="0"/>
              <w:spacing w:after="0" w:line="240" w:lineRule="auto"/>
              <w:ind w:left="60" w:right="60"/>
              <w:rPr>
                <w:rFonts w:ascii="Times New Roman" w:hAnsi="Times New Roman" w:cs="Times New Roman"/>
                <w:color w:val="264A60"/>
                <w:sz w:val="20"/>
                <w:szCs w:val="20"/>
              </w:rPr>
            </w:pPr>
            <w:r w:rsidRPr="0014382F">
              <w:rPr>
                <w:rFonts w:ascii="Times New Roman" w:hAnsi="Times New Roman" w:cs="Times New Roman"/>
                <w:color w:val="264A60"/>
                <w:sz w:val="20"/>
                <w:szCs w:val="20"/>
              </w:rPr>
              <w:t>TEA</w:t>
            </w:r>
          </w:p>
        </w:tc>
        <w:tc>
          <w:tcPr>
            <w:tcW w:w="1090" w:type="dxa"/>
            <w:tcBorders>
              <w:top w:val="single" w:sz="8" w:space="0" w:color="AEAEAE"/>
              <w:left w:val="nil"/>
              <w:bottom w:val="single" w:sz="8" w:space="0" w:color="AEAEAE"/>
              <w:right w:val="single" w:sz="8" w:space="0" w:color="E0E0E0"/>
            </w:tcBorders>
            <w:shd w:val="clear" w:color="auto" w:fill="FFFFFF"/>
          </w:tcPr>
          <w:p w14:paraId="50E74CE3"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,180</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547D8F95"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6FFA2F47"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,058</w:t>
            </w:r>
          </w:p>
        </w:tc>
        <w:tc>
          <w:tcPr>
            <w:tcW w:w="1092" w:type="dxa"/>
            <w:tcBorders>
              <w:top w:val="single" w:sz="8" w:space="0" w:color="AEAEAE"/>
              <w:left w:val="single" w:sz="8" w:space="0" w:color="E0E0E0"/>
              <w:bottom w:val="single" w:sz="8" w:space="0" w:color="AEAEAE"/>
              <w:right w:val="nil"/>
            </w:tcBorders>
            <w:shd w:val="clear" w:color="auto" w:fill="FFFFFF"/>
          </w:tcPr>
          <w:p w14:paraId="6BF4A310"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,344</w:t>
            </w:r>
          </w:p>
        </w:tc>
      </w:tr>
      <w:tr w:rsidR="00EF40E9" w:rsidRPr="0014382F" w14:paraId="42A08985" w14:textId="77777777" w:rsidTr="00C804EA">
        <w:tblPrEx>
          <w:tblCellMar>
            <w:top w:w="0" w:type="dxa"/>
            <w:bottom w:w="0" w:type="dxa"/>
          </w:tblCellMar>
        </w:tblPrEx>
        <w:trPr>
          <w:cantSplit/>
          <w:trHeight w:val="131"/>
        </w:trPr>
        <w:tc>
          <w:tcPr>
            <w:tcW w:w="2117" w:type="dxa"/>
            <w:vMerge/>
            <w:tcBorders>
              <w:top w:val="single" w:sz="8" w:space="0" w:color="AEAEAE"/>
              <w:left w:val="nil"/>
              <w:bottom w:val="nil"/>
              <w:right w:val="nil"/>
            </w:tcBorders>
            <w:shd w:val="clear" w:color="auto" w:fill="E0E0E0"/>
          </w:tcPr>
          <w:p w14:paraId="322C571E" w14:textId="77777777" w:rsidR="00EF40E9" w:rsidRPr="0014382F" w:rsidRDefault="00EF40E9" w:rsidP="00F549F7">
            <w:pPr>
              <w:autoSpaceDE w:val="0"/>
              <w:autoSpaceDN w:val="0"/>
              <w:adjustRightInd w:val="0"/>
              <w:spacing w:after="0" w:line="240" w:lineRule="auto"/>
              <w:rPr>
                <w:rFonts w:ascii="Times New Roman" w:hAnsi="Times New Roman" w:cs="Times New Roman"/>
                <w:color w:val="010205"/>
                <w:sz w:val="20"/>
                <w:szCs w:val="20"/>
              </w:rPr>
            </w:pPr>
          </w:p>
        </w:tc>
        <w:tc>
          <w:tcPr>
            <w:tcW w:w="781" w:type="dxa"/>
            <w:tcBorders>
              <w:top w:val="single" w:sz="8" w:space="0" w:color="AEAEAE"/>
              <w:left w:val="nil"/>
              <w:bottom w:val="single" w:sz="8" w:space="0" w:color="AEAEAE"/>
              <w:right w:val="nil"/>
            </w:tcBorders>
            <w:shd w:val="clear" w:color="auto" w:fill="E0E0E0"/>
          </w:tcPr>
          <w:p w14:paraId="6A16FA67" w14:textId="77777777" w:rsidR="00EF40E9" w:rsidRPr="0014382F" w:rsidRDefault="00EF40E9" w:rsidP="00F549F7">
            <w:pPr>
              <w:autoSpaceDE w:val="0"/>
              <w:autoSpaceDN w:val="0"/>
              <w:adjustRightInd w:val="0"/>
              <w:spacing w:after="0" w:line="240" w:lineRule="auto"/>
              <w:ind w:left="60" w:right="60"/>
              <w:rPr>
                <w:rFonts w:ascii="Times New Roman" w:hAnsi="Times New Roman" w:cs="Times New Roman"/>
                <w:color w:val="264A60"/>
                <w:sz w:val="20"/>
                <w:szCs w:val="20"/>
              </w:rPr>
            </w:pPr>
            <w:r w:rsidRPr="0014382F">
              <w:rPr>
                <w:rFonts w:ascii="Times New Roman" w:hAnsi="Times New Roman" w:cs="Times New Roman"/>
                <w:color w:val="264A60"/>
                <w:sz w:val="20"/>
                <w:szCs w:val="20"/>
              </w:rPr>
              <w:t>IGDP</w:t>
            </w:r>
          </w:p>
        </w:tc>
        <w:tc>
          <w:tcPr>
            <w:tcW w:w="1090" w:type="dxa"/>
            <w:tcBorders>
              <w:top w:val="single" w:sz="8" w:space="0" w:color="AEAEAE"/>
              <w:left w:val="nil"/>
              <w:bottom w:val="single" w:sz="8" w:space="0" w:color="AEAEAE"/>
              <w:right w:val="single" w:sz="8" w:space="0" w:color="E0E0E0"/>
            </w:tcBorders>
            <w:shd w:val="clear" w:color="auto" w:fill="FFFFFF"/>
          </w:tcPr>
          <w:p w14:paraId="0E913FD3"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,028</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754A4589"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,058</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3D5A8857"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w:t>
            </w:r>
          </w:p>
        </w:tc>
        <w:tc>
          <w:tcPr>
            <w:tcW w:w="1092" w:type="dxa"/>
            <w:tcBorders>
              <w:top w:val="single" w:sz="8" w:space="0" w:color="AEAEAE"/>
              <w:left w:val="single" w:sz="8" w:space="0" w:color="E0E0E0"/>
              <w:bottom w:val="single" w:sz="8" w:space="0" w:color="AEAEAE"/>
              <w:right w:val="nil"/>
            </w:tcBorders>
            <w:shd w:val="clear" w:color="auto" w:fill="FFFFFF"/>
          </w:tcPr>
          <w:p w14:paraId="552D36EA"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,372</w:t>
            </w:r>
          </w:p>
        </w:tc>
      </w:tr>
      <w:tr w:rsidR="00EF40E9" w:rsidRPr="0014382F" w14:paraId="2C637284" w14:textId="77777777" w:rsidTr="00C804EA">
        <w:tblPrEx>
          <w:tblCellMar>
            <w:top w:w="0" w:type="dxa"/>
            <w:bottom w:w="0" w:type="dxa"/>
          </w:tblCellMar>
        </w:tblPrEx>
        <w:trPr>
          <w:cantSplit/>
          <w:trHeight w:val="131"/>
        </w:trPr>
        <w:tc>
          <w:tcPr>
            <w:tcW w:w="2117" w:type="dxa"/>
            <w:vMerge/>
            <w:tcBorders>
              <w:top w:val="single" w:sz="8" w:space="0" w:color="AEAEAE"/>
              <w:left w:val="nil"/>
              <w:bottom w:val="nil"/>
              <w:right w:val="nil"/>
            </w:tcBorders>
            <w:shd w:val="clear" w:color="auto" w:fill="E0E0E0"/>
          </w:tcPr>
          <w:p w14:paraId="23C89D58" w14:textId="77777777" w:rsidR="00EF40E9" w:rsidRPr="0014382F" w:rsidRDefault="00EF40E9" w:rsidP="00F549F7">
            <w:pPr>
              <w:autoSpaceDE w:val="0"/>
              <w:autoSpaceDN w:val="0"/>
              <w:adjustRightInd w:val="0"/>
              <w:spacing w:after="0" w:line="240" w:lineRule="auto"/>
              <w:rPr>
                <w:rFonts w:ascii="Times New Roman" w:hAnsi="Times New Roman" w:cs="Times New Roman"/>
                <w:color w:val="010205"/>
                <w:sz w:val="20"/>
                <w:szCs w:val="20"/>
              </w:rPr>
            </w:pPr>
          </w:p>
        </w:tc>
        <w:tc>
          <w:tcPr>
            <w:tcW w:w="781" w:type="dxa"/>
            <w:tcBorders>
              <w:top w:val="single" w:sz="8" w:space="0" w:color="AEAEAE"/>
              <w:left w:val="nil"/>
              <w:bottom w:val="nil"/>
              <w:right w:val="nil"/>
            </w:tcBorders>
            <w:shd w:val="clear" w:color="auto" w:fill="E0E0E0"/>
          </w:tcPr>
          <w:p w14:paraId="6248ED44" w14:textId="77777777" w:rsidR="00EF40E9" w:rsidRPr="0014382F" w:rsidRDefault="00EF40E9" w:rsidP="00F549F7">
            <w:pPr>
              <w:autoSpaceDE w:val="0"/>
              <w:autoSpaceDN w:val="0"/>
              <w:adjustRightInd w:val="0"/>
              <w:spacing w:after="0" w:line="240" w:lineRule="auto"/>
              <w:ind w:left="60" w:right="60"/>
              <w:rPr>
                <w:rFonts w:ascii="Times New Roman" w:hAnsi="Times New Roman" w:cs="Times New Roman"/>
                <w:color w:val="264A60"/>
                <w:sz w:val="20"/>
                <w:szCs w:val="20"/>
              </w:rPr>
            </w:pPr>
            <w:r w:rsidRPr="0014382F">
              <w:rPr>
                <w:rFonts w:ascii="Times New Roman" w:hAnsi="Times New Roman" w:cs="Times New Roman"/>
                <w:color w:val="264A60"/>
                <w:sz w:val="20"/>
                <w:szCs w:val="20"/>
              </w:rPr>
              <w:t>PEE</w:t>
            </w:r>
          </w:p>
        </w:tc>
        <w:tc>
          <w:tcPr>
            <w:tcW w:w="1090" w:type="dxa"/>
            <w:tcBorders>
              <w:top w:val="single" w:sz="8" w:space="0" w:color="AEAEAE"/>
              <w:left w:val="nil"/>
              <w:bottom w:val="nil"/>
              <w:right w:val="single" w:sz="8" w:space="0" w:color="E0E0E0"/>
            </w:tcBorders>
            <w:shd w:val="clear" w:color="auto" w:fill="FFFFFF"/>
          </w:tcPr>
          <w:p w14:paraId="22C341AA"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,007</w:t>
            </w:r>
          </w:p>
        </w:tc>
        <w:tc>
          <w:tcPr>
            <w:tcW w:w="1090" w:type="dxa"/>
            <w:tcBorders>
              <w:top w:val="single" w:sz="8" w:space="0" w:color="AEAEAE"/>
              <w:left w:val="single" w:sz="8" w:space="0" w:color="E0E0E0"/>
              <w:bottom w:val="nil"/>
              <w:right w:val="single" w:sz="8" w:space="0" w:color="E0E0E0"/>
            </w:tcBorders>
            <w:shd w:val="clear" w:color="auto" w:fill="FFFFFF"/>
          </w:tcPr>
          <w:p w14:paraId="37BAE92E"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,344</w:t>
            </w:r>
          </w:p>
        </w:tc>
        <w:tc>
          <w:tcPr>
            <w:tcW w:w="1090" w:type="dxa"/>
            <w:tcBorders>
              <w:top w:val="single" w:sz="8" w:space="0" w:color="AEAEAE"/>
              <w:left w:val="single" w:sz="8" w:space="0" w:color="E0E0E0"/>
              <w:bottom w:val="nil"/>
              <w:right w:val="single" w:sz="8" w:space="0" w:color="E0E0E0"/>
            </w:tcBorders>
            <w:shd w:val="clear" w:color="auto" w:fill="FFFFFF"/>
          </w:tcPr>
          <w:p w14:paraId="18905C0F"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,372</w:t>
            </w:r>
          </w:p>
        </w:tc>
        <w:tc>
          <w:tcPr>
            <w:tcW w:w="1092" w:type="dxa"/>
            <w:tcBorders>
              <w:top w:val="single" w:sz="8" w:space="0" w:color="AEAEAE"/>
              <w:left w:val="single" w:sz="8" w:space="0" w:color="E0E0E0"/>
              <w:bottom w:val="nil"/>
              <w:right w:val="nil"/>
            </w:tcBorders>
            <w:shd w:val="clear" w:color="auto" w:fill="FFFFFF"/>
          </w:tcPr>
          <w:p w14:paraId="752876D3"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w:t>
            </w:r>
          </w:p>
        </w:tc>
      </w:tr>
      <w:tr w:rsidR="00EF40E9" w:rsidRPr="0014382F" w14:paraId="36C28923" w14:textId="77777777" w:rsidTr="00C804EA">
        <w:tblPrEx>
          <w:tblCellMar>
            <w:top w:w="0" w:type="dxa"/>
            <w:bottom w:w="0" w:type="dxa"/>
          </w:tblCellMar>
        </w:tblPrEx>
        <w:trPr>
          <w:cantSplit/>
          <w:trHeight w:val="285"/>
        </w:trPr>
        <w:tc>
          <w:tcPr>
            <w:tcW w:w="2117" w:type="dxa"/>
            <w:vMerge w:val="restart"/>
            <w:tcBorders>
              <w:top w:val="single" w:sz="8" w:space="0" w:color="AEAEAE"/>
              <w:left w:val="nil"/>
              <w:bottom w:val="single" w:sz="8" w:space="0" w:color="152935"/>
              <w:right w:val="nil"/>
            </w:tcBorders>
            <w:shd w:val="clear" w:color="auto" w:fill="E0E0E0"/>
          </w:tcPr>
          <w:p w14:paraId="7E2D0126" w14:textId="77777777" w:rsidR="00EF40E9" w:rsidRPr="0014382F" w:rsidRDefault="00EF40E9" w:rsidP="00F549F7">
            <w:pPr>
              <w:autoSpaceDE w:val="0"/>
              <w:autoSpaceDN w:val="0"/>
              <w:adjustRightInd w:val="0"/>
              <w:spacing w:after="0" w:line="240" w:lineRule="auto"/>
              <w:ind w:left="60" w:right="60"/>
              <w:rPr>
                <w:rFonts w:ascii="Times New Roman" w:hAnsi="Times New Roman" w:cs="Times New Roman"/>
                <w:color w:val="264A60"/>
                <w:sz w:val="20"/>
                <w:szCs w:val="20"/>
              </w:rPr>
            </w:pPr>
            <w:r w:rsidRPr="0014382F">
              <w:rPr>
                <w:rFonts w:ascii="Times New Roman" w:hAnsi="Times New Roman" w:cs="Times New Roman"/>
                <w:color w:val="264A60"/>
                <w:sz w:val="20"/>
                <w:szCs w:val="20"/>
              </w:rPr>
              <w:t>N</w:t>
            </w:r>
          </w:p>
        </w:tc>
        <w:tc>
          <w:tcPr>
            <w:tcW w:w="781" w:type="dxa"/>
            <w:tcBorders>
              <w:top w:val="single" w:sz="8" w:space="0" w:color="AEAEAE"/>
              <w:left w:val="nil"/>
              <w:bottom w:val="single" w:sz="8" w:space="0" w:color="AEAEAE"/>
              <w:right w:val="nil"/>
            </w:tcBorders>
            <w:shd w:val="clear" w:color="auto" w:fill="E0E0E0"/>
          </w:tcPr>
          <w:p w14:paraId="1F920EC9" w14:textId="77777777" w:rsidR="00EF40E9" w:rsidRPr="0014382F" w:rsidRDefault="00EF40E9" w:rsidP="00F549F7">
            <w:pPr>
              <w:autoSpaceDE w:val="0"/>
              <w:autoSpaceDN w:val="0"/>
              <w:adjustRightInd w:val="0"/>
              <w:spacing w:after="0" w:line="240" w:lineRule="auto"/>
              <w:ind w:left="60" w:right="60"/>
              <w:rPr>
                <w:rFonts w:ascii="Times New Roman" w:hAnsi="Times New Roman" w:cs="Times New Roman"/>
                <w:color w:val="264A60"/>
                <w:sz w:val="20"/>
                <w:szCs w:val="20"/>
              </w:rPr>
            </w:pPr>
            <w:r w:rsidRPr="0014382F">
              <w:rPr>
                <w:rFonts w:ascii="Times New Roman" w:hAnsi="Times New Roman" w:cs="Times New Roman"/>
                <w:color w:val="264A60"/>
                <w:sz w:val="20"/>
                <w:szCs w:val="20"/>
              </w:rPr>
              <w:t>ERG</w:t>
            </w:r>
          </w:p>
        </w:tc>
        <w:tc>
          <w:tcPr>
            <w:tcW w:w="1090" w:type="dxa"/>
            <w:tcBorders>
              <w:top w:val="single" w:sz="8" w:space="0" w:color="AEAEAE"/>
              <w:left w:val="nil"/>
              <w:bottom w:val="single" w:sz="8" w:space="0" w:color="AEAEAE"/>
              <w:right w:val="single" w:sz="8" w:space="0" w:color="E0E0E0"/>
            </w:tcBorders>
            <w:shd w:val="clear" w:color="auto" w:fill="FFFFFF"/>
          </w:tcPr>
          <w:p w14:paraId="414DF1C9"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12</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664191C5"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12</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7C822607"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12</w:t>
            </w:r>
          </w:p>
        </w:tc>
        <w:tc>
          <w:tcPr>
            <w:tcW w:w="1092" w:type="dxa"/>
            <w:tcBorders>
              <w:top w:val="single" w:sz="8" w:space="0" w:color="AEAEAE"/>
              <w:left w:val="single" w:sz="8" w:space="0" w:color="E0E0E0"/>
              <w:bottom w:val="single" w:sz="8" w:space="0" w:color="AEAEAE"/>
              <w:right w:val="nil"/>
            </w:tcBorders>
            <w:shd w:val="clear" w:color="auto" w:fill="FFFFFF"/>
          </w:tcPr>
          <w:p w14:paraId="27F9D73A"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12</w:t>
            </w:r>
          </w:p>
        </w:tc>
      </w:tr>
      <w:tr w:rsidR="00EF40E9" w:rsidRPr="0014382F" w14:paraId="17174E0D" w14:textId="77777777" w:rsidTr="00C804EA">
        <w:tblPrEx>
          <w:tblCellMar>
            <w:top w:w="0" w:type="dxa"/>
            <w:bottom w:w="0" w:type="dxa"/>
          </w:tblCellMar>
        </w:tblPrEx>
        <w:trPr>
          <w:cantSplit/>
          <w:trHeight w:val="131"/>
        </w:trPr>
        <w:tc>
          <w:tcPr>
            <w:tcW w:w="2117" w:type="dxa"/>
            <w:vMerge/>
            <w:tcBorders>
              <w:top w:val="single" w:sz="8" w:space="0" w:color="AEAEAE"/>
              <w:left w:val="nil"/>
              <w:bottom w:val="single" w:sz="8" w:space="0" w:color="152935"/>
              <w:right w:val="nil"/>
            </w:tcBorders>
            <w:shd w:val="clear" w:color="auto" w:fill="E0E0E0"/>
          </w:tcPr>
          <w:p w14:paraId="6013DEFA" w14:textId="77777777" w:rsidR="00EF40E9" w:rsidRPr="0014382F" w:rsidRDefault="00EF40E9" w:rsidP="00F549F7">
            <w:pPr>
              <w:autoSpaceDE w:val="0"/>
              <w:autoSpaceDN w:val="0"/>
              <w:adjustRightInd w:val="0"/>
              <w:spacing w:after="0" w:line="240" w:lineRule="auto"/>
              <w:rPr>
                <w:rFonts w:ascii="Times New Roman" w:hAnsi="Times New Roman" w:cs="Times New Roman"/>
                <w:color w:val="010205"/>
                <w:sz w:val="20"/>
                <w:szCs w:val="20"/>
              </w:rPr>
            </w:pPr>
          </w:p>
        </w:tc>
        <w:tc>
          <w:tcPr>
            <w:tcW w:w="781" w:type="dxa"/>
            <w:tcBorders>
              <w:top w:val="single" w:sz="8" w:space="0" w:color="AEAEAE"/>
              <w:left w:val="nil"/>
              <w:bottom w:val="single" w:sz="8" w:space="0" w:color="AEAEAE"/>
              <w:right w:val="nil"/>
            </w:tcBorders>
            <w:shd w:val="clear" w:color="auto" w:fill="E0E0E0"/>
          </w:tcPr>
          <w:p w14:paraId="755DFFCC" w14:textId="77777777" w:rsidR="00EF40E9" w:rsidRPr="0014382F" w:rsidRDefault="00EF40E9" w:rsidP="00F549F7">
            <w:pPr>
              <w:autoSpaceDE w:val="0"/>
              <w:autoSpaceDN w:val="0"/>
              <w:adjustRightInd w:val="0"/>
              <w:spacing w:after="0" w:line="240" w:lineRule="auto"/>
              <w:ind w:left="60" w:right="60"/>
              <w:rPr>
                <w:rFonts w:ascii="Times New Roman" w:hAnsi="Times New Roman" w:cs="Times New Roman"/>
                <w:color w:val="264A60"/>
                <w:sz w:val="20"/>
                <w:szCs w:val="20"/>
              </w:rPr>
            </w:pPr>
            <w:r w:rsidRPr="0014382F">
              <w:rPr>
                <w:rFonts w:ascii="Times New Roman" w:hAnsi="Times New Roman" w:cs="Times New Roman"/>
                <w:color w:val="264A60"/>
                <w:sz w:val="20"/>
                <w:szCs w:val="20"/>
              </w:rPr>
              <w:t>TEA</w:t>
            </w:r>
          </w:p>
        </w:tc>
        <w:tc>
          <w:tcPr>
            <w:tcW w:w="1090" w:type="dxa"/>
            <w:tcBorders>
              <w:top w:val="single" w:sz="8" w:space="0" w:color="AEAEAE"/>
              <w:left w:val="nil"/>
              <w:bottom w:val="single" w:sz="8" w:space="0" w:color="AEAEAE"/>
              <w:right w:val="single" w:sz="8" w:space="0" w:color="E0E0E0"/>
            </w:tcBorders>
            <w:shd w:val="clear" w:color="auto" w:fill="FFFFFF"/>
          </w:tcPr>
          <w:p w14:paraId="322B334A"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12</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3E5B733A"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12</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55604DA3"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12</w:t>
            </w:r>
          </w:p>
        </w:tc>
        <w:tc>
          <w:tcPr>
            <w:tcW w:w="1092" w:type="dxa"/>
            <w:tcBorders>
              <w:top w:val="single" w:sz="8" w:space="0" w:color="AEAEAE"/>
              <w:left w:val="single" w:sz="8" w:space="0" w:color="E0E0E0"/>
              <w:bottom w:val="single" w:sz="8" w:space="0" w:color="AEAEAE"/>
              <w:right w:val="nil"/>
            </w:tcBorders>
            <w:shd w:val="clear" w:color="auto" w:fill="FFFFFF"/>
          </w:tcPr>
          <w:p w14:paraId="6A8F50B0"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12</w:t>
            </w:r>
          </w:p>
        </w:tc>
      </w:tr>
      <w:tr w:rsidR="00EF40E9" w:rsidRPr="0014382F" w14:paraId="74DCD315" w14:textId="77777777" w:rsidTr="00C804EA">
        <w:tblPrEx>
          <w:tblCellMar>
            <w:top w:w="0" w:type="dxa"/>
            <w:bottom w:w="0" w:type="dxa"/>
          </w:tblCellMar>
        </w:tblPrEx>
        <w:trPr>
          <w:cantSplit/>
          <w:trHeight w:val="131"/>
        </w:trPr>
        <w:tc>
          <w:tcPr>
            <w:tcW w:w="2117" w:type="dxa"/>
            <w:vMerge/>
            <w:tcBorders>
              <w:top w:val="single" w:sz="8" w:space="0" w:color="AEAEAE"/>
              <w:left w:val="nil"/>
              <w:bottom w:val="single" w:sz="8" w:space="0" w:color="152935"/>
              <w:right w:val="nil"/>
            </w:tcBorders>
            <w:shd w:val="clear" w:color="auto" w:fill="E0E0E0"/>
          </w:tcPr>
          <w:p w14:paraId="741A0197" w14:textId="77777777" w:rsidR="00EF40E9" w:rsidRPr="0014382F" w:rsidRDefault="00EF40E9" w:rsidP="00F549F7">
            <w:pPr>
              <w:autoSpaceDE w:val="0"/>
              <w:autoSpaceDN w:val="0"/>
              <w:adjustRightInd w:val="0"/>
              <w:spacing w:after="0" w:line="240" w:lineRule="auto"/>
              <w:rPr>
                <w:rFonts w:ascii="Times New Roman" w:hAnsi="Times New Roman" w:cs="Times New Roman"/>
                <w:color w:val="010205"/>
                <w:sz w:val="20"/>
                <w:szCs w:val="20"/>
              </w:rPr>
            </w:pPr>
          </w:p>
        </w:tc>
        <w:tc>
          <w:tcPr>
            <w:tcW w:w="781" w:type="dxa"/>
            <w:tcBorders>
              <w:top w:val="single" w:sz="8" w:space="0" w:color="AEAEAE"/>
              <w:left w:val="nil"/>
              <w:bottom w:val="single" w:sz="8" w:space="0" w:color="AEAEAE"/>
              <w:right w:val="nil"/>
            </w:tcBorders>
            <w:shd w:val="clear" w:color="auto" w:fill="E0E0E0"/>
          </w:tcPr>
          <w:p w14:paraId="24BBF8E4" w14:textId="77777777" w:rsidR="00EF40E9" w:rsidRPr="0014382F" w:rsidRDefault="00EF40E9" w:rsidP="00F549F7">
            <w:pPr>
              <w:autoSpaceDE w:val="0"/>
              <w:autoSpaceDN w:val="0"/>
              <w:adjustRightInd w:val="0"/>
              <w:spacing w:after="0" w:line="240" w:lineRule="auto"/>
              <w:ind w:left="60" w:right="60"/>
              <w:rPr>
                <w:rFonts w:ascii="Times New Roman" w:hAnsi="Times New Roman" w:cs="Times New Roman"/>
                <w:color w:val="264A60"/>
                <w:sz w:val="20"/>
                <w:szCs w:val="20"/>
              </w:rPr>
            </w:pPr>
            <w:r w:rsidRPr="0014382F">
              <w:rPr>
                <w:rFonts w:ascii="Times New Roman" w:hAnsi="Times New Roman" w:cs="Times New Roman"/>
                <w:color w:val="264A60"/>
                <w:sz w:val="20"/>
                <w:szCs w:val="20"/>
              </w:rPr>
              <w:t>IGDP</w:t>
            </w:r>
          </w:p>
        </w:tc>
        <w:tc>
          <w:tcPr>
            <w:tcW w:w="1090" w:type="dxa"/>
            <w:tcBorders>
              <w:top w:val="single" w:sz="8" w:space="0" w:color="AEAEAE"/>
              <w:left w:val="nil"/>
              <w:bottom w:val="single" w:sz="8" w:space="0" w:color="AEAEAE"/>
              <w:right w:val="single" w:sz="8" w:space="0" w:color="E0E0E0"/>
            </w:tcBorders>
            <w:shd w:val="clear" w:color="auto" w:fill="FFFFFF"/>
          </w:tcPr>
          <w:p w14:paraId="5A480031"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12</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173C4EF1"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12</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7FAD1FAE"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12</w:t>
            </w:r>
          </w:p>
        </w:tc>
        <w:tc>
          <w:tcPr>
            <w:tcW w:w="1092" w:type="dxa"/>
            <w:tcBorders>
              <w:top w:val="single" w:sz="8" w:space="0" w:color="AEAEAE"/>
              <w:left w:val="single" w:sz="8" w:space="0" w:color="E0E0E0"/>
              <w:bottom w:val="single" w:sz="8" w:space="0" w:color="AEAEAE"/>
              <w:right w:val="nil"/>
            </w:tcBorders>
            <w:shd w:val="clear" w:color="auto" w:fill="FFFFFF"/>
          </w:tcPr>
          <w:p w14:paraId="2FA555E4"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12</w:t>
            </w:r>
          </w:p>
        </w:tc>
      </w:tr>
      <w:tr w:rsidR="00EF40E9" w:rsidRPr="0014382F" w14:paraId="2D0BCA51" w14:textId="77777777" w:rsidTr="00C804EA">
        <w:tblPrEx>
          <w:tblCellMar>
            <w:top w:w="0" w:type="dxa"/>
            <w:bottom w:w="0" w:type="dxa"/>
          </w:tblCellMar>
        </w:tblPrEx>
        <w:trPr>
          <w:cantSplit/>
          <w:trHeight w:val="131"/>
        </w:trPr>
        <w:tc>
          <w:tcPr>
            <w:tcW w:w="2117" w:type="dxa"/>
            <w:vMerge/>
            <w:tcBorders>
              <w:top w:val="single" w:sz="8" w:space="0" w:color="AEAEAE"/>
              <w:left w:val="nil"/>
              <w:bottom w:val="single" w:sz="8" w:space="0" w:color="152935"/>
              <w:right w:val="nil"/>
            </w:tcBorders>
            <w:shd w:val="clear" w:color="auto" w:fill="E0E0E0"/>
          </w:tcPr>
          <w:p w14:paraId="569AC2DD" w14:textId="77777777" w:rsidR="00EF40E9" w:rsidRPr="0014382F" w:rsidRDefault="00EF40E9" w:rsidP="00F549F7">
            <w:pPr>
              <w:autoSpaceDE w:val="0"/>
              <w:autoSpaceDN w:val="0"/>
              <w:adjustRightInd w:val="0"/>
              <w:spacing w:after="0" w:line="240" w:lineRule="auto"/>
              <w:rPr>
                <w:rFonts w:ascii="Times New Roman" w:hAnsi="Times New Roman" w:cs="Times New Roman"/>
                <w:color w:val="010205"/>
                <w:sz w:val="20"/>
                <w:szCs w:val="20"/>
              </w:rPr>
            </w:pPr>
          </w:p>
        </w:tc>
        <w:tc>
          <w:tcPr>
            <w:tcW w:w="781" w:type="dxa"/>
            <w:tcBorders>
              <w:top w:val="single" w:sz="8" w:space="0" w:color="AEAEAE"/>
              <w:left w:val="nil"/>
              <w:bottom w:val="single" w:sz="8" w:space="0" w:color="152935"/>
              <w:right w:val="nil"/>
            </w:tcBorders>
            <w:shd w:val="clear" w:color="auto" w:fill="E0E0E0"/>
          </w:tcPr>
          <w:p w14:paraId="0A328A68" w14:textId="77777777" w:rsidR="00EF40E9" w:rsidRPr="0014382F" w:rsidRDefault="00EF40E9" w:rsidP="00F549F7">
            <w:pPr>
              <w:autoSpaceDE w:val="0"/>
              <w:autoSpaceDN w:val="0"/>
              <w:adjustRightInd w:val="0"/>
              <w:spacing w:after="0" w:line="240" w:lineRule="auto"/>
              <w:ind w:left="60" w:right="60"/>
              <w:rPr>
                <w:rFonts w:ascii="Times New Roman" w:hAnsi="Times New Roman" w:cs="Times New Roman"/>
                <w:color w:val="264A60"/>
                <w:sz w:val="20"/>
                <w:szCs w:val="20"/>
              </w:rPr>
            </w:pPr>
            <w:r w:rsidRPr="0014382F">
              <w:rPr>
                <w:rFonts w:ascii="Times New Roman" w:hAnsi="Times New Roman" w:cs="Times New Roman"/>
                <w:color w:val="264A60"/>
                <w:sz w:val="20"/>
                <w:szCs w:val="20"/>
              </w:rPr>
              <w:t>PEE</w:t>
            </w:r>
          </w:p>
        </w:tc>
        <w:tc>
          <w:tcPr>
            <w:tcW w:w="1090" w:type="dxa"/>
            <w:tcBorders>
              <w:top w:val="single" w:sz="8" w:space="0" w:color="AEAEAE"/>
              <w:left w:val="nil"/>
              <w:bottom w:val="single" w:sz="8" w:space="0" w:color="152935"/>
              <w:right w:val="single" w:sz="8" w:space="0" w:color="E0E0E0"/>
            </w:tcBorders>
            <w:shd w:val="clear" w:color="auto" w:fill="FFFFFF"/>
          </w:tcPr>
          <w:p w14:paraId="4FF45D65"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12</w:t>
            </w:r>
          </w:p>
        </w:tc>
        <w:tc>
          <w:tcPr>
            <w:tcW w:w="1090" w:type="dxa"/>
            <w:tcBorders>
              <w:top w:val="single" w:sz="8" w:space="0" w:color="AEAEAE"/>
              <w:left w:val="single" w:sz="8" w:space="0" w:color="E0E0E0"/>
              <w:bottom w:val="single" w:sz="8" w:space="0" w:color="152935"/>
              <w:right w:val="single" w:sz="8" w:space="0" w:color="E0E0E0"/>
            </w:tcBorders>
            <w:shd w:val="clear" w:color="auto" w:fill="FFFFFF"/>
          </w:tcPr>
          <w:p w14:paraId="6CAFCC92"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12</w:t>
            </w:r>
          </w:p>
        </w:tc>
        <w:tc>
          <w:tcPr>
            <w:tcW w:w="1090" w:type="dxa"/>
            <w:tcBorders>
              <w:top w:val="single" w:sz="8" w:space="0" w:color="AEAEAE"/>
              <w:left w:val="single" w:sz="8" w:space="0" w:color="E0E0E0"/>
              <w:bottom w:val="single" w:sz="8" w:space="0" w:color="152935"/>
              <w:right w:val="single" w:sz="8" w:space="0" w:color="E0E0E0"/>
            </w:tcBorders>
            <w:shd w:val="clear" w:color="auto" w:fill="FFFFFF"/>
          </w:tcPr>
          <w:p w14:paraId="2F47F7EC"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12</w:t>
            </w:r>
          </w:p>
        </w:tc>
        <w:tc>
          <w:tcPr>
            <w:tcW w:w="1092" w:type="dxa"/>
            <w:tcBorders>
              <w:top w:val="single" w:sz="8" w:space="0" w:color="AEAEAE"/>
              <w:left w:val="single" w:sz="8" w:space="0" w:color="E0E0E0"/>
              <w:bottom w:val="single" w:sz="8" w:space="0" w:color="152935"/>
              <w:right w:val="nil"/>
            </w:tcBorders>
            <w:shd w:val="clear" w:color="auto" w:fill="FFFFFF"/>
          </w:tcPr>
          <w:p w14:paraId="76FEEE60" w14:textId="77777777" w:rsidR="00EF40E9" w:rsidRPr="0014382F" w:rsidRDefault="00EF40E9" w:rsidP="00F549F7">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14382F">
              <w:rPr>
                <w:rFonts w:ascii="Times New Roman" w:hAnsi="Times New Roman" w:cs="Times New Roman"/>
                <w:color w:val="010205"/>
                <w:sz w:val="20"/>
                <w:szCs w:val="20"/>
              </w:rPr>
              <w:t>12</w:t>
            </w:r>
          </w:p>
        </w:tc>
      </w:tr>
    </w:tbl>
    <w:p w14:paraId="13651BC3" w14:textId="137A6321" w:rsidR="00EF40E9" w:rsidRPr="002E6846" w:rsidRDefault="00EF40E9" w:rsidP="00F549F7">
      <w:pPr>
        <w:autoSpaceDE w:val="0"/>
        <w:autoSpaceDN w:val="0"/>
        <w:adjustRightInd w:val="0"/>
        <w:spacing w:line="240" w:lineRule="auto"/>
        <w:jc w:val="both"/>
        <w:rPr>
          <w:rFonts w:ascii="Times New Roman" w:hAnsi="Times New Roman" w:cs="Times New Roman"/>
          <w:sz w:val="20"/>
          <w:szCs w:val="20"/>
        </w:rPr>
      </w:pPr>
      <w:r w:rsidRPr="002E6846">
        <w:rPr>
          <w:rFonts w:ascii="Times New Roman" w:hAnsi="Times New Roman" w:cs="Times New Roman"/>
          <w:sz w:val="20"/>
          <w:szCs w:val="20"/>
        </w:rPr>
        <w:t>Sursa: Prelucrare proprie în SPSS 26</w:t>
      </w:r>
    </w:p>
    <w:p w14:paraId="52C7828F" w14:textId="7405974E" w:rsidR="00EF40E9" w:rsidRDefault="00EF40E9" w:rsidP="00F549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După cum se poate observa există o legătură de intensitate medie între valoarea cheltuielilor publice cu educația de nivel terțiar și rata de angajare a absolvenților, ceea ce poate fi tradus prin faptul că finanțarea sistemului de învățământ este o premisă pentru finalizarea studiilor, formarea viitorilor angajați și obținerea unui loc de muncă. De asemenea, există o legătură slabă între nivelul studiilor absolvite și rata de angajare a absolvenților, ceea ce denotă faptul că pe piața muncii există cerere de forță de muncă și nivelul studiilor ocupă un loc secundar. Observăm o legătură de intensitate medie între nivelul investițiilor publice în sistemul de învățământ și rata de angajare a proaspeților absolvenți, ceea ce se traduce prin faptul că sunt și alte elemente care contribuie la succesul ratei de angajare.</w:t>
      </w:r>
    </w:p>
    <w:p w14:paraId="402D42F9" w14:textId="3F503B85" w:rsidR="00EF40E9" w:rsidRPr="00176312" w:rsidRDefault="00EF40E9" w:rsidP="00F549F7">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Analiza econometrică efectuată are ca obiectiv determinarea </w:t>
      </w:r>
      <w:r w:rsidRPr="00176312">
        <w:rPr>
          <w:rFonts w:ascii="Times New Roman" w:hAnsi="Times New Roman" w:cs="Times New Roman"/>
          <w:sz w:val="24"/>
          <w:szCs w:val="24"/>
        </w:rPr>
        <w:t>relați</w:t>
      </w:r>
      <w:r>
        <w:rPr>
          <w:rFonts w:ascii="Times New Roman" w:hAnsi="Times New Roman" w:cs="Times New Roman"/>
          <w:sz w:val="24"/>
          <w:szCs w:val="24"/>
        </w:rPr>
        <w:t>ei</w:t>
      </w:r>
      <w:r w:rsidRPr="00176312">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176312">
        <w:rPr>
          <w:rFonts w:ascii="Times New Roman" w:hAnsi="Times New Roman" w:cs="Times New Roman"/>
          <w:sz w:val="24"/>
          <w:szCs w:val="24"/>
        </w:rPr>
        <w:t xml:space="preserve">dependență a </w:t>
      </w:r>
      <w:r>
        <w:rPr>
          <w:rFonts w:ascii="Times New Roman" w:hAnsi="Times New Roman" w:cs="Times New Roman"/>
          <w:sz w:val="24"/>
          <w:szCs w:val="24"/>
        </w:rPr>
        <w:t>ratei de angajare a proaspeților absolvenți</w:t>
      </w:r>
      <w:r w:rsidRPr="00176312">
        <w:rPr>
          <w:rFonts w:ascii="Times New Roman" w:hAnsi="Times New Roman" w:cs="Times New Roman"/>
          <w:sz w:val="24"/>
          <w:szCs w:val="24"/>
        </w:rPr>
        <w:t xml:space="preserve"> în raport cu dinamica </w:t>
      </w:r>
      <w:r>
        <w:rPr>
          <w:rFonts w:ascii="Times New Roman" w:hAnsi="Times New Roman" w:cs="Times New Roman"/>
          <w:sz w:val="24"/>
          <w:szCs w:val="24"/>
        </w:rPr>
        <w:t>unor</w:t>
      </w:r>
      <w:r w:rsidRPr="00176312">
        <w:rPr>
          <w:rFonts w:ascii="Times New Roman" w:hAnsi="Times New Roman" w:cs="Times New Roman"/>
          <w:sz w:val="24"/>
          <w:szCs w:val="24"/>
        </w:rPr>
        <w:t xml:space="preserve"> factori de influență </w:t>
      </w:r>
      <w:r>
        <w:rPr>
          <w:rFonts w:ascii="Times New Roman" w:hAnsi="Times New Roman" w:cs="Times New Roman"/>
          <w:sz w:val="24"/>
          <w:szCs w:val="24"/>
        </w:rPr>
        <w:t>considerați relevanți: n</w:t>
      </w:r>
      <w:r w:rsidRPr="00176312">
        <w:rPr>
          <w:rFonts w:ascii="Times New Roman" w:hAnsi="Times New Roman" w:cs="Times New Roman"/>
          <w:sz w:val="24"/>
          <w:szCs w:val="24"/>
        </w:rPr>
        <w:t>ivelul studii</w:t>
      </w:r>
      <w:r>
        <w:rPr>
          <w:rFonts w:ascii="Times New Roman" w:hAnsi="Times New Roman" w:cs="Times New Roman"/>
          <w:sz w:val="24"/>
          <w:szCs w:val="24"/>
        </w:rPr>
        <w:t>lor</w:t>
      </w:r>
      <w:r w:rsidRPr="00176312">
        <w:rPr>
          <w:rFonts w:ascii="Times New Roman" w:hAnsi="Times New Roman" w:cs="Times New Roman"/>
          <w:sz w:val="24"/>
          <w:szCs w:val="24"/>
        </w:rPr>
        <w:t xml:space="preserve"> terțiare</w:t>
      </w:r>
      <w:r>
        <w:rPr>
          <w:rFonts w:ascii="Times New Roman" w:hAnsi="Times New Roman" w:cs="Times New Roman"/>
          <w:sz w:val="24"/>
          <w:szCs w:val="24"/>
        </w:rPr>
        <w:t>, p</w:t>
      </w:r>
      <w:r w:rsidRPr="00176312">
        <w:rPr>
          <w:rFonts w:ascii="Times New Roman" w:hAnsi="Times New Roman" w:cs="Times New Roman"/>
          <w:sz w:val="24"/>
          <w:szCs w:val="24"/>
        </w:rPr>
        <w:t>onderea investițiilor din PIB în învățământ</w:t>
      </w:r>
      <w:r>
        <w:rPr>
          <w:rFonts w:ascii="Times New Roman" w:hAnsi="Times New Roman" w:cs="Times New Roman"/>
          <w:sz w:val="24"/>
          <w:szCs w:val="24"/>
        </w:rPr>
        <w:t>, c</w:t>
      </w:r>
      <w:r w:rsidRPr="00176312">
        <w:rPr>
          <w:rFonts w:ascii="Times New Roman" w:hAnsi="Times New Roman" w:cs="Times New Roman"/>
          <w:sz w:val="24"/>
          <w:szCs w:val="24"/>
        </w:rPr>
        <w:t>heltuielile publice pentru educație (nivel terțiar)</w:t>
      </w:r>
      <w:r>
        <w:rPr>
          <w:rFonts w:ascii="Times New Roman" w:hAnsi="Times New Roman" w:cs="Times New Roman"/>
          <w:sz w:val="24"/>
          <w:szCs w:val="24"/>
        </w:rPr>
        <w:t xml:space="preserve">. Pentru realizarea obiectivului propus, am utilizat </w:t>
      </w:r>
      <w:r w:rsidRPr="00176312">
        <w:rPr>
          <w:rFonts w:ascii="Times New Roman" w:hAnsi="Times New Roman" w:cs="Times New Roman"/>
          <w:sz w:val="24"/>
          <w:szCs w:val="24"/>
        </w:rPr>
        <w:t>modelul de regresie liniară multiplă de tipul:</w:t>
      </w:r>
    </w:p>
    <w:p w14:paraId="7F9AE144" w14:textId="591D19AE" w:rsidR="00EF40E9" w:rsidRDefault="00EF40E9" w:rsidP="00F549F7">
      <w:pPr>
        <w:tabs>
          <w:tab w:val="left" w:pos="567"/>
        </w:tabs>
        <w:spacing w:line="240" w:lineRule="auto"/>
        <w:ind w:left="360"/>
        <w:rPr>
          <w:rFonts w:eastAsiaTheme="minorEastAsia" w:cs="Times New Roman"/>
          <w:szCs w:val="24"/>
        </w:rPr>
      </w:pPr>
      <m:oMathPara>
        <m:oMath>
          <m:r>
            <w:rPr>
              <w:rFonts w:ascii="Cambria Math" w:eastAsia="Times New Roman" w:hAnsi="Cambria Math" w:cs="Times New Roman"/>
              <w:szCs w:val="24"/>
            </w:rPr>
            <m:t>ERG</m:t>
          </m:r>
          <m:r>
            <w:rPr>
              <w:rFonts w:ascii="Cambria Math" w:eastAsia="Times New Roman" w:hAnsi="Cambria Math" w:cs="Times New Roman"/>
              <w:szCs w:val="24"/>
            </w:rPr>
            <m:t>=α+ β1*</m:t>
          </m:r>
          <m:r>
            <w:rPr>
              <w:rFonts w:ascii="Cambria Math" w:eastAsia="Times New Roman" w:hAnsi="Cambria Math" w:cs="Times New Roman"/>
              <w:szCs w:val="24"/>
            </w:rPr>
            <m:t>TEA</m:t>
          </m:r>
          <m:r>
            <w:rPr>
              <w:rFonts w:ascii="Cambria Math" w:eastAsia="Times New Roman" w:hAnsi="Cambria Math" w:cs="Times New Roman"/>
              <w:szCs w:val="24"/>
            </w:rPr>
            <m:t>+ β2*</m:t>
          </m:r>
          <m:r>
            <w:rPr>
              <w:rFonts w:ascii="Cambria Math" w:eastAsia="Times New Roman" w:hAnsi="Cambria Math" w:cs="Times New Roman"/>
              <w:szCs w:val="24"/>
            </w:rPr>
            <m:t>IGDP</m:t>
          </m:r>
          <m:r>
            <w:rPr>
              <w:rFonts w:ascii="Cambria Math" w:eastAsia="Times New Roman" w:hAnsi="Cambria Math" w:cs="Times New Roman"/>
              <w:szCs w:val="24"/>
            </w:rPr>
            <m:t>+ β3*</m:t>
          </m:r>
          <m:r>
            <w:rPr>
              <w:rFonts w:ascii="Cambria Math" w:eastAsia="Times New Roman" w:hAnsi="Cambria Math" w:cs="Times New Roman"/>
              <w:szCs w:val="24"/>
            </w:rPr>
            <m:t>PEE</m:t>
          </m:r>
          <m:r>
            <w:rPr>
              <w:rFonts w:ascii="Cambria Math" w:eastAsia="Times New Roman" w:hAnsi="Cambria Math" w:cs="Times New Roman"/>
              <w:szCs w:val="24"/>
            </w:rPr>
            <m:t>+ ε</m:t>
          </m:r>
        </m:oMath>
      </m:oMathPara>
    </w:p>
    <w:p w14:paraId="7BA06D6D" w14:textId="77777777" w:rsidR="00EF40E9" w:rsidRPr="00176312" w:rsidRDefault="00EF40E9" w:rsidP="00F549F7">
      <w:pPr>
        <w:autoSpaceDE w:val="0"/>
        <w:autoSpaceDN w:val="0"/>
        <w:adjustRightInd w:val="0"/>
        <w:spacing w:after="0" w:line="240" w:lineRule="auto"/>
        <w:rPr>
          <w:rFonts w:ascii="Times New Roman" w:hAnsi="Times New Roman" w:cs="Times New Roman"/>
          <w:sz w:val="24"/>
          <w:szCs w:val="24"/>
        </w:rPr>
      </w:pPr>
      <w:r w:rsidRPr="00176312">
        <w:rPr>
          <w:rFonts w:ascii="Times New Roman" w:hAnsi="Times New Roman" w:cs="Times New Roman"/>
          <w:sz w:val="24"/>
          <w:szCs w:val="24"/>
        </w:rPr>
        <w:t>unde:</w:t>
      </w:r>
    </w:p>
    <w:p w14:paraId="5492ED86" w14:textId="3C0B85FB" w:rsidR="00EF40E9" w:rsidRPr="00176312" w:rsidRDefault="00EF40E9" w:rsidP="00F549F7">
      <w:pPr>
        <w:autoSpaceDE w:val="0"/>
        <w:autoSpaceDN w:val="0"/>
        <w:adjustRightInd w:val="0"/>
        <w:spacing w:after="0" w:line="240" w:lineRule="auto"/>
        <w:rPr>
          <w:rFonts w:ascii="Times New Roman" w:hAnsi="Times New Roman" w:cs="Times New Roman"/>
          <w:sz w:val="24"/>
          <w:szCs w:val="24"/>
        </w:rPr>
      </w:pPr>
      <w:r w:rsidRPr="00176312">
        <w:rPr>
          <w:rFonts w:ascii="Times New Roman" w:hAnsi="Times New Roman" w:cs="Times New Roman"/>
          <w:sz w:val="24"/>
          <w:szCs w:val="24"/>
        </w:rPr>
        <w:t xml:space="preserve">o </w:t>
      </w:r>
      <w:r>
        <w:rPr>
          <w:rFonts w:ascii="Times New Roman" w:hAnsi="Times New Roman" w:cs="Times New Roman"/>
          <w:sz w:val="24"/>
          <w:szCs w:val="24"/>
        </w:rPr>
        <w:t xml:space="preserve">ERG </w:t>
      </w:r>
      <w:r w:rsidRPr="00176312">
        <w:rPr>
          <w:rFonts w:ascii="Times New Roman" w:hAnsi="Times New Roman" w:cs="Times New Roman"/>
          <w:sz w:val="24"/>
          <w:szCs w:val="24"/>
        </w:rPr>
        <w:t xml:space="preserve">– </w:t>
      </w:r>
      <w:r>
        <w:rPr>
          <w:rFonts w:ascii="Times New Roman" w:hAnsi="Times New Roman" w:cs="Times New Roman"/>
          <w:sz w:val="24"/>
          <w:szCs w:val="24"/>
        </w:rPr>
        <w:t>reprezintă</w:t>
      </w:r>
      <w:r w:rsidRPr="00176312">
        <w:rPr>
          <w:rFonts w:ascii="Times New Roman" w:hAnsi="Times New Roman" w:cs="Times New Roman"/>
          <w:sz w:val="24"/>
          <w:szCs w:val="24"/>
        </w:rPr>
        <w:t xml:space="preserve"> variabila dependentă a modelului,</w:t>
      </w:r>
    </w:p>
    <w:p w14:paraId="23AF227F" w14:textId="7B1B727B" w:rsidR="00EF40E9" w:rsidRPr="00176312" w:rsidRDefault="00EF40E9" w:rsidP="00F549F7">
      <w:pPr>
        <w:autoSpaceDE w:val="0"/>
        <w:autoSpaceDN w:val="0"/>
        <w:adjustRightInd w:val="0"/>
        <w:spacing w:after="0" w:line="240" w:lineRule="auto"/>
        <w:rPr>
          <w:rFonts w:ascii="Times New Roman" w:hAnsi="Times New Roman" w:cs="Times New Roman"/>
          <w:sz w:val="24"/>
          <w:szCs w:val="24"/>
        </w:rPr>
      </w:pPr>
      <w:r w:rsidRPr="00176312">
        <w:rPr>
          <w:rFonts w:ascii="Times New Roman" w:hAnsi="Times New Roman" w:cs="Times New Roman"/>
          <w:sz w:val="24"/>
          <w:szCs w:val="24"/>
        </w:rPr>
        <w:t xml:space="preserve">o </w:t>
      </w:r>
      <w:r>
        <w:rPr>
          <w:rFonts w:ascii="Times New Roman" w:hAnsi="Times New Roman" w:cs="Times New Roman"/>
          <w:sz w:val="24"/>
          <w:szCs w:val="24"/>
        </w:rPr>
        <w:t>TEA, IGDP, PEE</w:t>
      </w:r>
      <w:r w:rsidRPr="00176312">
        <w:rPr>
          <w:rFonts w:ascii="Times New Roman" w:hAnsi="Times New Roman" w:cs="Times New Roman"/>
          <w:sz w:val="24"/>
          <w:szCs w:val="24"/>
        </w:rPr>
        <w:t xml:space="preserve"> – sunt variabilele independente,</w:t>
      </w:r>
    </w:p>
    <w:p w14:paraId="10CB1C6F" w14:textId="77777777" w:rsidR="00EF40E9" w:rsidRPr="00176312" w:rsidRDefault="00EF40E9" w:rsidP="00F549F7">
      <w:pPr>
        <w:autoSpaceDE w:val="0"/>
        <w:autoSpaceDN w:val="0"/>
        <w:adjustRightInd w:val="0"/>
        <w:spacing w:after="0" w:line="240" w:lineRule="auto"/>
        <w:rPr>
          <w:rFonts w:ascii="Times New Roman" w:hAnsi="Times New Roman" w:cs="Times New Roman"/>
          <w:sz w:val="24"/>
          <w:szCs w:val="24"/>
        </w:rPr>
      </w:pPr>
      <w:r w:rsidRPr="00176312">
        <w:rPr>
          <w:rFonts w:ascii="Times New Roman" w:hAnsi="Times New Roman" w:cs="Times New Roman"/>
          <w:sz w:val="24"/>
          <w:szCs w:val="24"/>
        </w:rPr>
        <w:t>o α, β1, β2 și β3 sunt parametrii modelului de regresie,</w:t>
      </w:r>
    </w:p>
    <w:p w14:paraId="5B0E8DF0" w14:textId="77777777" w:rsidR="00EF40E9" w:rsidRDefault="00EF40E9" w:rsidP="00F549F7">
      <w:pPr>
        <w:autoSpaceDE w:val="0"/>
        <w:autoSpaceDN w:val="0"/>
        <w:adjustRightInd w:val="0"/>
        <w:spacing w:after="0" w:line="240" w:lineRule="auto"/>
        <w:rPr>
          <w:rFonts w:ascii="Times New Roman" w:hAnsi="Times New Roman" w:cs="Times New Roman"/>
          <w:sz w:val="24"/>
          <w:szCs w:val="24"/>
        </w:rPr>
      </w:pPr>
      <w:r w:rsidRPr="00176312">
        <w:rPr>
          <w:rFonts w:ascii="Times New Roman" w:hAnsi="Times New Roman" w:cs="Times New Roman"/>
          <w:sz w:val="24"/>
          <w:szCs w:val="24"/>
        </w:rPr>
        <w:t>o este variabila aleatoare eroare.</w:t>
      </w:r>
    </w:p>
    <w:p w14:paraId="4F2551F6" w14:textId="2F5C2A00" w:rsidR="00EF40E9" w:rsidRDefault="00EF40E9" w:rsidP="00F549F7">
      <w:pPr>
        <w:autoSpaceDE w:val="0"/>
        <w:autoSpaceDN w:val="0"/>
        <w:adjustRightInd w:val="0"/>
        <w:spacing w:after="0" w:line="240" w:lineRule="auto"/>
        <w:ind w:firstLine="720"/>
        <w:jc w:val="both"/>
        <w:rPr>
          <w:rFonts w:ascii="Times New Roman" w:hAnsi="Times New Roman" w:cs="Times New Roman"/>
          <w:sz w:val="24"/>
          <w:szCs w:val="24"/>
        </w:rPr>
      </w:pPr>
      <w:r w:rsidRPr="00176312">
        <w:rPr>
          <w:rFonts w:ascii="Times New Roman" w:hAnsi="Times New Roman" w:cs="Times New Roman"/>
          <w:sz w:val="24"/>
          <w:szCs w:val="24"/>
        </w:rPr>
        <w:t xml:space="preserve">În această fază a cercetării ne propunem să demonstrăm că modelele determinate </w:t>
      </w:r>
      <w:r>
        <w:rPr>
          <w:rFonts w:ascii="Times New Roman" w:hAnsi="Times New Roman" w:cs="Times New Roman"/>
          <w:sz w:val="24"/>
          <w:szCs w:val="24"/>
        </w:rPr>
        <w:t xml:space="preserve">evidențiază </w:t>
      </w:r>
      <w:r w:rsidRPr="00176312">
        <w:rPr>
          <w:rFonts w:ascii="Times New Roman" w:hAnsi="Times New Roman" w:cs="Times New Roman"/>
          <w:sz w:val="24"/>
          <w:szCs w:val="24"/>
        </w:rPr>
        <w:t>problema economică analizată</w:t>
      </w:r>
      <w:r>
        <w:rPr>
          <w:rFonts w:ascii="Times New Roman" w:hAnsi="Times New Roman" w:cs="Times New Roman"/>
          <w:sz w:val="24"/>
          <w:szCs w:val="24"/>
        </w:rPr>
        <w:t xml:space="preserve">, iar analiza scoate în evidență </w:t>
      </w:r>
      <w:r w:rsidRPr="00176312">
        <w:rPr>
          <w:rFonts w:ascii="Times New Roman" w:hAnsi="Times New Roman" w:cs="Times New Roman"/>
          <w:sz w:val="24"/>
          <w:szCs w:val="24"/>
        </w:rPr>
        <w:t>grad</w:t>
      </w:r>
      <w:r>
        <w:rPr>
          <w:rFonts w:ascii="Times New Roman" w:hAnsi="Times New Roman" w:cs="Times New Roman"/>
          <w:sz w:val="24"/>
          <w:szCs w:val="24"/>
        </w:rPr>
        <w:t>ul</w:t>
      </w:r>
      <w:r w:rsidRPr="00176312">
        <w:rPr>
          <w:rFonts w:ascii="Times New Roman" w:hAnsi="Times New Roman" w:cs="Times New Roman"/>
          <w:sz w:val="24"/>
          <w:szCs w:val="24"/>
        </w:rPr>
        <w:t xml:space="preserve"> de încredere</w:t>
      </w:r>
      <w:r>
        <w:rPr>
          <w:rFonts w:ascii="Times New Roman" w:hAnsi="Times New Roman" w:cs="Times New Roman"/>
          <w:sz w:val="24"/>
          <w:szCs w:val="24"/>
        </w:rPr>
        <w:t xml:space="preserve">. Scopul este de a determina sensibilitatea variabilei dependente la modificarea variabilelor independente. Tabelul nr. </w:t>
      </w:r>
      <w:r w:rsidR="002E6846">
        <w:rPr>
          <w:rFonts w:ascii="Times New Roman" w:hAnsi="Times New Roman" w:cs="Times New Roman"/>
          <w:sz w:val="24"/>
          <w:szCs w:val="24"/>
        </w:rPr>
        <w:t>4</w:t>
      </w:r>
      <w:r>
        <w:rPr>
          <w:rFonts w:ascii="Times New Roman" w:hAnsi="Times New Roman" w:cs="Times New Roman"/>
          <w:sz w:val="24"/>
          <w:szCs w:val="24"/>
        </w:rPr>
        <w:t xml:space="preserve"> reușește să scoată în evidență acest lucru.</w:t>
      </w:r>
    </w:p>
    <w:p w14:paraId="7C5C82F3" w14:textId="77777777" w:rsidR="00EF40E9" w:rsidRDefault="00EF40E9" w:rsidP="00F549F7">
      <w:pPr>
        <w:autoSpaceDE w:val="0"/>
        <w:autoSpaceDN w:val="0"/>
        <w:adjustRightInd w:val="0"/>
        <w:spacing w:after="0" w:line="240" w:lineRule="auto"/>
        <w:rPr>
          <w:rFonts w:ascii="Times New Roman" w:hAnsi="Times New Roman" w:cs="Times New Roman"/>
          <w:sz w:val="24"/>
          <w:szCs w:val="24"/>
        </w:rPr>
      </w:pPr>
    </w:p>
    <w:p w14:paraId="0194596E" w14:textId="1070FA5B" w:rsidR="00EF40E9" w:rsidRPr="0094620C" w:rsidRDefault="00EF40E9" w:rsidP="00F549F7">
      <w:pPr>
        <w:autoSpaceDE w:val="0"/>
        <w:autoSpaceDN w:val="0"/>
        <w:adjustRightInd w:val="0"/>
        <w:spacing w:after="0" w:line="240" w:lineRule="auto"/>
        <w:rPr>
          <w:rFonts w:ascii="Times New Roman" w:hAnsi="Times New Roman" w:cs="Times New Roman"/>
          <w:sz w:val="20"/>
          <w:szCs w:val="20"/>
        </w:rPr>
      </w:pPr>
      <w:r w:rsidRPr="002E6846">
        <w:rPr>
          <w:rFonts w:ascii="Times New Roman" w:hAnsi="Times New Roman" w:cs="Times New Roman"/>
          <w:sz w:val="20"/>
          <w:szCs w:val="20"/>
        </w:rPr>
        <w:lastRenderedPageBreak/>
        <w:t xml:space="preserve">Tabelul nr. </w:t>
      </w:r>
      <w:r w:rsidR="002E6846" w:rsidRPr="002E6846">
        <w:rPr>
          <w:rFonts w:ascii="Times New Roman" w:hAnsi="Times New Roman" w:cs="Times New Roman"/>
          <w:sz w:val="20"/>
          <w:szCs w:val="20"/>
        </w:rPr>
        <w:t>4 – Model Summary</w:t>
      </w:r>
    </w:p>
    <w:tbl>
      <w:tblPr>
        <w:tblW w:w="8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1"/>
        <w:gridCol w:w="1253"/>
        <w:gridCol w:w="1330"/>
        <w:gridCol w:w="1798"/>
        <w:gridCol w:w="1798"/>
        <w:gridCol w:w="1808"/>
      </w:tblGrid>
      <w:tr w:rsidR="00EF40E9" w:rsidRPr="0094620C" w14:paraId="7630B3B7" w14:textId="77777777" w:rsidTr="00FB40B5">
        <w:tblPrEx>
          <w:tblCellMar>
            <w:top w:w="0" w:type="dxa"/>
            <w:bottom w:w="0" w:type="dxa"/>
          </w:tblCellMar>
        </w:tblPrEx>
        <w:trPr>
          <w:cantSplit/>
          <w:trHeight w:val="298"/>
        </w:trPr>
        <w:tc>
          <w:tcPr>
            <w:tcW w:w="8958" w:type="dxa"/>
            <w:gridSpan w:val="6"/>
            <w:tcBorders>
              <w:top w:val="nil"/>
              <w:left w:val="nil"/>
              <w:bottom w:val="nil"/>
              <w:right w:val="nil"/>
            </w:tcBorders>
            <w:shd w:val="clear" w:color="auto" w:fill="FFFFFF"/>
            <w:vAlign w:val="center"/>
          </w:tcPr>
          <w:p w14:paraId="333793DF" w14:textId="77777777" w:rsidR="00EF40E9" w:rsidRPr="0094620C" w:rsidRDefault="00EF40E9" w:rsidP="00F549F7">
            <w:pPr>
              <w:autoSpaceDE w:val="0"/>
              <w:autoSpaceDN w:val="0"/>
              <w:adjustRightInd w:val="0"/>
              <w:spacing w:after="0" w:line="240" w:lineRule="auto"/>
              <w:ind w:left="60" w:right="60"/>
              <w:jc w:val="center"/>
              <w:rPr>
                <w:rFonts w:ascii="Arial" w:hAnsi="Arial" w:cs="Arial"/>
                <w:color w:val="010205"/>
              </w:rPr>
            </w:pPr>
            <w:r w:rsidRPr="0094620C">
              <w:rPr>
                <w:rFonts w:ascii="Arial" w:hAnsi="Arial" w:cs="Arial"/>
                <w:b/>
                <w:bCs/>
                <w:color w:val="010205"/>
              </w:rPr>
              <w:t>Model Summary</w:t>
            </w:r>
            <w:r w:rsidRPr="0094620C">
              <w:rPr>
                <w:rFonts w:ascii="Arial" w:hAnsi="Arial" w:cs="Arial"/>
                <w:b/>
                <w:bCs/>
                <w:color w:val="010205"/>
                <w:vertAlign w:val="superscript"/>
              </w:rPr>
              <w:t>b</w:t>
            </w:r>
          </w:p>
        </w:tc>
      </w:tr>
      <w:tr w:rsidR="00EF40E9" w:rsidRPr="0094620C" w14:paraId="6CA8516E" w14:textId="77777777" w:rsidTr="00A2210C">
        <w:tblPrEx>
          <w:tblCellMar>
            <w:top w:w="0" w:type="dxa"/>
            <w:bottom w:w="0" w:type="dxa"/>
          </w:tblCellMar>
        </w:tblPrEx>
        <w:trPr>
          <w:cantSplit/>
          <w:trHeight w:val="586"/>
        </w:trPr>
        <w:tc>
          <w:tcPr>
            <w:tcW w:w="971" w:type="dxa"/>
            <w:tcBorders>
              <w:top w:val="nil"/>
              <w:left w:val="nil"/>
              <w:bottom w:val="single" w:sz="8" w:space="0" w:color="152935"/>
              <w:right w:val="nil"/>
            </w:tcBorders>
            <w:shd w:val="clear" w:color="auto" w:fill="FFFFFF"/>
            <w:vAlign w:val="bottom"/>
          </w:tcPr>
          <w:p w14:paraId="456B79CA" w14:textId="77777777" w:rsidR="00EF40E9" w:rsidRPr="0094620C" w:rsidRDefault="00EF40E9" w:rsidP="00F549F7">
            <w:pPr>
              <w:autoSpaceDE w:val="0"/>
              <w:autoSpaceDN w:val="0"/>
              <w:adjustRightInd w:val="0"/>
              <w:spacing w:after="0" w:line="240" w:lineRule="auto"/>
              <w:ind w:left="60" w:right="60"/>
              <w:rPr>
                <w:rFonts w:ascii="Arial" w:hAnsi="Arial" w:cs="Arial"/>
                <w:color w:val="264A60"/>
                <w:sz w:val="18"/>
                <w:szCs w:val="18"/>
              </w:rPr>
            </w:pPr>
            <w:r w:rsidRPr="0094620C">
              <w:rPr>
                <w:rFonts w:ascii="Arial" w:hAnsi="Arial" w:cs="Arial"/>
                <w:color w:val="264A60"/>
                <w:sz w:val="18"/>
                <w:szCs w:val="18"/>
              </w:rPr>
              <w:t>Model</w:t>
            </w:r>
          </w:p>
        </w:tc>
        <w:tc>
          <w:tcPr>
            <w:tcW w:w="1253" w:type="dxa"/>
            <w:tcBorders>
              <w:top w:val="nil"/>
              <w:left w:val="nil"/>
              <w:bottom w:val="single" w:sz="8" w:space="0" w:color="152935"/>
              <w:right w:val="single" w:sz="8" w:space="0" w:color="E0E0E0"/>
            </w:tcBorders>
            <w:shd w:val="clear" w:color="auto" w:fill="FFFFFF"/>
            <w:vAlign w:val="bottom"/>
          </w:tcPr>
          <w:p w14:paraId="472C17D1" w14:textId="77777777" w:rsidR="00EF40E9" w:rsidRPr="0094620C"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94620C">
              <w:rPr>
                <w:rFonts w:ascii="Arial" w:hAnsi="Arial" w:cs="Arial"/>
                <w:color w:val="264A60"/>
                <w:sz w:val="18"/>
                <w:szCs w:val="18"/>
              </w:rPr>
              <w:t>R</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019A9A2D" w14:textId="77777777" w:rsidR="00EF40E9" w:rsidRPr="0094620C"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94620C">
              <w:rPr>
                <w:rFonts w:ascii="Arial" w:hAnsi="Arial" w:cs="Arial"/>
                <w:color w:val="264A60"/>
                <w:sz w:val="18"/>
                <w:szCs w:val="18"/>
              </w:rPr>
              <w:t>R Square</w:t>
            </w:r>
          </w:p>
        </w:tc>
        <w:tc>
          <w:tcPr>
            <w:tcW w:w="1798" w:type="dxa"/>
            <w:tcBorders>
              <w:top w:val="nil"/>
              <w:left w:val="single" w:sz="8" w:space="0" w:color="E0E0E0"/>
              <w:bottom w:val="single" w:sz="8" w:space="0" w:color="152935"/>
              <w:right w:val="single" w:sz="8" w:space="0" w:color="E0E0E0"/>
            </w:tcBorders>
            <w:shd w:val="clear" w:color="auto" w:fill="FFFFFF"/>
            <w:vAlign w:val="bottom"/>
          </w:tcPr>
          <w:p w14:paraId="23195D62" w14:textId="77777777" w:rsidR="00EF40E9" w:rsidRPr="0094620C"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94620C">
              <w:rPr>
                <w:rFonts w:ascii="Arial" w:hAnsi="Arial" w:cs="Arial"/>
                <w:color w:val="264A60"/>
                <w:sz w:val="18"/>
                <w:szCs w:val="18"/>
              </w:rPr>
              <w:t>Adjusted R Square</w:t>
            </w:r>
          </w:p>
        </w:tc>
        <w:tc>
          <w:tcPr>
            <w:tcW w:w="1798" w:type="dxa"/>
            <w:tcBorders>
              <w:top w:val="nil"/>
              <w:left w:val="single" w:sz="8" w:space="0" w:color="E0E0E0"/>
              <w:bottom w:val="single" w:sz="8" w:space="0" w:color="152935"/>
              <w:right w:val="single" w:sz="8" w:space="0" w:color="E0E0E0"/>
            </w:tcBorders>
            <w:shd w:val="clear" w:color="auto" w:fill="FFFFFF"/>
            <w:vAlign w:val="bottom"/>
          </w:tcPr>
          <w:p w14:paraId="1F203273" w14:textId="77777777" w:rsidR="00EF40E9" w:rsidRPr="0094620C"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94620C">
              <w:rPr>
                <w:rFonts w:ascii="Arial" w:hAnsi="Arial" w:cs="Arial"/>
                <w:color w:val="264A60"/>
                <w:sz w:val="18"/>
                <w:szCs w:val="18"/>
              </w:rPr>
              <w:t>Std. Error of the Estimate</w:t>
            </w:r>
          </w:p>
        </w:tc>
        <w:tc>
          <w:tcPr>
            <w:tcW w:w="1808" w:type="dxa"/>
            <w:tcBorders>
              <w:top w:val="nil"/>
              <w:left w:val="single" w:sz="8" w:space="0" w:color="E0E0E0"/>
              <w:bottom w:val="single" w:sz="8" w:space="0" w:color="152935"/>
              <w:right w:val="nil"/>
            </w:tcBorders>
            <w:shd w:val="clear" w:color="auto" w:fill="FFFFFF"/>
            <w:vAlign w:val="bottom"/>
          </w:tcPr>
          <w:p w14:paraId="313C2D73" w14:textId="77777777" w:rsidR="00EF40E9" w:rsidRPr="0094620C"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94620C">
              <w:rPr>
                <w:rFonts w:ascii="Arial" w:hAnsi="Arial" w:cs="Arial"/>
                <w:color w:val="264A60"/>
                <w:sz w:val="18"/>
                <w:szCs w:val="18"/>
              </w:rPr>
              <w:t>Durbin-Watson</w:t>
            </w:r>
          </w:p>
        </w:tc>
      </w:tr>
      <w:tr w:rsidR="00EF40E9" w:rsidRPr="0094620C" w14:paraId="5323CD2D" w14:textId="77777777" w:rsidTr="00A2210C">
        <w:tblPrEx>
          <w:tblCellMar>
            <w:top w:w="0" w:type="dxa"/>
            <w:bottom w:w="0" w:type="dxa"/>
          </w:tblCellMar>
        </w:tblPrEx>
        <w:trPr>
          <w:cantSplit/>
          <w:trHeight w:val="239"/>
        </w:trPr>
        <w:tc>
          <w:tcPr>
            <w:tcW w:w="971" w:type="dxa"/>
            <w:tcBorders>
              <w:top w:val="single" w:sz="8" w:space="0" w:color="152935"/>
              <w:left w:val="nil"/>
              <w:bottom w:val="single" w:sz="8" w:space="0" w:color="152935"/>
              <w:right w:val="nil"/>
            </w:tcBorders>
            <w:shd w:val="clear" w:color="auto" w:fill="E0E0E0"/>
          </w:tcPr>
          <w:p w14:paraId="1048D772" w14:textId="77777777" w:rsidR="00EF40E9" w:rsidRPr="0094620C" w:rsidRDefault="00EF40E9" w:rsidP="00F549F7">
            <w:pPr>
              <w:autoSpaceDE w:val="0"/>
              <w:autoSpaceDN w:val="0"/>
              <w:adjustRightInd w:val="0"/>
              <w:spacing w:after="0" w:line="240" w:lineRule="auto"/>
              <w:ind w:left="60" w:right="60"/>
              <w:rPr>
                <w:rFonts w:ascii="Arial" w:hAnsi="Arial" w:cs="Arial"/>
                <w:color w:val="264A60"/>
                <w:sz w:val="18"/>
                <w:szCs w:val="18"/>
              </w:rPr>
            </w:pPr>
            <w:r w:rsidRPr="0094620C">
              <w:rPr>
                <w:rFonts w:ascii="Arial" w:hAnsi="Arial" w:cs="Arial"/>
                <w:color w:val="264A60"/>
                <w:sz w:val="18"/>
                <w:szCs w:val="18"/>
              </w:rPr>
              <w:t>1</w:t>
            </w:r>
          </w:p>
        </w:tc>
        <w:tc>
          <w:tcPr>
            <w:tcW w:w="1253" w:type="dxa"/>
            <w:tcBorders>
              <w:top w:val="single" w:sz="8" w:space="0" w:color="152935"/>
              <w:left w:val="nil"/>
              <w:bottom w:val="single" w:sz="8" w:space="0" w:color="152935"/>
              <w:right w:val="single" w:sz="8" w:space="0" w:color="E0E0E0"/>
            </w:tcBorders>
            <w:shd w:val="clear" w:color="auto" w:fill="FFFFFF"/>
          </w:tcPr>
          <w:p w14:paraId="557DF0A0" w14:textId="6D14C121" w:rsidR="00EF40E9" w:rsidRPr="0094620C"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94620C">
              <w:rPr>
                <w:rFonts w:ascii="Arial" w:hAnsi="Arial" w:cs="Arial"/>
                <w:color w:val="010205"/>
                <w:sz w:val="18"/>
                <w:szCs w:val="18"/>
              </w:rPr>
              <w:t>,</w:t>
            </w:r>
            <w:r>
              <w:rPr>
                <w:rFonts w:ascii="Arial" w:hAnsi="Arial" w:cs="Arial"/>
                <w:color w:val="010205"/>
                <w:sz w:val="18"/>
                <w:szCs w:val="18"/>
              </w:rPr>
              <w:t>994</w:t>
            </w:r>
            <w:r w:rsidRPr="0094620C">
              <w:rPr>
                <w:rFonts w:ascii="Arial" w:hAnsi="Arial" w:cs="Arial"/>
                <w:color w:val="010205"/>
                <w:sz w:val="18"/>
                <w:szCs w:val="18"/>
                <w:vertAlign w:val="superscript"/>
              </w:rPr>
              <w:t>a</w:t>
            </w:r>
          </w:p>
        </w:tc>
        <w:tc>
          <w:tcPr>
            <w:tcW w:w="1330" w:type="dxa"/>
            <w:tcBorders>
              <w:top w:val="single" w:sz="8" w:space="0" w:color="152935"/>
              <w:left w:val="single" w:sz="8" w:space="0" w:color="E0E0E0"/>
              <w:bottom w:val="single" w:sz="8" w:space="0" w:color="152935"/>
              <w:right w:val="single" w:sz="8" w:space="0" w:color="E0E0E0"/>
            </w:tcBorders>
            <w:shd w:val="clear" w:color="auto" w:fill="FFFFFF"/>
          </w:tcPr>
          <w:p w14:paraId="5B851D83" w14:textId="1189F9C3" w:rsidR="00EF40E9" w:rsidRPr="0094620C"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94620C">
              <w:rPr>
                <w:rFonts w:ascii="Arial" w:hAnsi="Arial" w:cs="Arial"/>
                <w:color w:val="010205"/>
                <w:sz w:val="18"/>
                <w:szCs w:val="18"/>
              </w:rPr>
              <w:t>,</w:t>
            </w:r>
            <w:r>
              <w:rPr>
                <w:rFonts w:ascii="Arial" w:hAnsi="Arial" w:cs="Arial"/>
                <w:color w:val="010205"/>
                <w:sz w:val="18"/>
                <w:szCs w:val="18"/>
              </w:rPr>
              <w:t>992</w:t>
            </w:r>
          </w:p>
        </w:tc>
        <w:tc>
          <w:tcPr>
            <w:tcW w:w="1798" w:type="dxa"/>
            <w:tcBorders>
              <w:top w:val="single" w:sz="8" w:space="0" w:color="152935"/>
              <w:left w:val="single" w:sz="8" w:space="0" w:color="E0E0E0"/>
              <w:bottom w:val="single" w:sz="8" w:space="0" w:color="152935"/>
              <w:right w:val="single" w:sz="8" w:space="0" w:color="E0E0E0"/>
            </w:tcBorders>
            <w:shd w:val="clear" w:color="auto" w:fill="FFFFFF"/>
          </w:tcPr>
          <w:p w14:paraId="1CCA204E" w14:textId="19FB63D1" w:rsidR="00EF40E9" w:rsidRPr="0094620C"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94620C">
              <w:rPr>
                <w:rFonts w:ascii="Arial" w:hAnsi="Arial" w:cs="Arial"/>
                <w:color w:val="010205"/>
                <w:sz w:val="18"/>
                <w:szCs w:val="18"/>
              </w:rPr>
              <w:t>,98</w:t>
            </w:r>
            <w:r>
              <w:rPr>
                <w:rFonts w:ascii="Arial" w:hAnsi="Arial" w:cs="Arial"/>
                <w:color w:val="010205"/>
                <w:sz w:val="18"/>
                <w:szCs w:val="18"/>
              </w:rPr>
              <w:t>3</w:t>
            </w:r>
          </w:p>
        </w:tc>
        <w:tc>
          <w:tcPr>
            <w:tcW w:w="1798" w:type="dxa"/>
            <w:tcBorders>
              <w:top w:val="single" w:sz="8" w:space="0" w:color="152935"/>
              <w:left w:val="single" w:sz="8" w:space="0" w:color="E0E0E0"/>
              <w:bottom w:val="single" w:sz="8" w:space="0" w:color="152935"/>
              <w:right w:val="single" w:sz="8" w:space="0" w:color="E0E0E0"/>
            </w:tcBorders>
            <w:shd w:val="clear" w:color="auto" w:fill="FFFFFF"/>
          </w:tcPr>
          <w:p w14:paraId="11461187" w14:textId="77777777" w:rsidR="00EF40E9" w:rsidRPr="0094620C"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94620C">
              <w:rPr>
                <w:rFonts w:ascii="Arial" w:hAnsi="Arial" w:cs="Arial"/>
                <w:color w:val="010205"/>
                <w:sz w:val="18"/>
                <w:szCs w:val="18"/>
              </w:rPr>
              <w:t>2,5804003318277</w:t>
            </w:r>
          </w:p>
        </w:tc>
        <w:tc>
          <w:tcPr>
            <w:tcW w:w="1808" w:type="dxa"/>
            <w:tcBorders>
              <w:top w:val="single" w:sz="8" w:space="0" w:color="152935"/>
              <w:left w:val="single" w:sz="8" w:space="0" w:color="E0E0E0"/>
              <w:bottom w:val="single" w:sz="8" w:space="0" w:color="152935"/>
              <w:right w:val="nil"/>
            </w:tcBorders>
            <w:shd w:val="clear" w:color="auto" w:fill="FFFFFF"/>
          </w:tcPr>
          <w:p w14:paraId="481B1C91" w14:textId="77777777" w:rsidR="00EF40E9" w:rsidRPr="0094620C"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94620C">
              <w:rPr>
                <w:rFonts w:ascii="Arial" w:hAnsi="Arial" w:cs="Arial"/>
                <w:color w:val="010205"/>
                <w:sz w:val="18"/>
                <w:szCs w:val="18"/>
              </w:rPr>
              <w:t>2,322</w:t>
            </w:r>
          </w:p>
        </w:tc>
      </w:tr>
      <w:tr w:rsidR="00EF40E9" w:rsidRPr="0094620C" w14:paraId="0500100A" w14:textId="77777777" w:rsidTr="00FB40B5">
        <w:tblPrEx>
          <w:tblCellMar>
            <w:top w:w="0" w:type="dxa"/>
            <w:bottom w:w="0" w:type="dxa"/>
          </w:tblCellMar>
        </w:tblPrEx>
        <w:trPr>
          <w:cantSplit/>
          <w:trHeight w:val="287"/>
        </w:trPr>
        <w:tc>
          <w:tcPr>
            <w:tcW w:w="8958" w:type="dxa"/>
            <w:gridSpan w:val="6"/>
            <w:tcBorders>
              <w:top w:val="nil"/>
              <w:left w:val="nil"/>
              <w:bottom w:val="nil"/>
              <w:right w:val="nil"/>
            </w:tcBorders>
            <w:shd w:val="clear" w:color="auto" w:fill="FFFFFF"/>
          </w:tcPr>
          <w:p w14:paraId="1F8323C5" w14:textId="77777777" w:rsidR="00EF40E9" w:rsidRPr="0094620C" w:rsidRDefault="00EF40E9" w:rsidP="00F549F7">
            <w:pPr>
              <w:autoSpaceDE w:val="0"/>
              <w:autoSpaceDN w:val="0"/>
              <w:adjustRightInd w:val="0"/>
              <w:spacing w:after="0" w:line="240" w:lineRule="auto"/>
              <w:ind w:left="60" w:right="60"/>
              <w:rPr>
                <w:rFonts w:ascii="Arial" w:hAnsi="Arial" w:cs="Arial"/>
                <w:color w:val="010205"/>
                <w:sz w:val="18"/>
                <w:szCs w:val="18"/>
              </w:rPr>
            </w:pPr>
            <w:r w:rsidRPr="0094620C">
              <w:rPr>
                <w:rFonts w:ascii="Arial" w:hAnsi="Arial" w:cs="Arial"/>
                <w:color w:val="010205"/>
                <w:sz w:val="18"/>
                <w:szCs w:val="18"/>
              </w:rPr>
              <w:t>a. Predictors: (Constant), PEE, IGDP, TEA</w:t>
            </w:r>
          </w:p>
        </w:tc>
      </w:tr>
      <w:tr w:rsidR="00EF40E9" w:rsidRPr="0094620C" w14:paraId="75A7C3D2" w14:textId="77777777" w:rsidTr="00FB40B5">
        <w:tblPrEx>
          <w:tblCellMar>
            <w:top w:w="0" w:type="dxa"/>
            <w:bottom w:w="0" w:type="dxa"/>
          </w:tblCellMar>
        </w:tblPrEx>
        <w:trPr>
          <w:cantSplit/>
          <w:trHeight w:val="298"/>
        </w:trPr>
        <w:tc>
          <w:tcPr>
            <w:tcW w:w="8958" w:type="dxa"/>
            <w:gridSpan w:val="6"/>
            <w:tcBorders>
              <w:top w:val="nil"/>
              <w:left w:val="nil"/>
              <w:bottom w:val="nil"/>
              <w:right w:val="nil"/>
            </w:tcBorders>
            <w:shd w:val="clear" w:color="auto" w:fill="FFFFFF"/>
          </w:tcPr>
          <w:p w14:paraId="6E741071" w14:textId="77777777" w:rsidR="00EF40E9" w:rsidRPr="0094620C" w:rsidRDefault="00EF40E9" w:rsidP="00F549F7">
            <w:pPr>
              <w:autoSpaceDE w:val="0"/>
              <w:autoSpaceDN w:val="0"/>
              <w:adjustRightInd w:val="0"/>
              <w:spacing w:after="0" w:line="240" w:lineRule="auto"/>
              <w:ind w:left="60" w:right="60"/>
              <w:rPr>
                <w:rFonts w:ascii="Arial" w:hAnsi="Arial" w:cs="Arial"/>
                <w:color w:val="010205"/>
                <w:sz w:val="18"/>
                <w:szCs w:val="18"/>
              </w:rPr>
            </w:pPr>
            <w:r w:rsidRPr="0094620C">
              <w:rPr>
                <w:rFonts w:ascii="Arial" w:hAnsi="Arial" w:cs="Arial"/>
                <w:color w:val="010205"/>
                <w:sz w:val="18"/>
                <w:szCs w:val="18"/>
              </w:rPr>
              <w:t>b. Dependent Variable: ERG</w:t>
            </w:r>
          </w:p>
        </w:tc>
      </w:tr>
    </w:tbl>
    <w:p w14:paraId="40104A66" w14:textId="337F698D" w:rsidR="00EF40E9" w:rsidRPr="0094620C" w:rsidRDefault="00EF40E9" w:rsidP="00F549F7">
      <w:pPr>
        <w:autoSpaceDE w:val="0"/>
        <w:autoSpaceDN w:val="0"/>
        <w:adjustRightInd w:val="0"/>
        <w:spacing w:after="0" w:line="240" w:lineRule="auto"/>
        <w:rPr>
          <w:rFonts w:ascii="Times New Roman" w:hAnsi="Times New Roman" w:cs="Times New Roman"/>
          <w:sz w:val="20"/>
          <w:szCs w:val="20"/>
        </w:rPr>
      </w:pPr>
      <w:r w:rsidRPr="00305686">
        <w:rPr>
          <w:rFonts w:ascii="Times New Roman" w:hAnsi="Times New Roman" w:cs="Times New Roman"/>
          <w:sz w:val="20"/>
          <w:szCs w:val="20"/>
        </w:rPr>
        <w:t>Sursa: Prelucrare proprie în SPSS 26</w:t>
      </w:r>
    </w:p>
    <w:p w14:paraId="223A5221" w14:textId="64B6441C" w:rsidR="00EF40E9" w:rsidRPr="00305686" w:rsidRDefault="00EF40E9" w:rsidP="00F549F7">
      <w:pPr>
        <w:spacing w:before="24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În urma modelării econometrice, v</w:t>
      </w:r>
      <w:r w:rsidRPr="00305686">
        <w:rPr>
          <w:rFonts w:ascii="Times New Roman" w:hAnsi="Times New Roman" w:cs="Times New Roman"/>
          <w:sz w:val="24"/>
          <w:szCs w:val="24"/>
        </w:rPr>
        <w:t xml:space="preserve">aloarea raportului de corelație </w:t>
      </w:r>
      <w:r>
        <w:rPr>
          <w:rFonts w:ascii="Times New Roman" w:hAnsi="Times New Roman" w:cs="Times New Roman"/>
          <w:sz w:val="24"/>
          <w:szCs w:val="24"/>
        </w:rPr>
        <w:t xml:space="preserve">care caracterizează variabilele analizate este </w:t>
      </w:r>
      <w:r w:rsidRPr="00305686">
        <w:rPr>
          <w:rFonts w:ascii="Times New Roman" w:hAnsi="Times New Roman" w:cs="Times New Roman"/>
          <w:sz w:val="24"/>
          <w:szCs w:val="24"/>
        </w:rPr>
        <w:t>de 0.99</w:t>
      </w:r>
      <w:r>
        <w:rPr>
          <w:rFonts w:ascii="Times New Roman" w:hAnsi="Times New Roman" w:cs="Times New Roman"/>
          <w:sz w:val="24"/>
          <w:szCs w:val="24"/>
        </w:rPr>
        <w:t>4</w:t>
      </w:r>
      <w:r w:rsidRPr="00305686">
        <w:rPr>
          <w:rFonts w:ascii="Times New Roman" w:hAnsi="Times New Roman" w:cs="Times New Roman"/>
          <w:sz w:val="24"/>
          <w:szCs w:val="24"/>
        </w:rPr>
        <w:t>.</w:t>
      </w:r>
      <w:r>
        <w:rPr>
          <w:rFonts w:ascii="Times New Roman" w:hAnsi="Times New Roman" w:cs="Times New Roman"/>
          <w:sz w:val="24"/>
          <w:szCs w:val="24"/>
        </w:rPr>
        <w:t xml:space="preserve"> Astfel, pe baza rezultatelor obținute putem afirma că există o legătură foarte puternică între rata de angajare a tinerilor absolvenți și n</w:t>
      </w:r>
      <w:r w:rsidRPr="004772DE">
        <w:rPr>
          <w:rFonts w:ascii="Times New Roman" w:hAnsi="Times New Roman" w:cs="Times New Roman"/>
          <w:sz w:val="24"/>
          <w:szCs w:val="24"/>
        </w:rPr>
        <w:t>ivelul studii</w:t>
      </w:r>
      <w:r>
        <w:rPr>
          <w:rFonts w:ascii="Times New Roman" w:hAnsi="Times New Roman" w:cs="Times New Roman"/>
          <w:sz w:val="24"/>
          <w:szCs w:val="24"/>
        </w:rPr>
        <w:t>lor, p</w:t>
      </w:r>
      <w:r w:rsidRPr="004772DE">
        <w:rPr>
          <w:rFonts w:ascii="Times New Roman" w:hAnsi="Times New Roman" w:cs="Times New Roman"/>
          <w:sz w:val="24"/>
          <w:szCs w:val="24"/>
        </w:rPr>
        <w:t>onderea investițiilor din PIB în învățământ</w:t>
      </w:r>
      <w:r>
        <w:rPr>
          <w:rFonts w:ascii="Times New Roman" w:hAnsi="Times New Roman" w:cs="Times New Roman"/>
          <w:sz w:val="24"/>
          <w:szCs w:val="24"/>
        </w:rPr>
        <w:t xml:space="preserve"> și c</w:t>
      </w:r>
      <w:r w:rsidRPr="004772DE">
        <w:rPr>
          <w:rFonts w:ascii="Times New Roman" w:hAnsi="Times New Roman" w:cs="Times New Roman"/>
          <w:sz w:val="24"/>
          <w:szCs w:val="24"/>
        </w:rPr>
        <w:t>heltuielile publice pentru educație (nivel terțiar)</w:t>
      </w:r>
      <w:r>
        <w:rPr>
          <w:rFonts w:ascii="Times New Roman" w:hAnsi="Times New Roman" w:cs="Times New Roman"/>
          <w:sz w:val="24"/>
          <w:szCs w:val="24"/>
        </w:rPr>
        <w:t>. Din punct de vedere economic, acest lucru înseamnă că nivelul studiilor, precum și valoarea investițiilor curente și de capital influențează capacitatea absolvenților de a se angaja. R</w:t>
      </w:r>
      <w:r w:rsidRPr="00305686">
        <w:rPr>
          <w:rFonts w:ascii="Times New Roman" w:hAnsi="Times New Roman" w:cs="Times New Roman"/>
          <w:sz w:val="24"/>
          <w:szCs w:val="24"/>
        </w:rPr>
        <w:t xml:space="preserve">aportul de determinație </w:t>
      </w:r>
      <w:r>
        <w:rPr>
          <w:rFonts w:ascii="Times New Roman" w:hAnsi="Times New Roman" w:cs="Times New Roman"/>
          <w:sz w:val="24"/>
          <w:szCs w:val="24"/>
        </w:rPr>
        <w:t>are o</w:t>
      </w:r>
      <w:r w:rsidRPr="00305686">
        <w:rPr>
          <w:rFonts w:ascii="Times New Roman" w:hAnsi="Times New Roman" w:cs="Times New Roman"/>
          <w:sz w:val="24"/>
          <w:szCs w:val="24"/>
        </w:rPr>
        <w:t xml:space="preserve"> valoare de</w:t>
      </w:r>
      <w:r>
        <w:rPr>
          <w:rFonts w:ascii="Times New Roman" w:hAnsi="Times New Roman" w:cs="Times New Roman"/>
          <w:sz w:val="24"/>
          <w:szCs w:val="24"/>
        </w:rPr>
        <w:t xml:space="preserve"> 0,992 ceea ce înseamnă că variația ratei de angajare a tinerilor absolvenți este explicată în procent de 99,20% de variația variabilelor independente. În termeni economici, acest lucru înseamnă că rata de angaja</w:t>
      </w:r>
      <w:r w:rsidR="002E6846">
        <w:rPr>
          <w:rFonts w:ascii="Times New Roman" w:hAnsi="Times New Roman" w:cs="Times New Roman"/>
          <w:sz w:val="24"/>
          <w:szCs w:val="24"/>
        </w:rPr>
        <w:t xml:space="preserve">re </w:t>
      </w:r>
      <w:r>
        <w:rPr>
          <w:rFonts w:ascii="Times New Roman" w:hAnsi="Times New Roman" w:cs="Times New Roman"/>
          <w:sz w:val="24"/>
          <w:szCs w:val="24"/>
        </w:rPr>
        <w:t>depinde în proporție de 99,20% de evoluția nivelului de studii al populației absolvente, de valoarea finanțării oferite de către stat sistemului educativ, dar și de baza materială asigurată instituțiilor de învățământ.</w:t>
      </w:r>
    </w:p>
    <w:p w14:paraId="39B90A37" w14:textId="5A1EE4B0" w:rsidR="00EF40E9" w:rsidRPr="00095AF5" w:rsidRDefault="00EF40E9" w:rsidP="00F549F7">
      <w:pPr>
        <w:spacing w:line="240" w:lineRule="auto"/>
        <w:ind w:firstLine="567"/>
        <w:jc w:val="both"/>
      </w:pPr>
      <w:r w:rsidRPr="003413BB">
        <w:rPr>
          <w:rFonts w:ascii="Times New Roman" w:hAnsi="Times New Roman" w:cs="Times New Roman"/>
          <w:sz w:val="24"/>
          <w:szCs w:val="24"/>
        </w:rPr>
        <w:t>Cu ajutorul prelucrării statistice în programul de modelare econometrică</w:t>
      </w:r>
      <w:r w:rsidRPr="003413BB">
        <w:rPr>
          <w:rFonts w:ascii="Times New Roman" w:hAnsi="Times New Roman" w:cs="Times New Roman"/>
          <w:sz w:val="24"/>
          <w:szCs w:val="24"/>
        </w:rPr>
        <w:t xml:space="preserve"> </w:t>
      </w:r>
      <w:r>
        <w:rPr>
          <w:rFonts w:ascii="Times New Roman" w:hAnsi="Times New Roman" w:cs="Times New Roman"/>
          <w:sz w:val="24"/>
          <w:szCs w:val="24"/>
        </w:rPr>
        <w:t>IBM SPSS Statistics 26</w:t>
      </w:r>
      <w:r w:rsidRPr="003413BB">
        <w:rPr>
          <w:rFonts w:ascii="Times New Roman" w:hAnsi="Times New Roman" w:cs="Times New Roman"/>
          <w:sz w:val="24"/>
          <w:szCs w:val="24"/>
        </w:rPr>
        <w:t xml:space="preserve">, am determinat statisticile descriptive pentru indicatorii menționați, pe care i-am centralizat în Tabelul nr. </w:t>
      </w:r>
      <w:r w:rsidR="002E6846">
        <w:rPr>
          <w:rFonts w:ascii="Times New Roman" w:hAnsi="Times New Roman" w:cs="Times New Roman"/>
          <w:sz w:val="24"/>
          <w:szCs w:val="24"/>
        </w:rPr>
        <w:t>5</w:t>
      </w:r>
      <w:r w:rsidRPr="003413BB">
        <w:rPr>
          <w:rFonts w:ascii="Times New Roman" w:hAnsi="Times New Roman" w:cs="Times New Roman"/>
          <w:sz w:val="24"/>
          <w:szCs w:val="24"/>
        </w:rPr>
        <w:t>.</w:t>
      </w:r>
    </w:p>
    <w:p w14:paraId="0B671A1B" w14:textId="1971E9A9" w:rsidR="00EF40E9" w:rsidRPr="005B1BC3" w:rsidRDefault="00EF40E9" w:rsidP="002E6846">
      <w:pPr>
        <w:autoSpaceDE w:val="0"/>
        <w:autoSpaceDN w:val="0"/>
        <w:adjustRightInd w:val="0"/>
        <w:spacing w:after="0" w:line="240" w:lineRule="auto"/>
        <w:rPr>
          <w:rFonts w:ascii="Times New Roman" w:hAnsi="Times New Roman" w:cs="Times New Roman"/>
          <w:sz w:val="20"/>
          <w:szCs w:val="20"/>
        </w:rPr>
      </w:pPr>
      <w:r w:rsidRPr="002E6846">
        <w:rPr>
          <w:rFonts w:ascii="Times New Roman" w:hAnsi="Times New Roman" w:cs="Times New Roman"/>
          <w:sz w:val="20"/>
          <w:szCs w:val="20"/>
        </w:rPr>
        <w:t xml:space="preserve">Tabelul nr. </w:t>
      </w:r>
      <w:r w:rsidR="002E6846" w:rsidRPr="002E6846">
        <w:rPr>
          <w:rFonts w:ascii="Times New Roman" w:hAnsi="Times New Roman" w:cs="Times New Roman"/>
          <w:sz w:val="20"/>
          <w:szCs w:val="20"/>
        </w:rPr>
        <w:t>5</w:t>
      </w:r>
      <w:r w:rsidRPr="002E6846">
        <w:rPr>
          <w:rFonts w:ascii="Arial" w:hAnsi="Arial" w:cs="Arial"/>
          <w:color w:val="010205"/>
          <w:sz w:val="20"/>
          <w:szCs w:val="20"/>
        </w:rPr>
        <w:t xml:space="preserve">- </w:t>
      </w:r>
      <w:r w:rsidRPr="005B1BC3">
        <w:rPr>
          <w:rFonts w:ascii="Times New Roman" w:hAnsi="Times New Roman" w:cs="Times New Roman"/>
          <w:color w:val="010205"/>
          <w:sz w:val="20"/>
          <w:szCs w:val="20"/>
        </w:rPr>
        <w:t>Descriptive Statistics</w:t>
      </w:r>
    </w:p>
    <w:tbl>
      <w:tblPr>
        <w:tblW w:w="96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3"/>
        <w:gridCol w:w="705"/>
        <w:gridCol w:w="838"/>
        <w:gridCol w:w="976"/>
        <w:gridCol w:w="852"/>
        <w:gridCol w:w="1521"/>
        <w:gridCol w:w="1433"/>
        <w:gridCol w:w="1547"/>
        <w:gridCol w:w="1035"/>
        <w:gridCol w:w="54"/>
      </w:tblGrid>
      <w:tr w:rsidR="00EF40E9" w:rsidRPr="005B1BC3" w14:paraId="67EB49D0" w14:textId="77777777" w:rsidTr="00305686">
        <w:tblPrEx>
          <w:tblCellMar>
            <w:top w:w="0" w:type="dxa"/>
            <w:bottom w:w="0" w:type="dxa"/>
          </w:tblCellMar>
        </w:tblPrEx>
        <w:trPr>
          <w:cantSplit/>
          <w:trHeight w:val="287"/>
        </w:trPr>
        <w:tc>
          <w:tcPr>
            <w:tcW w:w="9664" w:type="dxa"/>
            <w:gridSpan w:val="10"/>
            <w:tcBorders>
              <w:top w:val="nil"/>
              <w:left w:val="nil"/>
              <w:bottom w:val="nil"/>
              <w:right w:val="nil"/>
            </w:tcBorders>
            <w:shd w:val="clear" w:color="auto" w:fill="FFFFFF"/>
            <w:vAlign w:val="center"/>
          </w:tcPr>
          <w:p w14:paraId="0D6146F1" w14:textId="567002B2" w:rsidR="00EF40E9" w:rsidRPr="005B1BC3" w:rsidRDefault="00EF40E9" w:rsidP="00F549F7">
            <w:pPr>
              <w:autoSpaceDE w:val="0"/>
              <w:autoSpaceDN w:val="0"/>
              <w:adjustRightInd w:val="0"/>
              <w:spacing w:after="0" w:line="240" w:lineRule="auto"/>
              <w:ind w:left="60" w:right="60"/>
              <w:jc w:val="center"/>
              <w:rPr>
                <w:rFonts w:ascii="Arial" w:hAnsi="Arial" w:cs="Arial"/>
                <w:color w:val="010205"/>
                <w:sz w:val="16"/>
                <w:szCs w:val="16"/>
              </w:rPr>
            </w:pPr>
          </w:p>
        </w:tc>
      </w:tr>
      <w:tr w:rsidR="00EF40E9" w:rsidRPr="005B1BC3" w14:paraId="4E985E8E" w14:textId="77777777" w:rsidTr="00305686">
        <w:tblPrEx>
          <w:tblCellMar>
            <w:top w:w="0" w:type="dxa"/>
            <w:bottom w:w="0" w:type="dxa"/>
          </w:tblCellMar>
        </w:tblPrEx>
        <w:trPr>
          <w:gridAfter w:val="1"/>
          <w:wAfter w:w="54" w:type="dxa"/>
          <w:cantSplit/>
          <w:trHeight w:val="277"/>
        </w:trPr>
        <w:tc>
          <w:tcPr>
            <w:tcW w:w="703" w:type="dxa"/>
            <w:vMerge w:val="restart"/>
            <w:tcBorders>
              <w:top w:val="nil"/>
              <w:left w:val="nil"/>
              <w:bottom w:val="nil"/>
              <w:right w:val="nil"/>
            </w:tcBorders>
            <w:shd w:val="clear" w:color="auto" w:fill="FFFFFF"/>
            <w:vAlign w:val="bottom"/>
          </w:tcPr>
          <w:p w14:paraId="487BAE97" w14:textId="77777777" w:rsidR="00EF40E9" w:rsidRPr="005B1BC3" w:rsidRDefault="00EF40E9" w:rsidP="00F549F7">
            <w:pPr>
              <w:autoSpaceDE w:val="0"/>
              <w:autoSpaceDN w:val="0"/>
              <w:adjustRightInd w:val="0"/>
              <w:spacing w:after="0" w:line="240" w:lineRule="auto"/>
              <w:rPr>
                <w:rFonts w:ascii="Times New Roman" w:hAnsi="Times New Roman" w:cs="Times New Roman"/>
                <w:sz w:val="16"/>
                <w:szCs w:val="16"/>
              </w:rPr>
            </w:pPr>
          </w:p>
        </w:tc>
        <w:tc>
          <w:tcPr>
            <w:tcW w:w="705" w:type="dxa"/>
            <w:tcBorders>
              <w:top w:val="nil"/>
              <w:left w:val="nil"/>
              <w:bottom w:val="nil"/>
              <w:right w:val="nil"/>
            </w:tcBorders>
            <w:shd w:val="clear" w:color="auto" w:fill="FFFFFF"/>
            <w:vAlign w:val="bottom"/>
          </w:tcPr>
          <w:p w14:paraId="4BE5C4A0" w14:textId="77777777" w:rsidR="00EF40E9" w:rsidRPr="005B1BC3" w:rsidRDefault="00EF40E9" w:rsidP="00F549F7">
            <w:pPr>
              <w:autoSpaceDE w:val="0"/>
              <w:autoSpaceDN w:val="0"/>
              <w:adjustRightInd w:val="0"/>
              <w:spacing w:after="0" w:line="240" w:lineRule="auto"/>
              <w:ind w:left="60" w:right="60"/>
              <w:jc w:val="center"/>
              <w:rPr>
                <w:rFonts w:ascii="Arial" w:hAnsi="Arial" w:cs="Arial"/>
                <w:color w:val="264A60"/>
                <w:sz w:val="16"/>
                <w:szCs w:val="16"/>
              </w:rPr>
            </w:pPr>
            <w:r w:rsidRPr="005B1BC3">
              <w:rPr>
                <w:rFonts w:ascii="Arial" w:hAnsi="Arial" w:cs="Arial"/>
                <w:color w:val="264A60"/>
                <w:sz w:val="16"/>
                <w:szCs w:val="16"/>
              </w:rPr>
              <w:t>N</w:t>
            </w:r>
          </w:p>
        </w:tc>
        <w:tc>
          <w:tcPr>
            <w:tcW w:w="838" w:type="dxa"/>
            <w:tcBorders>
              <w:top w:val="nil"/>
              <w:left w:val="single" w:sz="8" w:space="0" w:color="E0E0E0"/>
              <w:bottom w:val="nil"/>
              <w:right w:val="nil"/>
            </w:tcBorders>
            <w:shd w:val="clear" w:color="auto" w:fill="FFFFFF"/>
            <w:vAlign w:val="bottom"/>
          </w:tcPr>
          <w:p w14:paraId="48B50BEF" w14:textId="77777777" w:rsidR="00EF40E9" w:rsidRPr="005B1BC3" w:rsidRDefault="00EF40E9" w:rsidP="00F549F7">
            <w:pPr>
              <w:autoSpaceDE w:val="0"/>
              <w:autoSpaceDN w:val="0"/>
              <w:adjustRightInd w:val="0"/>
              <w:spacing w:after="0" w:line="240" w:lineRule="auto"/>
              <w:ind w:left="60" w:right="60"/>
              <w:jc w:val="center"/>
              <w:rPr>
                <w:rFonts w:ascii="Arial" w:hAnsi="Arial" w:cs="Arial"/>
                <w:color w:val="264A60"/>
                <w:sz w:val="16"/>
                <w:szCs w:val="16"/>
              </w:rPr>
            </w:pPr>
            <w:r w:rsidRPr="005B1BC3">
              <w:rPr>
                <w:rFonts w:ascii="Arial" w:hAnsi="Arial" w:cs="Arial"/>
                <w:color w:val="264A60"/>
                <w:sz w:val="16"/>
                <w:szCs w:val="16"/>
              </w:rPr>
              <w:t>Range</w:t>
            </w:r>
          </w:p>
        </w:tc>
        <w:tc>
          <w:tcPr>
            <w:tcW w:w="976" w:type="dxa"/>
            <w:tcBorders>
              <w:top w:val="nil"/>
              <w:left w:val="single" w:sz="8" w:space="0" w:color="E0E0E0"/>
              <w:bottom w:val="nil"/>
              <w:right w:val="nil"/>
            </w:tcBorders>
            <w:shd w:val="clear" w:color="auto" w:fill="FFFFFF"/>
            <w:vAlign w:val="bottom"/>
          </w:tcPr>
          <w:p w14:paraId="6497B98C" w14:textId="77777777" w:rsidR="00EF40E9" w:rsidRPr="005B1BC3" w:rsidRDefault="00EF40E9" w:rsidP="00F549F7">
            <w:pPr>
              <w:autoSpaceDE w:val="0"/>
              <w:autoSpaceDN w:val="0"/>
              <w:adjustRightInd w:val="0"/>
              <w:spacing w:after="0" w:line="240" w:lineRule="auto"/>
              <w:ind w:left="60" w:right="60"/>
              <w:jc w:val="center"/>
              <w:rPr>
                <w:rFonts w:ascii="Arial" w:hAnsi="Arial" w:cs="Arial"/>
                <w:color w:val="264A60"/>
                <w:sz w:val="16"/>
                <w:szCs w:val="16"/>
              </w:rPr>
            </w:pPr>
            <w:r w:rsidRPr="005B1BC3">
              <w:rPr>
                <w:rFonts w:ascii="Arial" w:hAnsi="Arial" w:cs="Arial"/>
                <w:color w:val="264A60"/>
                <w:sz w:val="16"/>
                <w:szCs w:val="16"/>
              </w:rPr>
              <w:t>Minimum</w:t>
            </w:r>
          </w:p>
        </w:tc>
        <w:tc>
          <w:tcPr>
            <w:tcW w:w="852" w:type="dxa"/>
            <w:tcBorders>
              <w:top w:val="nil"/>
              <w:left w:val="single" w:sz="8" w:space="0" w:color="E0E0E0"/>
              <w:bottom w:val="nil"/>
              <w:right w:val="nil"/>
            </w:tcBorders>
            <w:shd w:val="clear" w:color="auto" w:fill="FFFFFF"/>
            <w:vAlign w:val="bottom"/>
          </w:tcPr>
          <w:p w14:paraId="2BB61504" w14:textId="77777777" w:rsidR="00EF40E9" w:rsidRPr="005B1BC3" w:rsidRDefault="00EF40E9" w:rsidP="00F549F7">
            <w:pPr>
              <w:autoSpaceDE w:val="0"/>
              <w:autoSpaceDN w:val="0"/>
              <w:adjustRightInd w:val="0"/>
              <w:spacing w:after="0" w:line="240" w:lineRule="auto"/>
              <w:ind w:left="60" w:right="60"/>
              <w:jc w:val="center"/>
              <w:rPr>
                <w:rFonts w:ascii="Arial" w:hAnsi="Arial" w:cs="Arial"/>
                <w:color w:val="264A60"/>
                <w:sz w:val="16"/>
                <w:szCs w:val="16"/>
              </w:rPr>
            </w:pPr>
            <w:r w:rsidRPr="005B1BC3">
              <w:rPr>
                <w:rFonts w:ascii="Arial" w:hAnsi="Arial" w:cs="Arial"/>
                <w:color w:val="264A60"/>
                <w:sz w:val="16"/>
                <w:szCs w:val="16"/>
              </w:rPr>
              <w:t>Maximum</w:t>
            </w:r>
          </w:p>
        </w:tc>
        <w:tc>
          <w:tcPr>
            <w:tcW w:w="2954" w:type="dxa"/>
            <w:gridSpan w:val="2"/>
            <w:tcBorders>
              <w:top w:val="nil"/>
              <w:left w:val="single" w:sz="8" w:space="0" w:color="E0E0E0"/>
              <w:bottom w:val="nil"/>
              <w:right w:val="nil"/>
            </w:tcBorders>
            <w:shd w:val="clear" w:color="auto" w:fill="FFFFFF"/>
            <w:vAlign w:val="bottom"/>
          </w:tcPr>
          <w:p w14:paraId="0350F62D" w14:textId="77777777" w:rsidR="00EF40E9" w:rsidRPr="005B1BC3" w:rsidRDefault="00EF40E9" w:rsidP="00F549F7">
            <w:pPr>
              <w:autoSpaceDE w:val="0"/>
              <w:autoSpaceDN w:val="0"/>
              <w:adjustRightInd w:val="0"/>
              <w:spacing w:after="0" w:line="240" w:lineRule="auto"/>
              <w:ind w:left="60" w:right="60"/>
              <w:jc w:val="center"/>
              <w:rPr>
                <w:rFonts w:ascii="Arial" w:hAnsi="Arial" w:cs="Arial"/>
                <w:color w:val="264A60"/>
                <w:sz w:val="16"/>
                <w:szCs w:val="16"/>
              </w:rPr>
            </w:pPr>
            <w:r w:rsidRPr="005B1BC3">
              <w:rPr>
                <w:rFonts w:ascii="Arial" w:hAnsi="Arial" w:cs="Arial"/>
                <w:color w:val="264A60"/>
                <w:sz w:val="16"/>
                <w:szCs w:val="16"/>
              </w:rPr>
              <w:t>Mean</w:t>
            </w:r>
          </w:p>
        </w:tc>
        <w:tc>
          <w:tcPr>
            <w:tcW w:w="1547" w:type="dxa"/>
            <w:tcBorders>
              <w:top w:val="nil"/>
              <w:left w:val="single" w:sz="8" w:space="0" w:color="E0E0E0"/>
              <w:bottom w:val="nil"/>
              <w:right w:val="nil"/>
            </w:tcBorders>
            <w:shd w:val="clear" w:color="auto" w:fill="FFFFFF"/>
            <w:vAlign w:val="bottom"/>
          </w:tcPr>
          <w:p w14:paraId="5400C6E8" w14:textId="77777777" w:rsidR="00EF40E9" w:rsidRPr="005B1BC3" w:rsidRDefault="00EF40E9" w:rsidP="00F549F7">
            <w:pPr>
              <w:autoSpaceDE w:val="0"/>
              <w:autoSpaceDN w:val="0"/>
              <w:adjustRightInd w:val="0"/>
              <w:spacing w:after="0" w:line="240" w:lineRule="auto"/>
              <w:ind w:left="60" w:right="60"/>
              <w:jc w:val="center"/>
              <w:rPr>
                <w:rFonts w:ascii="Arial" w:hAnsi="Arial" w:cs="Arial"/>
                <w:color w:val="264A60"/>
                <w:sz w:val="16"/>
                <w:szCs w:val="16"/>
              </w:rPr>
            </w:pPr>
            <w:r w:rsidRPr="005B1BC3">
              <w:rPr>
                <w:rFonts w:ascii="Arial" w:hAnsi="Arial" w:cs="Arial"/>
                <w:color w:val="264A60"/>
                <w:sz w:val="16"/>
                <w:szCs w:val="16"/>
              </w:rPr>
              <w:t>Std. Deviation</w:t>
            </w:r>
          </w:p>
        </w:tc>
        <w:tc>
          <w:tcPr>
            <w:tcW w:w="1035" w:type="dxa"/>
            <w:tcBorders>
              <w:top w:val="nil"/>
              <w:left w:val="single" w:sz="8" w:space="0" w:color="E0E0E0"/>
              <w:bottom w:val="nil"/>
              <w:right w:val="nil"/>
            </w:tcBorders>
            <w:shd w:val="clear" w:color="auto" w:fill="FFFFFF"/>
            <w:vAlign w:val="bottom"/>
          </w:tcPr>
          <w:p w14:paraId="3CDB92B8" w14:textId="77777777" w:rsidR="00EF40E9" w:rsidRPr="005B1BC3" w:rsidRDefault="00EF40E9" w:rsidP="00F549F7">
            <w:pPr>
              <w:autoSpaceDE w:val="0"/>
              <w:autoSpaceDN w:val="0"/>
              <w:adjustRightInd w:val="0"/>
              <w:spacing w:after="0" w:line="240" w:lineRule="auto"/>
              <w:ind w:left="60" w:right="60"/>
              <w:jc w:val="center"/>
              <w:rPr>
                <w:rFonts w:ascii="Arial" w:hAnsi="Arial" w:cs="Arial"/>
                <w:color w:val="264A60"/>
                <w:sz w:val="16"/>
                <w:szCs w:val="16"/>
              </w:rPr>
            </w:pPr>
            <w:r w:rsidRPr="005B1BC3">
              <w:rPr>
                <w:rFonts w:ascii="Arial" w:hAnsi="Arial" w:cs="Arial"/>
                <w:color w:val="264A60"/>
                <w:sz w:val="16"/>
                <w:szCs w:val="16"/>
              </w:rPr>
              <w:t>Variance</w:t>
            </w:r>
          </w:p>
        </w:tc>
      </w:tr>
      <w:tr w:rsidR="00EF40E9" w:rsidRPr="005B1BC3" w14:paraId="142621A4" w14:textId="77777777" w:rsidTr="00305686">
        <w:tblPrEx>
          <w:tblCellMar>
            <w:top w:w="0" w:type="dxa"/>
            <w:bottom w:w="0" w:type="dxa"/>
          </w:tblCellMar>
        </w:tblPrEx>
        <w:trPr>
          <w:gridAfter w:val="1"/>
          <w:wAfter w:w="54" w:type="dxa"/>
          <w:cantSplit/>
          <w:trHeight w:val="127"/>
        </w:trPr>
        <w:tc>
          <w:tcPr>
            <w:tcW w:w="703" w:type="dxa"/>
            <w:vMerge/>
            <w:tcBorders>
              <w:top w:val="nil"/>
              <w:left w:val="nil"/>
              <w:bottom w:val="nil"/>
              <w:right w:val="nil"/>
            </w:tcBorders>
            <w:shd w:val="clear" w:color="auto" w:fill="FFFFFF"/>
            <w:vAlign w:val="bottom"/>
          </w:tcPr>
          <w:p w14:paraId="467052E4" w14:textId="77777777" w:rsidR="00EF40E9" w:rsidRPr="005B1BC3" w:rsidRDefault="00EF40E9" w:rsidP="00F549F7">
            <w:pPr>
              <w:autoSpaceDE w:val="0"/>
              <w:autoSpaceDN w:val="0"/>
              <w:adjustRightInd w:val="0"/>
              <w:spacing w:after="0" w:line="240" w:lineRule="auto"/>
              <w:rPr>
                <w:rFonts w:ascii="Arial" w:hAnsi="Arial" w:cs="Arial"/>
                <w:color w:val="264A60"/>
                <w:sz w:val="16"/>
                <w:szCs w:val="16"/>
              </w:rPr>
            </w:pPr>
          </w:p>
        </w:tc>
        <w:tc>
          <w:tcPr>
            <w:tcW w:w="705" w:type="dxa"/>
            <w:tcBorders>
              <w:top w:val="nil"/>
              <w:left w:val="nil"/>
              <w:bottom w:val="single" w:sz="8" w:space="0" w:color="152935"/>
              <w:right w:val="nil"/>
            </w:tcBorders>
            <w:shd w:val="clear" w:color="auto" w:fill="FFFFFF"/>
            <w:vAlign w:val="bottom"/>
          </w:tcPr>
          <w:p w14:paraId="5E28BE7B" w14:textId="77777777" w:rsidR="00EF40E9" w:rsidRPr="005B1BC3" w:rsidRDefault="00EF40E9" w:rsidP="00F549F7">
            <w:pPr>
              <w:autoSpaceDE w:val="0"/>
              <w:autoSpaceDN w:val="0"/>
              <w:adjustRightInd w:val="0"/>
              <w:spacing w:after="0" w:line="240" w:lineRule="auto"/>
              <w:ind w:left="60" w:right="60"/>
              <w:jc w:val="center"/>
              <w:rPr>
                <w:rFonts w:ascii="Arial" w:hAnsi="Arial" w:cs="Arial"/>
                <w:color w:val="264A60"/>
                <w:sz w:val="16"/>
                <w:szCs w:val="16"/>
              </w:rPr>
            </w:pPr>
            <w:r w:rsidRPr="005B1BC3">
              <w:rPr>
                <w:rFonts w:ascii="Arial" w:hAnsi="Arial" w:cs="Arial"/>
                <w:color w:val="264A60"/>
                <w:sz w:val="16"/>
                <w:szCs w:val="16"/>
              </w:rPr>
              <w:t>Statistic</w:t>
            </w:r>
          </w:p>
        </w:tc>
        <w:tc>
          <w:tcPr>
            <w:tcW w:w="838" w:type="dxa"/>
            <w:tcBorders>
              <w:top w:val="nil"/>
              <w:left w:val="single" w:sz="8" w:space="0" w:color="E0E0E0"/>
              <w:bottom w:val="single" w:sz="8" w:space="0" w:color="152935"/>
              <w:right w:val="nil"/>
            </w:tcBorders>
            <w:shd w:val="clear" w:color="auto" w:fill="FFFFFF"/>
            <w:vAlign w:val="bottom"/>
          </w:tcPr>
          <w:p w14:paraId="5C2063BA" w14:textId="77777777" w:rsidR="00EF40E9" w:rsidRPr="005B1BC3" w:rsidRDefault="00EF40E9" w:rsidP="00F549F7">
            <w:pPr>
              <w:autoSpaceDE w:val="0"/>
              <w:autoSpaceDN w:val="0"/>
              <w:adjustRightInd w:val="0"/>
              <w:spacing w:after="0" w:line="240" w:lineRule="auto"/>
              <w:ind w:left="60" w:right="60"/>
              <w:jc w:val="center"/>
              <w:rPr>
                <w:rFonts w:ascii="Arial" w:hAnsi="Arial" w:cs="Arial"/>
                <w:color w:val="264A60"/>
                <w:sz w:val="16"/>
                <w:szCs w:val="16"/>
              </w:rPr>
            </w:pPr>
            <w:r w:rsidRPr="005B1BC3">
              <w:rPr>
                <w:rFonts w:ascii="Arial" w:hAnsi="Arial" w:cs="Arial"/>
                <w:color w:val="264A60"/>
                <w:sz w:val="16"/>
                <w:szCs w:val="16"/>
              </w:rPr>
              <w:t>Statistic</w:t>
            </w:r>
          </w:p>
        </w:tc>
        <w:tc>
          <w:tcPr>
            <w:tcW w:w="976" w:type="dxa"/>
            <w:tcBorders>
              <w:top w:val="nil"/>
              <w:left w:val="single" w:sz="8" w:space="0" w:color="E0E0E0"/>
              <w:bottom w:val="single" w:sz="8" w:space="0" w:color="152935"/>
              <w:right w:val="nil"/>
            </w:tcBorders>
            <w:shd w:val="clear" w:color="auto" w:fill="FFFFFF"/>
            <w:vAlign w:val="bottom"/>
          </w:tcPr>
          <w:p w14:paraId="619EB7C0" w14:textId="77777777" w:rsidR="00EF40E9" w:rsidRPr="005B1BC3" w:rsidRDefault="00EF40E9" w:rsidP="00F549F7">
            <w:pPr>
              <w:autoSpaceDE w:val="0"/>
              <w:autoSpaceDN w:val="0"/>
              <w:adjustRightInd w:val="0"/>
              <w:spacing w:after="0" w:line="240" w:lineRule="auto"/>
              <w:ind w:left="60" w:right="60"/>
              <w:jc w:val="center"/>
              <w:rPr>
                <w:rFonts w:ascii="Arial" w:hAnsi="Arial" w:cs="Arial"/>
                <w:color w:val="264A60"/>
                <w:sz w:val="16"/>
                <w:szCs w:val="16"/>
              </w:rPr>
            </w:pPr>
            <w:r w:rsidRPr="005B1BC3">
              <w:rPr>
                <w:rFonts w:ascii="Arial" w:hAnsi="Arial" w:cs="Arial"/>
                <w:color w:val="264A60"/>
                <w:sz w:val="16"/>
                <w:szCs w:val="16"/>
              </w:rPr>
              <w:t>Statistic</w:t>
            </w:r>
          </w:p>
        </w:tc>
        <w:tc>
          <w:tcPr>
            <w:tcW w:w="852" w:type="dxa"/>
            <w:tcBorders>
              <w:top w:val="nil"/>
              <w:left w:val="single" w:sz="8" w:space="0" w:color="E0E0E0"/>
              <w:bottom w:val="single" w:sz="8" w:space="0" w:color="152935"/>
              <w:right w:val="nil"/>
            </w:tcBorders>
            <w:shd w:val="clear" w:color="auto" w:fill="FFFFFF"/>
            <w:vAlign w:val="bottom"/>
          </w:tcPr>
          <w:p w14:paraId="20FC3125" w14:textId="77777777" w:rsidR="00EF40E9" w:rsidRPr="005B1BC3" w:rsidRDefault="00EF40E9" w:rsidP="00F549F7">
            <w:pPr>
              <w:autoSpaceDE w:val="0"/>
              <w:autoSpaceDN w:val="0"/>
              <w:adjustRightInd w:val="0"/>
              <w:spacing w:after="0" w:line="240" w:lineRule="auto"/>
              <w:ind w:left="60" w:right="60"/>
              <w:jc w:val="center"/>
              <w:rPr>
                <w:rFonts w:ascii="Arial" w:hAnsi="Arial" w:cs="Arial"/>
                <w:color w:val="264A60"/>
                <w:sz w:val="16"/>
                <w:szCs w:val="16"/>
              </w:rPr>
            </w:pPr>
            <w:r w:rsidRPr="005B1BC3">
              <w:rPr>
                <w:rFonts w:ascii="Arial" w:hAnsi="Arial" w:cs="Arial"/>
                <w:color w:val="264A60"/>
                <w:sz w:val="16"/>
                <w:szCs w:val="16"/>
              </w:rPr>
              <w:t>Statistic</w:t>
            </w:r>
          </w:p>
        </w:tc>
        <w:tc>
          <w:tcPr>
            <w:tcW w:w="1521" w:type="dxa"/>
            <w:tcBorders>
              <w:top w:val="nil"/>
              <w:left w:val="single" w:sz="8" w:space="0" w:color="E0E0E0"/>
              <w:bottom w:val="single" w:sz="8" w:space="0" w:color="152935"/>
              <w:right w:val="single" w:sz="8" w:space="0" w:color="E0E0E0"/>
            </w:tcBorders>
            <w:shd w:val="clear" w:color="auto" w:fill="FFFFFF"/>
            <w:vAlign w:val="bottom"/>
          </w:tcPr>
          <w:p w14:paraId="05F61D9B" w14:textId="77777777" w:rsidR="00EF40E9" w:rsidRPr="005B1BC3" w:rsidRDefault="00EF40E9" w:rsidP="00F549F7">
            <w:pPr>
              <w:autoSpaceDE w:val="0"/>
              <w:autoSpaceDN w:val="0"/>
              <w:adjustRightInd w:val="0"/>
              <w:spacing w:after="0" w:line="240" w:lineRule="auto"/>
              <w:ind w:left="60" w:right="60"/>
              <w:jc w:val="center"/>
              <w:rPr>
                <w:rFonts w:ascii="Arial" w:hAnsi="Arial" w:cs="Arial"/>
                <w:color w:val="264A60"/>
                <w:sz w:val="16"/>
                <w:szCs w:val="16"/>
              </w:rPr>
            </w:pPr>
            <w:r w:rsidRPr="005B1BC3">
              <w:rPr>
                <w:rFonts w:ascii="Arial" w:hAnsi="Arial" w:cs="Arial"/>
                <w:color w:val="264A60"/>
                <w:sz w:val="16"/>
                <w:szCs w:val="16"/>
              </w:rPr>
              <w:t>Statistic</w:t>
            </w:r>
          </w:p>
        </w:tc>
        <w:tc>
          <w:tcPr>
            <w:tcW w:w="1433" w:type="dxa"/>
            <w:tcBorders>
              <w:top w:val="nil"/>
              <w:left w:val="single" w:sz="8" w:space="0" w:color="E0E0E0"/>
              <w:bottom w:val="single" w:sz="8" w:space="0" w:color="152935"/>
              <w:right w:val="nil"/>
            </w:tcBorders>
            <w:shd w:val="clear" w:color="auto" w:fill="FFFFFF"/>
            <w:vAlign w:val="bottom"/>
          </w:tcPr>
          <w:p w14:paraId="4DDA6986" w14:textId="77777777" w:rsidR="00EF40E9" w:rsidRPr="005B1BC3" w:rsidRDefault="00EF40E9" w:rsidP="00F549F7">
            <w:pPr>
              <w:autoSpaceDE w:val="0"/>
              <w:autoSpaceDN w:val="0"/>
              <w:adjustRightInd w:val="0"/>
              <w:spacing w:after="0" w:line="240" w:lineRule="auto"/>
              <w:ind w:left="60" w:right="60"/>
              <w:jc w:val="center"/>
              <w:rPr>
                <w:rFonts w:ascii="Arial" w:hAnsi="Arial" w:cs="Arial"/>
                <w:color w:val="264A60"/>
                <w:sz w:val="16"/>
                <w:szCs w:val="16"/>
              </w:rPr>
            </w:pPr>
            <w:r w:rsidRPr="005B1BC3">
              <w:rPr>
                <w:rFonts w:ascii="Arial" w:hAnsi="Arial" w:cs="Arial"/>
                <w:color w:val="264A60"/>
                <w:sz w:val="16"/>
                <w:szCs w:val="16"/>
              </w:rPr>
              <w:t>Std. Error</w:t>
            </w:r>
          </w:p>
        </w:tc>
        <w:tc>
          <w:tcPr>
            <w:tcW w:w="1547" w:type="dxa"/>
            <w:tcBorders>
              <w:top w:val="nil"/>
              <w:left w:val="single" w:sz="8" w:space="0" w:color="E0E0E0"/>
              <w:bottom w:val="single" w:sz="8" w:space="0" w:color="152935"/>
              <w:right w:val="nil"/>
            </w:tcBorders>
            <w:shd w:val="clear" w:color="auto" w:fill="FFFFFF"/>
            <w:vAlign w:val="bottom"/>
          </w:tcPr>
          <w:p w14:paraId="4F0F0595" w14:textId="77777777" w:rsidR="00EF40E9" w:rsidRPr="005B1BC3" w:rsidRDefault="00EF40E9" w:rsidP="00F549F7">
            <w:pPr>
              <w:autoSpaceDE w:val="0"/>
              <w:autoSpaceDN w:val="0"/>
              <w:adjustRightInd w:val="0"/>
              <w:spacing w:after="0" w:line="240" w:lineRule="auto"/>
              <w:ind w:left="60" w:right="60"/>
              <w:jc w:val="center"/>
              <w:rPr>
                <w:rFonts w:ascii="Arial" w:hAnsi="Arial" w:cs="Arial"/>
                <w:color w:val="264A60"/>
                <w:sz w:val="16"/>
                <w:szCs w:val="16"/>
              </w:rPr>
            </w:pPr>
            <w:r w:rsidRPr="005B1BC3">
              <w:rPr>
                <w:rFonts w:ascii="Arial" w:hAnsi="Arial" w:cs="Arial"/>
                <w:color w:val="264A60"/>
                <w:sz w:val="16"/>
                <w:szCs w:val="16"/>
              </w:rPr>
              <w:t>Statistic</w:t>
            </w:r>
          </w:p>
        </w:tc>
        <w:tc>
          <w:tcPr>
            <w:tcW w:w="1035" w:type="dxa"/>
            <w:tcBorders>
              <w:top w:val="nil"/>
              <w:left w:val="single" w:sz="8" w:space="0" w:color="E0E0E0"/>
              <w:bottom w:val="single" w:sz="8" w:space="0" w:color="152935"/>
              <w:right w:val="nil"/>
            </w:tcBorders>
            <w:shd w:val="clear" w:color="auto" w:fill="FFFFFF"/>
            <w:vAlign w:val="bottom"/>
          </w:tcPr>
          <w:p w14:paraId="0E55FF0C" w14:textId="77777777" w:rsidR="00EF40E9" w:rsidRPr="005B1BC3" w:rsidRDefault="00EF40E9" w:rsidP="00F549F7">
            <w:pPr>
              <w:autoSpaceDE w:val="0"/>
              <w:autoSpaceDN w:val="0"/>
              <w:adjustRightInd w:val="0"/>
              <w:spacing w:after="0" w:line="240" w:lineRule="auto"/>
              <w:ind w:left="60" w:right="60"/>
              <w:jc w:val="center"/>
              <w:rPr>
                <w:rFonts w:ascii="Arial" w:hAnsi="Arial" w:cs="Arial"/>
                <w:color w:val="264A60"/>
                <w:sz w:val="16"/>
                <w:szCs w:val="16"/>
              </w:rPr>
            </w:pPr>
            <w:r w:rsidRPr="005B1BC3">
              <w:rPr>
                <w:rFonts w:ascii="Arial" w:hAnsi="Arial" w:cs="Arial"/>
                <w:color w:val="264A60"/>
                <w:sz w:val="16"/>
                <w:szCs w:val="16"/>
              </w:rPr>
              <w:t>Statistic</w:t>
            </w:r>
          </w:p>
        </w:tc>
      </w:tr>
      <w:tr w:rsidR="00EF40E9" w:rsidRPr="005B1BC3" w14:paraId="47A422F2" w14:textId="77777777" w:rsidTr="00305686">
        <w:tblPrEx>
          <w:tblCellMar>
            <w:top w:w="0" w:type="dxa"/>
            <w:bottom w:w="0" w:type="dxa"/>
          </w:tblCellMar>
        </w:tblPrEx>
        <w:trPr>
          <w:gridAfter w:val="1"/>
          <w:wAfter w:w="54" w:type="dxa"/>
          <w:cantSplit/>
          <w:trHeight w:val="277"/>
        </w:trPr>
        <w:tc>
          <w:tcPr>
            <w:tcW w:w="703" w:type="dxa"/>
            <w:tcBorders>
              <w:top w:val="single" w:sz="8" w:space="0" w:color="152935"/>
              <w:left w:val="nil"/>
              <w:bottom w:val="single" w:sz="8" w:space="0" w:color="AEAEAE"/>
              <w:right w:val="nil"/>
            </w:tcBorders>
            <w:shd w:val="clear" w:color="auto" w:fill="E0E0E0"/>
          </w:tcPr>
          <w:p w14:paraId="15E53F7C" w14:textId="77777777" w:rsidR="00EF40E9" w:rsidRPr="005B1BC3" w:rsidRDefault="00EF40E9" w:rsidP="00F549F7">
            <w:pPr>
              <w:autoSpaceDE w:val="0"/>
              <w:autoSpaceDN w:val="0"/>
              <w:adjustRightInd w:val="0"/>
              <w:spacing w:after="0" w:line="240" w:lineRule="auto"/>
              <w:ind w:left="60" w:right="60"/>
              <w:rPr>
                <w:rFonts w:ascii="Arial" w:hAnsi="Arial" w:cs="Arial"/>
                <w:color w:val="264A60"/>
                <w:sz w:val="16"/>
                <w:szCs w:val="16"/>
              </w:rPr>
            </w:pPr>
            <w:r w:rsidRPr="005B1BC3">
              <w:rPr>
                <w:rFonts w:ascii="Arial" w:hAnsi="Arial" w:cs="Arial"/>
                <w:color w:val="264A60"/>
                <w:sz w:val="16"/>
                <w:szCs w:val="16"/>
              </w:rPr>
              <w:t>ERG</w:t>
            </w:r>
          </w:p>
        </w:tc>
        <w:tc>
          <w:tcPr>
            <w:tcW w:w="705" w:type="dxa"/>
            <w:tcBorders>
              <w:top w:val="single" w:sz="8" w:space="0" w:color="152935"/>
              <w:left w:val="nil"/>
              <w:bottom w:val="single" w:sz="8" w:space="0" w:color="AEAEAE"/>
              <w:right w:val="nil"/>
            </w:tcBorders>
            <w:shd w:val="clear" w:color="auto" w:fill="FFFFFF"/>
          </w:tcPr>
          <w:p w14:paraId="16C146A6"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12</w:t>
            </w:r>
          </w:p>
        </w:tc>
        <w:tc>
          <w:tcPr>
            <w:tcW w:w="838" w:type="dxa"/>
            <w:tcBorders>
              <w:top w:val="single" w:sz="8" w:space="0" w:color="152935"/>
              <w:left w:val="single" w:sz="8" w:space="0" w:color="E0E0E0"/>
              <w:bottom w:val="single" w:sz="8" w:space="0" w:color="AEAEAE"/>
              <w:right w:val="nil"/>
            </w:tcBorders>
            <w:shd w:val="clear" w:color="auto" w:fill="FFFFFF"/>
          </w:tcPr>
          <w:p w14:paraId="0FC0168A" w14:textId="3693273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11,2</w:t>
            </w:r>
          </w:p>
        </w:tc>
        <w:tc>
          <w:tcPr>
            <w:tcW w:w="976" w:type="dxa"/>
            <w:tcBorders>
              <w:top w:val="single" w:sz="8" w:space="0" w:color="152935"/>
              <w:left w:val="single" w:sz="8" w:space="0" w:color="E0E0E0"/>
              <w:bottom w:val="single" w:sz="8" w:space="0" w:color="AEAEAE"/>
              <w:right w:val="nil"/>
            </w:tcBorders>
            <w:shd w:val="clear" w:color="auto" w:fill="FFFFFF"/>
          </w:tcPr>
          <w:p w14:paraId="572D6381" w14:textId="272B9D04"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66,2</w:t>
            </w:r>
          </w:p>
        </w:tc>
        <w:tc>
          <w:tcPr>
            <w:tcW w:w="852" w:type="dxa"/>
            <w:tcBorders>
              <w:top w:val="single" w:sz="8" w:space="0" w:color="152935"/>
              <w:left w:val="single" w:sz="8" w:space="0" w:color="E0E0E0"/>
              <w:bottom w:val="single" w:sz="8" w:space="0" w:color="AEAEAE"/>
              <w:right w:val="nil"/>
            </w:tcBorders>
            <w:shd w:val="clear" w:color="auto" w:fill="FFFFFF"/>
          </w:tcPr>
          <w:p w14:paraId="034F2E9F" w14:textId="30A8AC72"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77,4</w:t>
            </w:r>
          </w:p>
        </w:tc>
        <w:tc>
          <w:tcPr>
            <w:tcW w:w="1521" w:type="dxa"/>
            <w:tcBorders>
              <w:top w:val="single" w:sz="8" w:space="0" w:color="152935"/>
              <w:left w:val="single" w:sz="8" w:space="0" w:color="E0E0E0"/>
              <w:bottom w:val="single" w:sz="8" w:space="0" w:color="AEAEAE"/>
              <w:right w:val="single" w:sz="8" w:space="0" w:color="E0E0E0"/>
            </w:tcBorders>
            <w:shd w:val="clear" w:color="auto" w:fill="FFFFFF"/>
          </w:tcPr>
          <w:p w14:paraId="0FBC4CAD"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71,833333333333</w:t>
            </w:r>
          </w:p>
        </w:tc>
        <w:tc>
          <w:tcPr>
            <w:tcW w:w="1433" w:type="dxa"/>
            <w:tcBorders>
              <w:top w:val="single" w:sz="8" w:space="0" w:color="152935"/>
              <w:left w:val="single" w:sz="8" w:space="0" w:color="E0E0E0"/>
              <w:bottom w:val="single" w:sz="8" w:space="0" w:color="AEAEAE"/>
              <w:right w:val="nil"/>
            </w:tcBorders>
            <w:shd w:val="clear" w:color="auto" w:fill="FFFFFF"/>
          </w:tcPr>
          <w:p w14:paraId="45D64431"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1,1742394916874</w:t>
            </w:r>
          </w:p>
        </w:tc>
        <w:tc>
          <w:tcPr>
            <w:tcW w:w="1547" w:type="dxa"/>
            <w:tcBorders>
              <w:top w:val="single" w:sz="8" w:space="0" w:color="152935"/>
              <w:left w:val="single" w:sz="8" w:space="0" w:color="E0E0E0"/>
              <w:bottom w:val="single" w:sz="8" w:space="0" w:color="AEAEAE"/>
              <w:right w:val="nil"/>
            </w:tcBorders>
            <w:shd w:val="clear" w:color="auto" w:fill="FFFFFF"/>
          </w:tcPr>
          <w:p w14:paraId="4802F73F"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4,0676849197130</w:t>
            </w:r>
          </w:p>
        </w:tc>
        <w:tc>
          <w:tcPr>
            <w:tcW w:w="1035" w:type="dxa"/>
            <w:tcBorders>
              <w:top w:val="single" w:sz="8" w:space="0" w:color="152935"/>
              <w:left w:val="single" w:sz="8" w:space="0" w:color="E0E0E0"/>
              <w:bottom w:val="single" w:sz="8" w:space="0" w:color="AEAEAE"/>
              <w:right w:val="nil"/>
            </w:tcBorders>
            <w:shd w:val="clear" w:color="auto" w:fill="FFFFFF"/>
          </w:tcPr>
          <w:p w14:paraId="34D417DC"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16,546</w:t>
            </w:r>
          </w:p>
        </w:tc>
      </w:tr>
      <w:tr w:rsidR="00EF40E9" w:rsidRPr="005B1BC3" w14:paraId="7D2CD720" w14:textId="77777777" w:rsidTr="00305686">
        <w:tblPrEx>
          <w:tblCellMar>
            <w:top w:w="0" w:type="dxa"/>
            <w:bottom w:w="0" w:type="dxa"/>
          </w:tblCellMar>
        </w:tblPrEx>
        <w:trPr>
          <w:gridAfter w:val="1"/>
          <w:wAfter w:w="54" w:type="dxa"/>
          <w:cantSplit/>
          <w:trHeight w:val="287"/>
        </w:trPr>
        <w:tc>
          <w:tcPr>
            <w:tcW w:w="703" w:type="dxa"/>
            <w:tcBorders>
              <w:top w:val="single" w:sz="8" w:space="0" w:color="AEAEAE"/>
              <w:left w:val="nil"/>
              <w:bottom w:val="single" w:sz="8" w:space="0" w:color="AEAEAE"/>
              <w:right w:val="nil"/>
            </w:tcBorders>
            <w:shd w:val="clear" w:color="auto" w:fill="E0E0E0"/>
          </w:tcPr>
          <w:p w14:paraId="7EDD7773" w14:textId="77777777" w:rsidR="00EF40E9" w:rsidRPr="005B1BC3" w:rsidRDefault="00EF40E9" w:rsidP="00F549F7">
            <w:pPr>
              <w:autoSpaceDE w:val="0"/>
              <w:autoSpaceDN w:val="0"/>
              <w:adjustRightInd w:val="0"/>
              <w:spacing w:after="0" w:line="240" w:lineRule="auto"/>
              <w:ind w:left="60" w:right="60"/>
              <w:rPr>
                <w:rFonts w:ascii="Arial" w:hAnsi="Arial" w:cs="Arial"/>
                <w:color w:val="264A60"/>
                <w:sz w:val="16"/>
                <w:szCs w:val="16"/>
              </w:rPr>
            </w:pPr>
            <w:r w:rsidRPr="005B1BC3">
              <w:rPr>
                <w:rFonts w:ascii="Arial" w:hAnsi="Arial" w:cs="Arial"/>
                <w:color w:val="264A60"/>
                <w:sz w:val="16"/>
                <w:szCs w:val="16"/>
              </w:rPr>
              <w:t>TEA</w:t>
            </w:r>
          </w:p>
        </w:tc>
        <w:tc>
          <w:tcPr>
            <w:tcW w:w="705" w:type="dxa"/>
            <w:tcBorders>
              <w:top w:val="single" w:sz="8" w:space="0" w:color="AEAEAE"/>
              <w:left w:val="nil"/>
              <w:bottom w:val="single" w:sz="8" w:space="0" w:color="AEAEAE"/>
              <w:right w:val="nil"/>
            </w:tcBorders>
            <w:shd w:val="clear" w:color="auto" w:fill="FFFFFF"/>
          </w:tcPr>
          <w:p w14:paraId="113C794E"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12</w:t>
            </w:r>
          </w:p>
        </w:tc>
        <w:tc>
          <w:tcPr>
            <w:tcW w:w="838" w:type="dxa"/>
            <w:tcBorders>
              <w:top w:val="single" w:sz="8" w:space="0" w:color="AEAEAE"/>
              <w:left w:val="single" w:sz="8" w:space="0" w:color="E0E0E0"/>
              <w:bottom w:val="single" w:sz="8" w:space="0" w:color="AEAEAE"/>
              <w:right w:val="nil"/>
            </w:tcBorders>
            <w:shd w:val="clear" w:color="auto" w:fill="FFFFFF"/>
          </w:tcPr>
          <w:p w14:paraId="580668FF"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3,6</w:t>
            </w:r>
          </w:p>
        </w:tc>
        <w:tc>
          <w:tcPr>
            <w:tcW w:w="976" w:type="dxa"/>
            <w:tcBorders>
              <w:top w:val="single" w:sz="8" w:space="0" w:color="AEAEAE"/>
              <w:left w:val="single" w:sz="8" w:space="0" w:color="E0E0E0"/>
              <w:bottom w:val="single" w:sz="8" w:space="0" w:color="AEAEAE"/>
              <w:right w:val="nil"/>
            </w:tcBorders>
            <w:shd w:val="clear" w:color="auto" w:fill="FFFFFF"/>
          </w:tcPr>
          <w:p w14:paraId="08F6D94E"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25,6</w:t>
            </w:r>
          </w:p>
        </w:tc>
        <w:tc>
          <w:tcPr>
            <w:tcW w:w="852" w:type="dxa"/>
            <w:tcBorders>
              <w:top w:val="single" w:sz="8" w:space="0" w:color="AEAEAE"/>
              <w:left w:val="single" w:sz="8" w:space="0" w:color="E0E0E0"/>
              <w:bottom w:val="single" w:sz="8" w:space="0" w:color="AEAEAE"/>
              <w:right w:val="nil"/>
            </w:tcBorders>
            <w:shd w:val="clear" w:color="auto" w:fill="FFFFFF"/>
          </w:tcPr>
          <w:p w14:paraId="00FB3093"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29,2</w:t>
            </w:r>
          </w:p>
        </w:tc>
        <w:tc>
          <w:tcPr>
            <w:tcW w:w="1521" w:type="dxa"/>
            <w:tcBorders>
              <w:top w:val="single" w:sz="8" w:space="0" w:color="AEAEAE"/>
              <w:left w:val="single" w:sz="8" w:space="0" w:color="E0E0E0"/>
              <w:bottom w:val="single" w:sz="8" w:space="0" w:color="AEAEAE"/>
              <w:right w:val="single" w:sz="8" w:space="0" w:color="E0E0E0"/>
            </w:tcBorders>
            <w:shd w:val="clear" w:color="auto" w:fill="FFFFFF"/>
          </w:tcPr>
          <w:p w14:paraId="3F832376"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27,583</w:t>
            </w:r>
          </w:p>
        </w:tc>
        <w:tc>
          <w:tcPr>
            <w:tcW w:w="1433" w:type="dxa"/>
            <w:tcBorders>
              <w:top w:val="single" w:sz="8" w:space="0" w:color="AEAEAE"/>
              <w:left w:val="single" w:sz="8" w:space="0" w:color="E0E0E0"/>
              <w:bottom w:val="single" w:sz="8" w:space="0" w:color="AEAEAE"/>
              <w:right w:val="nil"/>
            </w:tcBorders>
            <w:shd w:val="clear" w:color="auto" w:fill="FFFFFF"/>
          </w:tcPr>
          <w:p w14:paraId="24F43837"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,3533</w:t>
            </w:r>
          </w:p>
        </w:tc>
        <w:tc>
          <w:tcPr>
            <w:tcW w:w="1547" w:type="dxa"/>
            <w:tcBorders>
              <w:top w:val="single" w:sz="8" w:space="0" w:color="AEAEAE"/>
              <w:left w:val="single" w:sz="8" w:space="0" w:color="E0E0E0"/>
              <w:bottom w:val="single" w:sz="8" w:space="0" w:color="AEAEAE"/>
              <w:right w:val="nil"/>
            </w:tcBorders>
            <w:shd w:val="clear" w:color="auto" w:fill="FFFFFF"/>
          </w:tcPr>
          <w:p w14:paraId="481D6CD2"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1,2239</w:t>
            </w:r>
          </w:p>
        </w:tc>
        <w:tc>
          <w:tcPr>
            <w:tcW w:w="1035" w:type="dxa"/>
            <w:tcBorders>
              <w:top w:val="single" w:sz="8" w:space="0" w:color="AEAEAE"/>
              <w:left w:val="single" w:sz="8" w:space="0" w:color="E0E0E0"/>
              <w:bottom w:val="single" w:sz="8" w:space="0" w:color="AEAEAE"/>
              <w:right w:val="nil"/>
            </w:tcBorders>
            <w:shd w:val="clear" w:color="auto" w:fill="FFFFFF"/>
          </w:tcPr>
          <w:p w14:paraId="2BE4A223"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1,498</w:t>
            </w:r>
          </w:p>
        </w:tc>
      </w:tr>
      <w:tr w:rsidR="00EF40E9" w:rsidRPr="005B1BC3" w14:paraId="593650D4" w14:textId="77777777" w:rsidTr="00305686">
        <w:tblPrEx>
          <w:tblCellMar>
            <w:top w:w="0" w:type="dxa"/>
            <w:bottom w:w="0" w:type="dxa"/>
          </w:tblCellMar>
        </w:tblPrEx>
        <w:trPr>
          <w:gridAfter w:val="1"/>
          <w:wAfter w:w="54" w:type="dxa"/>
          <w:cantSplit/>
          <w:trHeight w:val="277"/>
        </w:trPr>
        <w:tc>
          <w:tcPr>
            <w:tcW w:w="703" w:type="dxa"/>
            <w:tcBorders>
              <w:top w:val="single" w:sz="8" w:space="0" w:color="AEAEAE"/>
              <w:left w:val="nil"/>
              <w:bottom w:val="single" w:sz="8" w:space="0" w:color="AEAEAE"/>
              <w:right w:val="nil"/>
            </w:tcBorders>
            <w:shd w:val="clear" w:color="auto" w:fill="E0E0E0"/>
          </w:tcPr>
          <w:p w14:paraId="3C45F297" w14:textId="77777777" w:rsidR="00EF40E9" w:rsidRPr="005B1BC3" w:rsidRDefault="00EF40E9" w:rsidP="00F549F7">
            <w:pPr>
              <w:autoSpaceDE w:val="0"/>
              <w:autoSpaceDN w:val="0"/>
              <w:adjustRightInd w:val="0"/>
              <w:spacing w:after="0" w:line="240" w:lineRule="auto"/>
              <w:ind w:left="60" w:right="60"/>
              <w:rPr>
                <w:rFonts w:ascii="Arial" w:hAnsi="Arial" w:cs="Arial"/>
                <w:color w:val="264A60"/>
                <w:sz w:val="16"/>
                <w:szCs w:val="16"/>
              </w:rPr>
            </w:pPr>
            <w:r w:rsidRPr="005B1BC3">
              <w:rPr>
                <w:rFonts w:ascii="Arial" w:hAnsi="Arial" w:cs="Arial"/>
                <w:color w:val="264A60"/>
                <w:sz w:val="16"/>
                <w:szCs w:val="16"/>
              </w:rPr>
              <w:t>IGDP</w:t>
            </w:r>
          </w:p>
        </w:tc>
        <w:tc>
          <w:tcPr>
            <w:tcW w:w="705" w:type="dxa"/>
            <w:tcBorders>
              <w:top w:val="single" w:sz="8" w:space="0" w:color="AEAEAE"/>
              <w:left w:val="nil"/>
              <w:bottom w:val="single" w:sz="8" w:space="0" w:color="AEAEAE"/>
              <w:right w:val="nil"/>
            </w:tcBorders>
            <w:shd w:val="clear" w:color="auto" w:fill="FFFFFF"/>
          </w:tcPr>
          <w:p w14:paraId="62787062"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12</w:t>
            </w:r>
          </w:p>
        </w:tc>
        <w:tc>
          <w:tcPr>
            <w:tcW w:w="838" w:type="dxa"/>
            <w:tcBorders>
              <w:top w:val="single" w:sz="8" w:space="0" w:color="AEAEAE"/>
              <w:left w:val="single" w:sz="8" w:space="0" w:color="E0E0E0"/>
              <w:bottom w:val="single" w:sz="8" w:space="0" w:color="AEAEAE"/>
              <w:right w:val="nil"/>
            </w:tcBorders>
            <w:shd w:val="clear" w:color="auto" w:fill="FFFFFF"/>
          </w:tcPr>
          <w:p w14:paraId="417C3E29"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2,62</w:t>
            </w:r>
          </w:p>
        </w:tc>
        <w:tc>
          <w:tcPr>
            <w:tcW w:w="976" w:type="dxa"/>
            <w:tcBorders>
              <w:top w:val="single" w:sz="8" w:space="0" w:color="AEAEAE"/>
              <w:left w:val="single" w:sz="8" w:space="0" w:color="E0E0E0"/>
              <w:bottom w:val="single" w:sz="8" w:space="0" w:color="AEAEAE"/>
              <w:right w:val="nil"/>
            </w:tcBorders>
            <w:shd w:val="clear" w:color="auto" w:fill="FFFFFF"/>
          </w:tcPr>
          <w:p w14:paraId="56698D93"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2,56</w:t>
            </w:r>
          </w:p>
        </w:tc>
        <w:tc>
          <w:tcPr>
            <w:tcW w:w="852" w:type="dxa"/>
            <w:tcBorders>
              <w:top w:val="single" w:sz="8" w:space="0" w:color="AEAEAE"/>
              <w:left w:val="single" w:sz="8" w:space="0" w:color="E0E0E0"/>
              <w:bottom w:val="single" w:sz="8" w:space="0" w:color="AEAEAE"/>
              <w:right w:val="nil"/>
            </w:tcBorders>
            <w:shd w:val="clear" w:color="auto" w:fill="FFFFFF"/>
          </w:tcPr>
          <w:p w14:paraId="2A6922B6"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5,18</w:t>
            </w:r>
          </w:p>
        </w:tc>
        <w:tc>
          <w:tcPr>
            <w:tcW w:w="1521" w:type="dxa"/>
            <w:tcBorders>
              <w:top w:val="single" w:sz="8" w:space="0" w:color="AEAEAE"/>
              <w:left w:val="single" w:sz="8" w:space="0" w:color="E0E0E0"/>
              <w:bottom w:val="single" w:sz="8" w:space="0" w:color="AEAEAE"/>
              <w:right w:val="single" w:sz="8" w:space="0" w:color="E0E0E0"/>
            </w:tcBorders>
            <w:shd w:val="clear" w:color="auto" w:fill="FFFFFF"/>
          </w:tcPr>
          <w:p w14:paraId="1E655F95"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4,1308</w:t>
            </w:r>
          </w:p>
        </w:tc>
        <w:tc>
          <w:tcPr>
            <w:tcW w:w="1433" w:type="dxa"/>
            <w:tcBorders>
              <w:top w:val="single" w:sz="8" w:space="0" w:color="AEAEAE"/>
              <w:left w:val="single" w:sz="8" w:space="0" w:color="E0E0E0"/>
              <w:bottom w:val="single" w:sz="8" w:space="0" w:color="AEAEAE"/>
              <w:right w:val="nil"/>
            </w:tcBorders>
            <w:shd w:val="clear" w:color="auto" w:fill="FFFFFF"/>
          </w:tcPr>
          <w:p w14:paraId="3210AB33"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,24620</w:t>
            </w:r>
          </w:p>
        </w:tc>
        <w:tc>
          <w:tcPr>
            <w:tcW w:w="1547" w:type="dxa"/>
            <w:tcBorders>
              <w:top w:val="single" w:sz="8" w:space="0" w:color="AEAEAE"/>
              <w:left w:val="single" w:sz="8" w:space="0" w:color="E0E0E0"/>
              <w:bottom w:val="single" w:sz="8" w:space="0" w:color="AEAEAE"/>
              <w:right w:val="nil"/>
            </w:tcBorders>
            <w:shd w:val="clear" w:color="auto" w:fill="FFFFFF"/>
          </w:tcPr>
          <w:p w14:paraId="448495B9"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,85286</w:t>
            </w:r>
          </w:p>
        </w:tc>
        <w:tc>
          <w:tcPr>
            <w:tcW w:w="1035" w:type="dxa"/>
            <w:tcBorders>
              <w:top w:val="single" w:sz="8" w:space="0" w:color="AEAEAE"/>
              <w:left w:val="single" w:sz="8" w:space="0" w:color="E0E0E0"/>
              <w:bottom w:val="single" w:sz="8" w:space="0" w:color="AEAEAE"/>
              <w:right w:val="nil"/>
            </w:tcBorders>
            <w:shd w:val="clear" w:color="auto" w:fill="FFFFFF"/>
          </w:tcPr>
          <w:p w14:paraId="2D70BE03"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,727</w:t>
            </w:r>
          </w:p>
        </w:tc>
      </w:tr>
      <w:tr w:rsidR="00EF40E9" w:rsidRPr="005B1BC3" w14:paraId="1A557C49" w14:textId="77777777" w:rsidTr="00305686">
        <w:tblPrEx>
          <w:tblCellMar>
            <w:top w:w="0" w:type="dxa"/>
            <w:bottom w:w="0" w:type="dxa"/>
          </w:tblCellMar>
        </w:tblPrEx>
        <w:trPr>
          <w:gridAfter w:val="1"/>
          <w:wAfter w:w="54" w:type="dxa"/>
          <w:cantSplit/>
          <w:trHeight w:val="277"/>
        </w:trPr>
        <w:tc>
          <w:tcPr>
            <w:tcW w:w="703" w:type="dxa"/>
            <w:tcBorders>
              <w:top w:val="single" w:sz="8" w:space="0" w:color="AEAEAE"/>
              <w:left w:val="nil"/>
              <w:bottom w:val="single" w:sz="8" w:space="0" w:color="AEAEAE"/>
              <w:right w:val="nil"/>
            </w:tcBorders>
            <w:shd w:val="clear" w:color="auto" w:fill="E0E0E0"/>
          </w:tcPr>
          <w:p w14:paraId="13C7C9C2" w14:textId="77777777" w:rsidR="00EF40E9" w:rsidRPr="005B1BC3" w:rsidRDefault="00EF40E9" w:rsidP="00F549F7">
            <w:pPr>
              <w:autoSpaceDE w:val="0"/>
              <w:autoSpaceDN w:val="0"/>
              <w:adjustRightInd w:val="0"/>
              <w:spacing w:after="0" w:line="240" w:lineRule="auto"/>
              <w:ind w:left="60" w:right="60"/>
              <w:rPr>
                <w:rFonts w:ascii="Arial" w:hAnsi="Arial" w:cs="Arial"/>
                <w:color w:val="264A60"/>
                <w:sz w:val="16"/>
                <w:szCs w:val="16"/>
              </w:rPr>
            </w:pPr>
            <w:r w:rsidRPr="005B1BC3">
              <w:rPr>
                <w:rFonts w:ascii="Arial" w:hAnsi="Arial" w:cs="Arial"/>
                <w:color w:val="264A60"/>
                <w:sz w:val="16"/>
                <w:szCs w:val="16"/>
              </w:rPr>
              <w:t>PEE</w:t>
            </w:r>
          </w:p>
        </w:tc>
        <w:tc>
          <w:tcPr>
            <w:tcW w:w="705" w:type="dxa"/>
            <w:tcBorders>
              <w:top w:val="single" w:sz="8" w:space="0" w:color="AEAEAE"/>
              <w:left w:val="nil"/>
              <w:bottom w:val="single" w:sz="8" w:space="0" w:color="AEAEAE"/>
              <w:right w:val="nil"/>
            </w:tcBorders>
            <w:shd w:val="clear" w:color="auto" w:fill="FFFFFF"/>
          </w:tcPr>
          <w:p w14:paraId="7293CACD"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12</w:t>
            </w:r>
          </w:p>
        </w:tc>
        <w:tc>
          <w:tcPr>
            <w:tcW w:w="838" w:type="dxa"/>
            <w:tcBorders>
              <w:top w:val="single" w:sz="8" w:space="0" w:color="AEAEAE"/>
              <w:left w:val="single" w:sz="8" w:space="0" w:color="E0E0E0"/>
              <w:bottom w:val="single" w:sz="8" w:space="0" w:color="AEAEAE"/>
              <w:right w:val="nil"/>
            </w:tcBorders>
            <w:shd w:val="clear" w:color="auto" w:fill="FFFFFF"/>
          </w:tcPr>
          <w:p w14:paraId="2AD80493"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838,1</w:t>
            </w:r>
          </w:p>
        </w:tc>
        <w:tc>
          <w:tcPr>
            <w:tcW w:w="976" w:type="dxa"/>
            <w:tcBorders>
              <w:top w:val="single" w:sz="8" w:space="0" w:color="AEAEAE"/>
              <w:left w:val="single" w:sz="8" w:space="0" w:color="E0E0E0"/>
              <w:bottom w:val="single" w:sz="8" w:space="0" w:color="AEAEAE"/>
              <w:right w:val="nil"/>
            </w:tcBorders>
            <w:shd w:val="clear" w:color="auto" w:fill="FFFFFF"/>
          </w:tcPr>
          <w:p w14:paraId="3C3436AC"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1018,3</w:t>
            </w:r>
          </w:p>
        </w:tc>
        <w:tc>
          <w:tcPr>
            <w:tcW w:w="852" w:type="dxa"/>
            <w:tcBorders>
              <w:top w:val="single" w:sz="8" w:space="0" w:color="AEAEAE"/>
              <w:left w:val="single" w:sz="8" w:space="0" w:color="E0E0E0"/>
              <w:bottom w:val="single" w:sz="8" w:space="0" w:color="AEAEAE"/>
              <w:right w:val="nil"/>
            </w:tcBorders>
            <w:shd w:val="clear" w:color="auto" w:fill="FFFFFF"/>
          </w:tcPr>
          <w:p w14:paraId="3A2231F6"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1856,4</w:t>
            </w:r>
          </w:p>
        </w:tc>
        <w:tc>
          <w:tcPr>
            <w:tcW w:w="1521" w:type="dxa"/>
            <w:tcBorders>
              <w:top w:val="single" w:sz="8" w:space="0" w:color="AEAEAE"/>
              <w:left w:val="single" w:sz="8" w:space="0" w:color="E0E0E0"/>
              <w:bottom w:val="single" w:sz="8" w:space="0" w:color="AEAEAE"/>
              <w:right w:val="single" w:sz="8" w:space="0" w:color="E0E0E0"/>
            </w:tcBorders>
            <w:shd w:val="clear" w:color="auto" w:fill="FFFFFF"/>
          </w:tcPr>
          <w:p w14:paraId="4CE37D2A"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1426,525</w:t>
            </w:r>
          </w:p>
        </w:tc>
        <w:tc>
          <w:tcPr>
            <w:tcW w:w="1433" w:type="dxa"/>
            <w:tcBorders>
              <w:top w:val="single" w:sz="8" w:space="0" w:color="AEAEAE"/>
              <w:left w:val="single" w:sz="8" w:space="0" w:color="E0E0E0"/>
              <w:bottom w:val="single" w:sz="8" w:space="0" w:color="AEAEAE"/>
              <w:right w:val="nil"/>
            </w:tcBorders>
            <w:shd w:val="clear" w:color="auto" w:fill="FFFFFF"/>
          </w:tcPr>
          <w:p w14:paraId="4E458315"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100,2228</w:t>
            </w:r>
          </w:p>
        </w:tc>
        <w:tc>
          <w:tcPr>
            <w:tcW w:w="1547" w:type="dxa"/>
            <w:tcBorders>
              <w:top w:val="single" w:sz="8" w:space="0" w:color="AEAEAE"/>
              <w:left w:val="single" w:sz="8" w:space="0" w:color="E0E0E0"/>
              <w:bottom w:val="single" w:sz="8" w:space="0" w:color="AEAEAE"/>
              <w:right w:val="nil"/>
            </w:tcBorders>
            <w:shd w:val="clear" w:color="auto" w:fill="FFFFFF"/>
          </w:tcPr>
          <w:p w14:paraId="5BC299C3"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347,1820</w:t>
            </w:r>
          </w:p>
        </w:tc>
        <w:tc>
          <w:tcPr>
            <w:tcW w:w="1035" w:type="dxa"/>
            <w:tcBorders>
              <w:top w:val="single" w:sz="8" w:space="0" w:color="AEAEAE"/>
              <w:left w:val="single" w:sz="8" w:space="0" w:color="E0E0E0"/>
              <w:bottom w:val="single" w:sz="8" w:space="0" w:color="AEAEAE"/>
              <w:right w:val="nil"/>
            </w:tcBorders>
            <w:shd w:val="clear" w:color="auto" w:fill="FFFFFF"/>
          </w:tcPr>
          <w:p w14:paraId="5391C593"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120535,344</w:t>
            </w:r>
          </w:p>
        </w:tc>
      </w:tr>
      <w:tr w:rsidR="00EF40E9" w:rsidRPr="005B1BC3" w14:paraId="70D09716" w14:textId="77777777" w:rsidTr="00305686">
        <w:tblPrEx>
          <w:tblCellMar>
            <w:top w:w="0" w:type="dxa"/>
            <w:bottom w:w="0" w:type="dxa"/>
          </w:tblCellMar>
        </w:tblPrEx>
        <w:trPr>
          <w:gridAfter w:val="1"/>
          <w:wAfter w:w="54" w:type="dxa"/>
          <w:cantSplit/>
          <w:trHeight w:val="277"/>
        </w:trPr>
        <w:tc>
          <w:tcPr>
            <w:tcW w:w="703" w:type="dxa"/>
            <w:tcBorders>
              <w:top w:val="single" w:sz="8" w:space="0" w:color="AEAEAE"/>
              <w:left w:val="nil"/>
              <w:bottom w:val="single" w:sz="8" w:space="0" w:color="152935"/>
              <w:right w:val="nil"/>
            </w:tcBorders>
            <w:shd w:val="clear" w:color="auto" w:fill="E0E0E0"/>
          </w:tcPr>
          <w:p w14:paraId="5C8DB4DD" w14:textId="77777777" w:rsidR="00EF40E9" w:rsidRPr="005B1BC3" w:rsidRDefault="00EF40E9" w:rsidP="00F549F7">
            <w:pPr>
              <w:autoSpaceDE w:val="0"/>
              <w:autoSpaceDN w:val="0"/>
              <w:adjustRightInd w:val="0"/>
              <w:spacing w:after="0" w:line="240" w:lineRule="auto"/>
              <w:ind w:left="60"/>
              <w:rPr>
                <w:rFonts w:ascii="Arial" w:hAnsi="Arial" w:cs="Arial"/>
                <w:color w:val="264A60"/>
                <w:sz w:val="16"/>
                <w:szCs w:val="16"/>
              </w:rPr>
            </w:pPr>
            <w:r w:rsidRPr="005B1BC3">
              <w:rPr>
                <w:rFonts w:ascii="Arial" w:hAnsi="Arial" w:cs="Arial"/>
                <w:color w:val="264A60"/>
                <w:sz w:val="16"/>
                <w:szCs w:val="16"/>
              </w:rPr>
              <w:t>Valid N (listwise)</w:t>
            </w:r>
          </w:p>
        </w:tc>
        <w:tc>
          <w:tcPr>
            <w:tcW w:w="705" w:type="dxa"/>
            <w:tcBorders>
              <w:top w:val="single" w:sz="8" w:space="0" w:color="AEAEAE"/>
              <w:left w:val="nil"/>
              <w:bottom w:val="single" w:sz="8" w:space="0" w:color="152935"/>
              <w:right w:val="nil"/>
            </w:tcBorders>
            <w:shd w:val="clear" w:color="auto" w:fill="FFFFFF"/>
          </w:tcPr>
          <w:p w14:paraId="436072E7" w14:textId="77777777" w:rsidR="00EF40E9" w:rsidRPr="005B1BC3" w:rsidRDefault="00EF40E9" w:rsidP="00F549F7">
            <w:pPr>
              <w:autoSpaceDE w:val="0"/>
              <w:autoSpaceDN w:val="0"/>
              <w:adjustRightInd w:val="0"/>
              <w:spacing w:after="0" w:line="240" w:lineRule="auto"/>
              <w:ind w:left="60" w:right="60"/>
              <w:jc w:val="right"/>
              <w:rPr>
                <w:rFonts w:ascii="Arial" w:hAnsi="Arial" w:cs="Arial"/>
                <w:color w:val="010205"/>
                <w:sz w:val="16"/>
                <w:szCs w:val="16"/>
              </w:rPr>
            </w:pPr>
            <w:r w:rsidRPr="005B1BC3">
              <w:rPr>
                <w:rFonts w:ascii="Arial" w:hAnsi="Arial" w:cs="Arial"/>
                <w:color w:val="010205"/>
                <w:sz w:val="16"/>
                <w:szCs w:val="16"/>
              </w:rPr>
              <w:t>12</w:t>
            </w:r>
          </w:p>
        </w:tc>
        <w:tc>
          <w:tcPr>
            <w:tcW w:w="838" w:type="dxa"/>
            <w:tcBorders>
              <w:top w:val="single" w:sz="8" w:space="0" w:color="AEAEAE"/>
              <w:left w:val="single" w:sz="8" w:space="0" w:color="E0E0E0"/>
              <w:bottom w:val="single" w:sz="8" w:space="0" w:color="152935"/>
              <w:right w:val="nil"/>
            </w:tcBorders>
            <w:shd w:val="clear" w:color="auto" w:fill="FFFFFF"/>
            <w:vAlign w:val="center"/>
          </w:tcPr>
          <w:p w14:paraId="6624E1FB" w14:textId="77777777" w:rsidR="00EF40E9" w:rsidRPr="005B1BC3" w:rsidRDefault="00EF40E9" w:rsidP="00F549F7">
            <w:pPr>
              <w:autoSpaceDE w:val="0"/>
              <w:autoSpaceDN w:val="0"/>
              <w:adjustRightInd w:val="0"/>
              <w:spacing w:after="0" w:line="240" w:lineRule="auto"/>
              <w:rPr>
                <w:rFonts w:ascii="Times New Roman" w:hAnsi="Times New Roman" w:cs="Times New Roman"/>
                <w:sz w:val="16"/>
                <w:szCs w:val="16"/>
              </w:rPr>
            </w:pPr>
          </w:p>
        </w:tc>
        <w:tc>
          <w:tcPr>
            <w:tcW w:w="976" w:type="dxa"/>
            <w:tcBorders>
              <w:top w:val="single" w:sz="8" w:space="0" w:color="AEAEAE"/>
              <w:left w:val="single" w:sz="8" w:space="0" w:color="E0E0E0"/>
              <w:bottom w:val="single" w:sz="8" w:space="0" w:color="152935"/>
              <w:right w:val="nil"/>
            </w:tcBorders>
            <w:shd w:val="clear" w:color="auto" w:fill="FFFFFF"/>
            <w:vAlign w:val="center"/>
          </w:tcPr>
          <w:p w14:paraId="2FFE40C3" w14:textId="77777777" w:rsidR="00EF40E9" w:rsidRPr="005B1BC3" w:rsidRDefault="00EF40E9" w:rsidP="00F549F7">
            <w:pPr>
              <w:autoSpaceDE w:val="0"/>
              <w:autoSpaceDN w:val="0"/>
              <w:adjustRightInd w:val="0"/>
              <w:spacing w:after="0" w:line="240" w:lineRule="auto"/>
              <w:rPr>
                <w:rFonts w:ascii="Times New Roman" w:hAnsi="Times New Roman" w:cs="Times New Roman"/>
                <w:sz w:val="16"/>
                <w:szCs w:val="16"/>
              </w:rPr>
            </w:pPr>
          </w:p>
        </w:tc>
        <w:tc>
          <w:tcPr>
            <w:tcW w:w="852" w:type="dxa"/>
            <w:tcBorders>
              <w:top w:val="single" w:sz="8" w:space="0" w:color="AEAEAE"/>
              <w:left w:val="single" w:sz="8" w:space="0" w:color="E0E0E0"/>
              <w:bottom w:val="single" w:sz="8" w:space="0" w:color="152935"/>
              <w:right w:val="nil"/>
            </w:tcBorders>
            <w:shd w:val="clear" w:color="auto" w:fill="FFFFFF"/>
            <w:vAlign w:val="center"/>
          </w:tcPr>
          <w:p w14:paraId="480745DE" w14:textId="77777777" w:rsidR="00EF40E9" w:rsidRPr="005B1BC3" w:rsidRDefault="00EF40E9" w:rsidP="00F549F7">
            <w:pPr>
              <w:autoSpaceDE w:val="0"/>
              <w:autoSpaceDN w:val="0"/>
              <w:adjustRightInd w:val="0"/>
              <w:spacing w:after="0" w:line="240" w:lineRule="auto"/>
              <w:rPr>
                <w:rFonts w:ascii="Times New Roman" w:hAnsi="Times New Roman" w:cs="Times New Roman"/>
                <w:sz w:val="16"/>
                <w:szCs w:val="16"/>
              </w:rPr>
            </w:pPr>
          </w:p>
        </w:tc>
        <w:tc>
          <w:tcPr>
            <w:tcW w:w="152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A1024FF" w14:textId="77777777" w:rsidR="00EF40E9" w:rsidRPr="005B1BC3" w:rsidRDefault="00EF40E9" w:rsidP="00F549F7">
            <w:pPr>
              <w:autoSpaceDE w:val="0"/>
              <w:autoSpaceDN w:val="0"/>
              <w:adjustRightInd w:val="0"/>
              <w:spacing w:after="0" w:line="240" w:lineRule="auto"/>
              <w:rPr>
                <w:rFonts w:ascii="Times New Roman" w:hAnsi="Times New Roman" w:cs="Times New Roman"/>
                <w:sz w:val="16"/>
                <w:szCs w:val="16"/>
              </w:rPr>
            </w:pPr>
          </w:p>
        </w:tc>
        <w:tc>
          <w:tcPr>
            <w:tcW w:w="1433" w:type="dxa"/>
            <w:tcBorders>
              <w:top w:val="single" w:sz="8" w:space="0" w:color="AEAEAE"/>
              <w:left w:val="single" w:sz="8" w:space="0" w:color="E0E0E0"/>
              <w:bottom w:val="single" w:sz="8" w:space="0" w:color="152935"/>
              <w:right w:val="nil"/>
            </w:tcBorders>
            <w:shd w:val="clear" w:color="auto" w:fill="FFFFFF"/>
            <w:vAlign w:val="center"/>
          </w:tcPr>
          <w:p w14:paraId="38683230" w14:textId="77777777" w:rsidR="00EF40E9" w:rsidRPr="005B1BC3" w:rsidRDefault="00EF40E9" w:rsidP="00F549F7">
            <w:pPr>
              <w:autoSpaceDE w:val="0"/>
              <w:autoSpaceDN w:val="0"/>
              <w:adjustRightInd w:val="0"/>
              <w:spacing w:after="0" w:line="240" w:lineRule="auto"/>
              <w:rPr>
                <w:rFonts w:ascii="Times New Roman" w:hAnsi="Times New Roman" w:cs="Times New Roman"/>
                <w:sz w:val="16"/>
                <w:szCs w:val="16"/>
              </w:rPr>
            </w:pPr>
          </w:p>
        </w:tc>
        <w:tc>
          <w:tcPr>
            <w:tcW w:w="1547" w:type="dxa"/>
            <w:tcBorders>
              <w:top w:val="single" w:sz="8" w:space="0" w:color="AEAEAE"/>
              <w:left w:val="single" w:sz="8" w:space="0" w:color="E0E0E0"/>
              <w:bottom w:val="single" w:sz="8" w:space="0" w:color="152935"/>
              <w:right w:val="nil"/>
            </w:tcBorders>
            <w:shd w:val="clear" w:color="auto" w:fill="FFFFFF"/>
            <w:vAlign w:val="center"/>
          </w:tcPr>
          <w:p w14:paraId="105A3654" w14:textId="77777777" w:rsidR="00EF40E9" w:rsidRPr="005B1BC3" w:rsidRDefault="00EF40E9" w:rsidP="00F549F7">
            <w:pPr>
              <w:autoSpaceDE w:val="0"/>
              <w:autoSpaceDN w:val="0"/>
              <w:adjustRightInd w:val="0"/>
              <w:spacing w:after="0" w:line="240" w:lineRule="auto"/>
              <w:rPr>
                <w:rFonts w:ascii="Times New Roman" w:hAnsi="Times New Roman" w:cs="Times New Roman"/>
                <w:sz w:val="16"/>
                <w:szCs w:val="16"/>
              </w:rPr>
            </w:pPr>
          </w:p>
        </w:tc>
        <w:tc>
          <w:tcPr>
            <w:tcW w:w="1035" w:type="dxa"/>
            <w:tcBorders>
              <w:top w:val="single" w:sz="8" w:space="0" w:color="AEAEAE"/>
              <w:left w:val="single" w:sz="8" w:space="0" w:color="E0E0E0"/>
              <w:bottom w:val="single" w:sz="8" w:space="0" w:color="152935"/>
              <w:right w:val="nil"/>
            </w:tcBorders>
            <w:shd w:val="clear" w:color="auto" w:fill="FFFFFF"/>
            <w:vAlign w:val="center"/>
          </w:tcPr>
          <w:p w14:paraId="6FE2F4A7" w14:textId="77777777" w:rsidR="00EF40E9" w:rsidRPr="005B1BC3" w:rsidRDefault="00EF40E9" w:rsidP="00F549F7">
            <w:pPr>
              <w:autoSpaceDE w:val="0"/>
              <w:autoSpaceDN w:val="0"/>
              <w:adjustRightInd w:val="0"/>
              <w:spacing w:after="0" w:line="240" w:lineRule="auto"/>
              <w:rPr>
                <w:rFonts w:ascii="Times New Roman" w:hAnsi="Times New Roman" w:cs="Times New Roman"/>
                <w:sz w:val="16"/>
                <w:szCs w:val="16"/>
              </w:rPr>
            </w:pPr>
          </w:p>
        </w:tc>
      </w:tr>
    </w:tbl>
    <w:p w14:paraId="3ED08AA7" w14:textId="29792F26" w:rsidR="00EF40E9" w:rsidRPr="005B1BC3" w:rsidRDefault="00EF40E9" w:rsidP="00F549F7">
      <w:pPr>
        <w:autoSpaceDE w:val="0"/>
        <w:autoSpaceDN w:val="0"/>
        <w:adjustRightInd w:val="0"/>
        <w:spacing w:after="0" w:line="240" w:lineRule="auto"/>
        <w:rPr>
          <w:rFonts w:ascii="Times New Roman" w:hAnsi="Times New Roman" w:cs="Times New Roman"/>
          <w:sz w:val="20"/>
          <w:szCs w:val="20"/>
        </w:rPr>
      </w:pPr>
      <w:r w:rsidRPr="00622A03">
        <w:rPr>
          <w:rFonts w:ascii="Times New Roman" w:hAnsi="Times New Roman" w:cs="Times New Roman"/>
          <w:sz w:val="20"/>
          <w:szCs w:val="20"/>
        </w:rPr>
        <w:t>Sursa: Prelucrare proprie în SPSS 26</w:t>
      </w:r>
    </w:p>
    <w:p w14:paraId="0C4AC474" w14:textId="2E670ED9" w:rsidR="00EF40E9" w:rsidRDefault="00EF40E9" w:rsidP="00F549F7">
      <w:pPr>
        <w:spacing w:before="24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După cum se poate observa în Tabelul nr. x, cea mai mică rată de angaja</w:t>
      </w:r>
      <w:r w:rsidR="00FE6F2F">
        <w:rPr>
          <w:rFonts w:ascii="Times New Roman" w:hAnsi="Times New Roman" w:cs="Times New Roman"/>
          <w:sz w:val="24"/>
          <w:szCs w:val="24"/>
        </w:rPr>
        <w:t xml:space="preserve">re </w:t>
      </w:r>
      <w:r>
        <w:rPr>
          <w:rFonts w:ascii="Times New Roman" w:hAnsi="Times New Roman" w:cs="Times New Roman"/>
          <w:sz w:val="24"/>
          <w:szCs w:val="24"/>
        </w:rPr>
        <w:t>a tinerilor absolvenți a fost de 66,2% (înregistrată în anul 2014), iar cea mai mare de 77,4% (în anul 2018).  În ceea ce privește nivelul studiilor superioare al populației, procentul cel mai mic a fost pentru perioada analizată în anul 2012 de 25,5%, iar nivelul maxim de 29,2% a fost înregistrat în 2019. Nivelul investițiilor la nivelul sectorului educațional a înregistrat cea mai mică valoare în anul 2017, iar valoarea cea mai mare în anul 2012, nivelul fiind apropiat de valorile din 2022. Referitor la cheltuielile publice cu educația, acestea au avut un ritm ascendent în perioada analizată, cea mai mică valoare fiind înregistrată în anul 2012 și cea mai mare în anul 2023.</w:t>
      </w:r>
    </w:p>
    <w:p w14:paraId="16088598" w14:textId="0CC34071" w:rsidR="00EF40E9" w:rsidRDefault="00EF40E9" w:rsidP="00F549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În continuare, pe baza </w:t>
      </w:r>
      <w:r w:rsidRPr="00622A03">
        <w:rPr>
          <w:rFonts w:ascii="Times New Roman" w:hAnsi="Times New Roman" w:cs="Times New Roman"/>
          <w:sz w:val="24"/>
          <w:szCs w:val="24"/>
        </w:rPr>
        <w:t>testul</w:t>
      </w:r>
      <w:r>
        <w:rPr>
          <w:rFonts w:ascii="Times New Roman" w:hAnsi="Times New Roman" w:cs="Times New Roman"/>
          <w:sz w:val="24"/>
          <w:szCs w:val="24"/>
        </w:rPr>
        <w:t>ui</w:t>
      </w:r>
      <w:r w:rsidRPr="00622A03">
        <w:rPr>
          <w:rFonts w:ascii="Times New Roman" w:hAnsi="Times New Roman" w:cs="Times New Roman"/>
          <w:sz w:val="24"/>
          <w:szCs w:val="24"/>
        </w:rPr>
        <w:t xml:space="preserve"> Anova </w:t>
      </w:r>
      <w:r>
        <w:rPr>
          <w:rFonts w:ascii="Times New Roman" w:hAnsi="Times New Roman" w:cs="Times New Roman"/>
          <w:sz w:val="24"/>
          <w:szCs w:val="24"/>
        </w:rPr>
        <w:t>vom determina dacă modelul liniar multiplu realizat este validat.</w:t>
      </w:r>
    </w:p>
    <w:p w14:paraId="5ADFA54C" w14:textId="6F7D59DA" w:rsidR="00EF40E9" w:rsidRPr="00A2210C" w:rsidRDefault="00EF40E9" w:rsidP="00F549F7">
      <w:pPr>
        <w:autoSpaceDE w:val="0"/>
        <w:autoSpaceDN w:val="0"/>
        <w:adjustRightInd w:val="0"/>
        <w:spacing w:after="0" w:line="240" w:lineRule="auto"/>
        <w:rPr>
          <w:rFonts w:ascii="Times New Roman" w:hAnsi="Times New Roman" w:cs="Times New Roman"/>
          <w:sz w:val="24"/>
          <w:szCs w:val="24"/>
        </w:rPr>
      </w:pPr>
      <w:r w:rsidRPr="002E6846">
        <w:rPr>
          <w:rFonts w:ascii="Times New Roman" w:hAnsi="Times New Roman" w:cs="Times New Roman"/>
          <w:sz w:val="20"/>
          <w:szCs w:val="20"/>
        </w:rPr>
        <w:t xml:space="preserve">Tabelul nr. </w:t>
      </w:r>
      <w:r w:rsidR="002E6846">
        <w:rPr>
          <w:rFonts w:ascii="Times New Roman" w:hAnsi="Times New Roman" w:cs="Times New Roman"/>
          <w:sz w:val="20"/>
          <w:szCs w:val="20"/>
        </w:rPr>
        <w:t>6</w:t>
      </w:r>
      <w:r w:rsidRPr="002E6846">
        <w:rPr>
          <w:rFonts w:ascii="Times New Roman" w:hAnsi="Times New Roman" w:cs="Times New Roman"/>
          <w:sz w:val="20"/>
          <w:szCs w:val="20"/>
        </w:rPr>
        <w:t xml:space="preserve"> – Testul ANOVA</w:t>
      </w:r>
    </w:p>
    <w:tbl>
      <w:tblPr>
        <w:tblW w:w="8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399"/>
        <w:gridCol w:w="1596"/>
        <w:gridCol w:w="1113"/>
        <w:gridCol w:w="1530"/>
        <w:gridCol w:w="1113"/>
        <w:gridCol w:w="1123"/>
      </w:tblGrid>
      <w:tr w:rsidR="00EF40E9" w:rsidRPr="00A2210C" w14:paraId="2043A258" w14:textId="77777777" w:rsidTr="00622A03">
        <w:tblPrEx>
          <w:tblCellMar>
            <w:top w:w="0" w:type="dxa"/>
            <w:bottom w:w="0" w:type="dxa"/>
          </w:tblCellMar>
        </w:tblPrEx>
        <w:trPr>
          <w:cantSplit/>
          <w:trHeight w:val="198"/>
        </w:trPr>
        <w:tc>
          <w:tcPr>
            <w:tcW w:w="8669" w:type="dxa"/>
            <w:gridSpan w:val="7"/>
            <w:tcBorders>
              <w:top w:val="nil"/>
              <w:left w:val="nil"/>
              <w:bottom w:val="nil"/>
              <w:right w:val="nil"/>
            </w:tcBorders>
            <w:shd w:val="clear" w:color="auto" w:fill="FFFFFF"/>
            <w:vAlign w:val="center"/>
          </w:tcPr>
          <w:p w14:paraId="50D541A1" w14:textId="77777777" w:rsidR="00EF40E9" w:rsidRPr="00A2210C" w:rsidRDefault="00EF40E9" w:rsidP="00F549F7">
            <w:pPr>
              <w:autoSpaceDE w:val="0"/>
              <w:autoSpaceDN w:val="0"/>
              <w:adjustRightInd w:val="0"/>
              <w:spacing w:after="0" w:line="240" w:lineRule="auto"/>
              <w:ind w:left="60" w:right="60"/>
              <w:jc w:val="center"/>
              <w:rPr>
                <w:rFonts w:ascii="Arial" w:hAnsi="Arial" w:cs="Arial"/>
                <w:color w:val="010205"/>
              </w:rPr>
            </w:pPr>
            <w:r w:rsidRPr="00A2210C">
              <w:rPr>
                <w:rFonts w:ascii="Arial" w:hAnsi="Arial" w:cs="Arial"/>
                <w:b/>
                <w:bCs/>
                <w:color w:val="010205"/>
              </w:rPr>
              <w:t>ANOVA</w:t>
            </w:r>
            <w:r w:rsidRPr="00A2210C">
              <w:rPr>
                <w:rFonts w:ascii="Arial" w:hAnsi="Arial" w:cs="Arial"/>
                <w:b/>
                <w:bCs/>
                <w:color w:val="010205"/>
                <w:vertAlign w:val="superscript"/>
              </w:rPr>
              <w:t>a</w:t>
            </w:r>
          </w:p>
        </w:tc>
      </w:tr>
      <w:tr w:rsidR="00EF40E9" w:rsidRPr="00A2210C" w14:paraId="1680DEF1" w14:textId="77777777" w:rsidTr="00622A03">
        <w:tblPrEx>
          <w:tblCellMar>
            <w:top w:w="0" w:type="dxa"/>
            <w:bottom w:w="0" w:type="dxa"/>
          </w:tblCellMar>
        </w:tblPrEx>
        <w:trPr>
          <w:cantSplit/>
          <w:trHeight w:val="191"/>
        </w:trPr>
        <w:tc>
          <w:tcPr>
            <w:tcW w:w="2194" w:type="dxa"/>
            <w:gridSpan w:val="2"/>
            <w:tcBorders>
              <w:top w:val="nil"/>
              <w:left w:val="nil"/>
              <w:bottom w:val="single" w:sz="8" w:space="0" w:color="152935"/>
              <w:right w:val="nil"/>
            </w:tcBorders>
            <w:shd w:val="clear" w:color="auto" w:fill="FFFFFF"/>
            <w:vAlign w:val="bottom"/>
          </w:tcPr>
          <w:p w14:paraId="5DB7D02D" w14:textId="77777777" w:rsidR="00EF40E9" w:rsidRPr="00A2210C" w:rsidRDefault="00EF40E9" w:rsidP="00F549F7">
            <w:pPr>
              <w:autoSpaceDE w:val="0"/>
              <w:autoSpaceDN w:val="0"/>
              <w:adjustRightInd w:val="0"/>
              <w:spacing w:after="0" w:line="240" w:lineRule="auto"/>
              <w:ind w:left="60" w:right="60"/>
              <w:rPr>
                <w:rFonts w:ascii="Arial" w:hAnsi="Arial" w:cs="Arial"/>
                <w:color w:val="264A60"/>
                <w:sz w:val="18"/>
                <w:szCs w:val="18"/>
              </w:rPr>
            </w:pPr>
            <w:r w:rsidRPr="00A2210C">
              <w:rPr>
                <w:rFonts w:ascii="Arial" w:hAnsi="Arial" w:cs="Arial"/>
                <w:color w:val="264A60"/>
                <w:sz w:val="18"/>
                <w:szCs w:val="18"/>
              </w:rPr>
              <w:t>Model</w:t>
            </w:r>
          </w:p>
        </w:tc>
        <w:tc>
          <w:tcPr>
            <w:tcW w:w="1596" w:type="dxa"/>
            <w:tcBorders>
              <w:top w:val="nil"/>
              <w:left w:val="nil"/>
              <w:bottom w:val="single" w:sz="8" w:space="0" w:color="152935"/>
              <w:right w:val="single" w:sz="8" w:space="0" w:color="E0E0E0"/>
            </w:tcBorders>
            <w:shd w:val="clear" w:color="auto" w:fill="FFFFFF"/>
            <w:vAlign w:val="bottom"/>
          </w:tcPr>
          <w:p w14:paraId="6FBA2FC0" w14:textId="77777777" w:rsidR="00EF40E9" w:rsidRPr="00A2210C"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A2210C">
              <w:rPr>
                <w:rFonts w:ascii="Arial" w:hAnsi="Arial" w:cs="Arial"/>
                <w:color w:val="264A60"/>
                <w:sz w:val="18"/>
                <w:szCs w:val="18"/>
              </w:rPr>
              <w:t>Sum of Squares</w:t>
            </w:r>
          </w:p>
        </w:tc>
        <w:tc>
          <w:tcPr>
            <w:tcW w:w="1113" w:type="dxa"/>
            <w:tcBorders>
              <w:top w:val="nil"/>
              <w:left w:val="single" w:sz="8" w:space="0" w:color="E0E0E0"/>
              <w:bottom w:val="single" w:sz="8" w:space="0" w:color="152935"/>
              <w:right w:val="single" w:sz="8" w:space="0" w:color="E0E0E0"/>
            </w:tcBorders>
            <w:shd w:val="clear" w:color="auto" w:fill="FFFFFF"/>
            <w:vAlign w:val="bottom"/>
          </w:tcPr>
          <w:p w14:paraId="54C6DE0C" w14:textId="77777777" w:rsidR="00EF40E9" w:rsidRPr="00A2210C"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A2210C">
              <w:rPr>
                <w:rFonts w:ascii="Arial" w:hAnsi="Arial" w:cs="Arial"/>
                <w:color w:val="264A60"/>
                <w:sz w:val="18"/>
                <w:szCs w:val="18"/>
              </w:rPr>
              <w:t>df</w:t>
            </w:r>
          </w:p>
        </w:tc>
        <w:tc>
          <w:tcPr>
            <w:tcW w:w="1530" w:type="dxa"/>
            <w:tcBorders>
              <w:top w:val="nil"/>
              <w:left w:val="single" w:sz="8" w:space="0" w:color="E0E0E0"/>
              <w:bottom w:val="single" w:sz="8" w:space="0" w:color="152935"/>
              <w:right w:val="single" w:sz="8" w:space="0" w:color="E0E0E0"/>
            </w:tcBorders>
            <w:shd w:val="clear" w:color="auto" w:fill="FFFFFF"/>
            <w:vAlign w:val="bottom"/>
          </w:tcPr>
          <w:p w14:paraId="6C415197" w14:textId="77777777" w:rsidR="00EF40E9" w:rsidRPr="00A2210C"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A2210C">
              <w:rPr>
                <w:rFonts w:ascii="Arial" w:hAnsi="Arial" w:cs="Arial"/>
                <w:color w:val="264A60"/>
                <w:sz w:val="18"/>
                <w:szCs w:val="18"/>
              </w:rPr>
              <w:t>Mean Square</w:t>
            </w:r>
          </w:p>
        </w:tc>
        <w:tc>
          <w:tcPr>
            <w:tcW w:w="1113" w:type="dxa"/>
            <w:tcBorders>
              <w:top w:val="nil"/>
              <w:left w:val="single" w:sz="8" w:space="0" w:color="E0E0E0"/>
              <w:bottom w:val="single" w:sz="8" w:space="0" w:color="152935"/>
              <w:right w:val="single" w:sz="8" w:space="0" w:color="E0E0E0"/>
            </w:tcBorders>
            <w:shd w:val="clear" w:color="auto" w:fill="FFFFFF"/>
            <w:vAlign w:val="bottom"/>
          </w:tcPr>
          <w:p w14:paraId="20E408E4" w14:textId="77777777" w:rsidR="00EF40E9" w:rsidRPr="00A2210C"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A2210C">
              <w:rPr>
                <w:rFonts w:ascii="Arial" w:hAnsi="Arial" w:cs="Arial"/>
                <w:color w:val="264A60"/>
                <w:sz w:val="18"/>
                <w:szCs w:val="18"/>
              </w:rPr>
              <w:t>F</w:t>
            </w:r>
          </w:p>
        </w:tc>
        <w:tc>
          <w:tcPr>
            <w:tcW w:w="1123" w:type="dxa"/>
            <w:tcBorders>
              <w:top w:val="nil"/>
              <w:left w:val="single" w:sz="8" w:space="0" w:color="E0E0E0"/>
              <w:bottom w:val="single" w:sz="8" w:space="0" w:color="152935"/>
              <w:right w:val="nil"/>
            </w:tcBorders>
            <w:shd w:val="clear" w:color="auto" w:fill="FFFFFF"/>
            <w:vAlign w:val="bottom"/>
          </w:tcPr>
          <w:p w14:paraId="6735D031" w14:textId="77777777" w:rsidR="00EF40E9" w:rsidRPr="00A2210C"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A2210C">
              <w:rPr>
                <w:rFonts w:ascii="Arial" w:hAnsi="Arial" w:cs="Arial"/>
                <w:color w:val="264A60"/>
                <w:sz w:val="18"/>
                <w:szCs w:val="18"/>
              </w:rPr>
              <w:t>Sig.</w:t>
            </w:r>
          </w:p>
        </w:tc>
      </w:tr>
      <w:tr w:rsidR="00EF40E9" w:rsidRPr="00A2210C" w14:paraId="1C4DE785" w14:textId="77777777" w:rsidTr="00622A03">
        <w:tblPrEx>
          <w:tblCellMar>
            <w:top w:w="0" w:type="dxa"/>
            <w:bottom w:w="0" w:type="dxa"/>
          </w:tblCellMar>
        </w:tblPrEx>
        <w:trPr>
          <w:cantSplit/>
          <w:trHeight w:val="198"/>
        </w:trPr>
        <w:tc>
          <w:tcPr>
            <w:tcW w:w="795" w:type="dxa"/>
            <w:vMerge w:val="restart"/>
            <w:tcBorders>
              <w:top w:val="single" w:sz="8" w:space="0" w:color="152935"/>
              <w:left w:val="nil"/>
              <w:bottom w:val="single" w:sz="8" w:space="0" w:color="152935"/>
              <w:right w:val="nil"/>
            </w:tcBorders>
            <w:shd w:val="clear" w:color="auto" w:fill="E0E0E0"/>
          </w:tcPr>
          <w:p w14:paraId="68F56FAE" w14:textId="77777777" w:rsidR="00EF40E9" w:rsidRPr="00A2210C" w:rsidRDefault="00EF40E9" w:rsidP="00F549F7">
            <w:pPr>
              <w:autoSpaceDE w:val="0"/>
              <w:autoSpaceDN w:val="0"/>
              <w:adjustRightInd w:val="0"/>
              <w:spacing w:after="0" w:line="240" w:lineRule="auto"/>
              <w:ind w:left="60" w:right="60"/>
              <w:rPr>
                <w:rFonts w:ascii="Arial" w:hAnsi="Arial" w:cs="Arial"/>
                <w:color w:val="264A60"/>
                <w:sz w:val="18"/>
                <w:szCs w:val="18"/>
              </w:rPr>
            </w:pPr>
            <w:r w:rsidRPr="00A2210C">
              <w:rPr>
                <w:rFonts w:ascii="Arial" w:hAnsi="Arial" w:cs="Arial"/>
                <w:color w:val="264A60"/>
                <w:sz w:val="18"/>
                <w:szCs w:val="18"/>
              </w:rPr>
              <w:t>1</w:t>
            </w:r>
          </w:p>
        </w:tc>
        <w:tc>
          <w:tcPr>
            <w:tcW w:w="1399" w:type="dxa"/>
            <w:tcBorders>
              <w:top w:val="single" w:sz="8" w:space="0" w:color="152935"/>
              <w:left w:val="nil"/>
              <w:bottom w:val="single" w:sz="8" w:space="0" w:color="AEAEAE"/>
              <w:right w:val="nil"/>
            </w:tcBorders>
            <w:shd w:val="clear" w:color="auto" w:fill="E0E0E0"/>
          </w:tcPr>
          <w:p w14:paraId="2ACA65E4" w14:textId="77777777" w:rsidR="00EF40E9" w:rsidRPr="00A2210C" w:rsidRDefault="00EF40E9" w:rsidP="00F549F7">
            <w:pPr>
              <w:autoSpaceDE w:val="0"/>
              <w:autoSpaceDN w:val="0"/>
              <w:adjustRightInd w:val="0"/>
              <w:spacing w:after="0" w:line="240" w:lineRule="auto"/>
              <w:ind w:left="60" w:right="60"/>
              <w:rPr>
                <w:rFonts w:ascii="Arial" w:hAnsi="Arial" w:cs="Arial"/>
                <w:color w:val="264A60"/>
                <w:sz w:val="18"/>
                <w:szCs w:val="18"/>
              </w:rPr>
            </w:pPr>
            <w:r w:rsidRPr="00A2210C">
              <w:rPr>
                <w:rFonts w:ascii="Arial" w:hAnsi="Arial" w:cs="Arial"/>
                <w:color w:val="264A60"/>
                <w:sz w:val="18"/>
                <w:szCs w:val="18"/>
              </w:rPr>
              <w:t>Regression</w:t>
            </w:r>
          </w:p>
        </w:tc>
        <w:tc>
          <w:tcPr>
            <w:tcW w:w="1596" w:type="dxa"/>
            <w:tcBorders>
              <w:top w:val="single" w:sz="8" w:space="0" w:color="152935"/>
              <w:left w:val="nil"/>
              <w:bottom w:val="single" w:sz="8" w:space="0" w:color="AEAEAE"/>
              <w:right w:val="single" w:sz="8" w:space="0" w:color="E0E0E0"/>
            </w:tcBorders>
            <w:shd w:val="clear" w:color="auto" w:fill="FFFFFF"/>
          </w:tcPr>
          <w:p w14:paraId="31B3A316" w14:textId="77777777" w:rsidR="00EF40E9" w:rsidRPr="00A2210C"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A2210C">
              <w:rPr>
                <w:rFonts w:ascii="Arial" w:hAnsi="Arial" w:cs="Arial"/>
                <w:color w:val="010205"/>
                <w:sz w:val="18"/>
                <w:szCs w:val="18"/>
              </w:rPr>
              <w:t>128,739</w:t>
            </w:r>
          </w:p>
        </w:tc>
        <w:tc>
          <w:tcPr>
            <w:tcW w:w="1113" w:type="dxa"/>
            <w:tcBorders>
              <w:top w:val="single" w:sz="8" w:space="0" w:color="152935"/>
              <w:left w:val="single" w:sz="8" w:space="0" w:color="E0E0E0"/>
              <w:bottom w:val="single" w:sz="8" w:space="0" w:color="AEAEAE"/>
              <w:right w:val="single" w:sz="8" w:space="0" w:color="E0E0E0"/>
            </w:tcBorders>
            <w:shd w:val="clear" w:color="auto" w:fill="FFFFFF"/>
          </w:tcPr>
          <w:p w14:paraId="538452DD" w14:textId="77777777" w:rsidR="00EF40E9" w:rsidRPr="00A2210C"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A2210C">
              <w:rPr>
                <w:rFonts w:ascii="Arial" w:hAnsi="Arial" w:cs="Arial"/>
                <w:color w:val="010205"/>
                <w:sz w:val="18"/>
                <w:szCs w:val="18"/>
              </w:rPr>
              <w:t>3</w:t>
            </w:r>
          </w:p>
        </w:tc>
        <w:tc>
          <w:tcPr>
            <w:tcW w:w="1530" w:type="dxa"/>
            <w:tcBorders>
              <w:top w:val="single" w:sz="8" w:space="0" w:color="152935"/>
              <w:left w:val="single" w:sz="8" w:space="0" w:color="E0E0E0"/>
              <w:bottom w:val="single" w:sz="8" w:space="0" w:color="AEAEAE"/>
              <w:right w:val="single" w:sz="8" w:space="0" w:color="E0E0E0"/>
            </w:tcBorders>
            <w:shd w:val="clear" w:color="auto" w:fill="FFFFFF"/>
          </w:tcPr>
          <w:p w14:paraId="166BDA41" w14:textId="77777777" w:rsidR="00EF40E9" w:rsidRPr="00A2210C"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A2210C">
              <w:rPr>
                <w:rFonts w:ascii="Arial" w:hAnsi="Arial" w:cs="Arial"/>
                <w:color w:val="010205"/>
                <w:sz w:val="18"/>
                <w:szCs w:val="18"/>
              </w:rPr>
              <w:t>42,913</w:t>
            </w:r>
          </w:p>
        </w:tc>
        <w:tc>
          <w:tcPr>
            <w:tcW w:w="1113" w:type="dxa"/>
            <w:tcBorders>
              <w:top w:val="single" w:sz="8" w:space="0" w:color="152935"/>
              <w:left w:val="single" w:sz="8" w:space="0" w:color="E0E0E0"/>
              <w:bottom w:val="single" w:sz="8" w:space="0" w:color="AEAEAE"/>
              <w:right w:val="single" w:sz="8" w:space="0" w:color="E0E0E0"/>
            </w:tcBorders>
            <w:shd w:val="clear" w:color="auto" w:fill="FFFFFF"/>
          </w:tcPr>
          <w:p w14:paraId="42A0ADA7" w14:textId="1AA9DA30" w:rsidR="00EF40E9" w:rsidRPr="00A2210C"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Pr>
                <w:rFonts w:ascii="Arial" w:hAnsi="Arial" w:cs="Arial"/>
                <w:color w:val="010205"/>
                <w:sz w:val="18"/>
                <w:szCs w:val="18"/>
              </w:rPr>
              <w:t>10</w:t>
            </w:r>
            <w:r w:rsidRPr="00A2210C">
              <w:rPr>
                <w:rFonts w:ascii="Arial" w:hAnsi="Arial" w:cs="Arial"/>
                <w:color w:val="010205"/>
                <w:sz w:val="18"/>
                <w:szCs w:val="18"/>
              </w:rPr>
              <w:t>6,445</w:t>
            </w:r>
          </w:p>
        </w:tc>
        <w:tc>
          <w:tcPr>
            <w:tcW w:w="1123" w:type="dxa"/>
            <w:tcBorders>
              <w:top w:val="single" w:sz="8" w:space="0" w:color="152935"/>
              <w:left w:val="single" w:sz="8" w:space="0" w:color="E0E0E0"/>
              <w:bottom w:val="single" w:sz="8" w:space="0" w:color="AEAEAE"/>
              <w:right w:val="nil"/>
            </w:tcBorders>
            <w:shd w:val="clear" w:color="auto" w:fill="FFFFFF"/>
          </w:tcPr>
          <w:p w14:paraId="2932C8CB" w14:textId="6B45F68A" w:rsidR="00EF40E9" w:rsidRPr="00A2210C"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A2210C">
              <w:rPr>
                <w:rFonts w:ascii="Arial" w:hAnsi="Arial" w:cs="Arial"/>
                <w:color w:val="010205"/>
                <w:sz w:val="18"/>
                <w:szCs w:val="18"/>
              </w:rPr>
              <w:t>,0</w:t>
            </w:r>
            <w:r>
              <w:rPr>
                <w:rFonts w:ascii="Arial" w:hAnsi="Arial" w:cs="Arial"/>
                <w:color w:val="010205"/>
                <w:sz w:val="18"/>
                <w:szCs w:val="18"/>
              </w:rPr>
              <w:t>0</w:t>
            </w:r>
            <w:r w:rsidRPr="00A2210C">
              <w:rPr>
                <w:rFonts w:ascii="Arial" w:hAnsi="Arial" w:cs="Arial"/>
                <w:color w:val="010205"/>
                <w:sz w:val="18"/>
                <w:szCs w:val="18"/>
              </w:rPr>
              <w:t>16</w:t>
            </w:r>
            <w:r w:rsidRPr="00A2210C">
              <w:rPr>
                <w:rFonts w:ascii="Arial" w:hAnsi="Arial" w:cs="Arial"/>
                <w:color w:val="010205"/>
                <w:sz w:val="18"/>
                <w:szCs w:val="18"/>
                <w:vertAlign w:val="superscript"/>
              </w:rPr>
              <w:t>b</w:t>
            </w:r>
          </w:p>
        </w:tc>
      </w:tr>
      <w:tr w:rsidR="00EF40E9" w:rsidRPr="00A2210C" w14:paraId="09450A24" w14:textId="77777777" w:rsidTr="00622A03">
        <w:tblPrEx>
          <w:tblCellMar>
            <w:top w:w="0" w:type="dxa"/>
            <w:bottom w:w="0" w:type="dxa"/>
          </w:tblCellMar>
        </w:tblPrEx>
        <w:trPr>
          <w:cantSplit/>
          <w:trHeight w:val="88"/>
        </w:trPr>
        <w:tc>
          <w:tcPr>
            <w:tcW w:w="795" w:type="dxa"/>
            <w:vMerge/>
            <w:tcBorders>
              <w:top w:val="single" w:sz="8" w:space="0" w:color="152935"/>
              <w:left w:val="nil"/>
              <w:bottom w:val="single" w:sz="8" w:space="0" w:color="152935"/>
              <w:right w:val="nil"/>
            </w:tcBorders>
            <w:shd w:val="clear" w:color="auto" w:fill="E0E0E0"/>
          </w:tcPr>
          <w:p w14:paraId="73B78FA3" w14:textId="77777777" w:rsidR="00EF40E9" w:rsidRPr="00A2210C" w:rsidRDefault="00EF40E9" w:rsidP="00F549F7">
            <w:pPr>
              <w:autoSpaceDE w:val="0"/>
              <w:autoSpaceDN w:val="0"/>
              <w:adjustRightInd w:val="0"/>
              <w:spacing w:after="0" w:line="240" w:lineRule="auto"/>
              <w:rPr>
                <w:rFonts w:ascii="Arial" w:hAnsi="Arial" w:cs="Arial"/>
                <w:color w:val="010205"/>
                <w:sz w:val="18"/>
                <w:szCs w:val="18"/>
              </w:rPr>
            </w:pPr>
          </w:p>
        </w:tc>
        <w:tc>
          <w:tcPr>
            <w:tcW w:w="1399" w:type="dxa"/>
            <w:tcBorders>
              <w:top w:val="single" w:sz="8" w:space="0" w:color="AEAEAE"/>
              <w:left w:val="nil"/>
              <w:bottom w:val="single" w:sz="8" w:space="0" w:color="AEAEAE"/>
              <w:right w:val="nil"/>
            </w:tcBorders>
            <w:shd w:val="clear" w:color="auto" w:fill="E0E0E0"/>
          </w:tcPr>
          <w:p w14:paraId="640E5480" w14:textId="77777777" w:rsidR="00EF40E9" w:rsidRPr="00A2210C" w:rsidRDefault="00EF40E9" w:rsidP="00F549F7">
            <w:pPr>
              <w:autoSpaceDE w:val="0"/>
              <w:autoSpaceDN w:val="0"/>
              <w:adjustRightInd w:val="0"/>
              <w:spacing w:after="0" w:line="240" w:lineRule="auto"/>
              <w:ind w:left="60" w:right="60"/>
              <w:rPr>
                <w:rFonts w:ascii="Arial" w:hAnsi="Arial" w:cs="Arial"/>
                <w:color w:val="264A60"/>
                <w:sz w:val="18"/>
                <w:szCs w:val="18"/>
              </w:rPr>
            </w:pPr>
            <w:r w:rsidRPr="00A2210C">
              <w:rPr>
                <w:rFonts w:ascii="Arial" w:hAnsi="Arial" w:cs="Arial"/>
                <w:color w:val="264A60"/>
                <w:sz w:val="18"/>
                <w:szCs w:val="18"/>
              </w:rPr>
              <w:t>Residual</w:t>
            </w:r>
          </w:p>
        </w:tc>
        <w:tc>
          <w:tcPr>
            <w:tcW w:w="1596" w:type="dxa"/>
            <w:tcBorders>
              <w:top w:val="single" w:sz="8" w:space="0" w:color="AEAEAE"/>
              <w:left w:val="nil"/>
              <w:bottom w:val="single" w:sz="8" w:space="0" w:color="AEAEAE"/>
              <w:right w:val="single" w:sz="8" w:space="0" w:color="E0E0E0"/>
            </w:tcBorders>
            <w:shd w:val="clear" w:color="auto" w:fill="FFFFFF"/>
          </w:tcPr>
          <w:p w14:paraId="14CCAF1C" w14:textId="77777777" w:rsidR="00EF40E9" w:rsidRPr="00A2210C"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A2210C">
              <w:rPr>
                <w:rFonts w:ascii="Arial" w:hAnsi="Arial" w:cs="Arial"/>
                <w:color w:val="010205"/>
                <w:sz w:val="18"/>
                <w:szCs w:val="18"/>
              </w:rPr>
              <w:t>53,268</w:t>
            </w:r>
          </w:p>
        </w:tc>
        <w:tc>
          <w:tcPr>
            <w:tcW w:w="1113" w:type="dxa"/>
            <w:tcBorders>
              <w:top w:val="single" w:sz="8" w:space="0" w:color="AEAEAE"/>
              <w:left w:val="single" w:sz="8" w:space="0" w:color="E0E0E0"/>
              <w:bottom w:val="single" w:sz="8" w:space="0" w:color="AEAEAE"/>
              <w:right w:val="single" w:sz="8" w:space="0" w:color="E0E0E0"/>
            </w:tcBorders>
            <w:shd w:val="clear" w:color="auto" w:fill="FFFFFF"/>
          </w:tcPr>
          <w:p w14:paraId="0B667B46" w14:textId="77777777" w:rsidR="00EF40E9" w:rsidRPr="00A2210C"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A2210C">
              <w:rPr>
                <w:rFonts w:ascii="Arial" w:hAnsi="Arial" w:cs="Arial"/>
                <w:color w:val="010205"/>
                <w:sz w:val="18"/>
                <w:szCs w:val="18"/>
              </w:rPr>
              <w:t>8</w:t>
            </w:r>
          </w:p>
        </w:tc>
        <w:tc>
          <w:tcPr>
            <w:tcW w:w="1530" w:type="dxa"/>
            <w:tcBorders>
              <w:top w:val="single" w:sz="8" w:space="0" w:color="AEAEAE"/>
              <w:left w:val="single" w:sz="8" w:space="0" w:color="E0E0E0"/>
              <w:bottom w:val="single" w:sz="8" w:space="0" w:color="AEAEAE"/>
              <w:right w:val="single" w:sz="8" w:space="0" w:color="E0E0E0"/>
            </w:tcBorders>
            <w:shd w:val="clear" w:color="auto" w:fill="FFFFFF"/>
          </w:tcPr>
          <w:p w14:paraId="7593E572" w14:textId="77777777" w:rsidR="00EF40E9" w:rsidRPr="00A2210C"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A2210C">
              <w:rPr>
                <w:rFonts w:ascii="Arial" w:hAnsi="Arial" w:cs="Arial"/>
                <w:color w:val="010205"/>
                <w:sz w:val="18"/>
                <w:szCs w:val="18"/>
              </w:rPr>
              <w:t>6,658</w:t>
            </w:r>
          </w:p>
        </w:tc>
        <w:tc>
          <w:tcPr>
            <w:tcW w:w="111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5D64F62" w14:textId="77777777" w:rsidR="00EF40E9" w:rsidRPr="00A2210C" w:rsidRDefault="00EF40E9" w:rsidP="00F549F7">
            <w:pPr>
              <w:autoSpaceDE w:val="0"/>
              <w:autoSpaceDN w:val="0"/>
              <w:adjustRightInd w:val="0"/>
              <w:spacing w:after="0" w:line="240" w:lineRule="auto"/>
              <w:rPr>
                <w:rFonts w:ascii="Times New Roman" w:hAnsi="Times New Roman" w:cs="Times New Roman"/>
                <w:sz w:val="24"/>
                <w:szCs w:val="24"/>
              </w:rPr>
            </w:pPr>
          </w:p>
        </w:tc>
        <w:tc>
          <w:tcPr>
            <w:tcW w:w="1123" w:type="dxa"/>
            <w:tcBorders>
              <w:top w:val="single" w:sz="8" w:space="0" w:color="AEAEAE"/>
              <w:left w:val="single" w:sz="8" w:space="0" w:color="E0E0E0"/>
              <w:bottom w:val="single" w:sz="8" w:space="0" w:color="AEAEAE"/>
              <w:right w:val="nil"/>
            </w:tcBorders>
            <w:shd w:val="clear" w:color="auto" w:fill="FFFFFF"/>
            <w:vAlign w:val="center"/>
          </w:tcPr>
          <w:p w14:paraId="49B03DF0" w14:textId="77777777" w:rsidR="00EF40E9" w:rsidRPr="00A2210C" w:rsidRDefault="00EF40E9" w:rsidP="00F549F7">
            <w:pPr>
              <w:autoSpaceDE w:val="0"/>
              <w:autoSpaceDN w:val="0"/>
              <w:adjustRightInd w:val="0"/>
              <w:spacing w:after="0" w:line="240" w:lineRule="auto"/>
              <w:rPr>
                <w:rFonts w:ascii="Times New Roman" w:hAnsi="Times New Roman" w:cs="Times New Roman"/>
                <w:sz w:val="24"/>
                <w:szCs w:val="24"/>
              </w:rPr>
            </w:pPr>
          </w:p>
        </w:tc>
      </w:tr>
      <w:tr w:rsidR="00EF40E9" w:rsidRPr="00A2210C" w14:paraId="1F1C5341" w14:textId="77777777" w:rsidTr="00622A03">
        <w:tblPrEx>
          <w:tblCellMar>
            <w:top w:w="0" w:type="dxa"/>
            <w:bottom w:w="0" w:type="dxa"/>
          </w:tblCellMar>
        </w:tblPrEx>
        <w:trPr>
          <w:cantSplit/>
          <w:trHeight w:val="88"/>
        </w:trPr>
        <w:tc>
          <w:tcPr>
            <w:tcW w:w="795" w:type="dxa"/>
            <w:vMerge/>
            <w:tcBorders>
              <w:top w:val="single" w:sz="8" w:space="0" w:color="152935"/>
              <w:left w:val="nil"/>
              <w:bottom w:val="single" w:sz="8" w:space="0" w:color="152935"/>
              <w:right w:val="nil"/>
            </w:tcBorders>
            <w:shd w:val="clear" w:color="auto" w:fill="E0E0E0"/>
          </w:tcPr>
          <w:p w14:paraId="38A2B469" w14:textId="77777777" w:rsidR="00EF40E9" w:rsidRPr="00A2210C" w:rsidRDefault="00EF40E9" w:rsidP="00F549F7">
            <w:pPr>
              <w:autoSpaceDE w:val="0"/>
              <w:autoSpaceDN w:val="0"/>
              <w:adjustRightInd w:val="0"/>
              <w:spacing w:after="0" w:line="240" w:lineRule="auto"/>
              <w:rPr>
                <w:rFonts w:ascii="Times New Roman" w:hAnsi="Times New Roman" w:cs="Times New Roman"/>
                <w:sz w:val="24"/>
                <w:szCs w:val="24"/>
              </w:rPr>
            </w:pPr>
          </w:p>
        </w:tc>
        <w:tc>
          <w:tcPr>
            <w:tcW w:w="1399" w:type="dxa"/>
            <w:tcBorders>
              <w:top w:val="single" w:sz="8" w:space="0" w:color="AEAEAE"/>
              <w:left w:val="nil"/>
              <w:bottom w:val="single" w:sz="8" w:space="0" w:color="152935"/>
              <w:right w:val="nil"/>
            </w:tcBorders>
            <w:shd w:val="clear" w:color="auto" w:fill="E0E0E0"/>
          </w:tcPr>
          <w:p w14:paraId="54EFF5DD" w14:textId="77777777" w:rsidR="00EF40E9" w:rsidRPr="00A2210C" w:rsidRDefault="00EF40E9" w:rsidP="00F549F7">
            <w:pPr>
              <w:autoSpaceDE w:val="0"/>
              <w:autoSpaceDN w:val="0"/>
              <w:adjustRightInd w:val="0"/>
              <w:spacing w:after="0" w:line="240" w:lineRule="auto"/>
              <w:ind w:left="60" w:right="60"/>
              <w:rPr>
                <w:rFonts w:ascii="Arial" w:hAnsi="Arial" w:cs="Arial"/>
                <w:color w:val="264A60"/>
                <w:sz w:val="18"/>
                <w:szCs w:val="18"/>
              </w:rPr>
            </w:pPr>
            <w:r w:rsidRPr="00A2210C">
              <w:rPr>
                <w:rFonts w:ascii="Arial" w:hAnsi="Arial" w:cs="Arial"/>
                <w:color w:val="264A60"/>
                <w:sz w:val="18"/>
                <w:szCs w:val="18"/>
              </w:rPr>
              <w:t>Total</w:t>
            </w:r>
          </w:p>
        </w:tc>
        <w:tc>
          <w:tcPr>
            <w:tcW w:w="1596" w:type="dxa"/>
            <w:tcBorders>
              <w:top w:val="single" w:sz="8" w:space="0" w:color="AEAEAE"/>
              <w:left w:val="nil"/>
              <w:bottom w:val="single" w:sz="8" w:space="0" w:color="152935"/>
              <w:right w:val="single" w:sz="8" w:space="0" w:color="E0E0E0"/>
            </w:tcBorders>
            <w:shd w:val="clear" w:color="auto" w:fill="FFFFFF"/>
          </w:tcPr>
          <w:p w14:paraId="14B7F156" w14:textId="77777777" w:rsidR="00EF40E9" w:rsidRPr="00A2210C"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A2210C">
              <w:rPr>
                <w:rFonts w:ascii="Arial" w:hAnsi="Arial" w:cs="Arial"/>
                <w:color w:val="010205"/>
                <w:sz w:val="18"/>
                <w:szCs w:val="18"/>
              </w:rPr>
              <w:t>182,007</w:t>
            </w:r>
          </w:p>
        </w:tc>
        <w:tc>
          <w:tcPr>
            <w:tcW w:w="1113" w:type="dxa"/>
            <w:tcBorders>
              <w:top w:val="single" w:sz="8" w:space="0" w:color="AEAEAE"/>
              <w:left w:val="single" w:sz="8" w:space="0" w:color="E0E0E0"/>
              <w:bottom w:val="single" w:sz="8" w:space="0" w:color="152935"/>
              <w:right w:val="single" w:sz="8" w:space="0" w:color="E0E0E0"/>
            </w:tcBorders>
            <w:shd w:val="clear" w:color="auto" w:fill="FFFFFF"/>
          </w:tcPr>
          <w:p w14:paraId="6FB21FBF" w14:textId="77777777" w:rsidR="00EF40E9" w:rsidRPr="00A2210C"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A2210C">
              <w:rPr>
                <w:rFonts w:ascii="Arial" w:hAnsi="Arial" w:cs="Arial"/>
                <w:color w:val="010205"/>
                <w:sz w:val="18"/>
                <w:szCs w:val="18"/>
              </w:rPr>
              <w:t>11</w:t>
            </w:r>
          </w:p>
        </w:tc>
        <w:tc>
          <w:tcPr>
            <w:tcW w:w="15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F78C25F" w14:textId="77777777" w:rsidR="00EF40E9" w:rsidRPr="00A2210C" w:rsidRDefault="00EF40E9" w:rsidP="00F549F7">
            <w:pPr>
              <w:autoSpaceDE w:val="0"/>
              <w:autoSpaceDN w:val="0"/>
              <w:adjustRightInd w:val="0"/>
              <w:spacing w:after="0" w:line="240" w:lineRule="auto"/>
              <w:rPr>
                <w:rFonts w:ascii="Times New Roman" w:hAnsi="Times New Roman" w:cs="Times New Roman"/>
                <w:sz w:val="24"/>
                <w:szCs w:val="24"/>
              </w:rPr>
            </w:pPr>
          </w:p>
        </w:tc>
        <w:tc>
          <w:tcPr>
            <w:tcW w:w="111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6C58436" w14:textId="77777777" w:rsidR="00EF40E9" w:rsidRPr="00A2210C" w:rsidRDefault="00EF40E9" w:rsidP="00F549F7">
            <w:pPr>
              <w:autoSpaceDE w:val="0"/>
              <w:autoSpaceDN w:val="0"/>
              <w:adjustRightInd w:val="0"/>
              <w:spacing w:after="0" w:line="240" w:lineRule="auto"/>
              <w:rPr>
                <w:rFonts w:ascii="Times New Roman" w:hAnsi="Times New Roman" w:cs="Times New Roman"/>
                <w:sz w:val="24"/>
                <w:szCs w:val="24"/>
              </w:rPr>
            </w:pPr>
          </w:p>
        </w:tc>
        <w:tc>
          <w:tcPr>
            <w:tcW w:w="1123" w:type="dxa"/>
            <w:tcBorders>
              <w:top w:val="single" w:sz="8" w:space="0" w:color="AEAEAE"/>
              <w:left w:val="single" w:sz="8" w:space="0" w:color="E0E0E0"/>
              <w:bottom w:val="single" w:sz="8" w:space="0" w:color="152935"/>
              <w:right w:val="nil"/>
            </w:tcBorders>
            <w:shd w:val="clear" w:color="auto" w:fill="FFFFFF"/>
            <w:vAlign w:val="center"/>
          </w:tcPr>
          <w:p w14:paraId="126DF352" w14:textId="77777777" w:rsidR="00EF40E9" w:rsidRPr="00A2210C" w:rsidRDefault="00EF40E9" w:rsidP="00F549F7">
            <w:pPr>
              <w:autoSpaceDE w:val="0"/>
              <w:autoSpaceDN w:val="0"/>
              <w:adjustRightInd w:val="0"/>
              <w:spacing w:after="0" w:line="240" w:lineRule="auto"/>
              <w:rPr>
                <w:rFonts w:ascii="Times New Roman" w:hAnsi="Times New Roman" w:cs="Times New Roman"/>
                <w:sz w:val="24"/>
                <w:szCs w:val="24"/>
              </w:rPr>
            </w:pPr>
          </w:p>
        </w:tc>
      </w:tr>
      <w:tr w:rsidR="00EF40E9" w:rsidRPr="00A2210C" w14:paraId="0B2B1467" w14:textId="77777777" w:rsidTr="00622A03">
        <w:tblPrEx>
          <w:tblCellMar>
            <w:top w:w="0" w:type="dxa"/>
            <w:bottom w:w="0" w:type="dxa"/>
          </w:tblCellMar>
        </w:tblPrEx>
        <w:trPr>
          <w:cantSplit/>
          <w:trHeight w:val="198"/>
        </w:trPr>
        <w:tc>
          <w:tcPr>
            <w:tcW w:w="8669" w:type="dxa"/>
            <w:gridSpan w:val="7"/>
            <w:tcBorders>
              <w:top w:val="nil"/>
              <w:left w:val="nil"/>
              <w:bottom w:val="nil"/>
              <w:right w:val="nil"/>
            </w:tcBorders>
            <w:shd w:val="clear" w:color="auto" w:fill="FFFFFF"/>
          </w:tcPr>
          <w:p w14:paraId="1CB29C83" w14:textId="77777777" w:rsidR="00EF40E9" w:rsidRPr="00A2210C" w:rsidRDefault="00EF40E9" w:rsidP="00F549F7">
            <w:pPr>
              <w:autoSpaceDE w:val="0"/>
              <w:autoSpaceDN w:val="0"/>
              <w:adjustRightInd w:val="0"/>
              <w:spacing w:after="0" w:line="240" w:lineRule="auto"/>
              <w:ind w:left="60" w:right="60"/>
              <w:rPr>
                <w:rFonts w:ascii="Arial" w:hAnsi="Arial" w:cs="Arial"/>
                <w:color w:val="010205"/>
                <w:sz w:val="18"/>
                <w:szCs w:val="18"/>
              </w:rPr>
            </w:pPr>
            <w:r w:rsidRPr="00A2210C">
              <w:rPr>
                <w:rFonts w:ascii="Arial" w:hAnsi="Arial" w:cs="Arial"/>
                <w:color w:val="010205"/>
                <w:sz w:val="18"/>
                <w:szCs w:val="18"/>
              </w:rPr>
              <w:t>a. Dependent Variable: ERG</w:t>
            </w:r>
          </w:p>
        </w:tc>
      </w:tr>
      <w:tr w:rsidR="00EF40E9" w:rsidRPr="00A2210C" w14:paraId="1E07A804" w14:textId="77777777" w:rsidTr="00622A03">
        <w:tblPrEx>
          <w:tblCellMar>
            <w:top w:w="0" w:type="dxa"/>
            <w:bottom w:w="0" w:type="dxa"/>
          </w:tblCellMar>
        </w:tblPrEx>
        <w:trPr>
          <w:cantSplit/>
          <w:trHeight w:val="191"/>
        </w:trPr>
        <w:tc>
          <w:tcPr>
            <w:tcW w:w="8669" w:type="dxa"/>
            <w:gridSpan w:val="7"/>
            <w:tcBorders>
              <w:top w:val="nil"/>
              <w:left w:val="nil"/>
              <w:bottom w:val="nil"/>
              <w:right w:val="nil"/>
            </w:tcBorders>
            <w:shd w:val="clear" w:color="auto" w:fill="FFFFFF"/>
          </w:tcPr>
          <w:p w14:paraId="0EBA597C" w14:textId="77777777" w:rsidR="00EF40E9" w:rsidRPr="00A2210C" w:rsidRDefault="00EF40E9" w:rsidP="00F549F7">
            <w:pPr>
              <w:autoSpaceDE w:val="0"/>
              <w:autoSpaceDN w:val="0"/>
              <w:adjustRightInd w:val="0"/>
              <w:spacing w:after="0" w:line="240" w:lineRule="auto"/>
              <w:ind w:left="60" w:right="60"/>
              <w:rPr>
                <w:rFonts w:ascii="Arial" w:hAnsi="Arial" w:cs="Arial"/>
                <w:color w:val="010205"/>
                <w:sz w:val="18"/>
                <w:szCs w:val="18"/>
              </w:rPr>
            </w:pPr>
            <w:r w:rsidRPr="00A2210C">
              <w:rPr>
                <w:rFonts w:ascii="Arial" w:hAnsi="Arial" w:cs="Arial"/>
                <w:color w:val="010205"/>
                <w:sz w:val="18"/>
                <w:szCs w:val="18"/>
              </w:rPr>
              <w:t>b. Predictors: (Constant), PEE, IGDP, TEA</w:t>
            </w:r>
          </w:p>
        </w:tc>
      </w:tr>
    </w:tbl>
    <w:p w14:paraId="386CEB4E" w14:textId="77777777" w:rsidR="00EF40E9" w:rsidRPr="005B1BC3" w:rsidRDefault="00EF40E9" w:rsidP="00F549F7">
      <w:pPr>
        <w:autoSpaceDE w:val="0"/>
        <w:autoSpaceDN w:val="0"/>
        <w:adjustRightInd w:val="0"/>
        <w:spacing w:after="0" w:line="240" w:lineRule="auto"/>
        <w:rPr>
          <w:rFonts w:ascii="Times New Roman" w:hAnsi="Times New Roman" w:cs="Times New Roman"/>
          <w:sz w:val="20"/>
          <w:szCs w:val="20"/>
        </w:rPr>
      </w:pPr>
      <w:r w:rsidRPr="00622A03">
        <w:rPr>
          <w:rFonts w:ascii="Times New Roman" w:hAnsi="Times New Roman" w:cs="Times New Roman"/>
          <w:sz w:val="20"/>
          <w:szCs w:val="20"/>
        </w:rPr>
        <w:t>Sursa: Prelucrare proprie în SPSS 26</w:t>
      </w:r>
    </w:p>
    <w:p w14:paraId="4928E7DD" w14:textId="58A4D908" w:rsidR="00EF40E9" w:rsidRPr="00756149" w:rsidRDefault="00EF40E9" w:rsidP="00F549F7">
      <w:pPr>
        <w:spacing w:before="240" w:after="0" w:line="240" w:lineRule="auto"/>
        <w:ind w:firstLine="567"/>
        <w:jc w:val="both"/>
        <w:rPr>
          <w:rFonts w:ascii="Times New Roman" w:hAnsi="Times New Roman" w:cs="Times New Roman"/>
          <w:sz w:val="24"/>
          <w:szCs w:val="24"/>
        </w:rPr>
      </w:pPr>
      <w:r w:rsidRPr="00756149">
        <w:rPr>
          <w:rFonts w:ascii="Times New Roman" w:hAnsi="Times New Roman" w:cs="Times New Roman"/>
          <w:sz w:val="24"/>
          <w:szCs w:val="24"/>
        </w:rPr>
        <w:t xml:space="preserve">Conform </w:t>
      </w:r>
      <w:r>
        <w:rPr>
          <w:rFonts w:ascii="Times New Roman" w:hAnsi="Times New Roman" w:cs="Times New Roman"/>
          <w:sz w:val="24"/>
          <w:szCs w:val="24"/>
        </w:rPr>
        <w:t>testului ANOVA</w:t>
      </w:r>
      <w:r w:rsidRPr="00756149">
        <w:rPr>
          <w:rFonts w:ascii="Times New Roman" w:hAnsi="Times New Roman" w:cs="Times New Roman"/>
          <w:sz w:val="24"/>
          <w:szCs w:val="24"/>
        </w:rPr>
        <w:t>, valoarea coeficientul Fisher F = 10</w:t>
      </w:r>
      <w:r w:rsidRPr="00A2210C">
        <w:rPr>
          <w:rFonts w:ascii="Times New Roman" w:hAnsi="Times New Roman" w:cs="Times New Roman"/>
          <w:sz w:val="24"/>
          <w:szCs w:val="24"/>
        </w:rPr>
        <w:t>6,445</w:t>
      </w:r>
      <w:r w:rsidRPr="00756149">
        <w:rPr>
          <w:rFonts w:ascii="Times New Roman" w:hAnsi="Times New Roman" w:cs="Times New Roman"/>
          <w:sz w:val="24"/>
          <w:szCs w:val="24"/>
        </w:rPr>
        <w:t>, iar</w:t>
      </w:r>
      <w:r>
        <w:rPr>
          <w:rFonts w:ascii="Times New Roman" w:hAnsi="Times New Roman" w:cs="Times New Roman"/>
          <w:sz w:val="24"/>
          <w:szCs w:val="24"/>
        </w:rPr>
        <w:t xml:space="preserve"> </w:t>
      </w:r>
      <w:r w:rsidRPr="00756149">
        <w:rPr>
          <w:rFonts w:ascii="Times New Roman" w:hAnsi="Times New Roman" w:cs="Times New Roman"/>
          <w:sz w:val="24"/>
          <w:szCs w:val="24"/>
        </w:rPr>
        <w:t xml:space="preserve">valoarea Sig. pentru testul F este </w:t>
      </w:r>
      <w:r>
        <w:rPr>
          <w:rFonts w:ascii="Times New Roman" w:hAnsi="Times New Roman" w:cs="Times New Roman"/>
          <w:sz w:val="24"/>
          <w:szCs w:val="24"/>
        </w:rPr>
        <w:t xml:space="preserve">de </w:t>
      </w:r>
      <w:r w:rsidRPr="00756149">
        <w:rPr>
          <w:rFonts w:ascii="Times New Roman" w:hAnsi="Times New Roman" w:cs="Times New Roman"/>
          <w:sz w:val="24"/>
          <w:szCs w:val="24"/>
        </w:rPr>
        <w:t>0,0</w:t>
      </w:r>
      <w:r>
        <w:rPr>
          <w:rFonts w:ascii="Times New Roman" w:hAnsi="Times New Roman" w:cs="Times New Roman"/>
          <w:sz w:val="24"/>
          <w:szCs w:val="24"/>
        </w:rPr>
        <w:t>16</w:t>
      </w:r>
      <w:r w:rsidRPr="00756149">
        <w:rPr>
          <w:rFonts w:ascii="Times New Roman" w:hAnsi="Times New Roman" w:cs="Times New Roman"/>
          <w:sz w:val="24"/>
          <w:szCs w:val="24"/>
        </w:rPr>
        <w:t>, a</w:t>
      </w:r>
      <w:r>
        <w:rPr>
          <w:rFonts w:ascii="Times New Roman" w:hAnsi="Times New Roman" w:cs="Times New Roman"/>
          <w:sz w:val="24"/>
          <w:szCs w:val="24"/>
        </w:rPr>
        <w:t xml:space="preserve">stfel încât putem spune că </w:t>
      </w:r>
      <w:r w:rsidRPr="00756149">
        <w:rPr>
          <w:rFonts w:ascii="Times New Roman" w:hAnsi="Times New Roman" w:cs="Times New Roman"/>
          <w:sz w:val="24"/>
          <w:szCs w:val="24"/>
        </w:rPr>
        <w:t>modelul</w:t>
      </w:r>
      <w:r>
        <w:rPr>
          <w:rFonts w:ascii="Times New Roman" w:hAnsi="Times New Roman" w:cs="Times New Roman"/>
          <w:sz w:val="24"/>
          <w:szCs w:val="24"/>
        </w:rPr>
        <w:t xml:space="preserve"> obținut pe bază de modelare econometrică</w:t>
      </w:r>
      <w:r w:rsidRPr="00756149">
        <w:rPr>
          <w:rFonts w:ascii="Times New Roman" w:hAnsi="Times New Roman" w:cs="Times New Roman"/>
          <w:sz w:val="24"/>
          <w:szCs w:val="24"/>
        </w:rPr>
        <w:t xml:space="preserve"> explică</w:t>
      </w:r>
      <w:r>
        <w:rPr>
          <w:rFonts w:ascii="Times New Roman" w:hAnsi="Times New Roman" w:cs="Times New Roman"/>
          <w:sz w:val="24"/>
          <w:szCs w:val="24"/>
        </w:rPr>
        <w:t xml:space="preserve"> </w:t>
      </w:r>
      <w:r w:rsidRPr="00756149">
        <w:rPr>
          <w:rFonts w:ascii="Times New Roman" w:hAnsi="Times New Roman" w:cs="Times New Roman"/>
          <w:sz w:val="24"/>
          <w:szCs w:val="24"/>
        </w:rPr>
        <w:t>dependența</w:t>
      </w:r>
      <w:r w:rsidRPr="00756149">
        <w:rPr>
          <w:rFonts w:ascii="Times New Roman" w:hAnsi="Times New Roman" w:cs="Times New Roman"/>
          <w:sz w:val="24"/>
          <w:szCs w:val="24"/>
        </w:rPr>
        <w:t xml:space="preserve"> semnificativă dintre </w:t>
      </w:r>
      <w:r>
        <w:rPr>
          <w:rFonts w:ascii="Times New Roman" w:hAnsi="Times New Roman" w:cs="Times New Roman"/>
          <w:sz w:val="24"/>
          <w:szCs w:val="24"/>
        </w:rPr>
        <w:t>rata de angajare a proaspeților absolvenți și variabilele independente: n</w:t>
      </w:r>
      <w:r w:rsidRPr="00756149">
        <w:rPr>
          <w:rFonts w:ascii="Times New Roman" w:hAnsi="Times New Roman" w:cs="Times New Roman"/>
          <w:sz w:val="24"/>
          <w:szCs w:val="24"/>
        </w:rPr>
        <w:t>ivelul de studii terția</w:t>
      </w:r>
      <w:r>
        <w:rPr>
          <w:rFonts w:ascii="Times New Roman" w:hAnsi="Times New Roman" w:cs="Times New Roman"/>
          <w:sz w:val="24"/>
          <w:szCs w:val="24"/>
        </w:rPr>
        <w:t>re, p</w:t>
      </w:r>
      <w:r w:rsidRPr="00756149">
        <w:rPr>
          <w:rFonts w:ascii="Times New Roman" w:hAnsi="Times New Roman" w:cs="Times New Roman"/>
          <w:sz w:val="24"/>
          <w:szCs w:val="24"/>
        </w:rPr>
        <w:t>onderea investițiilor din PIB în învățământ</w:t>
      </w:r>
      <w:r>
        <w:rPr>
          <w:rFonts w:ascii="Times New Roman" w:hAnsi="Times New Roman" w:cs="Times New Roman"/>
          <w:sz w:val="24"/>
          <w:szCs w:val="24"/>
        </w:rPr>
        <w:t xml:space="preserve"> și c</w:t>
      </w:r>
      <w:r w:rsidRPr="00756149">
        <w:rPr>
          <w:rFonts w:ascii="Times New Roman" w:hAnsi="Times New Roman" w:cs="Times New Roman"/>
          <w:sz w:val="24"/>
          <w:szCs w:val="24"/>
        </w:rPr>
        <w:t>heltuielile publice pentru educație</w:t>
      </w:r>
      <w:r>
        <w:rPr>
          <w:rFonts w:ascii="Times New Roman" w:hAnsi="Times New Roman" w:cs="Times New Roman"/>
          <w:sz w:val="24"/>
          <w:szCs w:val="24"/>
        </w:rPr>
        <w:t>. Conform teoriei statistice, în cazul în care sig. Este mai mic de 0,05, modelul linear multiplu se validează în proporție de 95%.</w:t>
      </w:r>
    </w:p>
    <w:p w14:paraId="22AE3E55" w14:textId="77777777" w:rsidR="00EF40E9" w:rsidRPr="00A2210C" w:rsidRDefault="00EF40E9" w:rsidP="00F549F7">
      <w:pPr>
        <w:autoSpaceDE w:val="0"/>
        <w:autoSpaceDN w:val="0"/>
        <w:adjustRightInd w:val="0"/>
        <w:spacing w:after="0" w:line="240" w:lineRule="auto"/>
        <w:rPr>
          <w:rFonts w:ascii="Times New Roman" w:hAnsi="Times New Roman" w:cs="Times New Roman"/>
          <w:sz w:val="20"/>
          <w:szCs w:val="20"/>
        </w:rPr>
      </w:pPr>
    </w:p>
    <w:p w14:paraId="7873F9CF" w14:textId="2CBBDD52" w:rsidR="00EF40E9" w:rsidRPr="00A2210C" w:rsidRDefault="00EF40E9" w:rsidP="00F549F7">
      <w:pPr>
        <w:autoSpaceDE w:val="0"/>
        <w:autoSpaceDN w:val="0"/>
        <w:adjustRightInd w:val="0"/>
        <w:spacing w:after="0" w:line="240" w:lineRule="auto"/>
        <w:rPr>
          <w:rFonts w:ascii="Times New Roman" w:hAnsi="Times New Roman" w:cs="Times New Roman"/>
          <w:sz w:val="20"/>
          <w:szCs w:val="20"/>
        </w:rPr>
      </w:pPr>
      <w:r w:rsidRPr="002E6846">
        <w:rPr>
          <w:rFonts w:ascii="Times New Roman" w:hAnsi="Times New Roman" w:cs="Times New Roman"/>
          <w:sz w:val="20"/>
          <w:szCs w:val="20"/>
        </w:rPr>
        <w:t xml:space="preserve">Tabelul </w:t>
      </w:r>
      <w:r w:rsidRPr="002E6846">
        <w:rPr>
          <w:rFonts w:ascii="Times New Roman" w:hAnsi="Times New Roman" w:cs="Times New Roman"/>
          <w:sz w:val="20"/>
          <w:szCs w:val="20"/>
        </w:rPr>
        <w:t>nr.</w:t>
      </w:r>
      <w:r w:rsidR="002E6846">
        <w:rPr>
          <w:rFonts w:ascii="Times New Roman" w:hAnsi="Times New Roman" w:cs="Times New Roman"/>
          <w:sz w:val="20"/>
          <w:szCs w:val="20"/>
        </w:rPr>
        <w:t xml:space="preserve"> 7</w:t>
      </w:r>
      <w:r w:rsidRPr="002E6846">
        <w:rPr>
          <w:rFonts w:ascii="Times New Roman" w:hAnsi="Times New Roman" w:cs="Times New Roman"/>
          <w:sz w:val="20"/>
          <w:szCs w:val="20"/>
        </w:rPr>
        <w:t>-</w:t>
      </w:r>
      <w:r w:rsidRPr="002E6846">
        <w:rPr>
          <w:rFonts w:ascii="Times New Roman" w:hAnsi="Times New Roman" w:cs="Times New Roman"/>
          <w:sz w:val="20"/>
          <w:szCs w:val="20"/>
        </w:rPr>
        <w:t xml:space="preserve"> </w:t>
      </w:r>
      <w:r w:rsidR="00FE6F2F" w:rsidRPr="002E6846">
        <w:rPr>
          <w:rFonts w:ascii="Times New Roman" w:hAnsi="Times New Roman" w:cs="Times New Roman"/>
          <w:sz w:val="20"/>
          <w:szCs w:val="20"/>
        </w:rPr>
        <w:t>Coeficienții</w:t>
      </w:r>
      <w:r w:rsidRPr="002E6846">
        <w:rPr>
          <w:rFonts w:ascii="Times New Roman" w:hAnsi="Times New Roman" w:cs="Times New Roman"/>
          <w:sz w:val="20"/>
          <w:szCs w:val="20"/>
        </w:rPr>
        <w:t xml:space="preserve"> modelului</w:t>
      </w:r>
    </w:p>
    <w:tbl>
      <w:tblPr>
        <w:tblW w:w="9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6"/>
        <w:gridCol w:w="1444"/>
        <w:gridCol w:w="1629"/>
        <w:gridCol w:w="1633"/>
        <w:gridCol w:w="1800"/>
        <w:gridCol w:w="1255"/>
        <w:gridCol w:w="1263"/>
      </w:tblGrid>
      <w:tr w:rsidR="00EF40E9" w:rsidRPr="00DE25DD" w14:paraId="0A465C40" w14:textId="77777777" w:rsidTr="002E6846">
        <w:tblPrEx>
          <w:tblCellMar>
            <w:top w:w="0" w:type="dxa"/>
            <w:bottom w:w="0" w:type="dxa"/>
          </w:tblCellMar>
        </w:tblPrEx>
        <w:trPr>
          <w:cantSplit/>
          <w:trHeight w:val="258"/>
        </w:trPr>
        <w:tc>
          <w:tcPr>
            <w:tcW w:w="9920" w:type="dxa"/>
            <w:gridSpan w:val="7"/>
            <w:tcBorders>
              <w:top w:val="nil"/>
              <w:left w:val="nil"/>
              <w:bottom w:val="nil"/>
              <w:right w:val="nil"/>
            </w:tcBorders>
            <w:shd w:val="clear" w:color="auto" w:fill="FFFFFF"/>
            <w:vAlign w:val="center"/>
          </w:tcPr>
          <w:p w14:paraId="005CFC44" w14:textId="77777777" w:rsidR="00EF40E9" w:rsidRPr="00DE25DD" w:rsidRDefault="00EF40E9" w:rsidP="00F549F7">
            <w:pPr>
              <w:autoSpaceDE w:val="0"/>
              <w:autoSpaceDN w:val="0"/>
              <w:adjustRightInd w:val="0"/>
              <w:spacing w:after="0" w:line="240" w:lineRule="auto"/>
              <w:ind w:left="60" w:right="60"/>
              <w:jc w:val="center"/>
              <w:rPr>
                <w:rFonts w:ascii="Arial" w:hAnsi="Arial" w:cs="Arial"/>
                <w:color w:val="010205"/>
              </w:rPr>
            </w:pPr>
            <w:r w:rsidRPr="00DE25DD">
              <w:rPr>
                <w:rFonts w:ascii="Arial" w:hAnsi="Arial" w:cs="Arial"/>
                <w:b/>
                <w:bCs/>
                <w:color w:val="010205"/>
              </w:rPr>
              <w:t>Coefficients</w:t>
            </w:r>
            <w:r w:rsidRPr="00DE25DD">
              <w:rPr>
                <w:rFonts w:ascii="Arial" w:hAnsi="Arial" w:cs="Arial"/>
                <w:b/>
                <w:bCs/>
                <w:color w:val="010205"/>
                <w:vertAlign w:val="superscript"/>
              </w:rPr>
              <w:t>a</w:t>
            </w:r>
          </w:p>
        </w:tc>
      </w:tr>
      <w:tr w:rsidR="002E6846" w:rsidRPr="00DE25DD" w14:paraId="774D5548" w14:textId="77777777" w:rsidTr="002E6846">
        <w:tblPrEx>
          <w:tblCellMar>
            <w:top w:w="0" w:type="dxa"/>
            <w:bottom w:w="0" w:type="dxa"/>
          </w:tblCellMar>
        </w:tblPrEx>
        <w:trPr>
          <w:cantSplit/>
          <w:trHeight w:val="507"/>
        </w:trPr>
        <w:tc>
          <w:tcPr>
            <w:tcW w:w="2340" w:type="dxa"/>
            <w:gridSpan w:val="2"/>
            <w:vMerge w:val="restart"/>
            <w:tcBorders>
              <w:top w:val="nil"/>
              <w:left w:val="nil"/>
              <w:bottom w:val="nil"/>
              <w:right w:val="nil"/>
            </w:tcBorders>
            <w:shd w:val="clear" w:color="auto" w:fill="FFFFFF"/>
            <w:vAlign w:val="bottom"/>
          </w:tcPr>
          <w:p w14:paraId="484DC8C9" w14:textId="77777777" w:rsidR="00EF40E9" w:rsidRPr="00DE25DD" w:rsidRDefault="00EF40E9" w:rsidP="00F549F7">
            <w:pPr>
              <w:autoSpaceDE w:val="0"/>
              <w:autoSpaceDN w:val="0"/>
              <w:adjustRightInd w:val="0"/>
              <w:spacing w:after="0" w:line="240" w:lineRule="auto"/>
              <w:ind w:left="60" w:right="60"/>
              <w:rPr>
                <w:rFonts w:ascii="Arial" w:hAnsi="Arial" w:cs="Arial"/>
                <w:color w:val="264A60"/>
                <w:sz w:val="18"/>
                <w:szCs w:val="18"/>
              </w:rPr>
            </w:pPr>
            <w:r w:rsidRPr="00DE25DD">
              <w:rPr>
                <w:rFonts w:ascii="Arial" w:hAnsi="Arial" w:cs="Arial"/>
                <w:color w:val="264A60"/>
                <w:sz w:val="18"/>
                <w:szCs w:val="18"/>
              </w:rPr>
              <w:t>Model</w:t>
            </w:r>
          </w:p>
        </w:tc>
        <w:tc>
          <w:tcPr>
            <w:tcW w:w="3262" w:type="dxa"/>
            <w:gridSpan w:val="2"/>
            <w:tcBorders>
              <w:top w:val="nil"/>
              <w:left w:val="nil"/>
              <w:bottom w:val="nil"/>
              <w:right w:val="single" w:sz="8" w:space="0" w:color="E0E0E0"/>
            </w:tcBorders>
            <w:shd w:val="clear" w:color="auto" w:fill="FFFFFF"/>
            <w:vAlign w:val="bottom"/>
          </w:tcPr>
          <w:p w14:paraId="6B1C9E73" w14:textId="77777777" w:rsidR="00EF40E9" w:rsidRPr="00DE25DD"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DE25DD">
              <w:rPr>
                <w:rFonts w:ascii="Arial" w:hAnsi="Arial" w:cs="Arial"/>
                <w:color w:val="264A60"/>
                <w:sz w:val="18"/>
                <w:szCs w:val="18"/>
              </w:rPr>
              <w:t>Unstandardized Coefficients</w:t>
            </w:r>
          </w:p>
        </w:tc>
        <w:tc>
          <w:tcPr>
            <w:tcW w:w="1800" w:type="dxa"/>
            <w:tcBorders>
              <w:top w:val="nil"/>
              <w:left w:val="single" w:sz="8" w:space="0" w:color="E0E0E0"/>
              <w:bottom w:val="nil"/>
              <w:right w:val="single" w:sz="8" w:space="0" w:color="E0E0E0"/>
            </w:tcBorders>
            <w:shd w:val="clear" w:color="auto" w:fill="FFFFFF"/>
            <w:vAlign w:val="bottom"/>
          </w:tcPr>
          <w:p w14:paraId="43F791B8" w14:textId="77777777" w:rsidR="00EF40E9" w:rsidRPr="00DE25DD"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DE25DD">
              <w:rPr>
                <w:rFonts w:ascii="Arial" w:hAnsi="Arial" w:cs="Arial"/>
                <w:color w:val="264A60"/>
                <w:sz w:val="18"/>
                <w:szCs w:val="18"/>
              </w:rPr>
              <w:t>Standardized Coefficients</w:t>
            </w:r>
          </w:p>
        </w:tc>
        <w:tc>
          <w:tcPr>
            <w:tcW w:w="1255" w:type="dxa"/>
            <w:vMerge w:val="restart"/>
            <w:tcBorders>
              <w:top w:val="nil"/>
              <w:left w:val="single" w:sz="8" w:space="0" w:color="E0E0E0"/>
              <w:bottom w:val="nil"/>
              <w:right w:val="single" w:sz="8" w:space="0" w:color="E0E0E0"/>
            </w:tcBorders>
            <w:shd w:val="clear" w:color="auto" w:fill="FFFFFF"/>
            <w:vAlign w:val="bottom"/>
          </w:tcPr>
          <w:p w14:paraId="0B9E2813" w14:textId="77777777" w:rsidR="00EF40E9" w:rsidRPr="00DE25DD"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DE25DD">
              <w:rPr>
                <w:rFonts w:ascii="Arial" w:hAnsi="Arial" w:cs="Arial"/>
                <w:color w:val="264A60"/>
                <w:sz w:val="18"/>
                <w:szCs w:val="18"/>
              </w:rPr>
              <w:t>t</w:t>
            </w:r>
          </w:p>
        </w:tc>
        <w:tc>
          <w:tcPr>
            <w:tcW w:w="1262" w:type="dxa"/>
            <w:vMerge w:val="restart"/>
            <w:tcBorders>
              <w:top w:val="nil"/>
              <w:left w:val="single" w:sz="8" w:space="0" w:color="E0E0E0"/>
              <w:bottom w:val="nil"/>
              <w:right w:val="nil"/>
            </w:tcBorders>
            <w:shd w:val="clear" w:color="auto" w:fill="FFFFFF"/>
            <w:vAlign w:val="bottom"/>
          </w:tcPr>
          <w:p w14:paraId="4D74076A" w14:textId="77777777" w:rsidR="00EF40E9" w:rsidRPr="00DE25DD"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DE25DD">
              <w:rPr>
                <w:rFonts w:ascii="Arial" w:hAnsi="Arial" w:cs="Arial"/>
                <w:color w:val="264A60"/>
                <w:sz w:val="18"/>
                <w:szCs w:val="18"/>
              </w:rPr>
              <w:t>Sig.</w:t>
            </w:r>
          </w:p>
        </w:tc>
      </w:tr>
      <w:tr w:rsidR="00EF40E9" w:rsidRPr="00DE25DD" w14:paraId="79CFF9C5" w14:textId="77777777" w:rsidTr="002E6846">
        <w:tblPrEx>
          <w:tblCellMar>
            <w:top w:w="0" w:type="dxa"/>
            <w:bottom w:w="0" w:type="dxa"/>
          </w:tblCellMar>
        </w:tblPrEx>
        <w:trPr>
          <w:cantSplit/>
          <w:trHeight w:val="114"/>
        </w:trPr>
        <w:tc>
          <w:tcPr>
            <w:tcW w:w="2340" w:type="dxa"/>
            <w:gridSpan w:val="2"/>
            <w:vMerge/>
            <w:tcBorders>
              <w:top w:val="nil"/>
              <w:left w:val="nil"/>
              <w:bottom w:val="nil"/>
              <w:right w:val="nil"/>
            </w:tcBorders>
            <w:shd w:val="clear" w:color="auto" w:fill="FFFFFF"/>
            <w:vAlign w:val="bottom"/>
          </w:tcPr>
          <w:p w14:paraId="6CCD9AF2" w14:textId="77777777" w:rsidR="00EF40E9" w:rsidRPr="00DE25DD" w:rsidRDefault="00EF40E9" w:rsidP="00F549F7">
            <w:pPr>
              <w:autoSpaceDE w:val="0"/>
              <w:autoSpaceDN w:val="0"/>
              <w:adjustRightInd w:val="0"/>
              <w:spacing w:after="0" w:line="240" w:lineRule="auto"/>
              <w:rPr>
                <w:rFonts w:ascii="Arial" w:hAnsi="Arial" w:cs="Arial"/>
                <w:color w:val="264A60"/>
                <w:sz w:val="18"/>
                <w:szCs w:val="18"/>
              </w:rPr>
            </w:pPr>
          </w:p>
        </w:tc>
        <w:tc>
          <w:tcPr>
            <w:tcW w:w="1629" w:type="dxa"/>
            <w:tcBorders>
              <w:top w:val="nil"/>
              <w:left w:val="nil"/>
              <w:bottom w:val="single" w:sz="8" w:space="0" w:color="152935"/>
              <w:right w:val="single" w:sz="8" w:space="0" w:color="E0E0E0"/>
            </w:tcBorders>
            <w:shd w:val="clear" w:color="auto" w:fill="FFFFFF"/>
            <w:vAlign w:val="bottom"/>
          </w:tcPr>
          <w:p w14:paraId="26BE366B" w14:textId="77777777" w:rsidR="00EF40E9" w:rsidRPr="00DE25DD"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DE25DD">
              <w:rPr>
                <w:rFonts w:ascii="Arial" w:hAnsi="Arial" w:cs="Arial"/>
                <w:color w:val="264A60"/>
                <w:sz w:val="18"/>
                <w:szCs w:val="18"/>
              </w:rPr>
              <w:t>B</w:t>
            </w:r>
          </w:p>
        </w:tc>
        <w:tc>
          <w:tcPr>
            <w:tcW w:w="1632" w:type="dxa"/>
            <w:tcBorders>
              <w:top w:val="nil"/>
              <w:left w:val="single" w:sz="8" w:space="0" w:color="E0E0E0"/>
              <w:bottom w:val="single" w:sz="8" w:space="0" w:color="152935"/>
              <w:right w:val="single" w:sz="8" w:space="0" w:color="E0E0E0"/>
            </w:tcBorders>
            <w:shd w:val="clear" w:color="auto" w:fill="FFFFFF"/>
            <w:vAlign w:val="bottom"/>
          </w:tcPr>
          <w:p w14:paraId="6A3A6E20" w14:textId="77777777" w:rsidR="00EF40E9" w:rsidRPr="00DE25DD"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DE25DD">
              <w:rPr>
                <w:rFonts w:ascii="Arial" w:hAnsi="Arial" w:cs="Arial"/>
                <w:color w:val="264A60"/>
                <w:sz w:val="18"/>
                <w:szCs w:val="18"/>
              </w:rPr>
              <w:t>Std. Error</w:t>
            </w:r>
          </w:p>
        </w:tc>
        <w:tc>
          <w:tcPr>
            <w:tcW w:w="1800" w:type="dxa"/>
            <w:tcBorders>
              <w:top w:val="nil"/>
              <w:left w:val="single" w:sz="8" w:space="0" w:color="E0E0E0"/>
              <w:bottom w:val="single" w:sz="8" w:space="0" w:color="152935"/>
              <w:right w:val="single" w:sz="8" w:space="0" w:color="E0E0E0"/>
            </w:tcBorders>
            <w:shd w:val="clear" w:color="auto" w:fill="FFFFFF"/>
            <w:vAlign w:val="bottom"/>
          </w:tcPr>
          <w:p w14:paraId="5E9FB7DC" w14:textId="77777777" w:rsidR="00EF40E9" w:rsidRPr="00DE25DD"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DE25DD">
              <w:rPr>
                <w:rFonts w:ascii="Arial" w:hAnsi="Arial" w:cs="Arial"/>
                <w:color w:val="264A60"/>
                <w:sz w:val="18"/>
                <w:szCs w:val="18"/>
              </w:rPr>
              <w:t>Beta</w:t>
            </w:r>
          </w:p>
        </w:tc>
        <w:tc>
          <w:tcPr>
            <w:tcW w:w="1255" w:type="dxa"/>
            <w:vMerge/>
            <w:tcBorders>
              <w:top w:val="nil"/>
              <w:left w:val="single" w:sz="8" w:space="0" w:color="E0E0E0"/>
              <w:bottom w:val="nil"/>
              <w:right w:val="single" w:sz="8" w:space="0" w:color="E0E0E0"/>
            </w:tcBorders>
            <w:shd w:val="clear" w:color="auto" w:fill="FFFFFF"/>
            <w:vAlign w:val="bottom"/>
          </w:tcPr>
          <w:p w14:paraId="305D64E4" w14:textId="77777777" w:rsidR="00EF40E9" w:rsidRPr="00DE25DD" w:rsidRDefault="00EF40E9" w:rsidP="00F549F7">
            <w:pPr>
              <w:autoSpaceDE w:val="0"/>
              <w:autoSpaceDN w:val="0"/>
              <w:adjustRightInd w:val="0"/>
              <w:spacing w:after="0" w:line="240" w:lineRule="auto"/>
              <w:rPr>
                <w:rFonts w:ascii="Arial" w:hAnsi="Arial" w:cs="Arial"/>
                <w:color w:val="264A60"/>
                <w:sz w:val="18"/>
                <w:szCs w:val="18"/>
              </w:rPr>
            </w:pPr>
          </w:p>
        </w:tc>
        <w:tc>
          <w:tcPr>
            <w:tcW w:w="1262" w:type="dxa"/>
            <w:vMerge/>
            <w:tcBorders>
              <w:top w:val="nil"/>
              <w:left w:val="single" w:sz="8" w:space="0" w:color="E0E0E0"/>
              <w:bottom w:val="nil"/>
              <w:right w:val="nil"/>
            </w:tcBorders>
            <w:shd w:val="clear" w:color="auto" w:fill="FFFFFF"/>
            <w:vAlign w:val="bottom"/>
          </w:tcPr>
          <w:p w14:paraId="09F43CDF" w14:textId="77777777" w:rsidR="00EF40E9" w:rsidRPr="00DE25DD" w:rsidRDefault="00EF40E9" w:rsidP="00F549F7">
            <w:pPr>
              <w:autoSpaceDE w:val="0"/>
              <w:autoSpaceDN w:val="0"/>
              <w:adjustRightInd w:val="0"/>
              <w:spacing w:after="0" w:line="240" w:lineRule="auto"/>
              <w:rPr>
                <w:rFonts w:ascii="Arial" w:hAnsi="Arial" w:cs="Arial"/>
                <w:color w:val="264A60"/>
                <w:sz w:val="18"/>
                <w:szCs w:val="18"/>
              </w:rPr>
            </w:pPr>
          </w:p>
        </w:tc>
      </w:tr>
      <w:tr w:rsidR="00EF40E9" w:rsidRPr="00DE25DD" w14:paraId="004C541C" w14:textId="77777777" w:rsidTr="002E6846">
        <w:tblPrEx>
          <w:tblCellMar>
            <w:top w:w="0" w:type="dxa"/>
            <w:bottom w:w="0" w:type="dxa"/>
          </w:tblCellMar>
        </w:tblPrEx>
        <w:trPr>
          <w:cantSplit/>
          <w:trHeight w:val="248"/>
        </w:trPr>
        <w:tc>
          <w:tcPr>
            <w:tcW w:w="896" w:type="dxa"/>
            <w:vMerge w:val="restart"/>
            <w:tcBorders>
              <w:top w:val="single" w:sz="8" w:space="0" w:color="152935"/>
              <w:left w:val="nil"/>
              <w:bottom w:val="single" w:sz="8" w:space="0" w:color="152935"/>
              <w:right w:val="nil"/>
            </w:tcBorders>
            <w:shd w:val="clear" w:color="auto" w:fill="E0E0E0"/>
          </w:tcPr>
          <w:p w14:paraId="3AADF4B3" w14:textId="77777777" w:rsidR="00EF40E9" w:rsidRPr="00DE25DD" w:rsidRDefault="00EF40E9" w:rsidP="00F549F7">
            <w:pPr>
              <w:autoSpaceDE w:val="0"/>
              <w:autoSpaceDN w:val="0"/>
              <w:adjustRightInd w:val="0"/>
              <w:spacing w:after="0" w:line="240" w:lineRule="auto"/>
              <w:ind w:left="60" w:right="60"/>
              <w:rPr>
                <w:rFonts w:ascii="Arial" w:hAnsi="Arial" w:cs="Arial"/>
                <w:color w:val="264A60"/>
                <w:sz w:val="18"/>
                <w:szCs w:val="18"/>
              </w:rPr>
            </w:pPr>
            <w:r w:rsidRPr="00DE25DD">
              <w:rPr>
                <w:rFonts w:ascii="Arial" w:hAnsi="Arial" w:cs="Arial"/>
                <w:color w:val="264A60"/>
                <w:sz w:val="18"/>
                <w:szCs w:val="18"/>
              </w:rPr>
              <w:t>1</w:t>
            </w:r>
          </w:p>
        </w:tc>
        <w:tc>
          <w:tcPr>
            <w:tcW w:w="1443" w:type="dxa"/>
            <w:tcBorders>
              <w:top w:val="single" w:sz="8" w:space="0" w:color="152935"/>
              <w:left w:val="nil"/>
              <w:bottom w:val="single" w:sz="8" w:space="0" w:color="AEAEAE"/>
              <w:right w:val="nil"/>
            </w:tcBorders>
            <w:shd w:val="clear" w:color="auto" w:fill="E0E0E0"/>
          </w:tcPr>
          <w:p w14:paraId="3E9153DD" w14:textId="77777777" w:rsidR="00EF40E9" w:rsidRPr="00DE25DD" w:rsidRDefault="00EF40E9" w:rsidP="00F549F7">
            <w:pPr>
              <w:autoSpaceDE w:val="0"/>
              <w:autoSpaceDN w:val="0"/>
              <w:adjustRightInd w:val="0"/>
              <w:spacing w:after="0" w:line="240" w:lineRule="auto"/>
              <w:ind w:left="60" w:right="60"/>
              <w:rPr>
                <w:rFonts w:ascii="Arial" w:hAnsi="Arial" w:cs="Arial"/>
                <w:color w:val="264A60"/>
                <w:sz w:val="18"/>
                <w:szCs w:val="18"/>
              </w:rPr>
            </w:pPr>
            <w:r w:rsidRPr="00DE25DD">
              <w:rPr>
                <w:rFonts w:ascii="Arial" w:hAnsi="Arial" w:cs="Arial"/>
                <w:color w:val="264A60"/>
                <w:sz w:val="18"/>
                <w:szCs w:val="18"/>
              </w:rPr>
              <w:t>(Constant)</w:t>
            </w:r>
          </w:p>
        </w:tc>
        <w:tc>
          <w:tcPr>
            <w:tcW w:w="1629" w:type="dxa"/>
            <w:tcBorders>
              <w:top w:val="single" w:sz="8" w:space="0" w:color="152935"/>
              <w:left w:val="nil"/>
              <w:bottom w:val="single" w:sz="8" w:space="0" w:color="AEAEAE"/>
              <w:right w:val="single" w:sz="8" w:space="0" w:color="E0E0E0"/>
            </w:tcBorders>
            <w:shd w:val="clear" w:color="auto" w:fill="FFFFFF"/>
          </w:tcPr>
          <w:p w14:paraId="684B2125" w14:textId="77777777"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74,888</w:t>
            </w:r>
          </w:p>
        </w:tc>
        <w:tc>
          <w:tcPr>
            <w:tcW w:w="1632" w:type="dxa"/>
            <w:tcBorders>
              <w:top w:val="single" w:sz="8" w:space="0" w:color="152935"/>
              <w:left w:val="single" w:sz="8" w:space="0" w:color="E0E0E0"/>
              <w:bottom w:val="single" w:sz="8" w:space="0" w:color="AEAEAE"/>
              <w:right w:val="single" w:sz="8" w:space="0" w:color="E0E0E0"/>
            </w:tcBorders>
            <w:shd w:val="clear" w:color="auto" w:fill="FFFFFF"/>
          </w:tcPr>
          <w:p w14:paraId="25437CCF" w14:textId="77777777"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22,403</w:t>
            </w:r>
          </w:p>
        </w:tc>
        <w:tc>
          <w:tcPr>
            <w:tcW w:w="180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917C80C" w14:textId="77777777" w:rsidR="00EF40E9" w:rsidRPr="00DE25DD" w:rsidRDefault="00EF40E9" w:rsidP="00F549F7">
            <w:pPr>
              <w:autoSpaceDE w:val="0"/>
              <w:autoSpaceDN w:val="0"/>
              <w:adjustRightInd w:val="0"/>
              <w:spacing w:after="0" w:line="240" w:lineRule="auto"/>
              <w:rPr>
                <w:rFonts w:ascii="Times New Roman" w:hAnsi="Times New Roman" w:cs="Times New Roman"/>
                <w:sz w:val="24"/>
                <w:szCs w:val="24"/>
              </w:rPr>
            </w:pPr>
          </w:p>
        </w:tc>
        <w:tc>
          <w:tcPr>
            <w:tcW w:w="1255" w:type="dxa"/>
            <w:tcBorders>
              <w:top w:val="single" w:sz="8" w:space="0" w:color="152935"/>
              <w:left w:val="single" w:sz="8" w:space="0" w:color="E0E0E0"/>
              <w:bottom w:val="single" w:sz="8" w:space="0" w:color="AEAEAE"/>
              <w:right w:val="single" w:sz="8" w:space="0" w:color="E0E0E0"/>
            </w:tcBorders>
            <w:shd w:val="clear" w:color="auto" w:fill="FFFFFF"/>
          </w:tcPr>
          <w:p w14:paraId="10624CB4" w14:textId="77777777"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3,343</w:t>
            </w:r>
          </w:p>
        </w:tc>
        <w:tc>
          <w:tcPr>
            <w:tcW w:w="1262" w:type="dxa"/>
            <w:tcBorders>
              <w:top w:val="single" w:sz="8" w:space="0" w:color="152935"/>
              <w:left w:val="single" w:sz="8" w:space="0" w:color="E0E0E0"/>
              <w:bottom w:val="single" w:sz="8" w:space="0" w:color="AEAEAE"/>
              <w:right w:val="nil"/>
            </w:tcBorders>
            <w:shd w:val="clear" w:color="auto" w:fill="FFFFFF"/>
          </w:tcPr>
          <w:p w14:paraId="26254ECA" w14:textId="77777777"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,010</w:t>
            </w:r>
          </w:p>
        </w:tc>
      </w:tr>
      <w:tr w:rsidR="00EF40E9" w:rsidRPr="00DE25DD" w14:paraId="7411882B" w14:textId="77777777" w:rsidTr="002E6846">
        <w:tblPrEx>
          <w:tblCellMar>
            <w:top w:w="0" w:type="dxa"/>
            <w:bottom w:w="0" w:type="dxa"/>
          </w:tblCellMar>
        </w:tblPrEx>
        <w:trPr>
          <w:cantSplit/>
          <w:trHeight w:val="114"/>
        </w:trPr>
        <w:tc>
          <w:tcPr>
            <w:tcW w:w="896" w:type="dxa"/>
            <w:vMerge/>
            <w:tcBorders>
              <w:top w:val="single" w:sz="8" w:space="0" w:color="152935"/>
              <w:left w:val="nil"/>
              <w:bottom w:val="single" w:sz="8" w:space="0" w:color="152935"/>
              <w:right w:val="nil"/>
            </w:tcBorders>
            <w:shd w:val="clear" w:color="auto" w:fill="E0E0E0"/>
          </w:tcPr>
          <w:p w14:paraId="0B43568B" w14:textId="77777777" w:rsidR="00EF40E9" w:rsidRPr="00DE25DD" w:rsidRDefault="00EF40E9" w:rsidP="00F549F7">
            <w:pPr>
              <w:autoSpaceDE w:val="0"/>
              <w:autoSpaceDN w:val="0"/>
              <w:adjustRightInd w:val="0"/>
              <w:spacing w:after="0" w:line="240" w:lineRule="auto"/>
              <w:rPr>
                <w:rFonts w:ascii="Arial" w:hAnsi="Arial" w:cs="Arial"/>
                <w:color w:val="010205"/>
                <w:sz w:val="18"/>
                <w:szCs w:val="18"/>
              </w:rPr>
            </w:pPr>
          </w:p>
        </w:tc>
        <w:tc>
          <w:tcPr>
            <w:tcW w:w="1443" w:type="dxa"/>
            <w:tcBorders>
              <w:top w:val="single" w:sz="8" w:space="0" w:color="AEAEAE"/>
              <w:left w:val="nil"/>
              <w:bottom w:val="single" w:sz="8" w:space="0" w:color="AEAEAE"/>
              <w:right w:val="nil"/>
            </w:tcBorders>
            <w:shd w:val="clear" w:color="auto" w:fill="E0E0E0"/>
          </w:tcPr>
          <w:p w14:paraId="315BD7F5" w14:textId="77777777" w:rsidR="00EF40E9" w:rsidRPr="00DE25DD" w:rsidRDefault="00EF40E9" w:rsidP="00F549F7">
            <w:pPr>
              <w:autoSpaceDE w:val="0"/>
              <w:autoSpaceDN w:val="0"/>
              <w:adjustRightInd w:val="0"/>
              <w:spacing w:after="0" w:line="240" w:lineRule="auto"/>
              <w:ind w:left="60" w:right="60"/>
              <w:rPr>
                <w:rFonts w:ascii="Arial" w:hAnsi="Arial" w:cs="Arial"/>
                <w:color w:val="264A60"/>
                <w:sz w:val="18"/>
                <w:szCs w:val="18"/>
              </w:rPr>
            </w:pPr>
            <w:r w:rsidRPr="00DE25DD">
              <w:rPr>
                <w:rFonts w:ascii="Arial" w:hAnsi="Arial" w:cs="Arial"/>
                <w:color w:val="264A60"/>
                <w:sz w:val="18"/>
                <w:szCs w:val="18"/>
              </w:rPr>
              <w:t>TEA</w:t>
            </w:r>
          </w:p>
        </w:tc>
        <w:tc>
          <w:tcPr>
            <w:tcW w:w="1629" w:type="dxa"/>
            <w:tcBorders>
              <w:top w:val="single" w:sz="8" w:space="0" w:color="AEAEAE"/>
              <w:left w:val="nil"/>
              <w:bottom w:val="single" w:sz="8" w:space="0" w:color="AEAEAE"/>
              <w:right w:val="single" w:sz="8" w:space="0" w:color="E0E0E0"/>
            </w:tcBorders>
            <w:shd w:val="clear" w:color="auto" w:fill="FFFFFF"/>
          </w:tcPr>
          <w:p w14:paraId="2B78A278" w14:textId="71FA2071"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,126</w:t>
            </w:r>
          </w:p>
        </w:tc>
        <w:tc>
          <w:tcPr>
            <w:tcW w:w="1632" w:type="dxa"/>
            <w:tcBorders>
              <w:top w:val="single" w:sz="8" w:space="0" w:color="AEAEAE"/>
              <w:left w:val="single" w:sz="8" w:space="0" w:color="E0E0E0"/>
              <w:bottom w:val="single" w:sz="8" w:space="0" w:color="AEAEAE"/>
              <w:right w:val="single" w:sz="8" w:space="0" w:color="E0E0E0"/>
            </w:tcBorders>
            <w:shd w:val="clear" w:color="auto" w:fill="FFFFFF"/>
          </w:tcPr>
          <w:p w14:paraId="4DFDA355" w14:textId="77777777"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,727</w:t>
            </w:r>
          </w:p>
        </w:tc>
        <w:tc>
          <w:tcPr>
            <w:tcW w:w="1800" w:type="dxa"/>
            <w:tcBorders>
              <w:top w:val="single" w:sz="8" w:space="0" w:color="AEAEAE"/>
              <w:left w:val="single" w:sz="8" w:space="0" w:color="E0E0E0"/>
              <w:bottom w:val="single" w:sz="8" w:space="0" w:color="AEAEAE"/>
              <w:right w:val="single" w:sz="8" w:space="0" w:color="E0E0E0"/>
            </w:tcBorders>
            <w:shd w:val="clear" w:color="auto" w:fill="FFFFFF"/>
          </w:tcPr>
          <w:p w14:paraId="166FCBE3" w14:textId="4A433C37"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-038</w:t>
            </w:r>
          </w:p>
        </w:tc>
        <w:tc>
          <w:tcPr>
            <w:tcW w:w="1255" w:type="dxa"/>
            <w:tcBorders>
              <w:top w:val="single" w:sz="8" w:space="0" w:color="AEAEAE"/>
              <w:left w:val="single" w:sz="8" w:space="0" w:color="E0E0E0"/>
              <w:bottom w:val="single" w:sz="8" w:space="0" w:color="AEAEAE"/>
              <w:right w:val="single" w:sz="8" w:space="0" w:color="E0E0E0"/>
            </w:tcBorders>
            <w:shd w:val="clear" w:color="auto" w:fill="FFFFFF"/>
          </w:tcPr>
          <w:p w14:paraId="59ED70B8" w14:textId="77777777"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-,173</w:t>
            </w:r>
          </w:p>
        </w:tc>
        <w:tc>
          <w:tcPr>
            <w:tcW w:w="1262" w:type="dxa"/>
            <w:tcBorders>
              <w:top w:val="single" w:sz="8" w:space="0" w:color="AEAEAE"/>
              <w:left w:val="single" w:sz="8" w:space="0" w:color="E0E0E0"/>
              <w:bottom w:val="single" w:sz="8" w:space="0" w:color="AEAEAE"/>
              <w:right w:val="nil"/>
            </w:tcBorders>
            <w:shd w:val="clear" w:color="auto" w:fill="FFFFFF"/>
          </w:tcPr>
          <w:p w14:paraId="050A37F6" w14:textId="77777777"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,867</w:t>
            </w:r>
          </w:p>
        </w:tc>
      </w:tr>
      <w:tr w:rsidR="00EF40E9" w:rsidRPr="00DE25DD" w14:paraId="5276BB55" w14:textId="77777777" w:rsidTr="002E6846">
        <w:tblPrEx>
          <w:tblCellMar>
            <w:top w:w="0" w:type="dxa"/>
            <w:bottom w:w="0" w:type="dxa"/>
          </w:tblCellMar>
        </w:tblPrEx>
        <w:trPr>
          <w:cantSplit/>
          <w:trHeight w:val="114"/>
        </w:trPr>
        <w:tc>
          <w:tcPr>
            <w:tcW w:w="896" w:type="dxa"/>
            <w:vMerge/>
            <w:tcBorders>
              <w:top w:val="single" w:sz="8" w:space="0" w:color="152935"/>
              <w:left w:val="nil"/>
              <w:bottom w:val="single" w:sz="8" w:space="0" w:color="152935"/>
              <w:right w:val="nil"/>
            </w:tcBorders>
            <w:shd w:val="clear" w:color="auto" w:fill="E0E0E0"/>
          </w:tcPr>
          <w:p w14:paraId="5FA1D57A" w14:textId="77777777" w:rsidR="00EF40E9" w:rsidRPr="00DE25DD" w:rsidRDefault="00EF40E9" w:rsidP="00F549F7">
            <w:pPr>
              <w:autoSpaceDE w:val="0"/>
              <w:autoSpaceDN w:val="0"/>
              <w:adjustRightInd w:val="0"/>
              <w:spacing w:after="0" w:line="240" w:lineRule="auto"/>
              <w:rPr>
                <w:rFonts w:ascii="Arial" w:hAnsi="Arial" w:cs="Arial"/>
                <w:color w:val="010205"/>
                <w:sz w:val="18"/>
                <w:szCs w:val="18"/>
              </w:rPr>
            </w:pPr>
          </w:p>
        </w:tc>
        <w:tc>
          <w:tcPr>
            <w:tcW w:w="1443" w:type="dxa"/>
            <w:tcBorders>
              <w:top w:val="single" w:sz="8" w:space="0" w:color="AEAEAE"/>
              <w:left w:val="nil"/>
              <w:bottom w:val="single" w:sz="8" w:space="0" w:color="AEAEAE"/>
              <w:right w:val="nil"/>
            </w:tcBorders>
            <w:shd w:val="clear" w:color="auto" w:fill="E0E0E0"/>
          </w:tcPr>
          <w:p w14:paraId="5E878CE6" w14:textId="77777777" w:rsidR="00EF40E9" w:rsidRPr="00DE25DD" w:rsidRDefault="00EF40E9" w:rsidP="00F549F7">
            <w:pPr>
              <w:autoSpaceDE w:val="0"/>
              <w:autoSpaceDN w:val="0"/>
              <w:adjustRightInd w:val="0"/>
              <w:spacing w:after="0" w:line="240" w:lineRule="auto"/>
              <w:ind w:left="60" w:right="60"/>
              <w:rPr>
                <w:rFonts w:ascii="Arial" w:hAnsi="Arial" w:cs="Arial"/>
                <w:color w:val="264A60"/>
                <w:sz w:val="18"/>
                <w:szCs w:val="18"/>
              </w:rPr>
            </w:pPr>
            <w:r w:rsidRPr="00DE25DD">
              <w:rPr>
                <w:rFonts w:ascii="Arial" w:hAnsi="Arial" w:cs="Arial"/>
                <w:color w:val="264A60"/>
                <w:sz w:val="18"/>
                <w:szCs w:val="18"/>
              </w:rPr>
              <w:t>IGDP</w:t>
            </w:r>
          </w:p>
        </w:tc>
        <w:tc>
          <w:tcPr>
            <w:tcW w:w="1629" w:type="dxa"/>
            <w:tcBorders>
              <w:top w:val="single" w:sz="8" w:space="0" w:color="AEAEAE"/>
              <w:left w:val="nil"/>
              <w:bottom w:val="single" w:sz="8" w:space="0" w:color="AEAEAE"/>
              <w:right w:val="single" w:sz="8" w:space="0" w:color="E0E0E0"/>
            </w:tcBorders>
            <w:shd w:val="clear" w:color="auto" w:fill="FFFFFF"/>
          </w:tcPr>
          <w:p w14:paraId="11353CC2" w14:textId="5CA7B19A"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w:t>
            </w:r>
            <w:r>
              <w:rPr>
                <w:rFonts w:ascii="Arial" w:hAnsi="Arial" w:cs="Arial"/>
                <w:color w:val="010205"/>
                <w:sz w:val="18"/>
                <w:szCs w:val="18"/>
              </w:rPr>
              <w:t>10</w:t>
            </w:r>
            <w:r w:rsidRPr="00DE25DD">
              <w:rPr>
                <w:rFonts w:ascii="Arial" w:hAnsi="Arial" w:cs="Arial"/>
                <w:color w:val="010205"/>
                <w:sz w:val="18"/>
                <w:szCs w:val="18"/>
              </w:rPr>
              <w:t>2</w:t>
            </w:r>
          </w:p>
        </w:tc>
        <w:tc>
          <w:tcPr>
            <w:tcW w:w="1632" w:type="dxa"/>
            <w:tcBorders>
              <w:top w:val="single" w:sz="8" w:space="0" w:color="AEAEAE"/>
              <w:left w:val="single" w:sz="8" w:space="0" w:color="E0E0E0"/>
              <w:bottom w:val="single" w:sz="8" w:space="0" w:color="AEAEAE"/>
              <w:right w:val="single" w:sz="8" w:space="0" w:color="E0E0E0"/>
            </w:tcBorders>
            <w:shd w:val="clear" w:color="auto" w:fill="FFFFFF"/>
          </w:tcPr>
          <w:p w14:paraId="426892DA" w14:textId="77777777"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1,040</w:t>
            </w:r>
          </w:p>
        </w:tc>
        <w:tc>
          <w:tcPr>
            <w:tcW w:w="1800" w:type="dxa"/>
            <w:tcBorders>
              <w:top w:val="single" w:sz="8" w:space="0" w:color="AEAEAE"/>
              <w:left w:val="single" w:sz="8" w:space="0" w:color="E0E0E0"/>
              <w:bottom w:val="single" w:sz="8" w:space="0" w:color="AEAEAE"/>
              <w:right w:val="single" w:sz="8" w:space="0" w:color="E0E0E0"/>
            </w:tcBorders>
            <w:shd w:val="clear" w:color="auto" w:fill="FFFFFF"/>
          </w:tcPr>
          <w:p w14:paraId="40D68DC3" w14:textId="1069F91A"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-514</w:t>
            </w:r>
          </w:p>
        </w:tc>
        <w:tc>
          <w:tcPr>
            <w:tcW w:w="1255" w:type="dxa"/>
            <w:tcBorders>
              <w:top w:val="single" w:sz="8" w:space="0" w:color="AEAEAE"/>
              <w:left w:val="single" w:sz="8" w:space="0" w:color="E0E0E0"/>
              <w:bottom w:val="single" w:sz="8" w:space="0" w:color="AEAEAE"/>
              <w:right w:val="single" w:sz="8" w:space="0" w:color="E0E0E0"/>
            </w:tcBorders>
            <w:shd w:val="clear" w:color="auto" w:fill="FFFFFF"/>
          </w:tcPr>
          <w:p w14:paraId="02094025" w14:textId="77777777"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-2,358</w:t>
            </w:r>
          </w:p>
        </w:tc>
        <w:tc>
          <w:tcPr>
            <w:tcW w:w="1262" w:type="dxa"/>
            <w:tcBorders>
              <w:top w:val="single" w:sz="8" w:space="0" w:color="AEAEAE"/>
              <w:left w:val="single" w:sz="8" w:space="0" w:color="E0E0E0"/>
              <w:bottom w:val="single" w:sz="8" w:space="0" w:color="AEAEAE"/>
              <w:right w:val="nil"/>
            </w:tcBorders>
            <w:shd w:val="clear" w:color="auto" w:fill="FFFFFF"/>
          </w:tcPr>
          <w:p w14:paraId="37EE77CD" w14:textId="77777777"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,046</w:t>
            </w:r>
          </w:p>
        </w:tc>
      </w:tr>
      <w:tr w:rsidR="00EF40E9" w:rsidRPr="00DE25DD" w14:paraId="458253A7" w14:textId="77777777" w:rsidTr="002E6846">
        <w:tblPrEx>
          <w:tblCellMar>
            <w:top w:w="0" w:type="dxa"/>
            <w:bottom w:w="0" w:type="dxa"/>
          </w:tblCellMar>
        </w:tblPrEx>
        <w:trPr>
          <w:cantSplit/>
          <w:trHeight w:val="114"/>
        </w:trPr>
        <w:tc>
          <w:tcPr>
            <w:tcW w:w="896" w:type="dxa"/>
            <w:vMerge/>
            <w:tcBorders>
              <w:top w:val="single" w:sz="8" w:space="0" w:color="152935"/>
              <w:left w:val="nil"/>
              <w:bottom w:val="single" w:sz="8" w:space="0" w:color="152935"/>
              <w:right w:val="nil"/>
            </w:tcBorders>
            <w:shd w:val="clear" w:color="auto" w:fill="E0E0E0"/>
          </w:tcPr>
          <w:p w14:paraId="2FFD7DC7" w14:textId="77777777" w:rsidR="00EF40E9" w:rsidRPr="00DE25DD" w:rsidRDefault="00EF40E9" w:rsidP="00F549F7">
            <w:pPr>
              <w:autoSpaceDE w:val="0"/>
              <w:autoSpaceDN w:val="0"/>
              <w:adjustRightInd w:val="0"/>
              <w:spacing w:after="0" w:line="240" w:lineRule="auto"/>
              <w:rPr>
                <w:rFonts w:ascii="Arial" w:hAnsi="Arial" w:cs="Arial"/>
                <w:color w:val="010205"/>
                <w:sz w:val="18"/>
                <w:szCs w:val="18"/>
              </w:rPr>
            </w:pPr>
          </w:p>
        </w:tc>
        <w:tc>
          <w:tcPr>
            <w:tcW w:w="1443" w:type="dxa"/>
            <w:tcBorders>
              <w:top w:val="single" w:sz="8" w:space="0" w:color="AEAEAE"/>
              <w:left w:val="nil"/>
              <w:bottom w:val="single" w:sz="8" w:space="0" w:color="152935"/>
              <w:right w:val="nil"/>
            </w:tcBorders>
            <w:shd w:val="clear" w:color="auto" w:fill="E0E0E0"/>
          </w:tcPr>
          <w:p w14:paraId="2ACF033A" w14:textId="77777777" w:rsidR="00EF40E9" w:rsidRPr="00DE25DD" w:rsidRDefault="00EF40E9" w:rsidP="00F549F7">
            <w:pPr>
              <w:autoSpaceDE w:val="0"/>
              <w:autoSpaceDN w:val="0"/>
              <w:adjustRightInd w:val="0"/>
              <w:spacing w:after="0" w:line="240" w:lineRule="auto"/>
              <w:ind w:left="60" w:right="60"/>
              <w:rPr>
                <w:rFonts w:ascii="Arial" w:hAnsi="Arial" w:cs="Arial"/>
                <w:color w:val="264A60"/>
                <w:sz w:val="18"/>
                <w:szCs w:val="18"/>
              </w:rPr>
            </w:pPr>
            <w:r w:rsidRPr="00DE25DD">
              <w:rPr>
                <w:rFonts w:ascii="Arial" w:hAnsi="Arial" w:cs="Arial"/>
                <w:color w:val="264A60"/>
                <w:sz w:val="18"/>
                <w:szCs w:val="18"/>
              </w:rPr>
              <w:t>PEE</w:t>
            </w:r>
          </w:p>
        </w:tc>
        <w:tc>
          <w:tcPr>
            <w:tcW w:w="1629" w:type="dxa"/>
            <w:tcBorders>
              <w:top w:val="single" w:sz="8" w:space="0" w:color="AEAEAE"/>
              <w:left w:val="nil"/>
              <w:bottom w:val="single" w:sz="8" w:space="0" w:color="152935"/>
              <w:right w:val="single" w:sz="8" w:space="0" w:color="E0E0E0"/>
            </w:tcBorders>
            <w:shd w:val="clear" w:color="auto" w:fill="FFFFFF"/>
          </w:tcPr>
          <w:p w14:paraId="62BB89EE" w14:textId="106B434E"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w:t>
            </w:r>
            <w:r>
              <w:rPr>
                <w:rFonts w:ascii="Arial" w:hAnsi="Arial" w:cs="Arial"/>
                <w:color w:val="010205"/>
                <w:sz w:val="18"/>
                <w:szCs w:val="18"/>
              </w:rPr>
              <w:t>10</w:t>
            </w:r>
            <w:r w:rsidRPr="00DE25DD">
              <w:rPr>
                <w:rFonts w:ascii="Arial" w:hAnsi="Arial" w:cs="Arial"/>
                <w:color w:val="010205"/>
                <w:sz w:val="18"/>
                <w:szCs w:val="18"/>
              </w:rPr>
              <w:t>7</w:t>
            </w:r>
          </w:p>
        </w:tc>
        <w:tc>
          <w:tcPr>
            <w:tcW w:w="1632" w:type="dxa"/>
            <w:tcBorders>
              <w:top w:val="single" w:sz="8" w:space="0" w:color="AEAEAE"/>
              <w:left w:val="single" w:sz="8" w:space="0" w:color="E0E0E0"/>
              <w:bottom w:val="single" w:sz="8" w:space="0" w:color="152935"/>
              <w:right w:val="single" w:sz="8" w:space="0" w:color="E0E0E0"/>
            </w:tcBorders>
            <w:shd w:val="clear" w:color="auto" w:fill="FFFFFF"/>
          </w:tcPr>
          <w:p w14:paraId="4FA762B3" w14:textId="77777777"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,002</w:t>
            </w:r>
          </w:p>
        </w:tc>
        <w:tc>
          <w:tcPr>
            <w:tcW w:w="1800" w:type="dxa"/>
            <w:tcBorders>
              <w:top w:val="single" w:sz="8" w:space="0" w:color="AEAEAE"/>
              <w:left w:val="single" w:sz="8" w:space="0" w:color="E0E0E0"/>
              <w:bottom w:val="single" w:sz="8" w:space="0" w:color="152935"/>
              <w:right w:val="single" w:sz="8" w:space="0" w:color="E0E0E0"/>
            </w:tcBorders>
            <w:shd w:val="clear" w:color="auto" w:fill="FFFFFF"/>
          </w:tcPr>
          <w:p w14:paraId="638254CD" w14:textId="77777777"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,631</w:t>
            </w:r>
          </w:p>
        </w:tc>
        <w:tc>
          <w:tcPr>
            <w:tcW w:w="1255" w:type="dxa"/>
            <w:tcBorders>
              <w:top w:val="single" w:sz="8" w:space="0" w:color="AEAEAE"/>
              <w:left w:val="single" w:sz="8" w:space="0" w:color="E0E0E0"/>
              <w:bottom w:val="single" w:sz="8" w:space="0" w:color="152935"/>
              <w:right w:val="single" w:sz="8" w:space="0" w:color="E0E0E0"/>
            </w:tcBorders>
            <w:shd w:val="clear" w:color="auto" w:fill="FFFFFF"/>
          </w:tcPr>
          <w:p w14:paraId="19FC2C45" w14:textId="77777777"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3,267</w:t>
            </w:r>
          </w:p>
        </w:tc>
        <w:tc>
          <w:tcPr>
            <w:tcW w:w="1262" w:type="dxa"/>
            <w:tcBorders>
              <w:top w:val="single" w:sz="8" w:space="0" w:color="AEAEAE"/>
              <w:left w:val="single" w:sz="8" w:space="0" w:color="E0E0E0"/>
              <w:bottom w:val="single" w:sz="8" w:space="0" w:color="152935"/>
              <w:right w:val="nil"/>
            </w:tcBorders>
            <w:shd w:val="clear" w:color="auto" w:fill="FFFFFF"/>
          </w:tcPr>
          <w:p w14:paraId="7A3B06D7" w14:textId="77777777" w:rsidR="00EF40E9" w:rsidRPr="00DE25DD"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DE25DD">
              <w:rPr>
                <w:rFonts w:ascii="Arial" w:hAnsi="Arial" w:cs="Arial"/>
                <w:color w:val="010205"/>
                <w:sz w:val="18"/>
                <w:szCs w:val="18"/>
              </w:rPr>
              <w:t>,011</w:t>
            </w:r>
          </w:p>
        </w:tc>
      </w:tr>
      <w:tr w:rsidR="00EF40E9" w:rsidRPr="00DE25DD" w14:paraId="4C38F4DE" w14:textId="77777777" w:rsidTr="002E6846">
        <w:tblPrEx>
          <w:tblCellMar>
            <w:top w:w="0" w:type="dxa"/>
            <w:bottom w:w="0" w:type="dxa"/>
          </w:tblCellMar>
        </w:tblPrEx>
        <w:trPr>
          <w:cantSplit/>
          <w:trHeight w:val="248"/>
        </w:trPr>
        <w:tc>
          <w:tcPr>
            <w:tcW w:w="9920" w:type="dxa"/>
            <w:gridSpan w:val="7"/>
            <w:tcBorders>
              <w:top w:val="nil"/>
              <w:left w:val="nil"/>
              <w:bottom w:val="nil"/>
              <w:right w:val="nil"/>
            </w:tcBorders>
            <w:shd w:val="clear" w:color="auto" w:fill="FFFFFF"/>
          </w:tcPr>
          <w:p w14:paraId="33CFF6B9" w14:textId="77777777" w:rsidR="00EF40E9" w:rsidRPr="00DE25DD" w:rsidRDefault="00EF40E9" w:rsidP="00F549F7">
            <w:pPr>
              <w:autoSpaceDE w:val="0"/>
              <w:autoSpaceDN w:val="0"/>
              <w:adjustRightInd w:val="0"/>
              <w:spacing w:after="0" w:line="240" w:lineRule="auto"/>
              <w:ind w:left="60" w:right="60"/>
              <w:rPr>
                <w:rFonts w:ascii="Arial" w:hAnsi="Arial" w:cs="Arial"/>
                <w:color w:val="010205"/>
                <w:sz w:val="18"/>
                <w:szCs w:val="18"/>
              </w:rPr>
            </w:pPr>
            <w:r w:rsidRPr="00DE25DD">
              <w:rPr>
                <w:rFonts w:ascii="Arial" w:hAnsi="Arial" w:cs="Arial"/>
                <w:color w:val="010205"/>
                <w:sz w:val="18"/>
                <w:szCs w:val="18"/>
              </w:rPr>
              <w:t>a. Dependent Variable: ERG</w:t>
            </w:r>
          </w:p>
        </w:tc>
      </w:tr>
    </w:tbl>
    <w:p w14:paraId="65FD4BD4" w14:textId="77777777" w:rsidR="00EF40E9" w:rsidRPr="005B1BC3" w:rsidRDefault="00EF40E9" w:rsidP="00F549F7">
      <w:pPr>
        <w:autoSpaceDE w:val="0"/>
        <w:autoSpaceDN w:val="0"/>
        <w:adjustRightInd w:val="0"/>
        <w:spacing w:after="0" w:line="240" w:lineRule="auto"/>
        <w:rPr>
          <w:rFonts w:ascii="Times New Roman" w:hAnsi="Times New Roman" w:cs="Times New Roman"/>
          <w:sz w:val="20"/>
          <w:szCs w:val="20"/>
        </w:rPr>
      </w:pPr>
      <w:r w:rsidRPr="00622A03">
        <w:rPr>
          <w:rFonts w:ascii="Times New Roman" w:hAnsi="Times New Roman" w:cs="Times New Roman"/>
          <w:sz w:val="20"/>
          <w:szCs w:val="20"/>
        </w:rPr>
        <w:t>Sursa: Prelucrare proprie în SPSS 26</w:t>
      </w:r>
    </w:p>
    <w:p w14:paraId="68A76744" w14:textId="6A4ABDA0" w:rsidR="00EF40E9" w:rsidRDefault="00EF40E9" w:rsidP="00F549F7">
      <w:pPr>
        <w:spacing w:before="240" w:line="240" w:lineRule="auto"/>
        <w:ind w:firstLine="567"/>
        <w:jc w:val="both"/>
        <w:rPr>
          <w:rFonts w:ascii="Times New Roman" w:hAnsi="Times New Roman" w:cs="Times New Roman"/>
          <w:sz w:val="24"/>
          <w:szCs w:val="24"/>
        </w:rPr>
      </w:pPr>
      <w:r>
        <w:rPr>
          <w:rFonts w:ascii="Times New Roman" w:hAnsi="Times New Roman" w:cs="Times New Roman"/>
          <w:sz w:val="24"/>
          <w:szCs w:val="24"/>
        </w:rPr>
        <w:t>În urma prelucrării statistice a variabilelor pentru perioada analizată, am determinat parametrii de regresie ai modelului linear multiplu și pe baza acestuia vom realiza ecuația modelului după cum urmează:</w:t>
      </w:r>
    </w:p>
    <w:p w14:paraId="1D0318BD" w14:textId="68D401A8" w:rsidR="00EF40E9" w:rsidRPr="00602651" w:rsidRDefault="00EF40E9" w:rsidP="00F549F7">
      <w:pPr>
        <w:tabs>
          <w:tab w:val="left" w:pos="567"/>
        </w:tabs>
        <w:spacing w:line="240" w:lineRule="auto"/>
        <w:ind w:left="360"/>
        <w:rPr>
          <w:rFonts w:eastAsiaTheme="minorEastAsia" w:cs="Times New Roman"/>
          <w:i/>
          <w:szCs w:val="24"/>
        </w:rPr>
      </w:pPr>
      <m:oMathPara>
        <m:oMath>
          <m:r>
            <w:rPr>
              <w:rFonts w:ascii="Cambria Math" w:eastAsia="Times New Roman" w:hAnsi="Cambria Math" w:cs="Times New Roman"/>
              <w:szCs w:val="24"/>
            </w:rPr>
            <m:t xml:space="preserve">ERG=74,88+ 0,126*TEA+ </m:t>
          </m:r>
          <m:r>
            <w:rPr>
              <w:rFonts w:ascii="Cambria Math" w:eastAsia="Times New Roman" w:hAnsi="Cambria Math" w:cs="Times New Roman"/>
              <w:szCs w:val="24"/>
            </w:rPr>
            <m:t>0</m:t>
          </m:r>
          <m:r>
            <w:rPr>
              <w:rFonts w:ascii="Cambria Math" w:eastAsia="Times New Roman" w:hAnsi="Cambria Math" w:cs="Times New Roman"/>
              <w:szCs w:val="24"/>
            </w:rPr>
            <m:t>,</m:t>
          </m:r>
          <m:r>
            <w:rPr>
              <w:rFonts w:ascii="Cambria Math" w:eastAsia="Times New Roman" w:hAnsi="Cambria Math" w:cs="Times New Roman"/>
              <w:szCs w:val="24"/>
            </w:rPr>
            <m:t>10</m:t>
          </m:r>
          <m:r>
            <w:rPr>
              <w:rFonts w:ascii="Cambria Math" w:eastAsia="Times New Roman" w:hAnsi="Cambria Math" w:cs="Times New Roman"/>
              <w:szCs w:val="24"/>
            </w:rPr>
            <m:t>2*IGDP+0,</m:t>
          </m:r>
          <m:r>
            <w:rPr>
              <w:rFonts w:ascii="Cambria Math" w:eastAsia="Times New Roman" w:hAnsi="Cambria Math" w:cs="Times New Roman"/>
              <w:szCs w:val="24"/>
            </w:rPr>
            <m:t>10</m:t>
          </m:r>
          <m:r>
            <w:rPr>
              <w:rFonts w:ascii="Cambria Math" w:eastAsia="Times New Roman" w:hAnsi="Cambria Math" w:cs="Times New Roman"/>
              <w:szCs w:val="24"/>
            </w:rPr>
            <m:t>7*PEE</m:t>
          </m:r>
        </m:oMath>
      </m:oMathPara>
    </w:p>
    <w:p w14:paraId="3ABDF3F5" w14:textId="77777777" w:rsidR="00EF40E9" w:rsidRPr="00B72F06" w:rsidRDefault="00EF40E9" w:rsidP="00EF519C">
      <w:pPr>
        <w:spacing w:before="240" w:after="0" w:line="240" w:lineRule="auto"/>
        <w:ind w:firstLine="567"/>
        <w:jc w:val="both"/>
        <w:rPr>
          <w:rFonts w:ascii="Times New Roman" w:hAnsi="Times New Roman" w:cs="Times New Roman"/>
          <w:sz w:val="24"/>
          <w:szCs w:val="24"/>
        </w:rPr>
      </w:pPr>
      <w:r w:rsidRPr="00B72F06">
        <w:rPr>
          <w:rFonts w:ascii="Times New Roman" w:hAnsi="Times New Roman" w:cs="Times New Roman"/>
          <w:sz w:val="24"/>
          <w:szCs w:val="24"/>
        </w:rPr>
        <w:t xml:space="preserve">Din punct de vedere economic, modelul econometric obținut ne arată cum este influențată variația ratei de angajare a tinerilor absolvenți de variația variabilelor independente. </w:t>
      </w:r>
    </w:p>
    <w:p w14:paraId="3877B476" w14:textId="234B6964" w:rsidR="00EF40E9" w:rsidRPr="00504075" w:rsidRDefault="00EF40E9" w:rsidP="00EF519C">
      <w:pPr>
        <w:pStyle w:val="Listparagraf"/>
        <w:numPr>
          <w:ilvl w:val="0"/>
          <w:numId w:val="4"/>
        </w:numPr>
        <w:spacing w:line="240" w:lineRule="auto"/>
        <w:ind w:left="0" w:firstLine="567"/>
        <w:jc w:val="both"/>
        <w:rPr>
          <w:rFonts w:ascii="Times New Roman" w:hAnsi="Times New Roman" w:cs="Times New Roman"/>
          <w:sz w:val="24"/>
          <w:szCs w:val="24"/>
        </w:rPr>
      </w:pPr>
      <w:r w:rsidRPr="00504075">
        <w:rPr>
          <w:rFonts w:ascii="Times New Roman" w:hAnsi="Times New Roman" w:cs="Times New Roman"/>
          <w:sz w:val="24"/>
          <w:szCs w:val="24"/>
        </w:rPr>
        <w:t xml:space="preserve">Dacă </w:t>
      </w:r>
      <w:r w:rsidRPr="00504075">
        <w:rPr>
          <w:rFonts w:ascii="Times New Roman" w:hAnsi="Times New Roman" w:cs="Times New Roman"/>
          <w:sz w:val="24"/>
          <w:szCs w:val="24"/>
        </w:rPr>
        <w:t>TEA crește</w:t>
      </w:r>
      <w:r w:rsidRPr="00504075">
        <w:rPr>
          <w:rFonts w:ascii="Times New Roman" w:hAnsi="Times New Roman" w:cs="Times New Roman"/>
          <w:sz w:val="24"/>
          <w:szCs w:val="24"/>
        </w:rPr>
        <w:t xml:space="preserve"> cu 1%, iar celelalte variabile rămân constante, atunci </w:t>
      </w:r>
      <w:r w:rsidRPr="00504075">
        <w:rPr>
          <w:rFonts w:ascii="Times New Roman" w:hAnsi="Times New Roman" w:cs="Times New Roman"/>
          <w:sz w:val="24"/>
          <w:szCs w:val="24"/>
        </w:rPr>
        <w:t>ERG</w:t>
      </w:r>
      <w:r w:rsidRPr="00504075">
        <w:rPr>
          <w:rFonts w:ascii="Times New Roman" w:hAnsi="Times New Roman" w:cs="Times New Roman"/>
          <w:sz w:val="24"/>
          <w:szCs w:val="24"/>
        </w:rPr>
        <w:t xml:space="preserve"> va</w:t>
      </w:r>
      <w:r w:rsidRPr="00504075">
        <w:rPr>
          <w:rFonts w:ascii="Times New Roman" w:hAnsi="Times New Roman" w:cs="Times New Roman"/>
          <w:sz w:val="24"/>
          <w:szCs w:val="24"/>
        </w:rPr>
        <w:t xml:space="preserve"> crește</w:t>
      </w:r>
      <w:r w:rsidRPr="00504075">
        <w:rPr>
          <w:rFonts w:ascii="Times New Roman" w:hAnsi="Times New Roman" w:cs="Times New Roman"/>
          <w:sz w:val="24"/>
          <w:szCs w:val="24"/>
        </w:rPr>
        <w:t xml:space="preserve"> în medie cu </w:t>
      </w:r>
      <w:r w:rsidRPr="00504075">
        <w:rPr>
          <w:rFonts w:ascii="Times New Roman" w:hAnsi="Times New Roman" w:cs="Times New Roman"/>
          <w:sz w:val="24"/>
          <w:szCs w:val="24"/>
        </w:rPr>
        <w:t>12,</w:t>
      </w:r>
      <w:r w:rsidRPr="00504075">
        <w:rPr>
          <w:rFonts w:ascii="Times New Roman" w:hAnsi="Times New Roman" w:cs="Times New Roman"/>
          <w:sz w:val="24"/>
          <w:szCs w:val="24"/>
        </w:rPr>
        <w:t xml:space="preserve">6%. </w:t>
      </w:r>
      <w:r w:rsidRPr="00504075">
        <w:rPr>
          <w:rFonts w:ascii="Times New Roman" w:hAnsi="Times New Roman" w:cs="Times New Roman"/>
          <w:sz w:val="24"/>
          <w:szCs w:val="24"/>
        </w:rPr>
        <w:t>În limbaj economic, dacă nivelul studiilor crește cu un procent, atunci rata de angajare a proaspeților absolvenți crește cu 12,6%.  Acest lucru ne arată importanța nivelului de studii pentru angajarea după absolvire.</w:t>
      </w:r>
    </w:p>
    <w:p w14:paraId="46C4E7BA" w14:textId="640F6E47" w:rsidR="00EF40E9" w:rsidRPr="00504075" w:rsidRDefault="00EF40E9" w:rsidP="00EF519C">
      <w:pPr>
        <w:pStyle w:val="Listparagraf"/>
        <w:numPr>
          <w:ilvl w:val="0"/>
          <w:numId w:val="4"/>
        </w:numPr>
        <w:spacing w:line="240" w:lineRule="auto"/>
        <w:ind w:left="0" w:firstLine="567"/>
        <w:jc w:val="both"/>
        <w:rPr>
          <w:rFonts w:ascii="Times New Roman" w:hAnsi="Times New Roman" w:cs="Times New Roman"/>
          <w:sz w:val="24"/>
          <w:szCs w:val="24"/>
        </w:rPr>
      </w:pPr>
      <w:r w:rsidRPr="00504075">
        <w:rPr>
          <w:rFonts w:ascii="Times New Roman" w:hAnsi="Times New Roman" w:cs="Times New Roman"/>
          <w:sz w:val="24"/>
          <w:szCs w:val="24"/>
        </w:rPr>
        <w:t xml:space="preserve">Dacă </w:t>
      </w:r>
      <w:r w:rsidRPr="00504075">
        <w:rPr>
          <w:rFonts w:ascii="Times New Roman" w:hAnsi="Times New Roman" w:cs="Times New Roman"/>
          <w:sz w:val="24"/>
          <w:szCs w:val="24"/>
        </w:rPr>
        <w:t>IGDP crește</w:t>
      </w:r>
      <w:r w:rsidRPr="00504075">
        <w:rPr>
          <w:rFonts w:ascii="Times New Roman" w:hAnsi="Times New Roman" w:cs="Times New Roman"/>
          <w:sz w:val="24"/>
          <w:szCs w:val="24"/>
        </w:rPr>
        <w:t xml:space="preserve"> cu 1%, iar celelalte variabile rămân constante, atunci </w:t>
      </w:r>
      <w:r w:rsidRPr="00504075">
        <w:rPr>
          <w:rFonts w:ascii="Times New Roman" w:hAnsi="Times New Roman" w:cs="Times New Roman"/>
          <w:sz w:val="24"/>
          <w:szCs w:val="24"/>
        </w:rPr>
        <w:t>ERG</w:t>
      </w:r>
      <w:r w:rsidRPr="00504075">
        <w:rPr>
          <w:rFonts w:ascii="Times New Roman" w:hAnsi="Times New Roman" w:cs="Times New Roman"/>
          <w:sz w:val="24"/>
          <w:szCs w:val="24"/>
        </w:rPr>
        <w:t xml:space="preserve"> va</w:t>
      </w:r>
      <w:r w:rsidRPr="00504075">
        <w:rPr>
          <w:rFonts w:ascii="Times New Roman" w:hAnsi="Times New Roman" w:cs="Times New Roman"/>
          <w:sz w:val="24"/>
          <w:szCs w:val="24"/>
        </w:rPr>
        <w:t xml:space="preserve"> crește</w:t>
      </w:r>
      <w:r w:rsidRPr="00504075">
        <w:rPr>
          <w:rFonts w:ascii="Times New Roman" w:hAnsi="Times New Roman" w:cs="Times New Roman"/>
          <w:sz w:val="24"/>
          <w:szCs w:val="24"/>
        </w:rPr>
        <w:t xml:space="preserve"> în medie cu </w:t>
      </w:r>
      <w:r w:rsidRPr="00504075">
        <w:rPr>
          <w:rFonts w:ascii="Times New Roman" w:hAnsi="Times New Roman" w:cs="Times New Roman"/>
          <w:sz w:val="24"/>
          <w:szCs w:val="24"/>
        </w:rPr>
        <w:t>1</w:t>
      </w:r>
      <w:r>
        <w:rPr>
          <w:rFonts w:ascii="Times New Roman" w:hAnsi="Times New Roman" w:cs="Times New Roman"/>
          <w:sz w:val="24"/>
          <w:szCs w:val="24"/>
        </w:rPr>
        <w:t>0</w:t>
      </w:r>
      <w:r w:rsidRPr="00504075">
        <w:rPr>
          <w:rFonts w:ascii="Times New Roman" w:hAnsi="Times New Roman" w:cs="Times New Roman"/>
          <w:sz w:val="24"/>
          <w:szCs w:val="24"/>
        </w:rPr>
        <w:t>,2</w:t>
      </w:r>
      <w:r w:rsidRPr="00504075">
        <w:rPr>
          <w:rFonts w:ascii="Times New Roman" w:hAnsi="Times New Roman" w:cs="Times New Roman"/>
          <w:sz w:val="24"/>
          <w:szCs w:val="24"/>
        </w:rPr>
        <w:t xml:space="preserve">%. </w:t>
      </w:r>
      <w:r w:rsidRPr="00504075">
        <w:rPr>
          <w:rFonts w:ascii="Times New Roman" w:hAnsi="Times New Roman" w:cs="Times New Roman"/>
          <w:sz w:val="24"/>
          <w:szCs w:val="24"/>
        </w:rPr>
        <w:t>Dacă valoarea investițiilor in sectorul educațional crește cu 1%, atunci rata de promovabilitate a proaspeților absolvenți crește cu 1</w:t>
      </w:r>
      <w:r>
        <w:rPr>
          <w:rFonts w:ascii="Times New Roman" w:hAnsi="Times New Roman" w:cs="Times New Roman"/>
          <w:sz w:val="24"/>
          <w:szCs w:val="24"/>
        </w:rPr>
        <w:t>0,</w:t>
      </w:r>
      <w:r w:rsidRPr="00504075">
        <w:rPr>
          <w:rFonts w:ascii="Times New Roman" w:hAnsi="Times New Roman" w:cs="Times New Roman"/>
          <w:sz w:val="24"/>
          <w:szCs w:val="24"/>
        </w:rPr>
        <w:t>2%. Acest lucru scoate în evidența importanța bazei tehnico-materiale a sistemului educațional și implicit asupra formării priceperilor și deprinderilor elevilor pentru piața muncii.</w:t>
      </w:r>
    </w:p>
    <w:p w14:paraId="028178A2" w14:textId="77E4C49F" w:rsidR="00EF40E9" w:rsidRPr="00504075" w:rsidRDefault="00EF40E9" w:rsidP="00EF519C">
      <w:pPr>
        <w:pStyle w:val="Listparagraf"/>
        <w:numPr>
          <w:ilvl w:val="0"/>
          <w:numId w:val="4"/>
        </w:numPr>
        <w:spacing w:line="240" w:lineRule="auto"/>
        <w:ind w:left="0" w:firstLine="567"/>
        <w:jc w:val="both"/>
        <w:rPr>
          <w:rFonts w:ascii="Times New Roman" w:hAnsi="Times New Roman" w:cs="Times New Roman"/>
          <w:sz w:val="24"/>
          <w:szCs w:val="24"/>
        </w:rPr>
      </w:pPr>
      <w:r w:rsidRPr="00504075">
        <w:rPr>
          <w:rFonts w:ascii="Times New Roman" w:hAnsi="Times New Roman" w:cs="Times New Roman"/>
          <w:sz w:val="24"/>
          <w:szCs w:val="24"/>
        </w:rPr>
        <w:t xml:space="preserve">Dacă </w:t>
      </w:r>
      <w:r w:rsidRPr="00504075">
        <w:rPr>
          <w:rFonts w:ascii="Times New Roman" w:hAnsi="Times New Roman" w:cs="Times New Roman"/>
          <w:sz w:val="24"/>
          <w:szCs w:val="24"/>
        </w:rPr>
        <w:t>PPE crește</w:t>
      </w:r>
      <w:r w:rsidRPr="00504075">
        <w:rPr>
          <w:rFonts w:ascii="Times New Roman" w:hAnsi="Times New Roman" w:cs="Times New Roman"/>
          <w:sz w:val="24"/>
          <w:szCs w:val="24"/>
        </w:rPr>
        <w:t xml:space="preserve"> cu 1%, iar celelalte variabile rămân constante, atunci </w:t>
      </w:r>
      <w:r w:rsidRPr="00504075">
        <w:rPr>
          <w:rFonts w:ascii="Times New Roman" w:hAnsi="Times New Roman" w:cs="Times New Roman"/>
          <w:sz w:val="24"/>
          <w:szCs w:val="24"/>
        </w:rPr>
        <w:t>ERG</w:t>
      </w:r>
      <w:r w:rsidRPr="00504075">
        <w:rPr>
          <w:rFonts w:ascii="Times New Roman" w:hAnsi="Times New Roman" w:cs="Times New Roman"/>
          <w:sz w:val="24"/>
          <w:szCs w:val="24"/>
        </w:rPr>
        <w:t xml:space="preserve"> va</w:t>
      </w:r>
      <w:r w:rsidRPr="00504075">
        <w:rPr>
          <w:rFonts w:ascii="Times New Roman" w:hAnsi="Times New Roman" w:cs="Times New Roman"/>
          <w:sz w:val="24"/>
          <w:szCs w:val="24"/>
        </w:rPr>
        <w:t xml:space="preserve"> crește</w:t>
      </w:r>
      <w:r w:rsidRPr="00504075">
        <w:rPr>
          <w:rFonts w:ascii="Times New Roman" w:hAnsi="Times New Roman" w:cs="Times New Roman"/>
          <w:sz w:val="24"/>
          <w:szCs w:val="24"/>
        </w:rPr>
        <w:t xml:space="preserve"> în medie cu </w:t>
      </w:r>
      <w:r w:rsidRPr="00504075">
        <w:rPr>
          <w:rFonts w:ascii="Times New Roman" w:hAnsi="Times New Roman" w:cs="Times New Roman"/>
          <w:sz w:val="24"/>
          <w:szCs w:val="24"/>
        </w:rPr>
        <w:t>10,7</w:t>
      </w:r>
      <w:r w:rsidRPr="00504075">
        <w:rPr>
          <w:rFonts w:ascii="Times New Roman" w:hAnsi="Times New Roman" w:cs="Times New Roman"/>
          <w:sz w:val="24"/>
          <w:szCs w:val="24"/>
        </w:rPr>
        <w:t xml:space="preserve">%. </w:t>
      </w:r>
      <w:r w:rsidRPr="00504075">
        <w:rPr>
          <w:rFonts w:ascii="Times New Roman" w:hAnsi="Times New Roman" w:cs="Times New Roman"/>
          <w:sz w:val="24"/>
          <w:szCs w:val="24"/>
        </w:rPr>
        <w:t>La nivelul instituțiilor de învățământ, creșterea finanțării publice cu 1% conduce la creșterea ratei de angajare a proaspeților absolvenți.</w:t>
      </w:r>
    </w:p>
    <w:p w14:paraId="1D029492" w14:textId="4EAA9DF0" w:rsidR="00EF40E9" w:rsidRPr="00B818A6" w:rsidRDefault="00EF40E9" w:rsidP="00F549F7">
      <w:pPr>
        <w:spacing w:after="0" w:line="240" w:lineRule="auto"/>
        <w:ind w:firstLine="567"/>
        <w:jc w:val="both"/>
        <w:rPr>
          <w:rFonts w:ascii="Times New Roman" w:hAnsi="Times New Roman" w:cs="Times New Roman"/>
          <w:sz w:val="24"/>
          <w:szCs w:val="24"/>
        </w:rPr>
      </w:pPr>
      <w:r w:rsidRPr="00B818A6">
        <w:rPr>
          <w:rFonts w:ascii="Times New Roman" w:hAnsi="Times New Roman" w:cs="Times New Roman"/>
          <w:sz w:val="24"/>
          <w:szCs w:val="24"/>
        </w:rPr>
        <w:t xml:space="preserve">Realizând o analiză în retrospectivă a modelului nostru, putem observa că influența cea mai mare asupra ratei de angajare o are nivelul studiilor deținute de absolvent (12,6%), urmat de valoarea cheltuielilor publice pentru educație (10,7%). Influența cea mai mică dintre variabilele analizate o are valoarea investițiilor în sectorul educațional (10,2%). </w:t>
      </w:r>
    </w:p>
    <w:p w14:paraId="181C538C" w14:textId="58034BF6" w:rsidR="00EF40E9" w:rsidRPr="00310BAF" w:rsidRDefault="00EF40E9" w:rsidP="00F549F7">
      <w:pPr>
        <w:spacing w:line="240" w:lineRule="auto"/>
        <w:ind w:firstLine="567"/>
        <w:jc w:val="both"/>
        <w:rPr>
          <w:rFonts w:ascii="Times New Roman" w:hAnsi="Times New Roman" w:cs="Times New Roman"/>
          <w:sz w:val="24"/>
          <w:szCs w:val="24"/>
        </w:rPr>
      </w:pPr>
      <w:r w:rsidRPr="00310BAF">
        <w:rPr>
          <w:rFonts w:ascii="Times New Roman" w:hAnsi="Times New Roman" w:cs="Times New Roman"/>
          <w:sz w:val="24"/>
          <w:szCs w:val="24"/>
        </w:rPr>
        <w:t>Tabelul Residuals</w:t>
      </w:r>
      <w:r>
        <w:rPr>
          <w:rFonts w:ascii="Times New Roman" w:hAnsi="Times New Roman" w:cs="Times New Roman"/>
          <w:sz w:val="24"/>
          <w:szCs w:val="24"/>
        </w:rPr>
        <w:t xml:space="preserve"> </w:t>
      </w:r>
      <w:r w:rsidRPr="00310BAF">
        <w:rPr>
          <w:rFonts w:ascii="Times New Roman" w:hAnsi="Times New Roman" w:cs="Times New Roman"/>
          <w:sz w:val="24"/>
          <w:szCs w:val="24"/>
        </w:rPr>
        <w:t xml:space="preserve">Statistics ne </w:t>
      </w:r>
      <w:r>
        <w:rPr>
          <w:rFonts w:ascii="Times New Roman" w:hAnsi="Times New Roman" w:cs="Times New Roman"/>
          <w:sz w:val="24"/>
          <w:szCs w:val="24"/>
        </w:rPr>
        <w:t>arată</w:t>
      </w:r>
      <w:r w:rsidRPr="00310BAF">
        <w:rPr>
          <w:rFonts w:ascii="Times New Roman" w:hAnsi="Times New Roman" w:cs="Times New Roman"/>
          <w:sz w:val="24"/>
          <w:szCs w:val="24"/>
        </w:rPr>
        <w:t xml:space="preserve"> valorile reziduale care </w:t>
      </w:r>
      <w:r>
        <w:rPr>
          <w:rFonts w:ascii="Times New Roman" w:hAnsi="Times New Roman" w:cs="Times New Roman"/>
          <w:sz w:val="24"/>
          <w:szCs w:val="24"/>
        </w:rPr>
        <w:t>se află la extreme. Astfel, v</w:t>
      </w:r>
      <w:r w:rsidRPr="00310BAF">
        <w:rPr>
          <w:rFonts w:ascii="Times New Roman" w:hAnsi="Times New Roman" w:cs="Times New Roman"/>
          <w:sz w:val="24"/>
          <w:szCs w:val="24"/>
        </w:rPr>
        <w:t xml:space="preserve">aloarea cea mai mică a </w:t>
      </w:r>
      <w:r w:rsidRPr="00310BAF">
        <w:rPr>
          <w:rFonts w:ascii="Times New Roman" w:hAnsi="Times New Roman" w:cs="Times New Roman"/>
          <w:sz w:val="24"/>
          <w:szCs w:val="24"/>
        </w:rPr>
        <w:t>reziduului</w:t>
      </w:r>
      <w:r w:rsidRPr="00310BAF">
        <w:rPr>
          <w:rFonts w:ascii="Times New Roman" w:hAnsi="Times New Roman" w:cs="Times New Roman"/>
          <w:sz w:val="24"/>
          <w:szCs w:val="24"/>
        </w:rPr>
        <w:t xml:space="preserve"> este </w:t>
      </w:r>
      <w:r w:rsidRPr="002757A5">
        <w:rPr>
          <w:rFonts w:ascii="Times New Roman" w:hAnsi="Times New Roman" w:cs="Times New Roman"/>
          <w:sz w:val="24"/>
          <w:szCs w:val="24"/>
        </w:rPr>
        <w:t>-3,0444447994232</w:t>
      </w:r>
      <w:r w:rsidRPr="00310BAF">
        <w:rPr>
          <w:rFonts w:ascii="Times New Roman" w:hAnsi="Times New Roman" w:cs="Times New Roman"/>
          <w:sz w:val="24"/>
          <w:szCs w:val="24"/>
        </w:rPr>
        <w:t xml:space="preserve">, iar valoarea cea mai mare este </w:t>
      </w:r>
      <w:r w:rsidRPr="0014382F">
        <w:rPr>
          <w:rFonts w:ascii="Times New Roman" w:hAnsi="Times New Roman" w:cs="Times New Roman"/>
          <w:sz w:val="24"/>
          <w:szCs w:val="24"/>
        </w:rPr>
        <w:t>3,5766427516937</w:t>
      </w:r>
      <w:r>
        <w:rPr>
          <w:rFonts w:ascii="Times New Roman" w:hAnsi="Times New Roman" w:cs="Times New Roman"/>
          <w:sz w:val="24"/>
          <w:szCs w:val="24"/>
        </w:rPr>
        <w:t>.</w:t>
      </w:r>
    </w:p>
    <w:p w14:paraId="19877ACF" w14:textId="4B589C1B" w:rsidR="00EF40E9" w:rsidRPr="0014382F" w:rsidRDefault="00EF40E9" w:rsidP="00F549F7">
      <w:pPr>
        <w:autoSpaceDE w:val="0"/>
        <w:autoSpaceDN w:val="0"/>
        <w:adjustRightInd w:val="0"/>
        <w:spacing w:after="0" w:line="240" w:lineRule="auto"/>
        <w:rPr>
          <w:rFonts w:ascii="Times New Roman" w:hAnsi="Times New Roman" w:cs="Times New Roman"/>
          <w:sz w:val="24"/>
          <w:szCs w:val="24"/>
        </w:rPr>
      </w:pPr>
      <w:r w:rsidRPr="002E6846">
        <w:rPr>
          <w:rFonts w:ascii="Times New Roman" w:hAnsi="Times New Roman" w:cs="Times New Roman"/>
          <w:sz w:val="20"/>
          <w:szCs w:val="20"/>
        </w:rPr>
        <w:lastRenderedPageBreak/>
        <w:t xml:space="preserve">Tabelul nr. </w:t>
      </w:r>
      <w:r w:rsidR="002E6846" w:rsidRPr="002E6846">
        <w:rPr>
          <w:rFonts w:ascii="Times New Roman" w:hAnsi="Times New Roman" w:cs="Times New Roman"/>
          <w:sz w:val="20"/>
          <w:szCs w:val="20"/>
        </w:rPr>
        <w:t>8</w:t>
      </w:r>
      <w:r w:rsidRPr="002E6846">
        <w:rPr>
          <w:rFonts w:ascii="Times New Roman" w:hAnsi="Times New Roman" w:cs="Times New Roman"/>
          <w:sz w:val="20"/>
          <w:szCs w:val="20"/>
        </w:rPr>
        <w:t xml:space="preserve"> - </w:t>
      </w:r>
      <w:r w:rsidRPr="002E6846">
        <w:rPr>
          <w:rFonts w:ascii="Times New Roman" w:hAnsi="Times New Roman" w:cs="Times New Roman"/>
          <w:sz w:val="20"/>
          <w:szCs w:val="20"/>
        </w:rPr>
        <w:t>Residuals Statistics</w:t>
      </w:r>
    </w:p>
    <w:tbl>
      <w:tblPr>
        <w:tblW w:w="10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842"/>
        <w:gridCol w:w="1798"/>
        <w:gridCol w:w="1681"/>
        <w:gridCol w:w="1821"/>
        <w:gridCol w:w="1096"/>
        <w:gridCol w:w="23"/>
      </w:tblGrid>
      <w:tr w:rsidR="00EF40E9" w:rsidRPr="0014382F" w14:paraId="0FBAAA26" w14:textId="77777777" w:rsidTr="00EF519C">
        <w:tblPrEx>
          <w:tblCellMar>
            <w:top w:w="0" w:type="dxa"/>
            <w:bottom w:w="0" w:type="dxa"/>
          </w:tblCellMar>
        </w:tblPrEx>
        <w:trPr>
          <w:cantSplit/>
          <w:trHeight w:val="142"/>
        </w:trPr>
        <w:tc>
          <w:tcPr>
            <w:tcW w:w="10246" w:type="dxa"/>
            <w:gridSpan w:val="7"/>
            <w:tcBorders>
              <w:top w:val="nil"/>
              <w:left w:val="nil"/>
              <w:bottom w:val="nil"/>
              <w:right w:val="nil"/>
            </w:tcBorders>
            <w:shd w:val="clear" w:color="auto" w:fill="FFFFFF"/>
            <w:vAlign w:val="center"/>
          </w:tcPr>
          <w:p w14:paraId="7D7F17A2" w14:textId="77777777" w:rsidR="00EF40E9" w:rsidRPr="0014382F" w:rsidRDefault="00EF40E9" w:rsidP="00F549F7">
            <w:pPr>
              <w:autoSpaceDE w:val="0"/>
              <w:autoSpaceDN w:val="0"/>
              <w:adjustRightInd w:val="0"/>
              <w:spacing w:after="0" w:line="240" w:lineRule="auto"/>
              <w:ind w:left="60" w:right="60"/>
              <w:jc w:val="center"/>
              <w:rPr>
                <w:rFonts w:ascii="Arial" w:hAnsi="Arial" w:cs="Arial"/>
                <w:color w:val="010205"/>
              </w:rPr>
            </w:pPr>
            <w:r w:rsidRPr="0014382F">
              <w:rPr>
                <w:rFonts w:ascii="Arial" w:hAnsi="Arial" w:cs="Arial"/>
                <w:b/>
                <w:bCs/>
                <w:color w:val="010205"/>
              </w:rPr>
              <w:t>Residuals Statistics</w:t>
            </w:r>
            <w:r w:rsidRPr="0014382F">
              <w:rPr>
                <w:rFonts w:ascii="Arial" w:hAnsi="Arial" w:cs="Arial"/>
                <w:b/>
                <w:bCs/>
                <w:color w:val="010205"/>
                <w:vertAlign w:val="superscript"/>
              </w:rPr>
              <w:t>a</w:t>
            </w:r>
          </w:p>
        </w:tc>
      </w:tr>
      <w:tr w:rsidR="00EF40E9" w:rsidRPr="0014382F" w14:paraId="26F65E47" w14:textId="77777777" w:rsidTr="00EF519C">
        <w:tblPrEx>
          <w:tblCellMar>
            <w:top w:w="0" w:type="dxa"/>
            <w:bottom w:w="0" w:type="dxa"/>
          </w:tblCellMar>
        </w:tblPrEx>
        <w:trPr>
          <w:gridAfter w:val="1"/>
          <w:wAfter w:w="23" w:type="dxa"/>
          <w:cantSplit/>
          <w:trHeight w:val="137"/>
        </w:trPr>
        <w:tc>
          <w:tcPr>
            <w:tcW w:w="1985" w:type="dxa"/>
            <w:tcBorders>
              <w:top w:val="nil"/>
              <w:left w:val="nil"/>
              <w:bottom w:val="single" w:sz="8" w:space="0" w:color="152935"/>
              <w:right w:val="nil"/>
            </w:tcBorders>
            <w:shd w:val="clear" w:color="auto" w:fill="FFFFFF"/>
            <w:vAlign w:val="bottom"/>
          </w:tcPr>
          <w:p w14:paraId="071E36DF" w14:textId="77777777" w:rsidR="00EF40E9" w:rsidRPr="0014382F" w:rsidRDefault="00EF40E9" w:rsidP="00F549F7">
            <w:pPr>
              <w:autoSpaceDE w:val="0"/>
              <w:autoSpaceDN w:val="0"/>
              <w:adjustRightInd w:val="0"/>
              <w:spacing w:after="0" w:line="240" w:lineRule="auto"/>
              <w:rPr>
                <w:rFonts w:ascii="Times New Roman" w:hAnsi="Times New Roman" w:cs="Times New Roman"/>
                <w:sz w:val="24"/>
                <w:szCs w:val="24"/>
              </w:rPr>
            </w:pPr>
          </w:p>
        </w:tc>
        <w:tc>
          <w:tcPr>
            <w:tcW w:w="1842" w:type="dxa"/>
            <w:tcBorders>
              <w:top w:val="nil"/>
              <w:left w:val="nil"/>
              <w:bottom w:val="single" w:sz="8" w:space="0" w:color="152935"/>
              <w:right w:val="single" w:sz="8" w:space="0" w:color="E0E0E0"/>
            </w:tcBorders>
            <w:shd w:val="clear" w:color="auto" w:fill="FFFFFF"/>
            <w:vAlign w:val="bottom"/>
          </w:tcPr>
          <w:p w14:paraId="2D2BABEE" w14:textId="77777777" w:rsidR="00EF40E9" w:rsidRPr="0014382F"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14382F">
              <w:rPr>
                <w:rFonts w:ascii="Arial" w:hAnsi="Arial" w:cs="Arial"/>
                <w:color w:val="264A60"/>
                <w:sz w:val="18"/>
                <w:szCs w:val="18"/>
              </w:rPr>
              <w:t>Minimum</w:t>
            </w:r>
          </w:p>
        </w:tc>
        <w:tc>
          <w:tcPr>
            <w:tcW w:w="1798" w:type="dxa"/>
            <w:tcBorders>
              <w:top w:val="nil"/>
              <w:left w:val="single" w:sz="8" w:space="0" w:color="E0E0E0"/>
              <w:bottom w:val="single" w:sz="8" w:space="0" w:color="152935"/>
              <w:right w:val="single" w:sz="8" w:space="0" w:color="E0E0E0"/>
            </w:tcBorders>
            <w:shd w:val="clear" w:color="auto" w:fill="FFFFFF"/>
            <w:vAlign w:val="bottom"/>
          </w:tcPr>
          <w:p w14:paraId="7F6F95A9" w14:textId="1E2BFC6A" w:rsidR="00EF40E9" w:rsidRPr="0014382F"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14382F">
              <w:rPr>
                <w:rFonts w:ascii="Arial" w:hAnsi="Arial" w:cs="Arial"/>
                <w:color w:val="264A60"/>
                <w:sz w:val="18"/>
                <w:szCs w:val="18"/>
              </w:rPr>
              <w:t>Maximum</w:t>
            </w:r>
          </w:p>
        </w:tc>
        <w:tc>
          <w:tcPr>
            <w:tcW w:w="1681" w:type="dxa"/>
            <w:tcBorders>
              <w:top w:val="nil"/>
              <w:left w:val="single" w:sz="8" w:space="0" w:color="E0E0E0"/>
              <w:bottom w:val="single" w:sz="8" w:space="0" w:color="152935"/>
              <w:right w:val="single" w:sz="8" w:space="0" w:color="E0E0E0"/>
            </w:tcBorders>
            <w:shd w:val="clear" w:color="auto" w:fill="FFFFFF"/>
            <w:vAlign w:val="bottom"/>
          </w:tcPr>
          <w:p w14:paraId="76CD6A2E" w14:textId="77777777" w:rsidR="00EF40E9" w:rsidRPr="0014382F"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14382F">
              <w:rPr>
                <w:rFonts w:ascii="Arial" w:hAnsi="Arial" w:cs="Arial"/>
                <w:color w:val="264A60"/>
                <w:sz w:val="18"/>
                <w:szCs w:val="18"/>
              </w:rPr>
              <w:t>Mean</w:t>
            </w:r>
          </w:p>
        </w:tc>
        <w:tc>
          <w:tcPr>
            <w:tcW w:w="1821" w:type="dxa"/>
            <w:tcBorders>
              <w:top w:val="nil"/>
              <w:left w:val="single" w:sz="8" w:space="0" w:color="E0E0E0"/>
              <w:bottom w:val="single" w:sz="8" w:space="0" w:color="152935"/>
              <w:right w:val="single" w:sz="8" w:space="0" w:color="E0E0E0"/>
            </w:tcBorders>
            <w:shd w:val="clear" w:color="auto" w:fill="FFFFFF"/>
            <w:vAlign w:val="bottom"/>
          </w:tcPr>
          <w:p w14:paraId="416F553B" w14:textId="77777777" w:rsidR="00EF40E9" w:rsidRPr="0014382F"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14382F">
              <w:rPr>
                <w:rFonts w:ascii="Arial" w:hAnsi="Arial" w:cs="Arial"/>
                <w:color w:val="264A60"/>
                <w:sz w:val="18"/>
                <w:szCs w:val="18"/>
              </w:rPr>
              <w:t>Std. Deviation</w:t>
            </w:r>
          </w:p>
        </w:tc>
        <w:tc>
          <w:tcPr>
            <w:tcW w:w="1096" w:type="dxa"/>
            <w:tcBorders>
              <w:top w:val="nil"/>
              <w:left w:val="single" w:sz="8" w:space="0" w:color="E0E0E0"/>
              <w:bottom w:val="single" w:sz="8" w:space="0" w:color="152935"/>
              <w:right w:val="nil"/>
            </w:tcBorders>
            <w:shd w:val="clear" w:color="auto" w:fill="FFFFFF"/>
            <w:vAlign w:val="bottom"/>
          </w:tcPr>
          <w:p w14:paraId="67258F46" w14:textId="77777777" w:rsidR="00EF40E9" w:rsidRPr="0014382F" w:rsidRDefault="00EF40E9" w:rsidP="00F549F7">
            <w:pPr>
              <w:autoSpaceDE w:val="0"/>
              <w:autoSpaceDN w:val="0"/>
              <w:adjustRightInd w:val="0"/>
              <w:spacing w:after="0" w:line="240" w:lineRule="auto"/>
              <w:ind w:left="60" w:right="60"/>
              <w:jc w:val="center"/>
              <w:rPr>
                <w:rFonts w:ascii="Arial" w:hAnsi="Arial" w:cs="Arial"/>
                <w:color w:val="264A60"/>
                <w:sz w:val="18"/>
                <w:szCs w:val="18"/>
              </w:rPr>
            </w:pPr>
            <w:r w:rsidRPr="0014382F">
              <w:rPr>
                <w:rFonts w:ascii="Arial" w:hAnsi="Arial" w:cs="Arial"/>
                <w:color w:val="264A60"/>
                <w:sz w:val="18"/>
                <w:szCs w:val="18"/>
              </w:rPr>
              <w:t>N</w:t>
            </w:r>
          </w:p>
        </w:tc>
      </w:tr>
      <w:tr w:rsidR="00EF40E9" w:rsidRPr="0014382F" w14:paraId="05E8EA8A" w14:textId="77777777" w:rsidTr="00EF519C">
        <w:tblPrEx>
          <w:tblCellMar>
            <w:top w:w="0" w:type="dxa"/>
            <w:bottom w:w="0" w:type="dxa"/>
          </w:tblCellMar>
        </w:tblPrEx>
        <w:trPr>
          <w:gridAfter w:val="1"/>
          <w:wAfter w:w="23" w:type="dxa"/>
          <w:cantSplit/>
          <w:trHeight w:val="280"/>
        </w:trPr>
        <w:tc>
          <w:tcPr>
            <w:tcW w:w="1985" w:type="dxa"/>
            <w:tcBorders>
              <w:top w:val="single" w:sz="8" w:space="0" w:color="152935"/>
              <w:left w:val="nil"/>
              <w:bottom w:val="single" w:sz="8" w:space="0" w:color="AEAEAE"/>
              <w:right w:val="nil"/>
            </w:tcBorders>
            <w:shd w:val="clear" w:color="auto" w:fill="E0E0E0"/>
          </w:tcPr>
          <w:p w14:paraId="548B8835" w14:textId="77777777" w:rsidR="00EF40E9" w:rsidRPr="0014382F" w:rsidRDefault="00EF40E9" w:rsidP="00F549F7">
            <w:pPr>
              <w:autoSpaceDE w:val="0"/>
              <w:autoSpaceDN w:val="0"/>
              <w:adjustRightInd w:val="0"/>
              <w:spacing w:after="0" w:line="240" w:lineRule="auto"/>
              <w:ind w:left="60" w:right="60"/>
              <w:rPr>
                <w:rFonts w:ascii="Arial" w:hAnsi="Arial" w:cs="Arial"/>
                <w:color w:val="264A60"/>
                <w:sz w:val="18"/>
                <w:szCs w:val="18"/>
              </w:rPr>
            </w:pPr>
            <w:r w:rsidRPr="0014382F">
              <w:rPr>
                <w:rFonts w:ascii="Arial" w:hAnsi="Arial" w:cs="Arial"/>
                <w:color w:val="264A60"/>
                <w:sz w:val="18"/>
                <w:szCs w:val="18"/>
              </w:rPr>
              <w:t>Predicted Value</w:t>
            </w:r>
          </w:p>
        </w:tc>
        <w:tc>
          <w:tcPr>
            <w:tcW w:w="1842" w:type="dxa"/>
            <w:tcBorders>
              <w:top w:val="single" w:sz="8" w:space="0" w:color="152935"/>
              <w:left w:val="nil"/>
              <w:bottom w:val="single" w:sz="8" w:space="0" w:color="AEAEAE"/>
              <w:right w:val="single" w:sz="8" w:space="0" w:color="E0E0E0"/>
            </w:tcBorders>
            <w:shd w:val="clear" w:color="auto" w:fill="FFFFFF"/>
          </w:tcPr>
          <w:p w14:paraId="07F53EDC"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66,416778564453</w:t>
            </w:r>
          </w:p>
        </w:tc>
        <w:tc>
          <w:tcPr>
            <w:tcW w:w="1798" w:type="dxa"/>
            <w:tcBorders>
              <w:top w:val="single" w:sz="8" w:space="0" w:color="152935"/>
              <w:left w:val="single" w:sz="8" w:space="0" w:color="E0E0E0"/>
              <w:bottom w:val="single" w:sz="8" w:space="0" w:color="AEAEAE"/>
              <w:right w:val="single" w:sz="8" w:space="0" w:color="E0E0E0"/>
            </w:tcBorders>
            <w:shd w:val="clear" w:color="auto" w:fill="FFFFFF"/>
          </w:tcPr>
          <w:p w14:paraId="66793D16"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76,189186096191</w:t>
            </w:r>
          </w:p>
        </w:tc>
        <w:tc>
          <w:tcPr>
            <w:tcW w:w="1681" w:type="dxa"/>
            <w:tcBorders>
              <w:top w:val="single" w:sz="8" w:space="0" w:color="152935"/>
              <w:left w:val="single" w:sz="8" w:space="0" w:color="E0E0E0"/>
              <w:bottom w:val="single" w:sz="8" w:space="0" w:color="AEAEAE"/>
              <w:right w:val="single" w:sz="8" w:space="0" w:color="E0E0E0"/>
            </w:tcBorders>
            <w:shd w:val="clear" w:color="auto" w:fill="FFFFFF"/>
          </w:tcPr>
          <w:p w14:paraId="5429538D"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71,833333333333</w:t>
            </w:r>
          </w:p>
        </w:tc>
        <w:tc>
          <w:tcPr>
            <w:tcW w:w="1821" w:type="dxa"/>
            <w:tcBorders>
              <w:top w:val="single" w:sz="8" w:space="0" w:color="152935"/>
              <w:left w:val="single" w:sz="8" w:space="0" w:color="E0E0E0"/>
              <w:bottom w:val="single" w:sz="8" w:space="0" w:color="AEAEAE"/>
              <w:right w:val="single" w:sz="8" w:space="0" w:color="E0E0E0"/>
            </w:tcBorders>
            <w:shd w:val="clear" w:color="auto" w:fill="FFFFFF"/>
          </w:tcPr>
          <w:p w14:paraId="50772AE7"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3,4210436962305</w:t>
            </w:r>
          </w:p>
        </w:tc>
        <w:tc>
          <w:tcPr>
            <w:tcW w:w="1096" w:type="dxa"/>
            <w:tcBorders>
              <w:top w:val="single" w:sz="8" w:space="0" w:color="152935"/>
              <w:left w:val="single" w:sz="8" w:space="0" w:color="E0E0E0"/>
              <w:bottom w:val="single" w:sz="8" w:space="0" w:color="AEAEAE"/>
              <w:right w:val="nil"/>
            </w:tcBorders>
            <w:shd w:val="clear" w:color="auto" w:fill="FFFFFF"/>
          </w:tcPr>
          <w:p w14:paraId="06B5C23A"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12</w:t>
            </w:r>
          </w:p>
        </w:tc>
      </w:tr>
      <w:tr w:rsidR="00EF40E9" w:rsidRPr="0014382F" w14:paraId="3CCA2BF1" w14:textId="77777777" w:rsidTr="00EF519C">
        <w:tblPrEx>
          <w:tblCellMar>
            <w:top w:w="0" w:type="dxa"/>
            <w:bottom w:w="0" w:type="dxa"/>
          </w:tblCellMar>
        </w:tblPrEx>
        <w:trPr>
          <w:gridAfter w:val="1"/>
          <w:wAfter w:w="23" w:type="dxa"/>
          <w:cantSplit/>
          <w:trHeight w:val="422"/>
        </w:trPr>
        <w:tc>
          <w:tcPr>
            <w:tcW w:w="1985" w:type="dxa"/>
            <w:tcBorders>
              <w:top w:val="single" w:sz="8" w:space="0" w:color="AEAEAE"/>
              <w:left w:val="nil"/>
              <w:bottom w:val="single" w:sz="8" w:space="0" w:color="AEAEAE"/>
              <w:right w:val="nil"/>
            </w:tcBorders>
            <w:shd w:val="clear" w:color="auto" w:fill="E0E0E0"/>
          </w:tcPr>
          <w:p w14:paraId="537A5DD7" w14:textId="77777777" w:rsidR="00EF40E9" w:rsidRPr="0014382F" w:rsidRDefault="00EF40E9" w:rsidP="00F549F7">
            <w:pPr>
              <w:autoSpaceDE w:val="0"/>
              <w:autoSpaceDN w:val="0"/>
              <w:adjustRightInd w:val="0"/>
              <w:spacing w:after="0" w:line="240" w:lineRule="auto"/>
              <w:ind w:left="60" w:right="60"/>
              <w:rPr>
                <w:rFonts w:ascii="Arial" w:hAnsi="Arial" w:cs="Arial"/>
                <w:color w:val="264A60"/>
                <w:sz w:val="18"/>
                <w:szCs w:val="18"/>
              </w:rPr>
            </w:pPr>
            <w:r w:rsidRPr="0014382F">
              <w:rPr>
                <w:rFonts w:ascii="Arial" w:hAnsi="Arial" w:cs="Arial"/>
                <w:color w:val="264A60"/>
                <w:sz w:val="18"/>
                <w:szCs w:val="18"/>
              </w:rPr>
              <w:t>Residual</w:t>
            </w:r>
          </w:p>
        </w:tc>
        <w:tc>
          <w:tcPr>
            <w:tcW w:w="1842" w:type="dxa"/>
            <w:tcBorders>
              <w:top w:val="single" w:sz="8" w:space="0" w:color="AEAEAE"/>
              <w:left w:val="nil"/>
              <w:bottom w:val="single" w:sz="8" w:space="0" w:color="AEAEAE"/>
              <w:right w:val="single" w:sz="8" w:space="0" w:color="E0E0E0"/>
            </w:tcBorders>
            <w:shd w:val="clear" w:color="auto" w:fill="FFFFFF"/>
          </w:tcPr>
          <w:p w14:paraId="186ED34E"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bookmarkStart w:id="5" w:name="_Hlk170656158"/>
            <w:r w:rsidRPr="0014382F">
              <w:rPr>
                <w:rFonts w:ascii="Arial" w:hAnsi="Arial" w:cs="Arial"/>
                <w:color w:val="010205"/>
                <w:sz w:val="18"/>
                <w:szCs w:val="18"/>
              </w:rPr>
              <w:t>-3,0444447994232</w:t>
            </w:r>
            <w:bookmarkEnd w:id="5"/>
          </w:p>
        </w:tc>
        <w:tc>
          <w:tcPr>
            <w:tcW w:w="1798" w:type="dxa"/>
            <w:tcBorders>
              <w:top w:val="single" w:sz="8" w:space="0" w:color="AEAEAE"/>
              <w:left w:val="single" w:sz="8" w:space="0" w:color="E0E0E0"/>
              <w:bottom w:val="single" w:sz="8" w:space="0" w:color="AEAEAE"/>
              <w:right w:val="single" w:sz="8" w:space="0" w:color="E0E0E0"/>
            </w:tcBorders>
            <w:shd w:val="clear" w:color="auto" w:fill="FFFFFF"/>
          </w:tcPr>
          <w:p w14:paraId="6EAD14C6"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3,5766427516937</w:t>
            </w:r>
          </w:p>
        </w:tc>
        <w:tc>
          <w:tcPr>
            <w:tcW w:w="1681" w:type="dxa"/>
            <w:tcBorders>
              <w:top w:val="single" w:sz="8" w:space="0" w:color="AEAEAE"/>
              <w:left w:val="single" w:sz="8" w:space="0" w:color="E0E0E0"/>
              <w:bottom w:val="single" w:sz="8" w:space="0" w:color="AEAEAE"/>
              <w:right w:val="single" w:sz="8" w:space="0" w:color="E0E0E0"/>
            </w:tcBorders>
            <w:shd w:val="clear" w:color="auto" w:fill="FFFFFF"/>
          </w:tcPr>
          <w:p w14:paraId="0102EE0A"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,0000000000000</w:t>
            </w:r>
          </w:p>
        </w:tc>
        <w:tc>
          <w:tcPr>
            <w:tcW w:w="1821" w:type="dxa"/>
            <w:tcBorders>
              <w:top w:val="single" w:sz="8" w:space="0" w:color="AEAEAE"/>
              <w:left w:val="single" w:sz="8" w:space="0" w:color="E0E0E0"/>
              <w:bottom w:val="single" w:sz="8" w:space="0" w:color="AEAEAE"/>
              <w:right w:val="single" w:sz="8" w:space="0" w:color="E0E0E0"/>
            </w:tcBorders>
            <w:shd w:val="clear" w:color="auto" w:fill="FFFFFF"/>
          </w:tcPr>
          <w:p w14:paraId="68729DB8"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2,2005727969197</w:t>
            </w:r>
          </w:p>
        </w:tc>
        <w:tc>
          <w:tcPr>
            <w:tcW w:w="1096" w:type="dxa"/>
            <w:tcBorders>
              <w:top w:val="single" w:sz="8" w:space="0" w:color="AEAEAE"/>
              <w:left w:val="single" w:sz="8" w:space="0" w:color="E0E0E0"/>
              <w:bottom w:val="single" w:sz="8" w:space="0" w:color="AEAEAE"/>
              <w:right w:val="nil"/>
            </w:tcBorders>
            <w:shd w:val="clear" w:color="auto" w:fill="FFFFFF"/>
          </w:tcPr>
          <w:p w14:paraId="10197C81"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12</w:t>
            </w:r>
          </w:p>
        </w:tc>
      </w:tr>
      <w:tr w:rsidR="00EF40E9" w:rsidRPr="0014382F" w14:paraId="29947852" w14:textId="77777777" w:rsidTr="00EF519C">
        <w:tblPrEx>
          <w:tblCellMar>
            <w:top w:w="0" w:type="dxa"/>
            <w:bottom w:w="0" w:type="dxa"/>
          </w:tblCellMar>
        </w:tblPrEx>
        <w:trPr>
          <w:gridAfter w:val="1"/>
          <w:wAfter w:w="23" w:type="dxa"/>
          <w:cantSplit/>
          <w:trHeight w:val="137"/>
        </w:trPr>
        <w:tc>
          <w:tcPr>
            <w:tcW w:w="1985" w:type="dxa"/>
            <w:tcBorders>
              <w:top w:val="single" w:sz="8" w:space="0" w:color="AEAEAE"/>
              <w:left w:val="nil"/>
              <w:bottom w:val="single" w:sz="8" w:space="0" w:color="AEAEAE"/>
              <w:right w:val="nil"/>
            </w:tcBorders>
            <w:shd w:val="clear" w:color="auto" w:fill="E0E0E0"/>
          </w:tcPr>
          <w:p w14:paraId="3304968A" w14:textId="77777777" w:rsidR="00EF40E9" w:rsidRPr="0014382F" w:rsidRDefault="00EF40E9" w:rsidP="00F549F7">
            <w:pPr>
              <w:autoSpaceDE w:val="0"/>
              <w:autoSpaceDN w:val="0"/>
              <w:adjustRightInd w:val="0"/>
              <w:spacing w:after="0" w:line="240" w:lineRule="auto"/>
              <w:ind w:left="60" w:right="60"/>
              <w:rPr>
                <w:rFonts w:ascii="Arial" w:hAnsi="Arial" w:cs="Arial"/>
                <w:color w:val="264A60"/>
                <w:sz w:val="18"/>
                <w:szCs w:val="18"/>
              </w:rPr>
            </w:pPr>
            <w:r w:rsidRPr="0014382F">
              <w:rPr>
                <w:rFonts w:ascii="Arial" w:hAnsi="Arial" w:cs="Arial"/>
                <w:color w:val="264A60"/>
                <w:sz w:val="18"/>
                <w:szCs w:val="18"/>
              </w:rPr>
              <w:t>Std. Predicted Value</w:t>
            </w:r>
          </w:p>
        </w:tc>
        <w:tc>
          <w:tcPr>
            <w:tcW w:w="1842" w:type="dxa"/>
            <w:tcBorders>
              <w:top w:val="single" w:sz="8" w:space="0" w:color="AEAEAE"/>
              <w:left w:val="nil"/>
              <w:bottom w:val="single" w:sz="8" w:space="0" w:color="AEAEAE"/>
              <w:right w:val="single" w:sz="8" w:space="0" w:color="E0E0E0"/>
            </w:tcBorders>
            <w:shd w:val="clear" w:color="auto" w:fill="FFFFFF"/>
          </w:tcPr>
          <w:p w14:paraId="52100BBE"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-1,583</w:t>
            </w:r>
          </w:p>
        </w:tc>
        <w:tc>
          <w:tcPr>
            <w:tcW w:w="1798" w:type="dxa"/>
            <w:tcBorders>
              <w:top w:val="single" w:sz="8" w:space="0" w:color="AEAEAE"/>
              <w:left w:val="single" w:sz="8" w:space="0" w:color="E0E0E0"/>
              <w:bottom w:val="single" w:sz="8" w:space="0" w:color="AEAEAE"/>
              <w:right w:val="single" w:sz="8" w:space="0" w:color="E0E0E0"/>
            </w:tcBorders>
            <w:shd w:val="clear" w:color="auto" w:fill="FFFFFF"/>
          </w:tcPr>
          <w:p w14:paraId="4C9F492C"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1,273</w:t>
            </w:r>
          </w:p>
        </w:tc>
        <w:tc>
          <w:tcPr>
            <w:tcW w:w="1681" w:type="dxa"/>
            <w:tcBorders>
              <w:top w:val="single" w:sz="8" w:space="0" w:color="AEAEAE"/>
              <w:left w:val="single" w:sz="8" w:space="0" w:color="E0E0E0"/>
              <w:bottom w:val="single" w:sz="8" w:space="0" w:color="AEAEAE"/>
              <w:right w:val="single" w:sz="8" w:space="0" w:color="E0E0E0"/>
            </w:tcBorders>
            <w:shd w:val="clear" w:color="auto" w:fill="FFFFFF"/>
          </w:tcPr>
          <w:p w14:paraId="15C6EBF6"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,000</w:t>
            </w:r>
          </w:p>
        </w:tc>
        <w:tc>
          <w:tcPr>
            <w:tcW w:w="1821" w:type="dxa"/>
            <w:tcBorders>
              <w:top w:val="single" w:sz="8" w:space="0" w:color="AEAEAE"/>
              <w:left w:val="single" w:sz="8" w:space="0" w:color="E0E0E0"/>
              <w:bottom w:val="single" w:sz="8" w:space="0" w:color="AEAEAE"/>
              <w:right w:val="single" w:sz="8" w:space="0" w:color="E0E0E0"/>
            </w:tcBorders>
            <w:shd w:val="clear" w:color="auto" w:fill="FFFFFF"/>
          </w:tcPr>
          <w:p w14:paraId="0B570114"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1,000</w:t>
            </w:r>
          </w:p>
        </w:tc>
        <w:tc>
          <w:tcPr>
            <w:tcW w:w="1096" w:type="dxa"/>
            <w:tcBorders>
              <w:top w:val="single" w:sz="8" w:space="0" w:color="AEAEAE"/>
              <w:left w:val="single" w:sz="8" w:space="0" w:color="E0E0E0"/>
              <w:bottom w:val="single" w:sz="8" w:space="0" w:color="AEAEAE"/>
              <w:right w:val="nil"/>
            </w:tcBorders>
            <w:shd w:val="clear" w:color="auto" w:fill="FFFFFF"/>
          </w:tcPr>
          <w:p w14:paraId="23D12566"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12</w:t>
            </w:r>
          </w:p>
        </w:tc>
      </w:tr>
      <w:tr w:rsidR="00EF40E9" w:rsidRPr="0014382F" w14:paraId="55BB667D" w14:textId="77777777" w:rsidTr="00EF519C">
        <w:tblPrEx>
          <w:tblCellMar>
            <w:top w:w="0" w:type="dxa"/>
            <w:bottom w:w="0" w:type="dxa"/>
          </w:tblCellMar>
        </w:tblPrEx>
        <w:trPr>
          <w:gridAfter w:val="1"/>
          <w:wAfter w:w="23" w:type="dxa"/>
          <w:cantSplit/>
          <w:trHeight w:val="142"/>
        </w:trPr>
        <w:tc>
          <w:tcPr>
            <w:tcW w:w="1985" w:type="dxa"/>
            <w:tcBorders>
              <w:top w:val="single" w:sz="8" w:space="0" w:color="AEAEAE"/>
              <w:left w:val="nil"/>
              <w:bottom w:val="single" w:sz="8" w:space="0" w:color="152935"/>
              <w:right w:val="nil"/>
            </w:tcBorders>
            <w:shd w:val="clear" w:color="auto" w:fill="E0E0E0"/>
          </w:tcPr>
          <w:p w14:paraId="3FD8B975" w14:textId="77777777" w:rsidR="00EF40E9" w:rsidRPr="0014382F" w:rsidRDefault="00EF40E9" w:rsidP="00F549F7">
            <w:pPr>
              <w:autoSpaceDE w:val="0"/>
              <w:autoSpaceDN w:val="0"/>
              <w:adjustRightInd w:val="0"/>
              <w:spacing w:after="0" w:line="240" w:lineRule="auto"/>
              <w:ind w:left="60" w:right="60"/>
              <w:rPr>
                <w:rFonts w:ascii="Arial" w:hAnsi="Arial" w:cs="Arial"/>
                <w:color w:val="264A60"/>
                <w:sz w:val="18"/>
                <w:szCs w:val="18"/>
              </w:rPr>
            </w:pPr>
            <w:r w:rsidRPr="0014382F">
              <w:rPr>
                <w:rFonts w:ascii="Arial" w:hAnsi="Arial" w:cs="Arial"/>
                <w:color w:val="264A60"/>
                <w:sz w:val="18"/>
                <w:szCs w:val="18"/>
              </w:rPr>
              <w:t>Std. Residual</w:t>
            </w:r>
          </w:p>
        </w:tc>
        <w:tc>
          <w:tcPr>
            <w:tcW w:w="1842" w:type="dxa"/>
            <w:tcBorders>
              <w:top w:val="single" w:sz="8" w:space="0" w:color="AEAEAE"/>
              <w:left w:val="nil"/>
              <w:bottom w:val="single" w:sz="8" w:space="0" w:color="152935"/>
              <w:right w:val="single" w:sz="8" w:space="0" w:color="E0E0E0"/>
            </w:tcBorders>
            <w:shd w:val="clear" w:color="auto" w:fill="FFFFFF"/>
          </w:tcPr>
          <w:p w14:paraId="784F84E8"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-1,180</w:t>
            </w:r>
          </w:p>
        </w:tc>
        <w:tc>
          <w:tcPr>
            <w:tcW w:w="1798" w:type="dxa"/>
            <w:tcBorders>
              <w:top w:val="single" w:sz="8" w:space="0" w:color="AEAEAE"/>
              <w:left w:val="single" w:sz="8" w:space="0" w:color="E0E0E0"/>
              <w:bottom w:val="single" w:sz="8" w:space="0" w:color="152935"/>
              <w:right w:val="single" w:sz="8" w:space="0" w:color="E0E0E0"/>
            </w:tcBorders>
            <w:shd w:val="clear" w:color="auto" w:fill="FFFFFF"/>
          </w:tcPr>
          <w:p w14:paraId="1DAABC75"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1,386</w:t>
            </w:r>
          </w:p>
        </w:tc>
        <w:tc>
          <w:tcPr>
            <w:tcW w:w="1681" w:type="dxa"/>
            <w:tcBorders>
              <w:top w:val="single" w:sz="8" w:space="0" w:color="AEAEAE"/>
              <w:left w:val="single" w:sz="8" w:space="0" w:color="E0E0E0"/>
              <w:bottom w:val="single" w:sz="8" w:space="0" w:color="152935"/>
              <w:right w:val="single" w:sz="8" w:space="0" w:color="E0E0E0"/>
            </w:tcBorders>
            <w:shd w:val="clear" w:color="auto" w:fill="FFFFFF"/>
          </w:tcPr>
          <w:p w14:paraId="3A0C97DD"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,000</w:t>
            </w:r>
          </w:p>
        </w:tc>
        <w:tc>
          <w:tcPr>
            <w:tcW w:w="1821" w:type="dxa"/>
            <w:tcBorders>
              <w:top w:val="single" w:sz="8" w:space="0" w:color="AEAEAE"/>
              <w:left w:val="single" w:sz="8" w:space="0" w:color="E0E0E0"/>
              <w:bottom w:val="single" w:sz="8" w:space="0" w:color="152935"/>
              <w:right w:val="single" w:sz="8" w:space="0" w:color="E0E0E0"/>
            </w:tcBorders>
            <w:shd w:val="clear" w:color="auto" w:fill="FFFFFF"/>
          </w:tcPr>
          <w:p w14:paraId="102ADE71"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,853</w:t>
            </w:r>
          </w:p>
        </w:tc>
        <w:tc>
          <w:tcPr>
            <w:tcW w:w="1096" w:type="dxa"/>
            <w:tcBorders>
              <w:top w:val="single" w:sz="8" w:space="0" w:color="AEAEAE"/>
              <w:left w:val="single" w:sz="8" w:space="0" w:color="E0E0E0"/>
              <w:bottom w:val="single" w:sz="8" w:space="0" w:color="152935"/>
              <w:right w:val="nil"/>
            </w:tcBorders>
            <w:shd w:val="clear" w:color="auto" w:fill="FFFFFF"/>
          </w:tcPr>
          <w:p w14:paraId="57A450C4" w14:textId="77777777" w:rsidR="00EF40E9" w:rsidRPr="0014382F" w:rsidRDefault="00EF40E9" w:rsidP="00F549F7">
            <w:pPr>
              <w:autoSpaceDE w:val="0"/>
              <w:autoSpaceDN w:val="0"/>
              <w:adjustRightInd w:val="0"/>
              <w:spacing w:after="0" w:line="240" w:lineRule="auto"/>
              <w:ind w:left="60" w:right="60"/>
              <w:jc w:val="right"/>
              <w:rPr>
                <w:rFonts w:ascii="Arial" w:hAnsi="Arial" w:cs="Arial"/>
                <w:color w:val="010205"/>
                <w:sz w:val="18"/>
                <w:szCs w:val="18"/>
              </w:rPr>
            </w:pPr>
            <w:r w:rsidRPr="0014382F">
              <w:rPr>
                <w:rFonts w:ascii="Arial" w:hAnsi="Arial" w:cs="Arial"/>
                <w:color w:val="010205"/>
                <w:sz w:val="18"/>
                <w:szCs w:val="18"/>
              </w:rPr>
              <w:t>12</w:t>
            </w:r>
          </w:p>
        </w:tc>
      </w:tr>
      <w:tr w:rsidR="00EF40E9" w:rsidRPr="0014382F" w14:paraId="6B1B948A" w14:textId="77777777" w:rsidTr="00EF519C">
        <w:tblPrEx>
          <w:tblCellMar>
            <w:top w:w="0" w:type="dxa"/>
            <w:bottom w:w="0" w:type="dxa"/>
          </w:tblCellMar>
        </w:tblPrEx>
        <w:trPr>
          <w:cantSplit/>
          <w:trHeight w:val="137"/>
        </w:trPr>
        <w:tc>
          <w:tcPr>
            <w:tcW w:w="10246" w:type="dxa"/>
            <w:gridSpan w:val="7"/>
            <w:tcBorders>
              <w:top w:val="nil"/>
              <w:left w:val="nil"/>
              <w:bottom w:val="nil"/>
              <w:right w:val="nil"/>
            </w:tcBorders>
            <w:shd w:val="clear" w:color="auto" w:fill="FFFFFF"/>
          </w:tcPr>
          <w:p w14:paraId="1157A9D9" w14:textId="77777777" w:rsidR="00EF40E9" w:rsidRPr="0014382F" w:rsidRDefault="00EF40E9" w:rsidP="00F549F7">
            <w:pPr>
              <w:autoSpaceDE w:val="0"/>
              <w:autoSpaceDN w:val="0"/>
              <w:adjustRightInd w:val="0"/>
              <w:spacing w:after="0" w:line="240" w:lineRule="auto"/>
              <w:ind w:left="60" w:right="60"/>
              <w:rPr>
                <w:rFonts w:ascii="Arial" w:hAnsi="Arial" w:cs="Arial"/>
                <w:color w:val="010205"/>
                <w:sz w:val="18"/>
                <w:szCs w:val="18"/>
              </w:rPr>
            </w:pPr>
            <w:r w:rsidRPr="0014382F">
              <w:rPr>
                <w:rFonts w:ascii="Arial" w:hAnsi="Arial" w:cs="Arial"/>
                <w:color w:val="010205"/>
                <w:sz w:val="18"/>
                <w:szCs w:val="18"/>
              </w:rPr>
              <w:t>a. Dependent Variable: ERG</w:t>
            </w:r>
          </w:p>
        </w:tc>
      </w:tr>
    </w:tbl>
    <w:p w14:paraId="099B8F15" w14:textId="77777777" w:rsidR="00EF40E9" w:rsidRPr="005B1BC3" w:rsidRDefault="00EF40E9" w:rsidP="00F549F7">
      <w:pPr>
        <w:autoSpaceDE w:val="0"/>
        <w:autoSpaceDN w:val="0"/>
        <w:adjustRightInd w:val="0"/>
        <w:spacing w:after="0" w:line="240" w:lineRule="auto"/>
        <w:rPr>
          <w:rFonts w:ascii="Times New Roman" w:hAnsi="Times New Roman" w:cs="Times New Roman"/>
          <w:sz w:val="20"/>
          <w:szCs w:val="20"/>
        </w:rPr>
      </w:pPr>
      <w:bookmarkStart w:id="6" w:name="_Hlk170657022"/>
      <w:r w:rsidRPr="00622A03">
        <w:rPr>
          <w:rFonts w:ascii="Times New Roman" w:hAnsi="Times New Roman" w:cs="Times New Roman"/>
          <w:sz w:val="20"/>
          <w:szCs w:val="20"/>
        </w:rPr>
        <w:t>Sursa: Prelucrare proprie în SPSS 26</w:t>
      </w:r>
    </w:p>
    <w:bookmarkEnd w:id="6"/>
    <w:p w14:paraId="1C1E6081" w14:textId="77777777" w:rsidR="00EF40E9" w:rsidRDefault="00EF40E9" w:rsidP="00F549F7">
      <w:pPr>
        <w:autoSpaceDE w:val="0"/>
        <w:autoSpaceDN w:val="0"/>
        <w:adjustRightInd w:val="0"/>
        <w:spacing w:after="0" w:line="240" w:lineRule="auto"/>
        <w:rPr>
          <w:rFonts w:ascii="Times New Roman" w:hAnsi="Times New Roman" w:cs="Times New Roman"/>
          <w:sz w:val="24"/>
          <w:szCs w:val="24"/>
        </w:rPr>
      </w:pPr>
    </w:p>
    <w:p w14:paraId="6DFB4FA6" w14:textId="3A58DFED" w:rsidR="00EF40E9" w:rsidRPr="00B818A6" w:rsidRDefault="00EF40E9" w:rsidP="00F549F7">
      <w:pPr>
        <w:spacing w:line="240" w:lineRule="auto"/>
        <w:ind w:firstLine="567"/>
        <w:jc w:val="both"/>
        <w:rPr>
          <w:rFonts w:ascii="Times New Roman" w:hAnsi="Times New Roman" w:cs="Times New Roman"/>
          <w:sz w:val="24"/>
          <w:szCs w:val="24"/>
        </w:rPr>
      </w:pPr>
      <w:r w:rsidRPr="00B818A6">
        <w:rPr>
          <w:rFonts w:ascii="Times New Roman" w:hAnsi="Times New Roman" w:cs="Times New Roman"/>
          <w:sz w:val="24"/>
          <w:szCs w:val="24"/>
        </w:rPr>
        <w:t xml:space="preserve">Histograma este simetrică și Diagrama P-P Plot are </w:t>
      </w:r>
      <w:r w:rsidRPr="00B818A6">
        <w:rPr>
          <w:rFonts w:ascii="Times New Roman" w:hAnsi="Times New Roman" w:cs="Times New Roman"/>
          <w:sz w:val="24"/>
          <w:szCs w:val="24"/>
        </w:rPr>
        <w:t>deplasări</w:t>
      </w:r>
      <w:r w:rsidRPr="00B818A6">
        <w:rPr>
          <w:rFonts w:ascii="Times New Roman" w:hAnsi="Times New Roman" w:cs="Times New Roman"/>
          <w:sz w:val="24"/>
          <w:szCs w:val="24"/>
        </w:rPr>
        <w:t xml:space="preserve"> </w:t>
      </w:r>
      <w:r w:rsidRPr="00B818A6">
        <w:rPr>
          <w:rFonts w:ascii="Times New Roman" w:hAnsi="Times New Roman" w:cs="Times New Roman"/>
          <w:sz w:val="24"/>
          <w:szCs w:val="24"/>
        </w:rPr>
        <w:t>față</w:t>
      </w:r>
      <w:r w:rsidRPr="00B818A6">
        <w:rPr>
          <w:rFonts w:ascii="Times New Roman" w:hAnsi="Times New Roman" w:cs="Times New Roman"/>
          <w:sz w:val="24"/>
          <w:szCs w:val="24"/>
        </w:rPr>
        <w:t xml:space="preserve"> de distribuți</w:t>
      </w:r>
      <w:r>
        <w:rPr>
          <w:rFonts w:ascii="Times New Roman" w:hAnsi="Times New Roman" w:cs="Times New Roman"/>
          <w:sz w:val="24"/>
          <w:szCs w:val="24"/>
        </w:rPr>
        <w:t xml:space="preserve">a </w:t>
      </w:r>
      <w:r w:rsidRPr="00B818A6">
        <w:rPr>
          <w:rFonts w:ascii="Times New Roman" w:hAnsi="Times New Roman" w:cs="Times New Roman"/>
          <w:sz w:val="24"/>
          <w:szCs w:val="24"/>
        </w:rPr>
        <w:t xml:space="preserve">teoretică </w:t>
      </w:r>
      <w:r>
        <w:rPr>
          <w:rFonts w:ascii="Times New Roman" w:hAnsi="Times New Roman" w:cs="Times New Roman"/>
          <w:sz w:val="24"/>
          <w:szCs w:val="24"/>
        </w:rPr>
        <w:t>s</w:t>
      </w:r>
      <w:r w:rsidRPr="00B818A6">
        <w:rPr>
          <w:rFonts w:ascii="Times New Roman" w:hAnsi="Times New Roman" w:cs="Times New Roman"/>
          <w:sz w:val="24"/>
          <w:szCs w:val="24"/>
        </w:rPr>
        <w:t>pecifică reprezentând dreapta lui Henry</w:t>
      </w:r>
      <w:r>
        <w:rPr>
          <w:rFonts w:ascii="Times New Roman" w:hAnsi="Times New Roman" w:cs="Times New Roman"/>
          <w:sz w:val="24"/>
          <w:szCs w:val="24"/>
        </w:rPr>
        <w:t>.</w:t>
      </w:r>
    </w:p>
    <w:p w14:paraId="54C10D5B" w14:textId="619B0DB6" w:rsidR="00EF40E9" w:rsidRPr="00A861A2" w:rsidRDefault="00EF40E9" w:rsidP="002E684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9504" behindDoc="1" locked="0" layoutInCell="1" allowOverlap="1" wp14:anchorId="2340AB1C" wp14:editId="7E0365F1">
            <wp:simplePos x="0" y="0"/>
            <wp:positionH relativeFrom="column">
              <wp:posOffset>3253740</wp:posOffset>
            </wp:positionH>
            <wp:positionV relativeFrom="paragraph">
              <wp:posOffset>390525</wp:posOffset>
            </wp:positionV>
            <wp:extent cx="2860040" cy="2489200"/>
            <wp:effectExtent l="0" t="0" r="0" b="0"/>
            <wp:wrapTight wrapText="bothSides">
              <wp:wrapPolygon edited="0">
                <wp:start x="0" y="0"/>
                <wp:lineTo x="0" y="21490"/>
                <wp:lineTo x="21437" y="21490"/>
                <wp:lineTo x="21437" y="0"/>
                <wp:lineTo x="0" y="0"/>
              </wp:wrapPolygon>
            </wp:wrapTight>
            <wp:docPr id="1493229793" name="Imagine 2" descr="O imagine care conține text, diagramă, linie, Interval&#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229793" name="Imagine 2" descr="O imagine care conține text, diagramă, linie, Interval&#10;&#10;Descriere generată automat"/>
                    <pic:cNvPicPr>
                      <a:picLocks noChangeAspect="1" noChangeArrowheads="1"/>
                    </pic:cNvPicPr>
                  </pic:nvPicPr>
                  <pic:blipFill rotWithShape="1">
                    <a:blip r:embed="rId10">
                      <a:extLst>
                        <a:ext uri="{28A0092B-C50C-407E-A947-70E740481C1C}">
                          <a14:useLocalDpi xmlns:a14="http://schemas.microsoft.com/office/drawing/2010/main" val="0"/>
                        </a:ext>
                      </a:extLst>
                    </a:blip>
                    <a:srcRect l="20897" t="1526" r="11539" b="-1526"/>
                    <a:stretch/>
                  </pic:blipFill>
                  <pic:spPr bwMode="auto">
                    <a:xfrm>
                      <a:off x="0" y="0"/>
                      <a:ext cx="2860040" cy="248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68480" behindDoc="0" locked="0" layoutInCell="1" allowOverlap="1" wp14:anchorId="79F67E72" wp14:editId="07B5E503">
            <wp:simplePos x="0" y="0"/>
            <wp:positionH relativeFrom="column">
              <wp:posOffset>-76200</wp:posOffset>
            </wp:positionH>
            <wp:positionV relativeFrom="paragraph">
              <wp:posOffset>540385</wp:posOffset>
            </wp:positionV>
            <wp:extent cx="3160395" cy="2179320"/>
            <wp:effectExtent l="0" t="0" r="0" b="0"/>
            <wp:wrapTopAndBottom/>
            <wp:docPr id="132648203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r="10000"/>
                    <a:stretch/>
                  </pic:blipFill>
                  <pic:spPr bwMode="auto">
                    <a:xfrm>
                      <a:off x="0" y="0"/>
                      <a:ext cx="3160395" cy="2179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833276" w14:textId="337D7D7D" w:rsidR="00EF40E9" w:rsidRDefault="00EF40E9" w:rsidP="00F549F7">
      <w:pPr>
        <w:spacing w:line="240" w:lineRule="auto"/>
        <w:rPr>
          <w:rFonts w:ascii="Times New Roman" w:hAnsi="Times New Roman" w:cs="Times New Roman"/>
          <w:b/>
          <w:bCs/>
          <w:sz w:val="24"/>
          <w:szCs w:val="24"/>
        </w:rPr>
      </w:pPr>
    </w:p>
    <w:p w14:paraId="064DCAB0" w14:textId="77777777" w:rsidR="00A80286" w:rsidRDefault="00A80286" w:rsidP="00A80286">
      <w:pPr>
        <w:autoSpaceDE w:val="0"/>
        <w:autoSpaceDN w:val="0"/>
        <w:adjustRightInd w:val="0"/>
        <w:spacing w:after="0" w:line="240" w:lineRule="auto"/>
        <w:ind w:left="720" w:firstLine="720"/>
        <w:jc w:val="center"/>
        <w:rPr>
          <w:rFonts w:ascii="Times New Roman" w:hAnsi="Times New Roman" w:cs="Times New Roman"/>
          <w:b/>
          <w:bCs/>
          <w:sz w:val="24"/>
          <w:szCs w:val="24"/>
        </w:rPr>
      </w:pPr>
    </w:p>
    <w:p w14:paraId="16CE6D72" w14:textId="08497D04" w:rsidR="00A80286" w:rsidRDefault="002E6846" w:rsidP="00A8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Figu</w:t>
      </w:r>
      <w:r w:rsidRPr="00B818A6">
        <w:rPr>
          <w:rFonts w:ascii="Times New Roman" w:hAnsi="Times New Roman" w:cs="Times New Roman"/>
          <w:b/>
          <w:bCs/>
          <w:sz w:val="24"/>
          <w:szCs w:val="24"/>
        </w:rPr>
        <w:t>ra</w:t>
      </w:r>
      <w:r>
        <w:rPr>
          <w:rFonts w:ascii="Times New Roman" w:hAnsi="Times New Roman" w:cs="Times New Roman"/>
          <w:b/>
          <w:bCs/>
          <w:sz w:val="24"/>
          <w:szCs w:val="24"/>
        </w:rPr>
        <w:t xml:space="preserve"> nr.</w:t>
      </w:r>
      <w:r w:rsidRPr="00B818A6">
        <w:rPr>
          <w:rFonts w:ascii="Times New Roman" w:hAnsi="Times New Roman" w:cs="Times New Roman"/>
          <w:b/>
          <w:bCs/>
          <w:sz w:val="24"/>
          <w:szCs w:val="24"/>
        </w:rPr>
        <w:t xml:space="preserve"> 1 </w:t>
      </w:r>
      <w:r>
        <w:rPr>
          <w:rFonts w:ascii="Times New Roman" w:hAnsi="Times New Roman" w:cs="Times New Roman"/>
          <w:b/>
          <w:bCs/>
          <w:sz w:val="24"/>
          <w:szCs w:val="24"/>
        </w:rPr>
        <w:t xml:space="preserve">- </w:t>
      </w:r>
      <w:r w:rsidRPr="00B818A6">
        <w:rPr>
          <w:rFonts w:ascii="Times New Roman" w:hAnsi="Times New Roman" w:cs="Times New Roman"/>
          <w:b/>
          <w:bCs/>
          <w:sz w:val="24"/>
          <w:szCs w:val="24"/>
        </w:rPr>
        <w:t>Histograma și Diagrama P-P Plot</w:t>
      </w:r>
    </w:p>
    <w:p w14:paraId="22F1B7DA" w14:textId="67327C10" w:rsidR="00EF40E9" w:rsidRPr="005B1BC3" w:rsidRDefault="00EF40E9" w:rsidP="00A80286">
      <w:pPr>
        <w:tabs>
          <w:tab w:val="left" w:pos="426"/>
        </w:tabs>
        <w:autoSpaceDE w:val="0"/>
        <w:autoSpaceDN w:val="0"/>
        <w:adjustRightInd w:val="0"/>
        <w:spacing w:after="0" w:line="240" w:lineRule="auto"/>
        <w:jc w:val="center"/>
        <w:rPr>
          <w:rFonts w:ascii="Times New Roman" w:hAnsi="Times New Roman" w:cs="Times New Roman"/>
          <w:sz w:val="20"/>
          <w:szCs w:val="20"/>
        </w:rPr>
      </w:pPr>
      <w:r w:rsidRPr="00622A03">
        <w:rPr>
          <w:rFonts w:ascii="Times New Roman" w:hAnsi="Times New Roman" w:cs="Times New Roman"/>
          <w:sz w:val="20"/>
          <w:szCs w:val="20"/>
        </w:rPr>
        <w:t>Sursa: Prelucrare proprie în SPSS 26</w:t>
      </w:r>
    </w:p>
    <w:p w14:paraId="57D4DABA" w14:textId="77777777" w:rsidR="00EF40E9" w:rsidRDefault="00EF40E9" w:rsidP="00F549F7">
      <w:pPr>
        <w:autoSpaceDE w:val="0"/>
        <w:autoSpaceDN w:val="0"/>
        <w:adjustRightInd w:val="0"/>
        <w:spacing w:after="0" w:line="240" w:lineRule="auto"/>
        <w:rPr>
          <w:rFonts w:ascii="Times New Roman" w:hAnsi="Times New Roman" w:cs="Times New Roman"/>
          <w:sz w:val="24"/>
          <w:szCs w:val="24"/>
        </w:rPr>
      </w:pPr>
    </w:p>
    <w:p w14:paraId="7FF323ED" w14:textId="77777777" w:rsidR="00A80286" w:rsidRDefault="00EF40E9" w:rsidP="00A80286">
      <w:pPr>
        <w:spacing w:line="240" w:lineRule="auto"/>
        <w:ind w:firstLine="567"/>
        <w:jc w:val="both"/>
        <w:rPr>
          <w:rFonts w:ascii="Times New Roman" w:hAnsi="Times New Roman" w:cs="Times New Roman"/>
          <w:sz w:val="24"/>
          <w:szCs w:val="24"/>
        </w:rPr>
      </w:pPr>
      <w:r w:rsidRPr="00A861A2">
        <w:rPr>
          <w:rFonts w:ascii="Times New Roman" w:hAnsi="Times New Roman" w:cs="Times New Roman"/>
          <w:sz w:val="24"/>
          <w:szCs w:val="24"/>
        </w:rPr>
        <w:t>Distribuți</w:t>
      </w:r>
      <w:r w:rsidRPr="00A861A2">
        <w:rPr>
          <w:rFonts w:ascii="Times New Roman" w:hAnsi="Times New Roman" w:cs="Times New Roman"/>
          <w:sz w:val="24"/>
          <w:szCs w:val="24"/>
        </w:rPr>
        <w:t>a</w:t>
      </w:r>
      <w:r w:rsidRPr="00A861A2">
        <w:rPr>
          <w:rFonts w:ascii="Times New Roman" w:hAnsi="Times New Roman" w:cs="Times New Roman"/>
          <w:sz w:val="24"/>
          <w:szCs w:val="24"/>
        </w:rPr>
        <w:t xml:space="preserve"> de frecvență</w:t>
      </w:r>
      <w:r w:rsidRPr="00A861A2">
        <w:rPr>
          <w:rFonts w:ascii="Times New Roman" w:hAnsi="Times New Roman" w:cs="Times New Roman"/>
          <w:sz w:val="24"/>
          <w:szCs w:val="24"/>
        </w:rPr>
        <w:t xml:space="preserve"> ne indică faptul că valorile sunt aproximativ simetrice față de mediană</w:t>
      </w:r>
      <w:r>
        <w:rPr>
          <w:rFonts w:ascii="Times New Roman" w:hAnsi="Times New Roman" w:cs="Times New Roman"/>
          <w:sz w:val="24"/>
          <w:szCs w:val="24"/>
        </w:rPr>
        <w:t>.</w:t>
      </w:r>
    </w:p>
    <w:p w14:paraId="62216D8C" w14:textId="13DE3CA5" w:rsidR="00EF40E9" w:rsidRDefault="00EF40E9" w:rsidP="00A80286">
      <w:pPr>
        <w:spacing w:line="240" w:lineRule="auto"/>
        <w:ind w:firstLine="567"/>
        <w:jc w:val="both"/>
        <w:rPr>
          <w:rFonts w:ascii="Times New Roman" w:hAnsi="Times New Roman" w:cs="Times New Roman"/>
          <w:sz w:val="24"/>
          <w:szCs w:val="24"/>
        </w:rPr>
      </w:pPr>
      <w:r w:rsidRPr="009F4627">
        <w:rPr>
          <w:rFonts w:ascii="Times New Roman" w:hAnsi="Times New Roman" w:cs="Times New Roman"/>
          <w:sz w:val="24"/>
          <w:szCs w:val="24"/>
        </w:rPr>
        <w:t xml:space="preserve">Deciziile finale pe piața muncii sunt luate de actori privați, dar rolul sectorului public, </w:t>
      </w:r>
      <w:r>
        <w:rPr>
          <w:rFonts w:ascii="Times New Roman" w:hAnsi="Times New Roman" w:cs="Times New Roman"/>
          <w:sz w:val="24"/>
          <w:szCs w:val="24"/>
        </w:rPr>
        <w:t xml:space="preserve">este de </w:t>
      </w:r>
      <w:r w:rsidRPr="009F4627">
        <w:rPr>
          <w:rFonts w:ascii="Times New Roman" w:hAnsi="Times New Roman" w:cs="Times New Roman"/>
          <w:sz w:val="24"/>
          <w:szCs w:val="24"/>
        </w:rPr>
        <w:t>anticipare</w:t>
      </w:r>
      <w:r>
        <w:rPr>
          <w:rFonts w:ascii="Times New Roman" w:hAnsi="Times New Roman" w:cs="Times New Roman"/>
          <w:sz w:val="24"/>
          <w:szCs w:val="24"/>
        </w:rPr>
        <w:t xml:space="preserve"> </w:t>
      </w:r>
      <w:r w:rsidRPr="009F4627">
        <w:rPr>
          <w:rFonts w:ascii="Times New Roman" w:hAnsi="Times New Roman" w:cs="Times New Roman"/>
          <w:sz w:val="24"/>
          <w:szCs w:val="24"/>
        </w:rPr>
        <w:t>a competențelor</w:t>
      </w:r>
      <w:r>
        <w:rPr>
          <w:rFonts w:ascii="Times New Roman" w:hAnsi="Times New Roman" w:cs="Times New Roman"/>
          <w:sz w:val="24"/>
          <w:szCs w:val="24"/>
        </w:rPr>
        <w:t xml:space="preserve"> și furnizarea competențelor necesare pe piața muncii, lucru care este menționat și </w:t>
      </w:r>
      <w:r w:rsidRPr="001F54E0">
        <w:rPr>
          <w:rFonts w:ascii="Times New Roman" w:hAnsi="Times New Roman" w:cs="Times New Roman"/>
          <w:sz w:val="24"/>
          <w:szCs w:val="24"/>
        </w:rPr>
        <w:t>strategiile și recomandările la nivel internațional. International Labour Organization în Recomandarea 195 privind dezvoltarea resurselor umane, 2004, în capitolul 2 privind educația, formarea și învățarea pe tot parcursul vieții, subliniază că țările „ar trebui să-și dezvolte capacitatea națională, precum și facilitarea și asistarea dezvoltării partenerilor sociali, de a analiza tendințele piețelor muncii și dezvoltarea și formarea resurselor umane</w:t>
      </w:r>
      <w:r w:rsidR="00FE6F2F">
        <w:rPr>
          <w:rFonts w:ascii="Times New Roman" w:hAnsi="Times New Roman" w:cs="Times New Roman"/>
          <w:sz w:val="24"/>
          <w:szCs w:val="24"/>
        </w:rPr>
        <w:t>.</w:t>
      </w:r>
      <w:r w:rsidRPr="001F54E0">
        <w:rPr>
          <w:rFonts w:ascii="Times New Roman" w:hAnsi="Times New Roman" w:cs="Times New Roman"/>
          <w:sz w:val="24"/>
          <w:szCs w:val="24"/>
        </w:rPr>
        <w:t>”</w:t>
      </w:r>
      <w:r w:rsidR="00FE6F2F">
        <w:rPr>
          <w:rFonts w:ascii="Times New Roman" w:hAnsi="Times New Roman" w:cs="Times New Roman"/>
          <w:sz w:val="24"/>
          <w:szCs w:val="24"/>
        </w:rPr>
        <w:t xml:space="preserve"> </w:t>
      </w:r>
      <w:r w:rsidR="00FE6F2F">
        <w:rPr>
          <w:rFonts w:ascii="Times New Roman" w:hAnsi="Times New Roman" w:cs="Times New Roman"/>
          <w:sz w:val="24"/>
          <w:szCs w:val="24"/>
        </w:rPr>
        <w:t>(ILO, 2004)</w:t>
      </w:r>
      <w:r w:rsidR="00FE6F2F">
        <w:rPr>
          <w:rFonts w:ascii="Times New Roman" w:hAnsi="Times New Roman" w:cs="Times New Roman"/>
          <w:sz w:val="24"/>
          <w:szCs w:val="24"/>
        </w:rPr>
        <w:t xml:space="preserve"> </w:t>
      </w:r>
      <w:r w:rsidRPr="001F54E0">
        <w:rPr>
          <w:rFonts w:ascii="Times New Roman" w:hAnsi="Times New Roman" w:cs="Times New Roman"/>
          <w:sz w:val="24"/>
          <w:szCs w:val="24"/>
        </w:rPr>
        <w:t>Printre alte tipuri de informații, colectarea datelor ar putea include „identificarea, măsurarea și prognoza tendințelor ofertei și cererii de competențe și calificări pe piața muncii</w:t>
      </w:r>
      <w:r w:rsidR="00FE6F2F">
        <w:rPr>
          <w:rFonts w:ascii="Times New Roman" w:hAnsi="Times New Roman" w:cs="Times New Roman"/>
          <w:sz w:val="24"/>
          <w:szCs w:val="24"/>
        </w:rPr>
        <w:t>.</w:t>
      </w:r>
      <w:r w:rsidR="00A80286">
        <w:rPr>
          <w:rFonts w:ascii="Times New Roman" w:hAnsi="Times New Roman" w:cs="Times New Roman"/>
          <w:sz w:val="24"/>
          <w:szCs w:val="24"/>
        </w:rPr>
        <w:t>” (ILO, 2004)</w:t>
      </w:r>
    </w:p>
    <w:p w14:paraId="7EEE9125" w14:textId="77777777" w:rsidR="00A80286" w:rsidRDefault="00EF40E9" w:rsidP="00A80286">
      <w:pPr>
        <w:autoSpaceDE w:val="0"/>
        <w:autoSpaceDN w:val="0"/>
        <w:adjustRightInd w:val="0"/>
        <w:spacing w:after="0" w:line="240" w:lineRule="auto"/>
        <w:ind w:firstLine="708"/>
        <w:jc w:val="both"/>
        <w:rPr>
          <w:rFonts w:ascii="Times New Roman" w:hAnsi="Times New Roman" w:cs="Times New Roman"/>
          <w:sz w:val="24"/>
          <w:szCs w:val="24"/>
        </w:rPr>
      </w:pPr>
      <w:r w:rsidRPr="008F650A">
        <w:rPr>
          <w:rFonts w:ascii="Times New Roman" w:hAnsi="Times New Roman" w:cs="Times New Roman"/>
          <w:sz w:val="24"/>
          <w:szCs w:val="24"/>
        </w:rPr>
        <w:t>Anticiparea viitoarelor nevoi de competențe de pe piața muncii și serviciile de ocupare a forței de muncă sunt două dintre cele șapte componente ale politicilor solide de competențe și formare recunoscute de Internațional Labour Organization</w:t>
      </w:r>
      <w:r w:rsidR="00A80286">
        <w:rPr>
          <w:rFonts w:ascii="Times New Roman" w:hAnsi="Times New Roman" w:cs="Times New Roman"/>
          <w:sz w:val="24"/>
          <w:szCs w:val="24"/>
        </w:rPr>
        <w:t xml:space="preserve">. </w:t>
      </w:r>
      <w:r w:rsidRPr="008F650A">
        <w:rPr>
          <w:rFonts w:ascii="Times New Roman" w:hAnsi="Times New Roman" w:cs="Times New Roman"/>
          <w:sz w:val="24"/>
          <w:szCs w:val="24"/>
        </w:rPr>
        <w:t xml:space="preserve">Acesta </w:t>
      </w:r>
      <w:r>
        <w:rPr>
          <w:rFonts w:ascii="Times New Roman" w:hAnsi="Times New Roman" w:cs="Times New Roman"/>
          <w:sz w:val="24"/>
          <w:szCs w:val="24"/>
        </w:rPr>
        <w:t>scoate în evidență</w:t>
      </w:r>
      <w:r w:rsidRPr="008F650A">
        <w:rPr>
          <w:rFonts w:ascii="Times New Roman" w:hAnsi="Times New Roman" w:cs="Times New Roman"/>
          <w:sz w:val="24"/>
          <w:szCs w:val="24"/>
        </w:rPr>
        <w:t xml:space="preserve"> că „se folosesc o serie de metode pentru a prognoza nevoile viitoare de competențe. Acestea includ prognozarea profilurilor ocupaționale și de competențe la diferite niveluri de dezagregare; dialogul social; sisteme de informare pe piața muncii și servicii de ocupare a forței de muncă; și analiza performanței instituțiilor de formare, </w:t>
      </w:r>
      <w:r w:rsidRPr="008F650A">
        <w:rPr>
          <w:rFonts w:ascii="Times New Roman" w:hAnsi="Times New Roman" w:cs="Times New Roman"/>
          <w:sz w:val="24"/>
          <w:szCs w:val="24"/>
        </w:rPr>
        <w:lastRenderedPageBreak/>
        <w:t>inclusiv studii de urmărire […]. Analiza cantitativă bazată pe informațiile despre piața muncii este bună, dar</w:t>
      </w:r>
      <w:r>
        <w:rPr>
          <w:rFonts w:ascii="Times New Roman" w:hAnsi="Times New Roman" w:cs="Times New Roman"/>
          <w:sz w:val="24"/>
          <w:szCs w:val="24"/>
        </w:rPr>
        <w:t xml:space="preserve"> este</w:t>
      </w:r>
      <w:r w:rsidRPr="008F650A">
        <w:rPr>
          <w:rFonts w:ascii="Times New Roman" w:hAnsi="Times New Roman" w:cs="Times New Roman"/>
          <w:sz w:val="24"/>
          <w:szCs w:val="24"/>
        </w:rPr>
        <w:t xml:space="preserve"> de încredere numai atunci când este completată cu informații calitative de la angajatori și lucrători</w:t>
      </w:r>
      <w:r>
        <w:rPr>
          <w:rFonts w:ascii="Times New Roman" w:hAnsi="Times New Roman" w:cs="Times New Roman"/>
          <w:sz w:val="24"/>
          <w:szCs w:val="24"/>
        </w:rPr>
        <w:t>.</w:t>
      </w:r>
      <w:r w:rsidRPr="008F650A">
        <w:rPr>
          <w:rFonts w:ascii="Times New Roman" w:hAnsi="Times New Roman" w:cs="Times New Roman"/>
          <w:sz w:val="24"/>
          <w:szCs w:val="24"/>
        </w:rPr>
        <w:t>”</w:t>
      </w:r>
      <w:r w:rsidRPr="008F650A">
        <w:rPr>
          <w:rStyle w:val="Referinnotdefinal"/>
          <w:rFonts w:ascii="Times New Roman" w:hAnsi="Times New Roman" w:cs="Times New Roman"/>
          <w:sz w:val="24"/>
          <w:szCs w:val="24"/>
        </w:rPr>
        <w:t xml:space="preserve"> </w:t>
      </w:r>
      <w:r w:rsidR="00A80286">
        <w:rPr>
          <w:rFonts w:ascii="Times New Roman" w:hAnsi="Times New Roman" w:cs="Times New Roman"/>
          <w:sz w:val="24"/>
          <w:szCs w:val="24"/>
        </w:rPr>
        <w:t>(</w:t>
      </w:r>
      <w:r w:rsidR="00A80286">
        <w:rPr>
          <w:rFonts w:ascii="Times New Roman" w:hAnsi="Times New Roman" w:cs="Times New Roman"/>
          <w:sz w:val="24"/>
          <w:szCs w:val="24"/>
        </w:rPr>
        <w:t>ILO, 2011</w:t>
      </w:r>
      <w:r w:rsidR="00A80286">
        <w:rPr>
          <w:rFonts w:ascii="Times New Roman" w:hAnsi="Times New Roman" w:cs="Times New Roman"/>
          <w:sz w:val="24"/>
          <w:szCs w:val="24"/>
        </w:rPr>
        <w:t>)</w:t>
      </w:r>
      <w:bookmarkStart w:id="7" w:name="_Toc105404013"/>
      <w:bookmarkStart w:id="8" w:name="_Toc105404859"/>
      <w:bookmarkStart w:id="9" w:name="_Toc106731996"/>
    </w:p>
    <w:p w14:paraId="2A17ACBE" w14:textId="77777777" w:rsidR="00A80286" w:rsidRDefault="00A80286" w:rsidP="00A80286">
      <w:pPr>
        <w:autoSpaceDE w:val="0"/>
        <w:autoSpaceDN w:val="0"/>
        <w:adjustRightInd w:val="0"/>
        <w:spacing w:after="0" w:line="240" w:lineRule="auto"/>
        <w:jc w:val="both"/>
        <w:rPr>
          <w:rFonts w:ascii="Times New Roman" w:hAnsi="Times New Roman" w:cs="Times New Roman"/>
          <w:sz w:val="24"/>
          <w:szCs w:val="24"/>
        </w:rPr>
      </w:pPr>
    </w:p>
    <w:p w14:paraId="0683BBF8" w14:textId="21433367" w:rsidR="00EF40E9" w:rsidRDefault="00EF40E9" w:rsidP="00A80286">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US"/>
        </w:rPr>
      </w:pPr>
      <w:r w:rsidRPr="00EF519C">
        <w:rPr>
          <w:rFonts w:ascii="Times New Roman" w:eastAsia="Times New Roman" w:hAnsi="Times New Roman" w:cs="Times New Roman"/>
          <w:b/>
          <w:bCs/>
          <w:color w:val="000000" w:themeColor="text1"/>
          <w:sz w:val="24"/>
          <w:szCs w:val="24"/>
          <w:lang w:val="en-US"/>
        </w:rPr>
        <w:t>Concluzii</w:t>
      </w:r>
      <w:bookmarkEnd w:id="7"/>
      <w:bookmarkEnd w:id="8"/>
      <w:bookmarkEnd w:id="9"/>
    </w:p>
    <w:p w14:paraId="7425BA84" w14:textId="77777777" w:rsidR="00A80286" w:rsidRPr="00EF519C" w:rsidRDefault="00A80286" w:rsidP="00A80286">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US"/>
        </w:rPr>
      </w:pPr>
    </w:p>
    <w:p w14:paraId="4114A2A4" w14:textId="66DE0A83" w:rsidR="00C804EA" w:rsidRDefault="00C804EA" w:rsidP="00C323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rPr>
        <w:t xml:space="preserve">Prezenta cercetare a încercat să demonstreze rolul pe care îl are pe de o parte nivelul studiilor finalizate de către proaspeții absolvenți și pe de altă parte a influenței exercitate de finanțarea instituțiilor de învățământ superior (cheltuieli cu educația terțiară, precum și investițiile publice în sistemul universitar) </w:t>
      </w:r>
      <w:r>
        <w:rPr>
          <w:rFonts w:ascii="Times New Roman" w:hAnsi="Times New Roman" w:cs="Times New Roman"/>
          <w:sz w:val="24"/>
        </w:rPr>
        <w:t>în raport cu inserția pe piața muncii</w:t>
      </w:r>
      <w:r>
        <w:rPr>
          <w:rFonts w:ascii="Times New Roman" w:hAnsi="Times New Roman" w:cs="Times New Roman"/>
          <w:sz w:val="24"/>
        </w:rPr>
        <w:t xml:space="preserve">. În acest sens au fost prelucrate serii de date din perioada 2012-2023 preluate de pe </w:t>
      </w:r>
      <w:hyperlink r:id="rId12" w:history="1">
        <w:r w:rsidRPr="00191517">
          <w:rPr>
            <w:rStyle w:val="Hyperlink"/>
            <w:rFonts w:ascii="Times New Roman" w:hAnsi="Times New Roman" w:cs="Times New Roman"/>
            <w:sz w:val="24"/>
            <w:szCs w:val="24"/>
          </w:rPr>
          <w:t>https://ec.europa.eu/eurostat</w:t>
        </w:r>
      </w:hyperlink>
      <w:r>
        <w:rPr>
          <w:rFonts w:ascii="Times New Roman" w:hAnsi="Times New Roman" w:cs="Times New Roman"/>
          <w:sz w:val="24"/>
          <w:szCs w:val="24"/>
        </w:rPr>
        <w:t xml:space="preserve">. Modelarea econometrică s-a realizat cu ajutorul programului IBM SPSS Statistics 26, iar modelul obținut ne-a permis o serie de concluzii. </w:t>
      </w:r>
    </w:p>
    <w:p w14:paraId="4F825F5D" w14:textId="0D6971E3" w:rsidR="00C3234D" w:rsidRPr="00B818A6" w:rsidRDefault="00C804EA" w:rsidP="00C3234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Ipotezele de la care am pornit în prezenta cercetare au fost validate, astfel încât pe baza datelor analizate, putem afirma că cei trei indicatori analizați</w:t>
      </w:r>
      <w:r w:rsidR="00C3234D">
        <w:rPr>
          <w:rFonts w:ascii="Times New Roman" w:hAnsi="Times New Roman" w:cs="Times New Roman"/>
          <w:sz w:val="24"/>
          <w:szCs w:val="24"/>
        </w:rPr>
        <w:t xml:space="preserve"> (n</w:t>
      </w:r>
      <w:r w:rsidR="00C3234D" w:rsidRPr="00C804EA">
        <w:rPr>
          <w:rFonts w:ascii="Times New Roman" w:hAnsi="Times New Roman" w:cs="Times New Roman"/>
          <w:sz w:val="24"/>
          <w:szCs w:val="24"/>
        </w:rPr>
        <w:t>ivelul studiilor</w:t>
      </w:r>
      <w:r w:rsidR="00C3234D">
        <w:rPr>
          <w:rFonts w:ascii="Times New Roman" w:hAnsi="Times New Roman" w:cs="Times New Roman"/>
          <w:sz w:val="24"/>
          <w:szCs w:val="24"/>
        </w:rPr>
        <w:t>, v</w:t>
      </w:r>
      <w:r w:rsidR="00C3234D" w:rsidRPr="00C804EA">
        <w:rPr>
          <w:rFonts w:ascii="Times New Roman" w:hAnsi="Times New Roman" w:cs="Times New Roman"/>
          <w:sz w:val="24"/>
          <w:szCs w:val="24"/>
        </w:rPr>
        <w:t xml:space="preserve">aloarea investițiilor publice </w:t>
      </w:r>
      <w:r w:rsidR="00C3234D">
        <w:rPr>
          <w:rFonts w:ascii="Times New Roman" w:hAnsi="Times New Roman" w:cs="Times New Roman"/>
          <w:sz w:val="24"/>
          <w:szCs w:val="24"/>
        </w:rPr>
        <w:t>și v</w:t>
      </w:r>
      <w:r w:rsidR="00C3234D" w:rsidRPr="00C804EA">
        <w:rPr>
          <w:rFonts w:ascii="Times New Roman" w:hAnsi="Times New Roman" w:cs="Times New Roman"/>
          <w:sz w:val="24"/>
          <w:szCs w:val="24"/>
        </w:rPr>
        <w:t xml:space="preserve">aloarea finanțării publice </w:t>
      </w:r>
      <w:r w:rsidR="00C3234D">
        <w:rPr>
          <w:rFonts w:ascii="Times New Roman" w:hAnsi="Times New Roman" w:cs="Times New Roman"/>
          <w:sz w:val="24"/>
          <w:szCs w:val="24"/>
        </w:rPr>
        <w:t xml:space="preserve">a </w:t>
      </w:r>
      <w:r w:rsidR="00C3234D" w:rsidRPr="00C804EA">
        <w:rPr>
          <w:rFonts w:ascii="Times New Roman" w:hAnsi="Times New Roman" w:cs="Times New Roman"/>
          <w:sz w:val="24"/>
          <w:szCs w:val="24"/>
        </w:rPr>
        <w:t>sistemului educațional</w:t>
      </w:r>
      <w:r w:rsidR="00C3234D">
        <w:rPr>
          <w:rFonts w:ascii="Times New Roman" w:hAnsi="Times New Roman" w:cs="Times New Roman"/>
          <w:sz w:val="24"/>
          <w:szCs w:val="24"/>
        </w:rPr>
        <w:t>)</w:t>
      </w:r>
      <w:r w:rsidR="00C3234D" w:rsidRPr="00C804EA">
        <w:rPr>
          <w:rFonts w:ascii="Times New Roman" w:hAnsi="Times New Roman" w:cs="Times New Roman"/>
          <w:sz w:val="24"/>
          <w:szCs w:val="24"/>
        </w:rPr>
        <w:t xml:space="preserve"> </w:t>
      </w:r>
      <w:r>
        <w:rPr>
          <w:rFonts w:ascii="Times New Roman" w:hAnsi="Times New Roman" w:cs="Times New Roman"/>
          <w:sz w:val="24"/>
          <w:szCs w:val="24"/>
        </w:rPr>
        <w:t xml:space="preserve">influențează rata de angajare a proaspeților absolvenți. </w:t>
      </w:r>
      <w:r w:rsidR="00C3234D" w:rsidRPr="00B818A6">
        <w:rPr>
          <w:rFonts w:ascii="Times New Roman" w:hAnsi="Times New Roman" w:cs="Times New Roman"/>
          <w:sz w:val="24"/>
          <w:szCs w:val="24"/>
        </w:rPr>
        <w:t>Re</w:t>
      </w:r>
      <w:r w:rsidR="00C3234D">
        <w:rPr>
          <w:rFonts w:ascii="Times New Roman" w:hAnsi="Times New Roman" w:cs="Times New Roman"/>
          <w:sz w:val="24"/>
          <w:szCs w:val="24"/>
        </w:rPr>
        <w:t>zultatele obținute în urma modelării econometrice</w:t>
      </w:r>
      <w:r w:rsidR="00C3234D" w:rsidRPr="00B818A6">
        <w:rPr>
          <w:rFonts w:ascii="Times New Roman" w:hAnsi="Times New Roman" w:cs="Times New Roman"/>
          <w:sz w:val="24"/>
          <w:szCs w:val="24"/>
        </w:rPr>
        <w:t xml:space="preserve"> </w:t>
      </w:r>
      <w:r w:rsidR="00C3234D">
        <w:rPr>
          <w:rFonts w:ascii="Times New Roman" w:hAnsi="Times New Roman" w:cs="Times New Roman"/>
          <w:sz w:val="24"/>
          <w:szCs w:val="24"/>
        </w:rPr>
        <w:t xml:space="preserve">au reliefat o influență aproximativ echilaterală a celor trei indicatori. Totuși </w:t>
      </w:r>
      <w:r w:rsidR="00C3234D" w:rsidRPr="00B818A6">
        <w:rPr>
          <w:rFonts w:ascii="Times New Roman" w:hAnsi="Times New Roman" w:cs="Times New Roman"/>
          <w:sz w:val="24"/>
          <w:szCs w:val="24"/>
        </w:rPr>
        <w:t>putem observa că influența cea mai mare asupra ratei de angajare o are nivelul studiilor deținute de absolvent (12,6%), urmat</w:t>
      </w:r>
      <w:r w:rsidR="00C3234D">
        <w:rPr>
          <w:rFonts w:ascii="Times New Roman" w:hAnsi="Times New Roman" w:cs="Times New Roman"/>
          <w:sz w:val="24"/>
          <w:szCs w:val="24"/>
        </w:rPr>
        <w:t>ă</w:t>
      </w:r>
      <w:r w:rsidR="00C3234D" w:rsidRPr="00B818A6">
        <w:rPr>
          <w:rFonts w:ascii="Times New Roman" w:hAnsi="Times New Roman" w:cs="Times New Roman"/>
          <w:sz w:val="24"/>
          <w:szCs w:val="24"/>
        </w:rPr>
        <w:t xml:space="preserve"> de valoarea cheltuielilor publice pentru educație (10,7%). Influența cea mai mică dintre variabilele analizate o are valoarea investițiilor în sectorul educațional (10,2%). </w:t>
      </w:r>
    </w:p>
    <w:p w14:paraId="0AEE9BBF" w14:textId="6C90B3CA" w:rsidR="00AB45F6" w:rsidRPr="00C705EA" w:rsidRDefault="00AB45F6" w:rsidP="00C3234D">
      <w:pPr>
        <w:spacing w:line="240" w:lineRule="auto"/>
        <w:ind w:firstLine="567"/>
        <w:jc w:val="both"/>
        <w:rPr>
          <w:rFonts w:ascii="Times New Roman" w:hAnsi="Times New Roman" w:cs="Times New Roman"/>
          <w:sz w:val="24"/>
        </w:rPr>
      </w:pPr>
      <w:r w:rsidRPr="00C705EA">
        <w:rPr>
          <w:rFonts w:ascii="Times New Roman" w:hAnsi="Times New Roman" w:cs="Times New Roman"/>
          <w:sz w:val="24"/>
        </w:rPr>
        <w:t xml:space="preserve">Rezultatele obținute afirmă încă o dată, dacă era necesar, rolul major al educației în integrarea pe piața muncii. Țările europene în general și România în special trebuie să adopte măsuri de adaptare a curriculumului instituțiilor de învățământ superior la cerințele de pe piața muncii, să implementeze o serie de instrumente de monitorizare a inserției absolvenților pe piața muncii, să sporească gradul de transparență și responsabilitate în utilizarea fondurilor publice, să coreleze finanțarea programelor de studii cu rata de </w:t>
      </w:r>
      <w:r w:rsidR="00FA72E1" w:rsidRPr="00C705EA">
        <w:rPr>
          <w:rFonts w:ascii="Times New Roman" w:hAnsi="Times New Roman" w:cs="Times New Roman"/>
          <w:sz w:val="24"/>
        </w:rPr>
        <w:t>angajare</w:t>
      </w:r>
      <w:r w:rsidRPr="00C705EA">
        <w:rPr>
          <w:rFonts w:ascii="Times New Roman" w:hAnsi="Times New Roman" w:cs="Times New Roman"/>
          <w:sz w:val="24"/>
        </w:rPr>
        <w:t xml:space="preserve"> a proaspeților absolvenți și să reducă la minimum implicarea politicului în stabilirea programelor de studii ale universităților. Aceste măsuri sunt impetuos necesare, deoarece au </w:t>
      </w:r>
      <w:r>
        <w:rPr>
          <w:rFonts w:ascii="Times New Roman" w:hAnsi="Times New Roman" w:cs="Times New Roman"/>
          <w:sz w:val="24"/>
        </w:rPr>
        <w:t>efect</w:t>
      </w:r>
      <w:r w:rsidRPr="00C705EA">
        <w:rPr>
          <w:rFonts w:ascii="Times New Roman" w:hAnsi="Times New Roman" w:cs="Times New Roman"/>
          <w:sz w:val="24"/>
        </w:rPr>
        <w:t xml:space="preserve"> direct asupra ratei de angajare și a inserției pe piața muncii a absolvenților, dar îndrăznim să afirmăm că de fapt consecințele sunt mult mai profunde. Viitorul economic și social depinde de tinerii care frecventează astăzi școala și de modul în care aceștia reușesc să își finalizeze studiile adecvate și să se integreze pe piața muncii.</w:t>
      </w:r>
    </w:p>
    <w:p w14:paraId="3CA0F92B" w14:textId="77777777" w:rsidR="00AB45F6" w:rsidRDefault="00AB45F6" w:rsidP="00F549F7">
      <w:pPr>
        <w:autoSpaceDE w:val="0"/>
        <w:autoSpaceDN w:val="0"/>
        <w:adjustRightInd w:val="0"/>
        <w:spacing w:after="0" w:line="240" w:lineRule="auto"/>
        <w:ind w:firstLine="708"/>
        <w:jc w:val="both"/>
        <w:rPr>
          <w:rFonts w:ascii="Times New Roman" w:hAnsi="Times New Roman" w:cs="Times New Roman"/>
          <w:sz w:val="24"/>
          <w:szCs w:val="24"/>
        </w:rPr>
      </w:pPr>
    </w:p>
    <w:p w14:paraId="316F6A4F" w14:textId="3BEEDB28" w:rsidR="00AB45F6" w:rsidRDefault="00747E91" w:rsidP="00747E91">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en-US"/>
        </w:rPr>
      </w:pPr>
      <w:r w:rsidRPr="00747E91">
        <w:rPr>
          <w:rFonts w:ascii="Times New Roman" w:eastAsia="Times New Roman" w:hAnsi="Times New Roman" w:cs="Times New Roman"/>
          <w:b/>
          <w:bCs/>
          <w:color w:val="000000" w:themeColor="text1"/>
          <w:sz w:val="24"/>
          <w:szCs w:val="24"/>
          <w:lang w:val="en-US"/>
        </w:rPr>
        <w:t>Bibliografie</w:t>
      </w:r>
    </w:p>
    <w:p w14:paraId="75716A0D" w14:textId="687A7370" w:rsidR="00AE25E7" w:rsidRPr="00AE25E7" w:rsidRDefault="00AE25E7" w:rsidP="00AE25E7">
      <w:pPr>
        <w:pStyle w:val="Textnotdesubsol"/>
        <w:numPr>
          <w:ilvl w:val="0"/>
          <w:numId w:val="6"/>
        </w:numPr>
        <w:ind w:left="0" w:firstLine="0"/>
        <w:jc w:val="both"/>
        <w:rPr>
          <w:rFonts w:ascii="Times New Roman" w:hAnsi="Times New Roman" w:cs="Times New Roman"/>
          <w:sz w:val="24"/>
          <w:szCs w:val="24"/>
        </w:rPr>
      </w:pPr>
      <w:r w:rsidRPr="00AE25E7">
        <w:rPr>
          <w:rFonts w:ascii="Times New Roman" w:hAnsi="Times New Roman" w:cs="Times New Roman"/>
          <w:sz w:val="24"/>
          <w:szCs w:val="24"/>
          <w:bdr w:val="none" w:sz="0" w:space="0" w:color="auto" w:frame="1"/>
          <w:shd w:val="clear" w:color="auto" w:fill="FFFFFF"/>
        </w:rPr>
        <w:t>Brown, P., Hesketh, A. and Wiliams, S. (2003)</w:t>
      </w:r>
      <w:r w:rsidR="0015449C">
        <w:rPr>
          <w:rFonts w:ascii="Times New Roman" w:hAnsi="Times New Roman" w:cs="Times New Roman"/>
          <w:sz w:val="24"/>
          <w:szCs w:val="24"/>
          <w:bdr w:val="none" w:sz="0" w:space="0" w:color="auto" w:frame="1"/>
          <w:shd w:val="clear" w:color="auto" w:fill="FFFFFF"/>
        </w:rPr>
        <w:t xml:space="preserve">. </w:t>
      </w:r>
      <w:r w:rsidRPr="00AE25E7">
        <w:rPr>
          <w:rFonts w:ascii="Times New Roman" w:hAnsi="Times New Roman" w:cs="Times New Roman"/>
          <w:sz w:val="24"/>
          <w:szCs w:val="24"/>
          <w:bdr w:val="none" w:sz="0" w:space="0" w:color="auto" w:frame="1"/>
          <w:shd w:val="clear" w:color="auto" w:fill="FFFFFF"/>
        </w:rPr>
        <w:t>Employability in a knowledge- driven economy,</w:t>
      </w:r>
      <w:r w:rsidR="0015449C">
        <w:rPr>
          <w:rFonts w:ascii="Times New Roman" w:hAnsi="Times New Roman" w:cs="Times New Roman"/>
          <w:sz w:val="24"/>
          <w:szCs w:val="24"/>
          <w:bdr w:val="none" w:sz="0" w:space="0" w:color="auto" w:frame="1"/>
          <w:shd w:val="clear" w:color="auto" w:fill="FFFFFF"/>
        </w:rPr>
        <w:t xml:space="preserve"> </w:t>
      </w:r>
      <w:r w:rsidRPr="00AE25E7">
        <w:rPr>
          <w:rFonts w:ascii="Times New Roman" w:hAnsi="Times New Roman" w:cs="Times New Roman"/>
          <w:sz w:val="24"/>
          <w:szCs w:val="24"/>
          <w:bdr w:val="none" w:sz="0" w:space="0" w:color="auto" w:frame="1"/>
          <w:shd w:val="clear" w:color="auto" w:fill="FFFFFF"/>
        </w:rPr>
        <w:t>Journal of Education and Work, Vol. 16 No. 2, pp. 107-126, p 114</w:t>
      </w:r>
    </w:p>
    <w:p w14:paraId="51C1088A" w14:textId="6386AC07" w:rsidR="00AE25E7" w:rsidRDefault="00AE25E7" w:rsidP="00AE25E7">
      <w:pPr>
        <w:pStyle w:val="Textnotdesubsol"/>
        <w:numPr>
          <w:ilvl w:val="0"/>
          <w:numId w:val="6"/>
        </w:numPr>
        <w:ind w:left="0" w:firstLine="0"/>
        <w:jc w:val="both"/>
        <w:rPr>
          <w:rFonts w:ascii="Times New Roman" w:hAnsi="Times New Roman" w:cs="Times New Roman"/>
          <w:sz w:val="24"/>
          <w:szCs w:val="24"/>
        </w:rPr>
      </w:pPr>
      <w:r w:rsidRPr="00AE25E7">
        <w:rPr>
          <w:rFonts w:ascii="Times New Roman" w:hAnsi="Times New Roman" w:cs="Times New Roman"/>
          <w:sz w:val="24"/>
          <w:szCs w:val="24"/>
        </w:rPr>
        <w:t xml:space="preserve">Cheng, M., Adekola, O., Albia, J., Cai, S., </w:t>
      </w:r>
      <w:r w:rsidR="0015449C">
        <w:rPr>
          <w:rFonts w:ascii="Times New Roman" w:hAnsi="Times New Roman" w:cs="Times New Roman"/>
          <w:sz w:val="24"/>
          <w:szCs w:val="24"/>
        </w:rPr>
        <w:t>(</w:t>
      </w:r>
      <w:r w:rsidRPr="00AE25E7">
        <w:rPr>
          <w:rFonts w:ascii="Times New Roman" w:hAnsi="Times New Roman" w:cs="Times New Roman"/>
          <w:sz w:val="24"/>
          <w:szCs w:val="24"/>
        </w:rPr>
        <w:t>2022. Employability in higher education: a review of key stakeholders' perspectives. Higher Education Evaluation and Development 16, 16–31.. doi:10.1108/heed-03-2021-0025</w:t>
      </w:r>
    </w:p>
    <w:p w14:paraId="23580F75" w14:textId="19FE7451" w:rsidR="00AE25E7" w:rsidRDefault="00AE25E7" w:rsidP="00AE25E7">
      <w:pPr>
        <w:pStyle w:val="Textnotdesubsol"/>
        <w:numPr>
          <w:ilvl w:val="0"/>
          <w:numId w:val="6"/>
        </w:numPr>
        <w:ind w:left="0" w:firstLine="0"/>
        <w:jc w:val="both"/>
        <w:rPr>
          <w:rFonts w:ascii="Times New Roman" w:hAnsi="Times New Roman" w:cs="Times New Roman"/>
          <w:sz w:val="24"/>
          <w:szCs w:val="24"/>
        </w:rPr>
      </w:pPr>
      <w:r w:rsidRPr="00AE25E7">
        <w:rPr>
          <w:rFonts w:ascii="Times New Roman" w:hAnsi="Times New Roman" w:cs="Times New Roman"/>
          <w:sz w:val="24"/>
          <w:szCs w:val="24"/>
        </w:rPr>
        <w:t>Department for Business Innovation and Skills (DIUS). (2008) Higher Education at Work — High Skills: High Value, London: HMSO</w:t>
      </w:r>
    </w:p>
    <w:p w14:paraId="1E157DD3" w14:textId="77777777" w:rsidR="00AE25E7" w:rsidRPr="00AE25E7" w:rsidRDefault="00AE25E7" w:rsidP="00AE25E7">
      <w:pPr>
        <w:pStyle w:val="Textnotdesubsol"/>
        <w:numPr>
          <w:ilvl w:val="0"/>
          <w:numId w:val="6"/>
        </w:numPr>
        <w:ind w:left="0" w:firstLine="0"/>
        <w:jc w:val="both"/>
        <w:rPr>
          <w:rFonts w:ascii="Times New Roman" w:hAnsi="Times New Roman" w:cs="Times New Roman"/>
          <w:sz w:val="24"/>
          <w:szCs w:val="24"/>
        </w:rPr>
      </w:pPr>
      <w:r w:rsidRPr="00AE25E7">
        <w:rPr>
          <w:rFonts w:ascii="Times New Roman" w:hAnsi="Times New Roman" w:cs="Times New Roman"/>
          <w:sz w:val="24"/>
          <w:szCs w:val="24"/>
          <w:bdr w:val="none" w:sz="0" w:space="0" w:color="auto" w:frame="1"/>
          <w:shd w:val="clear" w:color="auto" w:fill="FFFFFF"/>
        </w:rPr>
        <w:t>De Vos, A., De Hauw, S. and Van der Heijden, B. (2011),“Competency development and career success:the mediating role of employability”,Journal of Vocational Behaviour, Vol. 79 No. 2, pp. 438-447</w:t>
      </w:r>
    </w:p>
    <w:p w14:paraId="2394C9FC" w14:textId="2C29153D" w:rsidR="00AE25E7" w:rsidRPr="00AE25E7" w:rsidRDefault="00AE25E7" w:rsidP="00AE25E7">
      <w:pPr>
        <w:pStyle w:val="Textnotdesubsol"/>
        <w:numPr>
          <w:ilvl w:val="0"/>
          <w:numId w:val="6"/>
        </w:numPr>
        <w:ind w:left="0" w:firstLine="0"/>
        <w:jc w:val="both"/>
        <w:rPr>
          <w:rFonts w:ascii="Times New Roman" w:hAnsi="Times New Roman" w:cs="Times New Roman"/>
          <w:sz w:val="24"/>
          <w:szCs w:val="24"/>
        </w:rPr>
      </w:pPr>
      <w:r w:rsidRPr="00AE25E7">
        <w:rPr>
          <w:rFonts w:ascii="Times New Roman" w:hAnsi="Times New Roman" w:cs="Times New Roman"/>
          <w:sz w:val="24"/>
          <w:szCs w:val="24"/>
          <w:bdr w:val="none" w:sz="0" w:space="0" w:color="auto" w:frame="1"/>
          <w:shd w:val="clear" w:color="auto" w:fill="FFFFFF"/>
        </w:rPr>
        <w:t>Frankham, J. (2017),</w:t>
      </w:r>
      <w:r w:rsidR="0015449C">
        <w:rPr>
          <w:rFonts w:ascii="Times New Roman" w:hAnsi="Times New Roman" w:cs="Times New Roman"/>
          <w:sz w:val="24"/>
          <w:szCs w:val="24"/>
          <w:bdr w:val="none" w:sz="0" w:space="0" w:color="auto" w:frame="1"/>
          <w:shd w:val="clear" w:color="auto" w:fill="FFFFFF"/>
        </w:rPr>
        <w:t xml:space="preserve"> </w:t>
      </w:r>
      <w:r w:rsidRPr="00AE25E7">
        <w:rPr>
          <w:rFonts w:ascii="Times New Roman" w:hAnsi="Times New Roman" w:cs="Times New Roman"/>
          <w:sz w:val="24"/>
          <w:szCs w:val="24"/>
          <w:bdr w:val="none" w:sz="0" w:space="0" w:color="auto" w:frame="1"/>
          <w:shd w:val="clear" w:color="auto" w:fill="FFFFFF"/>
        </w:rPr>
        <w:t>Employability and higher education: the follies of the‘productivity</w:t>
      </w:r>
      <w:r w:rsidR="0015449C">
        <w:rPr>
          <w:rFonts w:ascii="Times New Roman" w:hAnsi="Times New Roman" w:cs="Times New Roman"/>
          <w:sz w:val="24"/>
          <w:szCs w:val="24"/>
          <w:bdr w:val="none" w:sz="0" w:space="0" w:color="auto" w:frame="1"/>
          <w:shd w:val="clear" w:color="auto" w:fill="FFFFFF"/>
        </w:rPr>
        <w:t xml:space="preserve"> </w:t>
      </w:r>
      <w:r w:rsidRPr="00AE25E7">
        <w:rPr>
          <w:rFonts w:ascii="Times New Roman" w:hAnsi="Times New Roman" w:cs="Times New Roman"/>
          <w:sz w:val="24"/>
          <w:szCs w:val="24"/>
          <w:bdr w:val="none" w:sz="0" w:space="0" w:color="auto" w:frame="1"/>
          <w:shd w:val="clear" w:color="auto" w:fill="FFFFFF"/>
        </w:rPr>
        <w:t>challenge’in the teaching excellence framework”,Journal of Education Policy, Vol. 32 No. 5,pp. 628-64</w:t>
      </w:r>
    </w:p>
    <w:p w14:paraId="551B3B6C" w14:textId="77777777" w:rsidR="00AE25E7" w:rsidRPr="00AE25E7" w:rsidRDefault="00AE25E7" w:rsidP="00AE25E7">
      <w:pPr>
        <w:pStyle w:val="Textnotdesubsol"/>
        <w:numPr>
          <w:ilvl w:val="0"/>
          <w:numId w:val="6"/>
        </w:numPr>
        <w:ind w:left="0" w:firstLine="0"/>
        <w:jc w:val="both"/>
        <w:rPr>
          <w:rFonts w:ascii="Times New Roman" w:hAnsi="Times New Roman" w:cs="Times New Roman"/>
          <w:sz w:val="24"/>
          <w:szCs w:val="24"/>
        </w:rPr>
      </w:pPr>
      <w:r w:rsidRPr="00AE25E7">
        <w:rPr>
          <w:rFonts w:ascii="Times New Roman" w:hAnsi="Times New Roman" w:cs="Times New Roman"/>
          <w:sz w:val="24"/>
          <w:szCs w:val="24"/>
          <w:bdr w:val="none" w:sz="0" w:space="0" w:color="auto" w:frame="1"/>
          <w:shd w:val="clear" w:color="auto" w:fill="FFFFFF"/>
        </w:rPr>
        <w:t>Hillage, J. and Pollard, E. (1998),Employability: Developing a Framework for Policy Analysis,Department for Education and Employment, London.</w:t>
      </w:r>
    </w:p>
    <w:p w14:paraId="14E9F342" w14:textId="77777777" w:rsidR="00AE25E7" w:rsidRDefault="00AE25E7" w:rsidP="00AE25E7">
      <w:pPr>
        <w:pStyle w:val="Textnotdesubsol"/>
        <w:jc w:val="both"/>
        <w:rPr>
          <w:rFonts w:ascii="Times New Roman" w:hAnsi="Times New Roman" w:cs="Times New Roman"/>
          <w:sz w:val="24"/>
          <w:szCs w:val="24"/>
        </w:rPr>
      </w:pPr>
    </w:p>
    <w:p w14:paraId="0455B37B" w14:textId="38078E46" w:rsidR="00AE25E7" w:rsidRDefault="00AE25E7" w:rsidP="00AE25E7">
      <w:pPr>
        <w:pStyle w:val="Textnotdesubsol"/>
        <w:numPr>
          <w:ilvl w:val="0"/>
          <w:numId w:val="6"/>
        </w:numPr>
        <w:ind w:left="0" w:firstLine="0"/>
        <w:jc w:val="both"/>
        <w:rPr>
          <w:rFonts w:ascii="Times New Roman" w:hAnsi="Times New Roman" w:cs="Times New Roman"/>
          <w:sz w:val="24"/>
          <w:szCs w:val="24"/>
          <w:bdr w:val="none" w:sz="0" w:space="0" w:color="auto" w:frame="1"/>
          <w:shd w:val="clear" w:color="auto" w:fill="FFFFFF"/>
        </w:rPr>
      </w:pPr>
      <w:r w:rsidRPr="00AE25E7">
        <w:rPr>
          <w:rFonts w:ascii="Times New Roman" w:hAnsi="Times New Roman" w:cs="Times New Roman"/>
          <w:sz w:val="24"/>
          <w:szCs w:val="24"/>
        </w:rPr>
        <w:t>H</w:t>
      </w:r>
      <w:r w:rsidRPr="00AE25E7">
        <w:rPr>
          <w:rFonts w:ascii="Times New Roman" w:hAnsi="Times New Roman" w:cs="Times New Roman"/>
          <w:sz w:val="24"/>
          <w:szCs w:val="24"/>
          <w:bdr w:val="none" w:sz="0" w:space="0" w:color="auto" w:frame="1"/>
          <w:shd w:val="clear" w:color="auto" w:fill="FFFFFF"/>
        </w:rPr>
        <w:t>ogan, R., Chamorro-Premuzic, T. and Kaiser, R. (2013),“Employability and career success: bridgingthe gap between theory and reality”,Industrial and Organizational Psychology, Vol. 6No. 1, pp. 3-16.</w:t>
      </w:r>
    </w:p>
    <w:p w14:paraId="6597251E" w14:textId="77777777" w:rsidR="00AE25E7" w:rsidRPr="00AE25E7" w:rsidRDefault="00AE25E7" w:rsidP="00AE25E7">
      <w:pPr>
        <w:pStyle w:val="Textnotdesubsol"/>
        <w:numPr>
          <w:ilvl w:val="0"/>
          <w:numId w:val="6"/>
        </w:numPr>
        <w:ind w:left="0" w:firstLine="0"/>
        <w:jc w:val="both"/>
        <w:rPr>
          <w:rFonts w:ascii="Times New Roman" w:hAnsi="Times New Roman" w:cs="Times New Roman"/>
          <w:sz w:val="24"/>
          <w:szCs w:val="24"/>
          <w:bdr w:val="none" w:sz="0" w:space="0" w:color="auto" w:frame="1"/>
          <w:shd w:val="clear" w:color="auto" w:fill="FFFFFF"/>
        </w:rPr>
      </w:pPr>
      <w:r w:rsidRPr="00AE25E7">
        <w:rPr>
          <w:rFonts w:ascii="Times New Roman" w:hAnsi="Times New Roman" w:cs="Times New Roman"/>
          <w:sz w:val="24"/>
          <w:szCs w:val="24"/>
          <w:bdr w:val="none" w:sz="0" w:space="0" w:color="auto" w:frame="1"/>
          <w:shd w:val="clear" w:color="auto" w:fill="FFFFFF"/>
        </w:rPr>
        <w:t>Morrison, A. (2012),“Absolute and relative employability: lecturers’views on undergraduates’employability”,Paper Presented at the British Educational Research Association AnnualConference, University of Manchester, 4-6 September.</w:t>
      </w:r>
    </w:p>
    <w:p w14:paraId="5C41DBB9" w14:textId="0BD71E4D" w:rsidR="00AE25E7" w:rsidRDefault="00AE25E7" w:rsidP="00AE25E7">
      <w:pPr>
        <w:pStyle w:val="Textnotdesubsol"/>
        <w:numPr>
          <w:ilvl w:val="0"/>
          <w:numId w:val="6"/>
        </w:numPr>
        <w:ind w:left="0" w:firstLine="0"/>
        <w:jc w:val="both"/>
        <w:rPr>
          <w:rFonts w:ascii="Times New Roman" w:hAnsi="Times New Roman" w:cs="Times New Roman"/>
          <w:sz w:val="24"/>
          <w:szCs w:val="24"/>
          <w:bdr w:val="none" w:sz="0" w:space="0" w:color="auto" w:frame="1"/>
          <w:shd w:val="clear" w:color="auto" w:fill="FFFFFF"/>
        </w:rPr>
      </w:pPr>
      <w:r w:rsidRPr="00AE25E7">
        <w:rPr>
          <w:rFonts w:ascii="Times New Roman" w:hAnsi="Times New Roman" w:cs="Times New Roman"/>
          <w:sz w:val="24"/>
          <w:szCs w:val="24"/>
          <w:bdr w:val="none" w:sz="0" w:space="0" w:color="auto" w:frame="1"/>
          <w:shd w:val="clear" w:color="auto" w:fill="FFFFFF"/>
        </w:rPr>
        <w:t>Speight, S., Lackovic, N. and Cooker, L. (2012),“Stakeholder attitudes towards employability in a Sino-British university”,Journal of Teaching and Learning for Graduate Employability, Vol. 3 No. 1,pp. 26-40</w:t>
      </w:r>
    </w:p>
    <w:p w14:paraId="2722F621" w14:textId="277AAB56" w:rsidR="00AE25E7" w:rsidRPr="00AE25E7" w:rsidRDefault="00AE25E7" w:rsidP="00AE25E7">
      <w:pPr>
        <w:pStyle w:val="Textnotdesubsol"/>
        <w:numPr>
          <w:ilvl w:val="0"/>
          <w:numId w:val="6"/>
        </w:numPr>
        <w:ind w:left="0" w:firstLine="0"/>
        <w:jc w:val="both"/>
        <w:rPr>
          <w:rFonts w:ascii="Times New Roman" w:hAnsi="Times New Roman" w:cs="Times New Roman"/>
          <w:sz w:val="24"/>
          <w:szCs w:val="24"/>
        </w:rPr>
      </w:pPr>
      <w:r w:rsidRPr="00AE25E7">
        <w:rPr>
          <w:rFonts w:ascii="Times New Roman" w:hAnsi="Times New Roman" w:cs="Times New Roman"/>
          <w:sz w:val="24"/>
          <w:szCs w:val="24"/>
          <w:bdr w:val="none" w:sz="0" w:space="0" w:color="auto" w:frame="1"/>
          <w:shd w:val="clear" w:color="auto" w:fill="FFFFFF"/>
        </w:rPr>
        <w:t>Sin, C. and Amaral, A. (2017),“Academics’and employers’perceptions about responsibilities foremployability and their initiatives towards its development”,Higher Education, Vol. 73 No. 1,pp. 97-111</w:t>
      </w:r>
    </w:p>
    <w:p w14:paraId="0C5FB4EF" w14:textId="1E16619C" w:rsidR="00AE25E7" w:rsidRDefault="00AE25E7" w:rsidP="00AE25E7">
      <w:pPr>
        <w:pStyle w:val="Textnotdesubsol"/>
        <w:numPr>
          <w:ilvl w:val="0"/>
          <w:numId w:val="6"/>
        </w:numPr>
        <w:ind w:left="0" w:firstLine="0"/>
        <w:jc w:val="both"/>
        <w:rPr>
          <w:rFonts w:ascii="Times New Roman" w:hAnsi="Times New Roman" w:cs="Times New Roman"/>
          <w:sz w:val="24"/>
          <w:szCs w:val="24"/>
          <w:bdr w:val="none" w:sz="0" w:space="0" w:color="auto" w:frame="1"/>
          <w:shd w:val="clear" w:color="auto" w:fill="FFFFFF"/>
        </w:rPr>
      </w:pPr>
      <w:r w:rsidRPr="00AE25E7">
        <w:rPr>
          <w:rFonts w:ascii="Times New Roman" w:hAnsi="Times New Roman" w:cs="Times New Roman"/>
          <w:sz w:val="24"/>
          <w:szCs w:val="24"/>
          <w:bdr w:val="none" w:sz="0" w:space="0" w:color="auto" w:frame="1"/>
          <w:shd w:val="clear" w:color="auto" w:fill="FFFFFF"/>
        </w:rPr>
        <w:t>Sin, C. and Neave, G. (2016),“Employability deconstructed: perceptions of Bologna stakeholders”,Studies in Higher Education, Vol. 41 No. 8, pp. 1447-1462Small, L., Shacklock, K. and Marchant, T. (2018),“Employability: a contemporary review for highereducation stakeholders”,Journal of Vocational Education and Training, Vol. 70 No. 1,pp. 148-166</w:t>
      </w:r>
    </w:p>
    <w:p w14:paraId="495BFAC0" w14:textId="2CF9B827" w:rsidR="00AE25E7" w:rsidRPr="00AE25E7" w:rsidRDefault="00AE25E7" w:rsidP="00AE25E7">
      <w:pPr>
        <w:pStyle w:val="Textnotdesubsol"/>
        <w:numPr>
          <w:ilvl w:val="0"/>
          <w:numId w:val="6"/>
        </w:numPr>
        <w:ind w:left="0" w:firstLine="0"/>
        <w:jc w:val="both"/>
        <w:rPr>
          <w:rFonts w:ascii="Times New Roman" w:hAnsi="Times New Roman" w:cs="Times New Roman"/>
          <w:sz w:val="24"/>
          <w:szCs w:val="24"/>
        </w:rPr>
      </w:pPr>
      <w:r w:rsidRPr="00AE25E7">
        <w:rPr>
          <w:rFonts w:ascii="Times New Roman" w:hAnsi="Times New Roman" w:cs="Times New Roman"/>
          <w:sz w:val="24"/>
          <w:szCs w:val="24"/>
          <w:bdr w:val="none" w:sz="0" w:space="0" w:color="auto" w:frame="1"/>
          <w:shd w:val="clear" w:color="auto" w:fill="FFFFFF"/>
        </w:rPr>
        <w:t>Taylor, L.E. (2016),How to Develop Your Healthcare Career: A Guide to Employability and ProfessionalDevelopment, John Wiley &amp; Sons, NJ.</w:t>
      </w:r>
    </w:p>
    <w:p w14:paraId="4C101063" w14:textId="4E5748F6" w:rsidR="00AE25E7" w:rsidRPr="00AE25E7" w:rsidRDefault="00AE25E7" w:rsidP="00AE25E7">
      <w:pPr>
        <w:pStyle w:val="Listparagraf"/>
        <w:numPr>
          <w:ilvl w:val="0"/>
          <w:numId w:val="6"/>
        </w:numPr>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eastAsia="ro-RO"/>
        </w:rPr>
      </w:pPr>
      <w:r w:rsidRPr="00AE25E7">
        <w:rPr>
          <w:rFonts w:ascii="Times New Roman" w:eastAsia="Times New Roman" w:hAnsi="Times New Roman" w:cs="Times New Roman"/>
          <w:color w:val="000000"/>
          <w:sz w:val="24"/>
          <w:szCs w:val="24"/>
          <w:bdr w:val="none" w:sz="0" w:space="0" w:color="auto" w:frame="1"/>
          <w:lang w:eastAsia="ro-RO"/>
        </w:rPr>
        <w:t xml:space="preserve">Yorke, M. (2006),Employability in Higher Education: What It Is-What It Is Not, Vol. 1, HigherEducation Academy, York. </w:t>
      </w:r>
    </w:p>
    <w:p w14:paraId="76C5F515" w14:textId="3194C5E8" w:rsidR="00AE25E7" w:rsidRPr="00AE25E7" w:rsidRDefault="00AE25E7" w:rsidP="00AE25E7">
      <w:pPr>
        <w:pStyle w:val="Textnotdesubsol"/>
        <w:jc w:val="both"/>
        <w:rPr>
          <w:rFonts w:ascii="Times New Roman" w:hAnsi="Times New Roman" w:cs="Times New Roman"/>
          <w:sz w:val="24"/>
          <w:szCs w:val="24"/>
        </w:rPr>
      </w:pPr>
    </w:p>
    <w:sectPr w:rsidR="00AE25E7" w:rsidRPr="00AE25E7" w:rsidSect="00F549F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5D2BA" w14:textId="77777777" w:rsidR="00E37A10" w:rsidRDefault="00E37A10" w:rsidP="00AB45F6">
      <w:pPr>
        <w:spacing w:after="0" w:line="240" w:lineRule="auto"/>
      </w:pPr>
      <w:r>
        <w:separator/>
      </w:r>
    </w:p>
  </w:endnote>
  <w:endnote w:type="continuationSeparator" w:id="0">
    <w:p w14:paraId="6CDB30A8" w14:textId="77777777" w:rsidR="00E37A10" w:rsidRDefault="00E37A10" w:rsidP="00AB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D8BFB" w14:textId="77777777" w:rsidR="00E37A10" w:rsidRDefault="00E37A10" w:rsidP="00AB45F6">
      <w:pPr>
        <w:spacing w:after="0" w:line="240" w:lineRule="auto"/>
      </w:pPr>
      <w:r>
        <w:separator/>
      </w:r>
    </w:p>
  </w:footnote>
  <w:footnote w:type="continuationSeparator" w:id="0">
    <w:p w14:paraId="12F54F0F" w14:textId="77777777" w:rsidR="00E37A10" w:rsidRDefault="00E37A10" w:rsidP="00AB4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C6FB1"/>
    <w:multiLevelType w:val="hybridMultilevel"/>
    <w:tmpl w:val="57D646D6"/>
    <w:lvl w:ilvl="0" w:tplc="CF2ED644">
      <w:start w:val="1"/>
      <w:numFmt w:val="bullet"/>
      <w:lvlText w:val="•"/>
      <w:lvlJc w:val="left"/>
      <w:pPr>
        <w:tabs>
          <w:tab w:val="num" w:pos="720"/>
        </w:tabs>
        <w:ind w:left="720" w:hanging="360"/>
      </w:pPr>
      <w:rPr>
        <w:rFonts w:ascii="Times New Roman" w:hAnsi="Times New Roman" w:hint="default"/>
      </w:rPr>
    </w:lvl>
    <w:lvl w:ilvl="1" w:tplc="990E451E">
      <w:start w:val="1"/>
      <w:numFmt w:val="bullet"/>
      <w:lvlText w:val="•"/>
      <w:lvlJc w:val="left"/>
      <w:pPr>
        <w:tabs>
          <w:tab w:val="num" w:pos="1440"/>
        </w:tabs>
        <w:ind w:left="1440" w:hanging="360"/>
      </w:pPr>
      <w:rPr>
        <w:rFonts w:ascii="Times New Roman" w:hAnsi="Times New Roman" w:hint="default"/>
      </w:rPr>
    </w:lvl>
    <w:lvl w:ilvl="2" w:tplc="FF589ABE" w:tentative="1">
      <w:start w:val="1"/>
      <w:numFmt w:val="bullet"/>
      <w:lvlText w:val="•"/>
      <w:lvlJc w:val="left"/>
      <w:pPr>
        <w:tabs>
          <w:tab w:val="num" w:pos="2160"/>
        </w:tabs>
        <w:ind w:left="2160" w:hanging="360"/>
      </w:pPr>
      <w:rPr>
        <w:rFonts w:ascii="Times New Roman" w:hAnsi="Times New Roman" w:hint="default"/>
      </w:rPr>
    </w:lvl>
    <w:lvl w:ilvl="3" w:tplc="F9BE9432" w:tentative="1">
      <w:start w:val="1"/>
      <w:numFmt w:val="bullet"/>
      <w:lvlText w:val="•"/>
      <w:lvlJc w:val="left"/>
      <w:pPr>
        <w:tabs>
          <w:tab w:val="num" w:pos="2880"/>
        </w:tabs>
        <w:ind w:left="2880" w:hanging="360"/>
      </w:pPr>
      <w:rPr>
        <w:rFonts w:ascii="Times New Roman" w:hAnsi="Times New Roman" w:hint="default"/>
      </w:rPr>
    </w:lvl>
    <w:lvl w:ilvl="4" w:tplc="E1E25450" w:tentative="1">
      <w:start w:val="1"/>
      <w:numFmt w:val="bullet"/>
      <w:lvlText w:val="•"/>
      <w:lvlJc w:val="left"/>
      <w:pPr>
        <w:tabs>
          <w:tab w:val="num" w:pos="3600"/>
        </w:tabs>
        <w:ind w:left="3600" w:hanging="360"/>
      </w:pPr>
      <w:rPr>
        <w:rFonts w:ascii="Times New Roman" w:hAnsi="Times New Roman" w:hint="default"/>
      </w:rPr>
    </w:lvl>
    <w:lvl w:ilvl="5" w:tplc="FEB659C4" w:tentative="1">
      <w:start w:val="1"/>
      <w:numFmt w:val="bullet"/>
      <w:lvlText w:val="•"/>
      <w:lvlJc w:val="left"/>
      <w:pPr>
        <w:tabs>
          <w:tab w:val="num" w:pos="4320"/>
        </w:tabs>
        <w:ind w:left="4320" w:hanging="360"/>
      </w:pPr>
      <w:rPr>
        <w:rFonts w:ascii="Times New Roman" w:hAnsi="Times New Roman" w:hint="default"/>
      </w:rPr>
    </w:lvl>
    <w:lvl w:ilvl="6" w:tplc="39FAB576" w:tentative="1">
      <w:start w:val="1"/>
      <w:numFmt w:val="bullet"/>
      <w:lvlText w:val="•"/>
      <w:lvlJc w:val="left"/>
      <w:pPr>
        <w:tabs>
          <w:tab w:val="num" w:pos="5040"/>
        </w:tabs>
        <w:ind w:left="5040" w:hanging="360"/>
      </w:pPr>
      <w:rPr>
        <w:rFonts w:ascii="Times New Roman" w:hAnsi="Times New Roman" w:hint="default"/>
      </w:rPr>
    </w:lvl>
    <w:lvl w:ilvl="7" w:tplc="F53C9F48" w:tentative="1">
      <w:start w:val="1"/>
      <w:numFmt w:val="bullet"/>
      <w:lvlText w:val="•"/>
      <w:lvlJc w:val="left"/>
      <w:pPr>
        <w:tabs>
          <w:tab w:val="num" w:pos="5760"/>
        </w:tabs>
        <w:ind w:left="5760" w:hanging="360"/>
      </w:pPr>
      <w:rPr>
        <w:rFonts w:ascii="Times New Roman" w:hAnsi="Times New Roman" w:hint="default"/>
      </w:rPr>
    </w:lvl>
    <w:lvl w:ilvl="8" w:tplc="119A91A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6E7300"/>
    <w:multiLevelType w:val="hybridMultilevel"/>
    <w:tmpl w:val="16DC533C"/>
    <w:lvl w:ilvl="0" w:tplc="78A8551C">
      <w:start w:val="1"/>
      <w:numFmt w:val="bullet"/>
      <w:lvlText w:val="•"/>
      <w:lvlJc w:val="left"/>
      <w:pPr>
        <w:tabs>
          <w:tab w:val="num" w:pos="720"/>
        </w:tabs>
        <w:ind w:left="720" w:hanging="360"/>
      </w:pPr>
      <w:rPr>
        <w:rFonts w:ascii="Times New Roman" w:hAnsi="Times New Roman" w:hint="default"/>
      </w:rPr>
    </w:lvl>
    <w:lvl w:ilvl="1" w:tplc="8E200CCA">
      <w:numFmt w:val="bullet"/>
      <w:lvlText w:val="•"/>
      <w:lvlJc w:val="left"/>
      <w:pPr>
        <w:tabs>
          <w:tab w:val="num" w:pos="1440"/>
        </w:tabs>
        <w:ind w:left="1440" w:hanging="360"/>
      </w:pPr>
      <w:rPr>
        <w:rFonts w:ascii="Times New Roman" w:hAnsi="Times New Roman" w:hint="default"/>
      </w:rPr>
    </w:lvl>
    <w:lvl w:ilvl="2" w:tplc="E3945000" w:tentative="1">
      <w:start w:val="1"/>
      <w:numFmt w:val="bullet"/>
      <w:lvlText w:val="•"/>
      <w:lvlJc w:val="left"/>
      <w:pPr>
        <w:tabs>
          <w:tab w:val="num" w:pos="2160"/>
        </w:tabs>
        <w:ind w:left="2160" w:hanging="360"/>
      </w:pPr>
      <w:rPr>
        <w:rFonts w:ascii="Times New Roman" w:hAnsi="Times New Roman" w:hint="default"/>
      </w:rPr>
    </w:lvl>
    <w:lvl w:ilvl="3" w:tplc="A6EC2212" w:tentative="1">
      <w:start w:val="1"/>
      <w:numFmt w:val="bullet"/>
      <w:lvlText w:val="•"/>
      <w:lvlJc w:val="left"/>
      <w:pPr>
        <w:tabs>
          <w:tab w:val="num" w:pos="2880"/>
        </w:tabs>
        <w:ind w:left="2880" w:hanging="360"/>
      </w:pPr>
      <w:rPr>
        <w:rFonts w:ascii="Times New Roman" w:hAnsi="Times New Roman" w:hint="default"/>
      </w:rPr>
    </w:lvl>
    <w:lvl w:ilvl="4" w:tplc="751C206E" w:tentative="1">
      <w:start w:val="1"/>
      <w:numFmt w:val="bullet"/>
      <w:lvlText w:val="•"/>
      <w:lvlJc w:val="left"/>
      <w:pPr>
        <w:tabs>
          <w:tab w:val="num" w:pos="3600"/>
        </w:tabs>
        <w:ind w:left="3600" w:hanging="360"/>
      </w:pPr>
      <w:rPr>
        <w:rFonts w:ascii="Times New Roman" w:hAnsi="Times New Roman" w:hint="default"/>
      </w:rPr>
    </w:lvl>
    <w:lvl w:ilvl="5" w:tplc="9A58D1A6" w:tentative="1">
      <w:start w:val="1"/>
      <w:numFmt w:val="bullet"/>
      <w:lvlText w:val="•"/>
      <w:lvlJc w:val="left"/>
      <w:pPr>
        <w:tabs>
          <w:tab w:val="num" w:pos="4320"/>
        </w:tabs>
        <w:ind w:left="4320" w:hanging="360"/>
      </w:pPr>
      <w:rPr>
        <w:rFonts w:ascii="Times New Roman" w:hAnsi="Times New Roman" w:hint="default"/>
      </w:rPr>
    </w:lvl>
    <w:lvl w:ilvl="6" w:tplc="60F02F68" w:tentative="1">
      <w:start w:val="1"/>
      <w:numFmt w:val="bullet"/>
      <w:lvlText w:val="•"/>
      <w:lvlJc w:val="left"/>
      <w:pPr>
        <w:tabs>
          <w:tab w:val="num" w:pos="5040"/>
        </w:tabs>
        <w:ind w:left="5040" w:hanging="360"/>
      </w:pPr>
      <w:rPr>
        <w:rFonts w:ascii="Times New Roman" w:hAnsi="Times New Roman" w:hint="default"/>
      </w:rPr>
    </w:lvl>
    <w:lvl w:ilvl="7" w:tplc="F07A1B64" w:tentative="1">
      <w:start w:val="1"/>
      <w:numFmt w:val="bullet"/>
      <w:lvlText w:val="•"/>
      <w:lvlJc w:val="left"/>
      <w:pPr>
        <w:tabs>
          <w:tab w:val="num" w:pos="5760"/>
        </w:tabs>
        <w:ind w:left="5760" w:hanging="360"/>
      </w:pPr>
      <w:rPr>
        <w:rFonts w:ascii="Times New Roman" w:hAnsi="Times New Roman" w:hint="default"/>
      </w:rPr>
    </w:lvl>
    <w:lvl w:ilvl="8" w:tplc="4BD82A5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2008A5"/>
    <w:multiLevelType w:val="hybridMultilevel"/>
    <w:tmpl w:val="C070249A"/>
    <w:lvl w:ilvl="0" w:tplc="848EE18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3D3D116B"/>
    <w:multiLevelType w:val="hybridMultilevel"/>
    <w:tmpl w:val="C97072D6"/>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8877755"/>
    <w:multiLevelType w:val="hybridMultilevel"/>
    <w:tmpl w:val="4036E586"/>
    <w:lvl w:ilvl="0" w:tplc="41002F1A">
      <w:start w:val="2018"/>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 w15:restartNumberingAfterBreak="0">
    <w:nsid w:val="6FCB0C7E"/>
    <w:multiLevelType w:val="hybridMultilevel"/>
    <w:tmpl w:val="6E3A0E02"/>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26332313">
    <w:abstractNumId w:val="5"/>
  </w:num>
  <w:num w:numId="2" w16cid:durableId="711999565">
    <w:abstractNumId w:val="0"/>
  </w:num>
  <w:num w:numId="3" w16cid:durableId="2089033818">
    <w:abstractNumId w:val="1"/>
  </w:num>
  <w:num w:numId="4" w16cid:durableId="1394086312">
    <w:abstractNumId w:val="4"/>
  </w:num>
  <w:num w:numId="5" w16cid:durableId="1065567387">
    <w:abstractNumId w:val="2"/>
  </w:num>
  <w:num w:numId="6" w16cid:durableId="28068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75C1"/>
    <w:rsid w:val="00023F29"/>
    <w:rsid w:val="000573BB"/>
    <w:rsid w:val="000A5B08"/>
    <w:rsid w:val="000D0522"/>
    <w:rsid w:val="00103867"/>
    <w:rsid w:val="0014382F"/>
    <w:rsid w:val="0015449C"/>
    <w:rsid w:val="00176312"/>
    <w:rsid w:val="00191A71"/>
    <w:rsid w:val="002757A5"/>
    <w:rsid w:val="00292BB4"/>
    <w:rsid w:val="002D7913"/>
    <w:rsid w:val="002E6846"/>
    <w:rsid w:val="00305686"/>
    <w:rsid w:val="00310BAF"/>
    <w:rsid w:val="00326F33"/>
    <w:rsid w:val="003413BB"/>
    <w:rsid w:val="003475C1"/>
    <w:rsid w:val="003E14AD"/>
    <w:rsid w:val="00412348"/>
    <w:rsid w:val="0046105E"/>
    <w:rsid w:val="004772DE"/>
    <w:rsid w:val="00504075"/>
    <w:rsid w:val="005B1BC3"/>
    <w:rsid w:val="00602651"/>
    <w:rsid w:val="00622A03"/>
    <w:rsid w:val="006460DE"/>
    <w:rsid w:val="00747E91"/>
    <w:rsid w:val="00750257"/>
    <w:rsid w:val="00756149"/>
    <w:rsid w:val="00795E2C"/>
    <w:rsid w:val="007B7C99"/>
    <w:rsid w:val="008367E2"/>
    <w:rsid w:val="008953A8"/>
    <w:rsid w:val="008C5519"/>
    <w:rsid w:val="0093060E"/>
    <w:rsid w:val="0094172A"/>
    <w:rsid w:val="0094620C"/>
    <w:rsid w:val="00A2210C"/>
    <w:rsid w:val="00A348EC"/>
    <w:rsid w:val="00A80286"/>
    <w:rsid w:val="00A861A2"/>
    <w:rsid w:val="00AB45F6"/>
    <w:rsid w:val="00AE25E7"/>
    <w:rsid w:val="00B4632D"/>
    <w:rsid w:val="00B72F06"/>
    <w:rsid w:val="00B818A6"/>
    <w:rsid w:val="00BC0D3E"/>
    <w:rsid w:val="00C3234D"/>
    <w:rsid w:val="00C804EA"/>
    <w:rsid w:val="00D86EDE"/>
    <w:rsid w:val="00DE25DD"/>
    <w:rsid w:val="00E37A10"/>
    <w:rsid w:val="00E543CD"/>
    <w:rsid w:val="00ED6D23"/>
    <w:rsid w:val="00EF40E9"/>
    <w:rsid w:val="00EF519C"/>
    <w:rsid w:val="00F47134"/>
    <w:rsid w:val="00F5255C"/>
    <w:rsid w:val="00F549F7"/>
    <w:rsid w:val="00FA72E1"/>
    <w:rsid w:val="00FB40B5"/>
    <w:rsid w:val="00FE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5EE8"/>
  <w15:chartTrackingRefBased/>
  <w15:docId w15:val="{60434A9D-0231-4B1C-BB00-961A875D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5F6"/>
    <w:rPr>
      <w:kern w:val="0"/>
      <w:lang w:val="ro-RO"/>
    </w:rPr>
  </w:style>
  <w:style w:type="paragraph" w:styleId="Titlu1">
    <w:name w:val="heading 1"/>
    <w:basedOn w:val="Normal"/>
    <w:next w:val="Normal"/>
    <w:link w:val="Titlu1Caracter"/>
    <w:uiPriority w:val="9"/>
    <w:qFormat/>
    <w:rsid w:val="00347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347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3475C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3475C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3475C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3475C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475C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475C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475C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475C1"/>
    <w:rPr>
      <w:rFonts w:asciiTheme="majorHAnsi" w:eastAsiaTheme="majorEastAsia" w:hAnsiTheme="majorHAnsi" w:cstheme="majorBidi"/>
      <w:noProof/>
      <w:color w:val="0F4761" w:themeColor="accent1" w:themeShade="BF"/>
      <w:sz w:val="40"/>
      <w:szCs w:val="40"/>
      <w:lang w:val="ro-RO"/>
    </w:rPr>
  </w:style>
  <w:style w:type="character" w:customStyle="1" w:styleId="Titlu2Caracter">
    <w:name w:val="Titlu 2 Caracter"/>
    <w:basedOn w:val="Fontdeparagrafimplicit"/>
    <w:link w:val="Titlu2"/>
    <w:uiPriority w:val="9"/>
    <w:rsid w:val="003475C1"/>
    <w:rPr>
      <w:rFonts w:asciiTheme="majorHAnsi" w:eastAsiaTheme="majorEastAsia" w:hAnsiTheme="majorHAnsi" w:cstheme="majorBidi"/>
      <w:noProof/>
      <w:color w:val="0F4761" w:themeColor="accent1" w:themeShade="BF"/>
      <w:sz w:val="32"/>
      <w:szCs w:val="32"/>
      <w:lang w:val="ro-RO"/>
    </w:rPr>
  </w:style>
  <w:style w:type="character" w:customStyle="1" w:styleId="Titlu3Caracter">
    <w:name w:val="Titlu 3 Caracter"/>
    <w:basedOn w:val="Fontdeparagrafimplicit"/>
    <w:link w:val="Titlu3"/>
    <w:uiPriority w:val="9"/>
    <w:semiHidden/>
    <w:rsid w:val="003475C1"/>
    <w:rPr>
      <w:rFonts w:eastAsiaTheme="majorEastAsia" w:cstheme="majorBidi"/>
      <w:noProof/>
      <w:color w:val="0F4761" w:themeColor="accent1" w:themeShade="BF"/>
      <w:sz w:val="28"/>
      <w:szCs w:val="28"/>
      <w:lang w:val="ro-RO"/>
    </w:rPr>
  </w:style>
  <w:style w:type="character" w:customStyle="1" w:styleId="Titlu4Caracter">
    <w:name w:val="Titlu 4 Caracter"/>
    <w:basedOn w:val="Fontdeparagrafimplicit"/>
    <w:link w:val="Titlu4"/>
    <w:uiPriority w:val="9"/>
    <w:semiHidden/>
    <w:rsid w:val="003475C1"/>
    <w:rPr>
      <w:rFonts w:eastAsiaTheme="majorEastAsia" w:cstheme="majorBidi"/>
      <w:i/>
      <w:iCs/>
      <w:noProof/>
      <w:color w:val="0F4761" w:themeColor="accent1" w:themeShade="BF"/>
      <w:lang w:val="ro-RO"/>
    </w:rPr>
  </w:style>
  <w:style w:type="character" w:customStyle="1" w:styleId="Titlu5Caracter">
    <w:name w:val="Titlu 5 Caracter"/>
    <w:basedOn w:val="Fontdeparagrafimplicit"/>
    <w:link w:val="Titlu5"/>
    <w:uiPriority w:val="9"/>
    <w:semiHidden/>
    <w:rsid w:val="003475C1"/>
    <w:rPr>
      <w:rFonts w:eastAsiaTheme="majorEastAsia" w:cstheme="majorBidi"/>
      <w:noProof/>
      <w:color w:val="0F4761" w:themeColor="accent1" w:themeShade="BF"/>
      <w:lang w:val="ro-RO"/>
    </w:rPr>
  </w:style>
  <w:style w:type="character" w:customStyle="1" w:styleId="Titlu6Caracter">
    <w:name w:val="Titlu 6 Caracter"/>
    <w:basedOn w:val="Fontdeparagrafimplicit"/>
    <w:link w:val="Titlu6"/>
    <w:uiPriority w:val="9"/>
    <w:semiHidden/>
    <w:rsid w:val="003475C1"/>
    <w:rPr>
      <w:rFonts w:eastAsiaTheme="majorEastAsia" w:cstheme="majorBidi"/>
      <w:i/>
      <w:iCs/>
      <w:noProof/>
      <w:color w:val="595959" w:themeColor="text1" w:themeTint="A6"/>
      <w:lang w:val="ro-RO"/>
    </w:rPr>
  </w:style>
  <w:style w:type="character" w:customStyle="1" w:styleId="Titlu7Caracter">
    <w:name w:val="Titlu 7 Caracter"/>
    <w:basedOn w:val="Fontdeparagrafimplicit"/>
    <w:link w:val="Titlu7"/>
    <w:uiPriority w:val="9"/>
    <w:semiHidden/>
    <w:rsid w:val="003475C1"/>
    <w:rPr>
      <w:rFonts w:eastAsiaTheme="majorEastAsia" w:cstheme="majorBidi"/>
      <w:noProof/>
      <w:color w:val="595959" w:themeColor="text1" w:themeTint="A6"/>
      <w:lang w:val="ro-RO"/>
    </w:rPr>
  </w:style>
  <w:style w:type="character" w:customStyle="1" w:styleId="Titlu8Caracter">
    <w:name w:val="Titlu 8 Caracter"/>
    <w:basedOn w:val="Fontdeparagrafimplicit"/>
    <w:link w:val="Titlu8"/>
    <w:uiPriority w:val="9"/>
    <w:semiHidden/>
    <w:rsid w:val="003475C1"/>
    <w:rPr>
      <w:rFonts w:eastAsiaTheme="majorEastAsia" w:cstheme="majorBidi"/>
      <w:i/>
      <w:iCs/>
      <w:noProof/>
      <w:color w:val="272727" w:themeColor="text1" w:themeTint="D8"/>
      <w:lang w:val="ro-RO"/>
    </w:rPr>
  </w:style>
  <w:style w:type="character" w:customStyle="1" w:styleId="Titlu9Caracter">
    <w:name w:val="Titlu 9 Caracter"/>
    <w:basedOn w:val="Fontdeparagrafimplicit"/>
    <w:link w:val="Titlu9"/>
    <w:uiPriority w:val="9"/>
    <w:semiHidden/>
    <w:rsid w:val="003475C1"/>
    <w:rPr>
      <w:rFonts w:eastAsiaTheme="majorEastAsia" w:cstheme="majorBidi"/>
      <w:noProof/>
      <w:color w:val="272727" w:themeColor="text1" w:themeTint="D8"/>
      <w:lang w:val="ro-RO"/>
    </w:rPr>
  </w:style>
  <w:style w:type="paragraph" w:styleId="Titlu">
    <w:name w:val="Title"/>
    <w:basedOn w:val="Normal"/>
    <w:next w:val="Normal"/>
    <w:link w:val="TitluCaracter"/>
    <w:uiPriority w:val="10"/>
    <w:qFormat/>
    <w:rsid w:val="00347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475C1"/>
    <w:rPr>
      <w:rFonts w:asciiTheme="majorHAnsi" w:eastAsiaTheme="majorEastAsia" w:hAnsiTheme="majorHAnsi" w:cstheme="majorBidi"/>
      <w:noProof/>
      <w:spacing w:val="-10"/>
      <w:kern w:val="28"/>
      <w:sz w:val="56"/>
      <w:szCs w:val="56"/>
      <w:lang w:val="ro-RO"/>
    </w:rPr>
  </w:style>
  <w:style w:type="paragraph" w:styleId="Subtitlu">
    <w:name w:val="Subtitle"/>
    <w:basedOn w:val="Normal"/>
    <w:next w:val="Normal"/>
    <w:link w:val="SubtitluCaracter"/>
    <w:uiPriority w:val="11"/>
    <w:qFormat/>
    <w:rsid w:val="003475C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475C1"/>
    <w:rPr>
      <w:rFonts w:eastAsiaTheme="majorEastAsia" w:cstheme="majorBidi"/>
      <w:noProof/>
      <w:color w:val="595959" w:themeColor="text1" w:themeTint="A6"/>
      <w:spacing w:val="15"/>
      <w:sz w:val="28"/>
      <w:szCs w:val="28"/>
      <w:lang w:val="ro-RO"/>
    </w:rPr>
  </w:style>
  <w:style w:type="paragraph" w:styleId="Citat">
    <w:name w:val="Quote"/>
    <w:basedOn w:val="Normal"/>
    <w:next w:val="Normal"/>
    <w:link w:val="CitatCaracter"/>
    <w:uiPriority w:val="29"/>
    <w:qFormat/>
    <w:rsid w:val="003475C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475C1"/>
    <w:rPr>
      <w:i/>
      <w:iCs/>
      <w:noProof/>
      <w:color w:val="404040" w:themeColor="text1" w:themeTint="BF"/>
      <w:lang w:val="ro-RO"/>
    </w:rPr>
  </w:style>
  <w:style w:type="paragraph" w:styleId="Listparagraf">
    <w:name w:val="List Paragraph"/>
    <w:basedOn w:val="Normal"/>
    <w:uiPriority w:val="34"/>
    <w:qFormat/>
    <w:rsid w:val="003475C1"/>
    <w:pPr>
      <w:ind w:left="720"/>
      <w:contextualSpacing/>
    </w:pPr>
  </w:style>
  <w:style w:type="character" w:styleId="Accentuareintens">
    <w:name w:val="Intense Emphasis"/>
    <w:basedOn w:val="Fontdeparagrafimplicit"/>
    <w:uiPriority w:val="21"/>
    <w:qFormat/>
    <w:rsid w:val="003475C1"/>
    <w:rPr>
      <w:i/>
      <w:iCs/>
      <w:color w:val="0F4761" w:themeColor="accent1" w:themeShade="BF"/>
    </w:rPr>
  </w:style>
  <w:style w:type="paragraph" w:styleId="Citatintens">
    <w:name w:val="Intense Quote"/>
    <w:basedOn w:val="Normal"/>
    <w:next w:val="Normal"/>
    <w:link w:val="CitatintensCaracter"/>
    <w:uiPriority w:val="30"/>
    <w:qFormat/>
    <w:rsid w:val="00347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3475C1"/>
    <w:rPr>
      <w:i/>
      <w:iCs/>
      <w:noProof/>
      <w:color w:val="0F4761" w:themeColor="accent1" w:themeShade="BF"/>
      <w:lang w:val="ro-RO"/>
    </w:rPr>
  </w:style>
  <w:style w:type="character" w:styleId="Referireintens">
    <w:name w:val="Intense Reference"/>
    <w:basedOn w:val="Fontdeparagrafimplicit"/>
    <w:uiPriority w:val="32"/>
    <w:qFormat/>
    <w:rsid w:val="003475C1"/>
    <w:rPr>
      <w:b/>
      <w:bCs/>
      <w:smallCaps/>
      <w:color w:val="0F4761" w:themeColor="accent1" w:themeShade="BF"/>
      <w:spacing w:val="5"/>
    </w:rPr>
  </w:style>
  <w:style w:type="paragraph" w:styleId="Textnotdesubsol">
    <w:name w:val="footnote text"/>
    <w:basedOn w:val="Normal"/>
    <w:link w:val="TextnotdesubsolCaracter"/>
    <w:uiPriority w:val="99"/>
    <w:unhideWhenUsed/>
    <w:rsid w:val="00AB45F6"/>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AB45F6"/>
    <w:rPr>
      <w:kern w:val="0"/>
      <w:sz w:val="20"/>
      <w:szCs w:val="20"/>
      <w:lang w:val="ro-RO"/>
    </w:rPr>
  </w:style>
  <w:style w:type="character" w:styleId="Referinnotdesubsol">
    <w:name w:val="footnote reference"/>
    <w:basedOn w:val="Fontdeparagrafimplicit"/>
    <w:uiPriority w:val="99"/>
    <w:semiHidden/>
    <w:unhideWhenUsed/>
    <w:rsid w:val="00AB45F6"/>
    <w:rPr>
      <w:vertAlign w:val="superscript"/>
    </w:rPr>
  </w:style>
  <w:style w:type="character" w:styleId="Hyperlink">
    <w:name w:val="Hyperlink"/>
    <w:basedOn w:val="Fontdeparagrafimplicit"/>
    <w:uiPriority w:val="99"/>
    <w:unhideWhenUsed/>
    <w:rsid w:val="00AB45F6"/>
    <w:rPr>
      <w:color w:val="0000FF"/>
      <w:u w:val="single"/>
    </w:rPr>
  </w:style>
  <w:style w:type="table" w:styleId="Tabelgril">
    <w:name w:val="Table Grid"/>
    <w:basedOn w:val="TabelNormal"/>
    <w:uiPriority w:val="39"/>
    <w:rsid w:val="00326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primar3">
    <w:name w:val="Plain Table 3"/>
    <w:basedOn w:val="TabelNormal"/>
    <w:uiPriority w:val="43"/>
    <w:rsid w:val="006460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eniuneNerezolvat">
    <w:name w:val="Unresolved Mention"/>
    <w:basedOn w:val="Fontdeparagrafimplicit"/>
    <w:uiPriority w:val="99"/>
    <w:semiHidden/>
    <w:unhideWhenUsed/>
    <w:rsid w:val="006460DE"/>
    <w:rPr>
      <w:color w:val="605E5C"/>
      <w:shd w:val="clear" w:color="auto" w:fill="E1DFDD"/>
    </w:rPr>
  </w:style>
  <w:style w:type="paragraph" w:styleId="Textnotdefinal">
    <w:name w:val="endnote text"/>
    <w:basedOn w:val="Normal"/>
    <w:link w:val="TextnotdefinalCaracter"/>
    <w:uiPriority w:val="99"/>
    <w:semiHidden/>
    <w:unhideWhenUsed/>
    <w:rsid w:val="00EF40E9"/>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EF40E9"/>
    <w:rPr>
      <w:kern w:val="0"/>
      <w:sz w:val="20"/>
      <w:szCs w:val="20"/>
      <w:lang w:val="ro-RO"/>
    </w:rPr>
  </w:style>
  <w:style w:type="character" w:styleId="Referinnotdefinal">
    <w:name w:val="endnote reference"/>
    <w:basedOn w:val="Fontdeparagrafimplicit"/>
    <w:uiPriority w:val="99"/>
    <w:semiHidden/>
    <w:unhideWhenUsed/>
    <w:rsid w:val="00EF4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824043">
      <w:bodyDiv w:val="1"/>
      <w:marLeft w:val="0"/>
      <w:marRight w:val="0"/>
      <w:marTop w:val="0"/>
      <w:marBottom w:val="0"/>
      <w:divBdr>
        <w:top w:val="none" w:sz="0" w:space="0" w:color="auto"/>
        <w:left w:val="none" w:sz="0" w:space="0" w:color="auto"/>
        <w:bottom w:val="none" w:sz="0" w:space="0" w:color="auto"/>
        <w:right w:val="none" w:sz="0" w:space="0" w:color="auto"/>
      </w:divBdr>
      <w:divsChild>
        <w:div w:id="238907709">
          <w:marLeft w:val="547"/>
          <w:marRight w:val="0"/>
          <w:marTop w:val="0"/>
          <w:marBottom w:val="0"/>
          <w:divBdr>
            <w:top w:val="none" w:sz="0" w:space="0" w:color="auto"/>
            <w:left w:val="none" w:sz="0" w:space="0" w:color="auto"/>
            <w:bottom w:val="none" w:sz="0" w:space="0" w:color="auto"/>
            <w:right w:val="none" w:sz="0" w:space="0" w:color="auto"/>
          </w:divBdr>
        </w:div>
        <w:div w:id="1470127193">
          <w:marLeft w:val="547"/>
          <w:marRight w:val="0"/>
          <w:marTop w:val="0"/>
          <w:marBottom w:val="0"/>
          <w:divBdr>
            <w:top w:val="none" w:sz="0" w:space="0" w:color="auto"/>
            <w:left w:val="none" w:sz="0" w:space="0" w:color="auto"/>
            <w:bottom w:val="none" w:sz="0" w:space="0" w:color="auto"/>
            <w:right w:val="none" w:sz="0" w:space="0" w:color="auto"/>
          </w:divBdr>
        </w:div>
        <w:div w:id="643043256">
          <w:marLeft w:val="1166"/>
          <w:marRight w:val="0"/>
          <w:marTop w:val="0"/>
          <w:marBottom w:val="0"/>
          <w:divBdr>
            <w:top w:val="none" w:sz="0" w:space="0" w:color="auto"/>
            <w:left w:val="none" w:sz="0" w:space="0" w:color="auto"/>
            <w:bottom w:val="none" w:sz="0" w:space="0" w:color="auto"/>
            <w:right w:val="none" w:sz="0" w:space="0" w:color="auto"/>
          </w:divBdr>
        </w:div>
        <w:div w:id="2019306655">
          <w:marLeft w:val="1166"/>
          <w:marRight w:val="0"/>
          <w:marTop w:val="0"/>
          <w:marBottom w:val="0"/>
          <w:divBdr>
            <w:top w:val="none" w:sz="0" w:space="0" w:color="auto"/>
            <w:left w:val="none" w:sz="0" w:space="0" w:color="auto"/>
            <w:bottom w:val="none" w:sz="0" w:space="0" w:color="auto"/>
            <w:right w:val="none" w:sz="0" w:space="0" w:color="auto"/>
          </w:divBdr>
        </w:div>
        <w:div w:id="1919099561">
          <w:marLeft w:val="1166"/>
          <w:marRight w:val="0"/>
          <w:marTop w:val="0"/>
          <w:marBottom w:val="0"/>
          <w:divBdr>
            <w:top w:val="none" w:sz="0" w:space="0" w:color="auto"/>
            <w:left w:val="none" w:sz="0" w:space="0" w:color="auto"/>
            <w:bottom w:val="none" w:sz="0" w:space="0" w:color="auto"/>
            <w:right w:val="none" w:sz="0" w:space="0" w:color="auto"/>
          </w:divBdr>
        </w:div>
        <w:div w:id="1116407308">
          <w:marLeft w:val="1166"/>
          <w:marRight w:val="0"/>
          <w:marTop w:val="0"/>
          <w:marBottom w:val="0"/>
          <w:divBdr>
            <w:top w:val="none" w:sz="0" w:space="0" w:color="auto"/>
            <w:left w:val="none" w:sz="0" w:space="0" w:color="auto"/>
            <w:bottom w:val="none" w:sz="0" w:space="0" w:color="auto"/>
            <w:right w:val="none" w:sz="0" w:space="0" w:color="auto"/>
          </w:divBdr>
        </w:div>
        <w:div w:id="640891217">
          <w:marLeft w:val="1166"/>
          <w:marRight w:val="0"/>
          <w:marTop w:val="0"/>
          <w:marBottom w:val="0"/>
          <w:divBdr>
            <w:top w:val="none" w:sz="0" w:space="0" w:color="auto"/>
            <w:left w:val="none" w:sz="0" w:space="0" w:color="auto"/>
            <w:bottom w:val="none" w:sz="0" w:space="0" w:color="auto"/>
            <w:right w:val="none" w:sz="0" w:space="0" w:color="auto"/>
          </w:divBdr>
        </w:div>
        <w:div w:id="173765861">
          <w:marLeft w:val="1166"/>
          <w:marRight w:val="0"/>
          <w:marTop w:val="0"/>
          <w:marBottom w:val="0"/>
          <w:divBdr>
            <w:top w:val="none" w:sz="0" w:space="0" w:color="auto"/>
            <w:left w:val="none" w:sz="0" w:space="0" w:color="auto"/>
            <w:bottom w:val="none" w:sz="0" w:space="0" w:color="auto"/>
            <w:right w:val="none" w:sz="0" w:space="0" w:color="auto"/>
          </w:divBdr>
        </w:div>
      </w:divsChild>
    </w:div>
    <w:div w:id="448402516">
      <w:bodyDiv w:val="1"/>
      <w:marLeft w:val="0"/>
      <w:marRight w:val="0"/>
      <w:marTop w:val="0"/>
      <w:marBottom w:val="0"/>
      <w:divBdr>
        <w:top w:val="none" w:sz="0" w:space="0" w:color="auto"/>
        <w:left w:val="none" w:sz="0" w:space="0" w:color="auto"/>
        <w:bottom w:val="none" w:sz="0" w:space="0" w:color="auto"/>
        <w:right w:val="none" w:sz="0" w:space="0" w:color="auto"/>
      </w:divBdr>
    </w:div>
    <w:div w:id="597103792">
      <w:bodyDiv w:val="1"/>
      <w:marLeft w:val="0"/>
      <w:marRight w:val="0"/>
      <w:marTop w:val="0"/>
      <w:marBottom w:val="0"/>
      <w:divBdr>
        <w:top w:val="none" w:sz="0" w:space="0" w:color="auto"/>
        <w:left w:val="none" w:sz="0" w:space="0" w:color="auto"/>
        <w:bottom w:val="none" w:sz="0" w:space="0" w:color="auto"/>
        <w:right w:val="none" w:sz="0" w:space="0" w:color="auto"/>
      </w:divBdr>
    </w:div>
    <w:div w:id="1103837076">
      <w:bodyDiv w:val="1"/>
      <w:marLeft w:val="0"/>
      <w:marRight w:val="0"/>
      <w:marTop w:val="0"/>
      <w:marBottom w:val="0"/>
      <w:divBdr>
        <w:top w:val="none" w:sz="0" w:space="0" w:color="auto"/>
        <w:left w:val="none" w:sz="0" w:space="0" w:color="auto"/>
        <w:bottom w:val="none" w:sz="0" w:space="0" w:color="auto"/>
        <w:right w:val="none" w:sz="0" w:space="0" w:color="auto"/>
      </w:divBdr>
    </w:div>
    <w:div w:id="1154030243">
      <w:bodyDiv w:val="1"/>
      <w:marLeft w:val="0"/>
      <w:marRight w:val="0"/>
      <w:marTop w:val="0"/>
      <w:marBottom w:val="0"/>
      <w:divBdr>
        <w:top w:val="none" w:sz="0" w:space="0" w:color="auto"/>
        <w:left w:val="none" w:sz="0" w:space="0" w:color="auto"/>
        <w:bottom w:val="none" w:sz="0" w:space="0" w:color="auto"/>
        <w:right w:val="none" w:sz="0" w:space="0" w:color="auto"/>
      </w:divBdr>
    </w:div>
    <w:div w:id="1408502299">
      <w:bodyDiv w:val="1"/>
      <w:marLeft w:val="0"/>
      <w:marRight w:val="0"/>
      <w:marTop w:val="0"/>
      <w:marBottom w:val="0"/>
      <w:divBdr>
        <w:top w:val="none" w:sz="0" w:space="0" w:color="auto"/>
        <w:left w:val="none" w:sz="0" w:space="0" w:color="auto"/>
        <w:bottom w:val="none" w:sz="0" w:space="0" w:color="auto"/>
        <w:right w:val="none" w:sz="0" w:space="0" w:color="auto"/>
      </w:divBdr>
    </w:div>
    <w:div w:id="1517033942">
      <w:bodyDiv w:val="1"/>
      <w:marLeft w:val="0"/>
      <w:marRight w:val="0"/>
      <w:marTop w:val="0"/>
      <w:marBottom w:val="0"/>
      <w:divBdr>
        <w:top w:val="none" w:sz="0" w:space="0" w:color="auto"/>
        <w:left w:val="none" w:sz="0" w:space="0" w:color="auto"/>
        <w:bottom w:val="none" w:sz="0" w:space="0" w:color="auto"/>
        <w:right w:val="none" w:sz="0" w:space="0" w:color="auto"/>
      </w:divBdr>
      <w:divsChild>
        <w:div w:id="863985657">
          <w:marLeft w:val="547"/>
          <w:marRight w:val="0"/>
          <w:marTop w:val="0"/>
          <w:marBottom w:val="0"/>
          <w:divBdr>
            <w:top w:val="none" w:sz="0" w:space="0" w:color="auto"/>
            <w:left w:val="none" w:sz="0" w:space="0" w:color="auto"/>
            <w:bottom w:val="none" w:sz="0" w:space="0" w:color="auto"/>
            <w:right w:val="none" w:sz="0" w:space="0" w:color="auto"/>
          </w:divBdr>
        </w:div>
        <w:div w:id="347368214">
          <w:marLeft w:val="547"/>
          <w:marRight w:val="0"/>
          <w:marTop w:val="0"/>
          <w:marBottom w:val="0"/>
          <w:divBdr>
            <w:top w:val="none" w:sz="0" w:space="0" w:color="auto"/>
            <w:left w:val="none" w:sz="0" w:space="0" w:color="auto"/>
            <w:bottom w:val="none" w:sz="0" w:space="0" w:color="auto"/>
            <w:right w:val="none" w:sz="0" w:space="0" w:color="auto"/>
          </w:divBdr>
        </w:div>
      </w:divsChild>
    </w:div>
    <w:div w:id="175304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itca.alina@us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urost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c.europa.eu/eurostat"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AB993-70F5-4D2A-9020-806A7E21A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2240</TotalTime>
  <Pages>10</Pages>
  <Words>4625</Words>
  <Characters>26829</Characters>
  <Application>Microsoft Office Word</Application>
  <DocSecurity>0</DocSecurity>
  <Lines>223</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Șomitcă</dc:creator>
  <cp:keywords/>
  <dc:description/>
  <cp:lastModifiedBy>Alina Șomitcă</cp:lastModifiedBy>
  <cp:revision>10</cp:revision>
  <dcterms:created xsi:type="dcterms:W3CDTF">2024-06-29T13:22:00Z</dcterms:created>
  <dcterms:modified xsi:type="dcterms:W3CDTF">2024-07-01T06:37:00Z</dcterms:modified>
</cp:coreProperties>
</file>