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AE26" w14:textId="77777777" w:rsidR="0064307E" w:rsidRPr="006E1643" w:rsidRDefault="00A80337" w:rsidP="0064307E">
      <w:pPr>
        <w:ind w:firstLine="0"/>
        <w:jc w:val="center"/>
        <w:rPr>
          <w:b/>
          <w:sz w:val="28"/>
          <w:szCs w:val="28"/>
          <w:lang w:val="en-US"/>
        </w:rPr>
      </w:pPr>
      <w:r>
        <w:rPr>
          <w:b/>
          <w:sz w:val="28"/>
          <w:szCs w:val="28"/>
          <w:lang w:val="en-US"/>
        </w:rPr>
        <w:t>A</w:t>
      </w:r>
      <w:r w:rsidRPr="00A80337">
        <w:rPr>
          <w:b/>
          <w:sz w:val="28"/>
          <w:szCs w:val="28"/>
          <w:lang w:val="en-US"/>
        </w:rPr>
        <w:t>ccounting and taxation - relationship of connection or disconnection</w:t>
      </w:r>
      <w:r w:rsidR="006E1643" w:rsidRPr="006E1643">
        <w:rPr>
          <w:b/>
          <w:sz w:val="28"/>
          <w:szCs w:val="28"/>
          <w:lang w:val="en-US"/>
        </w:rPr>
        <w:t>. A Romanian Case Study</w:t>
      </w:r>
    </w:p>
    <w:p w14:paraId="2592A5EC" w14:textId="77777777" w:rsidR="0064307E" w:rsidRPr="006E1643" w:rsidRDefault="0064307E" w:rsidP="000868EC">
      <w:pPr>
        <w:ind w:firstLine="567"/>
        <w:rPr>
          <w:lang w:val="en-US"/>
        </w:rPr>
      </w:pPr>
    </w:p>
    <w:p w14:paraId="05F41878" w14:textId="77777777" w:rsidR="00156A61" w:rsidRPr="006E1643" w:rsidRDefault="00156A61" w:rsidP="0064307E">
      <w:pPr>
        <w:ind w:firstLine="0"/>
        <w:rPr>
          <w:b/>
          <w:lang w:val="en-US"/>
        </w:rPr>
      </w:pPr>
    </w:p>
    <w:p w14:paraId="005B5CE2" w14:textId="75690E21" w:rsidR="0064307E" w:rsidRPr="006E1643" w:rsidRDefault="00061132" w:rsidP="00604640">
      <w:pPr>
        <w:pStyle w:val="Title"/>
        <w:ind w:firstLine="708"/>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Rezumat</w:t>
      </w:r>
      <w:proofErr w:type="spellEnd"/>
    </w:p>
    <w:p w14:paraId="4C0700CC" w14:textId="77777777" w:rsidR="0064307E" w:rsidRPr="006E1643" w:rsidRDefault="0064307E" w:rsidP="0064307E">
      <w:pPr>
        <w:ind w:firstLine="0"/>
        <w:rPr>
          <w:lang w:val="en-US"/>
        </w:rPr>
      </w:pPr>
    </w:p>
    <w:p w14:paraId="43B682E1" w14:textId="77777777" w:rsidR="00F1742F" w:rsidRDefault="003D5D5D" w:rsidP="00604640">
      <w:pPr>
        <w:ind w:firstLine="708"/>
        <w:rPr>
          <w:bCs/>
          <w:i/>
          <w:sz w:val="20"/>
          <w:szCs w:val="20"/>
          <w:lang w:val="en-US"/>
        </w:rPr>
      </w:pPr>
      <w:proofErr w:type="spellStart"/>
      <w:r w:rsidRPr="003D5D5D">
        <w:rPr>
          <w:bCs/>
          <w:i/>
          <w:sz w:val="20"/>
          <w:szCs w:val="20"/>
          <w:lang w:val="en-US"/>
        </w:rPr>
        <w:t>Relația</w:t>
      </w:r>
      <w:proofErr w:type="spellEnd"/>
      <w:r w:rsidRPr="003D5D5D">
        <w:rPr>
          <w:bCs/>
          <w:i/>
          <w:sz w:val="20"/>
          <w:szCs w:val="20"/>
          <w:lang w:val="en-US"/>
        </w:rPr>
        <w:t xml:space="preserve"> </w:t>
      </w:r>
      <w:proofErr w:type="spellStart"/>
      <w:r w:rsidRPr="003D5D5D">
        <w:rPr>
          <w:bCs/>
          <w:i/>
          <w:sz w:val="20"/>
          <w:szCs w:val="20"/>
          <w:lang w:val="en-US"/>
        </w:rPr>
        <w:t>dintre</w:t>
      </w:r>
      <w:proofErr w:type="spellEnd"/>
      <w:r w:rsidRPr="003D5D5D">
        <w:rPr>
          <w:bCs/>
          <w:i/>
          <w:sz w:val="20"/>
          <w:szCs w:val="20"/>
          <w:lang w:val="en-US"/>
        </w:rPr>
        <w:t xml:space="preserve"> </w:t>
      </w:r>
      <w:proofErr w:type="spellStart"/>
      <w:r w:rsidRPr="003D5D5D">
        <w:rPr>
          <w:bCs/>
          <w:i/>
          <w:sz w:val="20"/>
          <w:szCs w:val="20"/>
          <w:lang w:val="en-US"/>
        </w:rPr>
        <w:t>contabilitate</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fiscalitate</w:t>
      </w:r>
      <w:proofErr w:type="spellEnd"/>
      <w:r w:rsidRPr="003D5D5D">
        <w:rPr>
          <w:bCs/>
          <w:i/>
          <w:sz w:val="20"/>
          <w:szCs w:val="20"/>
          <w:lang w:val="en-US"/>
        </w:rPr>
        <w:t xml:space="preserve"> </w:t>
      </w:r>
      <w:proofErr w:type="spellStart"/>
      <w:r w:rsidRPr="003D5D5D">
        <w:rPr>
          <w:bCs/>
          <w:i/>
          <w:sz w:val="20"/>
          <w:szCs w:val="20"/>
          <w:lang w:val="en-US"/>
        </w:rPr>
        <w:t>este</w:t>
      </w:r>
      <w:proofErr w:type="spellEnd"/>
      <w:r w:rsidRPr="003D5D5D">
        <w:rPr>
          <w:bCs/>
          <w:i/>
          <w:sz w:val="20"/>
          <w:szCs w:val="20"/>
          <w:lang w:val="en-US"/>
        </w:rPr>
        <w:t xml:space="preserve"> </w:t>
      </w:r>
      <w:proofErr w:type="spellStart"/>
      <w:r w:rsidRPr="003D5D5D">
        <w:rPr>
          <w:bCs/>
          <w:i/>
          <w:sz w:val="20"/>
          <w:szCs w:val="20"/>
          <w:lang w:val="en-US"/>
        </w:rPr>
        <w:t>destul</w:t>
      </w:r>
      <w:proofErr w:type="spellEnd"/>
      <w:r w:rsidRPr="003D5D5D">
        <w:rPr>
          <w:bCs/>
          <w:i/>
          <w:sz w:val="20"/>
          <w:szCs w:val="20"/>
          <w:lang w:val="en-US"/>
        </w:rPr>
        <w:t xml:space="preserve"> de </w:t>
      </w:r>
      <w:proofErr w:type="spellStart"/>
      <w:r w:rsidRPr="003D5D5D">
        <w:rPr>
          <w:bCs/>
          <w:i/>
          <w:sz w:val="20"/>
          <w:szCs w:val="20"/>
          <w:lang w:val="en-US"/>
        </w:rPr>
        <w:t>controversată</w:t>
      </w:r>
      <w:proofErr w:type="spellEnd"/>
      <w:r w:rsidRPr="003D5D5D">
        <w:rPr>
          <w:bCs/>
          <w:i/>
          <w:sz w:val="20"/>
          <w:szCs w:val="20"/>
          <w:lang w:val="en-US"/>
        </w:rPr>
        <w:t xml:space="preserve"> </w:t>
      </w:r>
      <w:proofErr w:type="spellStart"/>
      <w:r w:rsidRPr="003D5D5D">
        <w:rPr>
          <w:bCs/>
          <w:i/>
          <w:sz w:val="20"/>
          <w:szCs w:val="20"/>
          <w:lang w:val="en-US"/>
        </w:rPr>
        <w:t>în</w:t>
      </w:r>
      <w:proofErr w:type="spellEnd"/>
      <w:r w:rsidRPr="003D5D5D">
        <w:rPr>
          <w:bCs/>
          <w:i/>
          <w:sz w:val="20"/>
          <w:szCs w:val="20"/>
          <w:lang w:val="en-US"/>
        </w:rPr>
        <w:t xml:space="preserve"> </w:t>
      </w:r>
      <w:proofErr w:type="spellStart"/>
      <w:r w:rsidRPr="003D5D5D">
        <w:rPr>
          <w:bCs/>
          <w:i/>
          <w:sz w:val="20"/>
          <w:szCs w:val="20"/>
          <w:lang w:val="en-US"/>
        </w:rPr>
        <w:t>contextul</w:t>
      </w:r>
      <w:proofErr w:type="spellEnd"/>
      <w:r w:rsidRPr="003D5D5D">
        <w:rPr>
          <w:bCs/>
          <w:i/>
          <w:sz w:val="20"/>
          <w:szCs w:val="20"/>
          <w:lang w:val="en-US"/>
        </w:rPr>
        <w:t xml:space="preserve"> global </w:t>
      </w:r>
      <w:proofErr w:type="spellStart"/>
      <w:r w:rsidRPr="003D5D5D">
        <w:rPr>
          <w:bCs/>
          <w:i/>
          <w:sz w:val="20"/>
          <w:szCs w:val="20"/>
          <w:lang w:val="en-US"/>
        </w:rPr>
        <w:t>contemporan</w:t>
      </w:r>
      <w:proofErr w:type="spellEnd"/>
      <w:r w:rsidRPr="003D5D5D">
        <w:rPr>
          <w:bCs/>
          <w:i/>
          <w:sz w:val="20"/>
          <w:szCs w:val="20"/>
          <w:lang w:val="en-US"/>
        </w:rPr>
        <w:t xml:space="preserve">, din </w:t>
      </w:r>
      <w:proofErr w:type="spellStart"/>
      <w:r w:rsidRPr="003D5D5D">
        <w:rPr>
          <w:bCs/>
          <w:i/>
          <w:sz w:val="20"/>
          <w:szCs w:val="20"/>
          <w:lang w:val="en-US"/>
        </w:rPr>
        <w:t>cauza</w:t>
      </w:r>
      <w:proofErr w:type="spellEnd"/>
      <w:r w:rsidRPr="003D5D5D">
        <w:rPr>
          <w:bCs/>
          <w:i/>
          <w:sz w:val="20"/>
          <w:szCs w:val="20"/>
          <w:lang w:val="en-US"/>
        </w:rPr>
        <w:t xml:space="preserve"> </w:t>
      </w:r>
      <w:proofErr w:type="spellStart"/>
      <w:r w:rsidRPr="003D5D5D">
        <w:rPr>
          <w:bCs/>
          <w:i/>
          <w:sz w:val="20"/>
          <w:szCs w:val="20"/>
          <w:lang w:val="en-US"/>
        </w:rPr>
        <w:t>faptului</w:t>
      </w:r>
      <w:proofErr w:type="spellEnd"/>
      <w:r w:rsidRPr="003D5D5D">
        <w:rPr>
          <w:bCs/>
          <w:i/>
          <w:sz w:val="20"/>
          <w:szCs w:val="20"/>
          <w:lang w:val="en-US"/>
        </w:rPr>
        <w:t xml:space="preserve"> că nu </w:t>
      </w:r>
      <w:proofErr w:type="spellStart"/>
      <w:r w:rsidRPr="003D5D5D">
        <w:rPr>
          <w:bCs/>
          <w:i/>
          <w:sz w:val="20"/>
          <w:szCs w:val="20"/>
          <w:lang w:val="en-US"/>
        </w:rPr>
        <w:t>există</w:t>
      </w:r>
      <w:proofErr w:type="spellEnd"/>
      <w:r w:rsidRPr="003D5D5D">
        <w:rPr>
          <w:bCs/>
          <w:i/>
          <w:sz w:val="20"/>
          <w:szCs w:val="20"/>
          <w:lang w:val="en-US"/>
        </w:rPr>
        <w:t xml:space="preserve"> </w:t>
      </w:r>
      <w:proofErr w:type="spellStart"/>
      <w:r w:rsidRPr="003D5D5D">
        <w:rPr>
          <w:bCs/>
          <w:i/>
          <w:sz w:val="20"/>
          <w:szCs w:val="20"/>
          <w:lang w:val="en-US"/>
        </w:rPr>
        <w:t>convergență</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armonizare</w:t>
      </w:r>
      <w:proofErr w:type="spellEnd"/>
      <w:r w:rsidRPr="003D5D5D">
        <w:rPr>
          <w:bCs/>
          <w:i/>
          <w:sz w:val="20"/>
          <w:szCs w:val="20"/>
          <w:lang w:val="en-US"/>
        </w:rPr>
        <w:t xml:space="preserve">, </w:t>
      </w:r>
      <w:proofErr w:type="spellStart"/>
      <w:r w:rsidRPr="003D5D5D">
        <w:rPr>
          <w:bCs/>
          <w:i/>
          <w:sz w:val="20"/>
          <w:szCs w:val="20"/>
          <w:lang w:val="en-US"/>
        </w:rPr>
        <w:t>în</w:t>
      </w:r>
      <w:proofErr w:type="spellEnd"/>
      <w:r w:rsidRPr="003D5D5D">
        <w:rPr>
          <w:bCs/>
          <w:i/>
          <w:sz w:val="20"/>
          <w:szCs w:val="20"/>
          <w:lang w:val="en-US"/>
        </w:rPr>
        <w:t xml:space="preserve"> special </w:t>
      </w:r>
      <w:proofErr w:type="spellStart"/>
      <w:r w:rsidRPr="003D5D5D">
        <w:rPr>
          <w:bCs/>
          <w:i/>
          <w:sz w:val="20"/>
          <w:szCs w:val="20"/>
          <w:lang w:val="en-US"/>
        </w:rPr>
        <w:t>în</w:t>
      </w:r>
      <w:proofErr w:type="spellEnd"/>
      <w:r w:rsidRPr="003D5D5D">
        <w:rPr>
          <w:bCs/>
          <w:i/>
          <w:sz w:val="20"/>
          <w:szCs w:val="20"/>
          <w:lang w:val="en-US"/>
        </w:rPr>
        <w:t xml:space="preserve"> </w:t>
      </w:r>
      <w:proofErr w:type="spellStart"/>
      <w:r w:rsidRPr="003D5D5D">
        <w:rPr>
          <w:bCs/>
          <w:i/>
          <w:sz w:val="20"/>
          <w:szCs w:val="20"/>
          <w:lang w:val="en-US"/>
        </w:rPr>
        <w:t>ceea</w:t>
      </w:r>
      <w:proofErr w:type="spellEnd"/>
      <w:r w:rsidRPr="003D5D5D">
        <w:rPr>
          <w:bCs/>
          <w:i/>
          <w:sz w:val="20"/>
          <w:szCs w:val="20"/>
          <w:lang w:val="en-US"/>
        </w:rPr>
        <w:t xml:space="preserve"> </w:t>
      </w:r>
      <w:proofErr w:type="spellStart"/>
      <w:r w:rsidRPr="003D5D5D">
        <w:rPr>
          <w:bCs/>
          <w:i/>
          <w:sz w:val="20"/>
          <w:szCs w:val="20"/>
          <w:lang w:val="en-US"/>
        </w:rPr>
        <w:t>ce</w:t>
      </w:r>
      <w:proofErr w:type="spellEnd"/>
      <w:r w:rsidRPr="003D5D5D">
        <w:rPr>
          <w:bCs/>
          <w:i/>
          <w:sz w:val="20"/>
          <w:szCs w:val="20"/>
          <w:lang w:val="en-US"/>
        </w:rPr>
        <w:t xml:space="preserve"> </w:t>
      </w:r>
      <w:proofErr w:type="spellStart"/>
      <w:r w:rsidRPr="003D5D5D">
        <w:rPr>
          <w:bCs/>
          <w:i/>
          <w:sz w:val="20"/>
          <w:szCs w:val="20"/>
          <w:lang w:val="en-US"/>
        </w:rPr>
        <w:t>privește</w:t>
      </w:r>
      <w:proofErr w:type="spellEnd"/>
      <w:r w:rsidRPr="003D5D5D">
        <w:rPr>
          <w:bCs/>
          <w:i/>
          <w:sz w:val="20"/>
          <w:szCs w:val="20"/>
          <w:lang w:val="en-US"/>
        </w:rPr>
        <w:t xml:space="preserve"> </w:t>
      </w:r>
      <w:proofErr w:type="spellStart"/>
      <w:r w:rsidRPr="003D5D5D">
        <w:rPr>
          <w:bCs/>
          <w:i/>
          <w:sz w:val="20"/>
          <w:szCs w:val="20"/>
          <w:lang w:val="en-US"/>
        </w:rPr>
        <w:t>normele</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reglementările</w:t>
      </w:r>
      <w:proofErr w:type="spellEnd"/>
      <w:r w:rsidRPr="003D5D5D">
        <w:rPr>
          <w:bCs/>
          <w:i/>
          <w:sz w:val="20"/>
          <w:szCs w:val="20"/>
          <w:lang w:val="en-US"/>
        </w:rPr>
        <w:t xml:space="preserve"> </w:t>
      </w:r>
      <w:proofErr w:type="spellStart"/>
      <w:r w:rsidRPr="003D5D5D">
        <w:rPr>
          <w:bCs/>
          <w:i/>
          <w:sz w:val="20"/>
          <w:szCs w:val="20"/>
          <w:lang w:val="en-US"/>
        </w:rPr>
        <w:t>fiscale</w:t>
      </w:r>
      <w:proofErr w:type="spellEnd"/>
      <w:r w:rsidRPr="003D5D5D">
        <w:rPr>
          <w:bCs/>
          <w:i/>
          <w:sz w:val="20"/>
          <w:szCs w:val="20"/>
          <w:lang w:val="en-US"/>
        </w:rPr>
        <w:t xml:space="preserve"> </w:t>
      </w:r>
      <w:proofErr w:type="spellStart"/>
      <w:r w:rsidRPr="003D5D5D">
        <w:rPr>
          <w:bCs/>
          <w:i/>
          <w:sz w:val="20"/>
          <w:szCs w:val="20"/>
          <w:lang w:val="en-US"/>
        </w:rPr>
        <w:t>naționale</w:t>
      </w:r>
      <w:proofErr w:type="spellEnd"/>
      <w:r w:rsidRPr="003D5D5D">
        <w:rPr>
          <w:bCs/>
          <w:i/>
          <w:sz w:val="20"/>
          <w:szCs w:val="20"/>
          <w:lang w:val="en-US"/>
        </w:rPr>
        <w:t xml:space="preserve">. </w:t>
      </w:r>
      <w:proofErr w:type="spellStart"/>
      <w:r w:rsidRPr="003D5D5D">
        <w:rPr>
          <w:bCs/>
          <w:i/>
          <w:sz w:val="20"/>
          <w:szCs w:val="20"/>
          <w:lang w:val="en-US"/>
        </w:rPr>
        <w:t>Scopul</w:t>
      </w:r>
      <w:proofErr w:type="spellEnd"/>
      <w:r w:rsidRPr="003D5D5D">
        <w:rPr>
          <w:bCs/>
          <w:i/>
          <w:sz w:val="20"/>
          <w:szCs w:val="20"/>
          <w:lang w:val="en-US"/>
        </w:rPr>
        <w:t xml:space="preserve"> principal al </w:t>
      </w:r>
      <w:proofErr w:type="spellStart"/>
      <w:r w:rsidRPr="003D5D5D">
        <w:rPr>
          <w:bCs/>
          <w:i/>
          <w:sz w:val="20"/>
          <w:szCs w:val="20"/>
          <w:lang w:val="en-US"/>
        </w:rPr>
        <w:t>cercetării</w:t>
      </w:r>
      <w:proofErr w:type="spellEnd"/>
      <w:r w:rsidRPr="003D5D5D">
        <w:rPr>
          <w:bCs/>
          <w:i/>
          <w:sz w:val="20"/>
          <w:szCs w:val="20"/>
          <w:lang w:val="en-US"/>
        </w:rPr>
        <w:t xml:space="preserve"> </w:t>
      </w:r>
      <w:proofErr w:type="spellStart"/>
      <w:r w:rsidRPr="003D5D5D">
        <w:rPr>
          <w:bCs/>
          <w:i/>
          <w:sz w:val="20"/>
          <w:szCs w:val="20"/>
          <w:lang w:val="en-US"/>
        </w:rPr>
        <w:t>este</w:t>
      </w:r>
      <w:proofErr w:type="spellEnd"/>
      <w:r w:rsidRPr="003D5D5D">
        <w:rPr>
          <w:bCs/>
          <w:i/>
          <w:sz w:val="20"/>
          <w:szCs w:val="20"/>
          <w:lang w:val="en-US"/>
        </w:rPr>
        <w:t xml:space="preserve"> </w:t>
      </w:r>
      <w:proofErr w:type="spellStart"/>
      <w:r w:rsidRPr="003D5D5D">
        <w:rPr>
          <w:bCs/>
          <w:i/>
          <w:sz w:val="20"/>
          <w:szCs w:val="20"/>
          <w:lang w:val="en-US"/>
        </w:rPr>
        <w:t>cuantificarea</w:t>
      </w:r>
      <w:proofErr w:type="spellEnd"/>
      <w:r w:rsidRPr="003D5D5D">
        <w:rPr>
          <w:bCs/>
          <w:i/>
          <w:sz w:val="20"/>
          <w:szCs w:val="20"/>
          <w:lang w:val="en-US"/>
        </w:rPr>
        <w:t xml:space="preserve"> </w:t>
      </w:r>
      <w:proofErr w:type="spellStart"/>
      <w:r w:rsidRPr="003D5D5D">
        <w:rPr>
          <w:bCs/>
          <w:i/>
          <w:sz w:val="20"/>
          <w:szCs w:val="20"/>
          <w:lang w:val="en-US"/>
        </w:rPr>
        <w:t>relației</w:t>
      </w:r>
      <w:proofErr w:type="spellEnd"/>
      <w:r w:rsidRPr="003D5D5D">
        <w:rPr>
          <w:bCs/>
          <w:i/>
          <w:sz w:val="20"/>
          <w:szCs w:val="20"/>
          <w:lang w:val="en-US"/>
        </w:rPr>
        <w:t xml:space="preserve"> </w:t>
      </w:r>
      <w:proofErr w:type="spellStart"/>
      <w:r w:rsidRPr="003D5D5D">
        <w:rPr>
          <w:bCs/>
          <w:i/>
          <w:sz w:val="20"/>
          <w:szCs w:val="20"/>
          <w:lang w:val="en-US"/>
        </w:rPr>
        <w:t>dintre</w:t>
      </w:r>
      <w:proofErr w:type="spellEnd"/>
      <w:r w:rsidRPr="003D5D5D">
        <w:rPr>
          <w:bCs/>
          <w:i/>
          <w:sz w:val="20"/>
          <w:szCs w:val="20"/>
          <w:lang w:val="en-US"/>
        </w:rPr>
        <w:t xml:space="preserve"> </w:t>
      </w:r>
      <w:proofErr w:type="spellStart"/>
      <w:r w:rsidRPr="003D5D5D">
        <w:rPr>
          <w:bCs/>
          <w:i/>
          <w:sz w:val="20"/>
          <w:szCs w:val="20"/>
          <w:lang w:val="en-US"/>
        </w:rPr>
        <w:t>contabilitate</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fiscalitate</w:t>
      </w:r>
      <w:proofErr w:type="spellEnd"/>
      <w:r w:rsidRPr="003D5D5D">
        <w:rPr>
          <w:bCs/>
          <w:i/>
          <w:sz w:val="20"/>
          <w:szCs w:val="20"/>
          <w:lang w:val="en-US"/>
        </w:rPr>
        <w:t xml:space="preserve"> </w:t>
      </w:r>
      <w:proofErr w:type="spellStart"/>
      <w:r w:rsidRPr="003D5D5D">
        <w:rPr>
          <w:bCs/>
          <w:i/>
          <w:sz w:val="20"/>
          <w:szCs w:val="20"/>
          <w:lang w:val="en-US"/>
        </w:rPr>
        <w:t>prin</w:t>
      </w:r>
      <w:proofErr w:type="spellEnd"/>
      <w:r w:rsidRPr="003D5D5D">
        <w:rPr>
          <w:bCs/>
          <w:i/>
          <w:sz w:val="20"/>
          <w:szCs w:val="20"/>
          <w:lang w:val="en-US"/>
        </w:rPr>
        <w:t xml:space="preserve"> </w:t>
      </w:r>
      <w:proofErr w:type="spellStart"/>
      <w:r w:rsidRPr="003D5D5D">
        <w:rPr>
          <w:bCs/>
          <w:i/>
          <w:sz w:val="20"/>
          <w:szCs w:val="20"/>
          <w:lang w:val="en-US"/>
        </w:rPr>
        <w:t>intermediul</w:t>
      </w:r>
      <w:proofErr w:type="spellEnd"/>
      <w:r w:rsidRPr="003D5D5D">
        <w:rPr>
          <w:bCs/>
          <w:i/>
          <w:sz w:val="20"/>
          <w:szCs w:val="20"/>
          <w:lang w:val="en-US"/>
        </w:rPr>
        <w:t xml:space="preserve"> </w:t>
      </w:r>
      <w:proofErr w:type="spellStart"/>
      <w:r w:rsidRPr="003D5D5D">
        <w:rPr>
          <w:bCs/>
          <w:i/>
          <w:sz w:val="20"/>
          <w:szCs w:val="20"/>
          <w:lang w:val="en-US"/>
        </w:rPr>
        <w:t>procedurilor</w:t>
      </w:r>
      <w:proofErr w:type="spellEnd"/>
      <w:r w:rsidRPr="003D5D5D">
        <w:rPr>
          <w:bCs/>
          <w:i/>
          <w:sz w:val="20"/>
          <w:szCs w:val="20"/>
          <w:lang w:val="en-US"/>
        </w:rPr>
        <w:t xml:space="preserve"> de </w:t>
      </w:r>
      <w:proofErr w:type="spellStart"/>
      <w:r w:rsidRPr="003D5D5D">
        <w:rPr>
          <w:bCs/>
          <w:i/>
          <w:sz w:val="20"/>
          <w:szCs w:val="20"/>
          <w:lang w:val="en-US"/>
        </w:rPr>
        <w:t>contabilitate</w:t>
      </w:r>
      <w:proofErr w:type="spellEnd"/>
      <w:r w:rsidRPr="003D5D5D">
        <w:rPr>
          <w:bCs/>
          <w:i/>
          <w:sz w:val="20"/>
          <w:szCs w:val="20"/>
          <w:lang w:val="en-US"/>
        </w:rPr>
        <w:t xml:space="preserve"> </w:t>
      </w:r>
      <w:proofErr w:type="spellStart"/>
      <w:r w:rsidRPr="003D5D5D">
        <w:rPr>
          <w:bCs/>
          <w:i/>
          <w:sz w:val="20"/>
          <w:szCs w:val="20"/>
          <w:lang w:val="en-US"/>
        </w:rPr>
        <w:t>analitică</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gramStart"/>
      <w:r w:rsidRPr="003D5D5D">
        <w:rPr>
          <w:bCs/>
          <w:i/>
          <w:sz w:val="20"/>
          <w:szCs w:val="20"/>
          <w:lang w:val="en-US"/>
        </w:rPr>
        <w:t>a</w:t>
      </w:r>
      <w:proofErr w:type="gramEnd"/>
      <w:r w:rsidRPr="003D5D5D">
        <w:rPr>
          <w:bCs/>
          <w:i/>
          <w:sz w:val="20"/>
          <w:szCs w:val="20"/>
          <w:lang w:val="en-US"/>
        </w:rPr>
        <w:t xml:space="preserve"> </w:t>
      </w:r>
      <w:proofErr w:type="spellStart"/>
      <w:r w:rsidRPr="003D5D5D">
        <w:rPr>
          <w:bCs/>
          <w:i/>
          <w:sz w:val="20"/>
          <w:szCs w:val="20"/>
          <w:lang w:val="en-US"/>
        </w:rPr>
        <w:t>analizei</w:t>
      </w:r>
      <w:proofErr w:type="spellEnd"/>
      <w:r w:rsidRPr="003D5D5D">
        <w:rPr>
          <w:bCs/>
          <w:i/>
          <w:sz w:val="20"/>
          <w:szCs w:val="20"/>
          <w:lang w:val="en-US"/>
        </w:rPr>
        <w:t xml:space="preserve"> de </w:t>
      </w:r>
      <w:proofErr w:type="spellStart"/>
      <w:r w:rsidRPr="003D5D5D">
        <w:rPr>
          <w:bCs/>
          <w:i/>
          <w:sz w:val="20"/>
          <w:szCs w:val="20"/>
          <w:lang w:val="en-US"/>
        </w:rPr>
        <w:t>regresie</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determinarea</w:t>
      </w:r>
      <w:proofErr w:type="spellEnd"/>
      <w:r w:rsidRPr="003D5D5D">
        <w:rPr>
          <w:bCs/>
          <w:i/>
          <w:sz w:val="20"/>
          <w:szCs w:val="20"/>
          <w:lang w:val="en-US"/>
        </w:rPr>
        <w:t xml:space="preserve"> </w:t>
      </w:r>
      <w:proofErr w:type="spellStart"/>
      <w:r w:rsidRPr="003D5D5D">
        <w:rPr>
          <w:bCs/>
          <w:i/>
          <w:sz w:val="20"/>
          <w:szCs w:val="20"/>
          <w:lang w:val="en-US"/>
        </w:rPr>
        <w:t>gradului</w:t>
      </w:r>
      <w:proofErr w:type="spellEnd"/>
      <w:r w:rsidRPr="003D5D5D">
        <w:rPr>
          <w:bCs/>
          <w:i/>
          <w:sz w:val="20"/>
          <w:szCs w:val="20"/>
          <w:lang w:val="en-US"/>
        </w:rPr>
        <w:t xml:space="preserve"> de </w:t>
      </w:r>
      <w:proofErr w:type="spellStart"/>
      <w:r w:rsidRPr="003D5D5D">
        <w:rPr>
          <w:bCs/>
          <w:i/>
          <w:sz w:val="20"/>
          <w:szCs w:val="20"/>
          <w:lang w:val="en-US"/>
        </w:rPr>
        <w:t>legătură</w:t>
      </w:r>
      <w:proofErr w:type="spellEnd"/>
      <w:r w:rsidRPr="003D5D5D">
        <w:rPr>
          <w:bCs/>
          <w:i/>
          <w:sz w:val="20"/>
          <w:szCs w:val="20"/>
          <w:lang w:val="en-US"/>
        </w:rPr>
        <w:t xml:space="preserve"> </w:t>
      </w:r>
      <w:proofErr w:type="spellStart"/>
      <w:r w:rsidRPr="003D5D5D">
        <w:rPr>
          <w:bCs/>
          <w:i/>
          <w:sz w:val="20"/>
          <w:szCs w:val="20"/>
          <w:lang w:val="en-US"/>
        </w:rPr>
        <w:t>sau</w:t>
      </w:r>
      <w:proofErr w:type="spellEnd"/>
      <w:r w:rsidRPr="003D5D5D">
        <w:rPr>
          <w:bCs/>
          <w:i/>
          <w:sz w:val="20"/>
          <w:szCs w:val="20"/>
          <w:lang w:val="en-US"/>
        </w:rPr>
        <w:t xml:space="preserve"> de </w:t>
      </w:r>
      <w:proofErr w:type="spellStart"/>
      <w:r w:rsidRPr="003D5D5D">
        <w:rPr>
          <w:bCs/>
          <w:i/>
          <w:sz w:val="20"/>
          <w:szCs w:val="20"/>
          <w:lang w:val="en-US"/>
        </w:rPr>
        <w:t>deconectare</w:t>
      </w:r>
      <w:proofErr w:type="spellEnd"/>
      <w:r w:rsidRPr="003D5D5D">
        <w:rPr>
          <w:bCs/>
          <w:i/>
          <w:sz w:val="20"/>
          <w:szCs w:val="20"/>
          <w:lang w:val="en-US"/>
        </w:rPr>
        <w:t xml:space="preserve"> </w:t>
      </w:r>
      <w:proofErr w:type="spellStart"/>
      <w:r w:rsidRPr="003D5D5D">
        <w:rPr>
          <w:bCs/>
          <w:i/>
          <w:sz w:val="20"/>
          <w:szCs w:val="20"/>
          <w:lang w:val="en-US"/>
        </w:rPr>
        <w:t>dintre</w:t>
      </w:r>
      <w:proofErr w:type="spellEnd"/>
      <w:r w:rsidRPr="003D5D5D">
        <w:rPr>
          <w:bCs/>
          <w:i/>
          <w:sz w:val="20"/>
          <w:szCs w:val="20"/>
          <w:lang w:val="en-US"/>
        </w:rPr>
        <w:t xml:space="preserve"> </w:t>
      </w:r>
      <w:proofErr w:type="spellStart"/>
      <w:r w:rsidRPr="003D5D5D">
        <w:rPr>
          <w:bCs/>
          <w:i/>
          <w:sz w:val="20"/>
          <w:szCs w:val="20"/>
          <w:lang w:val="en-US"/>
        </w:rPr>
        <w:t>cele</w:t>
      </w:r>
      <w:proofErr w:type="spellEnd"/>
      <w:r w:rsidRPr="003D5D5D">
        <w:rPr>
          <w:bCs/>
          <w:i/>
          <w:sz w:val="20"/>
          <w:szCs w:val="20"/>
          <w:lang w:val="en-US"/>
        </w:rPr>
        <w:t xml:space="preserve"> </w:t>
      </w:r>
      <w:proofErr w:type="spellStart"/>
      <w:r w:rsidRPr="003D5D5D">
        <w:rPr>
          <w:bCs/>
          <w:i/>
          <w:sz w:val="20"/>
          <w:szCs w:val="20"/>
          <w:lang w:val="en-US"/>
        </w:rPr>
        <w:t>două</w:t>
      </w:r>
      <w:proofErr w:type="spellEnd"/>
      <w:r w:rsidRPr="003D5D5D">
        <w:rPr>
          <w:bCs/>
          <w:i/>
          <w:sz w:val="20"/>
          <w:szCs w:val="20"/>
          <w:lang w:val="en-US"/>
        </w:rPr>
        <w:t xml:space="preserve"> </w:t>
      </w:r>
      <w:proofErr w:type="spellStart"/>
      <w:r w:rsidRPr="003D5D5D">
        <w:rPr>
          <w:bCs/>
          <w:i/>
          <w:sz w:val="20"/>
          <w:szCs w:val="20"/>
          <w:lang w:val="en-US"/>
        </w:rPr>
        <w:t>domenii</w:t>
      </w:r>
      <w:proofErr w:type="spellEnd"/>
      <w:r w:rsidRPr="003D5D5D">
        <w:rPr>
          <w:bCs/>
          <w:i/>
          <w:sz w:val="20"/>
          <w:szCs w:val="20"/>
          <w:lang w:val="en-US"/>
        </w:rPr>
        <w:t xml:space="preserve">. Ca </w:t>
      </w:r>
      <w:proofErr w:type="spellStart"/>
      <w:r w:rsidRPr="003D5D5D">
        <w:rPr>
          <w:bCs/>
          <w:i/>
          <w:sz w:val="20"/>
          <w:szCs w:val="20"/>
          <w:lang w:val="en-US"/>
        </w:rPr>
        <w:t>obiective</w:t>
      </w:r>
      <w:proofErr w:type="spellEnd"/>
      <w:r w:rsidRPr="003D5D5D">
        <w:rPr>
          <w:bCs/>
          <w:i/>
          <w:sz w:val="20"/>
          <w:szCs w:val="20"/>
          <w:lang w:val="en-US"/>
        </w:rPr>
        <w:t xml:space="preserve"> </w:t>
      </w:r>
      <w:proofErr w:type="spellStart"/>
      <w:r w:rsidRPr="003D5D5D">
        <w:rPr>
          <w:bCs/>
          <w:i/>
          <w:sz w:val="20"/>
          <w:szCs w:val="20"/>
          <w:lang w:val="en-US"/>
        </w:rPr>
        <w:t>operaționale</w:t>
      </w:r>
      <w:proofErr w:type="spellEnd"/>
      <w:r w:rsidRPr="003D5D5D">
        <w:rPr>
          <w:bCs/>
          <w:i/>
          <w:sz w:val="20"/>
          <w:szCs w:val="20"/>
          <w:lang w:val="en-US"/>
        </w:rPr>
        <w:t xml:space="preserve">, </w:t>
      </w:r>
      <w:proofErr w:type="spellStart"/>
      <w:r w:rsidRPr="003D5D5D">
        <w:rPr>
          <w:bCs/>
          <w:i/>
          <w:sz w:val="20"/>
          <w:szCs w:val="20"/>
          <w:lang w:val="en-US"/>
        </w:rPr>
        <w:t>cercetarea</w:t>
      </w:r>
      <w:proofErr w:type="spellEnd"/>
      <w:r w:rsidRPr="003D5D5D">
        <w:rPr>
          <w:bCs/>
          <w:i/>
          <w:sz w:val="20"/>
          <w:szCs w:val="20"/>
          <w:lang w:val="en-US"/>
        </w:rPr>
        <w:t xml:space="preserve"> </w:t>
      </w:r>
      <w:proofErr w:type="spellStart"/>
      <w:r w:rsidRPr="003D5D5D">
        <w:rPr>
          <w:bCs/>
          <w:i/>
          <w:sz w:val="20"/>
          <w:szCs w:val="20"/>
          <w:lang w:val="en-US"/>
        </w:rPr>
        <w:t>stabilește</w:t>
      </w:r>
      <w:proofErr w:type="spellEnd"/>
      <w:r w:rsidRPr="003D5D5D">
        <w:rPr>
          <w:bCs/>
          <w:i/>
          <w:sz w:val="20"/>
          <w:szCs w:val="20"/>
          <w:lang w:val="en-US"/>
        </w:rPr>
        <w:t xml:space="preserve"> </w:t>
      </w:r>
      <w:proofErr w:type="spellStart"/>
      <w:r w:rsidRPr="003D5D5D">
        <w:rPr>
          <w:bCs/>
          <w:i/>
          <w:sz w:val="20"/>
          <w:szCs w:val="20"/>
          <w:lang w:val="en-US"/>
        </w:rPr>
        <w:t>dacă</w:t>
      </w:r>
      <w:proofErr w:type="spellEnd"/>
      <w:r w:rsidRPr="003D5D5D">
        <w:rPr>
          <w:bCs/>
          <w:i/>
          <w:sz w:val="20"/>
          <w:szCs w:val="20"/>
          <w:lang w:val="en-US"/>
        </w:rPr>
        <w:t xml:space="preserve"> </w:t>
      </w:r>
      <w:proofErr w:type="spellStart"/>
      <w:r w:rsidRPr="003D5D5D">
        <w:rPr>
          <w:bCs/>
          <w:i/>
          <w:sz w:val="20"/>
          <w:szCs w:val="20"/>
          <w:lang w:val="en-US"/>
        </w:rPr>
        <w:t>contabilitatea</w:t>
      </w:r>
      <w:proofErr w:type="spellEnd"/>
      <w:r w:rsidRPr="003D5D5D">
        <w:rPr>
          <w:bCs/>
          <w:i/>
          <w:sz w:val="20"/>
          <w:szCs w:val="20"/>
          <w:lang w:val="en-US"/>
        </w:rPr>
        <w:t xml:space="preserve"> </w:t>
      </w:r>
      <w:proofErr w:type="spellStart"/>
      <w:r w:rsidRPr="003D5D5D">
        <w:rPr>
          <w:bCs/>
          <w:i/>
          <w:sz w:val="20"/>
          <w:szCs w:val="20"/>
          <w:lang w:val="en-US"/>
        </w:rPr>
        <w:t>este</w:t>
      </w:r>
      <w:proofErr w:type="spellEnd"/>
      <w:r w:rsidRPr="003D5D5D">
        <w:rPr>
          <w:bCs/>
          <w:i/>
          <w:sz w:val="20"/>
          <w:szCs w:val="20"/>
          <w:lang w:val="en-US"/>
        </w:rPr>
        <w:t xml:space="preserve"> </w:t>
      </w:r>
      <w:proofErr w:type="spellStart"/>
      <w:r w:rsidRPr="003D5D5D">
        <w:rPr>
          <w:bCs/>
          <w:i/>
          <w:sz w:val="20"/>
          <w:szCs w:val="20"/>
          <w:lang w:val="en-US"/>
        </w:rPr>
        <w:t>dependentă</w:t>
      </w:r>
      <w:proofErr w:type="spellEnd"/>
      <w:r w:rsidRPr="003D5D5D">
        <w:rPr>
          <w:bCs/>
          <w:i/>
          <w:sz w:val="20"/>
          <w:szCs w:val="20"/>
          <w:lang w:val="en-US"/>
        </w:rPr>
        <w:t xml:space="preserve"> </w:t>
      </w:r>
      <w:proofErr w:type="spellStart"/>
      <w:r w:rsidRPr="003D5D5D">
        <w:rPr>
          <w:bCs/>
          <w:i/>
          <w:sz w:val="20"/>
          <w:szCs w:val="20"/>
          <w:lang w:val="en-US"/>
        </w:rPr>
        <w:t>în</w:t>
      </w:r>
      <w:proofErr w:type="spellEnd"/>
      <w:r w:rsidRPr="003D5D5D">
        <w:rPr>
          <w:bCs/>
          <w:i/>
          <w:sz w:val="20"/>
          <w:szCs w:val="20"/>
          <w:lang w:val="en-US"/>
        </w:rPr>
        <w:t xml:space="preserve"> </w:t>
      </w:r>
      <w:proofErr w:type="spellStart"/>
      <w:r w:rsidRPr="003D5D5D">
        <w:rPr>
          <w:bCs/>
          <w:i/>
          <w:sz w:val="20"/>
          <w:szCs w:val="20"/>
          <w:lang w:val="en-US"/>
        </w:rPr>
        <w:t>practică</w:t>
      </w:r>
      <w:proofErr w:type="spellEnd"/>
      <w:r w:rsidRPr="003D5D5D">
        <w:rPr>
          <w:bCs/>
          <w:i/>
          <w:sz w:val="20"/>
          <w:szCs w:val="20"/>
          <w:lang w:val="en-US"/>
        </w:rPr>
        <w:t xml:space="preserve"> de </w:t>
      </w:r>
      <w:proofErr w:type="spellStart"/>
      <w:r w:rsidRPr="003D5D5D">
        <w:rPr>
          <w:bCs/>
          <w:i/>
          <w:sz w:val="20"/>
          <w:szCs w:val="20"/>
          <w:lang w:val="en-US"/>
        </w:rPr>
        <w:t>fiscalitate</w:t>
      </w:r>
      <w:proofErr w:type="spellEnd"/>
      <w:r w:rsidRPr="003D5D5D">
        <w:rPr>
          <w:bCs/>
          <w:i/>
          <w:sz w:val="20"/>
          <w:szCs w:val="20"/>
          <w:lang w:val="en-US"/>
        </w:rPr>
        <w:t xml:space="preserve">, </w:t>
      </w:r>
      <w:proofErr w:type="spellStart"/>
      <w:r w:rsidRPr="003D5D5D">
        <w:rPr>
          <w:bCs/>
          <w:i/>
          <w:sz w:val="20"/>
          <w:szCs w:val="20"/>
          <w:lang w:val="en-US"/>
        </w:rPr>
        <w:t>adică</w:t>
      </w:r>
      <w:proofErr w:type="spellEnd"/>
      <w:r w:rsidRPr="003D5D5D">
        <w:rPr>
          <w:bCs/>
          <w:i/>
          <w:sz w:val="20"/>
          <w:szCs w:val="20"/>
          <w:lang w:val="en-US"/>
        </w:rPr>
        <w:t xml:space="preserve"> </w:t>
      </w:r>
      <w:proofErr w:type="spellStart"/>
      <w:r w:rsidRPr="003D5D5D">
        <w:rPr>
          <w:bCs/>
          <w:i/>
          <w:sz w:val="20"/>
          <w:szCs w:val="20"/>
          <w:lang w:val="en-US"/>
        </w:rPr>
        <w:t>dacă</w:t>
      </w:r>
      <w:proofErr w:type="spellEnd"/>
      <w:r w:rsidRPr="003D5D5D">
        <w:rPr>
          <w:bCs/>
          <w:i/>
          <w:sz w:val="20"/>
          <w:szCs w:val="20"/>
          <w:lang w:val="en-US"/>
        </w:rPr>
        <w:t xml:space="preserve"> </w:t>
      </w:r>
      <w:proofErr w:type="spellStart"/>
      <w:r w:rsidRPr="003D5D5D">
        <w:rPr>
          <w:bCs/>
          <w:i/>
          <w:sz w:val="20"/>
          <w:szCs w:val="20"/>
          <w:lang w:val="en-US"/>
        </w:rPr>
        <w:t>normele</w:t>
      </w:r>
      <w:proofErr w:type="spellEnd"/>
      <w:r w:rsidRPr="003D5D5D">
        <w:rPr>
          <w:bCs/>
          <w:i/>
          <w:sz w:val="20"/>
          <w:szCs w:val="20"/>
          <w:lang w:val="en-US"/>
        </w:rPr>
        <w:t xml:space="preserve"> </w:t>
      </w:r>
      <w:proofErr w:type="spellStart"/>
      <w:r w:rsidRPr="003D5D5D">
        <w:rPr>
          <w:bCs/>
          <w:i/>
          <w:sz w:val="20"/>
          <w:szCs w:val="20"/>
          <w:lang w:val="en-US"/>
        </w:rPr>
        <w:t>fiscale</w:t>
      </w:r>
      <w:proofErr w:type="spellEnd"/>
      <w:r w:rsidRPr="003D5D5D">
        <w:rPr>
          <w:bCs/>
          <w:i/>
          <w:sz w:val="20"/>
          <w:szCs w:val="20"/>
          <w:lang w:val="en-US"/>
        </w:rPr>
        <w:t xml:space="preserve"> </w:t>
      </w:r>
      <w:proofErr w:type="spellStart"/>
      <w:r w:rsidRPr="003D5D5D">
        <w:rPr>
          <w:bCs/>
          <w:i/>
          <w:sz w:val="20"/>
          <w:szCs w:val="20"/>
          <w:lang w:val="en-US"/>
        </w:rPr>
        <w:t>influențează</w:t>
      </w:r>
      <w:proofErr w:type="spellEnd"/>
      <w:r w:rsidRPr="003D5D5D">
        <w:rPr>
          <w:bCs/>
          <w:i/>
          <w:sz w:val="20"/>
          <w:szCs w:val="20"/>
          <w:lang w:val="en-US"/>
        </w:rPr>
        <w:t xml:space="preserve"> </w:t>
      </w:r>
      <w:proofErr w:type="spellStart"/>
      <w:r w:rsidRPr="003D5D5D">
        <w:rPr>
          <w:bCs/>
          <w:i/>
          <w:sz w:val="20"/>
          <w:szCs w:val="20"/>
          <w:lang w:val="en-US"/>
        </w:rPr>
        <w:t>calitatea</w:t>
      </w:r>
      <w:proofErr w:type="spellEnd"/>
      <w:r w:rsidRPr="003D5D5D">
        <w:rPr>
          <w:bCs/>
          <w:i/>
          <w:sz w:val="20"/>
          <w:szCs w:val="20"/>
          <w:lang w:val="en-US"/>
        </w:rPr>
        <w:t xml:space="preserve"> </w:t>
      </w:r>
      <w:proofErr w:type="spellStart"/>
      <w:r w:rsidRPr="003D5D5D">
        <w:rPr>
          <w:bCs/>
          <w:i/>
          <w:sz w:val="20"/>
          <w:szCs w:val="20"/>
          <w:lang w:val="en-US"/>
        </w:rPr>
        <w:t>informațiilor</w:t>
      </w:r>
      <w:proofErr w:type="spellEnd"/>
      <w:r w:rsidRPr="003D5D5D">
        <w:rPr>
          <w:bCs/>
          <w:i/>
          <w:sz w:val="20"/>
          <w:szCs w:val="20"/>
          <w:lang w:val="en-US"/>
        </w:rPr>
        <w:t xml:space="preserve"> </w:t>
      </w:r>
      <w:proofErr w:type="spellStart"/>
      <w:r w:rsidRPr="003D5D5D">
        <w:rPr>
          <w:bCs/>
          <w:i/>
          <w:sz w:val="20"/>
          <w:szCs w:val="20"/>
          <w:lang w:val="en-US"/>
        </w:rPr>
        <w:t>contabile</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determină</w:t>
      </w:r>
      <w:proofErr w:type="spellEnd"/>
      <w:r w:rsidRPr="003D5D5D">
        <w:rPr>
          <w:bCs/>
          <w:i/>
          <w:sz w:val="20"/>
          <w:szCs w:val="20"/>
          <w:lang w:val="en-US"/>
        </w:rPr>
        <w:t xml:space="preserve"> </w:t>
      </w:r>
      <w:proofErr w:type="spellStart"/>
      <w:r w:rsidRPr="003D5D5D">
        <w:rPr>
          <w:bCs/>
          <w:i/>
          <w:sz w:val="20"/>
          <w:szCs w:val="20"/>
          <w:lang w:val="en-US"/>
        </w:rPr>
        <w:t>gradul</w:t>
      </w:r>
      <w:proofErr w:type="spellEnd"/>
      <w:r w:rsidRPr="003D5D5D">
        <w:rPr>
          <w:bCs/>
          <w:i/>
          <w:sz w:val="20"/>
          <w:szCs w:val="20"/>
          <w:lang w:val="en-US"/>
        </w:rPr>
        <w:t xml:space="preserve"> de </w:t>
      </w:r>
      <w:proofErr w:type="spellStart"/>
      <w:r w:rsidRPr="003D5D5D">
        <w:rPr>
          <w:bCs/>
          <w:i/>
          <w:sz w:val="20"/>
          <w:szCs w:val="20"/>
          <w:lang w:val="en-US"/>
        </w:rPr>
        <w:t>influență</w:t>
      </w:r>
      <w:proofErr w:type="spellEnd"/>
      <w:r w:rsidRPr="003D5D5D">
        <w:rPr>
          <w:bCs/>
          <w:i/>
          <w:sz w:val="20"/>
          <w:szCs w:val="20"/>
          <w:lang w:val="en-US"/>
        </w:rPr>
        <w:t xml:space="preserve"> pe care </w:t>
      </w:r>
      <w:proofErr w:type="spellStart"/>
      <w:r w:rsidRPr="003D5D5D">
        <w:rPr>
          <w:bCs/>
          <w:i/>
          <w:sz w:val="20"/>
          <w:szCs w:val="20"/>
          <w:lang w:val="en-US"/>
        </w:rPr>
        <w:t>îl</w:t>
      </w:r>
      <w:proofErr w:type="spellEnd"/>
      <w:r w:rsidRPr="003D5D5D">
        <w:rPr>
          <w:bCs/>
          <w:i/>
          <w:sz w:val="20"/>
          <w:szCs w:val="20"/>
          <w:lang w:val="en-US"/>
        </w:rPr>
        <w:t xml:space="preserve"> are </w:t>
      </w:r>
      <w:proofErr w:type="spellStart"/>
      <w:r w:rsidRPr="003D5D5D">
        <w:rPr>
          <w:bCs/>
          <w:i/>
          <w:sz w:val="20"/>
          <w:szCs w:val="20"/>
          <w:lang w:val="en-US"/>
        </w:rPr>
        <w:t>fiscalitatea</w:t>
      </w:r>
      <w:proofErr w:type="spellEnd"/>
      <w:r w:rsidRPr="003D5D5D">
        <w:rPr>
          <w:bCs/>
          <w:i/>
          <w:sz w:val="20"/>
          <w:szCs w:val="20"/>
          <w:lang w:val="en-US"/>
        </w:rPr>
        <w:t xml:space="preserve"> </w:t>
      </w:r>
      <w:proofErr w:type="spellStart"/>
      <w:r w:rsidRPr="003D5D5D">
        <w:rPr>
          <w:bCs/>
          <w:i/>
          <w:sz w:val="20"/>
          <w:szCs w:val="20"/>
          <w:lang w:val="en-US"/>
        </w:rPr>
        <w:t>asupra</w:t>
      </w:r>
      <w:proofErr w:type="spellEnd"/>
      <w:r w:rsidRPr="003D5D5D">
        <w:rPr>
          <w:bCs/>
          <w:i/>
          <w:sz w:val="20"/>
          <w:szCs w:val="20"/>
          <w:lang w:val="en-US"/>
        </w:rPr>
        <w:t xml:space="preserve"> </w:t>
      </w:r>
      <w:proofErr w:type="spellStart"/>
      <w:r w:rsidRPr="003D5D5D">
        <w:rPr>
          <w:bCs/>
          <w:i/>
          <w:sz w:val="20"/>
          <w:szCs w:val="20"/>
          <w:lang w:val="en-US"/>
        </w:rPr>
        <w:t>informațiilor</w:t>
      </w:r>
      <w:proofErr w:type="spellEnd"/>
      <w:r w:rsidRPr="003D5D5D">
        <w:rPr>
          <w:bCs/>
          <w:i/>
          <w:sz w:val="20"/>
          <w:szCs w:val="20"/>
          <w:lang w:val="en-US"/>
        </w:rPr>
        <w:t xml:space="preserve">, </w:t>
      </w:r>
      <w:proofErr w:type="spellStart"/>
      <w:r w:rsidRPr="003D5D5D">
        <w:rPr>
          <w:bCs/>
          <w:i/>
          <w:sz w:val="20"/>
          <w:szCs w:val="20"/>
          <w:lang w:val="en-US"/>
        </w:rPr>
        <w:t>politicilor</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deciziilor</w:t>
      </w:r>
      <w:proofErr w:type="spellEnd"/>
      <w:r w:rsidRPr="003D5D5D">
        <w:rPr>
          <w:bCs/>
          <w:i/>
          <w:sz w:val="20"/>
          <w:szCs w:val="20"/>
          <w:lang w:val="en-US"/>
        </w:rPr>
        <w:t xml:space="preserve"> </w:t>
      </w:r>
      <w:proofErr w:type="spellStart"/>
      <w:r w:rsidRPr="003D5D5D">
        <w:rPr>
          <w:bCs/>
          <w:i/>
          <w:sz w:val="20"/>
          <w:szCs w:val="20"/>
          <w:lang w:val="en-US"/>
        </w:rPr>
        <w:t>contabile</w:t>
      </w:r>
      <w:proofErr w:type="spellEnd"/>
      <w:r w:rsidRPr="003D5D5D">
        <w:rPr>
          <w:bCs/>
          <w:i/>
          <w:sz w:val="20"/>
          <w:szCs w:val="20"/>
          <w:lang w:val="en-US"/>
        </w:rPr>
        <w:t xml:space="preserve">. </w:t>
      </w:r>
      <w:proofErr w:type="spellStart"/>
      <w:r w:rsidRPr="003D5D5D">
        <w:rPr>
          <w:bCs/>
          <w:i/>
          <w:sz w:val="20"/>
          <w:szCs w:val="20"/>
          <w:lang w:val="en-US"/>
        </w:rPr>
        <w:t>Principalele</w:t>
      </w:r>
      <w:proofErr w:type="spellEnd"/>
      <w:r w:rsidRPr="003D5D5D">
        <w:rPr>
          <w:bCs/>
          <w:i/>
          <w:sz w:val="20"/>
          <w:szCs w:val="20"/>
          <w:lang w:val="en-US"/>
        </w:rPr>
        <w:t xml:space="preserve"> </w:t>
      </w:r>
      <w:proofErr w:type="spellStart"/>
      <w:r w:rsidRPr="003D5D5D">
        <w:rPr>
          <w:bCs/>
          <w:i/>
          <w:sz w:val="20"/>
          <w:szCs w:val="20"/>
          <w:lang w:val="en-US"/>
        </w:rPr>
        <w:t>rezultate</w:t>
      </w:r>
      <w:proofErr w:type="spellEnd"/>
      <w:r w:rsidRPr="003D5D5D">
        <w:rPr>
          <w:bCs/>
          <w:i/>
          <w:sz w:val="20"/>
          <w:szCs w:val="20"/>
          <w:lang w:val="en-US"/>
        </w:rPr>
        <w:t xml:space="preserve"> au </w:t>
      </w:r>
      <w:proofErr w:type="spellStart"/>
      <w:r w:rsidRPr="003D5D5D">
        <w:rPr>
          <w:bCs/>
          <w:i/>
          <w:sz w:val="20"/>
          <w:szCs w:val="20"/>
          <w:lang w:val="en-US"/>
        </w:rPr>
        <w:t>arătat</w:t>
      </w:r>
      <w:proofErr w:type="spellEnd"/>
      <w:r w:rsidRPr="003D5D5D">
        <w:rPr>
          <w:bCs/>
          <w:i/>
          <w:sz w:val="20"/>
          <w:szCs w:val="20"/>
          <w:lang w:val="en-US"/>
        </w:rPr>
        <w:t xml:space="preserve"> că </w:t>
      </w:r>
      <w:proofErr w:type="spellStart"/>
      <w:r w:rsidRPr="003D5D5D">
        <w:rPr>
          <w:bCs/>
          <w:i/>
          <w:sz w:val="20"/>
          <w:szCs w:val="20"/>
          <w:lang w:val="en-US"/>
        </w:rPr>
        <w:t>fiscalitatea</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contabilitatea</w:t>
      </w:r>
      <w:proofErr w:type="spellEnd"/>
      <w:r w:rsidRPr="003D5D5D">
        <w:rPr>
          <w:bCs/>
          <w:i/>
          <w:sz w:val="20"/>
          <w:szCs w:val="20"/>
          <w:lang w:val="en-US"/>
        </w:rPr>
        <w:t xml:space="preserve"> sunt legate </w:t>
      </w:r>
      <w:proofErr w:type="spellStart"/>
      <w:r w:rsidRPr="003D5D5D">
        <w:rPr>
          <w:bCs/>
          <w:i/>
          <w:sz w:val="20"/>
          <w:szCs w:val="20"/>
          <w:lang w:val="en-US"/>
        </w:rPr>
        <w:t>în</w:t>
      </w:r>
      <w:proofErr w:type="spellEnd"/>
      <w:r w:rsidRPr="003D5D5D">
        <w:rPr>
          <w:bCs/>
          <w:i/>
          <w:sz w:val="20"/>
          <w:szCs w:val="20"/>
          <w:lang w:val="en-US"/>
        </w:rPr>
        <w:t xml:space="preserve"> </w:t>
      </w:r>
      <w:proofErr w:type="spellStart"/>
      <w:r w:rsidRPr="003D5D5D">
        <w:rPr>
          <w:bCs/>
          <w:i/>
          <w:sz w:val="20"/>
          <w:szCs w:val="20"/>
          <w:lang w:val="en-US"/>
        </w:rPr>
        <w:t>practică</w:t>
      </w:r>
      <w:proofErr w:type="spellEnd"/>
      <w:r w:rsidRPr="003D5D5D">
        <w:rPr>
          <w:bCs/>
          <w:i/>
          <w:sz w:val="20"/>
          <w:szCs w:val="20"/>
          <w:lang w:val="en-US"/>
        </w:rPr>
        <w:t xml:space="preserve">, </w:t>
      </w:r>
      <w:proofErr w:type="spellStart"/>
      <w:r w:rsidRPr="003D5D5D">
        <w:rPr>
          <w:bCs/>
          <w:i/>
          <w:sz w:val="20"/>
          <w:szCs w:val="20"/>
          <w:lang w:val="en-US"/>
        </w:rPr>
        <w:t>gradul</w:t>
      </w:r>
      <w:proofErr w:type="spellEnd"/>
      <w:r w:rsidRPr="003D5D5D">
        <w:rPr>
          <w:bCs/>
          <w:i/>
          <w:sz w:val="20"/>
          <w:szCs w:val="20"/>
          <w:lang w:val="en-US"/>
        </w:rPr>
        <w:t xml:space="preserve"> de </w:t>
      </w:r>
      <w:proofErr w:type="spellStart"/>
      <w:r w:rsidRPr="003D5D5D">
        <w:rPr>
          <w:bCs/>
          <w:i/>
          <w:sz w:val="20"/>
          <w:szCs w:val="20"/>
          <w:lang w:val="en-US"/>
        </w:rPr>
        <w:t>influență</w:t>
      </w:r>
      <w:proofErr w:type="spellEnd"/>
      <w:r w:rsidRPr="003D5D5D">
        <w:rPr>
          <w:bCs/>
          <w:i/>
          <w:sz w:val="20"/>
          <w:szCs w:val="20"/>
          <w:lang w:val="en-US"/>
        </w:rPr>
        <w:t xml:space="preserve"> pe care </w:t>
      </w:r>
      <w:proofErr w:type="spellStart"/>
      <w:r w:rsidRPr="003D5D5D">
        <w:rPr>
          <w:bCs/>
          <w:i/>
          <w:sz w:val="20"/>
          <w:szCs w:val="20"/>
          <w:lang w:val="en-US"/>
        </w:rPr>
        <w:t>normele</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reglementările</w:t>
      </w:r>
      <w:proofErr w:type="spellEnd"/>
      <w:r w:rsidRPr="003D5D5D">
        <w:rPr>
          <w:bCs/>
          <w:i/>
          <w:sz w:val="20"/>
          <w:szCs w:val="20"/>
          <w:lang w:val="en-US"/>
        </w:rPr>
        <w:t xml:space="preserve"> </w:t>
      </w:r>
      <w:proofErr w:type="spellStart"/>
      <w:r w:rsidRPr="003D5D5D">
        <w:rPr>
          <w:bCs/>
          <w:i/>
          <w:sz w:val="20"/>
          <w:szCs w:val="20"/>
          <w:lang w:val="en-US"/>
        </w:rPr>
        <w:t>fiscale</w:t>
      </w:r>
      <w:proofErr w:type="spellEnd"/>
      <w:r w:rsidRPr="003D5D5D">
        <w:rPr>
          <w:bCs/>
          <w:i/>
          <w:sz w:val="20"/>
          <w:szCs w:val="20"/>
          <w:lang w:val="en-US"/>
        </w:rPr>
        <w:t xml:space="preserve"> </w:t>
      </w:r>
      <w:proofErr w:type="spellStart"/>
      <w:r w:rsidRPr="003D5D5D">
        <w:rPr>
          <w:bCs/>
          <w:i/>
          <w:sz w:val="20"/>
          <w:szCs w:val="20"/>
          <w:lang w:val="en-US"/>
        </w:rPr>
        <w:t>îl</w:t>
      </w:r>
      <w:proofErr w:type="spellEnd"/>
      <w:r w:rsidRPr="003D5D5D">
        <w:rPr>
          <w:bCs/>
          <w:i/>
          <w:sz w:val="20"/>
          <w:szCs w:val="20"/>
          <w:lang w:val="en-US"/>
        </w:rPr>
        <w:t xml:space="preserve"> au </w:t>
      </w:r>
      <w:proofErr w:type="spellStart"/>
      <w:r w:rsidRPr="003D5D5D">
        <w:rPr>
          <w:bCs/>
          <w:i/>
          <w:sz w:val="20"/>
          <w:szCs w:val="20"/>
          <w:lang w:val="en-US"/>
        </w:rPr>
        <w:t>asupra</w:t>
      </w:r>
      <w:proofErr w:type="spellEnd"/>
      <w:r w:rsidRPr="003D5D5D">
        <w:rPr>
          <w:bCs/>
          <w:i/>
          <w:sz w:val="20"/>
          <w:szCs w:val="20"/>
          <w:lang w:val="en-US"/>
        </w:rPr>
        <w:t xml:space="preserve"> </w:t>
      </w:r>
      <w:proofErr w:type="spellStart"/>
      <w:r w:rsidRPr="003D5D5D">
        <w:rPr>
          <w:bCs/>
          <w:i/>
          <w:sz w:val="20"/>
          <w:szCs w:val="20"/>
          <w:lang w:val="en-US"/>
        </w:rPr>
        <w:t>informațiilor</w:t>
      </w:r>
      <w:proofErr w:type="spellEnd"/>
      <w:r w:rsidRPr="003D5D5D">
        <w:rPr>
          <w:bCs/>
          <w:i/>
          <w:sz w:val="20"/>
          <w:szCs w:val="20"/>
          <w:lang w:val="en-US"/>
        </w:rPr>
        <w:t xml:space="preserve">, </w:t>
      </w:r>
      <w:proofErr w:type="spellStart"/>
      <w:r w:rsidRPr="003D5D5D">
        <w:rPr>
          <w:bCs/>
          <w:i/>
          <w:sz w:val="20"/>
          <w:szCs w:val="20"/>
          <w:lang w:val="en-US"/>
        </w:rPr>
        <w:t>politicilor</w:t>
      </w:r>
      <w:proofErr w:type="spellEnd"/>
      <w:r w:rsidRPr="003D5D5D">
        <w:rPr>
          <w:bCs/>
          <w:i/>
          <w:sz w:val="20"/>
          <w:szCs w:val="20"/>
          <w:lang w:val="en-US"/>
        </w:rPr>
        <w:t xml:space="preserve"> </w:t>
      </w:r>
      <w:proofErr w:type="spellStart"/>
      <w:r w:rsidRPr="003D5D5D">
        <w:rPr>
          <w:bCs/>
          <w:i/>
          <w:sz w:val="20"/>
          <w:szCs w:val="20"/>
          <w:lang w:val="en-US"/>
        </w:rPr>
        <w:t>și</w:t>
      </w:r>
      <w:proofErr w:type="spellEnd"/>
      <w:r w:rsidRPr="003D5D5D">
        <w:rPr>
          <w:bCs/>
          <w:i/>
          <w:sz w:val="20"/>
          <w:szCs w:val="20"/>
          <w:lang w:val="en-US"/>
        </w:rPr>
        <w:t xml:space="preserve"> </w:t>
      </w:r>
      <w:proofErr w:type="spellStart"/>
      <w:r w:rsidRPr="003D5D5D">
        <w:rPr>
          <w:bCs/>
          <w:i/>
          <w:sz w:val="20"/>
          <w:szCs w:val="20"/>
          <w:lang w:val="en-US"/>
        </w:rPr>
        <w:t>deciziilor</w:t>
      </w:r>
      <w:proofErr w:type="spellEnd"/>
      <w:r w:rsidRPr="003D5D5D">
        <w:rPr>
          <w:bCs/>
          <w:i/>
          <w:sz w:val="20"/>
          <w:szCs w:val="20"/>
          <w:lang w:val="en-US"/>
        </w:rPr>
        <w:t xml:space="preserve"> </w:t>
      </w:r>
      <w:proofErr w:type="spellStart"/>
      <w:r w:rsidRPr="003D5D5D">
        <w:rPr>
          <w:bCs/>
          <w:i/>
          <w:sz w:val="20"/>
          <w:szCs w:val="20"/>
          <w:lang w:val="en-US"/>
        </w:rPr>
        <w:t>contabile</w:t>
      </w:r>
      <w:proofErr w:type="spellEnd"/>
      <w:r w:rsidRPr="003D5D5D">
        <w:rPr>
          <w:bCs/>
          <w:i/>
          <w:sz w:val="20"/>
          <w:szCs w:val="20"/>
          <w:lang w:val="en-US"/>
        </w:rPr>
        <w:t xml:space="preserve">, </w:t>
      </w:r>
      <w:proofErr w:type="spellStart"/>
      <w:r w:rsidRPr="003D5D5D">
        <w:rPr>
          <w:bCs/>
          <w:i/>
          <w:sz w:val="20"/>
          <w:szCs w:val="20"/>
          <w:lang w:val="en-US"/>
        </w:rPr>
        <w:t>fiind</w:t>
      </w:r>
      <w:proofErr w:type="spellEnd"/>
      <w:r w:rsidRPr="003D5D5D">
        <w:rPr>
          <w:bCs/>
          <w:i/>
          <w:sz w:val="20"/>
          <w:szCs w:val="20"/>
          <w:lang w:val="en-US"/>
        </w:rPr>
        <w:t xml:space="preserve"> </w:t>
      </w:r>
      <w:proofErr w:type="spellStart"/>
      <w:r w:rsidRPr="003D5D5D">
        <w:rPr>
          <w:bCs/>
          <w:i/>
          <w:sz w:val="20"/>
          <w:szCs w:val="20"/>
          <w:lang w:val="en-US"/>
        </w:rPr>
        <w:t>cuantificat</w:t>
      </w:r>
      <w:proofErr w:type="spellEnd"/>
      <w:r w:rsidRPr="003D5D5D">
        <w:rPr>
          <w:bCs/>
          <w:i/>
          <w:sz w:val="20"/>
          <w:szCs w:val="20"/>
          <w:lang w:val="en-US"/>
        </w:rPr>
        <w:t xml:space="preserve"> la 43,9%, un </w:t>
      </w:r>
      <w:proofErr w:type="spellStart"/>
      <w:r w:rsidRPr="003D5D5D">
        <w:rPr>
          <w:bCs/>
          <w:i/>
          <w:sz w:val="20"/>
          <w:szCs w:val="20"/>
          <w:lang w:val="en-US"/>
        </w:rPr>
        <w:t>procent</w:t>
      </w:r>
      <w:proofErr w:type="spellEnd"/>
      <w:r w:rsidRPr="003D5D5D">
        <w:rPr>
          <w:bCs/>
          <w:i/>
          <w:sz w:val="20"/>
          <w:szCs w:val="20"/>
          <w:lang w:val="en-US"/>
        </w:rPr>
        <w:t xml:space="preserve"> </w:t>
      </w:r>
      <w:proofErr w:type="spellStart"/>
      <w:r w:rsidRPr="003D5D5D">
        <w:rPr>
          <w:bCs/>
          <w:i/>
          <w:sz w:val="20"/>
          <w:szCs w:val="20"/>
          <w:lang w:val="en-US"/>
        </w:rPr>
        <w:t>foarte</w:t>
      </w:r>
      <w:proofErr w:type="spellEnd"/>
      <w:r w:rsidRPr="003D5D5D">
        <w:rPr>
          <w:bCs/>
          <w:i/>
          <w:sz w:val="20"/>
          <w:szCs w:val="20"/>
          <w:lang w:val="en-US"/>
        </w:rPr>
        <w:t xml:space="preserve"> </w:t>
      </w:r>
      <w:proofErr w:type="spellStart"/>
      <w:r w:rsidRPr="003D5D5D">
        <w:rPr>
          <w:bCs/>
          <w:i/>
          <w:sz w:val="20"/>
          <w:szCs w:val="20"/>
          <w:lang w:val="en-US"/>
        </w:rPr>
        <w:t>ridicat</w:t>
      </w:r>
      <w:proofErr w:type="spellEnd"/>
      <w:r w:rsidRPr="003D5D5D">
        <w:rPr>
          <w:bCs/>
          <w:i/>
          <w:sz w:val="20"/>
          <w:szCs w:val="20"/>
          <w:lang w:val="en-US"/>
        </w:rPr>
        <w:t xml:space="preserve"> care </w:t>
      </w:r>
      <w:proofErr w:type="spellStart"/>
      <w:r w:rsidRPr="003D5D5D">
        <w:rPr>
          <w:bCs/>
          <w:i/>
          <w:sz w:val="20"/>
          <w:szCs w:val="20"/>
          <w:lang w:val="en-US"/>
        </w:rPr>
        <w:t>este</w:t>
      </w:r>
      <w:proofErr w:type="spellEnd"/>
      <w:r w:rsidRPr="003D5D5D">
        <w:rPr>
          <w:bCs/>
          <w:i/>
          <w:sz w:val="20"/>
          <w:szCs w:val="20"/>
          <w:lang w:val="en-US"/>
        </w:rPr>
        <w:t xml:space="preserve"> </w:t>
      </w:r>
      <w:proofErr w:type="spellStart"/>
      <w:r w:rsidRPr="003D5D5D">
        <w:rPr>
          <w:bCs/>
          <w:i/>
          <w:sz w:val="20"/>
          <w:szCs w:val="20"/>
          <w:lang w:val="en-US"/>
        </w:rPr>
        <w:t>justificat</w:t>
      </w:r>
      <w:proofErr w:type="spellEnd"/>
      <w:r w:rsidRPr="003D5D5D">
        <w:rPr>
          <w:bCs/>
          <w:i/>
          <w:sz w:val="20"/>
          <w:szCs w:val="20"/>
          <w:lang w:val="en-US"/>
        </w:rPr>
        <w:t xml:space="preserve"> de </w:t>
      </w:r>
      <w:proofErr w:type="spellStart"/>
      <w:r w:rsidRPr="003D5D5D">
        <w:rPr>
          <w:bCs/>
          <w:i/>
          <w:sz w:val="20"/>
          <w:szCs w:val="20"/>
          <w:lang w:val="en-US"/>
        </w:rPr>
        <w:t>reglementările</w:t>
      </w:r>
      <w:proofErr w:type="spellEnd"/>
      <w:r w:rsidRPr="003D5D5D">
        <w:rPr>
          <w:bCs/>
          <w:i/>
          <w:sz w:val="20"/>
          <w:szCs w:val="20"/>
          <w:lang w:val="en-US"/>
        </w:rPr>
        <w:t xml:space="preserve"> </w:t>
      </w:r>
      <w:proofErr w:type="spellStart"/>
      <w:r w:rsidRPr="003D5D5D">
        <w:rPr>
          <w:bCs/>
          <w:i/>
          <w:sz w:val="20"/>
          <w:szCs w:val="20"/>
          <w:lang w:val="en-US"/>
        </w:rPr>
        <w:t>specifice</w:t>
      </w:r>
      <w:proofErr w:type="spellEnd"/>
      <w:r w:rsidRPr="003D5D5D">
        <w:rPr>
          <w:bCs/>
          <w:i/>
          <w:sz w:val="20"/>
          <w:szCs w:val="20"/>
          <w:lang w:val="en-US"/>
        </w:rPr>
        <w:t xml:space="preserve"> </w:t>
      </w:r>
      <w:proofErr w:type="spellStart"/>
      <w:r w:rsidRPr="003D5D5D">
        <w:rPr>
          <w:bCs/>
          <w:i/>
          <w:sz w:val="20"/>
          <w:szCs w:val="20"/>
          <w:lang w:val="en-US"/>
        </w:rPr>
        <w:t>sectorului</w:t>
      </w:r>
      <w:proofErr w:type="spellEnd"/>
      <w:r w:rsidRPr="003D5D5D">
        <w:rPr>
          <w:bCs/>
          <w:i/>
          <w:sz w:val="20"/>
          <w:szCs w:val="20"/>
          <w:lang w:val="en-US"/>
        </w:rPr>
        <w:t xml:space="preserve"> economic </w:t>
      </w:r>
      <w:proofErr w:type="spellStart"/>
      <w:r w:rsidRPr="003D5D5D">
        <w:rPr>
          <w:bCs/>
          <w:i/>
          <w:sz w:val="20"/>
          <w:szCs w:val="20"/>
          <w:lang w:val="en-US"/>
        </w:rPr>
        <w:t>analizat</w:t>
      </w:r>
      <w:proofErr w:type="spellEnd"/>
      <w:r w:rsidRPr="003D5D5D">
        <w:rPr>
          <w:bCs/>
          <w:i/>
          <w:sz w:val="20"/>
          <w:szCs w:val="20"/>
          <w:lang w:val="en-US"/>
        </w:rPr>
        <w:t xml:space="preserve">. De-a </w:t>
      </w:r>
      <w:proofErr w:type="spellStart"/>
      <w:r w:rsidRPr="003D5D5D">
        <w:rPr>
          <w:bCs/>
          <w:i/>
          <w:sz w:val="20"/>
          <w:szCs w:val="20"/>
          <w:lang w:val="en-US"/>
        </w:rPr>
        <w:t>lungul</w:t>
      </w:r>
      <w:proofErr w:type="spellEnd"/>
      <w:r w:rsidRPr="003D5D5D">
        <w:rPr>
          <w:bCs/>
          <w:i/>
          <w:sz w:val="20"/>
          <w:szCs w:val="20"/>
          <w:lang w:val="en-US"/>
        </w:rPr>
        <w:t xml:space="preserve"> </w:t>
      </w:r>
      <w:proofErr w:type="spellStart"/>
      <w:r w:rsidRPr="003D5D5D">
        <w:rPr>
          <w:bCs/>
          <w:i/>
          <w:sz w:val="20"/>
          <w:szCs w:val="20"/>
          <w:lang w:val="en-US"/>
        </w:rPr>
        <w:t>timpului</w:t>
      </w:r>
      <w:proofErr w:type="spellEnd"/>
      <w:r w:rsidRPr="003D5D5D">
        <w:rPr>
          <w:bCs/>
          <w:i/>
          <w:sz w:val="20"/>
          <w:szCs w:val="20"/>
          <w:lang w:val="en-US"/>
        </w:rPr>
        <w:t xml:space="preserve">, </w:t>
      </w:r>
      <w:proofErr w:type="spellStart"/>
      <w:r w:rsidRPr="003D5D5D">
        <w:rPr>
          <w:bCs/>
          <w:i/>
          <w:sz w:val="20"/>
          <w:szCs w:val="20"/>
          <w:lang w:val="en-US"/>
        </w:rPr>
        <w:t>influența</w:t>
      </w:r>
      <w:proofErr w:type="spellEnd"/>
      <w:r w:rsidRPr="003D5D5D">
        <w:rPr>
          <w:bCs/>
          <w:i/>
          <w:sz w:val="20"/>
          <w:szCs w:val="20"/>
          <w:lang w:val="en-US"/>
        </w:rPr>
        <w:t xml:space="preserve"> </w:t>
      </w:r>
      <w:proofErr w:type="spellStart"/>
      <w:r w:rsidRPr="003D5D5D">
        <w:rPr>
          <w:bCs/>
          <w:i/>
          <w:sz w:val="20"/>
          <w:szCs w:val="20"/>
          <w:lang w:val="en-US"/>
        </w:rPr>
        <w:t>fiscalității</w:t>
      </w:r>
      <w:proofErr w:type="spellEnd"/>
      <w:r w:rsidRPr="003D5D5D">
        <w:rPr>
          <w:bCs/>
          <w:i/>
          <w:sz w:val="20"/>
          <w:szCs w:val="20"/>
          <w:lang w:val="en-US"/>
        </w:rPr>
        <w:t xml:space="preserve"> </w:t>
      </w:r>
      <w:proofErr w:type="spellStart"/>
      <w:r w:rsidRPr="003D5D5D">
        <w:rPr>
          <w:bCs/>
          <w:i/>
          <w:sz w:val="20"/>
          <w:szCs w:val="20"/>
          <w:lang w:val="en-US"/>
        </w:rPr>
        <w:t>asupra</w:t>
      </w:r>
      <w:proofErr w:type="spellEnd"/>
      <w:r w:rsidRPr="003D5D5D">
        <w:rPr>
          <w:bCs/>
          <w:i/>
          <w:sz w:val="20"/>
          <w:szCs w:val="20"/>
          <w:lang w:val="en-US"/>
        </w:rPr>
        <w:t xml:space="preserve"> </w:t>
      </w:r>
      <w:proofErr w:type="spellStart"/>
      <w:r w:rsidRPr="003D5D5D">
        <w:rPr>
          <w:bCs/>
          <w:i/>
          <w:sz w:val="20"/>
          <w:szCs w:val="20"/>
          <w:lang w:val="en-US"/>
        </w:rPr>
        <w:t>contabilității</w:t>
      </w:r>
      <w:proofErr w:type="spellEnd"/>
      <w:r w:rsidRPr="003D5D5D">
        <w:rPr>
          <w:bCs/>
          <w:i/>
          <w:sz w:val="20"/>
          <w:szCs w:val="20"/>
          <w:lang w:val="en-US"/>
        </w:rPr>
        <w:t xml:space="preserve"> </w:t>
      </w:r>
      <w:proofErr w:type="spellStart"/>
      <w:r w:rsidRPr="003D5D5D">
        <w:rPr>
          <w:bCs/>
          <w:i/>
          <w:sz w:val="20"/>
          <w:szCs w:val="20"/>
          <w:lang w:val="en-US"/>
        </w:rPr>
        <w:t>înregistrează</w:t>
      </w:r>
      <w:proofErr w:type="spellEnd"/>
      <w:r w:rsidRPr="003D5D5D">
        <w:rPr>
          <w:bCs/>
          <w:i/>
          <w:sz w:val="20"/>
          <w:szCs w:val="20"/>
          <w:lang w:val="en-US"/>
        </w:rPr>
        <w:t xml:space="preserve"> o </w:t>
      </w:r>
      <w:proofErr w:type="spellStart"/>
      <w:r w:rsidRPr="003D5D5D">
        <w:rPr>
          <w:bCs/>
          <w:i/>
          <w:sz w:val="20"/>
          <w:szCs w:val="20"/>
          <w:lang w:val="en-US"/>
        </w:rPr>
        <w:t>evoluție</w:t>
      </w:r>
      <w:proofErr w:type="spellEnd"/>
      <w:r w:rsidRPr="003D5D5D">
        <w:rPr>
          <w:bCs/>
          <w:i/>
          <w:sz w:val="20"/>
          <w:szCs w:val="20"/>
          <w:lang w:val="en-US"/>
        </w:rPr>
        <w:t xml:space="preserve"> </w:t>
      </w:r>
      <w:proofErr w:type="spellStart"/>
      <w:r w:rsidRPr="003D5D5D">
        <w:rPr>
          <w:bCs/>
          <w:i/>
          <w:sz w:val="20"/>
          <w:szCs w:val="20"/>
          <w:lang w:val="en-US"/>
        </w:rPr>
        <w:t>fluctuantă</w:t>
      </w:r>
      <w:proofErr w:type="spellEnd"/>
      <w:r w:rsidRPr="003D5D5D">
        <w:rPr>
          <w:bCs/>
          <w:i/>
          <w:sz w:val="20"/>
          <w:szCs w:val="20"/>
          <w:lang w:val="en-US"/>
        </w:rPr>
        <w:t xml:space="preserve">, </w:t>
      </w:r>
      <w:proofErr w:type="spellStart"/>
      <w:r w:rsidRPr="003D5D5D">
        <w:rPr>
          <w:bCs/>
          <w:i/>
          <w:sz w:val="20"/>
          <w:szCs w:val="20"/>
          <w:lang w:val="en-US"/>
        </w:rPr>
        <w:t>determinată</w:t>
      </w:r>
      <w:proofErr w:type="spellEnd"/>
      <w:r w:rsidRPr="003D5D5D">
        <w:rPr>
          <w:bCs/>
          <w:i/>
          <w:sz w:val="20"/>
          <w:szCs w:val="20"/>
          <w:lang w:val="en-US"/>
        </w:rPr>
        <w:t xml:space="preserve"> de </w:t>
      </w:r>
      <w:proofErr w:type="spellStart"/>
      <w:r w:rsidRPr="003D5D5D">
        <w:rPr>
          <w:bCs/>
          <w:i/>
          <w:sz w:val="20"/>
          <w:szCs w:val="20"/>
          <w:lang w:val="en-US"/>
        </w:rPr>
        <w:t>modificările</w:t>
      </w:r>
      <w:proofErr w:type="spellEnd"/>
      <w:r w:rsidRPr="003D5D5D">
        <w:rPr>
          <w:bCs/>
          <w:i/>
          <w:sz w:val="20"/>
          <w:szCs w:val="20"/>
          <w:lang w:val="en-US"/>
        </w:rPr>
        <w:t xml:space="preserve"> </w:t>
      </w:r>
      <w:proofErr w:type="spellStart"/>
      <w:r w:rsidRPr="003D5D5D">
        <w:rPr>
          <w:bCs/>
          <w:i/>
          <w:sz w:val="20"/>
          <w:szCs w:val="20"/>
          <w:lang w:val="en-US"/>
        </w:rPr>
        <w:t>frecvente</w:t>
      </w:r>
      <w:proofErr w:type="spellEnd"/>
      <w:r w:rsidRPr="003D5D5D">
        <w:rPr>
          <w:bCs/>
          <w:i/>
          <w:sz w:val="20"/>
          <w:szCs w:val="20"/>
          <w:lang w:val="en-US"/>
        </w:rPr>
        <w:t xml:space="preserve"> ale </w:t>
      </w:r>
      <w:proofErr w:type="spellStart"/>
      <w:r w:rsidRPr="003D5D5D">
        <w:rPr>
          <w:bCs/>
          <w:i/>
          <w:sz w:val="20"/>
          <w:szCs w:val="20"/>
          <w:lang w:val="en-US"/>
        </w:rPr>
        <w:t>cadrului</w:t>
      </w:r>
      <w:proofErr w:type="spellEnd"/>
      <w:r w:rsidRPr="003D5D5D">
        <w:rPr>
          <w:bCs/>
          <w:i/>
          <w:sz w:val="20"/>
          <w:szCs w:val="20"/>
          <w:lang w:val="en-US"/>
        </w:rPr>
        <w:t xml:space="preserve"> </w:t>
      </w:r>
      <w:proofErr w:type="spellStart"/>
      <w:r w:rsidRPr="003D5D5D">
        <w:rPr>
          <w:bCs/>
          <w:i/>
          <w:sz w:val="20"/>
          <w:szCs w:val="20"/>
          <w:lang w:val="en-US"/>
        </w:rPr>
        <w:t>legislativ</w:t>
      </w:r>
      <w:proofErr w:type="spellEnd"/>
      <w:r w:rsidRPr="003D5D5D">
        <w:rPr>
          <w:bCs/>
          <w:i/>
          <w:sz w:val="20"/>
          <w:szCs w:val="20"/>
          <w:lang w:val="en-US"/>
        </w:rPr>
        <w:t xml:space="preserve"> fiscal. </w:t>
      </w:r>
      <w:proofErr w:type="spellStart"/>
      <w:r w:rsidRPr="003D5D5D">
        <w:rPr>
          <w:bCs/>
          <w:i/>
          <w:sz w:val="20"/>
          <w:szCs w:val="20"/>
          <w:lang w:val="en-US"/>
        </w:rPr>
        <w:t>Astfel</w:t>
      </w:r>
      <w:proofErr w:type="spellEnd"/>
      <w:r w:rsidRPr="003D5D5D">
        <w:rPr>
          <w:bCs/>
          <w:i/>
          <w:sz w:val="20"/>
          <w:szCs w:val="20"/>
          <w:lang w:val="en-US"/>
        </w:rPr>
        <w:t xml:space="preserve">, </w:t>
      </w:r>
      <w:proofErr w:type="spellStart"/>
      <w:r w:rsidRPr="003D5D5D">
        <w:rPr>
          <w:bCs/>
          <w:i/>
          <w:sz w:val="20"/>
          <w:szCs w:val="20"/>
          <w:lang w:val="en-US"/>
        </w:rPr>
        <w:t>dacă</w:t>
      </w:r>
      <w:proofErr w:type="spellEnd"/>
      <w:r w:rsidRPr="003D5D5D">
        <w:rPr>
          <w:bCs/>
          <w:i/>
          <w:sz w:val="20"/>
          <w:szCs w:val="20"/>
          <w:lang w:val="en-US"/>
        </w:rPr>
        <w:t xml:space="preserve"> </w:t>
      </w:r>
      <w:proofErr w:type="spellStart"/>
      <w:r w:rsidRPr="003D5D5D">
        <w:rPr>
          <w:bCs/>
          <w:i/>
          <w:sz w:val="20"/>
          <w:szCs w:val="20"/>
          <w:lang w:val="en-US"/>
        </w:rPr>
        <w:t>în</w:t>
      </w:r>
      <w:proofErr w:type="spellEnd"/>
      <w:r w:rsidRPr="003D5D5D">
        <w:rPr>
          <w:bCs/>
          <w:i/>
          <w:sz w:val="20"/>
          <w:szCs w:val="20"/>
          <w:lang w:val="en-US"/>
        </w:rPr>
        <w:t xml:space="preserve"> </w:t>
      </w:r>
      <w:proofErr w:type="spellStart"/>
      <w:r w:rsidRPr="003D5D5D">
        <w:rPr>
          <w:bCs/>
          <w:i/>
          <w:sz w:val="20"/>
          <w:szCs w:val="20"/>
          <w:lang w:val="en-US"/>
        </w:rPr>
        <w:t>anul</w:t>
      </w:r>
      <w:proofErr w:type="spellEnd"/>
      <w:r w:rsidRPr="003D5D5D">
        <w:rPr>
          <w:bCs/>
          <w:i/>
          <w:sz w:val="20"/>
          <w:szCs w:val="20"/>
          <w:lang w:val="en-US"/>
        </w:rPr>
        <w:t xml:space="preserve"> 2018 </w:t>
      </w:r>
      <w:proofErr w:type="spellStart"/>
      <w:r w:rsidRPr="003D5D5D">
        <w:rPr>
          <w:bCs/>
          <w:i/>
          <w:sz w:val="20"/>
          <w:szCs w:val="20"/>
          <w:lang w:val="en-US"/>
        </w:rPr>
        <w:t>influența</w:t>
      </w:r>
      <w:proofErr w:type="spellEnd"/>
      <w:r w:rsidRPr="003D5D5D">
        <w:rPr>
          <w:bCs/>
          <w:i/>
          <w:sz w:val="20"/>
          <w:szCs w:val="20"/>
          <w:lang w:val="en-US"/>
        </w:rPr>
        <w:t xml:space="preserve"> a </w:t>
      </w:r>
      <w:proofErr w:type="spellStart"/>
      <w:r w:rsidRPr="003D5D5D">
        <w:rPr>
          <w:bCs/>
          <w:i/>
          <w:sz w:val="20"/>
          <w:szCs w:val="20"/>
          <w:lang w:val="en-US"/>
        </w:rPr>
        <w:t>fost</w:t>
      </w:r>
      <w:proofErr w:type="spellEnd"/>
      <w:r w:rsidRPr="003D5D5D">
        <w:rPr>
          <w:bCs/>
          <w:i/>
          <w:sz w:val="20"/>
          <w:szCs w:val="20"/>
          <w:lang w:val="en-US"/>
        </w:rPr>
        <w:t xml:space="preserve"> </w:t>
      </w:r>
      <w:proofErr w:type="spellStart"/>
      <w:r w:rsidRPr="003D5D5D">
        <w:rPr>
          <w:bCs/>
          <w:i/>
          <w:sz w:val="20"/>
          <w:szCs w:val="20"/>
          <w:lang w:val="en-US"/>
        </w:rPr>
        <w:t>cuantificată</w:t>
      </w:r>
      <w:proofErr w:type="spellEnd"/>
      <w:r w:rsidRPr="003D5D5D">
        <w:rPr>
          <w:bCs/>
          <w:i/>
          <w:sz w:val="20"/>
          <w:szCs w:val="20"/>
          <w:lang w:val="en-US"/>
        </w:rPr>
        <w:t xml:space="preserve"> la 73,5%, </w:t>
      </w:r>
      <w:proofErr w:type="spellStart"/>
      <w:r w:rsidRPr="003D5D5D">
        <w:rPr>
          <w:bCs/>
          <w:i/>
          <w:sz w:val="20"/>
          <w:szCs w:val="20"/>
          <w:lang w:val="en-US"/>
        </w:rPr>
        <w:t>în</w:t>
      </w:r>
      <w:proofErr w:type="spellEnd"/>
      <w:r w:rsidRPr="003D5D5D">
        <w:rPr>
          <w:bCs/>
          <w:i/>
          <w:sz w:val="20"/>
          <w:szCs w:val="20"/>
          <w:lang w:val="en-US"/>
        </w:rPr>
        <w:t xml:space="preserve"> </w:t>
      </w:r>
      <w:proofErr w:type="spellStart"/>
      <w:r w:rsidRPr="003D5D5D">
        <w:rPr>
          <w:bCs/>
          <w:i/>
          <w:sz w:val="20"/>
          <w:szCs w:val="20"/>
          <w:lang w:val="en-US"/>
        </w:rPr>
        <w:t>anul</w:t>
      </w:r>
      <w:proofErr w:type="spellEnd"/>
      <w:r w:rsidRPr="003D5D5D">
        <w:rPr>
          <w:bCs/>
          <w:i/>
          <w:sz w:val="20"/>
          <w:szCs w:val="20"/>
          <w:lang w:val="en-US"/>
        </w:rPr>
        <w:t xml:space="preserve"> 2015 </w:t>
      </w:r>
      <w:proofErr w:type="spellStart"/>
      <w:r w:rsidRPr="003D5D5D">
        <w:rPr>
          <w:bCs/>
          <w:i/>
          <w:sz w:val="20"/>
          <w:szCs w:val="20"/>
          <w:lang w:val="en-US"/>
        </w:rPr>
        <w:t>influența</w:t>
      </w:r>
      <w:proofErr w:type="spellEnd"/>
      <w:r w:rsidRPr="003D5D5D">
        <w:rPr>
          <w:bCs/>
          <w:i/>
          <w:sz w:val="20"/>
          <w:szCs w:val="20"/>
          <w:lang w:val="en-US"/>
        </w:rPr>
        <w:t xml:space="preserve"> a </w:t>
      </w:r>
      <w:proofErr w:type="spellStart"/>
      <w:r w:rsidRPr="003D5D5D">
        <w:rPr>
          <w:bCs/>
          <w:i/>
          <w:sz w:val="20"/>
          <w:szCs w:val="20"/>
          <w:lang w:val="en-US"/>
        </w:rPr>
        <w:t>fost</w:t>
      </w:r>
      <w:proofErr w:type="spellEnd"/>
      <w:r w:rsidRPr="003D5D5D">
        <w:rPr>
          <w:bCs/>
          <w:i/>
          <w:sz w:val="20"/>
          <w:szCs w:val="20"/>
          <w:lang w:val="en-US"/>
        </w:rPr>
        <w:t xml:space="preserve"> de </w:t>
      </w:r>
      <w:proofErr w:type="spellStart"/>
      <w:r w:rsidRPr="003D5D5D">
        <w:rPr>
          <w:bCs/>
          <w:i/>
          <w:sz w:val="20"/>
          <w:szCs w:val="20"/>
          <w:lang w:val="en-US"/>
        </w:rPr>
        <w:t>doar</w:t>
      </w:r>
      <w:proofErr w:type="spellEnd"/>
      <w:r w:rsidRPr="003D5D5D">
        <w:rPr>
          <w:bCs/>
          <w:i/>
          <w:sz w:val="20"/>
          <w:szCs w:val="20"/>
          <w:lang w:val="en-US"/>
        </w:rPr>
        <w:t xml:space="preserve"> 10,1%.</w:t>
      </w:r>
    </w:p>
    <w:p w14:paraId="4BC7C1C3" w14:textId="77777777" w:rsidR="003D5D5D" w:rsidRPr="006E1643" w:rsidRDefault="003D5D5D" w:rsidP="0064307E">
      <w:pPr>
        <w:ind w:firstLine="0"/>
        <w:rPr>
          <w:i/>
          <w:sz w:val="20"/>
          <w:szCs w:val="20"/>
          <w:lang w:val="en-US"/>
        </w:rPr>
      </w:pPr>
    </w:p>
    <w:p w14:paraId="49612F61" w14:textId="2515930D" w:rsidR="0064307E" w:rsidRPr="004B22F3" w:rsidRDefault="00061132" w:rsidP="00604640">
      <w:pPr>
        <w:ind w:firstLine="708"/>
        <w:rPr>
          <w:sz w:val="20"/>
          <w:szCs w:val="20"/>
          <w:lang w:val="en-US"/>
        </w:rPr>
      </w:pPr>
      <w:proofErr w:type="spellStart"/>
      <w:r>
        <w:rPr>
          <w:b/>
          <w:sz w:val="20"/>
          <w:szCs w:val="20"/>
          <w:lang w:val="en-US"/>
        </w:rPr>
        <w:t>Cuvinte</w:t>
      </w:r>
      <w:proofErr w:type="spellEnd"/>
      <w:r>
        <w:rPr>
          <w:b/>
          <w:sz w:val="20"/>
          <w:szCs w:val="20"/>
          <w:lang w:val="en-US"/>
        </w:rPr>
        <w:t xml:space="preserve"> </w:t>
      </w:r>
      <w:proofErr w:type="spellStart"/>
      <w:r>
        <w:rPr>
          <w:b/>
          <w:sz w:val="20"/>
          <w:szCs w:val="20"/>
          <w:lang w:val="en-US"/>
        </w:rPr>
        <w:t>cheie</w:t>
      </w:r>
      <w:proofErr w:type="spellEnd"/>
      <w:r w:rsidR="0064307E" w:rsidRPr="004B22F3">
        <w:rPr>
          <w:sz w:val="20"/>
          <w:szCs w:val="20"/>
          <w:lang w:val="en-US"/>
        </w:rPr>
        <w:t>:</w:t>
      </w:r>
      <w:r w:rsidR="0064307E" w:rsidRPr="004B22F3">
        <w:rPr>
          <w:b/>
          <w:sz w:val="20"/>
          <w:szCs w:val="20"/>
          <w:lang w:val="en-US"/>
        </w:rPr>
        <w:t xml:space="preserve"> </w:t>
      </w:r>
      <w:proofErr w:type="spellStart"/>
      <w:r w:rsidR="009A5374" w:rsidRPr="004B22F3">
        <w:rPr>
          <w:sz w:val="20"/>
          <w:szCs w:val="20"/>
          <w:lang w:val="en-US"/>
        </w:rPr>
        <w:t>contabilitate</w:t>
      </w:r>
      <w:proofErr w:type="spellEnd"/>
      <w:r w:rsidR="009A5374" w:rsidRPr="004B22F3">
        <w:rPr>
          <w:sz w:val="20"/>
          <w:szCs w:val="20"/>
          <w:lang w:val="en-US"/>
        </w:rPr>
        <w:t xml:space="preserve">, </w:t>
      </w:r>
      <w:proofErr w:type="spellStart"/>
      <w:r w:rsidR="009A5374" w:rsidRPr="004B22F3">
        <w:rPr>
          <w:sz w:val="20"/>
          <w:szCs w:val="20"/>
          <w:lang w:val="en-US"/>
        </w:rPr>
        <w:t>fiscalitate</w:t>
      </w:r>
      <w:proofErr w:type="spellEnd"/>
      <w:r w:rsidR="009A5374" w:rsidRPr="004B22F3">
        <w:rPr>
          <w:sz w:val="20"/>
          <w:szCs w:val="20"/>
          <w:lang w:val="en-US"/>
        </w:rPr>
        <w:t xml:space="preserve">, </w:t>
      </w:r>
      <w:proofErr w:type="spellStart"/>
      <w:r w:rsidR="009A5374" w:rsidRPr="004B22F3">
        <w:rPr>
          <w:sz w:val="20"/>
          <w:szCs w:val="20"/>
          <w:lang w:val="en-US"/>
        </w:rPr>
        <w:t>relație</w:t>
      </w:r>
      <w:proofErr w:type="spellEnd"/>
      <w:r w:rsidR="009A5374" w:rsidRPr="004B22F3">
        <w:rPr>
          <w:sz w:val="20"/>
          <w:szCs w:val="20"/>
          <w:lang w:val="en-US"/>
        </w:rPr>
        <w:t xml:space="preserve">, </w:t>
      </w:r>
      <w:proofErr w:type="spellStart"/>
      <w:r w:rsidR="009A5374" w:rsidRPr="004B22F3">
        <w:rPr>
          <w:sz w:val="20"/>
          <w:szCs w:val="20"/>
          <w:lang w:val="en-US"/>
        </w:rPr>
        <w:t>analiză</w:t>
      </w:r>
      <w:proofErr w:type="spellEnd"/>
      <w:r w:rsidR="009A5374" w:rsidRPr="004B22F3">
        <w:rPr>
          <w:sz w:val="20"/>
          <w:szCs w:val="20"/>
          <w:lang w:val="en-US"/>
        </w:rPr>
        <w:t xml:space="preserve"> de </w:t>
      </w:r>
      <w:proofErr w:type="spellStart"/>
      <w:r w:rsidR="009A5374" w:rsidRPr="004B22F3">
        <w:rPr>
          <w:sz w:val="20"/>
          <w:szCs w:val="20"/>
          <w:lang w:val="en-US"/>
        </w:rPr>
        <w:t>regresie</w:t>
      </w:r>
      <w:proofErr w:type="spellEnd"/>
    </w:p>
    <w:p w14:paraId="30637867" w14:textId="77777777" w:rsidR="004B22F3" w:rsidRPr="000B1AF7" w:rsidRDefault="004B22F3" w:rsidP="004B22F3">
      <w:pPr>
        <w:ind w:firstLine="0"/>
        <w:rPr>
          <w:sz w:val="20"/>
          <w:szCs w:val="20"/>
          <w:lang w:val="en-US"/>
        </w:rPr>
      </w:pPr>
    </w:p>
    <w:p w14:paraId="730ECAED" w14:textId="0715893E" w:rsidR="004B22F3" w:rsidRPr="004B22F3" w:rsidRDefault="00061132" w:rsidP="00604640">
      <w:pPr>
        <w:ind w:firstLine="708"/>
        <w:rPr>
          <w:b/>
          <w:sz w:val="20"/>
          <w:szCs w:val="20"/>
          <w:lang w:val="en-US"/>
        </w:rPr>
      </w:pPr>
      <w:proofErr w:type="spellStart"/>
      <w:r>
        <w:rPr>
          <w:b/>
          <w:sz w:val="20"/>
          <w:szCs w:val="20"/>
          <w:lang w:val="en-US"/>
        </w:rPr>
        <w:t>Clasificarea</w:t>
      </w:r>
      <w:proofErr w:type="spellEnd"/>
      <w:r>
        <w:rPr>
          <w:b/>
          <w:sz w:val="20"/>
          <w:szCs w:val="20"/>
          <w:lang w:val="en-US"/>
        </w:rPr>
        <w:t xml:space="preserve"> </w:t>
      </w:r>
      <w:r w:rsidR="004B22F3" w:rsidRPr="000B1AF7">
        <w:rPr>
          <w:b/>
          <w:sz w:val="20"/>
          <w:szCs w:val="20"/>
          <w:lang w:val="en-US"/>
        </w:rPr>
        <w:t xml:space="preserve">JEL: </w:t>
      </w:r>
      <w:r w:rsidR="004B22F3" w:rsidRPr="004B22F3">
        <w:rPr>
          <w:sz w:val="20"/>
          <w:szCs w:val="20"/>
          <w:lang w:val="en-US"/>
        </w:rPr>
        <w:t>D81, H26</w:t>
      </w:r>
    </w:p>
    <w:p w14:paraId="198BD931" w14:textId="77777777" w:rsidR="0064307E" w:rsidRPr="006E1643" w:rsidRDefault="0064307E" w:rsidP="0064307E">
      <w:pPr>
        <w:ind w:firstLine="0"/>
        <w:rPr>
          <w:lang w:val="en-US"/>
        </w:rPr>
      </w:pPr>
    </w:p>
    <w:p w14:paraId="2517E047" w14:textId="77777777" w:rsidR="000F4386" w:rsidRPr="006E1643" w:rsidRDefault="000F4386" w:rsidP="0064307E">
      <w:pPr>
        <w:ind w:firstLine="0"/>
        <w:rPr>
          <w:b/>
          <w:lang w:val="en-US"/>
        </w:rPr>
      </w:pPr>
    </w:p>
    <w:p w14:paraId="2003D578" w14:textId="5D234A3C" w:rsidR="0064307E" w:rsidRPr="00E35BA9" w:rsidRDefault="00EB1B87" w:rsidP="008F15FF">
      <w:pPr>
        <w:pStyle w:val="ListParagraph"/>
        <w:numPr>
          <w:ilvl w:val="0"/>
          <w:numId w:val="7"/>
        </w:numPr>
        <w:ind w:firstLine="0"/>
        <w:rPr>
          <w:b/>
          <w:lang w:val="en-US"/>
        </w:rPr>
      </w:pPr>
      <w:r>
        <w:rPr>
          <w:b/>
          <w:lang w:val="en-US"/>
        </w:rPr>
        <w:t>INTRODUC</w:t>
      </w:r>
      <w:r w:rsidR="00701335">
        <w:rPr>
          <w:b/>
          <w:lang w:val="en-US"/>
        </w:rPr>
        <w:t>ERE</w:t>
      </w:r>
    </w:p>
    <w:p w14:paraId="4E210F9F" w14:textId="77777777" w:rsidR="000F4386" w:rsidRPr="006E1643" w:rsidRDefault="000F4386" w:rsidP="00156A61">
      <w:pPr>
        <w:pStyle w:val="ListParagraph"/>
        <w:ind w:left="0" w:firstLine="0"/>
        <w:rPr>
          <w:rFonts w:eastAsia="Times New Roman"/>
          <w:sz w:val="20"/>
          <w:szCs w:val="20"/>
          <w:lang w:val="en-US"/>
        </w:rPr>
      </w:pPr>
    </w:p>
    <w:p w14:paraId="656114FC" w14:textId="77777777" w:rsidR="007932AA" w:rsidRPr="004B22F3" w:rsidRDefault="008F15FF" w:rsidP="008F15FF">
      <w:pPr>
        <w:pStyle w:val="ListParagraph"/>
        <w:ind w:left="0" w:firstLine="708"/>
      </w:pPr>
      <w:r>
        <w:t>C</w:t>
      </w:r>
      <w:r w:rsidR="007932AA" w:rsidRPr="004B22F3">
        <w:t>uantificarea relației dintre contabilitate și fiscalitate constituie un demers științific a cărui utilitate este justificată atât de implicațiile de politică macroeconomică, cât și de implicațiile la nivel decizional microeconomic.</w:t>
      </w:r>
    </w:p>
    <w:p w14:paraId="586EF9A9" w14:textId="77777777" w:rsidR="007932AA" w:rsidRPr="004B22F3" w:rsidRDefault="007932AA" w:rsidP="00061132">
      <w:pPr>
        <w:pStyle w:val="ListParagraph"/>
        <w:ind w:left="0" w:firstLine="708"/>
      </w:pPr>
      <w:r w:rsidRPr="004B22F3">
        <w:t>Astfel, pe de o parte, prin cunoașterea profilului regional și temporal de evoluție a conectării în practică a contabilității la fiscalitate în cadru național, se pot adopta decizii oportune, necesare și argumentate în vederea atingerii dezideratelor din cadrul strategiei de guvernare.</w:t>
      </w:r>
    </w:p>
    <w:p w14:paraId="346CBABC" w14:textId="77777777" w:rsidR="007932AA" w:rsidRPr="004B22F3" w:rsidRDefault="007932AA" w:rsidP="00061132">
      <w:pPr>
        <w:pStyle w:val="ListParagraph"/>
        <w:ind w:left="0" w:firstLine="708"/>
      </w:pPr>
      <w:r w:rsidRPr="004B22F3">
        <w:t xml:space="preserve">Pe de altă parte, prin cunoașterea situației </w:t>
      </w:r>
      <w:r w:rsidRPr="004B22F3">
        <w:rPr>
          <w:i/>
        </w:rPr>
        <w:t>de facto</w:t>
      </w:r>
      <w:r w:rsidRPr="004B22F3">
        <w:t xml:space="preserve"> de conectare sau deconectare a contabilității la fiscalitate, se pot lua decizii optime în vederea asigurării raportării de informații contabile de calitate, nedistorsionate și poluate fiscal, în vederea asigurării sustenabilității afacerii pe termen lung.</w:t>
      </w:r>
    </w:p>
    <w:p w14:paraId="4A449F2E" w14:textId="77777777" w:rsidR="007932AA" w:rsidRDefault="007932AA" w:rsidP="000F4386">
      <w:pPr>
        <w:pStyle w:val="ListParagraph"/>
        <w:ind w:left="0" w:firstLine="0"/>
        <w:rPr>
          <w:rFonts w:eastAsia="Times New Roman"/>
          <w:sz w:val="20"/>
          <w:szCs w:val="20"/>
        </w:rPr>
      </w:pPr>
    </w:p>
    <w:p w14:paraId="459B7C3B" w14:textId="3BCCEB41" w:rsidR="007932AA" w:rsidRPr="00E35BA9" w:rsidRDefault="00701335" w:rsidP="008F15FF">
      <w:pPr>
        <w:pStyle w:val="ListParagraph"/>
        <w:numPr>
          <w:ilvl w:val="0"/>
          <w:numId w:val="7"/>
        </w:numPr>
        <w:ind w:firstLine="0"/>
        <w:rPr>
          <w:b/>
          <w:lang w:val="en-US"/>
        </w:rPr>
      </w:pPr>
      <w:r>
        <w:rPr>
          <w:b/>
          <w:lang w:val="en-US"/>
        </w:rPr>
        <w:t>RECENZIA LITERATURII</w:t>
      </w:r>
    </w:p>
    <w:p w14:paraId="78F9B913" w14:textId="77777777" w:rsidR="007932AA" w:rsidRDefault="007932AA" w:rsidP="000F4386">
      <w:pPr>
        <w:pStyle w:val="ListParagraph"/>
        <w:ind w:left="0" w:firstLine="0"/>
        <w:rPr>
          <w:rFonts w:eastAsia="Times New Roman"/>
          <w:sz w:val="20"/>
          <w:szCs w:val="20"/>
        </w:rPr>
      </w:pPr>
    </w:p>
    <w:p w14:paraId="1F3DFF59" w14:textId="77777777" w:rsidR="000F4386" w:rsidRPr="001F49B6" w:rsidRDefault="000F4386" w:rsidP="001F49B6">
      <w:pPr>
        <w:pStyle w:val="ListParagraph"/>
        <w:ind w:left="0" w:firstLine="708"/>
        <w:rPr>
          <w:rFonts w:eastAsia="Times New Roman"/>
        </w:rPr>
      </w:pPr>
      <w:r w:rsidRPr="004B22F3">
        <w:rPr>
          <w:rFonts w:eastAsia="Times New Roman"/>
        </w:rPr>
        <w:t xml:space="preserve">În context național, în România, relaţia dintre contabilitate şi fiscalitate reprezintă o temă abordată în numeroase studii teoretice de la nivelul literaturii de specialitate, precum și în unele studii empirice. În sinteză, această relație este caracterizată ca una deopotrivă dihotomică și convergentă, contabilitatea și fiscalitatea fiind conectate în unele </w:t>
      </w:r>
      <w:r w:rsidR="008C6547" w:rsidRPr="004B22F3">
        <w:rPr>
          <w:rFonts w:eastAsia="Times New Roman"/>
        </w:rPr>
        <w:t>privințe</w:t>
      </w:r>
      <w:r w:rsidRPr="004B22F3">
        <w:rPr>
          <w:rFonts w:eastAsia="Times New Roman"/>
        </w:rPr>
        <w:t xml:space="preserve"> şi deconectate în altele. Mai mult decât atât, se apreciază că între contabilitate şi fiscalitate există </w:t>
      </w:r>
      <w:r w:rsidR="008C6547" w:rsidRPr="004B22F3">
        <w:rPr>
          <w:rFonts w:eastAsia="Times New Roman"/>
        </w:rPr>
        <w:t>toleranță</w:t>
      </w:r>
      <w:r w:rsidRPr="004B22F3">
        <w:rPr>
          <w:rFonts w:eastAsia="Times New Roman"/>
        </w:rPr>
        <w:t xml:space="preserve"> şi </w:t>
      </w:r>
      <w:r w:rsidR="008C6547" w:rsidRPr="004B22F3">
        <w:rPr>
          <w:rFonts w:eastAsia="Times New Roman"/>
        </w:rPr>
        <w:t>intoleranță</w:t>
      </w:r>
      <w:r w:rsidRPr="004B22F3">
        <w:rPr>
          <w:rFonts w:eastAsia="Times New Roman"/>
        </w:rPr>
        <w:t xml:space="preserve">, neputându-se determina o </w:t>
      </w:r>
      <w:r w:rsidR="008C6547" w:rsidRPr="001F49B6">
        <w:rPr>
          <w:rFonts w:eastAsia="Times New Roman"/>
        </w:rPr>
        <w:t>dominanță</w:t>
      </w:r>
      <w:r w:rsidRPr="001F49B6">
        <w:rPr>
          <w:rFonts w:eastAsia="Times New Roman"/>
        </w:rPr>
        <w:t xml:space="preserve"> a vreuneia dintre ele, întrucât sunt interdependente, în mod cert contabilitatea fiind influenţată de fiscalitate</w:t>
      </w:r>
      <w:r w:rsidR="008C6547" w:rsidRPr="001F49B6">
        <w:rPr>
          <w:rFonts w:eastAsia="Times New Roman"/>
        </w:rPr>
        <w:t xml:space="preserve"> (</w:t>
      </w:r>
      <w:r w:rsidR="008C6547" w:rsidRPr="001F49B6">
        <w:rPr>
          <w:lang w:val="en-US"/>
        </w:rPr>
        <w:t xml:space="preserve">Ristea, 2003), </w:t>
      </w:r>
      <w:r w:rsidR="00227EED" w:rsidRPr="001F49B6">
        <w:rPr>
          <w:lang w:val="en-US"/>
        </w:rPr>
        <w:t>(</w:t>
      </w:r>
      <w:proofErr w:type="spellStart"/>
      <w:r w:rsidR="00227EED" w:rsidRPr="001F49B6">
        <w:rPr>
          <w:lang w:val="en-US"/>
        </w:rPr>
        <w:t>Paliu</w:t>
      </w:r>
      <w:proofErr w:type="spellEnd"/>
      <w:r w:rsidR="00227EED" w:rsidRPr="001F49B6">
        <w:rPr>
          <w:lang w:val="en-US"/>
        </w:rPr>
        <w:t xml:space="preserve">-Popa and </w:t>
      </w:r>
      <w:proofErr w:type="spellStart"/>
      <w:r w:rsidR="00227EED" w:rsidRPr="001F49B6">
        <w:rPr>
          <w:lang w:val="en-US"/>
        </w:rPr>
        <w:t>Ecobici</w:t>
      </w:r>
      <w:proofErr w:type="spellEnd"/>
      <w:r w:rsidR="00227EED" w:rsidRPr="001F49B6">
        <w:rPr>
          <w:lang w:val="en-US"/>
        </w:rPr>
        <w:t xml:space="preserve">, 2007), </w:t>
      </w:r>
      <w:r w:rsidR="008C6547" w:rsidRPr="001F49B6">
        <w:rPr>
          <w:lang w:val="en-US"/>
        </w:rPr>
        <w:t>(</w:t>
      </w:r>
      <w:proofErr w:type="spellStart"/>
      <w:r w:rsidR="008C6547" w:rsidRPr="001F49B6">
        <w:rPr>
          <w:lang w:val="en-US"/>
        </w:rPr>
        <w:t>Bunget</w:t>
      </w:r>
      <w:proofErr w:type="spellEnd"/>
      <w:r w:rsidR="008C6547" w:rsidRPr="001F49B6">
        <w:rPr>
          <w:lang w:val="en-US"/>
        </w:rPr>
        <w:t xml:space="preserve"> and Dumitrescu, 2008),  (Istrate, 2011), (Oprean, 2014), (</w:t>
      </w:r>
      <w:proofErr w:type="spellStart"/>
      <w:r w:rsidR="008C6547" w:rsidRPr="001F49B6">
        <w:rPr>
          <w:lang w:val="en-US"/>
        </w:rPr>
        <w:t>Mateș</w:t>
      </w:r>
      <w:proofErr w:type="spellEnd"/>
      <w:r w:rsidR="008C6547" w:rsidRPr="001F49B6">
        <w:rPr>
          <w:lang w:val="en-US"/>
        </w:rPr>
        <w:t xml:space="preserve"> et al., 2016)</w:t>
      </w:r>
      <w:r w:rsidRPr="001F49B6">
        <w:rPr>
          <w:rFonts w:eastAsia="Times New Roman"/>
        </w:rPr>
        <w:t>.</w:t>
      </w:r>
    </w:p>
    <w:p w14:paraId="2879AD1C" w14:textId="77777777" w:rsidR="006E1643" w:rsidRPr="001F49B6" w:rsidRDefault="006E1643" w:rsidP="001F49B6">
      <w:pPr>
        <w:ind w:firstLine="708"/>
        <w:rPr>
          <w:color w:val="000000"/>
          <w:shd w:val="clear" w:color="auto" w:fill="FFFFFF"/>
        </w:rPr>
      </w:pPr>
      <w:r w:rsidRPr="001F49B6">
        <w:rPr>
          <w:color w:val="000000"/>
          <w:shd w:val="clear" w:color="auto" w:fill="FFFFFF"/>
        </w:rPr>
        <w:t xml:space="preserve">Potrivit </w:t>
      </w:r>
      <w:r w:rsidR="00014929" w:rsidRPr="001F49B6">
        <w:rPr>
          <w:color w:val="000000"/>
          <w:shd w:val="clear" w:color="auto" w:fill="FFFFFF"/>
        </w:rPr>
        <w:fldChar w:fldCharType="begin"/>
      </w:r>
      <w:r w:rsidRPr="001F49B6">
        <w:rPr>
          <w:color w:val="000000"/>
          <w:shd w:val="clear" w:color="auto" w:fill="FFFFFF"/>
        </w:rPr>
        <w:instrText xml:space="preserve"> ADDIN ZOTERO_ITEM CSL_CITATION {"citationID":"NXhoCR5j","properties":{"formattedCitation":"(Popa and Paunescu, 2013)","plainCitation":"(Popa and Paunescu, 2013)","noteIndex":0},"citationItems":[{"id":1033,"uris":["http://zotero.org/users/local/xEwpYZte/items/M64V67YF"],"uri":["http://zotero.org/users/local/xEwpYZte/items/M64V67YF"],"itemData":{"id":1033,"type":"paper-conference","abstract":"The increasing trend for globalization of markets creates a growing need for a global harmonization of accounting standards, and, in the same time, leads to the development of harmonized, but independent, tax accounting principles. This economic environment has consequences on the complexity of normalizations process in these two areas. Additionally, there is a growing interest in a simplified process of tax compliance, which can lead to minimized costs and reduced tax noncompliance. Based on literature review, questionnaires and our experience, we intend to show that the real difficulties met by Romanian accounting professionals are more related to taxation issues than to accounting ones. We narrowed the research field to the SMEs, considering their increasing importance in the national economy, as well as in the European Union. We designed our study as an exploratory one on a subject of significant interest nowadays, given the constant preoccupation of disconnecting accounting from taxation.","container-title":"Proceedings of the 8th International Conference Accounting and Management Information Systems (amis 2013)","event-place":"Bucuresti","language":"English","note":"ISSN: 2247-6245\nWOS:000340256300049","page":"771-782","publisher":"Editura Ase","publisher-place":"Bucuresti","source":"Web of Science Nextgen","title":"Difficulties Faced by Smes Romanian Accounting Professionals Inside Accounting - Taxation Relationship","URL":"https://www.webofscience.com/wos/woscc/full-record/WOS:000340256300049","author":[{"family":"Popa","given":"Adriana Florina"},{"family":"Paunescu","given":"Mirela"}],"accessed":{"date-parts":[["2021",9,27]]},"issued":{"date-parts":[["2013"]]}}}],"schema":"https://github.com/citation-style-language/schema/raw/master/csl-citation.json"} </w:instrText>
      </w:r>
      <w:r w:rsidR="00014929" w:rsidRPr="001F49B6">
        <w:rPr>
          <w:color w:val="000000"/>
          <w:shd w:val="clear" w:color="auto" w:fill="FFFFFF"/>
        </w:rPr>
        <w:fldChar w:fldCharType="separate"/>
      </w:r>
      <w:r w:rsidRPr="001F49B6">
        <w:t>(Popa and Paunescu, 2013)</w:t>
      </w:r>
      <w:r w:rsidR="00014929" w:rsidRPr="001F49B6">
        <w:rPr>
          <w:color w:val="000000"/>
          <w:shd w:val="clear" w:color="auto" w:fill="FFFFFF"/>
        </w:rPr>
        <w:fldChar w:fldCharType="end"/>
      </w:r>
      <w:r w:rsidRPr="001F49B6">
        <w:rPr>
          <w:color w:val="000000"/>
          <w:shd w:val="clear" w:color="auto" w:fill="FFFFFF"/>
        </w:rPr>
        <w:t xml:space="preserve"> contextul global actual, conduce la necesitatea armonizării standardelor contabile, dar și la elaborarea de principii fiscale armonizate, dar independente.</w:t>
      </w:r>
    </w:p>
    <w:p w14:paraId="5EF2D25A" w14:textId="77777777" w:rsidR="000F4386" w:rsidRPr="001F49B6" w:rsidRDefault="000F4386" w:rsidP="001F49B6">
      <w:pPr>
        <w:pStyle w:val="ListParagraph"/>
        <w:ind w:left="0" w:firstLine="708"/>
        <w:rPr>
          <w:rFonts w:eastAsia="Times New Roman"/>
        </w:rPr>
      </w:pPr>
      <w:r w:rsidRPr="001F49B6">
        <w:rPr>
          <w:rFonts w:eastAsia="Times New Roman"/>
        </w:rPr>
        <w:t>În context european, relația dintre contabilitate și fiscalitate este caracterizată de instabilitate, aflându-se într-un proces continuu de schimbare, prin raportare la interesele ce trebuie mediate vizavi de gestionarea rezultatului, ca urmare a presiunilor părților interesate care urmăresc obiective diferite.</w:t>
      </w:r>
    </w:p>
    <w:p w14:paraId="247CB5F7" w14:textId="77777777" w:rsidR="008C6547" w:rsidRPr="001F49B6" w:rsidRDefault="008C6547" w:rsidP="00E54F18">
      <w:pPr>
        <w:pStyle w:val="ListParagraph"/>
        <w:ind w:left="0" w:firstLine="708"/>
      </w:pPr>
      <w:r w:rsidRPr="001F49B6">
        <w:t>Hoogendoorn (1996) a elaborat o taxonomie referitoare la relația dintre contabilitate și fiscalitate pe baza analizei cadrelor normative de reglementare în 13 țări din Uniunea Europeană, după cum urmează:</w:t>
      </w:r>
    </w:p>
    <w:p w14:paraId="5F5D9474" w14:textId="77777777" w:rsidR="008C6547" w:rsidRPr="001F49B6" w:rsidRDefault="008C6547" w:rsidP="00E54F18">
      <w:pPr>
        <w:pStyle w:val="ListParagraph"/>
        <w:ind w:left="0" w:firstLine="720"/>
      </w:pPr>
      <w:r w:rsidRPr="001F49B6">
        <w:lastRenderedPageBreak/>
        <w:t>- contabilitatea și fiscalitatea sunt caracterizate ca fiind dependente și această relație nu este așteptată să se modifice. În acest caz, regulile contabile sunt influențate de fiscalitate – exemplul țărilor Belgia și Italia.</w:t>
      </w:r>
    </w:p>
    <w:p w14:paraId="24150A2C" w14:textId="77777777" w:rsidR="008C6547" w:rsidRPr="001F49B6" w:rsidRDefault="008C6547" w:rsidP="00E54F18">
      <w:pPr>
        <w:pStyle w:val="ListParagraph"/>
        <w:ind w:left="0" w:firstLine="720"/>
      </w:pPr>
      <w:r w:rsidRPr="001F49B6">
        <w:t>- contabilitatea și fiscalitatea sunt caracterizate ca fiind dependente însă se dorește modificarea acestei relații (Suedia și Finlanda).</w:t>
      </w:r>
    </w:p>
    <w:p w14:paraId="56340044" w14:textId="77777777" w:rsidR="008C6547" w:rsidRPr="001F49B6" w:rsidRDefault="008C6547" w:rsidP="00E54F18">
      <w:pPr>
        <w:pStyle w:val="ListParagraph"/>
        <w:ind w:left="0" w:firstLine="720"/>
      </w:pPr>
      <w:r w:rsidRPr="001F49B6">
        <w:t>- contabilitatea și fiscalitatea sunt la nivel formal independente însă în practică acestea sunt conectate (Polonia și Cehia).</w:t>
      </w:r>
    </w:p>
    <w:p w14:paraId="23FB1915" w14:textId="77777777" w:rsidR="008C6547" w:rsidRPr="001F49B6" w:rsidRDefault="008C6547" w:rsidP="00E54F18">
      <w:pPr>
        <w:pStyle w:val="ListParagraph"/>
        <w:ind w:left="0" w:firstLine="720"/>
      </w:pPr>
      <w:r w:rsidRPr="001F49B6">
        <w:t>- contabilitatea și fiscalitatea sunt la nivel formal și în practică independente (Danemarca, Marea Britanie).</w:t>
      </w:r>
    </w:p>
    <w:p w14:paraId="72FDEF13" w14:textId="77777777" w:rsidR="000F4386" w:rsidRPr="001F49B6" w:rsidRDefault="000F4386" w:rsidP="00E54F18">
      <w:pPr>
        <w:pStyle w:val="ListParagraph"/>
        <w:ind w:left="0" w:firstLine="708"/>
        <w:rPr>
          <w:rFonts w:eastAsia="Times New Roman"/>
        </w:rPr>
      </w:pPr>
      <w:r w:rsidRPr="001F49B6">
        <w:rPr>
          <w:rFonts w:eastAsia="Times New Roman"/>
        </w:rPr>
        <w:t>Raportat la contextul global, tendințele generale se canalizează spre asigurarea unei armonizări, respectiv a unei convergențe și conformități contabile la nivel internațional, în ceea ce privește fiscalitatea acest deziderat aflându-se în impas, dat fiind faptul că nu există elaborat un cadru în acest sens.</w:t>
      </w:r>
    </w:p>
    <w:p w14:paraId="12C9B1CD" w14:textId="77777777" w:rsidR="008C6547" w:rsidRPr="001F49B6" w:rsidRDefault="008C6547" w:rsidP="00E54F18">
      <w:pPr>
        <w:pStyle w:val="ListParagraph"/>
        <w:ind w:left="0" w:firstLine="708"/>
      </w:pPr>
      <w:r w:rsidRPr="001F49B6">
        <w:t>În acest context este relevant studiul efectuat de Lamb et al. (1998) la nivelul a 4 țări, respectiv Marea Britanie, Statele Unite ale Americii, Franța și Germania pe baza unui număr de 15 elemente (vizând recunoașterea și evaluarea activelor fixe, leasingurile operaționale și financiare, deprecierile, provizioanele și activele și datoriile contingente, costurile de cercetare-dezvoltare, evaluarea stocurilor, costurile îndatorării, ș.a.), care prezintă o grilă de clasificare structurată în cinci categorii.</w:t>
      </w:r>
    </w:p>
    <w:p w14:paraId="5EB6CFBA" w14:textId="77777777" w:rsidR="006E1643" w:rsidRPr="001F49B6" w:rsidRDefault="006E1643" w:rsidP="00E54F18">
      <w:pPr>
        <w:ind w:firstLine="708"/>
        <w:rPr>
          <w:color w:val="000000"/>
          <w:shd w:val="clear" w:color="auto" w:fill="FFFFFF"/>
        </w:rPr>
      </w:pPr>
      <w:r w:rsidRPr="001F49B6">
        <w:rPr>
          <w:color w:val="000000"/>
          <w:shd w:val="clear" w:color="auto" w:fill="FFFFFF"/>
        </w:rPr>
        <w:t xml:space="preserve">Alte studii cercetează relația dintre iregularitățile contabile și planificarea fiscală agresivă </w:t>
      </w:r>
      <w:r w:rsidR="00014929" w:rsidRPr="001F49B6">
        <w:rPr>
          <w:color w:val="000000"/>
          <w:shd w:val="clear" w:color="auto" w:fill="FFFFFF"/>
        </w:rPr>
        <w:fldChar w:fldCharType="begin"/>
      </w:r>
      <w:r w:rsidRPr="001F49B6">
        <w:rPr>
          <w:color w:val="000000"/>
          <w:shd w:val="clear" w:color="auto" w:fill="FFFFFF"/>
        </w:rPr>
        <w:instrText xml:space="preserve"> ADDIN ZOTERO_ITEM CSL_CITATION {"citationID":"OX6a3h8y","properties":{"formattedCitation":"(Hashim, Ariff and Amrah, 2016)","plainCitation":"(Hashim, Ariff and Amrah, 2016)","noteIndex":0},"citationItems":[{"id":1032,"uris":["http://zotero.org/users/local/xEwpYZte/items/4YHXJDYH"],"uri":["http://zotero.org/users/local/xEwpYZte/items/4YHXJDYH"],"itemData":{"id":1032,"type":"article-journal","abstract":"We examine the association between the incidence of accounting irregularities and aggressive tax reporting. We use Beneish's M-score model to measure accounting irregularities and effective tax rates (ETR) to measure tax aggressiveness. Based on analysis of publicly listed Malaysian firms from 2008 to 2011, we find a positive but not significant relationship between accounting irregularities and tax aggressiveness. Though contrary to prior findings, our study adds to the evidence of the various motivations behind the unethical behavior involving financial reporting and/or taxation decisions. The finding of this study is useful to both financial and tax authorities in understanding the link between financial and tax reporting decisions.","container-title":"International Journal of Economics Management and Accounting","ISSN":"1394-7680","issue":"1","journalAbbreviation":"Int. J. Econ. Manag. Account.","language":"English","note":"publisher-place: Salanger\npublisher: Iium Press\nWOS:000383251200001","page":"1-14","source":"Web of Science Nextgen","title":"Accounting Irregularities and Tax Aggressiveness","volume":"24","author":[{"family":"Hashim","given":"Hafiza Aishah"},{"family":"Ariff","given":"Akmalia Mohamad"},{"family":"Amrah","given":"Muneer Rajab"}],"issued":{"date-parts":[["2016"]]}}}],"schema":"https://github.com/citation-style-language/schema/raw/master/csl-citation.json"} </w:instrText>
      </w:r>
      <w:r w:rsidR="00014929" w:rsidRPr="001F49B6">
        <w:rPr>
          <w:color w:val="000000"/>
          <w:shd w:val="clear" w:color="auto" w:fill="FFFFFF"/>
        </w:rPr>
        <w:fldChar w:fldCharType="separate"/>
      </w:r>
      <w:r w:rsidRPr="001F49B6">
        <w:t>(Hashim, Ariff and Amrah, 2016)</w:t>
      </w:r>
      <w:r w:rsidR="00014929" w:rsidRPr="001F49B6">
        <w:rPr>
          <w:color w:val="000000"/>
          <w:shd w:val="clear" w:color="auto" w:fill="FFFFFF"/>
        </w:rPr>
        <w:fldChar w:fldCharType="end"/>
      </w:r>
      <w:r w:rsidRPr="001F49B6">
        <w:rPr>
          <w:color w:val="000000"/>
          <w:shd w:val="clear" w:color="auto" w:fill="FFFFFF"/>
        </w:rPr>
        <w:t xml:space="preserve">, constatând că există o relație pozitivă între acestea, dar nesemnificativă. Alte cercetări sunt conduse în vederea surprinderii relației dintre rezultatul contabil și cel fiscal </w:t>
      </w:r>
      <w:r w:rsidR="00014929" w:rsidRPr="001F49B6">
        <w:rPr>
          <w:color w:val="000000"/>
          <w:shd w:val="clear" w:color="auto" w:fill="FFFFFF"/>
        </w:rPr>
        <w:fldChar w:fldCharType="begin"/>
      </w:r>
      <w:r w:rsidRPr="001F49B6">
        <w:rPr>
          <w:color w:val="000000"/>
          <w:shd w:val="clear" w:color="auto" w:fill="FFFFFF"/>
        </w:rPr>
        <w:instrText xml:space="preserve"> ADDIN ZOTERO_ITEM CSL_CITATION {"citationID":"i1uXvwl6","properties":{"formattedCitation":"(Deitch, 2014)","plainCitation":"(Deitch, 2014)","noteIndex":0},"citationItems":[{"id":1043,"uris":["http://zotero.org/users/local/xEwpYZte/items/F9NPDXUW"],"uri":["http://zotero.org/users/local/xEwpYZte/items/F9NPDXUW"],"itemData":{"id":1043,"type":"article-journal","abstract":"This article presents a synthetic and analytical accounting of financial result from the sale of products and the final financial result; reflects the operational and non-operating income and expenses from fines, penalties. And, also in this paper, we consider the differences, similarities and the interaction of tax and accounting.Mongolian Journal of Agricultural Sciences Vol.13(2) 2014: 141-145","container-title":"Mongolian Journal of Agricultural Sciences","DOI":"10.5564/mjas.v13i2.534","ISSN":"2524-0722","issue":"2","language":"en","note":"number: 2","page":"141-145","source":"mongoliajol.info","title":"ACCOUNTING AND TAX REPORTING OF FINANCIAL RESULTS","volume":"13","author":[{"family":"Deitch","given":"U. Yu"}],"issued":{"date-parts":[["2014"]]}}}],"schema":"https://github.com/citation-style-language/schema/raw/master/csl-citation.json"} </w:instrText>
      </w:r>
      <w:r w:rsidR="00014929" w:rsidRPr="001F49B6">
        <w:rPr>
          <w:color w:val="000000"/>
          <w:shd w:val="clear" w:color="auto" w:fill="FFFFFF"/>
        </w:rPr>
        <w:fldChar w:fldCharType="separate"/>
      </w:r>
      <w:r w:rsidRPr="001F49B6">
        <w:t>(Deitch, 2014)</w:t>
      </w:r>
      <w:r w:rsidR="00014929" w:rsidRPr="001F49B6">
        <w:rPr>
          <w:color w:val="000000"/>
          <w:shd w:val="clear" w:color="auto" w:fill="FFFFFF"/>
        </w:rPr>
        <w:fldChar w:fldCharType="end"/>
      </w:r>
      <w:r w:rsidRPr="001F49B6">
        <w:rPr>
          <w:color w:val="000000"/>
          <w:shd w:val="clear" w:color="auto" w:fill="FFFFFF"/>
        </w:rPr>
        <w:t xml:space="preserve"> și o serie de cercetări internaționale sunt conduse în sfera conformității dintre regulile și rezultatele contabile și fiscale și legătura dintre acestea și contabilitatea creativă sau managementul rezultatului sau al câștigurilor </w:t>
      </w:r>
      <w:r w:rsidR="00014929" w:rsidRPr="001F49B6">
        <w:rPr>
          <w:color w:val="000000"/>
          <w:shd w:val="clear" w:color="auto" w:fill="FFFFFF"/>
        </w:rPr>
        <w:fldChar w:fldCharType="begin"/>
      </w:r>
      <w:r w:rsidRPr="001F49B6">
        <w:rPr>
          <w:color w:val="000000"/>
          <w:shd w:val="clear" w:color="auto" w:fill="FFFFFF"/>
        </w:rPr>
        <w:instrText xml:space="preserve"> ADDIN ZOTERO_ITEM CSL_CITATION {"citationID":"75TmpIio","properties":{"formattedCitation":"(Atwood, Drake and Myers, 2010)","plainCitation":"(Atwood, Drake and Myers, 2010)","noteIndex":0},"citationItems":[{"id":1047,"uris":["http://zotero.org/users/local/xEwpYZte/items/5EMM6CXZ"],"uri":["http://zotero.org/users/local/xEwpYZte/items/5EMM6CXZ"],"itemData":{"id":1047,"type":"article-journal","abstract":"Calls for eliminating differences between accounting earnings and taxable income in the US have been debated extensively. Proponents of increased book-tax conformity argue that tax compliance will increase and earnings quality will improve. Opponents argue that earnings quality will decline. We examine whether the level of required book-tax conformity affects earnings persistence and the association between earnings and future cash flows. We develop a comprehensive book-tax conformity measure and find that earnings have lower persistence and a lower association with future cash flows when conformity is higher. Our evidence suggests that increased book-tax conformity may reduce earnings quality.","container-title":"Journal of Accounting and Economics","DOI":"10.1016/j.jacceco.2009.11.001","ISSN":"0165-4101","issue":"1","journalAbbreviation":"Journal of Accounting and Economics","language":"en","page":"111-125","source":"ScienceDirect","title":"Book-tax conformity, earnings persistence and the association between earnings and future cash flows","volume":"50","author":[{"family":"Atwood","given":"T. J."},{"family":"Drake","given":"Michael S."},{"family":"Myers","given":"Linda A."}],"issued":{"date-parts":[["2010",5,1]]}}}],"schema":"https://github.com/citation-style-language/schema/raw/master/csl-citation.json"} </w:instrText>
      </w:r>
      <w:r w:rsidR="00014929" w:rsidRPr="001F49B6">
        <w:rPr>
          <w:color w:val="000000"/>
          <w:shd w:val="clear" w:color="auto" w:fill="FFFFFF"/>
        </w:rPr>
        <w:fldChar w:fldCharType="separate"/>
      </w:r>
      <w:r w:rsidRPr="001F49B6">
        <w:t>(Atwood, Drake and Myers, 2010)</w:t>
      </w:r>
      <w:r w:rsidR="00014929" w:rsidRPr="001F49B6">
        <w:rPr>
          <w:color w:val="000000"/>
          <w:shd w:val="clear" w:color="auto" w:fill="FFFFFF"/>
        </w:rPr>
        <w:fldChar w:fldCharType="end"/>
      </w:r>
      <w:r w:rsidRPr="001F49B6">
        <w:rPr>
          <w:color w:val="000000"/>
          <w:shd w:val="clear" w:color="auto" w:fill="FFFFFF"/>
        </w:rPr>
        <w:t xml:space="preserve">, </w:t>
      </w:r>
      <w:r w:rsidR="00014929" w:rsidRPr="001F49B6">
        <w:rPr>
          <w:color w:val="000000"/>
          <w:shd w:val="clear" w:color="auto" w:fill="FFFFFF"/>
        </w:rPr>
        <w:fldChar w:fldCharType="begin"/>
      </w:r>
      <w:r w:rsidRPr="001F49B6">
        <w:rPr>
          <w:color w:val="000000"/>
          <w:shd w:val="clear" w:color="auto" w:fill="FFFFFF"/>
        </w:rPr>
        <w:instrText xml:space="preserve"> ADDIN ZOTERO_ITEM CSL_CITATION {"citationID":"4M9tqYD0","properties":{"formattedCitation":"(Hanlon, 2002)","plainCitation":"(Hanlon, 2002)","noteIndex":0},"citationItems":[{"id":534,"uris":["http://zotero.org/users/local/xEwpYZte/items/Z3TBQDZ4"],"uri":["http://zotero.org/users/local/xEwpYZte/items/Z3TBQDZ4"],"itemData":{"id":534,"type":"report","abstract":"I investigate the role of book-tax differences in indicating the persistence of earnings, accruals and cash flows for one-period-ahead earnings.  I also examine whether the level of book-tax differences influences investors' assessments of future earnings persistence.  I find that firm-years with large book-tax differences have earnings which are less persistent than firm-years with small book-tax differences.  Further, the evidence is consistent with investors interpreting large positive book-tax differences (book income greater than taxable income) as a \"red flag\" and reducing their expectation of future earnings persistence for these firm-years.  However, for firm-years with large negative book-tax differences (book income less than taxable income), investors overestimate the persistence of the accrual component of earnings, consistent with prior research (e.g., Sloan 1996).  Finally, analyst forecast data provide evidence consistent with analysts utilizing the information in the book-tax differences in a manner similar to investors: forecast errors for firm-years that have large positive book-tax differences are less optimistic.","event-place":"Rochester, NY","genre":"SSRN Scholarly Paper","language":"en","note":"DOI: 10.2139/ssrn.379140","number":"ID 379140","publisher":"Social Science Research Network","publisher-place":"Rochester, NY","source":"papers.ssrn.com","title":"The Persistence and Pricing of Earnings, Accruals, and Cash Flows When Firms Have Large Book-Tax Differences","URL":"https://papers.ssrn.com/abstract=379140","author":[{"family":"Hanlon","given":"Michelle"}],"accessed":{"date-parts":[["2020",8,10]]},"issued":{"date-parts":[["2002",12,1]]}}}],"schema":"https://github.com/citation-style-language/schema/raw/master/csl-citation.json"} </w:instrText>
      </w:r>
      <w:r w:rsidR="00014929" w:rsidRPr="001F49B6">
        <w:rPr>
          <w:color w:val="000000"/>
          <w:shd w:val="clear" w:color="auto" w:fill="FFFFFF"/>
        </w:rPr>
        <w:fldChar w:fldCharType="separate"/>
      </w:r>
      <w:r w:rsidRPr="001F49B6">
        <w:t>(Hanlon, 2002)</w:t>
      </w:r>
      <w:r w:rsidR="00014929" w:rsidRPr="001F49B6">
        <w:rPr>
          <w:color w:val="000000"/>
          <w:shd w:val="clear" w:color="auto" w:fill="FFFFFF"/>
        </w:rPr>
        <w:fldChar w:fldCharType="end"/>
      </w:r>
      <w:r w:rsidRPr="001F49B6">
        <w:rPr>
          <w:color w:val="000000"/>
          <w:shd w:val="clear" w:color="auto" w:fill="FFFFFF"/>
        </w:rPr>
        <w:t xml:space="preserve">, </w:t>
      </w:r>
      <w:r w:rsidR="00014929" w:rsidRPr="001F49B6">
        <w:rPr>
          <w:color w:val="000000"/>
          <w:shd w:val="clear" w:color="auto" w:fill="FFFFFF"/>
        </w:rPr>
        <w:fldChar w:fldCharType="begin"/>
      </w:r>
      <w:r w:rsidRPr="001F49B6">
        <w:rPr>
          <w:color w:val="000000"/>
          <w:shd w:val="clear" w:color="auto" w:fill="FFFFFF"/>
        </w:rPr>
        <w:instrText xml:space="preserve"> ADDIN ZOTERO_ITEM CSL_CITATION {"citationID":"WUnxOjWD","properties":{"formattedCitation":"(Watrin, Ebert and Thomsen, 2014)","plainCitation":"(Watrin, Ebert and Thomsen, 2014)","noteIndex":0},"citationItems":[{"id":1049,"uris":["http://zotero.org/users/local/xEwpYZte/items/UDKPW2SU"],"uri":["http://zotero.org/users/local/xEwpYZte/items/UDKPW2SU"],"itemData":{"id":1049,"type":"article-journal","abstract":"There is an ongoing debate in the U.S. about the effect of book-tax conformity on earnings management in consolidated statements. Although both one- and two-book systems are present in Europe, European data have not been used to contribute to this debate. In this study, we examine the influence of one- and two-book systems on earnings management using consolidated statements and single financial statements of European firm-years from 2004 to 2011. A one-book system is defined as a situation in which financial accounting income and taxable income are highly conformed, whereas a two-book system is characterized by differences between consolidated financial income and taxable income. We find that firms in one-book systems show significantly more (downward) earnings management in their consolidated statements than do firms in two-book systems. With these findings, we contribute to the U.S. policy debate on book-tax conformity and earnings management.","container-title":"Journal of the American Taxation Association","DOI":"10.2308/atax-50769","ISSN":"0198-9073","issue":"2","journalAbbreviation":"Journal of the American Taxation Association","page":"55-89","source":"Silverchair","title":"Book-Tax Conformity and Earnings Management: Insights from European One- and Two-Book Systems","title-short":"Book-Tax Conformity and Earnings Management","volume":"36","author":[{"family":"Watrin","given":"Christoph"},{"family":"Ebert","given":"Nadine"},{"family":"Thomsen","given":"Martin"}],"issued":{"date-parts":[["2014",3,1]]}}}],"schema":"https://github.com/citation-style-language/schema/raw/master/csl-citation.json"} </w:instrText>
      </w:r>
      <w:r w:rsidR="00014929" w:rsidRPr="001F49B6">
        <w:rPr>
          <w:color w:val="000000"/>
          <w:shd w:val="clear" w:color="auto" w:fill="FFFFFF"/>
        </w:rPr>
        <w:fldChar w:fldCharType="separate"/>
      </w:r>
      <w:r w:rsidRPr="001F49B6">
        <w:t>(Watrin, Ebert and Thomsen, 2014)</w:t>
      </w:r>
      <w:r w:rsidR="00014929" w:rsidRPr="001F49B6">
        <w:rPr>
          <w:color w:val="000000"/>
          <w:shd w:val="clear" w:color="auto" w:fill="FFFFFF"/>
        </w:rPr>
        <w:fldChar w:fldCharType="end"/>
      </w:r>
      <w:r w:rsidRPr="001F49B6">
        <w:rPr>
          <w:color w:val="000000"/>
          <w:shd w:val="clear" w:color="auto" w:fill="FFFFFF"/>
        </w:rPr>
        <w:t>.</w:t>
      </w:r>
    </w:p>
    <w:p w14:paraId="264BECA3" w14:textId="77777777" w:rsidR="006E1643" w:rsidRPr="001F49B6" w:rsidRDefault="006E1643" w:rsidP="00E54F18">
      <w:pPr>
        <w:ind w:firstLine="708"/>
        <w:rPr>
          <w:color w:val="000000"/>
          <w:shd w:val="clear" w:color="auto" w:fill="FFFFFF"/>
        </w:rPr>
      </w:pPr>
      <w:r w:rsidRPr="001F49B6">
        <w:rPr>
          <w:color w:val="000000"/>
          <w:shd w:val="clear" w:color="auto" w:fill="FFFFFF"/>
        </w:rPr>
        <w:t xml:space="preserve">Din perspectiva politicii fiscale, rezultatele obținute de </w:t>
      </w:r>
      <w:r w:rsidR="00014929" w:rsidRPr="001F49B6">
        <w:rPr>
          <w:color w:val="000000"/>
          <w:shd w:val="clear" w:color="auto" w:fill="FFFFFF"/>
        </w:rPr>
        <w:fldChar w:fldCharType="begin"/>
      </w:r>
      <w:r w:rsidRPr="001F49B6">
        <w:rPr>
          <w:color w:val="000000"/>
          <w:shd w:val="clear" w:color="auto" w:fill="FFFFFF"/>
        </w:rPr>
        <w:instrText xml:space="preserve"> ADDIN ZOTERO_ITEM CSL_CITATION {"citationID":"4MLTjvn5","properties":{"formattedCitation":"(Mills and Newberry, 2001)","plainCitation":"(Mills and Newberry, 2001)","noteIndex":0},"citationItems":[{"id":1044,"uris":["http://zotero.org/users/local/xEwpYZte/items/CG5T9UXK"],"uri":["http://zotero.org/users/local/xEwpYZte/items/CG5T9UXK"],"itemData":{"id":1044,"type":"article-journal","abstract":"We provide archival evidence on firms' book‐tax reporting differences using tax return data on public and private manufacturing firms. Prior research suggests that managers should report conforming book income to minimize tax‐related costs. However, reporting conformity can also impose nontax costs. We find evidence that public firms have generally higher financial‐reporting costs that result in larger book‐tax differences. In addition, we find that higher debt levels impose greater nontax costs on firms that are privately held or more financially distressed. Finally, our tests of differences among public firms suggest that nontax costs associated with bonus plan thresholds and book income patterns affect their book‐tax reporting. Our tests extend prior studies that focus on whether firms engage in specific conforming transactions. From a tax policy perspective, our results suggest that book‐tax differences may be a less useful indicator of private firms' aggressive tax positions because they have fewer incentives to report nonconforming book income.","container-title":"Journal of the American Taxation Association","DOI":"10.2308/jata.2001.23.1.1","ISSN":"0198-9073","issue":"1","journalAbbreviation":"Journal of the American Taxation Association","page":"1-19","source":"Silverchair","title":"The Influence of Tax and Nontax Costs on Book‐Tax Reporting Differences: Public and Private Firms","title-short":"The Influence of Tax and Nontax Costs on Book‐Tax Reporting Differences","volume":"23","author":[{"family":"Mills","given":"Lillian F."},{"family":"Newberry","given":"Kaye J."}],"issued":{"date-parts":[["2001",3,1]]}}}],"schema":"https://github.com/citation-style-language/schema/raw/master/csl-citation.json"} </w:instrText>
      </w:r>
      <w:r w:rsidR="00014929" w:rsidRPr="001F49B6">
        <w:rPr>
          <w:color w:val="000000"/>
          <w:shd w:val="clear" w:color="auto" w:fill="FFFFFF"/>
        </w:rPr>
        <w:fldChar w:fldCharType="separate"/>
      </w:r>
      <w:r w:rsidRPr="001F49B6">
        <w:t>(Mills and Newberry, 2001)</w:t>
      </w:r>
      <w:r w:rsidR="00014929" w:rsidRPr="001F49B6">
        <w:rPr>
          <w:color w:val="000000"/>
          <w:shd w:val="clear" w:color="auto" w:fill="FFFFFF"/>
        </w:rPr>
        <w:fldChar w:fldCharType="end"/>
      </w:r>
      <w:r w:rsidRPr="001F49B6">
        <w:rPr>
          <w:color w:val="000000"/>
          <w:shd w:val="clear" w:color="auto" w:fill="FFFFFF"/>
        </w:rPr>
        <w:t xml:space="preserve"> sugerează că diferențele dintre contabilitate și fiscalitate pot fi un indicator mai puțin util în zona mediului de afaceri privat și mai util în zona entităților publice.</w:t>
      </w:r>
    </w:p>
    <w:p w14:paraId="49C1E96E" w14:textId="77777777" w:rsidR="008C6547" w:rsidRPr="006E1643" w:rsidRDefault="008C6547" w:rsidP="000F4386">
      <w:pPr>
        <w:pStyle w:val="ListParagraph"/>
        <w:ind w:left="0" w:firstLine="0"/>
        <w:rPr>
          <w:rFonts w:eastAsia="Times New Roman"/>
          <w:sz w:val="20"/>
          <w:szCs w:val="20"/>
        </w:rPr>
      </w:pPr>
    </w:p>
    <w:p w14:paraId="2F24EDFD" w14:textId="77777777" w:rsidR="00784061" w:rsidRPr="006E1643" w:rsidRDefault="00784061" w:rsidP="00156A61">
      <w:pPr>
        <w:ind w:firstLine="0"/>
        <w:rPr>
          <w:b/>
          <w:lang w:val="en-US"/>
        </w:rPr>
      </w:pPr>
    </w:p>
    <w:p w14:paraId="1DF11588" w14:textId="33179441" w:rsidR="006024C8" w:rsidRPr="00701335" w:rsidRDefault="00701335" w:rsidP="00701335">
      <w:pPr>
        <w:pStyle w:val="ListParagraph"/>
        <w:numPr>
          <w:ilvl w:val="0"/>
          <w:numId w:val="7"/>
        </w:numPr>
        <w:ind w:hanging="11"/>
        <w:rPr>
          <w:sz w:val="20"/>
          <w:szCs w:val="20"/>
          <w:lang w:val="en-US"/>
        </w:rPr>
      </w:pPr>
      <w:r w:rsidRPr="00701335">
        <w:rPr>
          <w:b/>
          <w:lang w:val="en-US"/>
        </w:rPr>
        <w:t>CUANTIFICAREA ÎN PRACTICĂ A RELAȚIEI CONTABILITATE - FISCALITATE</w:t>
      </w:r>
    </w:p>
    <w:p w14:paraId="44D3B6EE" w14:textId="4F3AD73D" w:rsidR="00A93D73" w:rsidRPr="00E35BA9" w:rsidRDefault="004E3F1E" w:rsidP="008F15FF">
      <w:pPr>
        <w:pStyle w:val="ListParagraph"/>
        <w:numPr>
          <w:ilvl w:val="1"/>
          <w:numId w:val="7"/>
        </w:numPr>
        <w:ind w:firstLine="0"/>
        <w:rPr>
          <w:b/>
          <w:lang w:val="en-US"/>
        </w:rPr>
      </w:pPr>
      <w:bookmarkStart w:id="0" w:name="_Toc72149774"/>
      <w:bookmarkStart w:id="1" w:name="_Toc72149870"/>
      <w:bookmarkStart w:id="2" w:name="_Toc72497735"/>
      <w:r>
        <w:rPr>
          <w:b/>
          <w:lang w:val="en-US"/>
        </w:rPr>
        <w:t xml:space="preserve"> </w:t>
      </w:r>
      <w:r w:rsidR="00701335" w:rsidRPr="00701335">
        <w:rPr>
          <w:b/>
          <w:lang w:val="en-US"/>
        </w:rPr>
        <w:t>METODOLOGIA DE CERCETARE ȘI EȘANTIONUL DE DATE ANALIZATE</w:t>
      </w:r>
    </w:p>
    <w:p w14:paraId="091DAEF7" w14:textId="77777777" w:rsidR="00A93D73" w:rsidRPr="006E1643" w:rsidRDefault="00A93D73" w:rsidP="006F1378">
      <w:pPr>
        <w:ind w:firstLine="0"/>
        <w:rPr>
          <w:i/>
          <w:sz w:val="20"/>
          <w:szCs w:val="20"/>
          <w:lang w:val="en-US"/>
        </w:rPr>
      </w:pPr>
    </w:p>
    <w:p w14:paraId="52CDFFCA" w14:textId="77777777" w:rsidR="006F1378" w:rsidRPr="00E35BA9" w:rsidRDefault="006F1378" w:rsidP="00E35BA9">
      <w:pPr>
        <w:ind w:firstLine="708"/>
        <w:rPr>
          <w:bCs/>
        </w:rPr>
      </w:pPr>
      <w:r w:rsidRPr="00E35BA9">
        <w:t>Efectuarea cercetării a presupus utilizarea c</w:t>
      </w:r>
      <w:r w:rsidRPr="00E35BA9">
        <w:rPr>
          <w:bCs/>
        </w:rPr>
        <w:t>a instrumentar metodologic a softului statistic SPSS versiunea 22, precum și a programului Microsoft Excel. Sursele pentru datele primare, reprezentând indicatori economico-financiari ai enităților incluse în analiză au fost extrase din bazele de date ale Ministerului Finanțelor (https://mfinante.gov.ro/ro/web/site), precum și bazele de date deschise livrate de autoritățile și instituțiile administrației publice disponibile la adresa: https://data.gov.ro/.</w:t>
      </w:r>
    </w:p>
    <w:p w14:paraId="43DABBDA" w14:textId="77777777" w:rsidR="006F1378" w:rsidRPr="00E35BA9" w:rsidRDefault="006F1378" w:rsidP="00E35BA9">
      <w:pPr>
        <w:ind w:firstLine="708"/>
        <w:rPr>
          <w:bCs/>
        </w:rPr>
      </w:pPr>
      <w:r w:rsidRPr="00E35BA9">
        <w:rPr>
          <w:bCs/>
        </w:rPr>
        <w:t xml:space="preserve">Eșantionul analizat este format din entități economice având drept obiecte de activitate declarate CAEN 1101 – </w:t>
      </w:r>
      <w:r w:rsidRPr="00E35BA9">
        <w:rPr>
          <w:bCs/>
          <w:i/>
        </w:rPr>
        <w:t xml:space="preserve">Distilarea, rafinarea si mixarea băuturilor alcoolice </w:t>
      </w:r>
      <w:r w:rsidRPr="00E35BA9">
        <w:rPr>
          <w:bCs/>
        </w:rPr>
        <w:t xml:space="preserve">sau CAEN 1105 – </w:t>
      </w:r>
      <w:r w:rsidRPr="00E35BA9">
        <w:rPr>
          <w:bCs/>
          <w:i/>
        </w:rPr>
        <w:t>Fabricarea berii</w:t>
      </w:r>
      <w:r w:rsidRPr="00E35BA9">
        <w:rPr>
          <w:bCs/>
        </w:rPr>
        <w:t>, două domenii de activitate care presupun legiferări stricte și specifice cu privire la autorizările necesare desfășurării activității, a modalității de desfășurare a activității, a obligațiilor fiscale specifice constând în</w:t>
      </w:r>
      <w:r w:rsidRPr="00E35BA9">
        <w:rPr>
          <w:bCs/>
          <w:lang w:val="en-US"/>
        </w:rPr>
        <w:t xml:space="preserve">: </w:t>
      </w:r>
      <w:proofErr w:type="spellStart"/>
      <w:r w:rsidRPr="00E35BA9">
        <w:rPr>
          <w:bCs/>
          <w:lang w:val="en-US"/>
        </w:rPr>
        <w:t>autorizarea</w:t>
      </w:r>
      <w:proofErr w:type="spellEnd"/>
      <w:r w:rsidRPr="00E35BA9">
        <w:rPr>
          <w:bCs/>
          <w:lang w:val="en-US"/>
        </w:rPr>
        <w:t xml:space="preserve"> ca </w:t>
      </w:r>
      <w:proofErr w:type="spellStart"/>
      <w:r w:rsidRPr="00E35BA9">
        <w:rPr>
          <w:bCs/>
          <w:lang w:val="en-US"/>
        </w:rPr>
        <w:t>antrepozit</w:t>
      </w:r>
      <w:proofErr w:type="spellEnd"/>
      <w:r w:rsidRPr="00E35BA9">
        <w:rPr>
          <w:bCs/>
          <w:lang w:val="en-US"/>
        </w:rPr>
        <w:t xml:space="preserve"> fiscal de </w:t>
      </w:r>
      <w:proofErr w:type="spellStart"/>
      <w:r w:rsidRPr="00E35BA9">
        <w:rPr>
          <w:bCs/>
          <w:lang w:val="en-US"/>
        </w:rPr>
        <w:t>producţie</w:t>
      </w:r>
      <w:proofErr w:type="spellEnd"/>
      <w:r w:rsidRPr="00E35BA9">
        <w:rPr>
          <w:bCs/>
          <w:lang w:val="en-US"/>
        </w:rPr>
        <w:t xml:space="preserve">, </w:t>
      </w:r>
      <w:r w:rsidRPr="00E35BA9">
        <w:rPr>
          <w:bCs/>
        </w:rPr>
        <w:t>realizarea activităţilor productive exclusiv în cadrul antrepozitelor fiscale autorizate, desfăşurarea activităţii în condiţiile autorizaţiei de antrepozit fiscal, marcarea produselor accizabile eliberate în consum, condiţiile de distribuţie şi comercializare specifice, evidenţe specifice şi actualizate a activităţii din cadrul antrepozitului fiscal plecând de la achiziţia materiei prime, producţia obţinută, produsele accizabile primite, obţinute şi expediate din antrepozit, supravegherea şi deplasarea produselor accizabile în regim suspensiv de accize, raportări şi declaraţii specifice către autorităţile fiscale.</w:t>
      </w:r>
    </w:p>
    <w:p w14:paraId="3965815F" w14:textId="77777777" w:rsidR="006F1378" w:rsidRPr="00E35BA9" w:rsidRDefault="006F1378" w:rsidP="00F6704D">
      <w:pPr>
        <w:ind w:firstLine="708"/>
        <w:rPr>
          <w:bCs/>
        </w:rPr>
      </w:pPr>
      <w:r w:rsidRPr="00E35BA9">
        <w:rPr>
          <w:bCs/>
        </w:rPr>
        <w:lastRenderedPageBreak/>
        <w:t>Operatorii economici incluși în eșantion au fost selectați pentru a asigura reprezentativitatea la nivel național, intervalul temporal analizat fiind 5 ani fiscali con</w:t>
      </w:r>
      <w:r w:rsidR="00E72E04" w:rsidRPr="00E35BA9">
        <w:rPr>
          <w:bCs/>
        </w:rPr>
        <w:t xml:space="preserve">secutivi, respectiv 2015 – 2019. </w:t>
      </w:r>
      <w:r w:rsidRPr="00E35BA9">
        <w:rPr>
          <w:bCs/>
        </w:rPr>
        <w:t>Ca și criterii principale de includere în eșantion, menționăm:</w:t>
      </w:r>
    </w:p>
    <w:p w14:paraId="0620F7ED" w14:textId="77777777" w:rsidR="006F1378" w:rsidRPr="00E35BA9" w:rsidRDefault="006F1378" w:rsidP="00796CBD">
      <w:pPr>
        <w:ind w:firstLine="720"/>
        <w:rPr>
          <w:bCs/>
        </w:rPr>
      </w:pPr>
      <w:r w:rsidRPr="00E35BA9">
        <w:rPr>
          <w:bCs/>
        </w:rPr>
        <w:t>- sediul social în România;</w:t>
      </w:r>
    </w:p>
    <w:p w14:paraId="39D3ED7B" w14:textId="77777777" w:rsidR="006F1378" w:rsidRPr="00E35BA9" w:rsidRDefault="006F1378" w:rsidP="00796CBD">
      <w:pPr>
        <w:ind w:firstLine="720"/>
        <w:rPr>
          <w:bCs/>
        </w:rPr>
      </w:pPr>
      <w:r w:rsidRPr="00E35BA9">
        <w:rPr>
          <w:bCs/>
        </w:rPr>
        <w:t>- obiectul de activitate principal: CAEN 1101 sau 1105;</w:t>
      </w:r>
    </w:p>
    <w:p w14:paraId="124A4BDF" w14:textId="77777777" w:rsidR="006F1378" w:rsidRPr="00E35BA9" w:rsidRDefault="006F1378" w:rsidP="00796CBD">
      <w:pPr>
        <w:ind w:firstLine="720"/>
        <w:rPr>
          <w:bCs/>
        </w:rPr>
      </w:pPr>
      <w:r w:rsidRPr="00E35BA9">
        <w:rPr>
          <w:bCs/>
        </w:rPr>
        <w:t xml:space="preserve">- declararea de valori în situațiile financiare anuale din perioada 2015 – 2019, pentru indicatorii: </w:t>
      </w:r>
      <w:r w:rsidRPr="00E35BA9">
        <w:rPr>
          <w:bCs/>
          <w:i/>
        </w:rPr>
        <w:t>Cifră de afaceri netă</w:t>
      </w:r>
      <w:r w:rsidRPr="00E35BA9">
        <w:rPr>
          <w:bCs/>
        </w:rPr>
        <w:t xml:space="preserve">, </w:t>
      </w:r>
      <w:r w:rsidRPr="00E35BA9">
        <w:rPr>
          <w:bCs/>
          <w:i/>
        </w:rPr>
        <w:t>Profit brut</w:t>
      </w:r>
      <w:r w:rsidRPr="00E35BA9">
        <w:rPr>
          <w:bCs/>
        </w:rPr>
        <w:t xml:space="preserve">, </w:t>
      </w:r>
      <w:r w:rsidRPr="00E35BA9">
        <w:rPr>
          <w:bCs/>
          <w:i/>
        </w:rPr>
        <w:t>Profit net</w:t>
      </w:r>
      <w:r w:rsidRPr="00E35BA9">
        <w:rPr>
          <w:bCs/>
        </w:rPr>
        <w:t xml:space="preserve"> și </w:t>
      </w:r>
      <w:r w:rsidRPr="00E35BA9">
        <w:rPr>
          <w:bCs/>
          <w:i/>
        </w:rPr>
        <w:t>Total active</w:t>
      </w:r>
      <w:r w:rsidRPr="00E35BA9">
        <w:rPr>
          <w:bCs/>
        </w:rPr>
        <w:t>;</w:t>
      </w:r>
    </w:p>
    <w:p w14:paraId="474D68BA" w14:textId="77777777" w:rsidR="006F1378" w:rsidRPr="00E35BA9" w:rsidRDefault="006F1378" w:rsidP="00796CBD">
      <w:pPr>
        <w:ind w:firstLine="720"/>
        <w:rPr>
          <w:bCs/>
        </w:rPr>
      </w:pPr>
      <w:r w:rsidRPr="00E35BA9">
        <w:rPr>
          <w:bCs/>
        </w:rPr>
        <w:t>- obținerea de rezultate pozitive (au fost excluse entitățile care au obținut pierderi);</w:t>
      </w:r>
    </w:p>
    <w:p w14:paraId="7FB782AE" w14:textId="77777777" w:rsidR="006F1378" w:rsidRPr="00E35BA9" w:rsidRDefault="006F1378" w:rsidP="00796CBD">
      <w:pPr>
        <w:ind w:firstLine="720"/>
        <w:rPr>
          <w:bCs/>
        </w:rPr>
      </w:pPr>
      <w:r w:rsidRPr="00E35BA9">
        <w:rPr>
          <w:bCs/>
        </w:rPr>
        <w:t>- starea firmei: în funcțiune.</w:t>
      </w:r>
    </w:p>
    <w:p w14:paraId="3E1D489E" w14:textId="77777777" w:rsidR="006F1378" w:rsidRPr="00E35BA9" w:rsidRDefault="006F1378" w:rsidP="00F6704D">
      <w:pPr>
        <w:ind w:firstLine="708"/>
        <w:jc w:val="left"/>
        <w:rPr>
          <w:bCs/>
        </w:rPr>
      </w:pPr>
      <w:r w:rsidRPr="00E35BA9">
        <w:rPr>
          <w:bCs/>
        </w:rPr>
        <w:t xml:space="preserve">Ca urmare a aplicării acestor criterii baza de date constituită în </w:t>
      </w:r>
      <w:r w:rsidR="008C6547" w:rsidRPr="00E35BA9">
        <w:rPr>
          <w:bCs/>
        </w:rPr>
        <w:t>Excel</w:t>
      </w:r>
      <w:r w:rsidRPr="00E35BA9">
        <w:rPr>
          <w:bCs/>
        </w:rPr>
        <w:t xml:space="preserve"> a fost formată din 287 de observații, în structură prezentate după criterii de mărime, de dispersie temporală și geografică (spațială) conform celor redat</w:t>
      </w:r>
      <w:r w:rsidR="00A93D73" w:rsidRPr="00E35BA9">
        <w:rPr>
          <w:bCs/>
        </w:rPr>
        <w:t xml:space="preserve">e în </w:t>
      </w:r>
      <w:r w:rsidR="00E35BA9">
        <w:rPr>
          <w:bCs/>
        </w:rPr>
        <w:t>(</w:t>
      </w:r>
      <w:r w:rsidR="00A93D73" w:rsidRPr="00E35BA9">
        <w:rPr>
          <w:bCs/>
        </w:rPr>
        <w:t>figura nr. 1</w:t>
      </w:r>
      <w:r w:rsidR="00E35BA9">
        <w:rPr>
          <w:bCs/>
        </w:rPr>
        <w:t>)</w:t>
      </w:r>
      <w:r w:rsidRPr="00E35BA9">
        <w:rPr>
          <w:bCs/>
        </w:rPr>
        <w:t>, aparținând unui număr de 81 de entități economice din 34 de unități administrativ-teritoriale din România. S-a avut în vedere ca entitățile să raporteze valori pentru indicatorii amintiți anterior pentru cel puțin doi ani financiari consecutivi.</w:t>
      </w:r>
    </w:p>
    <w:p w14:paraId="0477B589" w14:textId="77777777" w:rsidR="006F1378" w:rsidRPr="006E1643" w:rsidRDefault="006F1378" w:rsidP="00F6704D">
      <w:pPr>
        <w:ind w:firstLine="0"/>
        <w:jc w:val="center"/>
        <w:rPr>
          <w:bCs/>
          <w:sz w:val="20"/>
          <w:szCs w:val="20"/>
        </w:rPr>
      </w:pPr>
    </w:p>
    <w:p w14:paraId="7F7BFDF7" w14:textId="77777777" w:rsidR="006F1378" w:rsidRPr="006E1643" w:rsidRDefault="006F1378" w:rsidP="00F6704D">
      <w:pPr>
        <w:ind w:firstLine="0"/>
        <w:jc w:val="center"/>
        <w:rPr>
          <w:bCs/>
          <w:sz w:val="20"/>
          <w:szCs w:val="20"/>
        </w:rPr>
      </w:pPr>
      <w:r w:rsidRPr="006E1643">
        <w:rPr>
          <w:noProof/>
          <w:sz w:val="20"/>
          <w:szCs w:val="20"/>
          <w:lang w:val="en-US" w:eastAsia="en-US"/>
        </w:rPr>
        <w:drawing>
          <wp:inline distT="0" distB="0" distL="0" distR="0" wp14:anchorId="24F23FD8" wp14:editId="7C8817DC">
            <wp:extent cx="2571750" cy="1782445"/>
            <wp:effectExtent l="19050" t="0" r="19050" b="8255"/>
            <wp:docPr id="160" name="Chart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6E1643">
        <w:rPr>
          <w:noProof/>
          <w:sz w:val="20"/>
          <w:szCs w:val="20"/>
          <w:lang w:val="en-US" w:eastAsia="en-US"/>
        </w:rPr>
        <w:drawing>
          <wp:inline distT="0" distB="0" distL="0" distR="0" wp14:anchorId="0C083D53" wp14:editId="332549EF">
            <wp:extent cx="2485390" cy="1779486"/>
            <wp:effectExtent l="0" t="0" r="10160" b="11430"/>
            <wp:docPr id="159" name="Chart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CAEB95" w14:textId="77777777" w:rsidR="006F1378" w:rsidRPr="006E1643" w:rsidRDefault="006F1378" w:rsidP="00F6704D">
      <w:pPr>
        <w:ind w:firstLine="0"/>
        <w:jc w:val="center"/>
        <w:rPr>
          <w:bCs/>
          <w:sz w:val="20"/>
          <w:szCs w:val="20"/>
        </w:rPr>
      </w:pPr>
    </w:p>
    <w:p w14:paraId="4DBCA0E6" w14:textId="480A528F" w:rsidR="00B64352" w:rsidRPr="00B64352" w:rsidRDefault="006F1378" w:rsidP="00F6704D">
      <w:pPr>
        <w:ind w:firstLine="0"/>
        <w:jc w:val="center"/>
        <w:rPr>
          <w:bCs/>
        </w:rPr>
      </w:pPr>
      <w:bookmarkStart w:id="3" w:name="_Toc76371872"/>
      <w:r w:rsidRPr="00B64352">
        <w:rPr>
          <w:b/>
          <w:bCs/>
        </w:rPr>
        <w:t xml:space="preserve">Figura nr. </w:t>
      </w:r>
      <w:r w:rsidR="00014929" w:rsidRPr="00B64352">
        <w:rPr>
          <w:b/>
          <w:bCs/>
        </w:rPr>
        <w:fldChar w:fldCharType="begin"/>
      </w:r>
      <w:r w:rsidRPr="00B64352">
        <w:rPr>
          <w:b/>
          <w:bCs/>
        </w:rPr>
        <w:instrText xml:space="preserve"> SEQ Figură \* ARABIC </w:instrText>
      </w:r>
      <w:r w:rsidR="00014929" w:rsidRPr="00B64352">
        <w:rPr>
          <w:b/>
          <w:bCs/>
        </w:rPr>
        <w:fldChar w:fldCharType="separate"/>
      </w:r>
      <w:r w:rsidR="00A93D73" w:rsidRPr="00B64352">
        <w:rPr>
          <w:b/>
          <w:bCs/>
          <w:noProof/>
        </w:rPr>
        <w:t>1</w:t>
      </w:r>
      <w:r w:rsidR="00014929" w:rsidRPr="00B64352">
        <w:rPr>
          <w:lang w:val="en-US"/>
        </w:rPr>
        <w:fldChar w:fldCharType="end"/>
      </w:r>
      <w:r w:rsidR="00867EC1" w:rsidRPr="00867EC1">
        <w:rPr>
          <w:b/>
          <w:bCs/>
          <w:lang w:val="en-US"/>
        </w:rPr>
        <w:t>.</w:t>
      </w:r>
      <w:r w:rsidRPr="00867EC1">
        <w:rPr>
          <w:b/>
        </w:rPr>
        <w:t xml:space="preserve"> Structura după mărime și dispersia temporală și teritorială a eșantionului de date studiat</w:t>
      </w:r>
    </w:p>
    <w:p w14:paraId="5875755D" w14:textId="77777777" w:rsidR="006F1378" w:rsidRPr="006E1643" w:rsidRDefault="006F1378" w:rsidP="008C6547">
      <w:pPr>
        <w:ind w:firstLine="0"/>
        <w:jc w:val="center"/>
        <w:rPr>
          <w:bCs/>
          <w:sz w:val="20"/>
          <w:szCs w:val="20"/>
        </w:rPr>
      </w:pPr>
      <w:r w:rsidRPr="006E1643">
        <w:rPr>
          <w:b/>
          <w:bCs/>
          <w:sz w:val="20"/>
          <w:szCs w:val="20"/>
        </w:rPr>
        <w:t>Sursa</w:t>
      </w:r>
      <w:r w:rsidRPr="006E1643">
        <w:rPr>
          <w:bCs/>
          <w:sz w:val="20"/>
          <w:szCs w:val="20"/>
        </w:rPr>
        <w:t>: elaborare proprie</w:t>
      </w:r>
      <w:bookmarkEnd w:id="3"/>
    </w:p>
    <w:p w14:paraId="2D245A83" w14:textId="77777777" w:rsidR="00A93D73" w:rsidRPr="006E1643" w:rsidRDefault="00A93D73" w:rsidP="006F1378">
      <w:pPr>
        <w:ind w:firstLine="0"/>
        <w:rPr>
          <w:bCs/>
          <w:sz w:val="20"/>
          <w:szCs w:val="20"/>
        </w:rPr>
      </w:pPr>
    </w:p>
    <w:p w14:paraId="66B11261" w14:textId="77777777" w:rsidR="00A93D73" w:rsidRPr="00B64352" w:rsidRDefault="00A93D73" w:rsidP="00A93D73">
      <w:pPr>
        <w:ind w:firstLine="0"/>
        <w:rPr>
          <w:b/>
          <w:i/>
          <w:lang w:val="en-US"/>
        </w:rPr>
      </w:pPr>
    </w:p>
    <w:p w14:paraId="4F421BB6" w14:textId="3CE3890A" w:rsidR="00A93D73" w:rsidRPr="00867EC1" w:rsidRDefault="00867EC1" w:rsidP="00867EC1">
      <w:pPr>
        <w:pStyle w:val="ListParagraph"/>
        <w:numPr>
          <w:ilvl w:val="1"/>
          <w:numId w:val="7"/>
        </w:numPr>
        <w:ind w:hanging="11"/>
        <w:rPr>
          <w:bCs/>
          <w:sz w:val="20"/>
          <w:szCs w:val="20"/>
        </w:rPr>
      </w:pPr>
      <w:r w:rsidRPr="00867EC1">
        <w:rPr>
          <w:b/>
          <w:lang w:val="en-US"/>
        </w:rPr>
        <w:t>DEFINIREA VARIABILELOR DE CERCETARE</w:t>
      </w:r>
    </w:p>
    <w:p w14:paraId="362DF58D" w14:textId="77777777" w:rsidR="006F1378" w:rsidRPr="00BF0706" w:rsidRDefault="006F1378" w:rsidP="00BF0706">
      <w:pPr>
        <w:ind w:firstLine="708"/>
        <w:rPr>
          <w:bCs/>
        </w:rPr>
      </w:pPr>
      <w:r w:rsidRPr="00BF0706">
        <w:rPr>
          <w:bCs/>
        </w:rPr>
        <w:t xml:space="preserve">Ulterior constituirii bazelor de date au fost alese variabilele care reflectă cel mai bine cele două domenii studiate, având ca punct de referință studiul efectuat de Fekete et al. (2012) pentru perioada 1999 – 2009. Astfel, ca măsură surogat pentru contabilitate a fost ales indicatorul </w:t>
      </w:r>
      <w:r w:rsidRPr="00BF0706">
        <w:rPr>
          <w:bCs/>
          <w:i/>
        </w:rPr>
        <w:t>Cifră de afaceri</w:t>
      </w:r>
      <w:r w:rsidRPr="00BF0706">
        <w:rPr>
          <w:bCs/>
        </w:rPr>
        <w:t xml:space="preserve">, care este considerat a avea efecte și ajustări fiscale reduse, fiind puțin influențat de alegerile discreționare, iar pentru fiscalitate a fost selectat indicatorul </w:t>
      </w:r>
      <w:r w:rsidRPr="00BF0706">
        <w:rPr>
          <w:bCs/>
          <w:i/>
        </w:rPr>
        <w:t>Impozit pe profit</w:t>
      </w:r>
      <w:r w:rsidRPr="00BF0706">
        <w:rPr>
          <w:bCs/>
        </w:rPr>
        <w:t xml:space="preserve">, care reprezintă o măsură proxy adecvată pentru a surprinde datele fiscale, inclusiv în condițiile modificării definirii venitului sau bazei impozabile, sau a cotelor de impozitare. </w:t>
      </w:r>
    </w:p>
    <w:p w14:paraId="1C31F34C" w14:textId="77777777" w:rsidR="006F1378" w:rsidRPr="00BF0706" w:rsidRDefault="006F1378" w:rsidP="00BF0706">
      <w:pPr>
        <w:ind w:firstLine="708"/>
        <w:rPr>
          <w:bCs/>
        </w:rPr>
      </w:pPr>
      <w:r w:rsidRPr="00BF0706">
        <w:rPr>
          <w:bCs/>
        </w:rPr>
        <w:t xml:space="preserve">Pentru a nu fi afectate datele de mărimea entităților incluse în studiu, s-a efectuat ponderarea mărimilor surogat cu indicatorul </w:t>
      </w:r>
      <w:r w:rsidRPr="00BF0706">
        <w:rPr>
          <w:bCs/>
          <w:i/>
        </w:rPr>
        <w:t>Total active</w:t>
      </w:r>
      <w:r w:rsidRPr="00BF0706">
        <w:rPr>
          <w:bCs/>
        </w:rPr>
        <w:t>, raportat în situațiile financiare anuale.</w:t>
      </w:r>
    </w:p>
    <w:p w14:paraId="434F729E" w14:textId="77777777" w:rsidR="006F1378" w:rsidRPr="00BF0706" w:rsidRDefault="006F1378" w:rsidP="00BF0706">
      <w:pPr>
        <w:ind w:firstLine="708"/>
      </w:pPr>
      <w:r w:rsidRPr="00BF0706">
        <w:t xml:space="preserve">Astfel, calcularea mărimilor surogat pentru contabilitate (Var.CAAT) și fiscalitate (Var.IMPAT) a fost efectuată conform formulelor redate în ecuațiile (1) – (3) de mai jos: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7031"/>
        <w:gridCol w:w="573"/>
      </w:tblGrid>
      <w:tr w:rsidR="006F1378" w:rsidRPr="006E1643" w14:paraId="78E17BE9" w14:textId="77777777" w:rsidTr="00A93D73">
        <w:trPr>
          <w:trHeight w:val="866"/>
          <w:jc w:val="center"/>
        </w:trPr>
        <w:tc>
          <w:tcPr>
            <w:tcW w:w="712" w:type="dxa"/>
            <w:vAlign w:val="center"/>
          </w:tcPr>
          <w:p w14:paraId="59ECE03A" w14:textId="77777777" w:rsidR="006F1378" w:rsidRPr="006E1643" w:rsidRDefault="006F1378" w:rsidP="006F1378">
            <w:pPr>
              <w:ind w:firstLine="0"/>
              <w:rPr>
                <w:sz w:val="20"/>
                <w:szCs w:val="20"/>
              </w:rPr>
            </w:pPr>
          </w:p>
        </w:tc>
        <w:tc>
          <w:tcPr>
            <w:tcW w:w="7031" w:type="dxa"/>
            <w:vAlign w:val="center"/>
          </w:tcPr>
          <w:p w14:paraId="6F630030" w14:textId="77777777" w:rsidR="006F1378" w:rsidRPr="006E1643" w:rsidRDefault="006F1378" w:rsidP="006F1378">
            <w:pPr>
              <w:ind w:firstLine="0"/>
              <w:rPr>
                <w:sz w:val="20"/>
                <w:szCs w:val="20"/>
              </w:rPr>
            </w:pPr>
            <m:oMathPara>
              <m:oMath>
                <m:r>
                  <w:rPr>
                    <w:rFonts w:ascii="Cambria Math" w:hAnsi="Cambria Math"/>
                    <w:sz w:val="20"/>
                    <w:szCs w:val="20"/>
                  </w:rPr>
                  <m:t>Date contabile=</m:t>
                </m:r>
                <m:f>
                  <m:fPr>
                    <m:ctrlPr>
                      <w:rPr>
                        <w:rFonts w:ascii="Cambria Math" w:hAnsi="Cambria Math"/>
                        <w:i/>
                        <w:sz w:val="20"/>
                        <w:szCs w:val="20"/>
                      </w:rPr>
                    </m:ctrlPr>
                  </m:fPr>
                  <m:num>
                    <m:r>
                      <w:rPr>
                        <w:rFonts w:ascii="Cambria Math" w:hAnsi="Cambria Math"/>
                        <w:sz w:val="20"/>
                        <w:szCs w:val="20"/>
                      </w:rPr>
                      <m:t>CA</m:t>
                    </m:r>
                  </m:num>
                  <m:den>
                    <m:r>
                      <w:rPr>
                        <w:rFonts w:ascii="Cambria Math" w:hAnsi="Cambria Math"/>
                        <w:sz w:val="20"/>
                        <w:szCs w:val="20"/>
                      </w:rPr>
                      <m:t>AT</m:t>
                    </m:r>
                  </m:den>
                </m:f>
              </m:oMath>
            </m:oMathPara>
          </w:p>
        </w:tc>
        <w:tc>
          <w:tcPr>
            <w:tcW w:w="573" w:type="dxa"/>
            <w:vAlign w:val="center"/>
          </w:tcPr>
          <w:p w14:paraId="440B1997" w14:textId="77777777" w:rsidR="006F1378" w:rsidRPr="006E1643" w:rsidRDefault="006F1378" w:rsidP="006F1378">
            <w:pPr>
              <w:ind w:firstLine="0"/>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1</w:t>
            </w:r>
            <w:r w:rsidR="00014929" w:rsidRPr="006E1643">
              <w:rPr>
                <w:sz w:val="20"/>
                <w:szCs w:val="20"/>
                <w:lang w:val="en-US"/>
              </w:rPr>
              <w:fldChar w:fldCharType="end"/>
            </w:r>
            <w:r w:rsidRPr="006E1643">
              <w:rPr>
                <w:sz w:val="20"/>
                <w:szCs w:val="20"/>
              </w:rPr>
              <w:t>)</w:t>
            </w:r>
          </w:p>
        </w:tc>
      </w:tr>
    </w:tbl>
    <w:p w14:paraId="7D5B9379" w14:textId="77777777" w:rsidR="006F1378" w:rsidRPr="006E1643" w:rsidRDefault="006F1378" w:rsidP="00BF0706">
      <w:pPr>
        <w:ind w:firstLine="720"/>
        <w:rPr>
          <w:sz w:val="20"/>
          <w:szCs w:val="20"/>
        </w:rPr>
      </w:pPr>
      <w:r w:rsidRPr="006E1643">
        <w:rPr>
          <w:sz w:val="20"/>
          <w:szCs w:val="20"/>
        </w:rPr>
        <w:t>unde:</w:t>
      </w:r>
    </w:p>
    <w:p w14:paraId="3D3596A6" w14:textId="77777777" w:rsidR="006F1378" w:rsidRPr="006E1643" w:rsidRDefault="006F1378" w:rsidP="00BF0706">
      <w:pPr>
        <w:ind w:firstLine="720"/>
        <w:rPr>
          <w:sz w:val="20"/>
          <w:szCs w:val="20"/>
        </w:rPr>
      </w:pPr>
      <w:r w:rsidRPr="006E1643">
        <w:rPr>
          <w:sz w:val="20"/>
          <w:szCs w:val="20"/>
        </w:rPr>
        <w:t>CA – Cifra de afaceri;</w:t>
      </w:r>
      <w:r w:rsidR="006E1643" w:rsidRPr="006E1643">
        <w:rPr>
          <w:sz w:val="20"/>
          <w:szCs w:val="20"/>
        </w:rPr>
        <w:t xml:space="preserve"> </w:t>
      </w:r>
      <w:r w:rsidRPr="006E1643">
        <w:rPr>
          <w:sz w:val="20"/>
          <w:szCs w:val="20"/>
        </w:rPr>
        <w:t>AT – Total active.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946"/>
        <w:gridCol w:w="1170"/>
      </w:tblGrid>
      <w:tr w:rsidR="006F1378" w:rsidRPr="006E1643" w14:paraId="613C86CA" w14:textId="77777777" w:rsidTr="00A93D73">
        <w:trPr>
          <w:trHeight w:val="587"/>
          <w:jc w:val="center"/>
        </w:trPr>
        <w:tc>
          <w:tcPr>
            <w:tcW w:w="704" w:type="dxa"/>
            <w:vAlign w:val="center"/>
          </w:tcPr>
          <w:p w14:paraId="4BE1245D" w14:textId="77777777" w:rsidR="006F1378" w:rsidRPr="006E1643" w:rsidRDefault="006F1378" w:rsidP="00BF0706">
            <w:pPr>
              <w:ind w:firstLine="720"/>
              <w:rPr>
                <w:sz w:val="20"/>
                <w:szCs w:val="20"/>
              </w:rPr>
            </w:pPr>
          </w:p>
        </w:tc>
        <w:tc>
          <w:tcPr>
            <w:tcW w:w="6946" w:type="dxa"/>
            <w:vAlign w:val="center"/>
          </w:tcPr>
          <w:p w14:paraId="173CD742" w14:textId="77777777" w:rsidR="006F1378" w:rsidRPr="006E1643" w:rsidRDefault="006F1378" w:rsidP="00BF0706">
            <w:pPr>
              <w:ind w:firstLine="720"/>
              <w:rPr>
                <w:sz w:val="20"/>
                <w:szCs w:val="20"/>
              </w:rPr>
            </w:pPr>
            <m:oMathPara>
              <m:oMath>
                <m:r>
                  <w:rPr>
                    <w:rFonts w:ascii="Cambria Math" w:hAnsi="Cambria Math"/>
                    <w:sz w:val="20"/>
                    <w:szCs w:val="20"/>
                  </w:rPr>
                  <m:t>Date fiscale=</m:t>
                </m:r>
                <m:f>
                  <m:fPr>
                    <m:ctrlPr>
                      <w:rPr>
                        <w:rFonts w:ascii="Cambria Math" w:hAnsi="Cambria Math"/>
                        <w:i/>
                        <w:sz w:val="20"/>
                        <w:szCs w:val="20"/>
                      </w:rPr>
                    </m:ctrlPr>
                  </m:fPr>
                  <m:num>
                    <m:r>
                      <w:rPr>
                        <w:rFonts w:ascii="Cambria Math" w:hAnsi="Cambria Math"/>
                        <w:sz w:val="20"/>
                        <w:szCs w:val="20"/>
                      </w:rPr>
                      <m:t>IMP</m:t>
                    </m:r>
                  </m:num>
                  <m:den>
                    <m:r>
                      <w:rPr>
                        <w:rFonts w:ascii="Cambria Math" w:hAnsi="Cambria Math"/>
                        <w:sz w:val="20"/>
                        <w:szCs w:val="20"/>
                      </w:rPr>
                      <m:t>AT</m:t>
                    </m:r>
                  </m:den>
                </m:f>
              </m:oMath>
            </m:oMathPara>
          </w:p>
        </w:tc>
        <w:tc>
          <w:tcPr>
            <w:tcW w:w="567" w:type="dxa"/>
            <w:vAlign w:val="center"/>
          </w:tcPr>
          <w:p w14:paraId="141ABFCB" w14:textId="77777777" w:rsidR="006F1378" w:rsidRPr="006E1643" w:rsidRDefault="006F1378" w:rsidP="00BF0706">
            <w:pPr>
              <w:ind w:firstLine="720"/>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2</w:t>
            </w:r>
            <w:r w:rsidR="00014929" w:rsidRPr="006E1643">
              <w:rPr>
                <w:sz w:val="20"/>
                <w:szCs w:val="20"/>
                <w:lang w:val="en-US"/>
              </w:rPr>
              <w:fldChar w:fldCharType="end"/>
            </w:r>
            <w:r w:rsidRPr="006E1643">
              <w:rPr>
                <w:sz w:val="20"/>
                <w:szCs w:val="20"/>
              </w:rPr>
              <w:t>)</w:t>
            </w:r>
          </w:p>
        </w:tc>
      </w:tr>
    </w:tbl>
    <w:p w14:paraId="6A0BEE7D" w14:textId="77777777" w:rsidR="006F1378" w:rsidRPr="006E1643" w:rsidRDefault="006F1378" w:rsidP="00BF0706">
      <w:pPr>
        <w:ind w:firstLine="720"/>
        <w:rPr>
          <w:sz w:val="20"/>
          <w:szCs w:val="20"/>
        </w:rPr>
      </w:pPr>
      <w:r w:rsidRPr="006E1643">
        <w:rPr>
          <w:sz w:val="20"/>
          <w:szCs w:val="20"/>
        </w:rPr>
        <w:t>unde:</w:t>
      </w:r>
    </w:p>
    <w:p w14:paraId="66C91BF5" w14:textId="77777777" w:rsidR="006F1378" w:rsidRPr="006E1643" w:rsidRDefault="006F1378" w:rsidP="00BF0706">
      <w:pPr>
        <w:ind w:firstLine="720"/>
        <w:rPr>
          <w:sz w:val="20"/>
          <w:szCs w:val="20"/>
        </w:rPr>
      </w:pPr>
      <w:r w:rsidRPr="006E1643">
        <w:rPr>
          <w:sz w:val="20"/>
          <w:szCs w:val="20"/>
        </w:rPr>
        <w:t>IMP – Impozit pe profit, calculat astfel:</w:t>
      </w:r>
    </w:p>
    <w:p w14:paraId="4C426B15" w14:textId="77777777" w:rsidR="006F1378" w:rsidRPr="006E1643" w:rsidRDefault="006F1378" w:rsidP="00BF0706">
      <w:pPr>
        <w:ind w:firstLine="720"/>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946"/>
        <w:gridCol w:w="1170"/>
      </w:tblGrid>
      <w:tr w:rsidR="006F1378" w:rsidRPr="006E1643" w14:paraId="2052A765" w14:textId="77777777" w:rsidTr="00A93D73">
        <w:trPr>
          <w:jc w:val="center"/>
        </w:trPr>
        <w:tc>
          <w:tcPr>
            <w:tcW w:w="704" w:type="dxa"/>
            <w:vAlign w:val="center"/>
          </w:tcPr>
          <w:p w14:paraId="2B12DFBE" w14:textId="77777777" w:rsidR="006F1378" w:rsidRPr="006E1643" w:rsidRDefault="006F1378" w:rsidP="00BF0706">
            <w:pPr>
              <w:ind w:firstLine="720"/>
              <w:rPr>
                <w:sz w:val="20"/>
                <w:szCs w:val="20"/>
              </w:rPr>
            </w:pPr>
          </w:p>
        </w:tc>
        <w:tc>
          <w:tcPr>
            <w:tcW w:w="6946" w:type="dxa"/>
            <w:vAlign w:val="center"/>
          </w:tcPr>
          <w:p w14:paraId="0E1E5112" w14:textId="77777777" w:rsidR="006F1378" w:rsidRPr="006E1643" w:rsidRDefault="006F1378" w:rsidP="00BF0706">
            <w:pPr>
              <w:ind w:firstLine="720"/>
              <w:rPr>
                <w:sz w:val="20"/>
                <w:szCs w:val="20"/>
              </w:rPr>
            </w:pPr>
            <m:oMathPara>
              <m:oMath>
                <m:r>
                  <w:rPr>
                    <w:rFonts w:ascii="Cambria Math" w:hAnsi="Cambria Math"/>
                    <w:sz w:val="20"/>
                    <w:szCs w:val="20"/>
                  </w:rPr>
                  <m:t>IMP=PrB-PrN</m:t>
                </m:r>
              </m:oMath>
            </m:oMathPara>
          </w:p>
        </w:tc>
        <w:tc>
          <w:tcPr>
            <w:tcW w:w="567" w:type="dxa"/>
            <w:vAlign w:val="center"/>
          </w:tcPr>
          <w:p w14:paraId="3C18D93C" w14:textId="77777777" w:rsidR="006F1378" w:rsidRPr="006E1643" w:rsidRDefault="006F1378" w:rsidP="00BF0706">
            <w:pPr>
              <w:ind w:firstLine="720"/>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3</w:t>
            </w:r>
            <w:r w:rsidR="00014929" w:rsidRPr="006E1643">
              <w:rPr>
                <w:sz w:val="20"/>
                <w:szCs w:val="20"/>
                <w:lang w:val="en-US"/>
              </w:rPr>
              <w:fldChar w:fldCharType="end"/>
            </w:r>
            <w:r w:rsidRPr="006E1643">
              <w:rPr>
                <w:sz w:val="20"/>
                <w:szCs w:val="20"/>
              </w:rPr>
              <w:t>)</w:t>
            </w:r>
          </w:p>
        </w:tc>
      </w:tr>
    </w:tbl>
    <w:p w14:paraId="1DEC83F1" w14:textId="77777777" w:rsidR="006F1378" w:rsidRPr="006E1643" w:rsidRDefault="006F1378" w:rsidP="00BF0706">
      <w:pPr>
        <w:ind w:firstLine="720"/>
        <w:rPr>
          <w:sz w:val="20"/>
          <w:szCs w:val="20"/>
        </w:rPr>
      </w:pPr>
      <w:r w:rsidRPr="006E1643">
        <w:rPr>
          <w:sz w:val="20"/>
          <w:szCs w:val="20"/>
        </w:rPr>
        <w:t xml:space="preserve">unde, </w:t>
      </w:r>
    </w:p>
    <w:p w14:paraId="158E7B83" w14:textId="77777777" w:rsidR="006F1378" w:rsidRPr="006E1643" w:rsidRDefault="006E1643" w:rsidP="00BF0706">
      <w:pPr>
        <w:ind w:firstLine="720"/>
        <w:rPr>
          <w:sz w:val="20"/>
          <w:szCs w:val="20"/>
        </w:rPr>
      </w:pPr>
      <w:r w:rsidRPr="006E1643">
        <w:rPr>
          <w:sz w:val="20"/>
          <w:szCs w:val="20"/>
        </w:rPr>
        <w:t xml:space="preserve">PrB – profit brut; </w:t>
      </w:r>
      <w:r w:rsidR="006F1378" w:rsidRPr="006E1643">
        <w:rPr>
          <w:sz w:val="20"/>
          <w:szCs w:val="20"/>
        </w:rPr>
        <w:t>PrN – profit net.</w:t>
      </w:r>
    </w:p>
    <w:p w14:paraId="16250498" w14:textId="77777777" w:rsidR="006F1378" w:rsidRPr="006E1643" w:rsidRDefault="006F1378" w:rsidP="006F1378">
      <w:pPr>
        <w:ind w:firstLine="0"/>
        <w:rPr>
          <w:bCs/>
          <w:sz w:val="20"/>
          <w:szCs w:val="20"/>
        </w:rPr>
      </w:pPr>
    </w:p>
    <w:p w14:paraId="252DF0F2" w14:textId="77777777" w:rsidR="006F1378" w:rsidRPr="00BF0706" w:rsidRDefault="006F1378" w:rsidP="00BF0706">
      <w:pPr>
        <w:ind w:firstLine="708"/>
        <w:rPr>
          <w:bCs/>
        </w:rPr>
      </w:pPr>
      <w:r w:rsidRPr="00BF0706">
        <w:rPr>
          <w:bCs/>
        </w:rPr>
        <w:t>Ca element de noutate cercetarea efectuată în prezenta lucrare este focalizată pe domeniile de activitate care ar trebui să surprindă mai bine decât alte domenii de activitate fenomenul conectării în practică a contabilității la fiscalitate, dat fiind cadrul specific de reglementare aplicabil. De asemenea, cercetarea noastră vine ca o completare a aceleia efectuate de Fekete et al. (2012), intervalul temporal fiind 2015 – 2019.</w:t>
      </w:r>
    </w:p>
    <w:p w14:paraId="6E813074" w14:textId="77777777" w:rsidR="006024C8" w:rsidRPr="006E1643" w:rsidRDefault="006024C8" w:rsidP="006024C8">
      <w:pPr>
        <w:ind w:firstLine="0"/>
        <w:rPr>
          <w:sz w:val="20"/>
          <w:szCs w:val="20"/>
          <w:lang w:val="en-US"/>
        </w:rPr>
      </w:pPr>
    </w:p>
    <w:bookmarkEnd w:id="0"/>
    <w:bookmarkEnd w:id="1"/>
    <w:bookmarkEnd w:id="2"/>
    <w:p w14:paraId="6D2CC959" w14:textId="388E668F" w:rsidR="000868EC" w:rsidRPr="004E1423" w:rsidRDefault="004E1423" w:rsidP="00E8725F">
      <w:pPr>
        <w:pStyle w:val="ListParagraph"/>
        <w:numPr>
          <w:ilvl w:val="1"/>
          <w:numId w:val="7"/>
        </w:numPr>
        <w:ind w:firstLine="0"/>
        <w:rPr>
          <w:b/>
          <w:lang w:val="en-US"/>
        </w:rPr>
      </w:pPr>
      <w:r>
        <w:rPr>
          <w:b/>
          <w:lang w:val="en-US"/>
        </w:rPr>
        <w:t xml:space="preserve"> </w:t>
      </w:r>
      <w:r w:rsidR="00867EC1" w:rsidRPr="00867EC1">
        <w:rPr>
          <w:b/>
          <w:lang w:val="en-US"/>
        </w:rPr>
        <w:t>GRADUL DE INFLUENȚĂ A FISCALITĂȚII ASUPRA CONTABILITĂȚII - ANALIZĂ ÎN FUNCȚIE DE MĂRIMEA ENTITĂȚILOR ECONOMICE ANALIZATE</w:t>
      </w:r>
    </w:p>
    <w:p w14:paraId="6A355B3B" w14:textId="77777777" w:rsidR="006024C8" w:rsidRPr="006E1643" w:rsidRDefault="006024C8" w:rsidP="006024C8">
      <w:pPr>
        <w:ind w:firstLine="0"/>
        <w:rPr>
          <w:i/>
          <w:sz w:val="20"/>
          <w:szCs w:val="20"/>
          <w:lang w:val="en-US"/>
        </w:rPr>
      </w:pPr>
    </w:p>
    <w:p w14:paraId="1BF9E909" w14:textId="77777777" w:rsidR="00A93D73" w:rsidRPr="00246728" w:rsidRDefault="00246728" w:rsidP="00E8725F">
      <w:pPr>
        <w:spacing w:line="276" w:lineRule="auto"/>
        <w:ind w:firstLine="708"/>
      </w:pPr>
      <w:r w:rsidRPr="00246728">
        <w:t>A</w:t>
      </w:r>
      <w:r w:rsidR="00A93D73" w:rsidRPr="00246728">
        <w:t xml:space="preserve">u fost generate următoarele statistici descriptive pentru variabilele analizate, prezentate în </w:t>
      </w:r>
      <w:r w:rsidRPr="00246728">
        <w:t>(</w:t>
      </w:r>
      <w:r w:rsidR="00A93D73" w:rsidRPr="00246728">
        <w:t>Tabelul nr. 1</w:t>
      </w:r>
      <w:r w:rsidRPr="00246728">
        <w:t>)</w:t>
      </w:r>
      <w:r w:rsidR="00A93D73" w:rsidRPr="00246728">
        <w:t>:</w:t>
      </w:r>
    </w:p>
    <w:p w14:paraId="5D6DC8BF" w14:textId="77777777" w:rsidR="00246728" w:rsidRPr="00867EC1" w:rsidRDefault="00246728" w:rsidP="00A93D73">
      <w:pPr>
        <w:spacing w:line="276" w:lineRule="auto"/>
        <w:ind w:firstLine="0"/>
        <w:rPr>
          <w:b/>
          <w:bCs/>
          <w:sz w:val="20"/>
          <w:szCs w:val="20"/>
        </w:rPr>
      </w:pPr>
    </w:p>
    <w:p w14:paraId="57BB365B" w14:textId="7FDDB3AD" w:rsidR="00A93D73" w:rsidRPr="00867EC1" w:rsidRDefault="00A93D73" w:rsidP="00A93D73">
      <w:pPr>
        <w:spacing w:line="276" w:lineRule="auto"/>
        <w:ind w:firstLine="0"/>
        <w:jc w:val="center"/>
        <w:rPr>
          <w:b/>
          <w:bCs/>
        </w:rPr>
      </w:pPr>
      <w:bookmarkStart w:id="4" w:name="_Toc72492480"/>
      <w:r w:rsidRPr="00867EC1">
        <w:rPr>
          <w:b/>
          <w:bCs/>
        </w:rPr>
        <w:t xml:space="preserve">Tabelul nr. </w:t>
      </w:r>
      <w:r w:rsidR="00014929" w:rsidRPr="00867EC1">
        <w:rPr>
          <w:b/>
          <w:bCs/>
        </w:rPr>
        <w:fldChar w:fldCharType="begin"/>
      </w:r>
      <w:r w:rsidRPr="00867EC1">
        <w:rPr>
          <w:b/>
          <w:bCs/>
        </w:rPr>
        <w:instrText xml:space="preserve"> SEQ Tabel \* ARABIC </w:instrText>
      </w:r>
      <w:r w:rsidR="00014929" w:rsidRPr="00867EC1">
        <w:rPr>
          <w:b/>
          <w:bCs/>
        </w:rPr>
        <w:fldChar w:fldCharType="separate"/>
      </w:r>
      <w:r w:rsidRPr="00867EC1">
        <w:rPr>
          <w:b/>
          <w:bCs/>
          <w:noProof/>
        </w:rPr>
        <w:t>1</w:t>
      </w:r>
      <w:r w:rsidR="00014929" w:rsidRPr="00867EC1">
        <w:rPr>
          <w:b/>
          <w:bCs/>
          <w:lang w:val="en-US"/>
        </w:rPr>
        <w:fldChar w:fldCharType="end"/>
      </w:r>
      <w:r w:rsidR="00867EC1">
        <w:rPr>
          <w:b/>
          <w:bCs/>
        </w:rPr>
        <w:t>.</w:t>
      </w:r>
      <w:r w:rsidRPr="00867EC1">
        <w:rPr>
          <w:b/>
          <w:bCs/>
        </w:rPr>
        <w:t xml:space="preserve"> Statistici descriptive pentru variabilele studiate</w:t>
      </w:r>
      <w:bookmarkEnd w:id="4"/>
    </w:p>
    <w:p w14:paraId="44211B46" w14:textId="77777777" w:rsidR="00246728" w:rsidRPr="006E1643" w:rsidRDefault="00246728" w:rsidP="00A93D73">
      <w:pPr>
        <w:spacing w:line="276" w:lineRule="auto"/>
        <w:ind w:firstLine="0"/>
        <w:jc w:val="center"/>
        <w:rPr>
          <w:bCs/>
          <w:sz w:val="20"/>
          <w:szCs w:val="20"/>
        </w:rPr>
      </w:pPr>
    </w:p>
    <w:tbl>
      <w:tblPr>
        <w:tblW w:w="0" w:type="auto"/>
        <w:jc w:val="center"/>
        <w:tblLook w:val="04A0" w:firstRow="1" w:lastRow="0" w:firstColumn="1" w:lastColumn="0" w:noHBand="0" w:noVBand="1"/>
      </w:tblPr>
      <w:tblGrid>
        <w:gridCol w:w="1189"/>
        <w:gridCol w:w="805"/>
        <w:gridCol w:w="1072"/>
        <w:gridCol w:w="1105"/>
        <w:gridCol w:w="866"/>
        <w:gridCol w:w="1744"/>
      </w:tblGrid>
      <w:tr w:rsidR="00A93D73" w:rsidRPr="006E1643" w14:paraId="6B8F0D17" w14:textId="77777777" w:rsidTr="00F2743A">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201A94" w14:textId="77777777" w:rsidR="00A93D73" w:rsidRPr="006E1643" w:rsidRDefault="00A93D73" w:rsidP="00A93D73">
            <w:pPr>
              <w:spacing w:line="276" w:lineRule="auto"/>
              <w:ind w:firstLine="0"/>
              <w:jc w:val="center"/>
              <w:rPr>
                <w:b/>
                <w:sz w:val="20"/>
                <w:szCs w:val="20"/>
                <w:lang w:val="en-US"/>
              </w:rPr>
            </w:pPr>
            <w:proofErr w:type="spellStart"/>
            <w:r w:rsidRPr="006E1643">
              <w:rPr>
                <w:b/>
                <w:sz w:val="20"/>
                <w:szCs w:val="20"/>
                <w:lang w:val="en-US"/>
              </w:rPr>
              <w:t>Variabila</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A88AE9" w14:textId="77777777" w:rsidR="00A93D73" w:rsidRPr="006E1643" w:rsidRDefault="00A93D73" w:rsidP="00A93D73">
            <w:pPr>
              <w:spacing w:line="276" w:lineRule="auto"/>
              <w:ind w:firstLine="0"/>
              <w:jc w:val="center"/>
              <w:rPr>
                <w:b/>
                <w:sz w:val="20"/>
                <w:szCs w:val="20"/>
                <w:lang w:val="en-US"/>
              </w:rPr>
            </w:pPr>
            <w:proofErr w:type="spellStart"/>
            <w:r w:rsidRPr="006E1643">
              <w:rPr>
                <w:b/>
                <w:sz w:val="20"/>
                <w:szCs w:val="20"/>
                <w:lang w:val="en-US"/>
              </w:rPr>
              <w:t>Cazuri</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E6031C" w14:textId="77777777" w:rsidR="00A93D73" w:rsidRPr="006E1643" w:rsidRDefault="00A93D73" w:rsidP="00A93D73">
            <w:pPr>
              <w:spacing w:line="276" w:lineRule="auto"/>
              <w:ind w:firstLine="0"/>
              <w:jc w:val="center"/>
              <w:rPr>
                <w:b/>
                <w:sz w:val="20"/>
                <w:szCs w:val="20"/>
                <w:lang w:val="en-US"/>
              </w:rPr>
            </w:pPr>
            <w:r w:rsidRPr="006E1643">
              <w:rPr>
                <w:b/>
                <w:sz w:val="20"/>
                <w:szCs w:val="20"/>
                <w:lang w:val="en-US"/>
              </w:rPr>
              <w:t>Minimum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120365" w14:textId="77777777" w:rsidR="00A93D73" w:rsidRPr="006E1643" w:rsidRDefault="00A93D73" w:rsidP="00A93D73">
            <w:pPr>
              <w:spacing w:line="276" w:lineRule="auto"/>
              <w:ind w:firstLine="0"/>
              <w:jc w:val="center"/>
              <w:rPr>
                <w:b/>
                <w:sz w:val="20"/>
                <w:szCs w:val="20"/>
                <w:lang w:val="en-US"/>
              </w:rPr>
            </w:pPr>
            <w:r w:rsidRPr="006E1643">
              <w:rPr>
                <w:b/>
                <w:sz w:val="20"/>
                <w:szCs w:val="20"/>
                <w:lang w:val="en-US"/>
              </w:rPr>
              <w:t>Maximum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18F256" w14:textId="77777777" w:rsidR="00A93D73" w:rsidRPr="006E1643" w:rsidRDefault="00A93D73" w:rsidP="00A93D73">
            <w:pPr>
              <w:spacing w:line="276" w:lineRule="auto"/>
              <w:ind w:firstLine="0"/>
              <w:jc w:val="center"/>
              <w:rPr>
                <w:b/>
                <w:sz w:val="20"/>
                <w:szCs w:val="20"/>
                <w:lang w:val="en-US"/>
              </w:rPr>
            </w:pPr>
            <w:r w:rsidRPr="006E1643">
              <w:rPr>
                <w:b/>
                <w:sz w:val="20"/>
                <w:szCs w:val="20"/>
                <w:lang w:val="en-US"/>
              </w:rPr>
              <w:t>Media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15B35E" w14:textId="77777777" w:rsidR="00A93D73" w:rsidRPr="006E1643" w:rsidRDefault="00A93D73" w:rsidP="00A93D73">
            <w:pPr>
              <w:spacing w:line="276" w:lineRule="auto"/>
              <w:ind w:firstLine="0"/>
              <w:jc w:val="center"/>
              <w:rPr>
                <w:b/>
                <w:sz w:val="20"/>
                <w:szCs w:val="20"/>
                <w:lang w:val="en-US"/>
              </w:rPr>
            </w:pPr>
            <w:proofErr w:type="spellStart"/>
            <w:r w:rsidRPr="006E1643">
              <w:rPr>
                <w:b/>
                <w:sz w:val="20"/>
                <w:szCs w:val="20"/>
                <w:lang w:val="en-US"/>
              </w:rPr>
              <w:t>Deviația</w:t>
            </w:r>
            <w:proofErr w:type="spellEnd"/>
            <w:r w:rsidRPr="006E1643">
              <w:rPr>
                <w:b/>
                <w:sz w:val="20"/>
                <w:szCs w:val="20"/>
                <w:lang w:val="en-US"/>
              </w:rPr>
              <w:t xml:space="preserve"> standard</w:t>
            </w:r>
          </w:p>
        </w:tc>
      </w:tr>
      <w:tr w:rsidR="00A93D73" w:rsidRPr="006E1643" w14:paraId="15D90A76" w14:textId="77777777" w:rsidTr="00F2743A">
        <w:trPr>
          <w:trHeight w:val="255"/>
          <w:jc w:val="center"/>
        </w:trPr>
        <w:tc>
          <w:tcPr>
            <w:tcW w:w="0" w:type="auto"/>
            <w:tcBorders>
              <w:top w:val="nil"/>
              <w:left w:val="single" w:sz="4" w:space="0" w:color="auto"/>
              <w:bottom w:val="single" w:sz="4" w:space="0" w:color="auto"/>
              <w:right w:val="single" w:sz="4" w:space="0" w:color="auto"/>
            </w:tcBorders>
            <w:shd w:val="clear" w:color="auto" w:fill="auto"/>
            <w:hideMark/>
          </w:tcPr>
          <w:p w14:paraId="69F6136E" w14:textId="77777777" w:rsidR="00A93D73" w:rsidRPr="006E1643" w:rsidRDefault="00A93D73" w:rsidP="00A93D73">
            <w:pPr>
              <w:spacing w:line="276" w:lineRule="auto"/>
              <w:ind w:firstLine="0"/>
              <w:jc w:val="center"/>
              <w:rPr>
                <w:sz w:val="20"/>
                <w:szCs w:val="20"/>
                <w:lang w:val="en-US"/>
              </w:rPr>
            </w:pPr>
            <w:proofErr w:type="spellStart"/>
            <w:r w:rsidRPr="006E1643">
              <w:rPr>
                <w:sz w:val="20"/>
                <w:szCs w:val="20"/>
                <w:lang w:val="en-US"/>
              </w:rPr>
              <w:t>Var.CAAT</w:t>
            </w:r>
            <w:proofErr w:type="spellEnd"/>
          </w:p>
        </w:tc>
        <w:tc>
          <w:tcPr>
            <w:tcW w:w="0" w:type="auto"/>
            <w:tcBorders>
              <w:top w:val="nil"/>
              <w:left w:val="nil"/>
              <w:bottom w:val="single" w:sz="4" w:space="0" w:color="auto"/>
              <w:right w:val="single" w:sz="4" w:space="0" w:color="auto"/>
            </w:tcBorders>
            <w:shd w:val="clear" w:color="auto" w:fill="auto"/>
            <w:noWrap/>
            <w:hideMark/>
          </w:tcPr>
          <w:p w14:paraId="20544857"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287</w:t>
            </w:r>
          </w:p>
        </w:tc>
        <w:tc>
          <w:tcPr>
            <w:tcW w:w="0" w:type="auto"/>
            <w:tcBorders>
              <w:top w:val="nil"/>
              <w:left w:val="nil"/>
              <w:bottom w:val="single" w:sz="4" w:space="0" w:color="auto"/>
              <w:right w:val="single" w:sz="4" w:space="0" w:color="auto"/>
            </w:tcBorders>
            <w:shd w:val="clear" w:color="auto" w:fill="auto"/>
            <w:noWrap/>
            <w:hideMark/>
          </w:tcPr>
          <w:p w14:paraId="5C68023A"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0,001</w:t>
            </w:r>
          </w:p>
        </w:tc>
        <w:tc>
          <w:tcPr>
            <w:tcW w:w="0" w:type="auto"/>
            <w:tcBorders>
              <w:top w:val="nil"/>
              <w:left w:val="nil"/>
              <w:bottom w:val="single" w:sz="4" w:space="0" w:color="auto"/>
              <w:right w:val="single" w:sz="4" w:space="0" w:color="auto"/>
            </w:tcBorders>
            <w:shd w:val="clear" w:color="auto" w:fill="auto"/>
            <w:noWrap/>
            <w:hideMark/>
          </w:tcPr>
          <w:p w14:paraId="1D2A55FF"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12,697</w:t>
            </w:r>
          </w:p>
        </w:tc>
        <w:tc>
          <w:tcPr>
            <w:tcW w:w="0" w:type="auto"/>
            <w:tcBorders>
              <w:top w:val="nil"/>
              <w:left w:val="nil"/>
              <w:bottom w:val="single" w:sz="4" w:space="0" w:color="auto"/>
              <w:right w:val="single" w:sz="4" w:space="0" w:color="auto"/>
            </w:tcBorders>
            <w:shd w:val="clear" w:color="auto" w:fill="auto"/>
            <w:noWrap/>
            <w:hideMark/>
          </w:tcPr>
          <w:p w14:paraId="7C31D2D4"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1,03777</w:t>
            </w:r>
          </w:p>
        </w:tc>
        <w:tc>
          <w:tcPr>
            <w:tcW w:w="0" w:type="auto"/>
            <w:tcBorders>
              <w:top w:val="nil"/>
              <w:left w:val="nil"/>
              <w:bottom w:val="single" w:sz="4" w:space="0" w:color="auto"/>
              <w:right w:val="single" w:sz="4" w:space="0" w:color="auto"/>
            </w:tcBorders>
            <w:shd w:val="clear" w:color="auto" w:fill="auto"/>
            <w:noWrap/>
            <w:hideMark/>
          </w:tcPr>
          <w:p w14:paraId="1E71FBE4"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1,218845</w:t>
            </w:r>
          </w:p>
        </w:tc>
      </w:tr>
      <w:tr w:rsidR="00A93D73" w:rsidRPr="006E1643" w14:paraId="0ECEF57E" w14:textId="77777777" w:rsidTr="00F2743A">
        <w:trPr>
          <w:trHeight w:val="255"/>
          <w:jc w:val="center"/>
        </w:trPr>
        <w:tc>
          <w:tcPr>
            <w:tcW w:w="0" w:type="auto"/>
            <w:tcBorders>
              <w:top w:val="nil"/>
              <w:left w:val="single" w:sz="4" w:space="0" w:color="auto"/>
              <w:bottom w:val="single" w:sz="4" w:space="0" w:color="auto"/>
              <w:right w:val="single" w:sz="4" w:space="0" w:color="auto"/>
            </w:tcBorders>
            <w:shd w:val="clear" w:color="auto" w:fill="auto"/>
            <w:hideMark/>
          </w:tcPr>
          <w:p w14:paraId="4272FFEC" w14:textId="77777777" w:rsidR="00A93D73" w:rsidRPr="006E1643" w:rsidRDefault="00A93D73" w:rsidP="00A93D73">
            <w:pPr>
              <w:spacing w:line="276" w:lineRule="auto"/>
              <w:ind w:firstLine="0"/>
              <w:jc w:val="center"/>
              <w:rPr>
                <w:sz w:val="20"/>
                <w:szCs w:val="20"/>
                <w:lang w:val="en-US"/>
              </w:rPr>
            </w:pPr>
            <w:proofErr w:type="spellStart"/>
            <w:r w:rsidRPr="006E1643">
              <w:rPr>
                <w:sz w:val="20"/>
                <w:szCs w:val="20"/>
                <w:lang w:val="en-US"/>
              </w:rPr>
              <w:t>Var.IMPAT</w:t>
            </w:r>
            <w:proofErr w:type="spellEnd"/>
          </w:p>
        </w:tc>
        <w:tc>
          <w:tcPr>
            <w:tcW w:w="0" w:type="auto"/>
            <w:tcBorders>
              <w:top w:val="nil"/>
              <w:left w:val="nil"/>
              <w:bottom w:val="single" w:sz="4" w:space="0" w:color="auto"/>
              <w:right w:val="single" w:sz="4" w:space="0" w:color="auto"/>
            </w:tcBorders>
            <w:shd w:val="clear" w:color="auto" w:fill="auto"/>
            <w:noWrap/>
            <w:hideMark/>
          </w:tcPr>
          <w:p w14:paraId="50D0DD45"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287</w:t>
            </w:r>
          </w:p>
        </w:tc>
        <w:tc>
          <w:tcPr>
            <w:tcW w:w="0" w:type="auto"/>
            <w:tcBorders>
              <w:top w:val="nil"/>
              <w:left w:val="nil"/>
              <w:bottom w:val="single" w:sz="4" w:space="0" w:color="auto"/>
              <w:right w:val="single" w:sz="4" w:space="0" w:color="auto"/>
            </w:tcBorders>
            <w:shd w:val="clear" w:color="auto" w:fill="auto"/>
            <w:noWrap/>
            <w:hideMark/>
          </w:tcPr>
          <w:p w14:paraId="77C5866A"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0,000</w:t>
            </w:r>
          </w:p>
        </w:tc>
        <w:tc>
          <w:tcPr>
            <w:tcW w:w="0" w:type="auto"/>
            <w:tcBorders>
              <w:top w:val="nil"/>
              <w:left w:val="nil"/>
              <w:bottom w:val="single" w:sz="4" w:space="0" w:color="auto"/>
              <w:right w:val="single" w:sz="4" w:space="0" w:color="auto"/>
            </w:tcBorders>
            <w:shd w:val="clear" w:color="auto" w:fill="auto"/>
            <w:noWrap/>
            <w:hideMark/>
          </w:tcPr>
          <w:p w14:paraId="6FC2955A"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0,231</w:t>
            </w:r>
          </w:p>
        </w:tc>
        <w:tc>
          <w:tcPr>
            <w:tcW w:w="0" w:type="auto"/>
            <w:tcBorders>
              <w:top w:val="nil"/>
              <w:left w:val="nil"/>
              <w:bottom w:val="single" w:sz="4" w:space="0" w:color="auto"/>
              <w:right w:val="single" w:sz="4" w:space="0" w:color="auto"/>
            </w:tcBorders>
            <w:shd w:val="clear" w:color="auto" w:fill="auto"/>
            <w:noWrap/>
            <w:hideMark/>
          </w:tcPr>
          <w:p w14:paraId="16E89FD9"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0,01661</w:t>
            </w:r>
          </w:p>
        </w:tc>
        <w:tc>
          <w:tcPr>
            <w:tcW w:w="0" w:type="auto"/>
            <w:tcBorders>
              <w:top w:val="nil"/>
              <w:left w:val="nil"/>
              <w:bottom w:val="single" w:sz="4" w:space="0" w:color="auto"/>
              <w:right w:val="single" w:sz="4" w:space="0" w:color="auto"/>
            </w:tcBorders>
            <w:shd w:val="clear" w:color="auto" w:fill="auto"/>
            <w:noWrap/>
            <w:hideMark/>
          </w:tcPr>
          <w:p w14:paraId="75490EF0" w14:textId="77777777" w:rsidR="00A93D73" w:rsidRPr="006E1643" w:rsidRDefault="00A93D73" w:rsidP="00A93D73">
            <w:pPr>
              <w:spacing w:line="276" w:lineRule="auto"/>
              <w:ind w:firstLine="0"/>
              <w:jc w:val="center"/>
              <w:rPr>
                <w:sz w:val="20"/>
                <w:szCs w:val="20"/>
                <w:lang w:val="en-US"/>
              </w:rPr>
            </w:pPr>
            <w:r w:rsidRPr="006E1643">
              <w:rPr>
                <w:sz w:val="20"/>
                <w:szCs w:val="20"/>
                <w:lang w:val="en-US"/>
              </w:rPr>
              <w:t>0,023539</w:t>
            </w:r>
          </w:p>
        </w:tc>
      </w:tr>
    </w:tbl>
    <w:p w14:paraId="34AC9042" w14:textId="77777777" w:rsidR="00A93D73" w:rsidRPr="006E1643" w:rsidRDefault="00A93D73" w:rsidP="00A93D73">
      <w:pPr>
        <w:spacing w:line="276" w:lineRule="auto"/>
        <w:ind w:firstLine="0"/>
        <w:jc w:val="center"/>
        <w:rPr>
          <w:sz w:val="20"/>
          <w:szCs w:val="20"/>
        </w:rPr>
      </w:pPr>
      <w:r w:rsidRPr="006E1643">
        <w:rPr>
          <w:b/>
          <w:sz w:val="20"/>
          <w:szCs w:val="20"/>
        </w:rPr>
        <w:t>Sursa</w:t>
      </w:r>
      <w:r w:rsidRPr="006E1643">
        <w:rPr>
          <w:sz w:val="20"/>
          <w:szCs w:val="20"/>
        </w:rPr>
        <w:t>: prelucrare proprie în Microsoft Excel</w:t>
      </w:r>
    </w:p>
    <w:p w14:paraId="5B26F144" w14:textId="77777777" w:rsidR="00A93D73" w:rsidRPr="006E1643" w:rsidRDefault="00A93D73" w:rsidP="00A93D73">
      <w:pPr>
        <w:spacing w:line="276" w:lineRule="auto"/>
        <w:ind w:firstLine="0"/>
        <w:rPr>
          <w:sz w:val="20"/>
          <w:szCs w:val="20"/>
        </w:rPr>
      </w:pPr>
    </w:p>
    <w:p w14:paraId="0002ADE0" w14:textId="77777777" w:rsidR="00A93D73" w:rsidRPr="00271A92" w:rsidRDefault="00A93D73" w:rsidP="00271A92">
      <w:pPr>
        <w:spacing w:line="276" w:lineRule="auto"/>
        <w:ind w:firstLine="708"/>
      </w:pPr>
      <w:r w:rsidRPr="00271A92">
        <w:t>În urma analizei valorilor înregistrate pentru media generală pentru variabila Var.CAAT în funcție de mărimea entității (mică, mare sau mijlocie) – conform criteriilor de mărime definite în legislația fiscală, se constată faptul că pentru contribuabilii mici media este de 1,091 puncte (valoare situată peste media generală de 1,03777), pentru cei mijlocii de 0,843 puncte (valoare situată sub media generală de 1,03777), iar pentru cei mari de 1,001 puncte (valoare situată ușor sub media generală de 1,03777).</w:t>
      </w:r>
      <w:r w:rsidR="00271A92">
        <w:t xml:space="preserve"> </w:t>
      </w:r>
      <w:r w:rsidRPr="00271A92">
        <w:t>Evoluția mediilor generale pentru variabila Var.CAAT în funcție de mărimea entității (mică, mare sau mijlocie) – conform criteriilor de mărime definite în legislația fiscală s</w:t>
      </w:r>
      <w:r w:rsidR="008C6547" w:rsidRPr="00271A92">
        <w:t xml:space="preserve">e prezintă conform </w:t>
      </w:r>
      <w:r w:rsidR="00271A92">
        <w:t>(</w:t>
      </w:r>
      <w:r w:rsidR="008C6547" w:rsidRPr="00271A92">
        <w:t>figurii nr. 2</w:t>
      </w:r>
      <w:r w:rsidR="00271A92">
        <w:t>)</w:t>
      </w:r>
      <w:r w:rsidRPr="00271A92">
        <w:t>:</w:t>
      </w:r>
    </w:p>
    <w:p w14:paraId="01D51AA2" w14:textId="77777777" w:rsidR="00A93D73" w:rsidRPr="006E1643" w:rsidRDefault="00A93D73" w:rsidP="00A93D73">
      <w:pPr>
        <w:spacing w:line="276" w:lineRule="auto"/>
        <w:ind w:firstLine="0"/>
        <w:jc w:val="center"/>
        <w:rPr>
          <w:sz w:val="20"/>
          <w:szCs w:val="20"/>
        </w:rPr>
      </w:pPr>
      <w:r w:rsidRPr="006E1643">
        <w:rPr>
          <w:noProof/>
          <w:sz w:val="20"/>
          <w:szCs w:val="20"/>
          <w:lang w:val="en-US" w:eastAsia="en-US"/>
        </w:rPr>
        <w:drawing>
          <wp:inline distT="0" distB="0" distL="0" distR="0" wp14:anchorId="389212D1" wp14:editId="56E8B038">
            <wp:extent cx="3709359" cy="1733694"/>
            <wp:effectExtent l="0" t="0" r="571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6B6B6D" w14:textId="68BD870C" w:rsidR="002C19E2" w:rsidRPr="00867EC1" w:rsidRDefault="00A93D73" w:rsidP="00A93D73">
      <w:pPr>
        <w:spacing w:line="276" w:lineRule="auto"/>
        <w:ind w:firstLine="0"/>
        <w:jc w:val="center"/>
        <w:rPr>
          <w:b/>
          <w:sz w:val="20"/>
          <w:szCs w:val="20"/>
        </w:rPr>
      </w:pPr>
      <w:bookmarkStart w:id="5" w:name="_Toc76371876"/>
      <w:r w:rsidRPr="002C19E2">
        <w:rPr>
          <w:b/>
          <w:bCs/>
        </w:rPr>
        <w:t xml:space="preserve">Figura nr. </w:t>
      </w:r>
      <w:r w:rsidR="00014929" w:rsidRPr="002C19E2">
        <w:rPr>
          <w:b/>
          <w:bCs/>
        </w:rPr>
        <w:fldChar w:fldCharType="begin"/>
      </w:r>
      <w:r w:rsidRPr="002C19E2">
        <w:rPr>
          <w:b/>
          <w:bCs/>
        </w:rPr>
        <w:instrText xml:space="preserve"> SEQ Figură \* ARABIC </w:instrText>
      </w:r>
      <w:r w:rsidR="00014929" w:rsidRPr="002C19E2">
        <w:rPr>
          <w:b/>
          <w:bCs/>
        </w:rPr>
        <w:fldChar w:fldCharType="separate"/>
      </w:r>
      <w:r w:rsidR="008C6547" w:rsidRPr="002C19E2">
        <w:rPr>
          <w:b/>
          <w:bCs/>
          <w:noProof/>
        </w:rPr>
        <w:t>2</w:t>
      </w:r>
      <w:r w:rsidR="00014929" w:rsidRPr="002C19E2">
        <w:fldChar w:fldCharType="end"/>
      </w:r>
      <w:r w:rsidR="00867EC1">
        <w:rPr>
          <w:b/>
        </w:rPr>
        <w:t>.</w:t>
      </w:r>
      <w:r w:rsidR="00E8725F" w:rsidRPr="00867EC1">
        <w:rPr>
          <w:b/>
        </w:rPr>
        <w:t xml:space="preserve"> </w:t>
      </w:r>
      <w:r w:rsidRPr="00867EC1">
        <w:rPr>
          <w:b/>
        </w:rPr>
        <w:t>Evoluția mediilor generale pentru variabila Var.CAAT în funcție de mărimea e</w:t>
      </w:r>
      <w:r w:rsidR="002C19E2" w:rsidRPr="00867EC1">
        <w:rPr>
          <w:b/>
        </w:rPr>
        <w:t>ntității</w:t>
      </w:r>
    </w:p>
    <w:p w14:paraId="1F053394" w14:textId="77777777" w:rsidR="00A93D73" w:rsidRPr="006E1643" w:rsidRDefault="00A93D73" w:rsidP="00A93D73">
      <w:pPr>
        <w:spacing w:line="276" w:lineRule="auto"/>
        <w:ind w:firstLine="0"/>
        <w:jc w:val="center"/>
        <w:rPr>
          <w:bCs/>
          <w:sz w:val="20"/>
          <w:szCs w:val="20"/>
        </w:rPr>
      </w:pPr>
      <w:r w:rsidRPr="006E1643">
        <w:rPr>
          <w:b/>
          <w:bCs/>
          <w:sz w:val="20"/>
          <w:szCs w:val="20"/>
        </w:rPr>
        <w:t>Sursa</w:t>
      </w:r>
      <w:r w:rsidRPr="006E1643">
        <w:rPr>
          <w:bCs/>
          <w:sz w:val="20"/>
          <w:szCs w:val="20"/>
        </w:rPr>
        <w:t>: elaborare proprie în Microsoft Excel</w:t>
      </w:r>
      <w:bookmarkEnd w:id="5"/>
    </w:p>
    <w:p w14:paraId="25987342" w14:textId="77777777" w:rsidR="00A93D73" w:rsidRPr="006E1643" w:rsidRDefault="00A93D73" w:rsidP="00A93D73">
      <w:pPr>
        <w:spacing w:line="276" w:lineRule="auto"/>
        <w:ind w:firstLine="0"/>
        <w:jc w:val="center"/>
        <w:rPr>
          <w:sz w:val="20"/>
          <w:szCs w:val="20"/>
        </w:rPr>
      </w:pPr>
    </w:p>
    <w:p w14:paraId="648A712F" w14:textId="77777777" w:rsidR="00A93D73" w:rsidRPr="00322C0E" w:rsidRDefault="00A93D73" w:rsidP="00322C0E">
      <w:pPr>
        <w:spacing w:line="276" w:lineRule="auto"/>
        <w:ind w:firstLine="708"/>
      </w:pPr>
      <w:r w:rsidRPr="00322C0E">
        <w:t xml:space="preserve">În mod similar, în urma analizei valorilor înregistrate pentru media generală pentru variabila Var.IMPAT în funcție de mărimea entității (mică, mare sau mijlocie) – conform criteriilor de mărime definite în legislația fiscală, se constată faptul că pentru contribuabilii mici media este de 0,017 puncte (valoare situată peste media generală de 0,01661), pentru cei mijlocii de 0,014 puncte (valoare situată sub media generală de 0,01661), iar pentru cei mari de 0,016 puncte (valoare situată în jurul mediei </w:t>
      </w:r>
      <w:r w:rsidRPr="00322C0E">
        <w:lastRenderedPageBreak/>
        <w:t xml:space="preserve">generală de </w:t>
      </w:r>
      <w:r w:rsidRPr="00322C0E">
        <w:rPr>
          <w:lang w:val="en-US"/>
        </w:rPr>
        <w:t>0,01661</w:t>
      </w:r>
      <w:r w:rsidRPr="00322C0E">
        <w:t>).</w:t>
      </w:r>
      <w:r w:rsidR="00322C0E">
        <w:t xml:space="preserve"> </w:t>
      </w:r>
      <w:r w:rsidRPr="00322C0E">
        <w:t>Evoluția mediilor generale pentru variabila Var.IMPAT în funcție de mărimea entității (mică, mare sau mijlocie) – conform criteriilor de mărime definite în legislația fiscală s</w:t>
      </w:r>
      <w:r w:rsidR="008C6547" w:rsidRPr="00322C0E">
        <w:t xml:space="preserve">e prezintă conform </w:t>
      </w:r>
      <w:r w:rsidR="00322C0E">
        <w:t>(</w:t>
      </w:r>
      <w:r w:rsidR="008C6547" w:rsidRPr="00322C0E">
        <w:t>figurii nr. 3</w:t>
      </w:r>
      <w:r w:rsidR="00322C0E">
        <w:t>)</w:t>
      </w:r>
      <w:r w:rsidRPr="00322C0E">
        <w:t>:</w:t>
      </w:r>
    </w:p>
    <w:p w14:paraId="2E24F97B" w14:textId="77777777" w:rsidR="00A93D73" w:rsidRPr="006E1643" w:rsidRDefault="00A93D73" w:rsidP="00A93D73">
      <w:pPr>
        <w:spacing w:line="276" w:lineRule="auto"/>
        <w:ind w:firstLine="0"/>
        <w:rPr>
          <w:sz w:val="20"/>
          <w:szCs w:val="20"/>
        </w:rPr>
      </w:pPr>
    </w:p>
    <w:p w14:paraId="5B83C29E" w14:textId="77777777" w:rsidR="00A93D73" w:rsidRPr="006E1643" w:rsidRDefault="00A93D73" w:rsidP="00A93D73">
      <w:pPr>
        <w:spacing w:line="276" w:lineRule="auto"/>
        <w:ind w:firstLine="0"/>
        <w:jc w:val="center"/>
        <w:rPr>
          <w:sz w:val="20"/>
          <w:szCs w:val="20"/>
        </w:rPr>
      </w:pPr>
      <w:r w:rsidRPr="006E1643">
        <w:rPr>
          <w:noProof/>
          <w:sz w:val="20"/>
          <w:szCs w:val="20"/>
          <w:lang w:val="en-US" w:eastAsia="en-US"/>
        </w:rPr>
        <w:drawing>
          <wp:inline distT="0" distB="0" distL="0" distR="0" wp14:anchorId="37BD3B72" wp14:editId="719E5BDA">
            <wp:extent cx="3759224" cy="1868242"/>
            <wp:effectExtent l="0" t="0" r="12700" b="177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CE068E" w14:textId="5560A9E2" w:rsidR="00EA6EE2" w:rsidRPr="00867EC1" w:rsidRDefault="00A93D73" w:rsidP="008C6547">
      <w:pPr>
        <w:spacing w:line="276" w:lineRule="auto"/>
        <w:ind w:firstLine="0"/>
        <w:jc w:val="center"/>
        <w:rPr>
          <w:b/>
          <w:sz w:val="20"/>
          <w:szCs w:val="20"/>
        </w:rPr>
      </w:pPr>
      <w:bookmarkStart w:id="6" w:name="_Toc76371877"/>
      <w:r w:rsidRPr="00EA6EE2">
        <w:rPr>
          <w:b/>
          <w:bCs/>
        </w:rPr>
        <w:t xml:space="preserve">Figura nr. </w:t>
      </w:r>
      <w:r w:rsidR="00014929" w:rsidRPr="00EA6EE2">
        <w:rPr>
          <w:b/>
          <w:bCs/>
        </w:rPr>
        <w:fldChar w:fldCharType="begin"/>
      </w:r>
      <w:r w:rsidRPr="00EA6EE2">
        <w:rPr>
          <w:b/>
          <w:bCs/>
        </w:rPr>
        <w:instrText xml:space="preserve"> SEQ Figură \* ARABIC </w:instrText>
      </w:r>
      <w:r w:rsidR="00014929" w:rsidRPr="00EA6EE2">
        <w:rPr>
          <w:b/>
          <w:bCs/>
        </w:rPr>
        <w:fldChar w:fldCharType="separate"/>
      </w:r>
      <w:r w:rsidR="008C6547" w:rsidRPr="00EA6EE2">
        <w:rPr>
          <w:b/>
          <w:bCs/>
          <w:noProof/>
        </w:rPr>
        <w:t>3</w:t>
      </w:r>
      <w:r w:rsidR="00014929" w:rsidRPr="00EA6EE2">
        <w:fldChar w:fldCharType="end"/>
      </w:r>
      <w:r w:rsidR="00867EC1" w:rsidRPr="00867EC1">
        <w:rPr>
          <w:b/>
        </w:rPr>
        <w:t xml:space="preserve">. </w:t>
      </w:r>
      <w:r w:rsidRPr="00867EC1">
        <w:rPr>
          <w:b/>
        </w:rPr>
        <w:t xml:space="preserve">Evoluția mediilor generale pentru variabila Var.IMPAT </w:t>
      </w:r>
      <w:r w:rsidR="00EA6EE2" w:rsidRPr="00867EC1">
        <w:rPr>
          <w:b/>
        </w:rPr>
        <w:t>în funcție de mărimea entității</w:t>
      </w:r>
      <w:r w:rsidR="00D87D4C" w:rsidRPr="00867EC1">
        <w:rPr>
          <w:b/>
          <w:sz w:val="20"/>
          <w:szCs w:val="20"/>
        </w:rPr>
        <w:t xml:space="preserve"> </w:t>
      </w:r>
    </w:p>
    <w:p w14:paraId="42DE69A6" w14:textId="77777777" w:rsidR="008C6547" w:rsidRPr="006E1643" w:rsidRDefault="00A93D73" w:rsidP="008C6547">
      <w:pPr>
        <w:spacing w:line="276" w:lineRule="auto"/>
        <w:ind w:firstLine="0"/>
        <w:jc w:val="center"/>
        <w:rPr>
          <w:bCs/>
          <w:sz w:val="20"/>
          <w:szCs w:val="20"/>
        </w:rPr>
      </w:pPr>
      <w:r w:rsidRPr="006E1643">
        <w:rPr>
          <w:b/>
          <w:bCs/>
          <w:sz w:val="20"/>
          <w:szCs w:val="20"/>
        </w:rPr>
        <w:t>Sursa</w:t>
      </w:r>
      <w:r w:rsidRPr="006E1643">
        <w:rPr>
          <w:bCs/>
          <w:sz w:val="20"/>
          <w:szCs w:val="20"/>
        </w:rPr>
        <w:t>: elaborare proprie în Microsoft Excel</w:t>
      </w:r>
      <w:bookmarkEnd w:id="6"/>
    </w:p>
    <w:p w14:paraId="6987ED01" w14:textId="77777777" w:rsidR="008C6547" w:rsidRPr="00B15BBA" w:rsidRDefault="008C6547" w:rsidP="00B15BBA">
      <w:pPr>
        <w:pStyle w:val="ListParagraph"/>
        <w:ind w:firstLine="0"/>
        <w:rPr>
          <w:b/>
          <w:lang w:val="en-US"/>
        </w:rPr>
      </w:pPr>
    </w:p>
    <w:p w14:paraId="67BE97B2" w14:textId="63A58DB0" w:rsidR="00A93D73" w:rsidRPr="00867EC1" w:rsidRDefault="00867EC1" w:rsidP="00867EC1">
      <w:pPr>
        <w:pStyle w:val="ListParagraph"/>
        <w:numPr>
          <w:ilvl w:val="1"/>
          <w:numId w:val="7"/>
        </w:numPr>
        <w:spacing w:line="276" w:lineRule="auto"/>
        <w:ind w:hanging="11"/>
        <w:rPr>
          <w:sz w:val="20"/>
          <w:szCs w:val="20"/>
        </w:rPr>
      </w:pPr>
      <w:r>
        <w:rPr>
          <w:b/>
          <w:lang w:val="en-US"/>
        </w:rPr>
        <w:t xml:space="preserve"> </w:t>
      </w:r>
      <w:r w:rsidRPr="00867EC1">
        <w:rPr>
          <w:b/>
          <w:lang w:val="en-US"/>
        </w:rPr>
        <w:t>ANALIZA DE REGRESIE PENTRU CUANTIFICAREA INFLUENȚEI FISCALITĂȚII ASUPRA CONTABILITĂȚII - PROFIL TEMPORAL</w:t>
      </w:r>
    </w:p>
    <w:p w14:paraId="2AC6721D" w14:textId="77777777" w:rsidR="00867EC1" w:rsidRPr="00867EC1" w:rsidRDefault="00867EC1" w:rsidP="00867EC1">
      <w:pPr>
        <w:pStyle w:val="ListParagraph"/>
        <w:spacing w:line="276" w:lineRule="auto"/>
        <w:ind w:firstLine="0"/>
        <w:rPr>
          <w:sz w:val="20"/>
          <w:szCs w:val="20"/>
        </w:rPr>
      </w:pPr>
    </w:p>
    <w:p w14:paraId="15CE74D6" w14:textId="77777777" w:rsidR="00A93D73" w:rsidRPr="00CF3576" w:rsidRDefault="00A93D73" w:rsidP="00CF3576">
      <w:pPr>
        <w:spacing w:line="276" w:lineRule="auto"/>
        <w:ind w:firstLine="708"/>
      </w:pPr>
      <w:r w:rsidRPr="00CF3576">
        <w:t xml:space="preserve">În urma efectuării analizei de regresie în softul statistic SPSS versiunea 22, prin setarea ca variabilă dependentă a măsurii surogat pentru contabilitate, respectiv a indicatorului </w:t>
      </w:r>
      <w:r w:rsidRPr="00CF3576">
        <w:rPr>
          <w:i/>
        </w:rPr>
        <w:t xml:space="preserve">Cifră de afaceri în Total active </w:t>
      </w:r>
      <w:r w:rsidRPr="00CF3576">
        <w:t xml:space="preserve">(Var.CAAT) și ca variabilă independentă indicatorul </w:t>
      </w:r>
      <w:r w:rsidRPr="00CF3576">
        <w:rPr>
          <w:i/>
        </w:rPr>
        <w:t>Impozit pe profit în Total active</w:t>
      </w:r>
      <w:r w:rsidRPr="00CF3576">
        <w:t xml:space="preserve"> (Var.IMPAT), a rezultat următorul model general redat în </w:t>
      </w:r>
      <w:r w:rsidR="00CF3576">
        <w:t>(</w:t>
      </w:r>
      <w:r w:rsidRPr="00CF3576">
        <w:t xml:space="preserve">tabelul nr. </w:t>
      </w:r>
      <w:r w:rsidR="00F2743A" w:rsidRPr="00CF3576">
        <w:t>2</w:t>
      </w:r>
      <w:r w:rsidR="00CF3576">
        <w:t>)</w:t>
      </w:r>
      <w:r w:rsidRPr="00CF3576">
        <w:t>:</w:t>
      </w:r>
    </w:p>
    <w:p w14:paraId="2C65022C" w14:textId="77777777" w:rsidR="00CF3576" w:rsidRPr="006E1643" w:rsidRDefault="00CF3576" w:rsidP="00A93D73">
      <w:pPr>
        <w:spacing w:line="276" w:lineRule="auto"/>
        <w:ind w:firstLine="0"/>
        <w:rPr>
          <w:sz w:val="20"/>
          <w:szCs w:val="20"/>
        </w:rPr>
      </w:pPr>
    </w:p>
    <w:p w14:paraId="3A110FF3" w14:textId="54E29FE1" w:rsidR="00A93D73" w:rsidRPr="00CF3576" w:rsidRDefault="00A93D73" w:rsidP="00A93D73">
      <w:pPr>
        <w:spacing w:line="276" w:lineRule="auto"/>
        <w:ind w:firstLine="0"/>
        <w:jc w:val="center"/>
        <w:rPr>
          <w:bCs/>
        </w:rPr>
      </w:pPr>
      <w:bookmarkStart w:id="7" w:name="_Toc72492483"/>
      <w:r w:rsidRPr="00CF3576">
        <w:rPr>
          <w:b/>
          <w:bCs/>
        </w:rPr>
        <w:t xml:space="preserve">Tabelul nr. </w:t>
      </w:r>
      <w:r w:rsidR="00014929" w:rsidRPr="00CF3576">
        <w:rPr>
          <w:b/>
          <w:bCs/>
        </w:rPr>
        <w:fldChar w:fldCharType="begin"/>
      </w:r>
      <w:r w:rsidRPr="00CF3576">
        <w:rPr>
          <w:b/>
          <w:bCs/>
        </w:rPr>
        <w:instrText xml:space="preserve"> SEQ Tabel \* ARABIC </w:instrText>
      </w:r>
      <w:r w:rsidR="00014929" w:rsidRPr="00CF3576">
        <w:rPr>
          <w:b/>
          <w:bCs/>
        </w:rPr>
        <w:fldChar w:fldCharType="separate"/>
      </w:r>
      <w:r w:rsidR="00F2743A" w:rsidRPr="00CF3576">
        <w:rPr>
          <w:b/>
          <w:bCs/>
          <w:noProof/>
        </w:rPr>
        <w:t>2</w:t>
      </w:r>
      <w:r w:rsidR="00014929" w:rsidRPr="00CF3576">
        <w:fldChar w:fldCharType="end"/>
      </w:r>
      <w:r w:rsidR="00867EC1" w:rsidRPr="00867EC1">
        <w:rPr>
          <w:b/>
        </w:rPr>
        <w:t>.</w:t>
      </w:r>
      <w:r w:rsidRPr="00867EC1">
        <w:rPr>
          <w:b/>
        </w:rPr>
        <w:t xml:space="preserve"> Rezumatul modelului de regresie general</w:t>
      </w:r>
      <w:bookmarkEnd w:id="7"/>
    </w:p>
    <w:p w14:paraId="3B9DBF6F" w14:textId="77777777" w:rsidR="00CF3576" w:rsidRPr="006E1643" w:rsidRDefault="00CF3576" w:rsidP="00A93D73">
      <w:pPr>
        <w:spacing w:line="276" w:lineRule="auto"/>
        <w:ind w:firstLine="0"/>
        <w:jc w:val="center"/>
        <w:rPr>
          <w:bCs/>
          <w:sz w:val="20"/>
          <w:szCs w:val="20"/>
        </w:rPr>
      </w:pPr>
    </w:p>
    <w:tbl>
      <w:tblPr>
        <w:tblW w:w="491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
        <w:gridCol w:w="703"/>
        <w:gridCol w:w="749"/>
        <w:gridCol w:w="1034"/>
        <w:gridCol w:w="1034"/>
        <w:gridCol w:w="1034"/>
        <w:gridCol w:w="788"/>
        <w:gridCol w:w="688"/>
        <w:gridCol w:w="704"/>
        <w:gridCol w:w="1039"/>
        <w:gridCol w:w="1037"/>
      </w:tblGrid>
      <w:tr w:rsidR="00A93D73" w:rsidRPr="006E1643" w14:paraId="1AC4634B" w14:textId="77777777" w:rsidTr="00F2743A">
        <w:trPr>
          <w:cantSplit/>
        </w:trPr>
        <w:tc>
          <w:tcPr>
            <w:tcW w:w="5000" w:type="pct"/>
            <w:gridSpan w:val="11"/>
            <w:shd w:val="clear" w:color="auto" w:fill="FFFFFF"/>
          </w:tcPr>
          <w:p w14:paraId="2DC5DD37" w14:textId="77777777" w:rsidR="00A93D73" w:rsidRPr="006E1643" w:rsidRDefault="00A93D73" w:rsidP="00A93D73">
            <w:pPr>
              <w:spacing w:line="276" w:lineRule="auto"/>
              <w:ind w:firstLine="0"/>
              <w:jc w:val="center"/>
              <w:rPr>
                <w:sz w:val="20"/>
                <w:szCs w:val="20"/>
              </w:rPr>
            </w:pPr>
            <w:r w:rsidRPr="006E1643">
              <w:rPr>
                <w:b/>
                <w:bCs/>
                <w:sz w:val="20"/>
                <w:szCs w:val="20"/>
              </w:rPr>
              <w:t>Model Summary</w:t>
            </w:r>
            <w:r w:rsidRPr="006E1643">
              <w:rPr>
                <w:b/>
                <w:bCs/>
                <w:sz w:val="20"/>
                <w:szCs w:val="20"/>
                <w:vertAlign w:val="superscript"/>
              </w:rPr>
              <w:t>b</w:t>
            </w:r>
          </w:p>
        </w:tc>
      </w:tr>
      <w:tr w:rsidR="00A93D73" w:rsidRPr="006E1643" w14:paraId="4104FDA3" w14:textId="77777777" w:rsidTr="00F2743A">
        <w:trPr>
          <w:cantSplit/>
        </w:trPr>
        <w:tc>
          <w:tcPr>
            <w:tcW w:w="331" w:type="pct"/>
            <w:vMerge w:val="restart"/>
            <w:shd w:val="clear" w:color="auto" w:fill="FFFFFF"/>
          </w:tcPr>
          <w:p w14:paraId="7B2205B1" w14:textId="77777777" w:rsidR="00A93D73" w:rsidRPr="006E1643" w:rsidRDefault="00A93D73" w:rsidP="00A93D73">
            <w:pPr>
              <w:spacing w:line="276" w:lineRule="auto"/>
              <w:ind w:firstLine="0"/>
              <w:jc w:val="center"/>
              <w:rPr>
                <w:sz w:val="20"/>
                <w:szCs w:val="20"/>
              </w:rPr>
            </w:pPr>
            <w:r w:rsidRPr="006E1643">
              <w:rPr>
                <w:sz w:val="20"/>
                <w:szCs w:val="20"/>
              </w:rPr>
              <w:t>Model</w:t>
            </w:r>
          </w:p>
        </w:tc>
        <w:tc>
          <w:tcPr>
            <w:tcW w:w="373" w:type="pct"/>
            <w:vMerge w:val="restart"/>
            <w:shd w:val="clear" w:color="auto" w:fill="FFFFFF"/>
          </w:tcPr>
          <w:p w14:paraId="63414226" w14:textId="77777777" w:rsidR="00A93D73" w:rsidRPr="006E1643" w:rsidRDefault="00A93D73" w:rsidP="00A93D73">
            <w:pPr>
              <w:spacing w:line="276" w:lineRule="auto"/>
              <w:ind w:firstLine="0"/>
              <w:jc w:val="center"/>
              <w:rPr>
                <w:sz w:val="20"/>
                <w:szCs w:val="20"/>
              </w:rPr>
            </w:pPr>
            <w:r w:rsidRPr="006E1643">
              <w:rPr>
                <w:sz w:val="20"/>
                <w:szCs w:val="20"/>
              </w:rPr>
              <w:t>R</w:t>
            </w:r>
          </w:p>
        </w:tc>
        <w:tc>
          <w:tcPr>
            <w:tcW w:w="397" w:type="pct"/>
            <w:vMerge w:val="restart"/>
            <w:shd w:val="clear" w:color="auto" w:fill="FFFFFF"/>
          </w:tcPr>
          <w:p w14:paraId="5993868B" w14:textId="77777777" w:rsidR="00A93D73" w:rsidRPr="006E1643" w:rsidRDefault="00A93D73" w:rsidP="00A93D73">
            <w:pPr>
              <w:spacing w:line="276" w:lineRule="auto"/>
              <w:ind w:firstLine="0"/>
              <w:jc w:val="center"/>
              <w:rPr>
                <w:sz w:val="20"/>
                <w:szCs w:val="20"/>
              </w:rPr>
            </w:pPr>
            <w:r w:rsidRPr="006E1643">
              <w:rPr>
                <w:sz w:val="20"/>
                <w:szCs w:val="20"/>
              </w:rPr>
              <w:t>R Square</w:t>
            </w:r>
          </w:p>
        </w:tc>
        <w:tc>
          <w:tcPr>
            <w:tcW w:w="548" w:type="pct"/>
            <w:vMerge w:val="restart"/>
            <w:shd w:val="clear" w:color="auto" w:fill="FFFFFF"/>
          </w:tcPr>
          <w:p w14:paraId="0B9D5B11" w14:textId="77777777" w:rsidR="00A93D73" w:rsidRPr="006E1643" w:rsidRDefault="00A93D73" w:rsidP="00A93D73">
            <w:pPr>
              <w:spacing w:line="276" w:lineRule="auto"/>
              <w:ind w:firstLine="0"/>
              <w:jc w:val="center"/>
              <w:rPr>
                <w:sz w:val="20"/>
                <w:szCs w:val="20"/>
              </w:rPr>
            </w:pPr>
            <w:r w:rsidRPr="006E1643">
              <w:rPr>
                <w:sz w:val="20"/>
                <w:szCs w:val="20"/>
              </w:rPr>
              <w:t>Adjusted R Square</w:t>
            </w:r>
          </w:p>
        </w:tc>
        <w:tc>
          <w:tcPr>
            <w:tcW w:w="548" w:type="pct"/>
            <w:vMerge w:val="restart"/>
            <w:shd w:val="clear" w:color="auto" w:fill="FFFFFF"/>
          </w:tcPr>
          <w:p w14:paraId="2EBB431D" w14:textId="77777777" w:rsidR="00A93D73" w:rsidRPr="006E1643" w:rsidRDefault="00A93D73" w:rsidP="00A93D73">
            <w:pPr>
              <w:spacing w:line="276" w:lineRule="auto"/>
              <w:ind w:firstLine="0"/>
              <w:jc w:val="center"/>
              <w:rPr>
                <w:sz w:val="20"/>
                <w:szCs w:val="20"/>
              </w:rPr>
            </w:pPr>
            <w:r w:rsidRPr="006E1643">
              <w:rPr>
                <w:sz w:val="20"/>
                <w:szCs w:val="20"/>
              </w:rPr>
              <w:t>Std. Error of the Estimate</w:t>
            </w:r>
          </w:p>
        </w:tc>
        <w:tc>
          <w:tcPr>
            <w:tcW w:w="2254" w:type="pct"/>
            <w:gridSpan w:val="5"/>
            <w:shd w:val="clear" w:color="auto" w:fill="FFFFFF"/>
          </w:tcPr>
          <w:p w14:paraId="610A8241" w14:textId="77777777" w:rsidR="00A93D73" w:rsidRPr="006E1643" w:rsidRDefault="00A93D73" w:rsidP="00A93D73">
            <w:pPr>
              <w:spacing w:line="276" w:lineRule="auto"/>
              <w:ind w:firstLine="0"/>
              <w:jc w:val="center"/>
              <w:rPr>
                <w:sz w:val="20"/>
                <w:szCs w:val="20"/>
              </w:rPr>
            </w:pPr>
            <w:r w:rsidRPr="006E1643">
              <w:rPr>
                <w:sz w:val="20"/>
                <w:szCs w:val="20"/>
              </w:rPr>
              <w:t>Change Statistics</w:t>
            </w:r>
          </w:p>
        </w:tc>
        <w:tc>
          <w:tcPr>
            <w:tcW w:w="548" w:type="pct"/>
            <w:vMerge w:val="restart"/>
            <w:shd w:val="clear" w:color="auto" w:fill="FFFFFF"/>
          </w:tcPr>
          <w:p w14:paraId="6B33E5D5" w14:textId="77777777" w:rsidR="00A93D73" w:rsidRPr="006E1643" w:rsidRDefault="00A93D73" w:rsidP="00A93D73">
            <w:pPr>
              <w:spacing w:line="276" w:lineRule="auto"/>
              <w:ind w:firstLine="0"/>
              <w:jc w:val="center"/>
              <w:rPr>
                <w:sz w:val="20"/>
                <w:szCs w:val="20"/>
              </w:rPr>
            </w:pPr>
            <w:r w:rsidRPr="006E1643">
              <w:rPr>
                <w:sz w:val="20"/>
                <w:szCs w:val="20"/>
              </w:rPr>
              <w:t>Durbin-Watson</w:t>
            </w:r>
          </w:p>
        </w:tc>
      </w:tr>
      <w:tr w:rsidR="00A93D73" w:rsidRPr="006E1643" w14:paraId="0E9515A2" w14:textId="77777777" w:rsidTr="00F2743A">
        <w:trPr>
          <w:cantSplit/>
          <w:trHeight w:val="299"/>
        </w:trPr>
        <w:tc>
          <w:tcPr>
            <w:tcW w:w="331" w:type="pct"/>
            <w:vMerge/>
            <w:shd w:val="clear" w:color="auto" w:fill="FFFFFF"/>
          </w:tcPr>
          <w:p w14:paraId="7783275C" w14:textId="77777777" w:rsidR="00A93D73" w:rsidRPr="006E1643" w:rsidRDefault="00A93D73" w:rsidP="00A93D73">
            <w:pPr>
              <w:spacing w:line="276" w:lineRule="auto"/>
              <w:ind w:firstLine="0"/>
              <w:jc w:val="center"/>
              <w:rPr>
                <w:sz w:val="20"/>
                <w:szCs w:val="20"/>
              </w:rPr>
            </w:pPr>
          </w:p>
        </w:tc>
        <w:tc>
          <w:tcPr>
            <w:tcW w:w="373" w:type="pct"/>
            <w:vMerge/>
            <w:shd w:val="clear" w:color="auto" w:fill="FFFFFF"/>
          </w:tcPr>
          <w:p w14:paraId="7D89E9C2" w14:textId="77777777" w:rsidR="00A93D73" w:rsidRPr="006E1643" w:rsidRDefault="00A93D73" w:rsidP="00A93D73">
            <w:pPr>
              <w:spacing w:line="276" w:lineRule="auto"/>
              <w:ind w:firstLine="0"/>
              <w:jc w:val="center"/>
              <w:rPr>
                <w:sz w:val="20"/>
                <w:szCs w:val="20"/>
              </w:rPr>
            </w:pPr>
          </w:p>
        </w:tc>
        <w:tc>
          <w:tcPr>
            <w:tcW w:w="397" w:type="pct"/>
            <w:vMerge/>
            <w:shd w:val="clear" w:color="auto" w:fill="FFFFFF"/>
          </w:tcPr>
          <w:p w14:paraId="2ED9A2B3" w14:textId="77777777" w:rsidR="00A93D73" w:rsidRPr="006E1643" w:rsidRDefault="00A93D73" w:rsidP="00A93D73">
            <w:pPr>
              <w:spacing w:line="276" w:lineRule="auto"/>
              <w:ind w:firstLine="0"/>
              <w:jc w:val="center"/>
              <w:rPr>
                <w:sz w:val="20"/>
                <w:szCs w:val="20"/>
              </w:rPr>
            </w:pPr>
          </w:p>
        </w:tc>
        <w:tc>
          <w:tcPr>
            <w:tcW w:w="548" w:type="pct"/>
            <w:vMerge/>
            <w:shd w:val="clear" w:color="auto" w:fill="FFFFFF"/>
          </w:tcPr>
          <w:p w14:paraId="6E43842B" w14:textId="77777777" w:rsidR="00A93D73" w:rsidRPr="006E1643" w:rsidRDefault="00A93D73" w:rsidP="00A93D73">
            <w:pPr>
              <w:spacing w:line="276" w:lineRule="auto"/>
              <w:ind w:firstLine="0"/>
              <w:jc w:val="center"/>
              <w:rPr>
                <w:sz w:val="20"/>
                <w:szCs w:val="20"/>
              </w:rPr>
            </w:pPr>
          </w:p>
        </w:tc>
        <w:tc>
          <w:tcPr>
            <w:tcW w:w="548" w:type="pct"/>
            <w:vMerge/>
            <w:shd w:val="clear" w:color="auto" w:fill="FFFFFF"/>
          </w:tcPr>
          <w:p w14:paraId="2F3248FA" w14:textId="77777777" w:rsidR="00A93D73" w:rsidRPr="006E1643" w:rsidRDefault="00A93D73" w:rsidP="00A93D73">
            <w:pPr>
              <w:spacing w:line="276" w:lineRule="auto"/>
              <w:ind w:firstLine="0"/>
              <w:jc w:val="center"/>
              <w:rPr>
                <w:sz w:val="20"/>
                <w:szCs w:val="20"/>
              </w:rPr>
            </w:pPr>
          </w:p>
        </w:tc>
        <w:tc>
          <w:tcPr>
            <w:tcW w:w="548" w:type="pct"/>
            <w:shd w:val="clear" w:color="auto" w:fill="FFFFFF"/>
          </w:tcPr>
          <w:p w14:paraId="37267344" w14:textId="77777777" w:rsidR="00A93D73" w:rsidRPr="006E1643" w:rsidRDefault="00A93D73" w:rsidP="00A93D73">
            <w:pPr>
              <w:spacing w:line="276" w:lineRule="auto"/>
              <w:ind w:firstLine="0"/>
              <w:jc w:val="center"/>
              <w:rPr>
                <w:sz w:val="20"/>
                <w:szCs w:val="20"/>
              </w:rPr>
            </w:pPr>
            <w:r w:rsidRPr="006E1643">
              <w:rPr>
                <w:sz w:val="20"/>
                <w:szCs w:val="20"/>
              </w:rPr>
              <w:t>R Square Change</w:t>
            </w:r>
          </w:p>
        </w:tc>
        <w:tc>
          <w:tcPr>
            <w:tcW w:w="418" w:type="pct"/>
            <w:shd w:val="clear" w:color="auto" w:fill="FFFFFF"/>
          </w:tcPr>
          <w:p w14:paraId="5920C660" w14:textId="77777777" w:rsidR="00A93D73" w:rsidRPr="006E1643" w:rsidRDefault="00A93D73" w:rsidP="00A93D73">
            <w:pPr>
              <w:spacing w:line="276" w:lineRule="auto"/>
              <w:ind w:firstLine="0"/>
              <w:jc w:val="center"/>
              <w:rPr>
                <w:sz w:val="20"/>
                <w:szCs w:val="20"/>
              </w:rPr>
            </w:pPr>
            <w:r w:rsidRPr="006E1643">
              <w:rPr>
                <w:sz w:val="20"/>
                <w:szCs w:val="20"/>
              </w:rPr>
              <w:t>F Change</w:t>
            </w:r>
          </w:p>
        </w:tc>
        <w:tc>
          <w:tcPr>
            <w:tcW w:w="365" w:type="pct"/>
            <w:shd w:val="clear" w:color="auto" w:fill="FFFFFF"/>
          </w:tcPr>
          <w:p w14:paraId="59674670" w14:textId="77777777" w:rsidR="00A93D73" w:rsidRPr="006E1643" w:rsidRDefault="00A93D73" w:rsidP="00A93D73">
            <w:pPr>
              <w:spacing w:line="276" w:lineRule="auto"/>
              <w:ind w:firstLine="0"/>
              <w:jc w:val="center"/>
              <w:rPr>
                <w:sz w:val="20"/>
                <w:szCs w:val="20"/>
              </w:rPr>
            </w:pPr>
            <w:r w:rsidRPr="006E1643">
              <w:rPr>
                <w:sz w:val="20"/>
                <w:szCs w:val="20"/>
              </w:rPr>
              <w:t>df1</w:t>
            </w:r>
          </w:p>
        </w:tc>
        <w:tc>
          <w:tcPr>
            <w:tcW w:w="373" w:type="pct"/>
            <w:shd w:val="clear" w:color="auto" w:fill="FFFFFF"/>
          </w:tcPr>
          <w:p w14:paraId="6A06104D" w14:textId="77777777" w:rsidR="00A93D73" w:rsidRPr="006E1643" w:rsidRDefault="00A93D73" w:rsidP="00A93D73">
            <w:pPr>
              <w:spacing w:line="276" w:lineRule="auto"/>
              <w:ind w:firstLine="0"/>
              <w:jc w:val="center"/>
              <w:rPr>
                <w:sz w:val="20"/>
                <w:szCs w:val="20"/>
              </w:rPr>
            </w:pPr>
            <w:r w:rsidRPr="006E1643">
              <w:rPr>
                <w:sz w:val="20"/>
                <w:szCs w:val="20"/>
              </w:rPr>
              <w:t>df2</w:t>
            </w:r>
          </w:p>
        </w:tc>
        <w:tc>
          <w:tcPr>
            <w:tcW w:w="550" w:type="pct"/>
            <w:shd w:val="clear" w:color="auto" w:fill="FFFFFF"/>
          </w:tcPr>
          <w:p w14:paraId="05AC3D1B" w14:textId="77777777" w:rsidR="00A93D73" w:rsidRPr="006E1643" w:rsidRDefault="00A93D73" w:rsidP="00A93D73">
            <w:pPr>
              <w:spacing w:line="276" w:lineRule="auto"/>
              <w:ind w:firstLine="0"/>
              <w:jc w:val="center"/>
              <w:rPr>
                <w:sz w:val="20"/>
                <w:szCs w:val="20"/>
              </w:rPr>
            </w:pPr>
            <w:r w:rsidRPr="006E1643">
              <w:rPr>
                <w:sz w:val="20"/>
                <w:szCs w:val="20"/>
              </w:rPr>
              <w:t>Sig. F Change</w:t>
            </w:r>
          </w:p>
        </w:tc>
        <w:tc>
          <w:tcPr>
            <w:tcW w:w="548" w:type="pct"/>
            <w:vMerge/>
            <w:shd w:val="clear" w:color="auto" w:fill="FFFFFF"/>
          </w:tcPr>
          <w:p w14:paraId="3BB0F433" w14:textId="77777777" w:rsidR="00A93D73" w:rsidRPr="006E1643" w:rsidRDefault="00A93D73" w:rsidP="00A93D73">
            <w:pPr>
              <w:spacing w:line="276" w:lineRule="auto"/>
              <w:ind w:firstLine="0"/>
              <w:jc w:val="center"/>
              <w:rPr>
                <w:sz w:val="20"/>
                <w:szCs w:val="20"/>
              </w:rPr>
            </w:pPr>
          </w:p>
        </w:tc>
      </w:tr>
      <w:tr w:rsidR="00A93D73" w:rsidRPr="006E1643" w14:paraId="68E0E4DB" w14:textId="77777777" w:rsidTr="00F2743A">
        <w:trPr>
          <w:cantSplit/>
        </w:trPr>
        <w:tc>
          <w:tcPr>
            <w:tcW w:w="331" w:type="pct"/>
            <w:shd w:val="clear" w:color="auto" w:fill="FFFFFF"/>
            <w:vAlign w:val="center"/>
          </w:tcPr>
          <w:p w14:paraId="086B97CF" w14:textId="77777777" w:rsidR="00A93D73" w:rsidRPr="006E1643" w:rsidRDefault="00A93D73" w:rsidP="00A93D73">
            <w:pPr>
              <w:spacing w:line="276" w:lineRule="auto"/>
              <w:ind w:firstLine="0"/>
              <w:jc w:val="center"/>
              <w:rPr>
                <w:sz w:val="20"/>
                <w:szCs w:val="20"/>
              </w:rPr>
            </w:pPr>
            <w:r w:rsidRPr="006E1643">
              <w:rPr>
                <w:sz w:val="20"/>
                <w:szCs w:val="20"/>
              </w:rPr>
              <w:t>General</w:t>
            </w:r>
          </w:p>
        </w:tc>
        <w:tc>
          <w:tcPr>
            <w:tcW w:w="373" w:type="pct"/>
            <w:shd w:val="clear" w:color="auto" w:fill="FFFFFF"/>
            <w:vAlign w:val="center"/>
          </w:tcPr>
          <w:p w14:paraId="22AB9D45" w14:textId="77777777" w:rsidR="00A93D73" w:rsidRPr="006E1643" w:rsidRDefault="00A93D73" w:rsidP="00A93D73">
            <w:pPr>
              <w:spacing w:line="276" w:lineRule="auto"/>
              <w:ind w:firstLine="0"/>
              <w:jc w:val="center"/>
              <w:rPr>
                <w:sz w:val="20"/>
                <w:szCs w:val="20"/>
              </w:rPr>
            </w:pPr>
            <w:r w:rsidRPr="006E1643">
              <w:rPr>
                <w:sz w:val="20"/>
                <w:szCs w:val="20"/>
              </w:rPr>
              <w:t>,662</w:t>
            </w:r>
            <w:r w:rsidRPr="006E1643">
              <w:rPr>
                <w:sz w:val="20"/>
                <w:szCs w:val="20"/>
                <w:vertAlign w:val="superscript"/>
              </w:rPr>
              <w:t>a</w:t>
            </w:r>
          </w:p>
        </w:tc>
        <w:tc>
          <w:tcPr>
            <w:tcW w:w="397" w:type="pct"/>
            <w:shd w:val="clear" w:color="auto" w:fill="FFFFFF"/>
            <w:vAlign w:val="center"/>
          </w:tcPr>
          <w:p w14:paraId="2CBD14F8" w14:textId="77777777" w:rsidR="00A93D73" w:rsidRPr="006E1643" w:rsidRDefault="00A93D73" w:rsidP="00A93D73">
            <w:pPr>
              <w:spacing w:line="276" w:lineRule="auto"/>
              <w:ind w:firstLine="0"/>
              <w:jc w:val="center"/>
              <w:rPr>
                <w:sz w:val="20"/>
                <w:szCs w:val="20"/>
              </w:rPr>
            </w:pPr>
            <w:r w:rsidRPr="006E1643">
              <w:rPr>
                <w:sz w:val="20"/>
                <w:szCs w:val="20"/>
              </w:rPr>
              <w:t>,439</w:t>
            </w:r>
          </w:p>
        </w:tc>
        <w:tc>
          <w:tcPr>
            <w:tcW w:w="548" w:type="pct"/>
            <w:shd w:val="clear" w:color="auto" w:fill="FFFFFF"/>
            <w:vAlign w:val="center"/>
          </w:tcPr>
          <w:p w14:paraId="6CDA2AB5" w14:textId="77777777" w:rsidR="00A93D73" w:rsidRPr="006E1643" w:rsidRDefault="00A93D73" w:rsidP="00A93D73">
            <w:pPr>
              <w:spacing w:line="276" w:lineRule="auto"/>
              <w:ind w:firstLine="0"/>
              <w:jc w:val="center"/>
              <w:rPr>
                <w:sz w:val="20"/>
                <w:szCs w:val="20"/>
              </w:rPr>
            </w:pPr>
            <w:r w:rsidRPr="006E1643">
              <w:rPr>
                <w:sz w:val="20"/>
                <w:szCs w:val="20"/>
              </w:rPr>
              <w:t>,437</w:t>
            </w:r>
          </w:p>
        </w:tc>
        <w:tc>
          <w:tcPr>
            <w:tcW w:w="548" w:type="pct"/>
            <w:shd w:val="clear" w:color="auto" w:fill="FFFFFF"/>
            <w:vAlign w:val="center"/>
          </w:tcPr>
          <w:p w14:paraId="08A55FF0" w14:textId="77777777" w:rsidR="00A93D73" w:rsidRPr="006E1643" w:rsidRDefault="00A93D73" w:rsidP="00A93D73">
            <w:pPr>
              <w:spacing w:line="276" w:lineRule="auto"/>
              <w:ind w:firstLine="0"/>
              <w:jc w:val="center"/>
              <w:rPr>
                <w:sz w:val="20"/>
                <w:szCs w:val="20"/>
              </w:rPr>
            </w:pPr>
            <w:r w:rsidRPr="006E1643">
              <w:rPr>
                <w:sz w:val="20"/>
                <w:szCs w:val="20"/>
              </w:rPr>
              <w:t>,914881</w:t>
            </w:r>
          </w:p>
        </w:tc>
        <w:tc>
          <w:tcPr>
            <w:tcW w:w="548" w:type="pct"/>
            <w:shd w:val="clear" w:color="auto" w:fill="FFFFFF"/>
            <w:vAlign w:val="center"/>
          </w:tcPr>
          <w:p w14:paraId="4B5E292B" w14:textId="77777777" w:rsidR="00A93D73" w:rsidRPr="006E1643" w:rsidRDefault="00A93D73" w:rsidP="00A93D73">
            <w:pPr>
              <w:spacing w:line="276" w:lineRule="auto"/>
              <w:ind w:firstLine="0"/>
              <w:jc w:val="center"/>
              <w:rPr>
                <w:sz w:val="20"/>
                <w:szCs w:val="20"/>
              </w:rPr>
            </w:pPr>
            <w:r w:rsidRPr="006E1643">
              <w:rPr>
                <w:sz w:val="20"/>
                <w:szCs w:val="20"/>
              </w:rPr>
              <w:t>,439</w:t>
            </w:r>
          </w:p>
        </w:tc>
        <w:tc>
          <w:tcPr>
            <w:tcW w:w="418" w:type="pct"/>
            <w:shd w:val="clear" w:color="auto" w:fill="FFFFFF"/>
            <w:vAlign w:val="center"/>
          </w:tcPr>
          <w:p w14:paraId="765E2C30" w14:textId="77777777" w:rsidR="00A93D73" w:rsidRPr="006E1643" w:rsidRDefault="00A93D73" w:rsidP="00A93D73">
            <w:pPr>
              <w:spacing w:line="276" w:lineRule="auto"/>
              <w:ind w:firstLine="0"/>
              <w:jc w:val="center"/>
              <w:rPr>
                <w:sz w:val="20"/>
                <w:szCs w:val="20"/>
              </w:rPr>
            </w:pPr>
            <w:r w:rsidRPr="006E1643">
              <w:rPr>
                <w:sz w:val="20"/>
                <w:szCs w:val="20"/>
              </w:rPr>
              <w:t>222,614</w:t>
            </w:r>
          </w:p>
        </w:tc>
        <w:tc>
          <w:tcPr>
            <w:tcW w:w="365" w:type="pct"/>
            <w:shd w:val="clear" w:color="auto" w:fill="FFFFFF"/>
            <w:vAlign w:val="center"/>
          </w:tcPr>
          <w:p w14:paraId="15D217EA" w14:textId="77777777" w:rsidR="00A93D73" w:rsidRPr="006E1643" w:rsidRDefault="00A93D73" w:rsidP="00A93D73">
            <w:pPr>
              <w:spacing w:line="276" w:lineRule="auto"/>
              <w:ind w:firstLine="0"/>
              <w:jc w:val="center"/>
              <w:rPr>
                <w:sz w:val="20"/>
                <w:szCs w:val="20"/>
              </w:rPr>
            </w:pPr>
            <w:r w:rsidRPr="006E1643">
              <w:rPr>
                <w:sz w:val="20"/>
                <w:szCs w:val="20"/>
              </w:rPr>
              <w:t>1</w:t>
            </w:r>
          </w:p>
        </w:tc>
        <w:tc>
          <w:tcPr>
            <w:tcW w:w="373" w:type="pct"/>
            <w:shd w:val="clear" w:color="auto" w:fill="FFFFFF"/>
            <w:vAlign w:val="center"/>
          </w:tcPr>
          <w:p w14:paraId="37EC23D5" w14:textId="77777777" w:rsidR="00A93D73" w:rsidRPr="006E1643" w:rsidRDefault="00A93D73" w:rsidP="00A93D73">
            <w:pPr>
              <w:spacing w:line="276" w:lineRule="auto"/>
              <w:ind w:firstLine="0"/>
              <w:jc w:val="center"/>
              <w:rPr>
                <w:sz w:val="20"/>
                <w:szCs w:val="20"/>
              </w:rPr>
            </w:pPr>
            <w:r w:rsidRPr="006E1643">
              <w:rPr>
                <w:sz w:val="20"/>
                <w:szCs w:val="20"/>
              </w:rPr>
              <w:t>285</w:t>
            </w:r>
          </w:p>
        </w:tc>
        <w:tc>
          <w:tcPr>
            <w:tcW w:w="550" w:type="pct"/>
            <w:shd w:val="clear" w:color="auto" w:fill="FFFFFF"/>
            <w:vAlign w:val="center"/>
          </w:tcPr>
          <w:p w14:paraId="79276237" w14:textId="77777777" w:rsidR="00A93D73" w:rsidRPr="006E1643" w:rsidRDefault="00A93D73" w:rsidP="00A93D73">
            <w:pPr>
              <w:spacing w:line="276" w:lineRule="auto"/>
              <w:ind w:firstLine="0"/>
              <w:jc w:val="center"/>
              <w:rPr>
                <w:sz w:val="20"/>
                <w:szCs w:val="20"/>
              </w:rPr>
            </w:pPr>
            <w:r w:rsidRPr="006E1643">
              <w:rPr>
                <w:sz w:val="20"/>
                <w:szCs w:val="20"/>
              </w:rPr>
              <w:t>,000</w:t>
            </w:r>
          </w:p>
        </w:tc>
        <w:tc>
          <w:tcPr>
            <w:tcW w:w="548" w:type="pct"/>
            <w:shd w:val="clear" w:color="auto" w:fill="FFFFFF"/>
            <w:vAlign w:val="center"/>
          </w:tcPr>
          <w:p w14:paraId="76EFCEE3" w14:textId="77777777" w:rsidR="00A93D73" w:rsidRPr="006E1643" w:rsidRDefault="00A93D73" w:rsidP="00A93D73">
            <w:pPr>
              <w:spacing w:line="276" w:lineRule="auto"/>
              <w:ind w:firstLine="0"/>
              <w:jc w:val="center"/>
              <w:rPr>
                <w:sz w:val="20"/>
                <w:szCs w:val="20"/>
              </w:rPr>
            </w:pPr>
            <w:r w:rsidRPr="006E1643">
              <w:rPr>
                <w:sz w:val="20"/>
                <w:szCs w:val="20"/>
              </w:rPr>
              <w:t>1,450</w:t>
            </w:r>
          </w:p>
        </w:tc>
      </w:tr>
      <w:tr w:rsidR="00A93D73" w:rsidRPr="006E1643" w14:paraId="41D09D23" w14:textId="77777777" w:rsidTr="00F2743A">
        <w:trPr>
          <w:cantSplit/>
        </w:trPr>
        <w:tc>
          <w:tcPr>
            <w:tcW w:w="5000" w:type="pct"/>
            <w:gridSpan w:val="11"/>
            <w:shd w:val="clear" w:color="auto" w:fill="FFFFFF"/>
          </w:tcPr>
          <w:p w14:paraId="16B89248" w14:textId="77777777" w:rsidR="00A93D73" w:rsidRPr="006E1643" w:rsidRDefault="00A93D73" w:rsidP="00A93D73">
            <w:pPr>
              <w:spacing w:line="276" w:lineRule="auto"/>
              <w:ind w:firstLine="0"/>
              <w:rPr>
                <w:sz w:val="20"/>
                <w:szCs w:val="20"/>
              </w:rPr>
            </w:pPr>
            <w:r w:rsidRPr="006E1643">
              <w:rPr>
                <w:sz w:val="20"/>
                <w:szCs w:val="20"/>
              </w:rPr>
              <w:t>a. Predictors: (Constant), Var.IMPAT</w:t>
            </w:r>
          </w:p>
        </w:tc>
      </w:tr>
      <w:tr w:rsidR="00A93D73" w:rsidRPr="006E1643" w14:paraId="73805BB0" w14:textId="77777777" w:rsidTr="00F2743A">
        <w:trPr>
          <w:cantSplit/>
        </w:trPr>
        <w:tc>
          <w:tcPr>
            <w:tcW w:w="5000" w:type="pct"/>
            <w:gridSpan w:val="11"/>
            <w:shd w:val="clear" w:color="auto" w:fill="FFFFFF"/>
          </w:tcPr>
          <w:p w14:paraId="7B291E67" w14:textId="77777777" w:rsidR="00A93D73" w:rsidRPr="006E1643" w:rsidRDefault="00F2743A" w:rsidP="00F2743A">
            <w:pPr>
              <w:spacing w:line="276" w:lineRule="auto"/>
              <w:ind w:firstLine="0"/>
              <w:rPr>
                <w:sz w:val="20"/>
                <w:szCs w:val="20"/>
              </w:rPr>
            </w:pPr>
            <w:r w:rsidRPr="006E1643">
              <w:rPr>
                <w:sz w:val="20"/>
                <w:szCs w:val="20"/>
              </w:rPr>
              <w:t>b. Dependent Variable: Var.CAAT</w:t>
            </w:r>
          </w:p>
        </w:tc>
      </w:tr>
    </w:tbl>
    <w:p w14:paraId="1E4A5BF6" w14:textId="77777777" w:rsidR="00F2743A" w:rsidRPr="006E1643" w:rsidRDefault="00F2743A" w:rsidP="00F2743A">
      <w:pPr>
        <w:spacing w:line="276" w:lineRule="auto"/>
        <w:ind w:firstLine="0"/>
        <w:jc w:val="center"/>
        <w:rPr>
          <w:sz w:val="20"/>
          <w:szCs w:val="20"/>
        </w:rPr>
      </w:pPr>
      <w:r w:rsidRPr="006E1643">
        <w:rPr>
          <w:b/>
          <w:sz w:val="20"/>
          <w:szCs w:val="20"/>
        </w:rPr>
        <w:t>Sursa</w:t>
      </w:r>
      <w:r w:rsidRPr="006E1643">
        <w:rPr>
          <w:sz w:val="20"/>
          <w:szCs w:val="20"/>
        </w:rPr>
        <w:t>: prelucrare proprie în SPSS</w:t>
      </w:r>
    </w:p>
    <w:p w14:paraId="25B6AAEF" w14:textId="77777777" w:rsidR="00F2743A" w:rsidRPr="006E1643" w:rsidRDefault="00F2743A" w:rsidP="00A93D73">
      <w:pPr>
        <w:spacing w:line="276" w:lineRule="auto"/>
        <w:ind w:firstLine="0"/>
        <w:rPr>
          <w:sz w:val="20"/>
          <w:szCs w:val="20"/>
        </w:rPr>
      </w:pPr>
    </w:p>
    <w:p w14:paraId="6BC85FFF" w14:textId="77777777" w:rsidR="00A93D73" w:rsidRPr="00A1431A" w:rsidRDefault="00A93D73" w:rsidP="00A1431A">
      <w:pPr>
        <w:spacing w:line="276" w:lineRule="auto"/>
        <w:ind w:firstLine="708"/>
      </w:pPr>
      <w:r w:rsidRPr="00A1431A">
        <w:t xml:space="preserve">Așadar coeficientul de corelație este de 0,662, iar valoarea lui R pătrat de 0,439, ceea ce semnifică faptul că aproximativ 43,90% din variația mărimii surogat </w:t>
      </w:r>
      <w:r w:rsidRPr="00A1431A">
        <w:rPr>
          <w:i/>
        </w:rPr>
        <w:t>Contabilitate</w:t>
      </w:r>
      <w:r w:rsidRPr="00A1431A">
        <w:t>, este datorată valorii atribuite fiscalității, fiind prezisă în funcție de aceasta, ceea ce arată o relație pozitivă semnificativă din punct de vedere statistic.</w:t>
      </w:r>
    </w:p>
    <w:p w14:paraId="0117BD4A" w14:textId="77777777" w:rsidR="00A93D73" w:rsidRPr="00A1431A" w:rsidRDefault="00A93D73" w:rsidP="00A93D73">
      <w:pPr>
        <w:spacing w:line="276" w:lineRule="auto"/>
        <w:ind w:firstLine="0"/>
      </w:pPr>
      <w:r w:rsidRPr="00A1431A">
        <w:t>Ecuația de regresie poate fi redată, după cum urmează:</w:t>
      </w:r>
    </w:p>
    <w:tbl>
      <w:tblPr>
        <w:tblW w:w="0" w:type="auto"/>
        <w:jc w:val="center"/>
        <w:tblLook w:val="04A0" w:firstRow="1" w:lastRow="0" w:firstColumn="1" w:lastColumn="0" w:noHBand="0" w:noVBand="1"/>
      </w:tblPr>
      <w:tblGrid>
        <w:gridCol w:w="700"/>
        <w:gridCol w:w="6898"/>
        <w:gridCol w:w="566"/>
      </w:tblGrid>
      <w:tr w:rsidR="00A93D73" w:rsidRPr="006E1643" w14:paraId="14C4C797" w14:textId="77777777" w:rsidTr="00D27DA3">
        <w:trPr>
          <w:jc w:val="center"/>
        </w:trPr>
        <w:tc>
          <w:tcPr>
            <w:tcW w:w="700" w:type="dxa"/>
            <w:vAlign w:val="center"/>
          </w:tcPr>
          <w:p w14:paraId="06C578E8" w14:textId="77777777" w:rsidR="00A93D73" w:rsidRPr="006E1643" w:rsidRDefault="00A93D73" w:rsidP="00A93D73">
            <w:pPr>
              <w:spacing w:line="276" w:lineRule="auto"/>
              <w:ind w:firstLine="0"/>
              <w:rPr>
                <w:sz w:val="20"/>
                <w:szCs w:val="20"/>
              </w:rPr>
            </w:pPr>
          </w:p>
        </w:tc>
        <w:tc>
          <w:tcPr>
            <w:tcW w:w="6898" w:type="dxa"/>
            <w:vAlign w:val="center"/>
          </w:tcPr>
          <w:p w14:paraId="60BC1886" w14:textId="77777777" w:rsidR="00A93D73" w:rsidRPr="006E1643" w:rsidRDefault="00A93D73" w:rsidP="00A93D73">
            <w:pPr>
              <w:spacing w:line="276" w:lineRule="auto"/>
              <w:ind w:firstLine="0"/>
              <w:rPr>
                <w:sz w:val="20"/>
                <w:szCs w:val="20"/>
              </w:rPr>
            </w:pPr>
            <m:oMathPara>
              <m:oMath>
                <m:r>
                  <w:rPr>
                    <w:rFonts w:ascii="Cambria Math" w:hAnsi="Cambria Math"/>
                    <w:sz w:val="20"/>
                    <w:szCs w:val="20"/>
                  </w:rPr>
                  <m:t>y=0,468+34,291x</m:t>
                </m:r>
              </m:oMath>
            </m:oMathPara>
          </w:p>
        </w:tc>
        <w:tc>
          <w:tcPr>
            <w:tcW w:w="566" w:type="dxa"/>
            <w:vAlign w:val="center"/>
          </w:tcPr>
          <w:p w14:paraId="2B05B385" w14:textId="77777777" w:rsidR="00A93D73" w:rsidRPr="006E1643" w:rsidRDefault="00A93D73" w:rsidP="00A93D73">
            <w:pPr>
              <w:spacing w:line="276" w:lineRule="auto"/>
              <w:ind w:firstLine="0"/>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4</w:t>
            </w:r>
            <w:r w:rsidR="00014929" w:rsidRPr="006E1643">
              <w:rPr>
                <w:sz w:val="20"/>
                <w:szCs w:val="20"/>
              </w:rPr>
              <w:fldChar w:fldCharType="end"/>
            </w:r>
            <w:r w:rsidRPr="006E1643">
              <w:rPr>
                <w:sz w:val="20"/>
                <w:szCs w:val="20"/>
              </w:rPr>
              <w:t>)</w:t>
            </w:r>
          </w:p>
        </w:tc>
      </w:tr>
    </w:tbl>
    <w:p w14:paraId="5C29B043" w14:textId="77777777" w:rsidR="00A93D73" w:rsidRPr="006E1643" w:rsidRDefault="00A93D73" w:rsidP="00A93D73">
      <w:pPr>
        <w:spacing w:line="276" w:lineRule="auto"/>
        <w:ind w:firstLine="0"/>
        <w:jc w:val="center"/>
        <w:rPr>
          <w:sz w:val="20"/>
          <w:szCs w:val="20"/>
        </w:rPr>
      </w:pPr>
    </w:p>
    <w:p w14:paraId="465BF453" w14:textId="77777777" w:rsidR="00A93D73" w:rsidRPr="00A1431A" w:rsidRDefault="00A93D73" w:rsidP="00A93D73">
      <w:pPr>
        <w:spacing w:line="276" w:lineRule="auto"/>
        <w:ind w:firstLine="0"/>
        <w:jc w:val="center"/>
      </w:pPr>
      <w:r w:rsidRPr="00A1431A">
        <w:t xml:space="preserve">În figura nr. </w:t>
      </w:r>
      <w:r w:rsidR="00F2743A" w:rsidRPr="00A1431A">
        <w:t>4</w:t>
      </w:r>
      <w:r w:rsidRPr="00A1431A">
        <w:t xml:space="preserve"> de mai jos este redat graficul de împrăștiere pentru variabilele analizate:</w:t>
      </w:r>
    </w:p>
    <w:p w14:paraId="50B8E2E7" w14:textId="77777777" w:rsidR="00A93D73" w:rsidRPr="006E1643" w:rsidRDefault="00A93D73" w:rsidP="00A93D73">
      <w:pPr>
        <w:spacing w:line="276" w:lineRule="auto"/>
        <w:ind w:firstLine="0"/>
        <w:jc w:val="center"/>
        <w:rPr>
          <w:sz w:val="20"/>
          <w:szCs w:val="20"/>
          <w:lang w:val="en-US"/>
        </w:rPr>
      </w:pPr>
      <w:r w:rsidRPr="006E1643">
        <w:rPr>
          <w:noProof/>
          <w:sz w:val="20"/>
          <w:szCs w:val="20"/>
          <w:lang w:val="en-US" w:eastAsia="en-US"/>
        </w:rPr>
        <w:lastRenderedPageBreak/>
        <w:drawing>
          <wp:inline distT="0" distB="0" distL="0" distR="0" wp14:anchorId="6336B96C" wp14:editId="45744E8F">
            <wp:extent cx="3450566" cy="275809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81" t="-4859" r="-3381" b="-4859"/>
                    <a:stretch/>
                  </pic:blipFill>
                  <pic:spPr bwMode="auto">
                    <a:xfrm>
                      <a:off x="0" y="0"/>
                      <a:ext cx="3459079" cy="2764899"/>
                    </a:xfrm>
                    <a:prstGeom prst="rect">
                      <a:avLst/>
                    </a:prstGeom>
                    <a:noFill/>
                    <a:ln>
                      <a:noFill/>
                    </a:ln>
                  </pic:spPr>
                </pic:pic>
              </a:graphicData>
            </a:graphic>
          </wp:inline>
        </w:drawing>
      </w:r>
    </w:p>
    <w:p w14:paraId="5FE58E15" w14:textId="6B4B92DA" w:rsidR="00A1431A" w:rsidRPr="00867EC1" w:rsidRDefault="00A93D73" w:rsidP="00A93D73">
      <w:pPr>
        <w:spacing w:line="276" w:lineRule="auto"/>
        <w:ind w:firstLine="0"/>
        <w:jc w:val="center"/>
        <w:rPr>
          <w:b/>
          <w:bCs/>
          <w:sz w:val="20"/>
          <w:szCs w:val="20"/>
        </w:rPr>
      </w:pPr>
      <w:bookmarkStart w:id="8" w:name="_Toc76371878"/>
      <w:r w:rsidRPr="00A1431A">
        <w:rPr>
          <w:b/>
          <w:bCs/>
        </w:rPr>
        <w:t>Figura nr</w:t>
      </w:r>
      <w:r w:rsidRPr="00867EC1">
        <w:rPr>
          <w:b/>
          <w:bCs/>
        </w:rPr>
        <w:t xml:space="preserve">. </w:t>
      </w:r>
      <w:r w:rsidR="00014929" w:rsidRPr="00867EC1">
        <w:rPr>
          <w:b/>
          <w:bCs/>
        </w:rPr>
        <w:fldChar w:fldCharType="begin"/>
      </w:r>
      <w:r w:rsidRPr="00867EC1">
        <w:rPr>
          <w:b/>
          <w:bCs/>
        </w:rPr>
        <w:instrText xml:space="preserve"> SEQ Figură \* ARABIC </w:instrText>
      </w:r>
      <w:r w:rsidR="00014929" w:rsidRPr="00867EC1">
        <w:rPr>
          <w:b/>
          <w:bCs/>
        </w:rPr>
        <w:fldChar w:fldCharType="separate"/>
      </w:r>
      <w:r w:rsidR="00F2743A" w:rsidRPr="00867EC1">
        <w:rPr>
          <w:b/>
          <w:bCs/>
          <w:noProof/>
        </w:rPr>
        <w:t>4</w:t>
      </w:r>
      <w:r w:rsidR="00014929" w:rsidRPr="00867EC1">
        <w:rPr>
          <w:b/>
          <w:bCs/>
        </w:rPr>
        <w:fldChar w:fldCharType="end"/>
      </w:r>
      <w:r w:rsidR="00867EC1">
        <w:rPr>
          <w:b/>
          <w:bCs/>
        </w:rPr>
        <w:t>.</w:t>
      </w:r>
      <w:r w:rsidRPr="00867EC1">
        <w:rPr>
          <w:b/>
          <w:bCs/>
        </w:rPr>
        <w:t xml:space="preserve"> Graficul de distribuire al valorilor variabilelor Var.IMPAT și Var. CAAT</w:t>
      </w:r>
    </w:p>
    <w:p w14:paraId="0488B77D" w14:textId="77777777" w:rsidR="00A93D73" w:rsidRPr="006E1643" w:rsidRDefault="00A93D73" w:rsidP="00A93D73">
      <w:pPr>
        <w:spacing w:line="276" w:lineRule="auto"/>
        <w:ind w:firstLine="0"/>
        <w:jc w:val="center"/>
        <w:rPr>
          <w:bCs/>
          <w:sz w:val="20"/>
          <w:szCs w:val="20"/>
        </w:rPr>
      </w:pPr>
      <w:r w:rsidRPr="006E1643">
        <w:rPr>
          <w:b/>
          <w:bCs/>
          <w:sz w:val="20"/>
          <w:szCs w:val="20"/>
        </w:rPr>
        <w:t>Sursa</w:t>
      </w:r>
      <w:r w:rsidRPr="006E1643">
        <w:rPr>
          <w:bCs/>
          <w:sz w:val="20"/>
          <w:szCs w:val="20"/>
        </w:rPr>
        <w:t>: elaborare proprie în SPSS</w:t>
      </w:r>
      <w:bookmarkEnd w:id="8"/>
    </w:p>
    <w:p w14:paraId="0BF3F38E" w14:textId="77777777" w:rsidR="00A93D73" w:rsidRPr="006E1643" w:rsidRDefault="00A93D73" w:rsidP="00A93D73">
      <w:pPr>
        <w:spacing w:line="276" w:lineRule="auto"/>
        <w:ind w:firstLine="0"/>
        <w:jc w:val="center"/>
        <w:rPr>
          <w:sz w:val="20"/>
          <w:szCs w:val="20"/>
        </w:rPr>
      </w:pPr>
    </w:p>
    <w:p w14:paraId="28D34A75" w14:textId="77777777" w:rsidR="00A93D73" w:rsidRPr="004A7451" w:rsidRDefault="00A93D73" w:rsidP="004A7451">
      <w:pPr>
        <w:spacing w:line="276" w:lineRule="auto"/>
        <w:ind w:firstLine="708"/>
      </w:pPr>
      <w:r w:rsidRPr="004A7451">
        <w:t>În continuare a fost efectuată o analiză detaliată în vederea particularizării funcției de regresie pe fiecare an inclus în studiu.</w:t>
      </w:r>
      <w:r w:rsidR="0098212B" w:rsidRPr="004A7451">
        <w:t xml:space="preserve"> </w:t>
      </w:r>
      <w:r w:rsidRPr="004A7451">
        <w:t xml:space="preserve">Astfel, în urma efectuării analizei de regresie în softul statistic SPSS versiunea 22, prin setarea ca variabilă dependentă a măsurii surogat pentru contabilitate, respectiv a indicatorului </w:t>
      </w:r>
      <w:r w:rsidRPr="004A7451">
        <w:rPr>
          <w:i/>
        </w:rPr>
        <w:t xml:space="preserve">Cifră de afaceri în Total active </w:t>
      </w:r>
      <w:r w:rsidRPr="004A7451">
        <w:t xml:space="preserve">(Var.CAAT) și ca variabilă independentă indicatorul </w:t>
      </w:r>
      <w:r w:rsidRPr="004A7451">
        <w:rPr>
          <w:i/>
        </w:rPr>
        <w:t>Impozit pe profit în Total active</w:t>
      </w:r>
      <w:r w:rsidRPr="004A7451">
        <w:t xml:space="preserve"> (Var.IMPAT)</w:t>
      </w:r>
      <w:r w:rsidR="0098212B" w:rsidRPr="004A7451">
        <w:t>:</w:t>
      </w:r>
      <w:r w:rsidRPr="004A7451">
        <w:t xml:space="preserve"> </w:t>
      </w:r>
    </w:p>
    <w:p w14:paraId="4CDC2300" w14:textId="77777777" w:rsidR="0098212B" w:rsidRPr="006E1643" w:rsidRDefault="0098212B" w:rsidP="0098212B">
      <w:pPr>
        <w:ind w:firstLine="0"/>
        <w:rPr>
          <w:sz w:val="20"/>
          <w:szCs w:val="20"/>
          <w:lang w:val="en-US"/>
        </w:rPr>
      </w:pPr>
    </w:p>
    <w:p w14:paraId="34378F31" w14:textId="77777777" w:rsidR="0098212B" w:rsidRPr="00BE1DA0" w:rsidRDefault="0098212B" w:rsidP="0098212B">
      <w:pPr>
        <w:pStyle w:val="ListParagraph"/>
        <w:numPr>
          <w:ilvl w:val="0"/>
          <w:numId w:val="9"/>
        </w:numPr>
        <w:spacing w:line="276" w:lineRule="auto"/>
        <w:ind w:left="993" w:hanging="284"/>
      </w:pPr>
      <w:r>
        <w:t>Pentru anul</w:t>
      </w:r>
      <w:r w:rsidRPr="00BE1DA0">
        <w:t xml:space="preserve"> </w:t>
      </w:r>
      <w:r w:rsidRPr="00BE1DA0">
        <w:rPr>
          <w:b/>
        </w:rPr>
        <w:t>2015</w:t>
      </w:r>
      <w:r w:rsidRPr="00BE1DA0">
        <w:t xml:space="preserve"> </w:t>
      </w:r>
      <w:r>
        <w:t>a rezultat modelul prezentat în</w:t>
      </w:r>
      <w:r w:rsidRPr="00BE1DA0">
        <w:t xml:space="preserve"> (Tabe</w:t>
      </w:r>
      <w:r>
        <w:t>lul</w:t>
      </w:r>
      <w:r w:rsidRPr="00BE1DA0">
        <w:t xml:space="preserve"> n</w:t>
      </w:r>
      <w:r>
        <w:t>r</w:t>
      </w:r>
      <w:r w:rsidRPr="00BE1DA0">
        <w:t>. 3):</w:t>
      </w:r>
    </w:p>
    <w:p w14:paraId="527D1C9F" w14:textId="77777777" w:rsidR="0098212B" w:rsidRDefault="0098212B" w:rsidP="00A93D73">
      <w:pPr>
        <w:spacing w:line="276" w:lineRule="auto"/>
        <w:ind w:firstLine="0"/>
        <w:rPr>
          <w:sz w:val="20"/>
          <w:szCs w:val="20"/>
        </w:rPr>
      </w:pPr>
    </w:p>
    <w:p w14:paraId="24BFE717" w14:textId="377D0FAA" w:rsidR="00A93D73" w:rsidRDefault="00A93D73" w:rsidP="00A93D73">
      <w:pPr>
        <w:spacing w:line="276" w:lineRule="auto"/>
        <w:ind w:firstLine="0"/>
        <w:jc w:val="center"/>
        <w:rPr>
          <w:bCs/>
        </w:rPr>
      </w:pPr>
      <w:bookmarkStart w:id="9" w:name="_Toc72492484"/>
      <w:r w:rsidRPr="0098212B">
        <w:rPr>
          <w:b/>
          <w:bCs/>
        </w:rPr>
        <w:t xml:space="preserve">Tabelul nr. </w:t>
      </w:r>
      <w:r w:rsidR="00014929" w:rsidRPr="0098212B">
        <w:rPr>
          <w:b/>
          <w:bCs/>
        </w:rPr>
        <w:fldChar w:fldCharType="begin"/>
      </w:r>
      <w:r w:rsidRPr="0098212B">
        <w:rPr>
          <w:b/>
          <w:bCs/>
        </w:rPr>
        <w:instrText xml:space="preserve"> SEQ Tabel \* ARABIC </w:instrText>
      </w:r>
      <w:r w:rsidR="00014929" w:rsidRPr="0098212B">
        <w:rPr>
          <w:b/>
          <w:bCs/>
        </w:rPr>
        <w:fldChar w:fldCharType="separate"/>
      </w:r>
      <w:r w:rsidR="00D65459" w:rsidRPr="0098212B">
        <w:rPr>
          <w:b/>
          <w:bCs/>
          <w:noProof/>
        </w:rPr>
        <w:t>3</w:t>
      </w:r>
      <w:r w:rsidR="00014929" w:rsidRPr="0098212B">
        <w:fldChar w:fldCharType="end"/>
      </w:r>
      <w:r w:rsidR="00867EC1">
        <w:t>.</w:t>
      </w:r>
      <w:r w:rsidRPr="00867EC1">
        <w:rPr>
          <w:b/>
        </w:rPr>
        <w:t xml:space="preserve"> Rezumatul modelului de regresie pentru anul 2015</w:t>
      </w:r>
      <w:bookmarkEnd w:id="9"/>
    </w:p>
    <w:p w14:paraId="71112356" w14:textId="77777777" w:rsidR="0098212B" w:rsidRPr="0098212B" w:rsidRDefault="0098212B" w:rsidP="00A93D73">
      <w:pPr>
        <w:spacing w:line="276" w:lineRule="auto"/>
        <w:ind w:firstLine="0"/>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2"/>
        <w:gridCol w:w="708"/>
        <w:gridCol w:w="752"/>
        <w:gridCol w:w="1039"/>
        <w:gridCol w:w="1039"/>
        <w:gridCol w:w="1039"/>
        <w:gridCol w:w="773"/>
        <w:gridCol w:w="708"/>
        <w:gridCol w:w="708"/>
        <w:gridCol w:w="1041"/>
        <w:gridCol w:w="1041"/>
      </w:tblGrid>
      <w:tr w:rsidR="00A93D73" w:rsidRPr="006E1643" w14:paraId="5383302E" w14:textId="77777777" w:rsidTr="004B4489">
        <w:trPr>
          <w:cantSplit/>
        </w:trPr>
        <w:tc>
          <w:tcPr>
            <w:tcW w:w="5000" w:type="pct"/>
            <w:gridSpan w:val="11"/>
            <w:shd w:val="clear" w:color="auto" w:fill="FFFFFF"/>
          </w:tcPr>
          <w:p w14:paraId="39858D1C" w14:textId="77777777" w:rsidR="00A93D73" w:rsidRPr="006E1643" w:rsidRDefault="00A93D73" w:rsidP="00A93D73">
            <w:pPr>
              <w:spacing w:line="276" w:lineRule="auto"/>
              <w:ind w:firstLine="0"/>
              <w:jc w:val="center"/>
              <w:rPr>
                <w:sz w:val="20"/>
                <w:szCs w:val="20"/>
              </w:rPr>
            </w:pPr>
            <w:r w:rsidRPr="006E1643">
              <w:rPr>
                <w:b/>
                <w:bCs/>
                <w:sz w:val="20"/>
                <w:szCs w:val="20"/>
              </w:rPr>
              <w:t>Model Summary</w:t>
            </w:r>
            <w:r w:rsidRPr="006E1643">
              <w:rPr>
                <w:b/>
                <w:bCs/>
                <w:sz w:val="20"/>
                <w:szCs w:val="20"/>
                <w:vertAlign w:val="superscript"/>
              </w:rPr>
              <w:t>b</w:t>
            </w:r>
          </w:p>
        </w:tc>
      </w:tr>
      <w:tr w:rsidR="00A93D73" w:rsidRPr="006E1643" w14:paraId="6AFC0AD3" w14:textId="77777777" w:rsidTr="004B4489">
        <w:trPr>
          <w:cantSplit/>
        </w:trPr>
        <w:tc>
          <w:tcPr>
            <w:tcW w:w="401" w:type="pct"/>
            <w:vMerge w:val="restart"/>
            <w:shd w:val="clear" w:color="auto" w:fill="FFFFFF"/>
          </w:tcPr>
          <w:p w14:paraId="6ADC39B6" w14:textId="77777777" w:rsidR="00A93D73" w:rsidRPr="006E1643" w:rsidRDefault="00A93D73" w:rsidP="00A93D73">
            <w:pPr>
              <w:spacing w:line="276" w:lineRule="auto"/>
              <w:ind w:firstLine="0"/>
              <w:jc w:val="center"/>
              <w:rPr>
                <w:sz w:val="20"/>
                <w:szCs w:val="20"/>
              </w:rPr>
            </w:pPr>
            <w:r w:rsidRPr="006E1643">
              <w:rPr>
                <w:sz w:val="20"/>
                <w:szCs w:val="20"/>
              </w:rPr>
              <w:t>Model</w:t>
            </w:r>
          </w:p>
        </w:tc>
        <w:tc>
          <w:tcPr>
            <w:tcW w:w="368" w:type="pct"/>
            <w:vMerge w:val="restart"/>
            <w:shd w:val="clear" w:color="auto" w:fill="FFFFFF"/>
          </w:tcPr>
          <w:p w14:paraId="1D9EF5A1" w14:textId="77777777" w:rsidR="00A93D73" w:rsidRPr="006E1643" w:rsidRDefault="00A93D73" w:rsidP="00A93D73">
            <w:pPr>
              <w:spacing w:line="276" w:lineRule="auto"/>
              <w:ind w:firstLine="0"/>
              <w:jc w:val="center"/>
              <w:rPr>
                <w:sz w:val="20"/>
                <w:szCs w:val="20"/>
              </w:rPr>
            </w:pPr>
            <w:r w:rsidRPr="006E1643">
              <w:rPr>
                <w:sz w:val="20"/>
                <w:szCs w:val="20"/>
              </w:rPr>
              <w:t>R</w:t>
            </w:r>
          </w:p>
        </w:tc>
        <w:tc>
          <w:tcPr>
            <w:tcW w:w="391" w:type="pct"/>
            <w:vMerge w:val="restart"/>
            <w:shd w:val="clear" w:color="auto" w:fill="FFFFFF"/>
          </w:tcPr>
          <w:p w14:paraId="7641D45D" w14:textId="77777777" w:rsidR="00A93D73" w:rsidRPr="006E1643" w:rsidRDefault="00A93D73" w:rsidP="00A93D73">
            <w:pPr>
              <w:spacing w:line="276" w:lineRule="auto"/>
              <w:ind w:firstLine="0"/>
              <w:jc w:val="center"/>
              <w:rPr>
                <w:sz w:val="20"/>
                <w:szCs w:val="20"/>
              </w:rPr>
            </w:pPr>
            <w:r w:rsidRPr="006E1643">
              <w:rPr>
                <w:sz w:val="20"/>
                <w:szCs w:val="20"/>
              </w:rPr>
              <w:t>R Square</w:t>
            </w:r>
          </w:p>
        </w:tc>
        <w:tc>
          <w:tcPr>
            <w:tcW w:w="540" w:type="pct"/>
            <w:vMerge w:val="restart"/>
            <w:shd w:val="clear" w:color="auto" w:fill="FFFFFF"/>
          </w:tcPr>
          <w:p w14:paraId="567CDA70" w14:textId="77777777" w:rsidR="00A93D73" w:rsidRPr="006E1643" w:rsidRDefault="00A93D73" w:rsidP="00A93D73">
            <w:pPr>
              <w:spacing w:line="276" w:lineRule="auto"/>
              <w:ind w:firstLine="0"/>
              <w:jc w:val="center"/>
              <w:rPr>
                <w:sz w:val="20"/>
                <w:szCs w:val="20"/>
              </w:rPr>
            </w:pPr>
            <w:r w:rsidRPr="006E1643">
              <w:rPr>
                <w:sz w:val="20"/>
                <w:szCs w:val="20"/>
              </w:rPr>
              <w:t>Adjusted R Square</w:t>
            </w:r>
          </w:p>
        </w:tc>
        <w:tc>
          <w:tcPr>
            <w:tcW w:w="540" w:type="pct"/>
            <w:vMerge w:val="restart"/>
            <w:shd w:val="clear" w:color="auto" w:fill="FFFFFF"/>
          </w:tcPr>
          <w:p w14:paraId="0ED4CED6" w14:textId="77777777" w:rsidR="00A93D73" w:rsidRPr="006E1643" w:rsidRDefault="00A93D73" w:rsidP="00A93D73">
            <w:pPr>
              <w:spacing w:line="276" w:lineRule="auto"/>
              <w:ind w:firstLine="0"/>
              <w:jc w:val="center"/>
              <w:rPr>
                <w:sz w:val="20"/>
                <w:szCs w:val="20"/>
              </w:rPr>
            </w:pPr>
            <w:r w:rsidRPr="006E1643">
              <w:rPr>
                <w:sz w:val="20"/>
                <w:szCs w:val="20"/>
              </w:rPr>
              <w:t>Std. Error of the Estimate</w:t>
            </w:r>
          </w:p>
        </w:tc>
        <w:tc>
          <w:tcPr>
            <w:tcW w:w="2218" w:type="pct"/>
            <w:gridSpan w:val="5"/>
            <w:shd w:val="clear" w:color="auto" w:fill="FFFFFF"/>
          </w:tcPr>
          <w:p w14:paraId="150F9A8C" w14:textId="77777777" w:rsidR="00A93D73" w:rsidRPr="006E1643" w:rsidRDefault="00A93D73" w:rsidP="00A93D73">
            <w:pPr>
              <w:spacing w:line="276" w:lineRule="auto"/>
              <w:ind w:firstLine="0"/>
              <w:jc w:val="center"/>
              <w:rPr>
                <w:sz w:val="20"/>
                <w:szCs w:val="20"/>
              </w:rPr>
            </w:pPr>
            <w:r w:rsidRPr="006E1643">
              <w:rPr>
                <w:sz w:val="20"/>
                <w:szCs w:val="20"/>
              </w:rPr>
              <w:t>Change Statistics</w:t>
            </w:r>
          </w:p>
        </w:tc>
        <w:tc>
          <w:tcPr>
            <w:tcW w:w="541" w:type="pct"/>
            <w:vMerge w:val="restart"/>
            <w:shd w:val="clear" w:color="auto" w:fill="FFFFFF"/>
          </w:tcPr>
          <w:p w14:paraId="12A8A62F" w14:textId="77777777" w:rsidR="00A93D73" w:rsidRPr="006E1643" w:rsidRDefault="00A93D73" w:rsidP="00A93D73">
            <w:pPr>
              <w:spacing w:line="276" w:lineRule="auto"/>
              <w:ind w:firstLine="0"/>
              <w:jc w:val="center"/>
              <w:rPr>
                <w:sz w:val="20"/>
                <w:szCs w:val="20"/>
              </w:rPr>
            </w:pPr>
            <w:r w:rsidRPr="006E1643">
              <w:rPr>
                <w:sz w:val="20"/>
                <w:szCs w:val="20"/>
              </w:rPr>
              <w:t>Durbin-Watson</w:t>
            </w:r>
          </w:p>
        </w:tc>
      </w:tr>
      <w:tr w:rsidR="00A93D73" w:rsidRPr="006E1643" w14:paraId="19CE427B" w14:textId="77777777" w:rsidTr="004B4489">
        <w:trPr>
          <w:cantSplit/>
        </w:trPr>
        <w:tc>
          <w:tcPr>
            <w:tcW w:w="401" w:type="pct"/>
            <w:vMerge/>
            <w:shd w:val="clear" w:color="auto" w:fill="FFFFFF"/>
          </w:tcPr>
          <w:p w14:paraId="623831DE" w14:textId="77777777" w:rsidR="00A93D73" w:rsidRPr="006E1643" w:rsidRDefault="00A93D73" w:rsidP="00A93D73">
            <w:pPr>
              <w:spacing w:line="276" w:lineRule="auto"/>
              <w:ind w:firstLine="0"/>
              <w:jc w:val="center"/>
              <w:rPr>
                <w:sz w:val="20"/>
                <w:szCs w:val="20"/>
              </w:rPr>
            </w:pPr>
          </w:p>
        </w:tc>
        <w:tc>
          <w:tcPr>
            <w:tcW w:w="368" w:type="pct"/>
            <w:vMerge/>
            <w:shd w:val="clear" w:color="auto" w:fill="FFFFFF"/>
          </w:tcPr>
          <w:p w14:paraId="20DDFD2C" w14:textId="77777777" w:rsidR="00A93D73" w:rsidRPr="006E1643" w:rsidRDefault="00A93D73" w:rsidP="00A93D73">
            <w:pPr>
              <w:spacing w:line="276" w:lineRule="auto"/>
              <w:ind w:firstLine="0"/>
              <w:jc w:val="center"/>
              <w:rPr>
                <w:sz w:val="20"/>
                <w:szCs w:val="20"/>
              </w:rPr>
            </w:pPr>
          </w:p>
        </w:tc>
        <w:tc>
          <w:tcPr>
            <w:tcW w:w="391" w:type="pct"/>
            <w:vMerge/>
            <w:shd w:val="clear" w:color="auto" w:fill="FFFFFF"/>
          </w:tcPr>
          <w:p w14:paraId="7F464D8F" w14:textId="77777777" w:rsidR="00A93D73" w:rsidRPr="006E1643" w:rsidRDefault="00A93D73" w:rsidP="00A93D73">
            <w:pPr>
              <w:spacing w:line="276" w:lineRule="auto"/>
              <w:ind w:firstLine="0"/>
              <w:jc w:val="center"/>
              <w:rPr>
                <w:sz w:val="20"/>
                <w:szCs w:val="20"/>
              </w:rPr>
            </w:pPr>
          </w:p>
        </w:tc>
        <w:tc>
          <w:tcPr>
            <w:tcW w:w="540" w:type="pct"/>
            <w:vMerge/>
            <w:shd w:val="clear" w:color="auto" w:fill="FFFFFF"/>
          </w:tcPr>
          <w:p w14:paraId="471A5937" w14:textId="77777777" w:rsidR="00A93D73" w:rsidRPr="006E1643" w:rsidRDefault="00A93D73" w:rsidP="00A93D73">
            <w:pPr>
              <w:spacing w:line="276" w:lineRule="auto"/>
              <w:ind w:firstLine="0"/>
              <w:jc w:val="center"/>
              <w:rPr>
                <w:sz w:val="20"/>
                <w:szCs w:val="20"/>
              </w:rPr>
            </w:pPr>
          </w:p>
        </w:tc>
        <w:tc>
          <w:tcPr>
            <w:tcW w:w="540" w:type="pct"/>
            <w:vMerge/>
            <w:shd w:val="clear" w:color="auto" w:fill="FFFFFF"/>
          </w:tcPr>
          <w:p w14:paraId="58DD6CF8" w14:textId="77777777" w:rsidR="00A93D73" w:rsidRPr="006E1643" w:rsidRDefault="00A93D73" w:rsidP="00A93D73">
            <w:pPr>
              <w:spacing w:line="276" w:lineRule="auto"/>
              <w:ind w:firstLine="0"/>
              <w:jc w:val="center"/>
              <w:rPr>
                <w:sz w:val="20"/>
                <w:szCs w:val="20"/>
              </w:rPr>
            </w:pPr>
          </w:p>
        </w:tc>
        <w:tc>
          <w:tcPr>
            <w:tcW w:w="540" w:type="pct"/>
            <w:shd w:val="clear" w:color="auto" w:fill="FFFFFF"/>
          </w:tcPr>
          <w:p w14:paraId="41AA45B4" w14:textId="77777777" w:rsidR="00A93D73" w:rsidRPr="006E1643" w:rsidRDefault="00A93D73" w:rsidP="00A93D73">
            <w:pPr>
              <w:spacing w:line="276" w:lineRule="auto"/>
              <w:ind w:firstLine="0"/>
              <w:jc w:val="center"/>
              <w:rPr>
                <w:sz w:val="20"/>
                <w:szCs w:val="20"/>
              </w:rPr>
            </w:pPr>
            <w:r w:rsidRPr="006E1643">
              <w:rPr>
                <w:sz w:val="20"/>
                <w:szCs w:val="20"/>
              </w:rPr>
              <w:t>R Square Change</w:t>
            </w:r>
          </w:p>
        </w:tc>
        <w:tc>
          <w:tcPr>
            <w:tcW w:w="402" w:type="pct"/>
            <w:shd w:val="clear" w:color="auto" w:fill="FFFFFF"/>
          </w:tcPr>
          <w:p w14:paraId="3C40DB8A" w14:textId="77777777" w:rsidR="00A93D73" w:rsidRPr="006E1643" w:rsidRDefault="00A93D73" w:rsidP="00A93D73">
            <w:pPr>
              <w:spacing w:line="276" w:lineRule="auto"/>
              <w:ind w:firstLine="0"/>
              <w:jc w:val="center"/>
              <w:rPr>
                <w:sz w:val="20"/>
                <w:szCs w:val="20"/>
              </w:rPr>
            </w:pPr>
            <w:r w:rsidRPr="006E1643">
              <w:rPr>
                <w:sz w:val="20"/>
                <w:szCs w:val="20"/>
              </w:rPr>
              <w:t>F Change</w:t>
            </w:r>
          </w:p>
        </w:tc>
        <w:tc>
          <w:tcPr>
            <w:tcW w:w="368" w:type="pct"/>
            <w:shd w:val="clear" w:color="auto" w:fill="FFFFFF"/>
          </w:tcPr>
          <w:p w14:paraId="1F330C1C" w14:textId="77777777" w:rsidR="00A93D73" w:rsidRPr="006E1643" w:rsidRDefault="00A93D73" w:rsidP="00A93D73">
            <w:pPr>
              <w:spacing w:line="276" w:lineRule="auto"/>
              <w:ind w:firstLine="0"/>
              <w:jc w:val="center"/>
              <w:rPr>
                <w:sz w:val="20"/>
                <w:szCs w:val="20"/>
              </w:rPr>
            </w:pPr>
            <w:r w:rsidRPr="006E1643">
              <w:rPr>
                <w:sz w:val="20"/>
                <w:szCs w:val="20"/>
              </w:rPr>
              <w:t>df1</w:t>
            </w:r>
          </w:p>
        </w:tc>
        <w:tc>
          <w:tcPr>
            <w:tcW w:w="368" w:type="pct"/>
            <w:shd w:val="clear" w:color="auto" w:fill="FFFFFF"/>
          </w:tcPr>
          <w:p w14:paraId="046452E3" w14:textId="77777777" w:rsidR="00A93D73" w:rsidRPr="006E1643" w:rsidRDefault="00A93D73" w:rsidP="00A93D73">
            <w:pPr>
              <w:spacing w:line="276" w:lineRule="auto"/>
              <w:ind w:firstLine="0"/>
              <w:jc w:val="center"/>
              <w:rPr>
                <w:sz w:val="20"/>
                <w:szCs w:val="20"/>
              </w:rPr>
            </w:pPr>
            <w:r w:rsidRPr="006E1643">
              <w:rPr>
                <w:sz w:val="20"/>
                <w:szCs w:val="20"/>
              </w:rPr>
              <w:t>df2</w:t>
            </w:r>
          </w:p>
        </w:tc>
        <w:tc>
          <w:tcPr>
            <w:tcW w:w="541" w:type="pct"/>
            <w:shd w:val="clear" w:color="auto" w:fill="FFFFFF"/>
          </w:tcPr>
          <w:p w14:paraId="17CC713C" w14:textId="77777777" w:rsidR="00A93D73" w:rsidRPr="006E1643" w:rsidRDefault="00A93D73" w:rsidP="00A93D73">
            <w:pPr>
              <w:spacing w:line="276" w:lineRule="auto"/>
              <w:ind w:firstLine="0"/>
              <w:jc w:val="center"/>
              <w:rPr>
                <w:sz w:val="20"/>
                <w:szCs w:val="20"/>
              </w:rPr>
            </w:pPr>
            <w:r w:rsidRPr="006E1643">
              <w:rPr>
                <w:sz w:val="20"/>
                <w:szCs w:val="20"/>
              </w:rPr>
              <w:t>Sig. F Change</w:t>
            </w:r>
          </w:p>
        </w:tc>
        <w:tc>
          <w:tcPr>
            <w:tcW w:w="541" w:type="pct"/>
            <w:vMerge/>
            <w:shd w:val="clear" w:color="auto" w:fill="FFFFFF"/>
          </w:tcPr>
          <w:p w14:paraId="1920C911" w14:textId="77777777" w:rsidR="00A93D73" w:rsidRPr="006E1643" w:rsidRDefault="00A93D73" w:rsidP="00A93D73">
            <w:pPr>
              <w:spacing w:line="276" w:lineRule="auto"/>
              <w:ind w:firstLine="0"/>
              <w:jc w:val="center"/>
              <w:rPr>
                <w:sz w:val="20"/>
                <w:szCs w:val="20"/>
              </w:rPr>
            </w:pPr>
          </w:p>
        </w:tc>
      </w:tr>
      <w:tr w:rsidR="00A93D73" w:rsidRPr="006E1643" w14:paraId="628CF2C1" w14:textId="77777777" w:rsidTr="004B4489">
        <w:trPr>
          <w:cantSplit/>
        </w:trPr>
        <w:tc>
          <w:tcPr>
            <w:tcW w:w="401" w:type="pct"/>
            <w:shd w:val="clear" w:color="auto" w:fill="FFFFFF"/>
            <w:vAlign w:val="center"/>
          </w:tcPr>
          <w:p w14:paraId="18D93018" w14:textId="77777777" w:rsidR="00A93D73" w:rsidRPr="006E1643" w:rsidRDefault="00A93D73" w:rsidP="00A93D73">
            <w:pPr>
              <w:spacing w:line="276" w:lineRule="auto"/>
              <w:ind w:firstLine="0"/>
              <w:jc w:val="center"/>
              <w:rPr>
                <w:sz w:val="20"/>
                <w:szCs w:val="20"/>
              </w:rPr>
            </w:pPr>
            <w:r w:rsidRPr="006E1643">
              <w:rPr>
                <w:sz w:val="20"/>
                <w:szCs w:val="20"/>
              </w:rPr>
              <w:t>2015</w:t>
            </w:r>
          </w:p>
        </w:tc>
        <w:tc>
          <w:tcPr>
            <w:tcW w:w="368" w:type="pct"/>
            <w:shd w:val="clear" w:color="auto" w:fill="FFFFFF"/>
            <w:vAlign w:val="center"/>
          </w:tcPr>
          <w:p w14:paraId="5F16C02A" w14:textId="77777777" w:rsidR="00A93D73" w:rsidRPr="006E1643" w:rsidRDefault="00A93D73" w:rsidP="00A93D73">
            <w:pPr>
              <w:spacing w:line="276" w:lineRule="auto"/>
              <w:ind w:firstLine="0"/>
              <w:jc w:val="center"/>
              <w:rPr>
                <w:sz w:val="20"/>
                <w:szCs w:val="20"/>
              </w:rPr>
            </w:pPr>
            <w:r w:rsidRPr="006E1643">
              <w:rPr>
                <w:sz w:val="20"/>
                <w:szCs w:val="20"/>
              </w:rPr>
              <w:t>,317</w:t>
            </w:r>
            <w:r w:rsidRPr="006E1643">
              <w:rPr>
                <w:sz w:val="20"/>
                <w:szCs w:val="20"/>
                <w:vertAlign w:val="superscript"/>
              </w:rPr>
              <w:t>a</w:t>
            </w:r>
          </w:p>
        </w:tc>
        <w:tc>
          <w:tcPr>
            <w:tcW w:w="391" w:type="pct"/>
            <w:shd w:val="clear" w:color="auto" w:fill="FFFFFF"/>
            <w:vAlign w:val="center"/>
          </w:tcPr>
          <w:p w14:paraId="06D6F4FC" w14:textId="77777777" w:rsidR="00A93D73" w:rsidRPr="006E1643" w:rsidRDefault="00A93D73" w:rsidP="00A93D73">
            <w:pPr>
              <w:spacing w:line="276" w:lineRule="auto"/>
              <w:ind w:firstLine="0"/>
              <w:jc w:val="center"/>
              <w:rPr>
                <w:sz w:val="20"/>
                <w:szCs w:val="20"/>
              </w:rPr>
            </w:pPr>
            <w:r w:rsidRPr="006E1643">
              <w:rPr>
                <w:sz w:val="20"/>
                <w:szCs w:val="20"/>
              </w:rPr>
              <w:t>,101</w:t>
            </w:r>
          </w:p>
        </w:tc>
        <w:tc>
          <w:tcPr>
            <w:tcW w:w="540" w:type="pct"/>
            <w:shd w:val="clear" w:color="auto" w:fill="FFFFFF"/>
            <w:vAlign w:val="center"/>
          </w:tcPr>
          <w:p w14:paraId="7F812655" w14:textId="77777777" w:rsidR="00A93D73" w:rsidRPr="006E1643" w:rsidRDefault="00A93D73" w:rsidP="00A93D73">
            <w:pPr>
              <w:spacing w:line="276" w:lineRule="auto"/>
              <w:ind w:firstLine="0"/>
              <w:jc w:val="center"/>
              <w:rPr>
                <w:sz w:val="20"/>
                <w:szCs w:val="20"/>
              </w:rPr>
            </w:pPr>
            <w:r w:rsidRPr="006E1643">
              <w:rPr>
                <w:sz w:val="20"/>
                <w:szCs w:val="20"/>
              </w:rPr>
              <w:t>,078</w:t>
            </w:r>
          </w:p>
        </w:tc>
        <w:tc>
          <w:tcPr>
            <w:tcW w:w="540" w:type="pct"/>
            <w:shd w:val="clear" w:color="auto" w:fill="FFFFFF"/>
            <w:vAlign w:val="center"/>
          </w:tcPr>
          <w:p w14:paraId="18A89353" w14:textId="77777777" w:rsidR="00A93D73" w:rsidRPr="006E1643" w:rsidRDefault="00A93D73" w:rsidP="00A93D73">
            <w:pPr>
              <w:spacing w:line="276" w:lineRule="auto"/>
              <w:ind w:firstLine="0"/>
              <w:jc w:val="center"/>
              <w:rPr>
                <w:sz w:val="20"/>
                <w:szCs w:val="20"/>
              </w:rPr>
            </w:pPr>
            <w:r w:rsidRPr="006E1643">
              <w:rPr>
                <w:sz w:val="20"/>
                <w:szCs w:val="20"/>
              </w:rPr>
              <w:t>,564450</w:t>
            </w:r>
          </w:p>
        </w:tc>
        <w:tc>
          <w:tcPr>
            <w:tcW w:w="540" w:type="pct"/>
            <w:shd w:val="clear" w:color="auto" w:fill="FFFFFF"/>
            <w:vAlign w:val="center"/>
          </w:tcPr>
          <w:p w14:paraId="1628A827" w14:textId="77777777" w:rsidR="00A93D73" w:rsidRPr="006E1643" w:rsidRDefault="00A93D73" w:rsidP="00A93D73">
            <w:pPr>
              <w:spacing w:line="276" w:lineRule="auto"/>
              <w:ind w:firstLine="0"/>
              <w:jc w:val="center"/>
              <w:rPr>
                <w:sz w:val="20"/>
                <w:szCs w:val="20"/>
              </w:rPr>
            </w:pPr>
            <w:r w:rsidRPr="006E1643">
              <w:rPr>
                <w:sz w:val="20"/>
                <w:szCs w:val="20"/>
              </w:rPr>
              <w:t>,101</w:t>
            </w:r>
          </w:p>
        </w:tc>
        <w:tc>
          <w:tcPr>
            <w:tcW w:w="402" w:type="pct"/>
            <w:shd w:val="clear" w:color="auto" w:fill="FFFFFF"/>
            <w:vAlign w:val="center"/>
          </w:tcPr>
          <w:p w14:paraId="30C7A135" w14:textId="77777777" w:rsidR="00A93D73" w:rsidRPr="006E1643" w:rsidRDefault="00A93D73" w:rsidP="00A93D73">
            <w:pPr>
              <w:spacing w:line="276" w:lineRule="auto"/>
              <w:ind w:firstLine="0"/>
              <w:jc w:val="center"/>
              <w:rPr>
                <w:sz w:val="20"/>
                <w:szCs w:val="20"/>
              </w:rPr>
            </w:pPr>
            <w:r w:rsidRPr="006E1643">
              <w:rPr>
                <w:sz w:val="20"/>
                <w:szCs w:val="20"/>
              </w:rPr>
              <w:t>4,482</w:t>
            </w:r>
          </w:p>
        </w:tc>
        <w:tc>
          <w:tcPr>
            <w:tcW w:w="368" w:type="pct"/>
            <w:shd w:val="clear" w:color="auto" w:fill="FFFFFF"/>
            <w:vAlign w:val="center"/>
          </w:tcPr>
          <w:p w14:paraId="75803B34" w14:textId="77777777" w:rsidR="00A93D73" w:rsidRPr="006E1643" w:rsidRDefault="00A93D73" w:rsidP="00A93D73">
            <w:pPr>
              <w:spacing w:line="276" w:lineRule="auto"/>
              <w:ind w:firstLine="0"/>
              <w:jc w:val="center"/>
              <w:rPr>
                <w:sz w:val="20"/>
                <w:szCs w:val="20"/>
              </w:rPr>
            </w:pPr>
            <w:r w:rsidRPr="006E1643">
              <w:rPr>
                <w:sz w:val="20"/>
                <w:szCs w:val="20"/>
              </w:rPr>
              <w:t>1</w:t>
            </w:r>
          </w:p>
        </w:tc>
        <w:tc>
          <w:tcPr>
            <w:tcW w:w="368" w:type="pct"/>
            <w:shd w:val="clear" w:color="auto" w:fill="FFFFFF"/>
            <w:vAlign w:val="center"/>
          </w:tcPr>
          <w:p w14:paraId="536C28A2" w14:textId="77777777" w:rsidR="00A93D73" w:rsidRPr="006E1643" w:rsidRDefault="00A93D73" w:rsidP="00A93D73">
            <w:pPr>
              <w:spacing w:line="276" w:lineRule="auto"/>
              <w:ind w:firstLine="0"/>
              <w:jc w:val="center"/>
              <w:rPr>
                <w:sz w:val="20"/>
                <w:szCs w:val="20"/>
              </w:rPr>
            </w:pPr>
            <w:r w:rsidRPr="006E1643">
              <w:rPr>
                <w:sz w:val="20"/>
                <w:szCs w:val="20"/>
              </w:rPr>
              <w:t>40</w:t>
            </w:r>
          </w:p>
        </w:tc>
        <w:tc>
          <w:tcPr>
            <w:tcW w:w="541" w:type="pct"/>
            <w:shd w:val="clear" w:color="auto" w:fill="FFFFFF"/>
            <w:vAlign w:val="center"/>
          </w:tcPr>
          <w:p w14:paraId="775FBAAC" w14:textId="77777777" w:rsidR="00A93D73" w:rsidRPr="006E1643" w:rsidRDefault="00A93D73" w:rsidP="00A93D73">
            <w:pPr>
              <w:spacing w:line="276" w:lineRule="auto"/>
              <w:ind w:firstLine="0"/>
              <w:jc w:val="center"/>
              <w:rPr>
                <w:sz w:val="20"/>
                <w:szCs w:val="20"/>
              </w:rPr>
            </w:pPr>
            <w:r w:rsidRPr="006E1643">
              <w:rPr>
                <w:sz w:val="20"/>
                <w:szCs w:val="20"/>
              </w:rPr>
              <w:t>,041</w:t>
            </w:r>
          </w:p>
        </w:tc>
        <w:tc>
          <w:tcPr>
            <w:tcW w:w="541" w:type="pct"/>
            <w:shd w:val="clear" w:color="auto" w:fill="FFFFFF"/>
            <w:vAlign w:val="center"/>
          </w:tcPr>
          <w:p w14:paraId="2E8940F0" w14:textId="77777777" w:rsidR="00A93D73" w:rsidRPr="006E1643" w:rsidRDefault="00A93D73" w:rsidP="00A93D73">
            <w:pPr>
              <w:spacing w:line="276" w:lineRule="auto"/>
              <w:ind w:firstLine="0"/>
              <w:jc w:val="center"/>
              <w:rPr>
                <w:sz w:val="20"/>
                <w:szCs w:val="20"/>
              </w:rPr>
            </w:pPr>
            <w:r w:rsidRPr="006E1643">
              <w:rPr>
                <w:sz w:val="20"/>
                <w:szCs w:val="20"/>
              </w:rPr>
              <w:t>1,644</w:t>
            </w:r>
          </w:p>
        </w:tc>
      </w:tr>
      <w:tr w:rsidR="00A93D73" w:rsidRPr="006E1643" w14:paraId="2C42FA8B" w14:textId="77777777" w:rsidTr="004B4489">
        <w:trPr>
          <w:cantSplit/>
        </w:trPr>
        <w:tc>
          <w:tcPr>
            <w:tcW w:w="5000" w:type="pct"/>
            <w:gridSpan w:val="11"/>
            <w:shd w:val="clear" w:color="auto" w:fill="FFFFFF"/>
          </w:tcPr>
          <w:p w14:paraId="5449BF76" w14:textId="77777777" w:rsidR="00A93D73" w:rsidRPr="006E1643" w:rsidRDefault="00A93D73" w:rsidP="00A93D73">
            <w:pPr>
              <w:spacing w:line="276" w:lineRule="auto"/>
              <w:ind w:firstLine="0"/>
              <w:rPr>
                <w:sz w:val="20"/>
                <w:szCs w:val="20"/>
              </w:rPr>
            </w:pPr>
            <w:r w:rsidRPr="006E1643">
              <w:rPr>
                <w:sz w:val="20"/>
                <w:szCs w:val="20"/>
              </w:rPr>
              <w:t>a. Predictors: (Constant), Var.IMPAT2015</w:t>
            </w:r>
          </w:p>
        </w:tc>
      </w:tr>
      <w:tr w:rsidR="00A93D73" w:rsidRPr="006E1643" w14:paraId="2DE52557" w14:textId="77777777" w:rsidTr="004B4489">
        <w:trPr>
          <w:cantSplit/>
        </w:trPr>
        <w:tc>
          <w:tcPr>
            <w:tcW w:w="5000" w:type="pct"/>
            <w:gridSpan w:val="11"/>
            <w:shd w:val="clear" w:color="auto" w:fill="FFFFFF"/>
          </w:tcPr>
          <w:p w14:paraId="209276D2" w14:textId="77777777" w:rsidR="00A93D73" w:rsidRPr="006E1643" w:rsidRDefault="00A93D73" w:rsidP="00A93D73">
            <w:pPr>
              <w:spacing w:line="276" w:lineRule="auto"/>
              <w:ind w:firstLine="0"/>
              <w:rPr>
                <w:sz w:val="20"/>
                <w:szCs w:val="20"/>
              </w:rPr>
            </w:pPr>
            <w:r w:rsidRPr="006E1643">
              <w:rPr>
                <w:sz w:val="20"/>
                <w:szCs w:val="20"/>
              </w:rPr>
              <w:t>b. Dependent Variable: Var.CAAT2015</w:t>
            </w:r>
          </w:p>
        </w:tc>
      </w:tr>
    </w:tbl>
    <w:p w14:paraId="4AD64648" w14:textId="77777777" w:rsidR="00A93D73" w:rsidRDefault="00A93D73" w:rsidP="00D65459">
      <w:pPr>
        <w:spacing w:line="276" w:lineRule="auto"/>
        <w:ind w:firstLine="0"/>
        <w:jc w:val="center"/>
        <w:rPr>
          <w:sz w:val="20"/>
          <w:szCs w:val="20"/>
        </w:rPr>
      </w:pPr>
      <w:r w:rsidRPr="006E1643">
        <w:rPr>
          <w:b/>
          <w:sz w:val="20"/>
          <w:szCs w:val="20"/>
        </w:rPr>
        <w:t>Sursa</w:t>
      </w:r>
      <w:r w:rsidRPr="006E1643">
        <w:rPr>
          <w:sz w:val="20"/>
          <w:szCs w:val="20"/>
        </w:rPr>
        <w:t>: prelucrare proprie în SPSS</w:t>
      </w:r>
    </w:p>
    <w:p w14:paraId="19532388" w14:textId="77777777" w:rsidR="00A56FA0" w:rsidRPr="006E1643" w:rsidRDefault="00A56FA0" w:rsidP="00D65459">
      <w:pPr>
        <w:spacing w:line="276" w:lineRule="auto"/>
        <w:ind w:firstLine="0"/>
        <w:jc w:val="center"/>
        <w:rPr>
          <w:sz w:val="20"/>
          <w:szCs w:val="20"/>
        </w:rPr>
      </w:pPr>
    </w:p>
    <w:p w14:paraId="2586D70C" w14:textId="77777777" w:rsidR="00A93D73" w:rsidRPr="00A56FA0" w:rsidRDefault="00A56FA0" w:rsidP="00A56FA0">
      <w:pPr>
        <w:spacing w:line="276" w:lineRule="auto"/>
        <w:ind w:firstLine="708"/>
      </w:pPr>
      <w:r w:rsidRPr="00A56FA0">
        <w:t>C</w:t>
      </w:r>
      <w:r w:rsidR="00A93D73" w:rsidRPr="00A56FA0">
        <w:t xml:space="preserve">oeficientul de corelație este de 0,317, iar valoarea lui R pătrat de 0,101, ceea ce semnifică faptul că aproximativ 10,10% din variația mărimii surogat </w:t>
      </w:r>
      <w:r w:rsidR="00A93D73" w:rsidRPr="00A56FA0">
        <w:rPr>
          <w:i/>
        </w:rPr>
        <w:t>Contabilitate</w:t>
      </w:r>
      <w:r w:rsidR="00A93D73" w:rsidRPr="00A56FA0">
        <w:t>, este datorată valorii atribuite fiscalității, fiind prezisă în funcție de aceasta,o proporție mult mai mică decât cea din modelul general.</w:t>
      </w:r>
      <w:r w:rsidRPr="00A56FA0">
        <w:t xml:space="preserve"> </w:t>
      </w:r>
      <w:r w:rsidR="00A93D73" w:rsidRPr="00A56FA0">
        <w:t>Ecuația de regresie în acest caz a luat forma:</w:t>
      </w:r>
    </w:p>
    <w:tbl>
      <w:tblPr>
        <w:tblW w:w="0" w:type="auto"/>
        <w:jc w:val="center"/>
        <w:tblLook w:val="04A0" w:firstRow="1" w:lastRow="0" w:firstColumn="1" w:lastColumn="0" w:noHBand="0" w:noVBand="1"/>
      </w:tblPr>
      <w:tblGrid>
        <w:gridCol w:w="700"/>
        <w:gridCol w:w="6898"/>
        <w:gridCol w:w="566"/>
      </w:tblGrid>
      <w:tr w:rsidR="00A93D73" w:rsidRPr="006E1643" w14:paraId="78460A2F" w14:textId="77777777" w:rsidTr="00D27DA3">
        <w:trPr>
          <w:jc w:val="center"/>
        </w:trPr>
        <w:tc>
          <w:tcPr>
            <w:tcW w:w="700" w:type="dxa"/>
            <w:vAlign w:val="center"/>
          </w:tcPr>
          <w:p w14:paraId="40F4BB81" w14:textId="77777777" w:rsidR="00A93D73" w:rsidRPr="006E1643" w:rsidRDefault="00A93D73" w:rsidP="00A93D73">
            <w:pPr>
              <w:spacing w:line="276" w:lineRule="auto"/>
              <w:ind w:firstLine="0"/>
              <w:jc w:val="center"/>
              <w:rPr>
                <w:sz w:val="20"/>
                <w:szCs w:val="20"/>
              </w:rPr>
            </w:pPr>
          </w:p>
        </w:tc>
        <w:tc>
          <w:tcPr>
            <w:tcW w:w="6898" w:type="dxa"/>
            <w:vAlign w:val="center"/>
          </w:tcPr>
          <w:p w14:paraId="07CA1D08" w14:textId="77777777" w:rsidR="00A93D73" w:rsidRPr="006E1643" w:rsidRDefault="00A93D73" w:rsidP="00A93D73">
            <w:pPr>
              <w:spacing w:line="276" w:lineRule="auto"/>
              <w:ind w:firstLine="0"/>
              <w:jc w:val="center"/>
              <w:rPr>
                <w:sz w:val="20"/>
                <w:szCs w:val="20"/>
              </w:rPr>
            </w:pPr>
            <m:oMathPara>
              <m:oMath>
                <m:r>
                  <w:rPr>
                    <w:rFonts w:ascii="Cambria Math" w:hAnsi="Cambria Math"/>
                    <w:sz w:val="20"/>
                    <w:szCs w:val="20"/>
                  </w:rPr>
                  <m:t>y=0,677+13,376x</m:t>
                </m:r>
              </m:oMath>
            </m:oMathPara>
          </w:p>
        </w:tc>
        <w:tc>
          <w:tcPr>
            <w:tcW w:w="566" w:type="dxa"/>
            <w:vAlign w:val="center"/>
          </w:tcPr>
          <w:p w14:paraId="6FC87539" w14:textId="77777777" w:rsidR="00A93D73" w:rsidRPr="006E1643" w:rsidRDefault="00A93D73" w:rsidP="00A93D73">
            <w:pPr>
              <w:spacing w:line="276" w:lineRule="auto"/>
              <w:ind w:firstLine="0"/>
              <w:jc w:val="center"/>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5</w:t>
            </w:r>
            <w:r w:rsidR="00014929" w:rsidRPr="006E1643">
              <w:rPr>
                <w:sz w:val="20"/>
                <w:szCs w:val="20"/>
              </w:rPr>
              <w:fldChar w:fldCharType="end"/>
            </w:r>
            <w:r w:rsidRPr="006E1643">
              <w:rPr>
                <w:sz w:val="20"/>
                <w:szCs w:val="20"/>
              </w:rPr>
              <w:t>)</w:t>
            </w:r>
          </w:p>
        </w:tc>
      </w:tr>
    </w:tbl>
    <w:p w14:paraId="32019E4B" w14:textId="77777777" w:rsidR="00A93D73" w:rsidRPr="006E1643" w:rsidRDefault="00A93D73" w:rsidP="00A93D73">
      <w:pPr>
        <w:spacing w:line="276" w:lineRule="auto"/>
        <w:ind w:firstLine="0"/>
        <w:jc w:val="center"/>
        <w:rPr>
          <w:sz w:val="20"/>
          <w:szCs w:val="20"/>
        </w:rPr>
      </w:pPr>
    </w:p>
    <w:p w14:paraId="03226869" w14:textId="77777777" w:rsidR="00A56FA0" w:rsidRPr="00BE1DA0" w:rsidRDefault="00A56FA0" w:rsidP="00A56FA0">
      <w:pPr>
        <w:pStyle w:val="ListParagraph"/>
        <w:numPr>
          <w:ilvl w:val="0"/>
          <w:numId w:val="9"/>
        </w:numPr>
        <w:spacing w:line="276" w:lineRule="auto"/>
        <w:ind w:left="993" w:hanging="284"/>
      </w:pPr>
      <w:r>
        <w:t>Pentru anul</w:t>
      </w:r>
      <w:r w:rsidRPr="00BE1DA0">
        <w:t xml:space="preserve"> </w:t>
      </w:r>
      <w:r w:rsidRPr="00BE1DA0">
        <w:rPr>
          <w:b/>
        </w:rPr>
        <w:t>201</w:t>
      </w:r>
      <w:r>
        <w:rPr>
          <w:b/>
        </w:rPr>
        <w:t>6</w:t>
      </w:r>
      <w:r w:rsidRPr="00BE1DA0">
        <w:t xml:space="preserve"> </w:t>
      </w:r>
      <w:r>
        <w:t>a rezultat modelul prezentat în</w:t>
      </w:r>
      <w:r w:rsidRPr="00BE1DA0">
        <w:t xml:space="preserve"> (Tabe</w:t>
      </w:r>
      <w:r>
        <w:t>lul</w:t>
      </w:r>
      <w:r w:rsidRPr="00BE1DA0">
        <w:t xml:space="preserve"> n</w:t>
      </w:r>
      <w:r>
        <w:t>r. 4)</w:t>
      </w:r>
      <w:r w:rsidRPr="00BE1DA0">
        <w:t>:</w:t>
      </w:r>
    </w:p>
    <w:p w14:paraId="5A0C2A5B" w14:textId="77777777" w:rsidR="00A56FA0" w:rsidRDefault="00A56FA0" w:rsidP="00E01127">
      <w:pPr>
        <w:spacing w:line="276" w:lineRule="auto"/>
        <w:ind w:firstLine="0"/>
        <w:rPr>
          <w:b/>
          <w:bCs/>
        </w:rPr>
      </w:pPr>
    </w:p>
    <w:p w14:paraId="78FB7E7C" w14:textId="77777777" w:rsidR="00867EC1" w:rsidRDefault="00867EC1" w:rsidP="00E01127">
      <w:pPr>
        <w:spacing w:line="276" w:lineRule="auto"/>
        <w:ind w:firstLine="0"/>
        <w:rPr>
          <w:b/>
          <w:bCs/>
        </w:rPr>
      </w:pPr>
    </w:p>
    <w:p w14:paraId="4F15BB63" w14:textId="77777777" w:rsidR="00867EC1" w:rsidRDefault="00867EC1" w:rsidP="00E01127">
      <w:pPr>
        <w:spacing w:line="276" w:lineRule="auto"/>
        <w:ind w:firstLine="0"/>
        <w:rPr>
          <w:b/>
          <w:bCs/>
        </w:rPr>
      </w:pPr>
    </w:p>
    <w:p w14:paraId="29755484" w14:textId="77777777" w:rsidR="00867EC1" w:rsidRDefault="00867EC1" w:rsidP="00E01127">
      <w:pPr>
        <w:spacing w:line="276" w:lineRule="auto"/>
        <w:ind w:firstLine="0"/>
        <w:rPr>
          <w:b/>
          <w:bCs/>
        </w:rPr>
      </w:pPr>
    </w:p>
    <w:p w14:paraId="51CF4ADA" w14:textId="77777777" w:rsidR="00867EC1" w:rsidRPr="00867EC1" w:rsidRDefault="00867EC1" w:rsidP="00E01127">
      <w:pPr>
        <w:spacing w:line="276" w:lineRule="auto"/>
        <w:ind w:firstLine="0"/>
        <w:rPr>
          <w:b/>
          <w:bCs/>
        </w:rPr>
      </w:pPr>
    </w:p>
    <w:p w14:paraId="1FC1D754" w14:textId="3D6C5B5A" w:rsidR="00A93D73" w:rsidRPr="00867EC1" w:rsidRDefault="00A93D73" w:rsidP="00A93D73">
      <w:pPr>
        <w:spacing w:line="276" w:lineRule="auto"/>
        <w:ind w:firstLine="0"/>
        <w:jc w:val="center"/>
        <w:rPr>
          <w:b/>
          <w:bCs/>
        </w:rPr>
      </w:pPr>
      <w:bookmarkStart w:id="10" w:name="_Toc72492485"/>
      <w:r w:rsidRPr="00867EC1">
        <w:rPr>
          <w:b/>
          <w:bCs/>
        </w:rPr>
        <w:lastRenderedPageBreak/>
        <w:t xml:space="preserve">Tabelul nr. </w:t>
      </w:r>
      <w:r w:rsidR="00014929" w:rsidRPr="00867EC1">
        <w:rPr>
          <w:b/>
          <w:bCs/>
        </w:rPr>
        <w:fldChar w:fldCharType="begin"/>
      </w:r>
      <w:r w:rsidRPr="00867EC1">
        <w:rPr>
          <w:b/>
          <w:bCs/>
        </w:rPr>
        <w:instrText xml:space="preserve"> SEQ Tabel \* ARABIC </w:instrText>
      </w:r>
      <w:r w:rsidR="00014929" w:rsidRPr="00867EC1">
        <w:rPr>
          <w:b/>
          <w:bCs/>
        </w:rPr>
        <w:fldChar w:fldCharType="separate"/>
      </w:r>
      <w:r w:rsidR="00D27DA3" w:rsidRPr="00867EC1">
        <w:rPr>
          <w:b/>
          <w:bCs/>
          <w:noProof/>
        </w:rPr>
        <w:t>4</w:t>
      </w:r>
      <w:r w:rsidR="00014929" w:rsidRPr="00867EC1">
        <w:rPr>
          <w:b/>
          <w:bCs/>
        </w:rPr>
        <w:fldChar w:fldCharType="end"/>
      </w:r>
      <w:r w:rsidR="00867EC1">
        <w:rPr>
          <w:b/>
          <w:bCs/>
        </w:rPr>
        <w:t>.</w:t>
      </w:r>
      <w:r w:rsidRPr="00867EC1">
        <w:rPr>
          <w:b/>
          <w:bCs/>
        </w:rPr>
        <w:t xml:space="preserve"> Rezumatul modelului de regresie pentru anul 2016</w:t>
      </w:r>
      <w:bookmarkEnd w:id="10"/>
    </w:p>
    <w:p w14:paraId="6A6E7C11" w14:textId="77777777" w:rsidR="005E356C" w:rsidRPr="00867EC1" w:rsidRDefault="005E356C" w:rsidP="00A93D73">
      <w:pPr>
        <w:spacing w:line="276" w:lineRule="auto"/>
        <w:ind w:firstLine="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2"/>
        <w:gridCol w:w="706"/>
        <w:gridCol w:w="750"/>
        <w:gridCol w:w="1037"/>
        <w:gridCol w:w="1039"/>
        <w:gridCol w:w="1039"/>
        <w:gridCol w:w="779"/>
        <w:gridCol w:w="708"/>
        <w:gridCol w:w="708"/>
        <w:gridCol w:w="1041"/>
        <w:gridCol w:w="1041"/>
      </w:tblGrid>
      <w:tr w:rsidR="00A93D73" w:rsidRPr="006E1643" w14:paraId="575A11B7" w14:textId="77777777" w:rsidTr="008C6547">
        <w:trPr>
          <w:cantSplit/>
        </w:trPr>
        <w:tc>
          <w:tcPr>
            <w:tcW w:w="5000" w:type="pct"/>
            <w:gridSpan w:val="11"/>
            <w:shd w:val="clear" w:color="auto" w:fill="FFFFFF"/>
          </w:tcPr>
          <w:p w14:paraId="46662303" w14:textId="77777777" w:rsidR="00A93D73" w:rsidRPr="006E1643" w:rsidRDefault="00A93D73" w:rsidP="00A93D73">
            <w:pPr>
              <w:spacing w:line="276" w:lineRule="auto"/>
              <w:ind w:firstLine="0"/>
              <w:jc w:val="center"/>
              <w:rPr>
                <w:sz w:val="20"/>
                <w:szCs w:val="20"/>
              </w:rPr>
            </w:pPr>
            <w:r w:rsidRPr="006E1643">
              <w:rPr>
                <w:b/>
                <w:bCs/>
                <w:sz w:val="20"/>
                <w:szCs w:val="20"/>
              </w:rPr>
              <w:t>Model Summary</w:t>
            </w:r>
            <w:r w:rsidRPr="006E1643">
              <w:rPr>
                <w:b/>
                <w:bCs/>
                <w:sz w:val="20"/>
                <w:szCs w:val="20"/>
                <w:vertAlign w:val="superscript"/>
              </w:rPr>
              <w:t>b</w:t>
            </w:r>
          </w:p>
        </w:tc>
      </w:tr>
      <w:tr w:rsidR="00A93D73" w:rsidRPr="006E1643" w14:paraId="037E17C8" w14:textId="77777777" w:rsidTr="008C6547">
        <w:trPr>
          <w:cantSplit/>
        </w:trPr>
        <w:tc>
          <w:tcPr>
            <w:tcW w:w="401" w:type="pct"/>
            <w:vMerge w:val="restart"/>
            <w:shd w:val="clear" w:color="auto" w:fill="FFFFFF"/>
          </w:tcPr>
          <w:p w14:paraId="35667B56" w14:textId="77777777" w:rsidR="00A93D73" w:rsidRPr="006E1643" w:rsidRDefault="00A93D73" w:rsidP="00A93D73">
            <w:pPr>
              <w:spacing w:line="276" w:lineRule="auto"/>
              <w:ind w:firstLine="0"/>
              <w:jc w:val="center"/>
              <w:rPr>
                <w:sz w:val="20"/>
                <w:szCs w:val="20"/>
              </w:rPr>
            </w:pPr>
            <w:r w:rsidRPr="006E1643">
              <w:rPr>
                <w:sz w:val="20"/>
                <w:szCs w:val="20"/>
              </w:rPr>
              <w:t>Model</w:t>
            </w:r>
          </w:p>
        </w:tc>
        <w:tc>
          <w:tcPr>
            <w:tcW w:w="367" w:type="pct"/>
            <w:vMerge w:val="restart"/>
            <w:shd w:val="clear" w:color="auto" w:fill="FFFFFF"/>
          </w:tcPr>
          <w:p w14:paraId="379674A0" w14:textId="77777777" w:rsidR="00A93D73" w:rsidRPr="006E1643" w:rsidRDefault="00A93D73" w:rsidP="00A93D73">
            <w:pPr>
              <w:spacing w:line="276" w:lineRule="auto"/>
              <w:ind w:firstLine="0"/>
              <w:jc w:val="center"/>
              <w:rPr>
                <w:sz w:val="20"/>
                <w:szCs w:val="20"/>
              </w:rPr>
            </w:pPr>
            <w:r w:rsidRPr="006E1643">
              <w:rPr>
                <w:sz w:val="20"/>
                <w:szCs w:val="20"/>
              </w:rPr>
              <w:t>R</w:t>
            </w:r>
          </w:p>
        </w:tc>
        <w:tc>
          <w:tcPr>
            <w:tcW w:w="390" w:type="pct"/>
            <w:vMerge w:val="restart"/>
            <w:shd w:val="clear" w:color="auto" w:fill="FFFFFF"/>
          </w:tcPr>
          <w:p w14:paraId="2204E48F" w14:textId="77777777" w:rsidR="00A93D73" w:rsidRPr="006E1643" w:rsidRDefault="00A93D73" w:rsidP="00A93D73">
            <w:pPr>
              <w:spacing w:line="276" w:lineRule="auto"/>
              <w:ind w:firstLine="0"/>
              <w:jc w:val="center"/>
              <w:rPr>
                <w:sz w:val="20"/>
                <w:szCs w:val="20"/>
              </w:rPr>
            </w:pPr>
            <w:r w:rsidRPr="006E1643">
              <w:rPr>
                <w:sz w:val="20"/>
                <w:szCs w:val="20"/>
              </w:rPr>
              <w:t>R Square</w:t>
            </w:r>
          </w:p>
        </w:tc>
        <w:tc>
          <w:tcPr>
            <w:tcW w:w="539" w:type="pct"/>
            <w:vMerge w:val="restart"/>
            <w:shd w:val="clear" w:color="auto" w:fill="FFFFFF"/>
          </w:tcPr>
          <w:p w14:paraId="30C111E6" w14:textId="77777777" w:rsidR="00A93D73" w:rsidRPr="006E1643" w:rsidRDefault="00A93D73" w:rsidP="00A93D73">
            <w:pPr>
              <w:spacing w:line="276" w:lineRule="auto"/>
              <w:ind w:firstLine="0"/>
              <w:jc w:val="center"/>
              <w:rPr>
                <w:sz w:val="20"/>
                <w:szCs w:val="20"/>
              </w:rPr>
            </w:pPr>
            <w:r w:rsidRPr="006E1643">
              <w:rPr>
                <w:sz w:val="20"/>
                <w:szCs w:val="20"/>
              </w:rPr>
              <w:t>Adjusted R Square</w:t>
            </w:r>
          </w:p>
        </w:tc>
        <w:tc>
          <w:tcPr>
            <w:tcW w:w="540" w:type="pct"/>
            <w:vMerge w:val="restart"/>
            <w:shd w:val="clear" w:color="auto" w:fill="FFFFFF"/>
          </w:tcPr>
          <w:p w14:paraId="79D8771F" w14:textId="77777777" w:rsidR="00A93D73" w:rsidRPr="006E1643" w:rsidRDefault="00A93D73" w:rsidP="00A93D73">
            <w:pPr>
              <w:spacing w:line="276" w:lineRule="auto"/>
              <w:ind w:firstLine="0"/>
              <w:jc w:val="center"/>
              <w:rPr>
                <w:sz w:val="20"/>
                <w:szCs w:val="20"/>
              </w:rPr>
            </w:pPr>
            <w:r w:rsidRPr="006E1643">
              <w:rPr>
                <w:sz w:val="20"/>
                <w:szCs w:val="20"/>
              </w:rPr>
              <w:t>Std. Error of the Estimate</w:t>
            </w:r>
          </w:p>
        </w:tc>
        <w:tc>
          <w:tcPr>
            <w:tcW w:w="2222" w:type="pct"/>
            <w:gridSpan w:val="5"/>
            <w:shd w:val="clear" w:color="auto" w:fill="FFFFFF"/>
          </w:tcPr>
          <w:p w14:paraId="005EE6E9" w14:textId="77777777" w:rsidR="00A93D73" w:rsidRPr="006E1643" w:rsidRDefault="00A93D73" w:rsidP="00A93D73">
            <w:pPr>
              <w:spacing w:line="276" w:lineRule="auto"/>
              <w:ind w:firstLine="0"/>
              <w:jc w:val="center"/>
              <w:rPr>
                <w:sz w:val="20"/>
                <w:szCs w:val="20"/>
              </w:rPr>
            </w:pPr>
            <w:r w:rsidRPr="006E1643">
              <w:rPr>
                <w:sz w:val="20"/>
                <w:szCs w:val="20"/>
              </w:rPr>
              <w:t>Change Statistics</w:t>
            </w:r>
          </w:p>
        </w:tc>
        <w:tc>
          <w:tcPr>
            <w:tcW w:w="541" w:type="pct"/>
            <w:vMerge w:val="restart"/>
            <w:shd w:val="clear" w:color="auto" w:fill="FFFFFF"/>
          </w:tcPr>
          <w:p w14:paraId="53CD3BDB" w14:textId="77777777" w:rsidR="00A93D73" w:rsidRPr="006E1643" w:rsidRDefault="00A93D73" w:rsidP="00A93D73">
            <w:pPr>
              <w:spacing w:line="276" w:lineRule="auto"/>
              <w:ind w:firstLine="0"/>
              <w:jc w:val="center"/>
              <w:rPr>
                <w:sz w:val="20"/>
                <w:szCs w:val="20"/>
              </w:rPr>
            </w:pPr>
            <w:r w:rsidRPr="006E1643">
              <w:rPr>
                <w:sz w:val="20"/>
                <w:szCs w:val="20"/>
              </w:rPr>
              <w:t>Durbin-Watson</w:t>
            </w:r>
          </w:p>
        </w:tc>
      </w:tr>
      <w:tr w:rsidR="00A93D73" w:rsidRPr="006E1643" w14:paraId="4B9854E8" w14:textId="77777777" w:rsidTr="008C6547">
        <w:trPr>
          <w:cantSplit/>
        </w:trPr>
        <w:tc>
          <w:tcPr>
            <w:tcW w:w="401" w:type="pct"/>
            <w:vMerge/>
            <w:shd w:val="clear" w:color="auto" w:fill="FFFFFF"/>
          </w:tcPr>
          <w:p w14:paraId="1762FFA4" w14:textId="77777777" w:rsidR="00A93D73" w:rsidRPr="006E1643" w:rsidRDefault="00A93D73" w:rsidP="00A93D73">
            <w:pPr>
              <w:spacing w:line="276" w:lineRule="auto"/>
              <w:ind w:firstLine="0"/>
              <w:jc w:val="center"/>
              <w:rPr>
                <w:sz w:val="20"/>
                <w:szCs w:val="20"/>
              </w:rPr>
            </w:pPr>
          </w:p>
        </w:tc>
        <w:tc>
          <w:tcPr>
            <w:tcW w:w="367" w:type="pct"/>
            <w:vMerge/>
            <w:shd w:val="clear" w:color="auto" w:fill="FFFFFF"/>
          </w:tcPr>
          <w:p w14:paraId="4BF601F5" w14:textId="77777777" w:rsidR="00A93D73" w:rsidRPr="006E1643" w:rsidRDefault="00A93D73" w:rsidP="00A93D73">
            <w:pPr>
              <w:spacing w:line="276" w:lineRule="auto"/>
              <w:ind w:firstLine="0"/>
              <w:jc w:val="center"/>
              <w:rPr>
                <w:sz w:val="20"/>
                <w:szCs w:val="20"/>
              </w:rPr>
            </w:pPr>
          </w:p>
        </w:tc>
        <w:tc>
          <w:tcPr>
            <w:tcW w:w="390" w:type="pct"/>
            <w:vMerge/>
            <w:shd w:val="clear" w:color="auto" w:fill="FFFFFF"/>
          </w:tcPr>
          <w:p w14:paraId="37B5E381" w14:textId="77777777" w:rsidR="00A93D73" w:rsidRPr="006E1643" w:rsidRDefault="00A93D73" w:rsidP="00A93D73">
            <w:pPr>
              <w:spacing w:line="276" w:lineRule="auto"/>
              <w:ind w:firstLine="0"/>
              <w:jc w:val="center"/>
              <w:rPr>
                <w:sz w:val="20"/>
                <w:szCs w:val="20"/>
              </w:rPr>
            </w:pPr>
          </w:p>
        </w:tc>
        <w:tc>
          <w:tcPr>
            <w:tcW w:w="539" w:type="pct"/>
            <w:vMerge/>
            <w:shd w:val="clear" w:color="auto" w:fill="FFFFFF"/>
          </w:tcPr>
          <w:p w14:paraId="57E59AFD" w14:textId="77777777" w:rsidR="00A93D73" w:rsidRPr="006E1643" w:rsidRDefault="00A93D73" w:rsidP="00A93D73">
            <w:pPr>
              <w:spacing w:line="276" w:lineRule="auto"/>
              <w:ind w:firstLine="0"/>
              <w:jc w:val="center"/>
              <w:rPr>
                <w:sz w:val="20"/>
                <w:szCs w:val="20"/>
              </w:rPr>
            </w:pPr>
          </w:p>
        </w:tc>
        <w:tc>
          <w:tcPr>
            <w:tcW w:w="540" w:type="pct"/>
            <w:vMerge/>
            <w:shd w:val="clear" w:color="auto" w:fill="FFFFFF"/>
          </w:tcPr>
          <w:p w14:paraId="1E77AE8F" w14:textId="77777777" w:rsidR="00A93D73" w:rsidRPr="006E1643" w:rsidRDefault="00A93D73" w:rsidP="00A93D73">
            <w:pPr>
              <w:spacing w:line="276" w:lineRule="auto"/>
              <w:ind w:firstLine="0"/>
              <w:jc w:val="center"/>
              <w:rPr>
                <w:sz w:val="20"/>
                <w:szCs w:val="20"/>
              </w:rPr>
            </w:pPr>
          </w:p>
        </w:tc>
        <w:tc>
          <w:tcPr>
            <w:tcW w:w="540" w:type="pct"/>
            <w:shd w:val="clear" w:color="auto" w:fill="FFFFFF"/>
          </w:tcPr>
          <w:p w14:paraId="707064D6" w14:textId="77777777" w:rsidR="00A93D73" w:rsidRPr="006E1643" w:rsidRDefault="00A93D73" w:rsidP="00A93D73">
            <w:pPr>
              <w:spacing w:line="276" w:lineRule="auto"/>
              <w:ind w:firstLine="0"/>
              <w:jc w:val="center"/>
              <w:rPr>
                <w:sz w:val="20"/>
                <w:szCs w:val="20"/>
              </w:rPr>
            </w:pPr>
            <w:r w:rsidRPr="006E1643">
              <w:rPr>
                <w:sz w:val="20"/>
                <w:szCs w:val="20"/>
              </w:rPr>
              <w:t>R Square Change</w:t>
            </w:r>
          </w:p>
        </w:tc>
        <w:tc>
          <w:tcPr>
            <w:tcW w:w="405" w:type="pct"/>
            <w:shd w:val="clear" w:color="auto" w:fill="FFFFFF"/>
          </w:tcPr>
          <w:p w14:paraId="22D94B1F" w14:textId="77777777" w:rsidR="00A93D73" w:rsidRPr="006E1643" w:rsidRDefault="00A93D73" w:rsidP="00A93D73">
            <w:pPr>
              <w:spacing w:line="276" w:lineRule="auto"/>
              <w:ind w:firstLine="0"/>
              <w:jc w:val="center"/>
              <w:rPr>
                <w:sz w:val="20"/>
                <w:szCs w:val="20"/>
              </w:rPr>
            </w:pPr>
            <w:r w:rsidRPr="006E1643">
              <w:rPr>
                <w:sz w:val="20"/>
                <w:szCs w:val="20"/>
              </w:rPr>
              <w:t>F Change</w:t>
            </w:r>
          </w:p>
        </w:tc>
        <w:tc>
          <w:tcPr>
            <w:tcW w:w="368" w:type="pct"/>
            <w:shd w:val="clear" w:color="auto" w:fill="FFFFFF"/>
          </w:tcPr>
          <w:p w14:paraId="0523B4F7" w14:textId="77777777" w:rsidR="00A93D73" w:rsidRPr="006E1643" w:rsidRDefault="00A93D73" w:rsidP="00A93D73">
            <w:pPr>
              <w:spacing w:line="276" w:lineRule="auto"/>
              <w:ind w:firstLine="0"/>
              <w:jc w:val="center"/>
              <w:rPr>
                <w:sz w:val="20"/>
                <w:szCs w:val="20"/>
              </w:rPr>
            </w:pPr>
            <w:r w:rsidRPr="006E1643">
              <w:rPr>
                <w:sz w:val="20"/>
                <w:szCs w:val="20"/>
              </w:rPr>
              <w:t>df1</w:t>
            </w:r>
          </w:p>
        </w:tc>
        <w:tc>
          <w:tcPr>
            <w:tcW w:w="368" w:type="pct"/>
            <w:shd w:val="clear" w:color="auto" w:fill="FFFFFF"/>
          </w:tcPr>
          <w:p w14:paraId="45E20CE5" w14:textId="77777777" w:rsidR="00A93D73" w:rsidRPr="006E1643" w:rsidRDefault="00A93D73" w:rsidP="00A93D73">
            <w:pPr>
              <w:spacing w:line="276" w:lineRule="auto"/>
              <w:ind w:firstLine="0"/>
              <w:jc w:val="center"/>
              <w:rPr>
                <w:sz w:val="20"/>
                <w:szCs w:val="20"/>
              </w:rPr>
            </w:pPr>
            <w:r w:rsidRPr="006E1643">
              <w:rPr>
                <w:sz w:val="20"/>
                <w:szCs w:val="20"/>
              </w:rPr>
              <w:t>df2</w:t>
            </w:r>
          </w:p>
        </w:tc>
        <w:tc>
          <w:tcPr>
            <w:tcW w:w="541" w:type="pct"/>
            <w:shd w:val="clear" w:color="auto" w:fill="FFFFFF"/>
          </w:tcPr>
          <w:p w14:paraId="0C158AA1" w14:textId="77777777" w:rsidR="00A93D73" w:rsidRPr="006E1643" w:rsidRDefault="00A93D73" w:rsidP="00A93D73">
            <w:pPr>
              <w:spacing w:line="276" w:lineRule="auto"/>
              <w:ind w:firstLine="0"/>
              <w:jc w:val="center"/>
              <w:rPr>
                <w:sz w:val="20"/>
                <w:szCs w:val="20"/>
              </w:rPr>
            </w:pPr>
            <w:r w:rsidRPr="006E1643">
              <w:rPr>
                <w:sz w:val="20"/>
                <w:szCs w:val="20"/>
              </w:rPr>
              <w:t>Sig. F Change</w:t>
            </w:r>
          </w:p>
        </w:tc>
        <w:tc>
          <w:tcPr>
            <w:tcW w:w="541" w:type="pct"/>
            <w:vMerge/>
            <w:shd w:val="clear" w:color="auto" w:fill="FFFFFF"/>
          </w:tcPr>
          <w:p w14:paraId="3174095F" w14:textId="77777777" w:rsidR="00A93D73" w:rsidRPr="006E1643" w:rsidRDefault="00A93D73" w:rsidP="00A93D73">
            <w:pPr>
              <w:spacing w:line="276" w:lineRule="auto"/>
              <w:ind w:firstLine="0"/>
              <w:jc w:val="center"/>
              <w:rPr>
                <w:sz w:val="20"/>
                <w:szCs w:val="20"/>
              </w:rPr>
            </w:pPr>
          </w:p>
        </w:tc>
      </w:tr>
      <w:tr w:rsidR="00A93D73" w:rsidRPr="006E1643" w14:paraId="7A50F8C3" w14:textId="77777777" w:rsidTr="008C6547">
        <w:trPr>
          <w:cantSplit/>
        </w:trPr>
        <w:tc>
          <w:tcPr>
            <w:tcW w:w="401" w:type="pct"/>
            <w:shd w:val="clear" w:color="auto" w:fill="FFFFFF"/>
            <w:vAlign w:val="center"/>
          </w:tcPr>
          <w:p w14:paraId="2DFE287E" w14:textId="77777777" w:rsidR="00A93D73" w:rsidRPr="006E1643" w:rsidRDefault="00A93D73" w:rsidP="00A93D73">
            <w:pPr>
              <w:spacing w:line="276" w:lineRule="auto"/>
              <w:ind w:firstLine="0"/>
              <w:jc w:val="center"/>
              <w:rPr>
                <w:sz w:val="20"/>
                <w:szCs w:val="20"/>
              </w:rPr>
            </w:pPr>
            <w:r w:rsidRPr="006E1643">
              <w:rPr>
                <w:sz w:val="20"/>
                <w:szCs w:val="20"/>
              </w:rPr>
              <w:t>2016</w:t>
            </w:r>
          </w:p>
        </w:tc>
        <w:tc>
          <w:tcPr>
            <w:tcW w:w="367" w:type="pct"/>
            <w:shd w:val="clear" w:color="auto" w:fill="FFFFFF"/>
            <w:vAlign w:val="center"/>
          </w:tcPr>
          <w:p w14:paraId="0A6425F2" w14:textId="77777777" w:rsidR="00A93D73" w:rsidRPr="006E1643" w:rsidRDefault="00A93D73" w:rsidP="00A93D73">
            <w:pPr>
              <w:spacing w:line="276" w:lineRule="auto"/>
              <w:ind w:firstLine="0"/>
              <w:jc w:val="center"/>
              <w:rPr>
                <w:sz w:val="20"/>
                <w:szCs w:val="20"/>
              </w:rPr>
            </w:pPr>
            <w:r w:rsidRPr="006E1643">
              <w:rPr>
                <w:sz w:val="20"/>
                <w:szCs w:val="20"/>
              </w:rPr>
              <w:t>,460</w:t>
            </w:r>
            <w:r w:rsidRPr="006E1643">
              <w:rPr>
                <w:sz w:val="20"/>
                <w:szCs w:val="20"/>
                <w:vertAlign w:val="superscript"/>
              </w:rPr>
              <w:t>a</w:t>
            </w:r>
          </w:p>
        </w:tc>
        <w:tc>
          <w:tcPr>
            <w:tcW w:w="390" w:type="pct"/>
            <w:shd w:val="clear" w:color="auto" w:fill="FFFFFF"/>
            <w:vAlign w:val="center"/>
          </w:tcPr>
          <w:p w14:paraId="3F1062EC" w14:textId="77777777" w:rsidR="00A93D73" w:rsidRPr="006E1643" w:rsidRDefault="00A93D73" w:rsidP="00A93D73">
            <w:pPr>
              <w:spacing w:line="276" w:lineRule="auto"/>
              <w:ind w:firstLine="0"/>
              <w:jc w:val="center"/>
              <w:rPr>
                <w:sz w:val="20"/>
                <w:szCs w:val="20"/>
              </w:rPr>
            </w:pPr>
            <w:r w:rsidRPr="006E1643">
              <w:rPr>
                <w:sz w:val="20"/>
                <w:szCs w:val="20"/>
              </w:rPr>
              <w:t>,212</w:t>
            </w:r>
          </w:p>
        </w:tc>
        <w:tc>
          <w:tcPr>
            <w:tcW w:w="539" w:type="pct"/>
            <w:shd w:val="clear" w:color="auto" w:fill="FFFFFF"/>
            <w:vAlign w:val="center"/>
          </w:tcPr>
          <w:p w14:paraId="72AFBF70" w14:textId="77777777" w:rsidR="00A93D73" w:rsidRPr="006E1643" w:rsidRDefault="00A93D73" w:rsidP="00A93D73">
            <w:pPr>
              <w:spacing w:line="276" w:lineRule="auto"/>
              <w:ind w:firstLine="0"/>
              <w:jc w:val="center"/>
              <w:rPr>
                <w:sz w:val="20"/>
                <w:szCs w:val="20"/>
              </w:rPr>
            </w:pPr>
            <w:r w:rsidRPr="006E1643">
              <w:rPr>
                <w:sz w:val="20"/>
                <w:szCs w:val="20"/>
              </w:rPr>
              <w:t>,198</w:t>
            </w:r>
          </w:p>
        </w:tc>
        <w:tc>
          <w:tcPr>
            <w:tcW w:w="540" w:type="pct"/>
            <w:shd w:val="clear" w:color="auto" w:fill="FFFFFF"/>
            <w:vAlign w:val="center"/>
          </w:tcPr>
          <w:p w14:paraId="5B50255F" w14:textId="77777777" w:rsidR="00A93D73" w:rsidRPr="006E1643" w:rsidRDefault="00A93D73" w:rsidP="00A93D73">
            <w:pPr>
              <w:spacing w:line="276" w:lineRule="auto"/>
              <w:ind w:firstLine="0"/>
              <w:jc w:val="center"/>
              <w:rPr>
                <w:sz w:val="20"/>
                <w:szCs w:val="20"/>
              </w:rPr>
            </w:pPr>
            <w:r w:rsidRPr="006E1643">
              <w:rPr>
                <w:sz w:val="20"/>
                <w:szCs w:val="20"/>
              </w:rPr>
              <w:t>1,193566</w:t>
            </w:r>
          </w:p>
        </w:tc>
        <w:tc>
          <w:tcPr>
            <w:tcW w:w="540" w:type="pct"/>
            <w:shd w:val="clear" w:color="auto" w:fill="FFFFFF"/>
            <w:vAlign w:val="center"/>
          </w:tcPr>
          <w:p w14:paraId="2CB686C1" w14:textId="77777777" w:rsidR="00A93D73" w:rsidRPr="006E1643" w:rsidRDefault="00A93D73" w:rsidP="00A93D73">
            <w:pPr>
              <w:spacing w:line="276" w:lineRule="auto"/>
              <w:ind w:firstLine="0"/>
              <w:jc w:val="center"/>
              <w:rPr>
                <w:sz w:val="20"/>
                <w:szCs w:val="20"/>
              </w:rPr>
            </w:pPr>
            <w:r w:rsidRPr="006E1643">
              <w:rPr>
                <w:sz w:val="20"/>
                <w:szCs w:val="20"/>
              </w:rPr>
              <w:t>,212</w:t>
            </w:r>
          </w:p>
        </w:tc>
        <w:tc>
          <w:tcPr>
            <w:tcW w:w="405" w:type="pct"/>
            <w:shd w:val="clear" w:color="auto" w:fill="FFFFFF"/>
            <w:vAlign w:val="center"/>
          </w:tcPr>
          <w:p w14:paraId="715C5A66" w14:textId="77777777" w:rsidR="00A93D73" w:rsidRPr="006E1643" w:rsidRDefault="00A93D73" w:rsidP="00A93D73">
            <w:pPr>
              <w:spacing w:line="276" w:lineRule="auto"/>
              <w:ind w:firstLine="0"/>
              <w:jc w:val="center"/>
              <w:rPr>
                <w:sz w:val="20"/>
                <w:szCs w:val="20"/>
              </w:rPr>
            </w:pPr>
            <w:r w:rsidRPr="006E1643">
              <w:rPr>
                <w:sz w:val="20"/>
                <w:szCs w:val="20"/>
              </w:rPr>
              <w:t>15,038</w:t>
            </w:r>
          </w:p>
        </w:tc>
        <w:tc>
          <w:tcPr>
            <w:tcW w:w="368" w:type="pct"/>
            <w:shd w:val="clear" w:color="auto" w:fill="FFFFFF"/>
            <w:vAlign w:val="center"/>
          </w:tcPr>
          <w:p w14:paraId="7F04F569" w14:textId="77777777" w:rsidR="00A93D73" w:rsidRPr="006E1643" w:rsidRDefault="00A93D73" w:rsidP="00A93D73">
            <w:pPr>
              <w:spacing w:line="276" w:lineRule="auto"/>
              <w:ind w:firstLine="0"/>
              <w:jc w:val="center"/>
              <w:rPr>
                <w:sz w:val="20"/>
                <w:szCs w:val="20"/>
              </w:rPr>
            </w:pPr>
            <w:r w:rsidRPr="006E1643">
              <w:rPr>
                <w:sz w:val="20"/>
                <w:szCs w:val="20"/>
              </w:rPr>
              <w:t>1</w:t>
            </w:r>
          </w:p>
        </w:tc>
        <w:tc>
          <w:tcPr>
            <w:tcW w:w="368" w:type="pct"/>
            <w:shd w:val="clear" w:color="auto" w:fill="FFFFFF"/>
            <w:vAlign w:val="center"/>
          </w:tcPr>
          <w:p w14:paraId="7C47AECF" w14:textId="77777777" w:rsidR="00A93D73" w:rsidRPr="006E1643" w:rsidRDefault="00A93D73" w:rsidP="00A93D73">
            <w:pPr>
              <w:spacing w:line="276" w:lineRule="auto"/>
              <w:ind w:firstLine="0"/>
              <w:jc w:val="center"/>
              <w:rPr>
                <w:sz w:val="20"/>
                <w:szCs w:val="20"/>
              </w:rPr>
            </w:pPr>
            <w:r w:rsidRPr="006E1643">
              <w:rPr>
                <w:sz w:val="20"/>
                <w:szCs w:val="20"/>
              </w:rPr>
              <w:t>56</w:t>
            </w:r>
          </w:p>
        </w:tc>
        <w:tc>
          <w:tcPr>
            <w:tcW w:w="541" w:type="pct"/>
            <w:shd w:val="clear" w:color="auto" w:fill="FFFFFF"/>
            <w:vAlign w:val="center"/>
          </w:tcPr>
          <w:p w14:paraId="650A2A2B" w14:textId="77777777" w:rsidR="00A93D73" w:rsidRPr="006E1643" w:rsidRDefault="00A93D73" w:rsidP="00A93D73">
            <w:pPr>
              <w:spacing w:line="276" w:lineRule="auto"/>
              <w:ind w:firstLine="0"/>
              <w:jc w:val="center"/>
              <w:rPr>
                <w:sz w:val="20"/>
                <w:szCs w:val="20"/>
              </w:rPr>
            </w:pPr>
            <w:r w:rsidRPr="006E1643">
              <w:rPr>
                <w:sz w:val="20"/>
                <w:szCs w:val="20"/>
              </w:rPr>
              <w:t>,000</w:t>
            </w:r>
          </w:p>
        </w:tc>
        <w:tc>
          <w:tcPr>
            <w:tcW w:w="541" w:type="pct"/>
            <w:shd w:val="clear" w:color="auto" w:fill="FFFFFF"/>
            <w:vAlign w:val="center"/>
          </w:tcPr>
          <w:p w14:paraId="52008DE9" w14:textId="77777777" w:rsidR="00A93D73" w:rsidRPr="006E1643" w:rsidRDefault="00A93D73" w:rsidP="00A93D73">
            <w:pPr>
              <w:spacing w:line="276" w:lineRule="auto"/>
              <w:ind w:firstLine="0"/>
              <w:jc w:val="center"/>
              <w:rPr>
                <w:sz w:val="20"/>
                <w:szCs w:val="20"/>
              </w:rPr>
            </w:pPr>
            <w:r w:rsidRPr="006E1643">
              <w:rPr>
                <w:sz w:val="20"/>
                <w:szCs w:val="20"/>
              </w:rPr>
              <w:t>1,992</w:t>
            </w:r>
          </w:p>
        </w:tc>
      </w:tr>
      <w:tr w:rsidR="00A93D73" w:rsidRPr="006E1643" w14:paraId="12C01033" w14:textId="77777777" w:rsidTr="008C6547">
        <w:trPr>
          <w:cantSplit/>
        </w:trPr>
        <w:tc>
          <w:tcPr>
            <w:tcW w:w="5000" w:type="pct"/>
            <w:gridSpan w:val="11"/>
            <w:shd w:val="clear" w:color="auto" w:fill="FFFFFF"/>
          </w:tcPr>
          <w:p w14:paraId="0F6437DF" w14:textId="77777777" w:rsidR="00A93D73" w:rsidRPr="006E1643" w:rsidRDefault="00A93D73" w:rsidP="00E01127">
            <w:pPr>
              <w:spacing w:line="276" w:lineRule="auto"/>
              <w:ind w:firstLine="0"/>
              <w:rPr>
                <w:sz w:val="20"/>
                <w:szCs w:val="20"/>
              </w:rPr>
            </w:pPr>
            <w:r w:rsidRPr="006E1643">
              <w:rPr>
                <w:sz w:val="20"/>
                <w:szCs w:val="20"/>
              </w:rPr>
              <w:t>a. Predictors: (Constant), Var.IMPAT2016</w:t>
            </w:r>
          </w:p>
        </w:tc>
      </w:tr>
      <w:tr w:rsidR="00A93D73" w:rsidRPr="006E1643" w14:paraId="6CA18E93" w14:textId="77777777" w:rsidTr="008C6547">
        <w:trPr>
          <w:cantSplit/>
        </w:trPr>
        <w:tc>
          <w:tcPr>
            <w:tcW w:w="5000" w:type="pct"/>
            <w:gridSpan w:val="11"/>
            <w:shd w:val="clear" w:color="auto" w:fill="FFFFFF"/>
          </w:tcPr>
          <w:p w14:paraId="6D3A321E" w14:textId="77777777" w:rsidR="00A93D73" w:rsidRPr="006E1643" w:rsidRDefault="00A93D73" w:rsidP="00E01127">
            <w:pPr>
              <w:spacing w:line="276" w:lineRule="auto"/>
              <w:ind w:firstLine="0"/>
              <w:rPr>
                <w:sz w:val="20"/>
                <w:szCs w:val="20"/>
              </w:rPr>
            </w:pPr>
            <w:r w:rsidRPr="006E1643">
              <w:rPr>
                <w:sz w:val="20"/>
                <w:szCs w:val="20"/>
              </w:rPr>
              <w:t>b. Dependent Variable: Var.CAAT2016</w:t>
            </w:r>
          </w:p>
        </w:tc>
      </w:tr>
    </w:tbl>
    <w:p w14:paraId="0CE789FA" w14:textId="77777777" w:rsidR="00A93D73" w:rsidRPr="006E1643" w:rsidRDefault="00A93D73" w:rsidP="00D27DA3">
      <w:pPr>
        <w:spacing w:line="276" w:lineRule="auto"/>
        <w:ind w:firstLine="0"/>
        <w:jc w:val="center"/>
        <w:rPr>
          <w:sz w:val="20"/>
          <w:szCs w:val="20"/>
        </w:rPr>
      </w:pPr>
      <w:r w:rsidRPr="006E1643">
        <w:rPr>
          <w:b/>
          <w:sz w:val="20"/>
          <w:szCs w:val="20"/>
        </w:rPr>
        <w:t>Sursa</w:t>
      </w:r>
      <w:r w:rsidRPr="006E1643">
        <w:rPr>
          <w:sz w:val="20"/>
          <w:szCs w:val="20"/>
        </w:rPr>
        <w:t>: prelucrare proprie în SPSS</w:t>
      </w:r>
    </w:p>
    <w:p w14:paraId="29A4F6F1" w14:textId="77777777" w:rsidR="00A93D73" w:rsidRPr="006E1643" w:rsidRDefault="00A93D73" w:rsidP="00E01127">
      <w:pPr>
        <w:spacing w:line="276" w:lineRule="auto"/>
        <w:ind w:firstLine="0"/>
        <w:rPr>
          <w:sz w:val="20"/>
          <w:szCs w:val="20"/>
        </w:rPr>
      </w:pPr>
    </w:p>
    <w:p w14:paraId="38A23B17" w14:textId="77777777" w:rsidR="00A93D73" w:rsidRDefault="00A56FA0" w:rsidP="00A56FA0">
      <w:pPr>
        <w:spacing w:line="276" w:lineRule="auto"/>
        <w:ind w:firstLine="708"/>
      </w:pPr>
      <w:r w:rsidRPr="00A56FA0">
        <w:t>C</w:t>
      </w:r>
      <w:r w:rsidR="00A93D73" w:rsidRPr="00A56FA0">
        <w:t xml:space="preserve">oeficientul de corelație este de 0,460, iar valoarea lui R pătrat de 0,212, ceea ce semnifică faptul că aproximativ 21,20% din variația mărimii surogat </w:t>
      </w:r>
      <w:r w:rsidR="00A93D73" w:rsidRPr="00A56FA0">
        <w:rPr>
          <w:i/>
        </w:rPr>
        <w:t>Contabilitate</w:t>
      </w:r>
      <w:r w:rsidR="00A93D73" w:rsidRPr="00A56FA0">
        <w:t>, este datorată valorii atribuite fiscalității, fiind prezisă în funcție de aceasta,o proporție mult mai mică decât cea din modelul general și ușor mai ridicată față de valoarea din anul precedent.</w:t>
      </w:r>
      <w:r w:rsidRPr="00A56FA0">
        <w:t xml:space="preserve"> </w:t>
      </w:r>
      <w:r w:rsidR="00A93D73" w:rsidRPr="00A56FA0">
        <w:t>Ecuația de regresie în acest caz a luat forma:</w:t>
      </w:r>
    </w:p>
    <w:p w14:paraId="42C1BC65" w14:textId="77777777" w:rsidR="004A7451" w:rsidRPr="00A56FA0" w:rsidRDefault="004A7451" w:rsidP="00A56FA0">
      <w:pPr>
        <w:spacing w:line="276" w:lineRule="auto"/>
        <w:ind w:firstLine="708"/>
      </w:pPr>
    </w:p>
    <w:tbl>
      <w:tblPr>
        <w:tblW w:w="0" w:type="auto"/>
        <w:jc w:val="center"/>
        <w:tblLook w:val="04A0" w:firstRow="1" w:lastRow="0" w:firstColumn="1" w:lastColumn="0" w:noHBand="0" w:noVBand="1"/>
      </w:tblPr>
      <w:tblGrid>
        <w:gridCol w:w="700"/>
        <w:gridCol w:w="6898"/>
        <w:gridCol w:w="566"/>
      </w:tblGrid>
      <w:tr w:rsidR="00A93D73" w:rsidRPr="006E1643" w14:paraId="2C1CB66C" w14:textId="77777777" w:rsidTr="00D27DA3">
        <w:trPr>
          <w:jc w:val="center"/>
        </w:trPr>
        <w:tc>
          <w:tcPr>
            <w:tcW w:w="700" w:type="dxa"/>
            <w:vAlign w:val="center"/>
          </w:tcPr>
          <w:p w14:paraId="1D653CC5" w14:textId="77777777" w:rsidR="00A93D73" w:rsidRPr="006E1643" w:rsidRDefault="00A93D73" w:rsidP="00E01127">
            <w:pPr>
              <w:spacing w:line="276" w:lineRule="auto"/>
              <w:ind w:firstLine="0"/>
              <w:rPr>
                <w:sz w:val="20"/>
                <w:szCs w:val="20"/>
              </w:rPr>
            </w:pPr>
          </w:p>
        </w:tc>
        <w:tc>
          <w:tcPr>
            <w:tcW w:w="6898" w:type="dxa"/>
            <w:vAlign w:val="center"/>
          </w:tcPr>
          <w:p w14:paraId="4FD90F62" w14:textId="77777777" w:rsidR="00A93D73" w:rsidRPr="006E1643" w:rsidRDefault="00A93D73" w:rsidP="00E01127">
            <w:pPr>
              <w:spacing w:line="276" w:lineRule="auto"/>
              <w:ind w:firstLine="0"/>
              <w:rPr>
                <w:sz w:val="20"/>
                <w:szCs w:val="20"/>
              </w:rPr>
            </w:pPr>
            <m:oMathPara>
              <m:oMath>
                <m:r>
                  <w:rPr>
                    <w:rFonts w:ascii="Cambria Math" w:hAnsi="Cambria Math"/>
                    <w:sz w:val="20"/>
                    <w:szCs w:val="20"/>
                  </w:rPr>
                  <m:t>y=0,608+29,947x</m:t>
                </m:r>
              </m:oMath>
            </m:oMathPara>
          </w:p>
        </w:tc>
        <w:tc>
          <w:tcPr>
            <w:tcW w:w="566" w:type="dxa"/>
            <w:vAlign w:val="center"/>
          </w:tcPr>
          <w:p w14:paraId="552FF6D2" w14:textId="77777777" w:rsidR="00A93D73" w:rsidRPr="006E1643" w:rsidRDefault="00A93D73" w:rsidP="00E01127">
            <w:pPr>
              <w:spacing w:line="276" w:lineRule="auto"/>
              <w:ind w:firstLine="0"/>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6</w:t>
            </w:r>
            <w:r w:rsidR="00014929" w:rsidRPr="006E1643">
              <w:rPr>
                <w:sz w:val="20"/>
                <w:szCs w:val="20"/>
              </w:rPr>
              <w:fldChar w:fldCharType="end"/>
            </w:r>
            <w:r w:rsidRPr="006E1643">
              <w:rPr>
                <w:sz w:val="20"/>
                <w:szCs w:val="20"/>
              </w:rPr>
              <w:t>)</w:t>
            </w:r>
          </w:p>
        </w:tc>
      </w:tr>
    </w:tbl>
    <w:p w14:paraId="648F28CB" w14:textId="77777777" w:rsidR="00A93D73" w:rsidRPr="006E1643" w:rsidRDefault="00A93D73" w:rsidP="00A93D73">
      <w:pPr>
        <w:spacing w:line="276" w:lineRule="auto"/>
        <w:ind w:firstLine="0"/>
        <w:jc w:val="center"/>
        <w:rPr>
          <w:sz w:val="20"/>
          <w:szCs w:val="20"/>
        </w:rPr>
      </w:pPr>
    </w:p>
    <w:p w14:paraId="631CF299" w14:textId="77777777" w:rsidR="00A56FA0" w:rsidRDefault="00A56FA0" w:rsidP="00A56FA0">
      <w:pPr>
        <w:pStyle w:val="ListParagraph"/>
        <w:numPr>
          <w:ilvl w:val="0"/>
          <w:numId w:val="9"/>
        </w:numPr>
        <w:spacing w:line="276" w:lineRule="auto"/>
        <w:ind w:left="993" w:hanging="284"/>
      </w:pPr>
      <w:r>
        <w:t>Pentru anul</w:t>
      </w:r>
      <w:r w:rsidRPr="00BE1DA0">
        <w:t xml:space="preserve"> </w:t>
      </w:r>
      <w:r w:rsidRPr="00BE1DA0">
        <w:rPr>
          <w:b/>
        </w:rPr>
        <w:t>201</w:t>
      </w:r>
      <w:r>
        <w:rPr>
          <w:b/>
        </w:rPr>
        <w:t>7</w:t>
      </w:r>
      <w:r w:rsidRPr="00BE1DA0">
        <w:t xml:space="preserve"> </w:t>
      </w:r>
      <w:r>
        <w:t>a rezultat modelul prezentat în</w:t>
      </w:r>
      <w:r w:rsidRPr="00BE1DA0">
        <w:t xml:space="preserve"> (Tabe</w:t>
      </w:r>
      <w:r>
        <w:t>lul</w:t>
      </w:r>
      <w:r w:rsidRPr="00BE1DA0">
        <w:t xml:space="preserve"> n</w:t>
      </w:r>
      <w:r>
        <w:t>r. 5)</w:t>
      </w:r>
      <w:r w:rsidRPr="00BE1DA0">
        <w:t>:</w:t>
      </w:r>
    </w:p>
    <w:p w14:paraId="6893C546" w14:textId="77777777" w:rsidR="00A56FA0" w:rsidRPr="00BE1DA0" w:rsidRDefault="00A56FA0" w:rsidP="00A56FA0">
      <w:pPr>
        <w:pStyle w:val="ListParagraph"/>
        <w:spacing w:line="276" w:lineRule="auto"/>
        <w:ind w:left="993" w:firstLine="0"/>
      </w:pPr>
    </w:p>
    <w:p w14:paraId="08040BA3" w14:textId="57232CB2" w:rsidR="00A93D73" w:rsidRPr="00867EC1" w:rsidRDefault="00A93D73" w:rsidP="00A93D73">
      <w:pPr>
        <w:spacing w:line="276" w:lineRule="auto"/>
        <w:ind w:firstLine="0"/>
        <w:jc w:val="center"/>
        <w:rPr>
          <w:b/>
        </w:rPr>
      </w:pPr>
      <w:bookmarkStart w:id="11" w:name="_Toc72492486"/>
      <w:r w:rsidRPr="00A56FA0">
        <w:rPr>
          <w:b/>
          <w:bCs/>
        </w:rPr>
        <w:t xml:space="preserve">Tabelul nr. </w:t>
      </w:r>
      <w:r w:rsidR="00014929" w:rsidRPr="00A56FA0">
        <w:rPr>
          <w:b/>
          <w:bCs/>
        </w:rPr>
        <w:fldChar w:fldCharType="begin"/>
      </w:r>
      <w:r w:rsidRPr="00A56FA0">
        <w:rPr>
          <w:b/>
          <w:bCs/>
        </w:rPr>
        <w:instrText xml:space="preserve"> SEQ Tabel \* ARABIC </w:instrText>
      </w:r>
      <w:r w:rsidR="00014929" w:rsidRPr="00A56FA0">
        <w:rPr>
          <w:b/>
          <w:bCs/>
        </w:rPr>
        <w:fldChar w:fldCharType="separate"/>
      </w:r>
      <w:r w:rsidR="00D27DA3" w:rsidRPr="00A56FA0">
        <w:rPr>
          <w:b/>
          <w:bCs/>
          <w:noProof/>
        </w:rPr>
        <w:t>5</w:t>
      </w:r>
      <w:r w:rsidR="00014929" w:rsidRPr="00A56FA0">
        <w:fldChar w:fldCharType="end"/>
      </w:r>
      <w:r w:rsidR="00867EC1">
        <w:t>.</w:t>
      </w:r>
      <w:r w:rsidRPr="00867EC1">
        <w:rPr>
          <w:b/>
        </w:rPr>
        <w:t xml:space="preserve"> Rezumatul modelului de regresie pentru anul 2017</w:t>
      </w:r>
      <w:bookmarkEnd w:id="11"/>
    </w:p>
    <w:p w14:paraId="1E3F33B3" w14:textId="77777777" w:rsidR="00A56FA0" w:rsidRPr="00A56FA0" w:rsidRDefault="00A56FA0" w:rsidP="00A93D73">
      <w:pPr>
        <w:spacing w:line="276" w:lineRule="auto"/>
        <w:ind w:firstLine="0"/>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2"/>
        <w:gridCol w:w="706"/>
        <w:gridCol w:w="750"/>
        <w:gridCol w:w="1037"/>
        <w:gridCol w:w="1039"/>
        <w:gridCol w:w="1039"/>
        <w:gridCol w:w="779"/>
        <w:gridCol w:w="708"/>
        <w:gridCol w:w="708"/>
        <w:gridCol w:w="1041"/>
        <w:gridCol w:w="1041"/>
      </w:tblGrid>
      <w:tr w:rsidR="00A93D73" w:rsidRPr="006E1643" w14:paraId="4D498CA7" w14:textId="77777777" w:rsidTr="008C6547">
        <w:trPr>
          <w:cantSplit/>
        </w:trPr>
        <w:tc>
          <w:tcPr>
            <w:tcW w:w="5000" w:type="pct"/>
            <w:gridSpan w:val="11"/>
            <w:shd w:val="clear" w:color="auto" w:fill="FFFFFF"/>
          </w:tcPr>
          <w:p w14:paraId="79AF1870" w14:textId="77777777" w:rsidR="00A93D73" w:rsidRPr="006E1643" w:rsidRDefault="00A93D73" w:rsidP="00A93D73">
            <w:pPr>
              <w:spacing w:line="276" w:lineRule="auto"/>
              <w:ind w:firstLine="0"/>
              <w:jc w:val="center"/>
              <w:rPr>
                <w:sz w:val="20"/>
                <w:szCs w:val="20"/>
              </w:rPr>
            </w:pPr>
            <w:r w:rsidRPr="006E1643">
              <w:rPr>
                <w:b/>
                <w:bCs/>
                <w:sz w:val="20"/>
                <w:szCs w:val="20"/>
              </w:rPr>
              <w:t>Model Summary</w:t>
            </w:r>
            <w:r w:rsidRPr="006E1643">
              <w:rPr>
                <w:b/>
                <w:bCs/>
                <w:sz w:val="20"/>
                <w:szCs w:val="20"/>
                <w:vertAlign w:val="superscript"/>
              </w:rPr>
              <w:t>b</w:t>
            </w:r>
          </w:p>
        </w:tc>
      </w:tr>
      <w:tr w:rsidR="00A93D73" w:rsidRPr="006E1643" w14:paraId="6A422212" w14:textId="77777777" w:rsidTr="008C6547">
        <w:trPr>
          <w:cantSplit/>
        </w:trPr>
        <w:tc>
          <w:tcPr>
            <w:tcW w:w="401" w:type="pct"/>
            <w:vMerge w:val="restart"/>
            <w:shd w:val="clear" w:color="auto" w:fill="FFFFFF"/>
          </w:tcPr>
          <w:p w14:paraId="19A5C833" w14:textId="77777777" w:rsidR="00A93D73" w:rsidRPr="006E1643" w:rsidRDefault="00A93D73" w:rsidP="00A93D73">
            <w:pPr>
              <w:spacing w:line="276" w:lineRule="auto"/>
              <w:ind w:firstLine="0"/>
              <w:jc w:val="center"/>
              <w:rPr>
                <w:sz w:val="20"/>
                <w:szCs w:val="20"/>
              </w:rPr>
            </w:pPr>
            <w:r w:rsidRPr="006E1643">
              <w:rPr>
                <w:sz w:val="20"/>
                <w:szCs w:val="20"/>
              </w:rPr>
              <w:t>Model</w:t>
            </w:r>
          </w:p>
        </w:tc>
        <w:tc>
          <w:tcPr>
            <w:tcW w:w="367" w:type="pct"/>
            <w:vMerge w:val="restart"/>
            <w:shd w:val="clear" w:color="auto" w:fill="FFFFFF"/>
          </w:tcPr>
          <w:p w14:paraId="07FE04BA" w14:textId="77777777" w:rsidR="00A93D73" w:rsidRPr="006E1643" w:rsidRDefault="00A93D73" w:rsidP="00A93D73">
            <w:pPr>
              <w:spacing w:line="276" w:lineRule="auto"/>
              <w:ind w:firstLine="0"/>
              <w:jc w:val="center"/>
              <w:rPr>
                <w:sz w:val="20"/>
                <w:szCs w:val="20"/>
              </w:rPr>
            </w:pPr>
            <w:r w:rsidRPr="006E1643">
              <w:rPr>
                <w:sz w:val="20"/>
                <w:szCs w:val="20"/>
              </w:rPr>
              <w:t>R</w:t>
            </w:r>
          </w:p>
        </w:tc>
        <w:tc>
          <w:tcPr>
            <w:tcW w:w="390" w:type="pct"/>
            <w:vMerge w:val="restart"/>
            <w:shd w:val="clear" w:color="auto" w:fill="FFFFFF"/>
          </w:tcPr>
          <w:p w14:paraId="37080FE3" w14:textId="77777777" w:rsidR="00A93D73" w:rsidRPr="006E1643" w:rsidRDefault="00A93D73" w:rsidP="00A93D73">
            <w:pPr>
              <w:spacing w:line="276" w:lineRule="auto"/>
              <w:ind w:firstLine="0"/>
              <w:jc w:val="center"/>
              <w:rPr>
                <w:sz w:val="20"/>
                <w:szCs w:val="20"/>
              </w:rPr>
            </w:pPr>
            <w:r w:rsidRPr="006E1643">
              <w:rPr>
                <w:sz w:val="20"/>
                <w:szCs w:val="20"/>
              </w:rPr>
              <w:t>R Square</w:t>
            </w:r>
          </w:p>
        </w:tc>
        <w:tc>
          <w:tcPr>
            <w:tcW w:w="539" w:type="pct"/>
            <w:vMerge w:val="restart"/>
            <w:shd w:val="clear" w:color="auto" w:fill="FFFFFF"/>
          </w:tcPr>
          <w:p w14:paraId="4B5659C5" w14:textId="77777777" w:rsidR="00A93D73" w:rsidRPr="006E1643" w:rsidRDefault="00A93D73" w:rsidP="00A93D73">
            <w:pPr>
              <w:spacing w:line="276" w:lineRule="auto"/>
              <w:ind w:firstLine="0"/>
              <w:jc w:val="center"/>
              <w:rPr>
                <w:sz w:val="20"/>
                <w:szCs w:val="20"/>
              </w:rPr>
            </w:pPr>
            <w:r w:rsidRPr="006E1643">
              <w:rPr>
                <w:sz w:val="20"/>
                <w:szCs w:val="20"/>
              </w:rPr>
              <w:t>Adjusted R Square</w:t>
            </w:r>
          </w:p>
        </w:tc>
        <w:tc>
          <w:tcPr>
            <w:tcW w:w="540" w:type="pct"/>
            <w:vMerge w:val="restart"/>
            <w:shd w:val="clear" w:color="auto" w:fill="FFFFFF"/>
          </w:tcPr>
          <w:p w14:paraId="4ABEC065" w14:textId="77777777" w:rsidR="00A93D73" w:rsidRPr="006E1643" w:rsidRDefault="00A93D73" w:rsidP="00A93D73">
            <w:pPr>
              <w:spacing w:line="276" w:lineRule="auto"/>
              <w:ind w:firstLine="0"/>
              <w:jc w:val="center"/>
              <w:rPr>
                <w:sz w:val="20"/>
                <w:szCs w:val="20"/>
              </w:rPr>
            </w:pPr>
            <w:r w:rsidRPr="006E1643">
              <w:rPr>
                <w:sz w:val="20"/>
                <w:szCs w:val="20"/>
              </w:rPr>
              <w:t>Std. Error of the Estimate</w:t>
            </w:r>
          </w:p>
        </w:tc>
        <w:tc>
          <w:tcPr>
            <w:tcW w:w="2222" w:type="pct"/>
            <w:gridSpan w:val="5"/>
            <w:shd w:val="clear" w:color="auto" w:fill="FFFFFF"/>
          </w:tcPr>
          <w:p w14:paraId="12E7B6C4" w14:textId="77777777" w:rsidR="00A93D73" w:rsidRPr="006E1643" w:rsidRDefault="00A93D73" w:rsidP="00A93D73">
            <w:pPr>
              <w:spacing w:line="276" w:lineRule="auto"/>
              <w:ind w:firstLine="0"/>
              <w:jc w:val="center"/>
              <w:rPr>
                <w:sz w:val="20"/>
                <w:szCs w:val="20"/>
              </w:rPr>
            </w:pPr>
            <w:r w:rsidRPr="006E1643">
              <w:rPr>
                <w:sz w:val="20"/>
                <w:szCs w:val="20"/>
              </w:rPr>
              <w:t>Change Statistics</w:t>
            </w:r>
          </w:p>
        </w:tc>
        <w:tc>
          <w:tcPr>
            <w:tcW w:w="541" w:type="pct"/>
            <w:vMerge w:val="restart"/>
            <w:shd w:val="clear" w:color="auto" w:fill="FFFFFF"/>
          </w:tcPr>
          <w:p w14:paraId="5E5B2909" w14:textId="77777777" w:rsidR="00A93D73" w:rsidRPr="006E1643" w:rsidRDefault="00A93D73" w:rsidP="00A93D73">
            <w:pPr>
              <w:spacing w:line="276" w:lineRule="auto"/>
              <w:ind w:firstLine="0"/>
              <w:jc w:val="center"/>
              <w:rPr>
                <w:sz w:val="20"/>
                <w:szCs w:val="20"/>
              </w:rPr>
            </w:pPr>
            <w:r w:rsidRPr="006E1643">
              <w:rPr>
                <w:sz w:val="20"/>
                <w:szCs w:val="20"/>
              </w:rPr>
              <w:t>Durbin-Watson</w:t>
            </w:r>
          </w:p>
        </w:tc>
      </w:tr>
      <w:tr w:rsidR="00A93D73" w:rsidRPr="006E1643" w14:paraId="1EB369D2" w14:textId="77777777" w:rsidTr="008C6547">
        <w:trPr>
          <w:cantSplit/>
        </w:trPr>
        <w:tc>
          <w:tcPr>
            <w:tcW w:w="401" w:type="pct"/>
            <w:vMerge/>
            <w:shd w:val="clear" w:color="auto" w:fill="FFFFFF"/>
          </w:tcPr>
          <w:p w14:paraId="06220AA6" w14:textId="77777777" w:rsidR="00A93D73" w:rsidRPr="006E1643" w:rsidRDefault="00A93D73" w:rsidP="00A93D73">
            <w:pPr>
              <w:spacing w:line="276" w:lineRule="auto"/>
              <w:ind w:firstLine="0"/>
              <w:jc w:val="center"/>
              <w:rPr>
                <w:sz w:val="20"/>
                <w:szCs w:val="20"/>
              </w:rPr>
            </w:pPr>
          </w:p>
        </w:tc>
        <w:tc>
          <w:tcPr>
            <w:tcW w:w="367" w:type="pct"/>
            <w:vMerge/>
            <w:shd w:val="clear" w:color="auto" w:fill="FFFFFF"/>
          </w:tcPr>
          <w:p w14:paraId="62FF2A51" w14:textId="77777777" w:rsidR="00A93D73" w:rsidRPr="006E1643" w:rsidRDefault="00A93D73" w:rsidP="00A93D73">
            <w:pPr>
              <w:spacing w:line="276" w:lineRule="auto"/>
              <w:ind w:firstLine="0"/>
              <w:jc w:val="center"/>
              <w:rPr>
                <w:sz w:val="20"/>
                <w:szCs w:val="20"/>
              </w:rPr>
            </w:pPr>
          </w:p>
        </w:tc>
        <w:tc>
          <w:tcPr>
            <w:tcW w:w="390" w:type="pct"/>
            <w:vMerge/>
            <w:shd w:val="clear" w:color="auto" w:fill="FFFFFF"/>
          </w:tcPr>
          <w:p w14:paraId="72073F1D" w14:textId="77777777" w:rsidR="00A93D73" w:rsidRPr="006E1643" w:rsidRDefault="00A93D73" w:rsidP="00A93D73">
            <w:pPr>
              <w:spacing w:line="276" w:lineRule="auto"/>
              <w:ind w:firstLine="0"/>
              <w:jc w:val="center"/>
              <w:rPr>
                <w:sz w:val="20"/>
                <w:szCs w:val="20"/>
              </w:rPr>
            </w:pPr>
          </w:p>
        </w:tc>
        <w:tc>
          <w:tcPr>
            <w:tcW w:w="539" w:type="pct"/>
            <w:vMerge/>
            <w:shd w:val="clear" w:color="auto" w:fill="FFFFFF"/>
          </w:tcPr>
          <w:p w14:paraId="1B0D25A3" w14:textId="77777777" w:rsidR="00A93D73" w:rsidRPr="006E1643" w:rsidRDefault="00A93D73" w:rsidP="00A93D73">
            <w:pPr>
              <w:spacing w:line="276" w:lineRule="auto"/>
              <w:ind w:firstLine="0"/>
              <w:jc w:val="center"/>
              <w:rPr>
                <w:sz w:val="20"/>
                <w:szCs w:val="20"/>
              </w:rPr>
            </w:pPr>
          </w:p>
        </w:tc>
        <w:tc>
          <w:tcPr>
            <w:tcW w:w="540" w:type="pct"/>
            <w:vMerge/>
            <w:shd w:val="clear" w:color="auto" w:fill="FFFFFF"/>
          </w:tcPr>
          <w:p w14:paraId="6269997B" w14:textId="77777777" w:rsidR="00A93D73" w:rsidRPr="006E1643" w:rsidRDefault="00A93D73" w:rsidP="00A93D73">
            <w:pPr>
              <w:spacing w:line="276" w:lineRule="auto"/>
              <w:ind w:firstLine="0"/>
              <w:jc w:val="center"/>
              <w:rPr>
                <w:sz w:val="20"/>
                <w:szCs w:val="20"/>
              </w:rPr>
            </w:pPr>
          </w:p>
        </w:tc>
        <w:tc>
          <w:tcPr>
            <w:tcW w:w="540" w:type="pct"/>
            <w:shd w:val="clear" w:color="auto" w:fill="FFFFFF"/>
          </w:tcPr>
          <w:p w14:paraId="0831F787" w14:textId="77777777" w:rsidR="00A93D73" w:rsidRPr="006E1643" w:rsidRDefault="00A93D73" w:rsidP="00A93D73">
            <w:pPr>
              <w:spacing w:line="276" w:lineRule="auto"/>
              <w:ind w:firstLine="0"/>
              <w:jc w:val="center"/>
              <w:rPr>
                <w:sz w:val="20"/>
                <w:szCs w:val="20"/>
              </w:rPr>
            </w:pPr>
            <w:r w:rsidRPr="006E1643">
              <w:rPr>
                <w:sz w:val="20"/>
                <w:szCs w:val="20"/>
              </w:rPr>
              <w:t>R Square Change</w:t>
            </w:r>
          </w:p>
        </w:tc>
        <w:tc>
          <w:tcPr>
            <w:tcW w:w="405" w:type="pct"/>
            <w:shd w:val="clear" w:color="auto" w:fill="FFFFFF"/>
          </w:tcPr>
          <w:p w14:paraId="7FF1A279" w14:textId="77777777" w:rsidR="00A93D73" w:rsidRPr="006E1643" w:rsidRDefault="00A93D73" w:rsidP="00A93D73">
            <w:pPr>
              <w:spacing w:line="276" w:lineRule="auto"/>
              <w:ind w:firstLine="0"/>
              <w:jc w:val="center"/>
              <w:rPr>
                <w:sz w:val="20"/>
                <w:szCs w:val="20"/>
              </w:rPr>
            </w:pPr>
            <w:r w:rsidRPr="006E1643">
              <w:rPr>
                <w:sz w:val="20"/>
                <w:szCs w:val="20"/>
              </w:rPr>
              <w:t>F Change</w:t>
            </w:r>
          </w:p>
        </w:tc>
        <w:tc>
          <w:tcPr>
            <w:tcW w:w="368" w:type="pct"/>
            <w:shd w:val="clear" w:color="auto" w:fill="FFFFFF"/>
          </w:tcPr>
          <w:p w14:paraId="73F2F124" w14:textId="77777777" w:rsidR="00A93D73" w:rsidRPr="006E1643" w:rsidRDefault="00A93D73" w:rsidP="00A93D73">
            <w:pPr>
              <w:spacing w:line="276" w:lineRule="auto"/>
              <w:ind w:firstLine="0"/>
              <w:jc w:val="center"/>
              <w:rPr>
                <w:sz w:val="20"/>
                <w:szCs w:val="20"/>
              </w:rPr>
            </w:pPr>
            <w:r w:rsidRPr="006E1643">
              <w:rPr>
                <w:sz w:val="20"/>
                <w:szCs w:val="20"/>
              </w:rPr>
              <w:t>df1</w:t>
            </w:r>
          </w:p>
        </w:tc>
        <w:tc>
          <w:tcPr>
            <w:tcW w:w="368" w:type="pct"/>
            <w:shd w:val="clear" w:color="auto" w:fill="FFFFFF"/>
          </w:tcPr>
          <w:p w14:paraId="4A19F594" w14:textId="77777777" w:rsidR="00A93D73" w:rsidRPr="006E1643" w:rsidRDefault="00A93D73" w:rsidP="00A93D73">
            <w:pPr>
              <w:spacing w:line="276" w:lineRule="auto"/>
              <w:ind w:firstLine="0"/>
              <w:jc w:val="center"/>
              <w:rPr>
                <w:sz w:val="20"/>
                <w:szCs w:val="20"/>
              </w:rPr>
            </w:pPr>
            <w:r w:rsidRPr="006E1643">
              <w:rPr>
                <w:sz w:val="20"/>
                <w:szCs w:val="20"/>
              </w:rPr>
              <w:t>df2</w:t>
            </w:r>
          </w:p>
        </w:tc>
        <w:tc>
          <w:tcPr>
            <w:tcW w:w="541" w:type="pct"/>
            <w:shd w:val="clear" w:color="auto" w:fill="FFFFFF"/>
          </w:tcPr>
          <w:p w14:paraId="60EF0036" w14:textId="77777777" w:rsidR="00A93D73" w:rsidRPr="006E1643" w:rsidRDefault="00A93D73" w:rsidP="00A93D73">
            <w:pPr>
              <w:spacing w:line="276" w:lineRule="auto"/>
              <w:ind w:firstLine="0"/>
              <w:jc w:val="center"/>
              <w:rPr>
                <w:sz w:val="20"/>
                <w:szCs w:val="20"/>
              </w:rPr>
            </w:pPr>
            <w:r w:rsidRPr="006E1643">
              <w:rPr>
                <w:sz w:val="20"/>
                <w:szCs w:val="20"/>
              </w:rPr>
              <w:t>Sig. F Change</w:t>
            </w:r>
          </w:p>
        </w:tc>
        <w:tc>
          <w:tcPr>
            <w:tcW w:w="541" w:type="pct"/>
            <w:vMerge/>
            <w:shd w:val="clear" w:color="auto" w:fill="FFFFFF"/>
          </w:tcPr>
          <w:p w14:paraId="4BE80277" w14:textId="77777777" w:rsidR="00A93D73" w:rsidRPr="006E1643" w:rsidRDefault="00A93D73" w:rsidP="00A93D73">
            <w:pPr>
              <w:spacing w:line="276" w:lineRule="auto"/>
              <w:ind w:firstLine="0"/>
              <w:jc w:val="center"/>
              <w:rPr>
                <w:sz w:val="20"/>
                <w:szCs w:val="20"/>
              </w:rPr>
            </w:pPr>
          </w:p>
        </w:tc>
      </w:tr>
      <w:tr w:rsidR="00A93D73" w:rsidRPr="006E1643" w14:paraId="3D9F7E9F" w14:textId="77777777" w:rsidTr="008C6547">
        <w:trPr>
          <w:cantSplit/>
        </w:trPr>
        <w:tc>
          <w:tcPr>
            <w:tcW w:w="401" w:type="pct"/>
            <w:shd w:val="clear" w:color="auto" w:fill="FFFFFF"/>
            <w:vAlign w:val="center"/>
          </w:tcPr>
          <w:p w14:paraId="63EF67EA" w14:textId="77777777" w:rsidR="00A93D73" w:rsidRPr="006E1643" w:rsidRDefault="00A93D73" w:rsidP="00A93D73">
            <w:pPr>
              <w:spacing w:line="276" w:lineRule="auto"/>
              <w:ind w:firstLine="0"/>
              <w:jc w:val="center"/>
              <w:rPr>
                <w:sz w:val="20"/>
                <w:szCs w:val="20"/>
              </w:rPr>
            </w:pPr>
            <w:r w:rsidRPr="006E1643">
              <w:rPr>
                <w:sz w:val="20"/>
                <w:szCs w:val="20"/>
              </w:rPr>
              <w:t>2017</w:t>
            </w:r>
          </w:p>
        </w:tc>
        <w:tc>
          <w:tcPr>
            <w:tcW w:w="367" w:type="pct"/>
            <w:shd w:val="clear" w:color="auto" w:fill="FFFFFF"/>
            <w:vAlign w:val="center"/>
          </w:tcPr>
          <w:p w14:paraId="727278E9" w14:textId="77777777" w:rsidR="00A93D73" w:rsidRPr="006E1643" w:rsidRDefault="00A93D73" w:rsidP="00A93D73">
            <w:pPr>
              <w:spacing w:line="276" w:lineRule="auto"/>
              <w:ind w:firstLine="0"/>
              <w:jc w:val="center"/>
              <w:rPr>
                <w:sz w:val="20"/>
                <w:szCs w:val="20"/>
              </w:rPr>
            </w:pPr>
            <w:r w:rsidRPr="006E1643">
              <w:rPr>
                <w:sz w:val="20"/>
                <w:szCs w:val="20"/>
              </w:rPr>
              <w:t>,752</w:t>
            </w:r>
            <w:r w:rsidRPr="006E1643">
              <w:rPr>
                <w:sz w:val="20"/>
                <w:szCs w:val="20"/>
                <w:vertAlign w:val="superscript"/>
              </w:rPr>
              <w:t>a</w:t>
            </w:r>
          </w:p>
        </w:tc>
        <w:tc>
          <w:tcPr>
            <w:tcW w:w="390" w:type="pct"/>
            <w:shd w:val="clear" w:color="auto" w:fill="FFFFFF"/>
            <w:vAlign w:val="center"/>
          </w:tcPr>
          <w:p w14:paraId="2C957AFB" w14:textId="77777777" w:rsidR="00A93D73" w:rsidRPr="006E1643" w:rsidRDefault="00A93D73" w:rsidP="00A93D73">
            <w:pPr>
              <w:spacing w:line="276" w:lineRule="auto"/>
              <w:ind w:firstLine="0"/>
              <w:jc w:val="center"/>
              <w:rPr>
                <w:sz w:val="20"/>
                <w:szCs w:val="20"/>
              </w:rPr>
            </w:pPr>
            <w:r w:rsidRPr="006E1643">
              <w:rPr>
                <w:sz w:val="20"/>
                <w:szCs w:val="20"/>
              </w:rPr>
              <w:t>,566</w:t>
            </w:r>
          </w:p>
        </w:tc>
        <w:tc>
          <w:tcPr>
            <w:tcW w:w="539" w:type="pct"/>
            <w:shd w:val="clear" w:color="auto" w:fill="FFFFFF"/>
            <w:vAlign w:val="center"/>
          </w:tcPr>
          <w:p w14:paraId="7D9BBE3B" w14:textId="77777777" w:rsidR="00A93D73" w:rsidRPr="006E1643" w:rsidRDefault="00A93D73" w:rsidP="00A93D73">
            <w:pPr>
              <w:spacing w:line="276" w:lineRule="auto"/>
              <w:ind w:firstLine="0"/>
              <w:jc w:val="center"/>
              <w:rPr>
                <w:sz w:val="20"/>
                <w:szCs w:val="20"/>
              </w:rPr>
            </w:pPr>
            <w:r w:rsidRPr="006E1643">
              <w:rPr>
                <w:sz w:val="20"/>
                <w:szCs w:val="20"/>
              </w:rPr>
              <w:t>,559</w:t>
            </w:r>
          </w:p>
        </w:tc>
        <w:tc>
          <w:tcPr>
            <w:tcW w:w="540" w:type="pct"/>
            <w:shd w:val="clear" w:color="auto" w:fill="FFFFFF"/>
            <w:vAlign w:val="center"/>
          </w:tcPr>
          <w:p w14:paraId="5ADDCF79" w14:textId="77777777" w:rsidR="00A93D73" w:rsidRPr="006E1643" w:rsidRDefault="00A93D73" w:rsidP="00A93D73">
            <w:pPr>
              <w:spacing w:line="276" w:lineRule="auto"/>
              <w:ind w:firstLine="0"/>
              <w:jc w:val="center"/>
              <w:rPr>
                <w:sz w:val="20"/>
                <w:szCs w:val="20"/>
              </w:rPr>
            </w:pPr>
            <w:r w:rsidRPr="006E1643">
              <w:rPr>
                <w:sz w:val="20"/>
                <w:szCs w:val="20"/>
              </w:rPr>
              <w:t>1,066839</w:t>
            </w:r>
          </w:p>
        </w:tc>
        <w:tc>
          <w:tcPr>
            <w:tcW w:w="540" w:type="pct"/>
            <w:shd w:val="clear" w:color="auto" w:fill="FFFFFF"/>
            <w:vAlign w:val="center"/>
          </w:tcPr>
          <w:p w14:paraId="0A6D407C" w14:textId="77777777" w:rsidR="00A93D73" w:rsidRPr="006E1643" w:rsidRDefault="00A93D73" w:rsidP="00A93D73">
            <w:pPr>
              <w:spacing w:line="276" w:lineRule="auto"/>
              <w:ind w:firstLine="0"/>
              <w:jc w:val="center"/>
              <w:rPr>
                <w:sz w:val="20"/>
                <w:szCs w:val="20"/>
              </w:rPr>
            </w:pPr>
            <w:r w:rsidRPr="006E1643">
              <w:rPr>
                <w:sz w:val="20"/>
                <w:szCs w:val="20"/>
              </w:rPr>
              <w:t>,566</w:t>
            </w:r>
          </w:p>
        </w:tc>
        <w:tc>
          <w:tcPr>
            <w:tcW w:w="405" w:type="pct"/>
            <w:shd w:val="clear" w:color="auto" w:fill="FFFFFF"/>
            <w:vAlign w:val="center"/>
          </w:tcPr>
          <w:p w14:paraId="1C4F7B43" w14:textId="77777777" w:rsidR="00A93D73" w:rsidRPr="006E1643" w:rsidRDefault="00A93D73" w:rsidP="00A93D73">
            <w:pPr>
              <w:spacing w:line="276" w:lineRule="auto"/>
              <w:ind w:firstLine="0"/>
              <w:jc w:val="center"/>
              <w:rPr>
                <w:sz w:val="20"/>
                <w:szCs w:val="20"/>
              </w:rPr>
            </w:pPr>
            <w:r w:rsidRPr="006E1643">
              <w:rPr>
                <w:sz w:val="20"/>
                <w:szCs w:val="20"/>
              </w:rPr>
              <w:t>80,848</w:t>
            </w:r>
          </w:p>
        </w:tc>
        <w:tc>
          <w:tcPr>
            <w:tcW w:w="368" w:type="pct"/>
            <w:shd w:val="clear" w:color="auto" w:fill="FFFFFF"/>
            <w:vAlign w:val="center"/>
          </w:tcPr>
          <w:p w14:paraId="3038853E" w14:textId="77777777" w:rsidR="00A93D73" w:rsidRPr="006E1643" w:rsidRDefault="00A93D73" w:rsidP="00A93D73">
            <w:pPr>
              <w:spacing w:line="276" w:lineRule="auto"/>
              <w:ind w:firstLine="0"/>
              <w:jc w:val="center"/>
              <w:rPr>
                <w:sz w:val="20"/>
                <w:szCs w:val="20"/>
              </w:rPr>
            </w:pPr>
            <w:r w:rsidRPr="006E1643">
              <w:rPr>
                <w:sz w:val="20"/>
                <w:szCs w:val="20"/>
              </w:rPr>
              <w:t>1</w:t>
            </w:r>
          </w:p>
        </w:tc>
        <w:tc>
          <w:tcPr>
            <w:tcW w:w="368" w:type="pct"/>
            <w:shd w:val="clear" w:color="auto" w:fill="FFFFFF"/>
            <w:vAlign w:val="center"/>
          </w:tcPr>
          <w:p w14:paraId="035C7571" w14:textId="77777777" w:rsidR="00A93D73" w:rsidRPr="006E1643" w:rsidRDefault="00A93D73" w:rsidP="00A93D73">
            <w:pPr>
              <w:spacing w:line="276" w:lineRule="auto"/>
              <w:ind w:firstLine="0"/>
              <w:jc w:val="center"/>
              <w:rPr>
                <w:sz w:val="20"/>
                <w:szCs w:val="20"/>
              </w:rPr>
            </w:pPr>
            <w:r w:rsidRPr="006E1643">
              <w:rPr>
                <w:sz w:val="20"/>
                <w:szCs w:val="20"/>
              </w:rPr>
              <w:t>62</w:t>
            </w:r>
          </w:p>
        </w:tc>
        <w:tc>
          <w:tcPr>
            <w:tcW w:w="541" w:type="pct"/>
            <w:shd w:val="clear" w:color="auto" w:fill="FFFFFF"/>
            <w:vAlign w:val="center"/>
          </w:tcPr>
          <w:p w14:paraId="0D122255" w14:textId="77777777" w:rsidR="00A93D73" w:rsidRPr="006E1643" w:rsidRDefault="00A93D73" w:rsidP="00A93D73">
            <w:pPr>
              <w:spacing w:line="276" w:lineRule="auto"/>
              <w:ind w:firstLine="0"/>
              <w:jc w:val="center"/>
              <w:rPr>
                <w:sz w:val="20"/>
                <w:szCs w:val="20"/>
              </w:rPr>
            </w:pPr>
            <w:r w:rsidRPr="006E1643">
              <w:rPr>
                <w:sz w:val="20"/>
                <w:szCs w:val="20"/>
              </w:rPr>
              <w:t>,000</w:t>
            </w:r>
          </w:p>
        </w:tc>
        <w:tc>
          <w:tcPr>
            <w:tcW w:w="541" w:type="pct"/>
            <w:shd w:val="clear" w:color="auto" w:fill="FFFFFF"/>
            <w:vAlign w:val="center"/>
          </w:tcPr>
          <w:p w14:paraId="0BBBC5CA" w14:textId="77777777" w:rsidR="00A93D73" w:rsidRPr="006E1643" w:rsidRDefault="00A93D73" w:rsidP="00A93D73">
            <w:pPr>
              <w:spacing w:line="276" w:lineRule="auto"/>
              <w:ind w:firstLine="0"/>
              <w:jc w:val="center"/>
              <w:rPr>
                <w:sz w:val="20"/>
                <w:szCs w:val="20"/>
              </w:rPr>
            </w:pPr>
            <w:r w:rsidRPr="006E1643">
              <w:rPr>
                <w:sz w:val="20"/>
                <w:szCs w:val="20"/>
              </w:rPr>
              <w:t>1,803</w:t>
            </w:r>
          </w:p>
        </w:tc>
      </w:tr>
      <w:tr w:rsidR="00A93D73" w:rsidRPr="006E1643" w14:paraId="0AC12B03" w14:textId="77777777" w:rsidTr="008C6547">
        <w:trPr>
          <w:cantSplit/>
        </w:trPr>
        <w:tc>
          <w:tcPr>
            <w:tcW w:w="5000" w:type="pct"/>
            <w:gridSpan w:val="11"/>
            <w:shd w:val="clear" w:color="auto" w:fill="FFFFFF"/>
          </w:tcPr>
          <w:p w14:paraId="2AC961FF" w14:textId="77777777" w:rsidR="00A93D73" w:rsidRPr="006E1643" w:rsidRDefault="00A93D73" w:rsidP="00E01127">
            <w:pPr>
              <w:spacing w:line="276" w:lineRule="auto"/>
              <w:ind w:firstLine="0"/>
              <w:rPr>
                <w:sz w:val="20"/>
                <w:szCs w:val="20"/>
              </w:rPr>
            </w:pPr>
            <w:r w:rsidRPr="006E1643">
              <w:rPr>
                <w:sz w:val="20"/>
                <w:szCs w:val="20"/>
              </w:rPr>
              <w:t>a. Predictors: (Constant), Var.IMPAT2017</w:t>
            </w:r>
          </w:p>
        </w:tc>
      </w:tr>
      <w:tr w:rsidR="00A93D73" w:rsidRPr="006E1643" w14:paraId="074D2DF6" w14:textId="77777777" w:rsidTr="008C6547">
        <w:trPr>
          <w:cantSplit/>
        </w:trPr>
        <w:tc>
          <w:tcPr>
            <w:tcW w:w="5000" w:type="pct"/>
            <w:gridSpan w:val="11"/>
            <w:shd w:val="clear" w:color="auto" w:fill="FFFFFF"/>
          </w:tcPr>
          <w:p w14:paraId="2F9BCE7C" w14:textId="77777777" w:rsidR="00A93D73" w:rsidRPr="006E1643" w:rsidRDefault="00A93D73" w:rsidP="00E01127">
            <w:pPr>
              <w:spacing w:line="276" w:lineRule="auto"/>
              <w:ind w:firstLine="0"/>
              <w:rPr>
                <w:sz w:val="20"/>
                <w:szCs w:val="20"/>
              </w:rPr>
            </w:pPr>
            <w:r w:rsidRPr="006E1643">
              <w:rPr>
                <w:sz w:val="20"/>
                <w:szCs w:val="20"/>
              </w:rPr>
              <w:t>b. Dependent Variable: Var.CAAT2017</w:t>
            </w:r>
          </w:p>
        </w:tc>
      </w:tr>
    </w:tbl>
    <w:p w14:paraId="36E8F1B6" w14:textId="77777777" w:rsidR="00A93D73" w:rsidRPr="006E1643" w:rsidRDefault="00A93D73" w:rsidP="00D27DA3">
      <w:pPr>
        <w:spacing w:line="276" w:lineRule="auto"/>
        <w:ind w:firstLine="0"/>
        <w:jc w:val="center"/>
        <w:rPr>
          <w:sz w:val="20"/>
          <w:szCs w:val="20"/>
        </w:rPr>
      </w:pPr>
      <w:r w:rsidRPr="006E1643">
        <w:rPr>
          <w:b/>
          <w:sz w:val="20"/>
          <w:szCs w:val="20"/>
        </w:rPr>
        <w:t>Sursa</w:t>
      </w:r>
      <w:r w:rsidRPr="006E1643">
        <w:rPr>
          <w:sz w:val="20"/>
          <w:szCs w:val="20"/>
        </w:rPr>
        <w:t>: prelucrare proprie în SPSS</w:t>
      </w:r>
    </w:p>
    <w:p w14:paraId="218DA790" w14:textId="77777777" w:rsidR="00A93D73" w:rsidRPr="006E1643" w:rsidRDefault="00A93D73" w:rsidP="00E01127">
      <w:pPr>
        <w:spacing w:line="276" w:lineRule="auto"/>
        <w:ind w:firstLine="0"/>
        <w:rPr>
          <w:sz w:val="20"/>
          <w:szCs w:val="20"/>
        </w:rPr>
      </w:pPr>
    </w:p>
    <w:p w14:paraId="52620DFD" w14:textId="77777777" w:rsidR="00A93D73" w:rsidRPr="00B24A67" w:rsidRDefault="00B24A67" w:rsidP="00B24A67">
      <w:pPr>
        <w:spacing w:line="276" w:lineRule="auto"/>
        <w:ind w:firstLine="708"/>
      </w:pPr>
      <w:r w:rsidRPr="00B24A67">
        <w:t>C</w:t>
      </w:r>
      <w:r w:rsidR="00A93D73" w:rsidRPr="00B24A67">
        <w:t xml:space="preserve">oeficientul de corelație este de 0,752, iar valoarea lui R pătrat de 0,566, ceea ce semnifică faptul că aproximativ 56,60% din variația mărimii surogat </w:t>
      </w:r>
      <w:r w:rsidR="00A93D73" w:rsidRPr="00B24A67">
        <w:rPr>
          <w:i/>
        </w:rPr>
        <w:t>Contabilitate</w:t>
      </w:r>
      <w:r w:rsidR="00A93D73" w:rsidRPr="00B24A67">
        <w:t>, este datorată valorii atribuite fiscalității, fiind prezisă în funcție de aceasta,o proporție semnificativă din punct de vedere statistic și mult mai mare față de cea din anul anterior și peste valoarea din modelul general.</w:t>
      </w:r>
      <w:r w:rsidRPr="00B24A67">
        <w:t xml:space="preserve"> </w:t>
      </w:r>
      <w:r w:rsidR="00A93D73" w:rsidRPr="00B24A67">
        <w:t>Ecuația de regresie în acest caz a luat forma:</w:t>
      </w:r>
    </w:p>
    <w:tbl>
      <w:tblPr>
        <w:tblW w:w="0" w:type="auto"/>
        <w:jc w:val="center"/>
        <w:tblLook w:val="04A0" w:firstRow="1" w:lastRow="0" w:firstColumn="1" w:lastColumn="0" w:noHBand="0" w:noVBand="1"/>
      </w:tblPr>
      <w:tblGrid>
        <w:gridCol w:w="700"/>
        <w:gridCol w:w="6898"/>
        <w:gridCol w:w="566"/>
      </w:tblGrid>
      <w:tr w:rsidR="00A93D73" w:rsidRPr="006E1643" w14:paraId="5F4C2E8E" w14:textId="77777777" w:rsidTr="00D27DA3">
        <w:trPr>
          <w:jc w:val="center"/>
        </w:trPr>
        <w:tc>
          <w:tcPr>
            <w:tcW w:w="700" w:type="dxa"/>
            <w:vAlign w:val="center"/>
          </w:tcPr>
          <w:p w14:paraId="16BF721D" w14:textId="77777777" w:rsidR="00A93D73" w:rsidRPr="006E1643" w:rsidRDefault="00A93D73" w:rsidP="00E01127">
            <w:pPr>
              <w:spacing w:line="276" w:lineRule="auto"/>
              <w:ind w:firstLine="0"/>
              <w:rPr>
                <w:sz w:val="20"/>
                <w:szCs w:val="20"/>
              </w:rPr>
            </w:pPr>
          </w:p>
        </w:tc>
        <w:tc>
          <w:tcPr>
            <w:tcW w:w="6898" w:type="dxa"/>
            <w:vAlign w:val="center"/>
          </w:tcPr>
          <w:p w14:paraId="498975C9" w14:textId="77777777" w:rsidR="00A93D73" w:rsidRPr="006E1643" w:rsidRDefault="00A93D73" w:rsidP="00E01127">
            <w:pPr>
              <w:spacing w:line="276" w:lineRule="auto"/>
              <w:ind w:firstLine="0"/>
              <w:rPr>
                <w:sz w:val="20"/>
                <w:szCs w:val="20"/>
              </w:rPr>
            </w:pPr>
            <m:oMathPara>
              <m:oMath>
                <m:r>
                  <w:rPr>
                    <w:rFonts w:ascii="Cambria Math" w:hAnsi="Cambria Math"/>
                    <w:sz w:val="20"/>
                    <w:szCs w:val="20"/>
                  </w:rPr>
                  <m:t>y=0,141+56,484x</m:t>
                </m:r>
              </m:oMath>
            </m:oMathPara>
          </w:p>
        </w:tc>
        <w:tc>
          <w:tcPr>
            <w:tcW w:w="566" w:type="dxa"/>
            <w:vAlign w:val="center"/>
          </w:tcPr>
          <w:p w14:paraId="39788326" w14:textId="77777777" w:rsidR="00A93D73" w:rsidRPr="006E1643" w:rsidRDefault="00A93D73" w:rsidP="00E01127">
            <w:pPr>
              <w:spacing w:line="276" w:lineRule="auto"/>
              <w:ind w:firstLine="0"/>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7</w:t>
            </w:r>
            <w:r w:rsidR="00014929" w:rsidRPr="006E1643">
              <w:rPr>
                <w:sz w:val="20"/>
                <w:szCs w:val="20"/>
              </w:rPr>
              <w:fldChar w:fldCharType="end"/>
            </w:r>
            <w:r w:rsidRPr="006E1643">
              <w:rPr>
                <w:sz w:val="20"/>
                <w:szCs w:val="20"/>
              </w:rPr>
              <w:t>)</w:t>
            </w:r>
          </w:p>
        </w:tc>
      </w:tr>
    </w:tbl>
    <w:p w14:paraId="08A2F10E" w14:textId="77777777" w:rsidR="00A93D73" w:rsidRPr="006E1643" w:rsidRDefault="00A93D73" w:rsidP="00A93D73">
      <w:pPr>
        <w:spacing w:line="276" w:lineRule="auto"/>
        <w:ind w:firstLine="0"/>
        <w:jc w:val="center"/>
        <w:rPr>
          <w:sz w:val="20"/>
          <w:szCs w:val="20"/>
        </w:rPr>
      </w:pPr>
    </w:p>
    <w:p w14:paraId="6E06560A" w14:textId="77777777" w:rsidR="00B24A67" w:rsidRDefault="00B24A67" w:rsidP="00B24A67">
      <w:pPr>
        <w:pStyle w:val="ListParagraph"/>
        <w:numPr>
          <w:ilvl w:val="0"/>
          <w:numId w:val="9"/>
        </w:numPr>
        <w:spacing w:line="276" w:lineRule="auto"/>
        <w:ind w:left="993" w:hanging="284"/>
      </w:pPr>
      <w:r>
        <w:t>Pentru anul</w:t>
      </w:r>
      <w:r w:rsidRPr="00BE1DA0">
        <w:t xml:space="preserve"> </w:t>
      </w:r>
      <w:r w:rsidRPr="00BE1DA0">
        <w:rPr>
          <w:b/>
        </w:rPr>
        <w:t>201</w:t>
      </w:r>
      <w:r>
        <w:rPr>
          <w:b/>
        </w:rPr>
        <w:t>8</w:t>
      </w:r>
      <w:r w:rsidRPr="00BE1DA0">
        <w:t xml:space="preserve"> </w:t>
      </w:r>
      <w:r>
        <w:t>a rezultat modelul prezentat în</w:t>
      </w:r>
      <w:r w:rsidRPr="00BE1DA0">
        <w:t xml:space="preserve"> (Tabe</w:t>
      </w:r>
      <w:r>
        <w:t>lul</w:t>
      </w:r>
      <w:r w:rsidRPr="00BE1DA0">
        <w:t xml:space="preserve"> n</w:t>
      </w:r>
      <w:r>
        <w:t>r. 6)</w:t>
      </w:r>
      <w:r w:rsidRPr="00BE1DA0">
        <w:t>:</w:t>
      </w:r>
    </w:p>
    <w:p w14:paraId="041FA111" w14:textId="77777777" w:rsidR="00B24A67" w:rsidRDefault="00B24A67" w:rsidP="00A93D73">
      <w:pPr>
        <w:spacing w:line="276" w:lineRule="auto"/>
        <w:ind w:firstLine="0"/>
        <w:jc w:val="center"/>
        <w:rPr>
          <w:b/>
          <w:bCs/>
        </w:rPr>
      </w:pPr>
      <w:bookmarkStart w:id="12" w:name="_Toc72492487"/>
    </w:p>
    <w:p w14:paraId="4C72BE26" w14:textId="10E02DD8" w:rsidR="00A93D73" w:rsidRPr="00B24A67" w:rsidRDefault="00A93D73" w:rsidP="00A93D73">
      <w:pPr>
        <w:spacing w:line="276" w:lineRule="auto"/>
        <w:ind w:firstLine="0"/>
        <w:jc w:val="center"/>
        <w:rPr>
          <w:bCs/>
        </w:rPr>
      </w:pPr>
      <w:r w:rsidRPr="00B24A67">
        <w:rPr>
          <w:b/>
          <w:bCs/>
        </w:rPr>
        <w:t xml:space="preserve">Tabelul nr. </w:t>
      </w:r>
      <w:r w:rsidR="00014929" w:rsidRPr="00B24A67">
        <w:rPr>
          <w:b/>
          <w:bCs/>
        </w:rPr>
        <w:fldChar w:fldCharType="begin"/>
      </w:r>
      <w:r w:rsidRPr="00B24A67">
        <w:rPr>
          <w:b/>
          <w:bCs/>
        </w:rPr>
        <w:instrText xml:space="preserve"> SEQ Tabel \* ARABIC </w:instrText>
      </w:r>
      <w:r w:rsidR="00014929" w:rsidRPr="00B24A67">
        <w:rPr>
          <w:b/>
          <w:bCs/>
        </w:rPr>
        <w:fldChar w:fldCharType="separate"/>
      </w:r>
      <w:r w:rsidR="00D27DA3" w:rsidRPr="00B24A67">
        <w:rPr>
          <w:b/>
          <w:bCs/>
          <w:noProof/>
        </w:rPr>
        <w:t>6</w:t>
      </w:r>
      <w:r w:rsidR="00014929" w:rsidRPr="00B24A67">
        <w:fldChar w:fldCharType="end"/>
      </w:r>
      <w:r w:rsidR="00867EC1">
        <w:rPr>
          <w:b/>
        </w:rPr>
        <w:t>.</w:t>
      </w:r>
      <w:r w:rsidRPr="00867EC1">
        <w:rPr>
          <w:b/>
        </w:rPr>
        <w:t xml:space="preserve"> Rezumatul modelului de regresie pentru anul 2018</w:t>
      </w:r>
      <w:bookmarkEnd w:id="12"/>
    </w:p>
    <w:p w14:paraId="68F5A1C0" w14:textId="77777777" w:rsidR="00B24A67" w:rsidRPr="006E1643" w:rsidRDefault="00B24A67" w:rsidP="00A93D73">
      <w:pPr>
        <w:spacing w:line="276" w:lineRule="auto"/>
        <w:ind w:firstLine="0"/>
        <w:jc w:val="cente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2"/>
        <w:gridCol w:w="708"/>
        <w:gridCol w:w="752"/>
        <w:gridCol w:w="1039"/>
        <w:gridCol w:w="1039"/>
        <w:gridCol w:w="1039"/>
        <w:gridCol w:w="773"/>
        <w:gridCol w:w="708"/>
        <w:gridCol w:w="708"/>
        <w:gridCol w:w="1041"/>
        <w:gridCol w:w="1041"/>
      </w:tblGrid>
      <w:tr w:rsidR="00A93D73" w:rsidRPr="006E1643" w14:paraId="0B68A6EC" w14:textId="77777777" w:rsidTr="002775D7">
        <w:trPr>
          <w:cantSplit/>
        </w:trPr>
        <w:tc>
          <w:tcPr>
            <w:tcW w:w="5000" w:type="pct"/>
            <w:gridSpan w:val="11"/>
            <w:shd w:val="clear" w:color="auto" w:fill="auto"/>
          </w:tcPr>
          <w:p w14:paraId="324B3CCF" w14:textId="77777777" w:rsidR="00A93D73" w:rsidRPr="006E1643" w:rsidRDefault="00A93D73" w:rsidP="00A93D73">
            <w:pPr>
              <w:spacing w:line="276" w:lineRule="auto"/>
              <w:ind w:firstLine="0"/>
              <w:jc w:val="center"/>
              <w:rPr>
                <w:sz w:val="20"/>
                <w:szCs w:val="20"/>
              </w:rPr>
            </w:pPr>
            <w:r w:rsidRPr="006E1643">
              <w:rPr>
                <w:b/>
                <w:bCs/>
                <w:sz w:val="20"/>
                <w:szCs w:val="20"/>
              </w:rPr>
              <w:t>Model Summary</w:t>
            </w:r>
            <w:r w:rsidRPr="006E1643">
              <w:rPr>
                <w:b/>
                <w:bCs/>
                <w:sz w:val="20"/>
                <w:szCs w:val="20"/>
                <w:vertAlign w:val="superscript"/>
              </w:rPr>
              <w:t>b</w:t>
            </w:r>
          </w:p>
        </w:tc>
      </w:tr>
      <w:tr w:rsidR="00A93D73" w:rsidRPr="006E1643" w14:paraId="49F9D0B9" w14:textId="77777777" w:rsidTr="002775D7">
        <w:trPr>
          <w:cantSplit/>
        </w:trPr>
        <w:tc>
          <w:tcPr>
            <w:tcW w:w="401" w:type="pct"/>
            <w:vMerge w:val="restart"/>
            <w:shd w:val="clear" w:color="auto" w:fill="auto"/>
          </w:tcPr>
          <w:p w14:paraId="48D8576B" w14:textId="77777777" w:rsidR="00A93D73" w:rsidRPr="006E1643" w:rsidRDefault="00A93D73" w:rsidP="00A93D73">
            <w:pPr>
              <w:spacing w:line="276" w:lineRule="auto"/>
              <w:ind w:firstLine="0"/>
              <w:jc w:val="center"/>
              <w:rPr>
                <w:sz w:val="20"/>
                <w:szCs w:val="20"/>
              </w:rPr>
            </w:pPr>
            <w:r w:rsidRPr="006E1643">
              <w:rPr>
                <w:sz w:val="20"/>
                <w:szCs w:val="20"/>
              </w:rPr>
              <w:t>Model</w:t>
            </w:r>
          </w:p>
        </w:tc>
        <w:tc>
          <w:tcPr>
            <w:tcW w:w="368" w:type="pct"/>
            <w:vMerge w:val="restart"/>
            <w:shd w:val="clear" w:color="auto" w:fill="auto"/>
          </w:tcPr>
          <w:p w14:paraId="2E9E79BE" w14:textId="77777777" w:rsidR="00A93D73" w:rsidRPr="006E1643" w:rsidRDefault="00A93D73" w:rsidP="00A93D73">
            <w:pPr>
              <w:spacing w:line="276" w:lineRule="auto"/>
              <w:ind w:firstLine="0"/>
              <w:jc w:val="center"/>
              <w:rPr>
                <w:sz w:val="20"/>
                <w:szCs w:val="20"/>
              </w:rPr>
            </w:pPr>
            <w:r w:rsidRPr="006E1643">
              <w:rPr>
                <w:sz w:val="20"/>
                <w:szCs w:val="20"/>
              </w:rPr>
              <w:t>R</w:t>
            </w:r>
          </w:p>
        </w:tc>
        <w:tc>
          <w:tcPr>
            <w:tcW w:w="391" w:type="pct"/>
            <w:vMerge w:val="restart"/>
            <w:shd w:val="clear" w:color="auto" w:fill="auto"/>
          </w:tcPr>
          <w:p w14:paraId="10B127A6" w14:textId="77777777" w:rsidR="00A93D73" w:rsidRPr="006E1643" w:rsidRDefault="00A93D73" w:rsidP="00A93D73">
            <w:pPr>
              <w:spacing w:line="276" w:lineRule="auto"/>
              <w:ind w:firstLine="0"/>
              <w:jc w:val="center"/>
              <w:rPr>
                <w:sz w:val="20"/>
                <w:szCs w:val="20"/>
              </w:rPr>
            </w:pPr>
            <w:r w:rsidRPr="006E1643">
              <w:rPr>
                <w:sz w:val="20"/>
                <w:szCs w:val="20"/>
              </w:rPr>
              <w:t>R Square</w:t>
            </w:r>
          </w:p>
        </w:tc>
        <w:tc>
          <w:tcPr>
            <w:tcW w:w="540" w:type="pct"/>
            <w:vMerge w:val="restart"/>
            <w:shd w:val="clear" w:color="auto" w:fill="auto"/>
          </w:tcPr>
          <w:p w14:paraId="774AB290" w14:textId="77777777" w:rsidR="00A93D73" w:rsidRPr="006E1643" w:rsidRDefault="00A93D73" w:rsidP="00A93D73">
            <w:pPr>
              <w:spacing w:line="276" w:lineRule="auto"/>
              <w:ind w:firstLine="0"/>
              <w:jc w:val="center"/>
              <w:rPr>
                <w:sz w:val="20"/>
                <w:szCs w:val="20"/>
              </w:rPr>
            </w:pPr>
            <w:r w:rsidRPr="006E1643">
              <w:rPr>
                <w:sz w:val="20"/>
                <w:szCs w:val="20"/>
              </w:rPr>
              <w:t>Adjusted R Square</w:t>
            </w:r>
          </w:p>
        </w:tc>
        <w:tc>
          <w:tcPr>
            <w:tcW w:w="540" w:type="pct"/>
            <w:vMerge w:val="restart"/>
            <w:shd w:val="clear" w:color="auto" w:fill="auto"/>
          </w:tcPr>
          <w:p w14:paraId="07B14569" w14:textId="77777777" w:rsidR="00A93D73" w:rsidRPr="006E1643" w:rsidRDefault="00A93D73" w:rsidP="00A93D73">
            <w:pPr>
              <w:spacing w:line="276" w:lineRule="auto"/>
              <w:ind w:firstLine="0"/>
              <w:jc w:val="center"/>
              <w:rPr>
                <w:sz w:val="20"/>
                <w:szCs w:val="20"/>
              </w:rPr>
            </w:pPr>
            <w:r w:rsidRPr="006E1643">
              <w:rPr>
                <w:sz w:val="20"/>
                <w:szCs w:val="20"/>
              </w:rPr>
              <w:t>Std. Error of the Estimate</w:t>
            </w:r>
          </w:p>
        </w:tc>
        <w:tc>
          <w:tcPr>
            <w:tcW w:w="2219" w:type="pct"/>
            <w:gridSpan w:val="5"/>
            <w:shd w:val="clear" w:color="auto" w:fill="auto"/>
          </w:tcPr>
          <w:p w14:paraId="36C093CE" w14:textId="77777777" w:rsidR="00A93D73" w:rsidRPr="006E1643" w:rsidRDefault="00A93D73" w:rsidP="00A93D73">
            <w:pPr>
              <w:spacing w:line="276" w:lineRule="auto"/>
              <w:ind w:firstLine="0"/>
              <w:jc w:val="center"/>
              <w:rPr>
                <w:sz w:val="20"/>
                <w:szCs w:val="20"/>
              </w:rPr>
            </w:pPr>
            <w:r w:rsidRPr="006E1643">
              <w:rPr>
                <w:sz w:val="20"/>
                <w:szCs w:val="20"/>
              </w:rPr>
              <w:t>Change Statistics</w:t>
            </w:r>
          </w:p>
        </w:tc>
        <w:tc>
          <w:tcPr>
            <w:tcW w:w="542" w:type="pct"/>
            <w:vMerge w:val="restart"/>
            <w:shd w:val="clear" w:color="auto" w:fill="auto"/>
          </w:tcPr>
          <w:p w14:paraId="14F30454" w14:textId="77777777" w:rsidR="00A93D73" w:rsidRPr="006E1643" w:rsidRDefault="00A93D73" w:rsidP="00A93D73">
            <w:pPr>
              <w:spacing w:line="276" w:lineRule="auto"/>
              <w:ind w:firstLine="0"/>
              <w:jc w:val="center"/>
              <w:rPr>
                <w:sz w:val="20"/>
                <w:szCs w:val="20"/>
              </w:rPr>
            </w:pPr>
            <w:r w:rsidRPr="006E1643">
              <w:rPr>
                <w:sz w:val="20"/>
                <w:szCs w:val="20"/>
              </w:rPr>
              <w:t>Durbin-Watson</w:t>
            </w:r>
          </w:p>
        </w:tc>
      </w:tr>
      <w:tr w:rsidR="00A93D73" w:rsidRPr="006E1643" w14:paraId="7004AD67" w14:textId="77777777" w:rsidTr="002775D7">
        <w:trPr>
          <w:cantSplit/>
        </w:trPr>
        <w:tc>
          <w:tcPr>
            <w:tcW w:w="401" w:type="pct"/>
            <w:vMerge/>
            <w:shd w:val="clear" w:color="auto" w:fill="auto"/>
          </w:tcPr>
          <w:p w14:paraId="0FC92A9E" w14:textId="77777777" w:rsidR="00A93D73" w:rsidRPr="006E1643" w:rsidRDefault="00A93D73" w:rsidP="00A93D73">
            <w:pPr>
              <w:spacing w:line="276" w:lineRule="auto"/>
              <w:ind w:firstLine="0"/>
              <w:jc w:val="center"/>
              <w:rPr>
                <w:sz w:val="20"/>
                <w:szCs w:val="20"/>
              </w:rPr>
            </w:pPr>
          </w:p>
        </w:tc>
        <w:tc>
          <w:tcPr>
            <w:tcW w:w="368" w:type="pct"/>
            <w:vMerge/>
            <w:shd w:val="clear" w:color="auto" w:fill="auto"/>
          </w:tcPr>
          <w:p w14:paraId="3374A7F8" w14:textId="77777777" w:rsidR="00A93D73" w:rsidRPr="006E1643" w:rsidRDefault="00A93D73" w:rsidP="00A93D73">
            <w:pPr>
              <w:spacing w:line="276" w:lineRule="auto"/>
              <w:ind w:firstLine="0"/>
              <w:jc w:val="center"/>
              <w:rPr>
                <w:sz w:val="20"/>
                <w:szCs w:val="20"/>
              </w:rPr>
            </w:pPr>
          </w:p>
        </w:tc>
        <w:tc>
          <w:tcPr>
            <w:tcW w:w="391" w:type="pct"/>
            <w:vMerge/>
            <w:shd w:val="clear" w:color="auto" w:fill="auto"/>
          </w:tcPr>
          <w:p w14:paraId="1D5CB441" w14:textId="77777777" w:rsidR="00A93D73" w:rsidRPr="006E1643" w:rsidRDefault="00A93D73" w:rsidP="00A93D73">
            <w:pPr>
              <w:spacing w:line="276" w:lineRule="auto"/>
              <w:ind w:firstLine="0"/>
              <w:jc w:val="center"/>
              <w:rPr>
                <w:sz w:val="20"/>
                <w:szCs w:val="20"/>
              </w:rPr>
            </w:pPr>
          </w:p>
        </w:tc>
        <w:tc>
          <w:tcPr>
            <w:tcW w:w="540" w:type="pct"/>
            <w:vMerge/>
            <w:shd w:val="clear" w:color="auto" w:fill="auto"/>
          </w:tcPr>
          <w:p w14:paraId="087BEF51" w14:textId="77777777" w:rsidR="00A93D73" w:rsidRPr="006E1643" w:rsidRDefault="00A93D73" w:rsidP="00A93D73">
            <w:pPr>
              <w:spacing w:line="276" w:lineRule="auto"/>
              <w:ind w:firstLine="0"/>
              <w:jc w:val="center"/>
              <w:rPr>
                <w:sz w:val="20"/>
                <w:szCs w:val="20"/>
              </w:rPr>
            </w:pPr>
          </w:p>
        </w:tc>
        <w:tc>
          <w:tcPr>
            <w:tcW w:w="540" w:type="pct"/>
            <w:vMerge/>
            <w:shd w:val="clear" w:color="auto" w:fill="auto"/>
          </w:tcPr>
          <w:p w14:paraId="1598B7C4" w14:textId="77777777" w:rsidR="00A93D73" w:rsidRPr="006E1643" w:rsidRDefault="00A93D73" w:rsidP="00A93D73">
            <w:pPr>
              <w:spacing w:line="276" w:lineRule="auto"/>
              <w:ind w:firstLine="0"/>
              <w:jc w:val="center"/>
              <w:rPr>
                <w:sz w:val="20"/>
                <w:szCs w:val="20"/>
              </w:rPr>
            </w:pPr>
          </w:p>
        </w:tc>
        <w:tc>
          <w:tcPr>
            <w:tcW w:w="540" w:type="pct"/>
            <w:shd w:val="clear" w:color="auto" w:fill="auto"/>
          </w:tcPr>
          <w:p w14:paraId="1ECE9CAB" w14:textId="77777777" w:rsidR="00A93D73" w:rsidRPr="006E1643" w:rsidRDefault="00A93D73" w:rsidP="00A93D73">
            <w:pPr>
              <w:spacing w:line="276" w:lineRule="auto"/>
              <w:ind w:firstLine="0"/>
              <w:jc w:val="center"/>
              <w:rPr>
                <w:sz w:val="20"/>
                <w:szCs w:val="20"/>
              </w:rPr>
            </w:pPr>
            <w:r w:rsidRPr="006E1643">
              <w:rPr>
                <w:sz w:val="20"/>
                <w:szCs w:val="20"/>
              </w:rPr>
              <w:t>R Square Change</w:t>
            </w:r>
          </w:p>
        </w:tc>
        <w:tc>
          <w:tcPr>
            <w:tcW w:w="402" w:type="pct"/>
            <w:shd w:val="clear" w:color="auto" w:fill="auto"/>
          </w:tcPr>
          <w:p w14:paraId="775D0404" w14:textId="77777777" w:rsidR="00A93D73" w:rsidRPr="006E1643" w:rsidRDefault="00A93D73" w:rsidP="00A93D73">
            <w:pPr>
              <w:spacing w:line="276" w:lineRule="auto"/>
              <w:ind w:firstLine="0"/>
              <w:jc w:val="center"/>
              <w:rPr>
                <w:sz w:val="20"/>
                <w:szCs w:val="20"/>
              </w:rPr>
            </w:pPr>
            <w:r w:rsidRPr="006E1643">
              <w:rPr>
                <w:sz w:val="20"/>
                <w:szCs w:val="20"/>
              </w:rPr>
              <w:t>F Change</w:t>
            </w:r>
          </w:p>
        </w:tc>
        <w:tc>
          <w:tcPr>
            <w:tcW w:w="368" w:type="pct"/>
            <w:shd w:val="clear" w:color="auto" w:fill="auto"/>
          </w:tcPr>
          <w:p w14:paraId="466FFAA0" w14:textId="77777777" w:rsidR="00A93D73" w:rsidRPr="006E1643" w:rsidRDefault="00A93D73" w:rsidP="00A93D73">
            <w:pPr>
              <w:spacing w:line="276" w:lineRule="auto"/>
              <w:ind w:firstLine="0"/>
              <w:jc w:val="center"/>
              <w:rPr>
                <w:sz w:val="20"/>
                <w:szCs w:val="20"/>
              </w:rPr>
            </w:pPr>
            <w:r w:rsidRPr="006E1643">
              <w:rPr>
                <w:sz w:val="20"/>
                <w:szCs w:val="20"/>
              </w:rPr>
              <w:t>df1</w:t>
            </w:r>
          </w:p>
        </w:tc>
        <w:tc>
          <w:tcPr>
            <w:tcW w:w="368" w:type="pct"/>
            <w:shd w:val="clear" w:color="auto" w:fill="auto"/>
          </w:tcPr>
          <w:p w14:paraId="50EE98A0" w14:textId="77777777" w:rsidR="00A93D73" w:rsidRPr="006E1643" w:rsidRDefault="00A93D73" w:rsidP="00A93D73">
            <w:pPr>
              <w:spacing w:line="276" w:lineRule="auto"/>
              <w:ind w:firstLine="0"/>
              <w:jc w:val="center"/>
              <w:rPr>
                <w:sz w:val="20"/>
                <w:szCs w:val="20"/>
              </w:rPr>
            </w:pPr>
            <w:r w:rsidRPr="006E1643">
              <w:rPr>
                <w:sz w:val="20"/>
                <w:szCs w:val="20"/>
              </w:rPr>
              <w:t>df2</w:t>
            </w:r>
          </w:p>
        </w:tc>
        <w:tc>
          <w:tcPr>
            <w:tcW w:w="541" w:type="pct"/>
            <w:shd w:val="clear" w:color="auto" w:fill="auto"/>
          </w:tcPr>
          <w:p w14:paraId="6C621D6C" w14:textId="77777777" w:rsidR="00A93D73" w:rsidRPr="006E1643" w:rsidRDefault="00A93D73" w:rsidP="00A93D73">
            <w:pPr>
              <w:spacing w:line="276" w:lineRule="auto"/>
              <w:ind w:firstLine="0"/>
              <w:jc w:val="center"/>
              <w:rPr>
                <w:sz w:val="20"/>
                <w:szCs w:val="20"/>
              </w:rPr>
            </w:pPr>
            <w:r w:rsidRPr="006E1643">
              <w:rPr>
                <w:sz w:val="20"/>
                <w:szCs w:val="20"/>
              </w:rPr>
              <w:t>Sig. F Change</w:t>
            </w:r>
          </w:p>
        </w:tc>
        <w:tc>
          <w:tcPr>
            <w:tcW w:w="542" w:type="pct"/>
            <w:vMerge/>
            <w:shd w:val="clear" w:color="auto" w:fill="auto"/>
          </w:tcPr>
          <w:p w14:paraId="0B0F9646" w14:textId="77777777" w:rsidR="00A93D73" w:rsidRPr="006E1643" w:rsidRDefault="00A93D73" w:rsidP="00A93D73">
            <w:pPr>
              <w:spacing w:line="276" w:lineRule="auto"/>
              <w:ind w:firstLine="0"/>
              <w:jc w:val="center"/>
              <w:rPr>
                <w:sz w:val="20"/>
                <w:szCs w:val="20"/>
              </w:rPr>
            </w:pPr>
          </w:p>
        </w:tc>
      </w:tr>
      <w:tr w:rsidR="00A93D73" w:rsidRPr="006E1643" w14:paraId="48BFDFCE" w14:textId="77777777" w:rsidTr="002775D7">
        <w:trPr>
          <w:cantSplit/>
        </w:trPr>
        <w:tc>
          <w:tcPr>
            <w:tcW w:w="401" w:type="pct"/>
            <w:shd w:val="clear" w:color="auto" w:fill="auto"/>
            <w:vAlign w:val="center"/>
          </w:tcPr>
          <w:p w14:paraId="7E7D4E89" w14:textId="77777777" w:rsidR="00A93D73" w:rsidRPr="006E1643" w:rsidRDefault="00A93D73" w:rsidP="00A93D73">
            <w:pPr>
              <w:spacing w:line="276" w:lineRule="auto"/>
              <w:ind w:firstLine="0"/>
              <w:jc w:val="center"/>
              <w:rPr>
                <w:sz w:val="20"/>
                <w:szCs w:val="20"/>
              </w:rPr>
            </w:pPr>
            <w:r w:rsidRPr="006E1643">
              <w:rPr>
                <w:sz w:val="20"/>
                <w:szCs w:val="20"/>
              </w:rPr>
              <w:t>2018</w:t>
            </w:r>
          </w:p>
        </w:tc>
        <w:tc>
          <w:tcPr>
            <w:tcW w:w="368" w:type="pct"/>
            <w:shd w:val="clear" w:color="auto" w:fill="auto"/>
            <w:vAlign w:val="center"/>
          </w:tcPr>
          <w:p w14:paraId="283AE35E" w14:textId="77777777" w:rsidR="00A93D73" w:rsidRPr="006E1643" w:rsidRDefault="00A93D73" w:rsidP="00A93D73">
            <w:pPr>
              <w:spacing w:line="276" w:lineRule="auto"/>
              <w:ind w:firstLine="0"/>
              <w:jc w:val="center"/>
              <w:rPr>
                <w:sz w:val="20"/>
                <w:szCs w:val="20"/>
              </w:rPr>
            </w:pPr>
            <w:r w:rsidRPr="006E1643">
              <w:rPr>
                <w:sz w:val="20"/>
                <w:szCs w:val="20"/>
              </w:rPr>
              <w:t>,857</w:t>
            </w:r>
            <w:r w:rsidRPr="006E1643">
              <w:rPr>
                <w:sz w:val="20"/>
                <w:szCs w:val="20"/>
                <w:vertAlign w:val="superscript"/>
              </w:rPr>
              <w:t>a</w:t>
            </w:r>
          </w:p>
        </w:tc>
        <w:tc>
          <w:tcPr>
            <w:tcW w:w="391" w:type="pct"/>
            <w:shd w:val="clear" w:color="auto" w:fill="auto"/>
            <w:vAlign w:val="center"/>
          </w:tcPr>
          <w:p w14:paraId="763161E4" w14:textId="77777777" w:rsidR="00A93D73" w:rsidRPr="006E1643" w:rsidRDefault="00A93D73" w:rsidP="00A93D73">
            <w:pPr>
              <w:spacing w:line="276" w:lineRule="auto"/>
              <w:ind w:firstLine="0"/>
              <w:jc w:val="center"/>
              <w:rPr>
                <w:sz w:val="20"/>
                <w:szCs w:val="20"/>
              </w:rPr>
            </w:pPr>
            <w:r w:rsidRPr="006E1643">
              <w:rPr>
                <w:sz w:val="20"/>
                <w:szCs w:val="20"/>
              </w:rPr>
              <w:t>,735</w:t>
            </w:r>
          </w:p>
        </w:tc>
        <w:tc>
          <w:tcPr>
            <w:tcW w:w="540" w:type="pct"/>
            <w:shd w:val="clear" w:color="auto" w:fill="auto"/>
            <w:vAlign w:val="center"/>
          </w:tcPr>
          <w:p w14:paraId="5F855260" w14:textId="77777777" w:rsidR="00A93D73" w:rsidRPr="006E1643" w:rsidRDefault="00A93D73" w:rsidP="00A93D73">
            <w:pPr>
              <w:spacing w:line="276" w:lineRule="auto"/>
              <w:ind w:firstLine="0"/>
              <w:jc w:val="center"/>
              <w:rPr>
                <w:sz w:val="20"/>
                <w:szCs w:val="20"/>
              </w:rPr>
            </w:pPr>
            <w:r w:rsidRPr="006E1643">
              <w:rPr>
                <w:sz w:val="20"/>
                <w:szCs w:val="20"/>
              </w:rPr>
              <w:t>,731</w:t>
            </w:r>
          </w:p>
        </w:tc>
        <w:tc>
          <w:tcPr>
            <w:tcW w:w="540" w:type="pct"/>
            <w:shd w:val="clear" w:color="auto" w:fill="auto"/>
            <w:vAlign w:val="center"/>
          </w:tcPr>
          <w:p w14:paraId="18B6121B" w14:textId="77777777" w:rsidR="00A93D73" w:rsidRPr="006E1643" w:rsidRDefault="00A93D73" w:rsidP="00A93D73">
            <w:pPr>
              <w:spacing w:line="276" w:lineRule="auto"/>
              <w:ind w:firstLine="0"/>
              <w:jc w:val="center"/>
              <w:rPr>
                <w:sz w:val="20"/>
                <w:szCs w:val="20"/>
              </w:rPr>
            </w:pPr>
            <w:r w:rsidRPr="006E1643">
              <w:rPr>
                <w:sz w:val="20"/>
                <w:szCs w:val="20"/>
                <w:lang w:val="en-US"/>
              </w:rPr>
              <w:t>,686060</w:t>
            </w:r>
          </w:p>
        </w:tc>
        <w:tc>
          <w:tcPr>
            <w:tcW w:w="540" w:type="pct"/>
            <w:shd w:val="clear" w:color="auto" w:fill="auto"/>
            <w:vAlign w:val="center"/>
          </w:tcPr>
          <w:p w14:paraId="1BE1587F" w14:textId="77777777" w:rsidR="00A93D73" w:rsidRPr="006E1643" w:rsidRDefault="00A93D73" w:rsidP="00A93D73">
            <w:pPr>
              <w:spacing w:line="276" w:lineRule="auto"/>
              <w:ind w:firstLine="0"/>
              <w:jc w:val="center"/>
              <w:rPr>
                <w:sz w:val="20"/>
                <w:szCs w:val="20"/>
              </w:rPr>
            </w:pPr>
            <w:r w:rsidRPr="006E1643">
              <w:rPr>
                <w:sz w:val="20"/>
                <w:szCs w:val="20"/>
              </w:rPr>
              <w:t>,735</w:t>
            </w:r>
          </w:p>
        </w:tc>
        <w:tc>
          <w:tcPr>
            <w:tcW w:w="402" w:type="pct"/>
            <w:shd w:val="clear" w:color="auto" w:fill="auto"/>
            <w:vAlign w:val="center"/>
          </w:tcPr>
          <w:p w14:paraId="2F0CCCF1" w14:textId="77777777" w:rsidR="00A93D73" w:rsidRPr="006E1643" w:rsidRDefault="00A93D73" w:rsidP="00A93D73">
            <w:pPr>
              <w:spacing w:line="276" w:lineRule="auto"/>
              <w:ind w:firstLine="0"/>
              <w:jc w:val="center"/>
              <w:rPr>
                <w:sz w:val="20"/>
                <w:szCs w:val="20"/>
              </w:rPr>
            </w:pPr>
            <w:r w:rsidRPr="006E1643">
              <w:rPr>
                <w:sz w:val="20"/>
                <w:szCs w:val="20"/>
              </w:rPr>
              <w:t>171,795</w:t>
            </w:r>
          </w:p>
        </w:tc>
        <w:tc>
          <w:tcPr>
            <w:tcW w:w="368" w:type="pct"/>
            <w:shd w:val="clear" w:color="auto" w:fill="auto"/>
            <w:vAlign w:val="center"/>
          </w:tcPr>
          <w:p w14:paraId="191EF3FF" w14:textId="77777777" w:rsidR="00A93D73" w:rsidRPr="006E1643" w:rsidRDefault="00A93D73" w:rsidP="00A93D73">
            <w:pPr>
              <w:spacing w:line="276" w:lineRule="auto"/>
              <w:ind w:firstLine="0"/>
              <w:jc w:val="center"/>
              <w:rPr>
                <w:sz w:val="20"/>
                <w:szCs w:val="20"/>
              </w:rPr>
            </w:pPr>
            <w:r w:rsidRPr="006E1643">
              <w:rPr>
                <w:sz w:val="20"/>
                <w:szCs w:val="20"/>
              </w:rPr>
              <w:t>1</w:t>
            </w:r>
          </w:p>
        </w:tc>
        <w:tc>
          <w:tcPr>
            <w:tcW w:w="368" w:type="pct"/>
            <w:shd w:val="clear" w:color="auto" w:fill="auto"/>
            <w:vAlign w:val="center"/>
          </w:tcPr>
          <w:p w14:paraId="53834B30" w14:textId="77777777" w:rsidR="00A93D73" w:rsidRPr="006E1643" w:rsidRDefault="00A93D73" w:rsidP="00A93D73">
            <w:pPr>
              <w:spacing w:line="276" w:lineRule="auto"/>
              <w:ind w:firstLine="0"/>
              <w:jc w:val="center"/>
              <w:rPr>
                <w:sz w:val="20"/>
                <w:szCs w:val="20"/>
              </w:rPr>
            </w:pPr>
            <w:r w:rsidRPr="006E1643">
              <w:rPr>
                <w:sz w:val="20"/>
                <w:szCs w:val="20"/>
              </w:rPr>
              <w:t>62</w:t>
            </w:r>
          </w:p>
        </w:tc>
        <w:tc>
          <w:tcPr>
            <w:tcW w:w="541" w:type="pct"/>
            <w:shd w:val="clear" w:color="auto" w:fill="auto"/>
            <w:vAlign w:val="center"/>
          </w:tcPr>
          <w:p w14:paraId="6EE84A33" w14:textId="77777777" w:rsidR="00A93D73" w:rsidRPr="006E1643" w:rsidRDefault="00A93D73" w:rsidP="00A93D73">
            <w:pPr>
              <w:spacing w:line="276" w:lineRule="auto"/>
              <w:ind w:firstLine="0"/>
              <w:jc w:val="center"/>
              <w:rPr>
                <w:sz w:val="20"/>
                <w:szCs w:val="20"/>
              </w:rPr>
            </w:pPr>
            <w:r w:rsidRPr="006E1643">
              <w:rPr>
                <w:sz w:val="20"/>
                <w:szCs w:val="20"/>
              </w:rPr>
              <w:t>,000</w:t>
            </w:r>
          </w:p>
        </w:tc>
        <w:tc>
          <w:tcPr>
            <w:tcW w:w="542" w:type="pct"/>
            <w:shd w:val="clear" w:color="auto" w:fill="auto"/>
            <w:vAlign w:val="center"/>
          </w:tcPr>
          <w:p w14:paraId="60737798" w14:textId="77777777" w:rsidR="00A93D73" w:rsidRPr="006E1643" w:rsidRDefault="00A93D73" w:rsidP="00A93D73">
            <w:pPr>
              <w:spacing w:line="276" w:lineRule="auto"/>
              <w:ind w:firstLine="0"/>
              <w:jc w:val="center"/>
              <w:rPr>
                <w:sz w:val="20"/>
                <w:szCs w:val="20"/>
              </w:rPr>
            </w:pPr>
            <w:r w:rsidRPr="006E1643">
              <w:rPr>
                <w:sz w:val="20"/>
                <w:szCs w:val="20"/>
              </w:rPr>
              <w:t>1,848</w:t>
            </w:r>
          </w:p>
        </w:tc>
      </w:tr>
      <w:tr w:rsidR="00A93D73" w:rsidRPr="006E1643" w14:paraId="1DE11630" w14:textId="77777777" w:rsidTr="002775D7">
        <w:trPr>
          <w:cantSplit/>
        </w:trPr>
        <w:tc>
          <w:tcPr>
            <w:tcW w:w="5000" w:type="pct"/>
            <w:gridSpan w:val="11"/>
            <w:shd w:val="clear" w:color="auto" w:fill="auto"/>
          </w:tcPr>
          <w:p w14:paraId="03F9B6A9" w14:textId="77777777" w:rsidR="00A93D73" w:rsidRPr="006E1643" w:rsidRDefault="00A93D73" w:rsidP="00E01127">
            <w:pPr>
              <w:spacing w:line="276" w:lineRule="auto"/>
              <w:ind w:firstLine="0"/>
              <w:rPr>
                <w:sz w:val="20"/>
                <w:szCs w:val="20"/>
              </w:rPr>
            </w:pPr>
            <w:r w:rsidRPr="006E1643">
              <w:rPr>
                <w:sz w:val="20"/>
                <w:szCs w:val="20"/>
              </w:rPr>
              <w:t>a. Predictors: (Constant), Var.IMPAT2018</w:t>
            </w:r>
          </w:p>
        </w:tc>
      </w:tr>
      <w:tr w:rsidR="00A93D73" w:rsidRPr="006E1643" w14:paraId="734B1064" w14:textId="77777777" w:rsidTr="002775D7">
        <w:trPr>
          <w:cantSplit/>
        </w:trPr>
        <w:tc>
          <w:tcPr>
            <w:tcW w:w="5000" w:type="pct"/>
            <w:gridSpan w:val="11"/>
            <w:shd w:val="clear" w:color="auto" w:fill="auto"/>
          </w:tcPr>
          <w:p w14:paraId="5F1CEA08" w14:textId="77777777" w:rsidR="00A93D73" w:rsidRPr="006E1643" w:rsidRDefault="00A93D73" w:rsidP="00E01127">
            <w:pPr>
              <w:spacing w:line="276" w:lineRule="auto"/>
              <w:ind w:firstLine="0"/>
              <w:rPr>
                <w:sz w:val="20"/>
                <w:szCs w:val="20"/>
              </w:rPr>
            </w:pPr>
            <w:r w:rsidRPr="006E1643">
              <w:rPr>
                <w:sz w:val="20"/>
                <w:szCs w:val="20"/>
              </w:rPr>
              <w:t>b. Dependent Variable: Var.CAAT2018</w:t>
            </w:r>
          </w:p>
        </w:tc>
      </w:tr>
    </w:tbl>
    <w:p w14:paraId="21C0C437" w14:textId="77777777" w:rsidR="00A93D73" w:rsidRPr="006E1643" w:rsidRDefault="00A93D73" w:rsidP="002775D7">
      <w:pPr>
        <w:spacing w:line="276" w:lineRule="auto"/>
        <w:ind w:firstLine="0"/>
        <w:jc w:val="center"/>
        <w:rPr>
          <w:sz w:val="20"/>
          <w:szCs w:val="20"/>
        </w:rPr>
      </w:pPr>
      <w:r w:rsidRPr="006E1643">
        <w:rPr>
          <w:b/>
          <w:sz w:val="20"/>
          <w:szCs w:val="20"/>
        </w:rPr>
        <w:t>Sursa</w:t>
      </w:r>
      <w:r w:rsidRPr="006E1643">
        <w:rPr>
          <w:sz w:val="20"/>
          <w:szCs w:val="20"/>
        </w:rPr>
        <w:t>: prelucrare proprie în SPSS</w:t>
      </w:r>
    </w:p>
    <w:p w14:paraId="7B343D6E" w14:textId="77777777" w:rsidR="00A93D73" w:rsidRPr="006E1643" w:rsidRDefault="00A93D73" w:rsidP="00E01127">
      <w:pPr>
        <w:spacing w:line="276" w:lineRule="auto"/>
        <w:ind w:firstLine="0"/>
        <w:rPr>
          <w:sz w:val="20"/>
          <w:szCs w:val="20"/>
        </w:rPr>
      </w:pPr>
    </w:p>
    <w:p w14:paraId="1E25A1CB" w14:textId="77777777" w:rsidR="00A93D73" w:rsidRPr="00B24A67" w:rsidRDefault="00B24A67" w:rsidP="00B24A67">
      <w:pPr>
        <w:spacing w:line="276" w:lineRule="auto"/>
        <w:ind w:firstLine="708"/>
      </w:pPr>
      <w:r w:rsidRPr="00B24A67">
        <w:t>C</w:t>
      </w:r>
      <w:r w:rsidR="00A93D73" w:rsidRPr="00B24A67">
        <w:t xml:space="preserve">oeficientul de corelație este de 0,857, iar valoarea lui R pătrat de 0,735, ceea ce semnifică faptul că aproximativ 73,50% din variația mărimii surogat </w:t>
      </w:r>
      <w:r w:rsidR="00A93D73" w:rsidRPr="00B24A67">
        <w:rPr>
          <w:i/>
        </w:rPr>
        <w:t>Contabilitate</w:t>
      </w:r>
      <w:r w:rsidR="00A93D73" w:rsidRPr="00B24A67">
        <w:t>, este datorată valorii atribuite fiscalității, fiind prezisă în funcție de aceasta, o proporție semnificativă din punct de vedere statistic și mult mai mare față de cea din anul anterior și peste valoarea din modelul general, fiind cea mai mare valoare înregistrată în cursul perioadei de timp analizate.</w:t>
      </w:r>
      <w:r w:rsidRPr="00B24A67">
        <w:t xml:space="preserve"> </w:t>
      </w:r>
      <w:r w:rsidR="00A93D73" w:rsidRPr="00B24A67">
        <w:t>Ecuația de regresie în acest caz a luat forma:</w:t>
      </w:r>
    </w:p>
    <w:tbl>
      <w:tblPr>
        <w:tblW w:w="0" w:type="auto"/>
        <w:jc w:val="center"/>
        <w:tblLook w:val="04A0" w:firstRow="1" w:lastRow="0" w:firstColumn="1" w:lastColumn="0" w:noHBand="0" w:noVBand="1"/>
      </w:tblPr>
      <w:tblGrid>
        <w:gridCol w:w="700"/>
        <w:gridCol w:w="6898"/>
        <w:gridCol w:w="566"/>
      </w:tblGrid>
      <w:tr w:rsidR="00A93D73" w:rsidRPr="006E1643" w14:paraId="6916D0DC" w14:textId="77777777" w:rsidTr="00D27DA3">
        <w:trPr>
          <w:jc w:val="center"/>
        </w:trPr>
        <w:tc>
          <w:tcPr>
            <w:tcW w:w="700" w:type="dxa"/>
            <w:vAlign w:val="center"/>
          </w:tcPr>
          <w:p w14:paraId="24BCB3E7" w14:textId="77777777" w:rsidR="00A93D73" w:rsidRPr="006E1643" w:rsidRDefault="00A93D73" w:rsidP="00A93D73">
            <w:pPr>
              <w:spacing w:line="276" w:lineRule="auto"/>
              <w:ind w:firstLine="0"/>
              <w:jc w:val="center"/>
              <w:rPr>
                <w:sz w:val="20"/>
                <w:szCs w:val="20"/>
              </w:rPr>
            </w:pPr>
          </w:p>
        </w:tc>
        <w:tc>
          <w:tcPr>
            <w:tcW w:w="6898" w:type="dxa"/>
            <w:vAlign w:val="center"/>
          </w:tcPr>
          <w:p w14:paraId="764E5F82" w14:textId="77777777" w:rsidR="00A93D73" w:rsidRPr="006E1643" w:rsidRDefault="00A93D73" w:rsidP="00A93D73">
            <w:pPr>
              <w:spacing w:line="276" w:lineRule="auto"/>
              <w:ind w:firstLine="0"/>
              <w:jc w:val="center"/>
              <w:rPr>
                <w:sz w:val="20"/>
                <w:szCs w:val="20"/>
              </w:rPr>
            </w:pPr>
            <m:oMathPara>
              <m:oMath>
                <m:r>
                  <w:rPr>
                    <w:rFonts w:ascii="Cambria Math" w:hAnsi="Cambria Math"/>
                    <w:sz w:val="20"/>
                    <w:szCs w:val="20"/>
                  </w:rPr>
                  <m:t>y=0,488+30,713x</m:t>
                </m:r>
              </m:oMath>
            </m:oMathPara>
          </w:p>
        </w:tc>
        <w:tc>
          <w:tcPr>
            <w:tcW w:w="566" w:type="dxa"/>
            <w:vAlign w:val="center"/>
          </w:tcPr>
          <w:p w14:paraId="37B30014" w14:textId="77777777" w:rsidR="00A93D73" w:rsidRPr="006E1643" w:rsidRDefault="00A93D73" w:rsidP="00A93D73">
            <w:pPr>
              <w:spacing w:line="276" w:lineRule="auto"/>
              <w:ind w:firstLine="0"/>
              <w:jc w:val="center"/>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8</w:t>
            </w:r>
            <w:r w:rsidR="00014929" w:rsidRPr="006E1643">
              <w:rPr>
                <w:sz w:val="20"/>
                <w:szCs w:val="20"/>
              </w:rPr>
              <w:fldChar w:fldCharType="end"/>
            </w:r>
            <w:r w:rsidRPr="006E1643">
              <w:rPr>
                <w:sz w:val="20"/>
                <w:szCs w:val="20"/>
              </w:rPr>
              <w:t>)</w:t>
            </w:r>
          </w:p>
        </w:tc>
      </w:tr>
    </w:tbl>
    <w:p w14:paraId="56F17219" w14:textId="77777777" w:rsidR="004220AF" w:rsidRDefault="004220AF" w:rsidP="004220AF">
      <w:pPr>
        <w:pStyle w:val="ListParagraph"/>
        <w:numPr>
          <w:ilvl w:val="0"/>
          <w:numId w:val="9"/>
        </w:numPr>
        <w:spacing w:line="276" w:lineRule="auto"/>
        <w:ind w:left="993" w:hanging="284"/>
      </w:pPr>
      <w:r>
        <w:t>Pentru anul</w:t>
      </w:r>
      <w:r w:rsidRPr="00BE1DA0">
        <w:t xml:space="preserve"> </w:t>
      </w:r>
      <w:r w:rsidRPr="00BE1DA0">
        <w:rPr>
          <w:b/>
        </w:rPr>
        <w:t>201</w:t>
      </w:r>
      <w:r>
        <w:rPr>
          <w:b/>
        </w:rPr>
        <w:t>9</w:t>
      </w:r>
      <w:r w:rsidRPr="00BE1DA0">
        <w:t xml:space="preserve"> </w:t>
      </w:r>
      <w:r>
        <w:t>a rezultat modelul prezentat în</w:t>
      </w:r>
      <w:r w:rsidRPr="00BE1DA0">
        <w:t xml:space="preserve"> (Tabe</w:t>
      </w:r>
      <w:r>
        <w:t>lul</w:t>
      </w:r>
      <w:r w:rsidRPr="00BE1DA0">
        <w:t xml:space="preserve"> n</w:t>
      </w:r>
      <w:r>
        <w:t>r. 7)</w:t>
      </w:r>
      <w:r w:rsidRPr="00BE1DA0">
        <w:t>:</w:t>
      </w:r>
    </w:p>
    <w:p w14:paraId="07B31AD4" w14:textId="77777777" w:rsidR="004220AF" w:rsidRDefault="004220AF" w:rsidP="00A93D73">
      <w:pPr>
        <w:spacing w:line="276" w:lineRule="auto"/>
        <w:ind w:firstLine="0"/>
        <w:jc w:val="center"/>
        <w:rPr>
          <w:b/>
          <w:bCs/>
        </w:rPr>
      </w:pPr>
      <w:bookmarkStart w:id="13" w:name="_Toc72492488"/>
    </w:p>
    <w:p w14:paraId="7D18E026" w14:textId="7B566026" w:rsidR="00A93D73" w:rsidRPr="00867EC1" w:rsidRDefault="00A93D73" w:rsidP="00A93D73">
      <w:pPr>
        <w:spacing w:line="276" w:lineRule="auto"/>
        <w:ind w:firstLine="0"/>
        <w:jc w:val="center"/>
        <w:rPr>
          <w:b/>
          <w:bCs/>
        </w:rPr>
      </w:pPr>
      <w:r w:rsidRPr="00867EC1">
        <w:rPr>
          <w:b/>
          <w:bCs/>
        </w:rPr>
        <w:t xml:space="preserve">Tabelul nr. </w:t>
      </w:r>
      <w:r w:rsidR="00014929" w:rsidRPr="00867EC1">
        <w:rPr>
          <w:b/>
          <w:bCs/>
        </w:rPr>
        <w:fldChar w:fldCharType="begin"/>
      </w:r>
      <w:r w:rsidRPr="00867EC1">
        <w:rPr>
          <w:b/>
          <w:bCs/>
        </w:rPr>
        <w:instrText xml:space="preserve"> SEQ Tabel \* ARABIC </w:instrText>
      </w:r>
      <w:r w:rsidR="00014929" w:rsidRPr="00867EC1">
        <w:rPr>
          <w:b/>
          <w:bCs/>
        </w:rPr>
        <w:fldChar w:fldCharType="separate"/>
      </w:r>
      <w:r w:rsidR="00D27DA3" w:rsidRPr="00867EC1">
        <w:rPr>
          <w:b/>
          <w:bCs/>
          <w:noProof/>
        </w:rPr>
        <w:t>7</w:t>
      </w:r>
      <w:r w:rsidR="00014929" w:rsidRPr="00867EC1">
        <w:rPr>
          <w:b/>
          <w:bCs/>
        </w:rPr>
        <w:fldChar w:fldCharType="end"/>
      </w:r>
      <w:r w:rsidR="00867EC1">
        <w:rPr>
          <w:b/>
          <w:bCs/>
        </w:rPr>
        <w:t>.</w:t>
      </w:r>
      <w:r w:rsidRPr="00867EC1">
        <w:rPr>
          <w:b/>
          <w:bCs/>
        </w:rPr>
        <w:t xml:space="preserve"> Rezumatul modelului de regresie pentru anul 2019</w:t>
      </w:r>
      <w:bookmarkEnd w:id="13"/>
    </w:p>
    <w:p w14:paraId="3E5C074B" w14:textId="77777777" w:rsidR="004A7451" w:rsidRPr="006E1643" w:rsidRDefault="004A7451" w:rsidP="00A93D73">
      <w:pPr>
        <w:spacing w:line="276" w:lineRule="auto"/>
        <w:ind w:firstLine="0"/>
        <w:jc w:val="cente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2"/>
        <w:gridCol w:w="708"/>
        <w:gridCol w:w="752"/>
        <w:gridCol w:w="1039"/>
        <w:gridCol w:w="1039"/>
        <w:gridCol w:w="1039"/>
        <w:gridCol w:w="773"/>
        <w:gridCol w:w="708"/>
        <w:gridCol w:w="708"/>
        <w:gridCol w:w="1041"/>
        <w:gridCol w:w="1041"/>
      </w:tblGrid>
      <w:tr w:rsidR="00A93D73" w:rsidRPr="006E1643" w14:paraId="25930415" w14:textId="77777777" w:rsidTr="002775D7">
        <w:trPr>
          <w:cantSplit/>
        </w:trPr>
        <w:tc>
          <w:tcPr>
            <w:tcW w:w="5000" w:type="pct"/>
            <w:gridSpan w:val="11"/>
            <w:shd w:val="clear" w:color="auto" w:fill="auto"/>
          </w:tcPr>
          <w:p w14:paraId="6B909AE4" w14:textId="77777777" w:rsidR="00A93D73" w:rsidRPr="006E1643" w:rsidRDefault="00A93D73" w:rsidP="00A93D73">
            <w:pPr>
              <w:spacing w:line="276" w:lineRule="auto"/>
              <w:ind w:firstLine="0"/>
              <w:jc w:val="center"/>
              <w:rPr>
                <w:sz w:val="20"/>
                <w:szCs w:val="20"/>
              </w:rPr>
            </w:pPr>
            <w:r w:rsidRPr="006E1643">
              <w:rPr>
                <w:b/>
                <w:bCs/>
                <w:sz w:val="20"/>
                <w:szCs w:val="20"/>
              </w:rPr>
              <w:t>Model Summary</w:t>
            </w:r>
            <w:r w:rsidRPr="006E1643">
              <w:rPr>
                <w:b/>
                <w:bCs/>
                <w:sz w:val="20"/>
                <w:szCs w:val="20"/>
                <w:vertAlign w:val="superscript"/>
              </w:rPr>
              <w:t>b</w:t>
            </w:r>
          </w:p>
        </w:tc>
      </w:tr>
      <w:tr w:rsidR="00A93D73" w:rsidRPr="006E1643" w14:paraId="251F35A0" w14:textId="77777777" w:rsidTr="002775D7">
        <w:trPr>
          <w:cantSplit/>
        </w:trPr>
        <w:tc>
          <w:tcPr>
            <w:tcW w:w="401" w:type="pct"/>
            <w:vMerge w:val="restart"/>
            <w:shd w:val="clear" w:color="auto" w:fill="auto"/>
          </w:tcPr>
          <w:p w14:paraId="141058CC" w14:textId="77777777" w:rsidR="00A93D73" w:rsidRPr="006E1643" w:rsidRDefault="00A93D73" w:rsidP="00A93D73">
            <w:pPr>
              <w:spacing w:line="276" w:lineRule="auto"/>
              <w:ind w:firstLine="0"/>
              <w:jc w:val="center"/>
              <w:rPr>
                <w:sz w:val="20"/>
                <w:szCs w:val="20"/>
              </w:rPr>
            </w:pPr>
            <w:r w:rsidRPr="006E1643">
              <w:rPr>
                <w:sz w:val="20"/>
                <w:szCs w:val="20"/>
              </w:rPr>
              <w:t>Model</w:t>
            </w:r>
          </w:p>
        </w:tc>
        <w:tc>
          <w:tcPr>
            <w:tcW w:w="368" w:type="pct"/>
            <w:vMerge w:val="restart"/>
            <w:shd w:val="clear" w:color="auto" w:fill="auto"/>
          </w:tcPr>
          <w:p w14:paraId="522B424E" w14:textId="77777777" w:rsidR="00A93D73" w:rsidRPr="006E1643" w:rsidRDefault="00A93D73" w:rsidP="00A93D73">
            <w:pPr>
              <w:spacing w:line="276" w:lineRule="auto"/>
              <w:ind w:firstLine="0"/>
              <w:jc w:val="center"/>
              <w:rPr>
                <w:sz w:val="20"/>
                <w:szCs w:val="20"/>
              </w:rPr>
            </w:pPr>
            <w:r w:rsidRPr="006E1643">
              <w:rPr>
                <w:sz w:val="20"/>
                <w:szCs w:val="20"/>
              </w:rPr>
              <w:t>R</w:t>
            </w:r>
          </w:p>
        </w:tc>
        <w:tc>
          <w:tcPr>
            <w:tcW w:w="391" w:type="pct"/>
            <w:vMerge w:val="restart"/>
            <w:shd w:val="clear" w:color="auto" w:fill="auto"/>
          </w:tcPr>
          <w:p w14:paraId="609B8D04" w14:textId="77777777" w:rsidR="00A93D73" w:rsidRPr="006E1643" w:rsidRDefault="00A93D73" w:rsidP="00A93D73">
            <w:pPr>
              <w:spacing w:line="276" w:lineRule="auto"/>
              <w:ind w:firstLine="0"/>
              <w:jc w:val="center"/>
              <w:rPr>
                <w:sz w:val="20"/>
                <w:szCs w:val="20"/>
              </w:rPr>
            </w:pPr>
            <w:r w:rsidRPr="006E1643">
              <w:rPr>
                <w:sz w:val="20"/>
                <w:szCs w:val="20"/>
              </w:rPr>
              <w:t>R Square</w:t>
            </w:r>
          </w:p>
        </w:tc>
        <w:tc>
          <w:tcPr>
            <w:tcW w:w="540" w:type="pct"/>
            <w:vMerge w:val="restart"/>
            <w:shd w:val="clear" w:color="auto" w:fill="auto"/>
          </w:tcPr>
          <w:p w14:paraId="4A7DB4C2" w14:textId="77777777" w:rsidR="00A93D73" w:rsidRPr="006E1643" w:rsidRDefault="00A93D73" w:rsidP="00A93D73">
            <w:pPr>
              <w:spacing w:line="276" w:lineRule="auto"/>
              <w:ind w:firstLine="0"/>
              <w:jc w:val="center"/>
              <w:rPr>
                <w:sz w:val="20"/>
                <w:szCs w:val="20"/>
              </w:rPr>
            </w:pPr>
            <w:r w:rsidRPr="006E1643">
              <w:rPr>
                <w:sz w:val="20"/>
                <w:szCs w:val="20"/>
              </w:rPr>
              <w:t>Adjusted R Square</w:t>
            </w:r>
          </w:p>
        </w:tc>
        <w:tc>
          <w:tcPr>
            <w:tcW w:w="540" w:type="pct"/>
            <w:vMerge w:val="restart"/>
            <w:shd w:val="clear" w:color="auto" w:fill="auto"/>
          </w:tcPr>
          <w:p w14:paraId="538C5C4E" w14:textId="77777777" w:rsidR="00A93D73" w:rsidRPr="006E1643" w:rsidRDefault="00A93D73" w:rsidP="00A93D73">
            <w:pPr>
              <w:spacing w:line="276" w:lineRule="auto"/>
              <w:ind w:firstLine="0"/>
              <w:jc w:val="center"/>
              <w:rPr>
                <w:sz w:val="20"/>
                <w:szCs w:val="20"/>
              </w:rPr>
            </w:pPr>
            <w:r w:rsidRPr="006E1643">
              <w:rPr>
                <w:sz w:val="20"/>
                <w:szCs w:val="20"/>
              </w:rPr>
              <w:t>Std. Error of the Estimate</w:t>
            </w:r>
          </w:p>
        </w:tc>
        <w:tc>
          <w:tcPr>
            <w:tcW w:w="2219" w:type="pct"/>
            <w:gridSpan w:val="5"/>
            <w:shd w:val="clear" w:color="auto" w:fill="auto"/>
          </w:tcPr>
          <w:p w14:paraId="4ABDF068" w14:textId="77777777" w:rsidR="00A93D73" w:rsidRPr="006E1643" w:rsidRDefault="00A93D73" w:rsidP="00A93D73">
            <w:pPr>
              <w:spacing w:line="276" w:lineRule="auto"/>
              <w:ind w:firstLine="0"/>
              <w:jc w:val="center"/>
              <w:rPr>
                <w:sz w:val="20"/>
                <w:szCs w:val="20"/>
              </w:rPr>
            </w:pPr>
            <w:r w:rsidRPr="006E1643">
              <w:rPr>
                <w:sz w:val="20"/>
                <w:szCs w:val="20"/>
              </w:rPr>
              <w:t>Change Statistics</w:t>
            </w:r>
          </w:p>
        </w:tc>
        <w:tc>
          <w:tcPr>
            <w:tcW w:w="542" w:type="pct"/>
            <w:vMerge w:val="restart"/>
            <w:shd w:val="clear" w:color="auto" w:fill="auto"/>
          </w:tcPr>
          <w:p w14:paraId="73BC97FA" w14:textId="77777777" w:rsidR="00A93D73" w:rsidRPr="006E1643" w:rsidRDefault="00A93D73" w:rsidP="00A93D73">
            <w:pPr>
              <w:spacing w:line="276" w:lineRule="auto"/>
              <w:ind w:firstLine="0"/>
              <w:jc w:val="center"/>
              <w:rPr>
                <w:sz w:val="20"/>
                <w:szCs w:val="20"/>
              </w:rPr>
            </w:pPr>
            <w:r w:rsidRPr="006E1643">
              <w:rPr>
                <w:sz w:val="20"/>
                <w:szCs w:val="20"/>
              </w:rPr>
              <w:t>Durbin-Watson</w:t>
            </w:r>
          </w:p>
        </w:tc>
      </w:tr>
      <w:tr w:rsidR="00A93D73" w:rsidRPr="006E1643" w14:paraId="30BCB289" w14:textId="77777777" w:rsidTr="002775D7">
        <w:trPr>
          <w:cantSplit/>
        </w:trPr>
        <w:tc>
          <w:tcPr>
            <w:tcW w:w="401" w:type="pct"/>
            <w:vMerge/>
            <w:shd w:val="clear" w:color="auto" w:fill="auto"/>
          </w:tcPr>
          <w:p w14:paraId="395912DE" w14:textId="77777777" w:rsidR="00A93D73" w:rsidRPr="006E1643" w:rsidRDefault="00A93D73" w:rsidP="00A93D73">
            <w:pPr>
              <w:spacing w:line="276" w:lineRule="auto"/>
              <w:ind w:firstLine="0"/>
              <w:jc w:val="center"/>
              <w:rPr>
                <w:sz w:val="20"/>
                <w:szCs w:val="20"/>
              </w:rPr>
            </w:pPr>
          </w:p>
        </w:tc>
        <w:tc>
          <w:tcPr>
            <w:tcW w:w="368" w:type="pct"/>
            <w:vMerge/>
            <w:shd w:val="clear" w:color="auto" w:fill="auto"/>
          </w:tcPr>
          <w:p w14:paraId="29359D06" w14:textId="77777777" w:rsidR="00A93D73" w:rsidRPr="006E1643" w:rsidRDefault="00A93D73" w:rsidP="00A93D73">
            <w:pPr>
              <w:spacing w:line="276" w:lineRule="auto"/>
              <w:ind w:firstLine="0"/>
              <w:jc w:val="center"/>
              <w:rPr>
                <w:sz w:val="20"/>
                <w:szCs w:val="20"/>
              </w:rPr>
            </w:pPr>
          </w:p>
        </w:tc>
        <w:tc>
          <w:tcPr>
            <w:tcW w:w="391" w:type="pct"/>
            <w:vMerge/>
            <w:shd w:val="clear" w:color="auto" w:fill="auto"/>
          </w:tcPr>
          <w:p w14:paraId="08D5C8DF" w14:textId="77777777" w:rsidR="00A93D73" w:rsidRPr="006E1643" w:rsidRDefault="00A93D73" w:rsidP="00A93D73">
            <w:pPr>
              <w:spacing w:line="276" w:lineRule="auto"/>
              <w:ind w:firstLine="0"/>
              <w:jc w:val="center"/>
              <w:rPr>
                <w:sz w:val="20"/>
                <w:szCs w:val="20"/>
              </w:rPr>
            </w:pPr>
          </w:p>
        </w:tc>
        <w:tc>
          <w:tcPr>
            <w:tcW w:w="540" w:type="pct"/>
            <w:vMerge/>
            <w:shd w:val="clear" w:color="auto" w:fill="auto"/>
          </w:tcPr>
          <w:p w14:paraId="0C87D6C0" w14:textId="77777777" w:rsidR="00A93D73" w:rsidRPr="006E1643" w:rsidRDefault="00A93D73" w:rsidP="00A93D73">
            <w:pPr>
              <w:spacing w:line="276" w:lineRule="auto"/>
              <w:ind w:firstLine="0"/>
              <w:jc w:val="center"/>
              <w:rPr>
                <w:sz w:val="20"/>
                <w:szCs w:val="20"/>
              </w:rPr>
            </w:pPr>
          </w:p>
        </w:tc>
        <w:tc>
          <w:tcPr>
            <w:tcW w:w="540" w:type="pct"/>
            <w:vMerge/>
            <w:shd w:val="clear" w:color="auto" w:fill="auto"/>
          </w:tcPr>
          <w:p w14:paraId="52463F04" w14:textId="77777777" w:rsidR="00A93D73" w:rsidRPr="006E1643" w:rsidRDefault="00A93D73" w:rsidP="00A93D73">
            <w:pPr>
              <w:spacing w:line="276" w:lineRule="auto"/>
              <w:ind w:firstLine="0"/>
              <w:jc w:val="center"/>
              <w:rPr>
                <w:sz w:val="20"/>
                <w:szCs w:val="20"/>
              </w:rPr>
            </w:pPr>
          </w:p>
        </w:tc>
        <w:tc>
          <w:tcPr>
            <w:tcW w:w="540" w:type="pct"/>
            <w:shd w:val="clear" w:color="auto" w:fill="auto"/>
          </w:tcPr>
          <w:p w14:paraId="6BEC704A" w14:textId="77777777" w:rsidR="00A93D73" w:rsidRPr="006E1643" w:rsidRDefault="00A93D73" w:rsidP="00A93D73">
            <w:pPr>
              <w:spacing w:line="276" w:lineRule="auto"/>
              <w:ind w:firstLine="0"/>
              <w:jc w:val="center"/>
              <w:rPr>
                <w:sz w:val="20"/>
                <w:szCs w:val="20"/>
              </w:rPr>
            </w:pPr>
            <w:r w:rsidRPr="006E1643">
              <w:rPr>
                <w:sz w:val="20"/>
                <w:szCs w:val="20"/>
              </w:rPr>
              <w:t>R Square Change</w:t>
            </w:r>
          </w:p>
        </w:tc>
        <w:tc>
          <w:tcPr>
            <w:tcW w:w="402" w:type="pct"/>
            <w:shd w:val="clear" w:color="auto" w:fill="auto"/>
          </w:tcPr>
          <w:p w14:paraId="689CC00A" w14:textId="77777777" w:rsidR="00A93D73" w:rsidRPr="006E1643" w:rsidRDefault="00A93D73" w:rsidP="00A93D73">
            <w:pPr>
              <w:spacing w:line="276" w:lineRule="auto"/>
              <w:ind w:firstLine="0"/>
              <w:jc w:val="center"/>
              <w:rPr>
                <w:sz w:val="20"/>
                <w:szCs w:val="20"/>
              </w:rPr>
            </w:pPr>
            <w:r w:rsidRPr="006E1643">
              <w:rPr>
                <w:sz w:val="20"/>
                <w:szCs w:val="20"/>
              </w:rPr>
              <w:t>F Change</w:t>
            </w:r>
          </w:p>
        </w:tc>
        <w:tc>
          <w:tcPr>
            <w:tcW w:w="368" w:type="pct"/>
            <w:shd w:val="clear" w:color="auto" w:fill="auto"/>
          </w:tcPr>
          <w:p w14:paraId="608034E5" w14:textId="77777777" w:rsidR="00A93D73" w:rsidRPr="006E1643" w:rsidRDefault="00A93D73" w:rsidP="00A93D73">
            <w:pPr>
              <w:spacing w:line="276" w:lineRule="auto"/>
              <w:ind w:firstLine="0"/>
              <w:jc w:val="center"/>
              <w:rPr>
                <w:sz w:val="20"/>
                <w:szCs w:val="20"/>
              </w:rPr>
            </w:pPr>
            <w:r w:rsidRPr="006E1643">
              <w:rPr>
                <w:sz w:val="20"/>
                <w:szCs w:val="20"/>
              </w:rPr>
              <w:t>df1</w:t>
            </w:r>
          </w:p>
        </w:tc>
        <w:tc>
          <w:tcPr>
            <w:tcW w:w="368" w:type="pct"/>
            <w:shd w:val="clear" w:color="auto" w:fill="auto"/>
          </w:tcPr>
          <w:p w14:paraId="317A194C" w14:textId="77777777" w:rsidR="00A93D73" w:rsidRPr="006E1643" w:rsidRDefault="00A93D73" w:rsidP="00A93D73">
            <w:pPr>
              <w:spacing w:line="276" w:lineRule="auto"/>
              <w:ind w:firstLine="0"/>
              <w:jc w:val="center"/>
              <w:rPr>
                <w:sz w:val="20"/>
                <w:szCs w:val="20"/>
              </w:rPr>
            </w:pPr>
            <w:r w:rsidRPr="006E1643">
              <w:rPr>
                <w:sz w:val="20"/>
                <w:szCs w:val="20"/>
              </w:rPr>
              <w:t>df2</w:t>
            </w:r>
          </w:p>
        </w:tc>
        <w:tc>
          <w:tcPr>
            <w:tcW w:w="541" w:type="pct"/>
            <w:shd w:val="clear" w:color="auto" w:fill="auto"/>
          </w:tcPr>
          <w:p w14:paraId="342945DD" w14:textId="77777777" w:rsidR="00A93D73" w:rsidRPr="006E1643" w:rsidRDefault="00A93D73" w:rsidP="00A93D73">
            <w:pPr>
              <w:spacing w:line="276" w:lineRule="auto"/>
              <w:ind w:firstLine="0"/>
              <w:jc w:val="center"/>
              <w:rPr>
                <w:sz w:val="20"/>
                <w:szCs w:val="20"/>
              </w:rPr>
            </w:pPr>
            <w:r w:rsidRPr="006E1643">
              <w:rPr>
                <w:sz w:val="20"/>
                <w:szCs w:val="20"/>
              </w:rPr>
              <w:t>Sig. F Change</w:t>
            </w:r>
          </w:p>
        </w:tc>
        <w:tc>
          <w:tcPr>
            <w:tcW w:w="542" w:type="pct"/>
            <w:vMerge/>
            <w:shd w:val="clear" w:color="auto" w:fill="auto"/>
          </w:tcPr>
          <w:p w14:paraId="2E69ED2D" w14:textId="77777777" w:rsidR="00A93D73" w:rsidRPr="006E1643" w:rsidRDefault="00A93D73" w:rsidP="00A93D73">
            <w:pPr>
              <w:spacing w:line="276" w:lineRule="auto"/>
              <w:ind w:firstLine="0"/>
              <w:jc w:val="center"/>
              <w:rPr>
                <w:sz w:val="20"/>
                <w:szCs w:val="20"/>
              </w:rPr>
            </w:pPr>
          </w:p>
        </w:tc>
      </w:tr>
      <w:tr w:rsidR="00A93D73" w:rsidRPr="006E1643" w14:paraId="6AF2CB19" w14:textId="77777777" w:rsidTr="002775D7">
        <w:trPr>
          <w:cantSplit/>
        </w:trPr>
        <w:tc>
          <w:tcPr>
            <w:tcW w:w="401" w:type="pct"/>
            <w:shd w:val="clear" w:color="auto" w:fill="auto"/>
            <w:vAlign w:val="center"/>
          </w:tcPr>
          <w:p w14:paraId="521A0DC8" w14:textId="77777777" w:rsidR="00A93D73" w:rsidRPr="006E1643" w:rsidRDefault="00A93D73" w:rsidP="00A93D73">
            <w:pPr>
              <w:spacing w:line="276" w:lineRule="auto"/>
              <w:ind w:firstLine="0"/>
              <w:jc w:val="center"/>
              <w:rPr>
                <w:sz w:val="20"/>
                <w:szCs w:val="20"/>
              </w:rPr>
            </w:pPr>
            <w:r w:rsidRPr="006E1643">
              <w:rPr>
                <w:sz w:val="20"/>
                <w:szCs w:val="20"/>
              </w:rPr>
              <w:t>2019</w:t>
            </w:r>
          </w:p>
        </w:tc>
        <w:tc>
          <w:tcPr>
            <w:tcW w:w="368" w:type="pct"/>
            <w:shd w:val="clear" w:color="auto" w:fill="auto"/>
            <w:vAlign w:val="center"/>
          </w:tcPr>
          <w:p w14:paraId="4C8F8D98" w14:textId="77777777" w:rsidR="00A93D73" w:rsidRPr="006E1643" w:rsidRDefault="00A93D73" w:rsidP="00A93D73">
            <w:pPr>
              <w:spacing w:line="276" w:lineRule="auto"/>
              <w:ind w:firstLine="0"/>
              <w:jc w:val="center"/>
              <w:rPr>
                <w:sz w:val="20"/>
                <w:szCs w:val="20"/>
              </w:rPr>
            </w:pPr>
            <w:r w:rsidRPr="006E1643">
              <w:rPr>
                <w:sz w:val="20"/>
                <w:szCs w:val="20"/>
              </w:rPr>
              <w:t>,471</w:t>
            </w:r>
            <w:r w:rsidRPr="006E1643">
              <w:rPr>
                <w:sz w:val="20"/>
                <w:szCs w:val="20"/>
                <w:vertAlign w:val="superscript"/>
              </w:rPr>
              <w:t>a</w:t>
            </w:r>
          </w:p>
        </w:tc>
        <w:tc>
          <w:tcPr>
            <w:tcW w:w="391" w:type="pct"/>
            <w:shd w:val="clear" w:color="auto" w:fill="auto"/>
            <w:vAlign w:val="center"/>
          </w:tcPr>
          <w:p w14:paraId="3A37D530" w14:textId="77777777" w:rsidR="00A93D73" w:rsidRPr="006E1643" w:rsidRDefault="00A93D73" w:rsidP="00A93D73">
            <w:pPr>
              <w:spacing w:line="276" w:lineRule="auto"/>
              <w:ind w:firstLine="0"/>
              <w:jc w:val="center"/>
              <w:rPr>
                <w:sz w:val="20"/>
                <w:szCs w:val="20"/>
              </w:rPr>
            </w:pPr>
            <w:r w:rsidRPr="006E1643">
              <w:rPr>
                <w:sz w:val="20"/>
                <w:szCs w:val="20"/>
              </w:rPr>
              <w:t>,222</w:t>
            </w:r>
          </w:p>
        </w:tc>
        <w:tc>
          <w:tcPr>
            <w:tcW w:w="540" w:type="pct"/>
            <w:shd w:val="clear" w:color="auto" w:fill="auto"/>
            <w:vAlign w:val="center"/>
          </w:tcPr>
          <w:p w14:paraId="0AFA6B88" w14:textId="77777777" w:rsidR="00A93D73" w:rsidRPr="006E1643" w:rsidRDefault="00A93D73" w:rsidP="00A93D73">
            <w:pPr>
              <w:spacing w:line="276" w:lineRule="auto"/>
              <w:ind w:firstLine="0"/>
              <w:jc w:val="center"/>
              <w:rPr>
                <w:sz w:val="20"/>
                <w:szCs w:val="20"/>
              </w:rPr>
            </w:pPr>
            <w:r w:rsidRPr="006E1643">
              <w:rPr>
                <w:sz w:val="20"/>
                <w:szCs w:val="20"/>
              </w:rPr>
              <w:t>,208</w:t>
            </w:r>
          </w:p>
        </w:tc>
        <w:tc>
          <w:tcPr>
            <w:tcW w:w="540" w:type="pct"/>
            <w:shd w:val="clear" w:color="auto" w:fill="auto"/>
            <w:vAlign w:val="center"/>
          </w:tcPr>
          <w:p w14:paraId="43FBF2C2" w14:textId="77777777" w:rsidR="00A93D73" w:rsidRPr="006E1643" w:rsidRDefault="00A93D73" w:rsidP="00A93D73">
            <w:pPr>
              <w:spacing w:line="276" w:lineRule="auto"/>
              <w:ind w:firstLine="0"/>
              <w:jc w:val="center"/>
              <w:rPr>
                <w:sz w:val="20"/>
                <w:szCs w:val="20"/>
              </w:rPr>
            </w:pPr>
            <w:r w:rsidRPr="006E1643">
              <w:rPr>
                <w:sz w:val="20"/>
                <w:szCs w:val="20"/>
                <w:lang w:val="en-US"/>
              </w:rPr>
              <w:t>,671507</w:t>
            </w:r>
          </w:p>
        </w:tc>
        <w:tc>
          <w:tcPr>
            <w:tcW w:w="540" w:type="pct"/>
            <w:shd w:val="clear" w:color="auto" w:fill="auto"/>
            <w:vAlign w:val="center"/>
          </w:tcPr>
          <w:p w14:paraId="339CD8B7" w14:textId="77777777" w:rsidR="00A93D73" w:rsidRPr="006E1643" w:rsidRDefault="00A93D73" w:rsidP="00A93D73">
            <w:pPr>
              <w:spacing w:line="276" w:lineRule="auto"/>
              <w:ind w:firstLine="0"/>
              <w:jc w:val="center"/>
              <w:rPr>
                <w:sz w:val="20"/>
                <w:szCs w:val="20"/>
              </w:rPr>
            </w:pPr>
            <w:r w:rsidRPr="006E1643">
              <w:rPr>
                <w:sz w:val="20"/>
                <w:szCs w:val="20"/>
              </w:rPr>
              <w:t>,222</w:t>
            </w:r>
          </w:p>
        </w:tc>
        <w:tc>
          <w:tcPr>
            <w:tcW w:w="402" w:type="pct"/>
            <w:shd w:val="clear" w:color="auto" w:fill="auto"/>
            <w:vAlign w:val="center"/>
          </w:tcPr>
          <w:p w14:paraId="2332AEF6" w14:textId="77777777" w:rsidR="00A93D73" w:rsidRPr="006E1643" w:rsidRDefault="00A93D73" w:rsidP="00A93D73">
            <w:pPr>
              <w:spacing w:line="276" w:lineRule="auto"/>
              <w:ind w:firstLine="0"/>
              <w:jc w:val="center"/>
              <w:rPr>
                <w:sz w:val="20"/>
                <w:szCs w:val="20"/>
              </w:rPr>
            </w:pPr>
            <w:r w:rsidRPr="006E1643">
              <w:rPr>
                <w:sz w:val="20"/>
                <w:szCs w:val="20"/>
              </w:rPr>
              <w:t>16,251</w:t>
            </w:r>
          </w:p>
        </w:tc>
        <w:tc>
          <w:tcPr>
            <w:tcW w:w="368" w:type="pct"/>
            <w:shd w:val="clear" w:color="auto" w:fill="auto"/>
            <w:vAlign w:val="center"/>
          </w:tcPr>
          <w:p w14:paraId="6A6EDBF8" w14:textId="77777777" w:rsidR="00A93D73" w:rsidRPr="006E1643" w:rsidRDefault="00A93D73" w:rsidP="00A93D73">
            <w:pPr>
              <w:spacing w:line="276" w:lineRule="auto"/>
              <w:ind w:firstLine="0"/>
              <w:jc w:val="center"/>
              <w:rPr>
                <w:sz w:val="20"/>
                <w:szCs w:val="20"/>
              </w:rPr>
            </w:pPr>
            <w:r w:rsidRPr="006E1643">
              <w:rPr>
                <w:sz w:val="20"/>
                <w:szCs w:val="20"/>
              </w:rPr>
              <w:t>1</w:t>
            </w:r>
          </w:p>
        </w:tc>
        <w:tc>
          <w:tcPr>
            <w:tcW w:w="368" w:type="pct"/>
            <w:shd w:val="clear" w:color="auto" w:fill="auto"/>
            <w:vAlign w:val="center"/>
          </w:tcPr>
          <w:p w14:paraId="39F9B9AC" w14:textId="77777777" w:rsidR="00A93D73" w:rsidRPr="006E1643" w:rsidRDefault="00A93D73" w:rsidP="00A93D73">
            <w:pPr>
              <w:spacing w:line="276" w:lineRule="auto"/>
              <w:ind w:firstLine="0"/>
              <w:jc w:val="center"/>
              <w:rPr>
                <w:sz w:val="20"/>
                <w:szCs w:val="20"/>
              </w:rPr>
            </w:pPr>
            <w:r w:rsidRPr="006E1643">
              <w:rPr>
                <w:sz w:val="20"/>
                <w:szCs w:val="20"/>
              </w:rPr>
              <w:t>57</w:t>
            </w:r>
          </w:p>
        </w:tc>
        <w:tc>
          <w:tcPr>
            <w:tcW w:w="541" w:type="pct"/>
            <w:shd w:val="clear" w:color="auto" w:fill="auto"/>
            <w:vAlign w:val="center"/>
          </w:tcPr>
          <w:p w14:paraId="3C54C9A3" w14:textId="77777777" w:rsidR="00A93D73" w:rsidRPr="006E1643" w:rsidRDefault="00A93D73" w:rsidP="00A93D73">
            <w:pPr>
              <w:spacing w:line="276" w:lineRule="auto"/>
              <w:ind w:firstLine="0"/>
              <w:jc w:val="center"/>
              <w:rPr>
                <w:sz w:val="20"/>
                <w:szCs w:val="20"/>
              </w:rPr>
            </w:pPr>
            <w:r w:rsidRPr="006E1643">
              <w:rPr>
                <w:sz w:val="20"/>
                <w:szCs w:val="20"/>
              </w:rPr>
              <w:t>,000</w:t>
            </w:r>
          </w:p>
        </w:tc>
        <w:tc>
          <w:tcPr>
            <w:tcW w:w="542" w:type="pct"/>
            <w:shd w:val="clear" w:color="auto" w:fill="auto"/>
            <w:vAlign w:val="center"/>
          </w:tcPr>
          <w:p w14:paraId="1BC83700" w14:textId="77777777" w:rsidR="00A93D73" w:rsidRPr="006E1643" w:rsidRDefault="00A93D73" w:rsidP="00A93D73">
            <w:pPr>
              <w:spacing w:line="276" w:lineRule="auto"/>
              <w:ind w:firstLine="0"/>
              <w:jc w:val="center"/>
              <w:rPr>
                <w:sz w:val="20"/>
                <w:szCs w:val="20"/>
              </w:rPr>
            </w:pPr>
            <w:r w:rsidRPr="006E1643">
              <w:rPr>
                <w:sz w:val="20"/>
                <w:szCs w:val="20"/>
                <w:lang w:val="en-US"/>
              </w:rPr>
              <w:t>1,969</w:t>
            </w:r>
          </w:p>
        </w:tc>
      </w:tr>
      <w:tr w:rsidR="00A93D73" w:rsidRPr="006E1643" w14:paraId="15479EE6" w14:textId="77777777" w:rsidTr="002775D7">
        <w:trPr>
          <w:cantSplit/>
        </w:trPr>
        <w:tc>
          <w:tcPr>
            <w:tcW w:w="5000" w:type="pct"/>
            <w:gridSpan w:val="11"/>
            <w:shd w:val="clear" w:color="auto" w:fill="auto"/>
          </w:tcPr>
          <w:p w14:paraId="7F665E96" w14:textId="77777777" w:rsidR="00A93D73" w:rsidRPr="006E1643" w:rsidRDefault="00A93D73" w:rsidP="00E01127">
            <w:pPr>
              <w:spacing w:line="276" w:lineRule="auto"/>
              <w:ind w:firstLine="0"/>
              <w:jc w:val="left"/>
              <w:rPr>
                <w:sz w:val="20"/>
                <w:szCs w:val="20"/>
              </w:rPr>
            </w:pPr>
            <w:r w:rsidRPr="006E1643">
              <w:rPr>
                <w:sz w:val="20"/>
                <w:szCs w:val="20"/>
              </w:rPr>
              <w:t>a. Predictors: (Constant), Var.IMPAT2019</w:t>
            </w:r>
          </w:p>
        </w:tc>
      </w:tr>
      <w:tr w:rsidR="00A93D73" w:rsidRPr="006E1643" w14:paraId="74EC1520" w14:textId="77777777" w:rsidTr="002775D7">
        <w:trPr>
          <w:cantSplit/>
        </w:trPr>
        <w:tc>
          <w:tcPr>
            <w:tcW w:w="5000" w:type="pct"/>
            <w:gridSpan w:val="11"/>
            <w:shd w:val="clear" w:color="auto" w:fill="auto"/>
          </w:tcPr>
          <w:p w14:paraId="77A7A183" w14:textId="77777777" w:rsidR="00A93D73" w:rsidRPr="006E1643" w:rsidRDefault="00A93D73" w:rsidP="00E01127">
            <w:pPr>
              <w:spacing w:line="276" w:lineRule="auto"/>
              <w:ind w:firstLine="0"/>
              <w:jc w:val="left"/>
              <w:rPr>
                <w:sz w:val="20"/>
                <w:szCs w:val="20"/>
              </w:rPr>
            </w:pPr>
            <w:r w:rsidRPr="006E1643">
              <w:rPr>
                <w:sz w:val="20"/>
                <w:szCs w:val="20"/>
              </w:rPr>
              <w:t>b. Dependent Variable: Var.CAAT2019</w:t>
            </w:r>
          </w:p>
        </w:tc>
      </w:tr>
    </w:tbl>
    <w:p w14:paraId="1FF35441" w14:textId="77777777" w:rsidR="00A93D73" w:rsidRPr="006E1643" w:rsidRDefault="00A93D73" w:rsidP="002775D7">
      <w:pPr>
        <w:spacing w:line="276" w:lineRule="auto"/>
        <w:ind w:firstLine="0"/>
        <w:jc w:val="center"/>
        <w:rPr>
          <w:sz w:val="20"/>
          <w:szCs w:val="20"/>
        </w:rPr>
      </w:pPr>
      <w:r w:rsidRPr="006E1643">
        <w:rPr>
          <w:b/>
          <w:sz w:val="20"/>
          <w:szCs w:val="20"/>
        </w:rPr>
        <w:t>Sursa</w:t>
      </w:r>
      <w:r w:rsidRPr="006E1643">
        <w:rPr>
          <w:sz w:val="20"/>
          <w:szCs w:val="20"/>
        </w:rPr>
        <w:t>: prelucrare proprie în SPSS</w:t>
      </w:r>
    </w:p>
    <w:p w14:paraId="54F3FD2E" w14:textId="77777777" w:rsidR="00A93D73" w:rsidRPr="006E1643" w:rsidRDefault="00A93D73" w:rsidP="00A93D73">
      <w:pPr>
        <w:spacing w:line="276" w:lineRule="auto"/>
        <w:ind w:firstLine="0"/>
        <w:jc w:val="center"/>
        <w:rPr>
          <w:sz w:val="20"/>
          <w:szCs w:val="20"/>
        </w:rPr>
      </w:pPr>
    </w:p>
    <w:p w14:paraId="2F44B710" w14:textId="77777777" w:rsidR="00A93D73" w:rsidRDefault="00A93D73" w:rsidP="004220AF">
      <w:pPr>
        <w:spacing w:line="276" w:lineRule="auto"/>
        <w:ind w:firstLine="708"/>
      </w:pPr>
      <w:r w:rsidRPr="004220AF">
        <w:t xml:space="preserve">Așadar coeficientul de corelație este de 0,471, iar valoarea lui R pătrat de 0,222, ceea ce semnifică faptul că aproximativ 22,20% din variația mărimii surogat </w:t>
      </w:r>
      <w:r w:rsidRPr="004220AF">
        <w:rPr>
          <w:i/>
        </w:rPr>
        <w:t>Contabilitate</w:t>
      </w:r>
      <w:r w:rsidRPr="004220AF">
        <w:t>, este datorată valorii atribuite fiscalității, fiind prezisă în funcție de aceasta, o proporție mult mai mică decât cea din modelul general și mult redusă față de valoarea din anul precedent.</w:t>
      </w:r>
      <w:r w:rsidR="004220AF" w:rsidRPr="004220AF">
        <w:t xml:space="preserve"> </w:t>
      </w:r>
      <w:r w:rsidRPr="004220AF">
        <w:t>Ecuația de regresie în acest caz a luat forma:</w:t>
      </w:r>
    </w:p>
    <w:p w14:paraId="7A2FA31F" w14:textId="77777777" w:rsidR="00F37ABE" w:rsidRPr="004220AF" w:rsidRDefault="00F37ABE" w:rsidP="004220AF">
      <w:pPr>
        <w:spacing w:line="276" w:lineRule="auto"/>
        <w:ind w:firstLine="708"/>
      </w:pPr>
    </w:p>
    <w:tbl>
      <w:tblPr>
        <w:tblW w:w="0" w:type="auto"/>
        <w:jc w:val="center"/>
        <w:tblLook w:val="04A0" w:firstRow="1" w:lastRow="0" w:firstColumn="1" w:lastColumn="0" w:noHBand="0" w:noVBand="1"/>
      </w:tblPr>
      <w:tblGrid>
        <w:gridCol w:w="700"/>
        <w:gridCol w:w="6898"/>
        <w:gridCol w:w="566"/>
      </w:tblGrid>
      <w:tr w:rsidR="00A93D73" w:rsidRPr="006E1643" w14:paraId="447CB82C" w14:textId="77777777" w:rsidTr="00D27DA3">
        <w:trPr>
          <w:jc w:val="center"/>
        </w:trPr>
        <w:tc>
          <w:tcPr>
            <w:tcW w:w="700" w:type="dxa"/>
            <w:vAlign w:val="center"/>
          </w:tcPr>
          <w:p w14:paraId="1091D2F4" w14:textId="77777777" w:rsidR="00A93D73" w:rsidRPr="006E1643" w:rsidRDefault="00A93D73" w:rsidP="00E01127">
            <w:pPr>
              <w:spacing w:line="276" w:lineRule="auto"/>
              <w:ind w:firstLine="0"/>
              <w:rPr>
                <w:sz w:val="20"/>
                <w:szCs w:val="20"/>
              </w:rPr>
            </w:pPr>
          </w:p>
        </w:tc>
        <w:tc>
          <w:tcPr>
            <w:tcW w:w="6898" w:type="dxa"/>
            <w:vAlign w:val="center"/>
          </w:tcPr>
          <w:p w14:paraId="45568354" w14:textId="77777777" w:rsidR="00A93D73" w:rsidRPr="006E1643" w:rsidRDefault="00A93D73" w:rsidP="00E01127">
            <w:pPr>
              <w:spacing w:line="276" w:lineRule="auto"/>
              <w:ind w:firstLine="0"/>
              <w:rPr>
                <w:sz w:val="20"/>
                <w:szCs w:val="20"/>
              </w:rPr>
            </w:pPr>
            <m:oMathPara>
              <m:oMath>
                <m:r>
                  <w:rPr>
                    <w:rFonts w:ascii="Cambria Math" w:hAnsi="Cambria Math"/>
                    <w:sz w:val="20"/>
                    <w:szCs w:val="20"/>
                  </w:rPr>
                  <m:t>y=0,536+27,154x</m:t>
                </m:r>
              </m:oMath>
            </m:oMathPara>
          </w:p>
        </w:tc>
        <w:tc>
          <w:tcPr>
            <w:tcW w:w="566" w:type="dxa"/>
            <w:vAlign w:val="center"/>
          </w:tcPr>
          <w:p w14:paraId="22F8F932" w14:textId="77777777" w:rsidR="00A93D73" w:rsidRPr="006E1643" w:rsidRDefault="00A93D73" w:rsidP="00E01127">
            <w:pPr>
              <w:spacing w:line="276" w:lineRule="auto"/>
              <w:ind w:firstLine="0"/>
              <w:rPr>
                <w:sz w:val="20"/>
                <w:szCs w:val="20"/>
              </w:rPr>
            </w:pPr>
            <w:r w:rsidRPr="006E1643">
              <w:rPr>
                <w:sz w:val="20"/>
                <w:szCs w:val="20"/>
              </w:rPr>
              <w:t>(</w:t>
            </w:r>
            <w:r w:rsidR="00014929" w:rsidRPr="006E1643">
              <w:rPr>
                <w:sz w:val="20"/>
                <w:szCs w:val="20"/>
              </w:rPr>
              <w:fldChar w:fldCharType="begin"/>
            </w:r>
            <w:r w:rsidRPr="006E1643">
              <w:rPr>
                <w:sz w:val="20"/>
                <w:szCs w:val="20"/>
              </w:rPr>
              <w:instrText xml:space="preserve"> SEQ Ecuație \* ARABIC </w:instrText>
            </w:r>
            <w:r w:rsidR="00014929" w:rsidRPr="006E1643">
              <w:rPr>
                <w:sz w:val="20"/>
                <w:szCs w:val="20"/>
              </w:rPr>
              <w:fldChar w:fldCharType="separate"/>
            </w:r>
            <w:r w:rsidR="004B4489" w:rsidRPr="006E1643">
              <w:rPr>
                <w:noProof/>
                <w:sz w:val="20"/>
                <w:szCs w:val="20"/>
              </w:rPr>
              <w:t>9</w:t>
            </w:r>
            <w:r w:rsidR="00014929" w:rsidRPr="006E1643">
              <w:rPr>
                <w:sz w:val="20"/>
                <w:szCs w:val="20"/>
              </w:rPr>
              <w:fldChar w:fldCharType="end"/>
            </w:r>
            <w:r w:rsidRPr="006E1643">
              <w:rPr>
                <w:sz w:val="20"/>
                <w:szCs w:val="20"/>
              </w:rPr>
              <w:t>)</w:t>
            </w:r>
          </w:p>
        </w:tc>
      </w:tr>
    </w:tbl>
    <w:p w14:paraId="7FB254FC" w14:textId="77777777" w:rsidR="00A93D73" w:rsidRPr="006E1643" w:rsidRDefault="00A93D73" w:rsidP="00A93D73">
      <w:pPr>
        <w:spacing w:line="276" w:lineRule="auto"/>
        <w:ind w:firstLine="0"/>
        <w:jc w:val="center"/>
        <w:rPr>
          <w:sz w:val="20"/>
          <w:szCs w:val="20"/>
          <w:lang w:val="en-US"/>
        </w:rPr>
      </w:pPr>
    </w:p>
    <w:p w14:paraId="1BB9EC54" w14:textId="38C7AC3F" w:rsidR="00A93D73" w:rsidRPr="00867EC1" w:rsidRDefault="00867EC1" w:rsidP="00867EC1">
      <w:pPr>
        <w:pStyle w:val="ListParagraph"/>
        <w:numPr>
          <w:ilvl w:val="0"/>
          <w:numId w:val="7"/>
        </w:numPr>
        <w:tabs>
          <w:tab w:val="left" w:pos="709"/>
          <w:tab w:val="left" w:pos="851"/>
          <w:tab w:val="left" w:pos="1134"/>
        </w:tabs>
        <w:spacing w:line="276" w:lineRule="auto"/>
        <w:ind w:left="0" w:firstLine="284"/>
        <w:jc w:val="left"/>
        <w:rPr>
          <w:sz w:val="20"/>
          <w:szCs w:val="20"/>
        </w:rPr>
      </w:pPr>
      <w:r w:rsidRPr="00867EC1">
        <w:rPr>
          <w:b/>
          <w:lang w:val="en-US"/>
        </w:rPr>
        <w:t>REZULTATELE CERCETĂRII ȘI DISCUȚII</w:t>
      </w:r>
    </w:p>
    <w:p w14:paraId="46AC12E1" w14:textId="77777777" w:rsidR="00F37ABE" w:rsidRPr="00F37ABE" w:rsidRDefault="00F37ABE" w:rsidP="00F37ABE">
      <w:pPr>
        <w:ind w:firstLine="360"/>
      </w:pPr>
      <w:r w:rsidRPr="00F37ABE">
        <w:t>Rezultatele cercetărilor statistice efectuate indică faptul că pentru domeniile studiate: Distilarea, rafinarea și amestecarea băuturilor alcoolice și Fabricarea berii, normele, regulile și reglementările fiscale exercită o influență semnificativă din punct de vedere statistic asupra calității informațiilor și deciziilor contabile la nivel național, cuantificată la 43,90% pentru perioada 2015 - 2019.</w:t>
      </w:r>
    </w:p>
    <w:p w14:paraId="525D1CB3" w14:textId="77777777" w:rsidR="00737615" w:rsidRPr="00F37ABE" w:rsidRDefault="00F37ABE" w:rsidP="00F37ABE">
      <w:pPr>
        <w:ind w:firstLine="0"/>
      </w:pPr>
      <w:r w:rsidRPr="00F37ABE">
        <w:t>În urma personalizării modelului de regresie pe fiecare an inclus în studiu, au rezultat datele prezentate în figura 5 de mai jos:</w:t>
      </w:r>
    </w:p>
    <w:p w14:paraId="5922EC7F" w14:textId="77777777" w:rsidR="00F37ABE" w:rsidRPr="006E1643" w:rsidRDefault="00F37ABE" w:rsidP="00F37ABE">
      <w:pPr>
        <w:ind w:firstLine="0"/>
        <w:rPr>
          <w:bCs/>
          <w:sz w:val="20"/>
          <w:szCs w:val="20"/>
        </w:rPr>
      </w:pPr>
    </w:p>
    <w:p w14:paraId="2BD7AC70" w14:textId="77777777" w:rsidR="00E01127" w:rsidRPr="006E1643" w:rsidRDefault="00E01127" w:rsidP="00E01127">
      <w:pPr>
        <w:ind w:firstLine="0"/>
        <w:jc w:val="center"/>
        <w:rPr>
          <w:sz w:val="20"/>
          <w:szCs w:val="20"/>
        </w:rPr>
      </w:pPr>
      <w:r w:rsidRPr="006E1643">
        <w:rPr>
          <w:noProof/>
          <w:sz w:val="20"/>
          <w:szCs w:val="20"/>
          <w:lang w:val="en-US" w:eastAsia="en-US"/>
        </w:rPr>
        <w:drawing>
          <wp:inline distT="0" distB="0" distL="0" distR="0" wp14:anchorId="19F69420" wp14:editId="239D50BD">
            <wp:extent cx="4019885" cy="1777041"/>
            <wp:effectExtent l="0" t="0" r="0"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FF1889" w14:textId="016F4C1E" w:rsidR="00F37ABE" w:rsidRPr="00867EC1" w:rsidRDefault="00F37ABE" w:rsidP="00E01127">
      <w:pPr>
        <w:ind w:firstLine="0"/>
        <w:jc w:val="center"/>
        <w:rPr>
          <w:b/>
          <w:bCs/>
        </w:rPr>
      </w:pPr>
      <w:bookmarkStart w:id="14" w:name="_Toc76371884"/>
      <w:r w:rsidRPr="00F37ABE">
        <w:rPr>
          <w:b/>
          <w:bCs/>
        </w:rPr>
        <w:t>Figura</w:t>
      </w:r>
      <w:r w:rsidR="00E01127" w:rsidRPr="00F37ABE">
        <w:rPr>
          <w:b/>
          <w:bCs/>
        </w:rPr>
        <w:t xml:space="preserve"> </w:t>
      </w:r>
      <w:r w:rsidR="00E01127" w:rsidRPr="00867EC1">
        <w:rPr>
          <w:b/>
          <w:bCs/>
        </w:rPr>
        <w:t xml:space="preserve">nr. </w:t>
      </w:r>
      <w:r w:rsidR="00450087" w:rsidRPr="00867EC1">
        <w:rPr>
          <w:b/>
          <w:bCs/>
        </w:rPr>
        <w:t>5</w:t>
      </w:r>
      <w:r w:rsidR="00867EC1">
        <w:rPr>
          <w:b/>
          <w:bCs/>
        </w:rPr>
        <w:t>.</w:t>
      </w:r>
      <w:r w:rsidR="00E01127" w:rsidRPr="00867EC1">
        <w:rPr>
          <w:b/>
          <w:bCs/>
        </w:rPr>
        <w:t xml:space="preserve"> </w:t>
      </w:r>
      <w:bookmarkEnd w:id="14"/>
      <w:r w:rsidRPr="00867EC1">
        <w:rPr>
          <w:b/>
          <w:bCs/>
        </w:rPr>
        <w:t>Evoluția gradului de influență determinat pe baza valorii R-pătrat a impozitării asupra contabilității în perioada 2015 - 2019</w:t>
      </w:r>
    </w:p>
    <w:p w14:paraId="545CFD0F" w14:textId="77777777" w:rsidR="00E01127" w:rsidRPr="006E1643" w:rsidRDefault="006E6F8C" w:rsidP="00E01127">
      <w:pPr>
        <w:ind w:firstLine="0"/>
        <w:jc w:val="center"/>
        <w:rPr>
          <w:bCs/>
          <w:sz w:val="20"/>
          <w:szCs w:val="20"/>
        </w:rPr>
      </w:pPr>
      <w:r w:rsidRPr="006E6F8C">
        <w:rPr>
          <w:b/>
          <w:bCs/>
          <w:sz w:val="20"/>
          <w:szCs w:val="20"/>
        </w:rPr>
        <w:t>Source</w:t>
      </w:r>
      <w:r w:rsidRPr="006E6F8C">
        <w:rPr>
          <w:bCs/>
          <w:sz w:val="20"/>
          <w:szCs w:val="20"/>
        </w:rPr>
        <w:t>: own elaboration</w:t>
      </w:r>
    </w:p>
    <w:p w14:paraId="0E65189F" w14:textId="77777777" w:rsidR="00E01127" w:rsidRPr="006E1643" w:rsidRDefault="00E01127" w:rsidP="00E01127">
      <w:pPr>
        <w:ind w:firstLine="0"/>
        <w:rPr>
          <w:sz w:val="20"/>
          <w:szCs w:val="20"/>
        </w:rPr>
      </w:pPr>
    </w:p>
    <w:p w14:paraId="3B013E65" w14:textId="77777777" w:rsidR="00DA31AF" w:rsidRPr="00DA31AF" w:rsidRDefault="00DA31AF" w:rsidP="00DA31AF">
      <w:pPr>
        <w:ind w:firstLine="708"/>
      </w:pPr>
      <w:r w:rsidRPr="00DA31AF">
        <w:t xml:space="preserve">Astfel, așa cum se poate observa în figura nr. 5 de mai sus, cea mai mare influență a fiscalității asupra contabilității se înregistrează la nivelul anului 2018, 73,50%, și poate fi pusă pe seama modificărilor legislative intervenite în modul de stabilire a nivelului accizelor aplicabile, valori variabile actualizate anual cu creșterea prețurilor de consum și armonizate cu normele comunitare. </w:t>
      </w:r>
    </w:p>
    <w:p w14:paraId="39C37378" w14:textId="77777777" w:rsidR="00A93D73" w:rsidRDefault="00DA31AF" w:rsidP="00DA31AF">
      <w:pPr>
        <w:ind w:firstLine="708"/>
      </w:pPr>
      <w:r w:rsidRPr="00DA31AF">
        <w:t>Consecința imediată a creșterii presiunii fiscale pe tot lanțul de producție - distribuție este reducerea consumului de produse accizabile, scăderea cifrei de afaceri cu impact negativ asupra rezultatelor contabile și fiscale ale operatorilor economici. La polul opus, cea mai mică influență a fiscalității asupra contabilității se înregistrează la nivelul anului 2015, de 10,10% și se poate datora faptului că modalitatea de calcul, înregistrare și evidență a obligației de plată a accizelor a fost reglementată de legislația anterioară. Conform prevederilor legale, nivelul accizei aplicate era o valoare fixă în lei raportată la unitatea de măsură (hectolitru de alcool pur sau hl/1 grad platou), valoare previzibilă și constantă inclusă în baza de impozitare a taxei pe valoarea adăugată și implicit recunoscută în prețul de vânzare al produselor accizabile.</w:t>
      </w:r>
    </w:p>
    <w:p w14:paraId="1A31A713" w14:textId="77777777" w:rsidR="00C12541" w:rsidRPr="00DA31AF" w:rsidRDefault="00C12541" w:rsidP="00DA31AF">
      <w:pPr>
        <w:ind w:firstLine="708"/>
        <w:rPr>
          <w:lang w:val="en-US"/>
        </w:rPr>
      </w:pPr>
    </w:p>
    <w:p w14:paraId="7DE34DA1" w14:textId="1FBCB15B" w:rsidR="00156A61" w:rsidRPr="00C12541" w:rsidRDefault="00C12541" w:rsidP="00422C25">
      <w:pPr>
        <w:pStyle w:val="ListParagraph"/>
        <w:numPr>
          <w:ilvl w:val="0"/>
          <w:numId w:val="7"/>
        </w:numPr>
        <w:ind w:firstLine="0"/>
        <w:jc w:val="left"/>
        <w:rPr>
          <w:b/>
          <w:lang w:val="en-US"/>
        </w:rPr>
      </w:pPr>
      <w:r w:rsidRPr="00C12541">
        <w:rPr>
          <w:b/>
          <w:lang w:val="en-US"/>
        </w:rPr>
        <w:t>CONCLU</w:t>
      </w:r>
      <w:r w:rsidR="00867EC1">
        <w:rPr>
          <w:b/>
          <w:lang w:val="en-US"/>
        </w:rPr>
        <w:t>ZII</w:t>
      </w:r>
    </w:p>
    <w:p w14:paraId="14260F81" w14:textId="77777777" w:rsidR="00E01127" w:rsidRPr="006E1643" w:rsidRDefault="00E01127" w:rsidP="006024C8">
      <w:pPr>
        <w:ind w:firstLine="0"/>
        <w:jc w:val="left"/>
        <w:rPr>
          <w:b/>
          <w:lang w:val="en-US"/>
        </w:rPr>
      </w:pPr>
    </w:p>
    <w:p w14:paraId="132D7EA4" w14:textId="77777777" w:rsidR="00A54222" w:rsidRPr="00A54222" w:rsidRDefault="00A54222" w:rsidP="00A54222">
      <w:pPr>
        <w:ind w:firstLine="708"/>
      </w:pPr>
      <w:r w:rsidRPr="00A54222">
        <w:t xml:space="preserve">Cercetarea cantitativă a fost realizată prin utilizarea informațiilor financiar-contabile ale operatorilor economici autorizați în producția de alcool etilic ca materie primă și în producția de băuturi alcoolice și bere. Alegerea acestor activități economice este justificată de faptul că aceste domenii sunt strict și specific reglementate din punct de vedere fiscal, din punct de vedere al autorizării și desfășurării activităților, al producerii, deținerii, circulației și comercializării produselor accizabile și al obligațiilor fiscale ale plătitorilor de accize, în vederea monitorizării și controlului eficient al acestui domeniu considerat vulnerabil, ca având un grad ridicat de risc fiscal. Prin urmare, în acest caz, se creează premisa unei conexiuni semnificative în practică între contabilitate și fiscalitate, având în vedere că, cu resursele de care dispune, entitatea economică trebuie să respecte atât normele și reglementările contabile, cât și cele fiscale, profesionistul contabil fiind persoana responsabilă pentru ambele domenii. </w:t>
      </w:r>
    </w:p>
    <w:p w14:paraId="53600496" w14:textId="77777777" w:rsidR="006E1643" w:rsidRPr="00A54222" w:rsidRDefault="00A54222" w:rsidP="00A54222">
      <w:pPr>
        <w:ind w:firstLine="708"/>
        <w:rPr>
          <w:bCs/>
        </w:rPr>
      </w:pPr>
      <w:r w:rsidRPr="00A54222">
        <w:t>Cercetarea cantitativă efectuată, utilizând proceduri de contabilitate analitică și analiza statistică de regresie, a stabilit că</w:t>
      </w:r>
      <w:r>
        <w:t>,</w:t>
      </w:r>
      <w:r w:rsidRPr="00A54222">
        <w:t xml:space="preserve"> în practică fiscalitatea și contabilitatea se află într-o relație de dependență. Normele fiscale influențează calitatea informațiilor emise de sistemul contabil. Gradul de influență a fiscalității asupra informațiilor, politicilor și deciziilor contabile a fost cuantificat la 43,90%, un procent foarte ridicat, justificat de particularitățile domeniilor de activitate studiate.</w:t>
      </w:r>
      <w:r>
        <w:t xml:space="preserve"> </w:t>
      </w:r>
      <w:r w:rsidRPr="00A54222">
        <w:rPr>
          <w:bCs/>
        </w:rPr>
        <w:t>De-a lungul timpului, influența impozitării asupra contabilității a înregistrat fluctuaţii, ca urmare a modificărilor frecvente ale legislației fiscale în acest domeniu. Astfel, în 2018, această influență este cuantificată la 73,50%, iar în 2015 la doar 10,10%.</w:t>
      </w:r>
    </w:p>
    <w:p w14:paraId="259CD260" w14:textId="77777777" w:rsidR="00A54222" w:rsidRPr="006E1643" w:rsidRDefault="00A54222" w:rsidP="006024C8">
      <w:pPr>
        <w:ind w:firstLine="0"/>
        <w:rPr>
          <w:b/>
          <w:lang w:val="en-US"/>
        </w:rPr>
      </w:pPr>
    </w:p>
    <w:p w14:paraId="0C3F6539" w14:textId="6C4F30E3" w:rsidR="00156A61" w:rsidRPr="00F97474" w:rsidRDefault="00F97474" w:rsidP="00122C1F">
      <w:pPr>
        <w:ind w:firstLine="720"/>
        <w:rPr>
          <w:b/>
        </w:rPr>
      </w:pPr>
      <w:r>
        <w:rPr>
          <w:b/>
          <w:lang w:val="en-US"/>
        </w:rPr>
        <w:t>BIBLIOGRAFIE</w:t>
      </w:r>
    </w:p>
    <w:p w14:paraId="771B05F5" w14:textId="77777777" w:rsidR="00E849D1" w:rsidRPr="0017088E" w:rsidRDefault="00E849D1" w:rsidP="0017088E">
      <w:pPr>
        <w:ind w:firstLine="0"/>
        <w:rPr>
          <w:lang w:val="en-US"/>
        </w:rPr>
      </w:pPr>
    </w:p>
    <w:p w14:paraId="62C0886E" w14:textId="77777777" w:rsidR="006E1643" w:rsidRPr="0017088E" w:rsidRDefault="006E1643" w:rsidP="0017088E">
      <w:pPr>
        <w:pStyle w:val="ListParagraph"/>
        <w:numPr>
          <w:ilvl w:val="0"/>
          <w:numId w:val="10"/>
        </w:numPr>
        <w:rPr>
          <w:lang w:val="en-US"/>
        </w:rPr>
      </w:pPr>
      <w:r w:rsidRPr="0017088E">
        <w:rPr>
          <w:lang w:val="en-US"/>
        </w:rPr>
        <w:t>Atwood, T.J., Drake, M.S. and Myers, L.A. (2010) ‘Book-tax conformity, earnings persistence and the association between earnings and future cash flows’, Journal of Accounting and Economics, 50(1), pp. 111–125. doi:10.1016/j.jacceco.2009.11.001.</w:t>
      </w:r>
    </w:p>
    <w:p w14:paraId="0F3ECAB1" w14:textId="77777777" w:rsidR="006E1643" w:rsidRPr="0017088E" w:rsidRDefault="006E1643" w:rsidP="0017088E">
      <w:pPr>
        <w:pStyle w:val="ListParagraph"/>
        <w:numPr>
          <w:ilvl w:val="0"/>
          <w:numId w:val="10"/>
        </w:numPr>
        <w:rPr>
          <w:lang w:val="en-US"/>
        </w:rPr>
      </w:pPr>
      <w:proofErr w:type="spellStart"/>
      <w:r w:rsidRPr="0017088E">
        <w:rPr>
          <w:lang w:val="en-US"/>
        </w:rPr>
        <w:t>Bunget</w:t>
      </w:r>
      <w:proofErr w:type="spellEnd"/>
      <w:r w:rsidRPr="0017088E">
        <w:rPr>
          <w:lang w:val="en-US"/>
        </w:rPr>
        <w:t xml:space="preserve">, OC. and Dumitrescu, AC. (2008), ‘Accounting Treatment of Deferred Income Taxes According to the Requirements of the Romanian Accounting Regulations’, </w:t>
      </w:r>
      <w:r w:rsidRPr="0017088E">
        <w:rPr>
          <w:i/>
          <w:lang w:val="en-US"/>
        </w:rPr>
        <w:t>The Annals of University of Oradea – Economic Science</w:t>
      </w:r>
      <w:r w:rsidRPr="0017088E">
        <w:rPr>
          <w:lang w:val="en-US"/>
        </w:rPr>
        <w:t>, XVII(3), 1039–1043.</w:t>
      </w:r>
    </w:p>
    <w:p w14:paraId="76F29CE6" w14:textId="77777777" w:rsidR="006E1643" w:rsidRPr="0017088E" w:rsidRDefault="006E1643" w:rsidP="0017088E">
      <w:pPr>
        <w:pStyle w:val="ListParagraph"/>
        <w:numPr>
          <w:ilvl w:val="0"/>
          <w:numId w:val="10"/>
        </w:numPr>
        <w:rPr>
          <w:lang w:val="en-US"/>
        </w:rPr>
      </w:pPr>
      <w:r w:rsidRPr="0017088E">
        <w:rPr>
          <w:lang w:val="en-US"/>
        </w:rPr>
        <w:t>Deitch, U.Y. (2014) ‘Accounting and Tax Reporting of Financial Results’, Mongolian Journal of Agricultural Sciences, 13(2), pp. 141–145. doi:10.5564/mjas.v13i2.534.</w:t>
      </w:r>
    </w:p>
    <w:p w14:paraId="547A1106" w14:textId="77777777" w:rsidR="006E1643" w:rsidRPr="0017088E" w:rsidRDefault="006E1643" w:rsidP="0017088E">
      <w:pPr>
        <w:pStyle w:val="ListParagraph"/>
        <w:numPr>
          <w:ilvl w:val="0"/>
          <w:numId w:val="10"/>
        </w:numPr>
        <w:rPr>
          <w:lang w:val="en-US"/>
        </w:rPr>
      </w:pPr>
      <w:r w:rsidRPr="0017088E">
        <w:rPr>
          <w:lang w:val="en-US"/>
        </w:rPr>
        <w:t xml:space="preserve">Fekete, S., </w:t>
      </w:r>
      <w:proofErr w:type="spellStart"/>
      <w:r w:rsidRPr="0017088E">
        <w:rPr>
          <w:lang w:val="en-US"/>
        </w:rPr>
        <w:t>Cuzdriorean</w:t>
      </w:r>
      <w:proofErr w:type="spellEnd"/>
      <w:r w:rsidRPr="0017088E">
        <w:rPr>
          <w:lang w:val="en-US"/>
        </w:rPr>
        <w:t xml:space="preserve"> Vladu, D., Albu, CN. </w:t>
      </w:r>
      <w:proofErr w:type="spellStart"/>
      <w:r w:rsidRPr="0017088E">
        <w:rPr>
          <w:lang w:val="en-US"/>
        </w:rPr>
        <w:t>și</w:t>
      </w:r>
      <w:proofErr w:type="spellEnd"/>
      <w:r w:rsidRPr="0017088E">
        <w:rPr>
          <w:lang w:val="en-US"/>
        </w:rPr>
        <w:t xml:space="preserve"> Albu, N. (2012), ’Is SMEs accounting influenced by taxation? Some empirical evidence from Romania’, </w:t>
      </w:r>
      <w:r w:rsidRPr="0017088E">
        <w:rPr>
          <w:i/>
          <w:lang w:val="en-US"/>
        </w:rPr>
        <w:t>African Journal of Business Management</w:t>
      </w:r>
      <w:r w:rsidRPr="0017088E">
        <w:rPr>
          <w:lang w:val="en-US"/>
        </w:rPr>
        <w:t>, 6(6), 2318–2331. https://doi.org/10.5897/AJBM11.1699</w:t>
      </w:r>
    </w:p>
    <w:p w14:paraId="69EBFB8D" w14:textId="77777777" w:rsidR="006E1643" w:rsidRPr="0017088E" w:rsidRDefault="006E1643" w:rsidP="00F97474">
      <w:pPr>
        <w:pStyle w:val="ListParagraph"/>
        <w:numPr>
          <w:ilvl w:val="0"/>
          <w:numId w:val="10"/>
        </w:numPr>
        <w:ind w:left="709" w:hanging="283"/>
        <w:rPr>
          <w:lang w:val="en-US"/>
        </w:rPr>
      </w:pPr>
      <w:r w:rsidRPr="0017088E">
        <w:rPr>
          <w:lang w:val="en-US"/>
        </w:rPr>
        <w:lastRenderedPageBreak/>
        <w:t>Hanlon, M. (2002) The Persistence and Pricing of Earnings, Accruals, and Cash Flows When Firms Have Large Book-Tax Differences. SSRN Scholarly Paper ID 379140. Rochester, NY: Social Science Research Network. doi:10.2139/ssrn.379140.</w:t>
      </w:r>
    </w:p>
    <w:p w14:paraId="1D1E5167" w14:textId="77777777" w:rsidR="006E1643" w:rsidRPr="0017088E" w:rsidRDefault="006E1643" w:rsidP="0017088E">
      <w:pPr>
        <w:pStyle w:val="ListParagraph"/>
        <w:numPr>
          <w:ilvl w:val="0"/>
          <w:numId w:val="10"/>
        </w:numPr>
        <w:rPr>
          <w:lang w:val="en-US"/>
        </w:rPr>
      </w:pPr>
      <w:r w:rsidRPr="0017088E">
        <w:rPr>
          <w:lang w:val="en-US"/>
        </w:rPr>
        <w:t>Hashim, H.A., Ariff, A.M. and Amrah, M.R. (2016) ‘Accounting Irregularities and Tax Aggressiveness’, International Journal of Economics Management and Accounting, 24(1), pp. 1–14.</w:t>
      </w:r>
    </w:p>
    <w:p w14:paraId="2F259597" w14:textId="77777777" w:rsidR="006E1643" w:rsidRPr="0017088E" w:rsidRDefault="006E1643" w:rsidP="0017088E">
      <w:pPr>
        <w:pStyle w:val="ListParagraph"/>
        <w:numPr>
          <w:ilvl w:val="0"/>
          <w:numId w:val="10"/>
        </w:numPr>
        <w:rPr>
          <w:lang w:val="en-US"/>
        </w:rPr>
      </w:pPr>
      <w:r w:rsidRPr="0017088E">
        <w:rPr>
          <w:lang w:val="en-US"/>
        </w:rPr>
        <w:t xml:space="preserve">Hoogendoorn, MN. (1996), ‘Accounting and taxation in Europe—A comparative overview’, </w:t>
      </w:r>
      <w:r w:rsidRPr="0017088E">
        <w:rPr>
          <w:i/>
          <w:lang w:val="en-US"/>
        </w:rPr>
        <w:t>European Accounting Review</w:t>
      </w:r>
      <w:r w:rsidRPr="0017088E">
        <w:rPr>
          <w:lang w:val="en-US"/>
        </w:rPr>
        <w:t>, 5(sup1), 783–794. https://doi.org/10.1080/09638189600000050</w:t>
      </w:r>
    </w:p>
    <w:p w14:paraId="4FE88C09" w14:textId="77777777" w:rsidR="006E1643" w:rsidRPr="0017088E" w:rsidRDefault="006E1643" w:rsidP="0017088E">
      <w:pPr>
        <w:pStyle w:val="ListParagraph"/>
        <w:numPr>
          <w:ilvl w:val="0"/>
          <w:numId w:val="10"/>
        </w:numPr>
        <w:rPr>
          <w:lang w:val="en-US"/>
        </w:rPr>
      </w:pPr>
      <w:r w:rsidRPr="0017088E">
        <w:rPr>
          <w:lang w:val="en-US"/>
        </w:rPr>
        <w:t xml:space="preserve">Istrate C. (2011), ‘Evolutions in the Accounting – Taxation (Dis) Connection in Romania, after 1990’, </w:t>
      </w:r>
      <w:r w:rsidRPr="0017088E">
        <w:rPr>
          <w:i/>
          <w:lang w:val="en-US"/>
        </w:rPr>
        <w:t>Review of Economic and Business Studies</w:t>
      </w:r>
      <w:r w:rsidRPr="0017088E">
        <w:rPr>
          <w:lang w:val="en-US"/>
        </w:rPr>
        <w:t>, 4 (2), 43-61.</w:t>
      </w:r>
    </w:p>
    <w:p w14:paraId="2751085E" w14:textId="77777777" w:rsidR="006E1643" w:rsidRPr="0017088E" w:rsidRDefault="006E1643" w:rsidP="0017088E">
      <w:pPr>
        <w:pStyle w:val="ListParagraph"/>
        <w:numPr>
          <w:ilvl w:val="0"/>
          <w:numId w:val="10"/>
        </w:numPr>
        <w:rPr>
          <w:lang w:val="en-US"/>
        </w:rPr>
      </w:pPr>
      <w:r w:rsidRPr="0017088E">
        <w:rPr>
          <w:lang w:val="en-US"/>
        </w:rPr>
        <w:t xml:space="preserve">Lamb, M., Nobes, C. and Roberts, A. (1998), ‘International Variations in the Connections Between Tax and Financial Reporting’, </w:t>
      </w:r>
      <w:r w:rsidRPr="0017088E">
        <w:rPr>
          <w:i/>
          <w:lang w:val="en-US"/>
        </w:rPr>
        <w:t>Accounting and Business Research</w:t>
      </w:r>
      <w:r w:rsidRPr="0017088E">
        <w:rPr>
          <w:lang w:val="en-US"/>
        </w:rPr>
        <w:t>, 28(3), 173–188, https://doi.org/10.1080/00014788.1998.9728908</w:t>
      </w:r>
    </w:p>
    <w:p w14:paraId="6ABAC27B" w14:textId="77777777" w:rsidR="006E1643" w:rsidRPr="0017088E" w:rsidRDefault="006E1643" w:rsidP="0017088E">
      <w:pPr>
        <w:pStyle w:val="ListParagraph"/>
        <w:numPr>
          <w:ilvl w:val="0"/>
          <w:numId w:val="10"/>
        </w:numPr>
        <w:rPr>
          <w:lang w:val="en-US"/>
        </w:rPr>
      </w:pPr>
      <w:r w:rsidRPr="0017088E">
        <w:rPr>
          <w:lang w:val="en-US"/>
        </w:rPr>
        <w:t xml:space="preserve">Mates, D., Puscas, A., Ursachi, A. and Ajtay, E. (2016), ‘The influence of accounting system regarding accounting and taxation of entities’, </w:t>
      </w:r>
      <w:r w:rsidRPr="0017088E">
        <w:rPr>
          <w:i/>
          <w:lang w:val="en-US"/>
        </w:rPr>
        <w:t>Journal of Legal Studies</w:t>
      </w:r>
      <w:r w:rsidRPr="0017088E">
        <w:rPr>
          <w:lang w:val="en-US"/>
        </w:rPr>
        <w:t>, 17(31), 58–63, http://dx.doi.org/10.1515/jles-2016-0006</w:t>
      </w:r>
    </w:p>
    <w:p w14:paraId="19C3DBB4" w14:textId="77777777" w:rsidR="006E1643" w:rsidRPr="0017088E" w:rsidRDefault="006E1643" w:rsidP="0017088E">
      <w:pPr>
        <w:pStyle w:val="ListParagraph"/>
        <w:numPr>
          <w:ilvl w:val="0"/>
          <w:numId w:val="10"/>
        </w:numPr>
        <w:rPr>
          <w:lang w:val="en-US"/>
        </w:rPr>
      </w:pPr>
      <w:r w:rsidRPr="0017088E">
        <w:rPr>
          <w:lang w:val="en-US"/>
        </w:rPr>
        <w:t>Mills, L.F. and Newberry, K.J. (2001) ‘The Influence of Tax and Nontax Costs on Book</w:t>
      </w:r>
      <w:r w:rsidRPr="0017088E">
        <w:rPr>
          <w:rFonts w:ascii="Cambria Math" w:hAnsi="Cambria Math"/>
          <w:lang w:val="en-US"/>
        </w:rPr>
        <w:t>‐</w:t>
      </w:r>
      <w:r w:rsidRPr="0017088E">
        <w:rPr>
          <w:lang w:val="en-US"/>
        </w:rPr>
        <w:t>Tax Reporting Differences: Public and Private Firms’, Journal of the American Taxation Association, 23(1), pp. 1–19. doi:10.2308/jata.2001.23.1.1.</w:t>
      </w:r>
    </w:p>
    <w:p w14:paraId="09D034E7" w14:textId="77777777" w:rsidR="006E1643" w:rsidRPr="0017088E" w:rsidRDefault="006E1643" w:rsidP="0017088E">
      <w:pPr>
        <w:pStyle w:val="ListParagraph"/>
        <w:numPr>
          <w:ilvl w:val="0"/>
          <w:numId w:val="10"/>
        </w:numPr>
        <w:rPr>
          <w:lang w:val="en-US"/>
        </w:rPr>
      </w:pPr>
      <w:r w:rsidRPr="0017088E">
        <w:rPr>
          <w:lang w:val="en-US"/>
        </w:rPr>
        <w:t xml:space="preserve">Oprean, VB. (2014), ‘Romanian Accounting – Taxation Complementary Relation in the Context of Organization’s Engineering’, </w:t>
      </w:r>
      <w:r w:rsidRPr="0017088E">
        <w:rPr>
          <w:i/>
          <w:lang w:val="en-US"/>
        </w:rPr>
        <w:t>Procedia – Social and Behavioral Sciences</w:t>
      </w:r>
      <w:r w:rsidRPr="0017088E">
        <w:rPr>
          <w:lang w:val="en-US"/>
        </w:rPr>
        <w:t>, 109, 804–814, https://doi.org/10.1016/j.sbspro.2013.12.547</w:t>
      </w:r>
    </w:p>
    <w:p w14:paraId="138A315A" w14:textId="77777777" w:rsidR="006E1643" w:rsidRPr="0017088E" w:rsidRDefault="006E1643" w:rsidP="0017088E">
      <w:pPr>
        <w:pStyle w:val="ListParagraph"/>
        <w:numPr>
          <w:ilvl w:val="0"/>
          <w:numId w:val="10"/>
        </w:numPr>
        <w:rPr>
          <w:lang w:val="en-US"/>
        </w:rPr>
      </w:pPr>
      <w:proofErr w:type="spellStart"/>
      <w:r w:rsidRPr="0017088E">
        <w:rPr>
          <w:lang w:val="en-US"/>
        </w:rPr>
        <w:t>Paliu</w:t>
      </w:r>
      <w:proofErr w:type="spellEnd"/>
      <w:r w:rsidRPr="0017088E">
        <w:rPr>
          <w:lang w:val="en-US"/>
        </w:rPr>
        <w:t>-Popa, L. and Ecobici, N. (2007), ‘Accounting Implications of Taxation’, [MPRA Paper], https://mpra.ub.uni-muenchen.de/12186/</w:t>
      </w:r>
    </w:p>
    <w:p w14:paraId="3793FC59" w14:textId="77777777" w:rsidR="006E1643" w:rsidRPr="0017088E" w:rsidRDefault="006E1643" w:rsidP="0017088E">
      <w:pPr>
        <w:pStyle w:val="ListParagraph"/>
        <w:numPr>
          <w:ilvl w:val="0"/>
          <w:numId w:val="10"/>
        </w:numPr>
        <w:rPr>
          <w:lang w:val="en-US"/>
        </w:rPr>
      </w:pPr>
      <w:r w:rsidRPr="0017088E">
        <w:rPr>
          <w:lang w:val="en-US"/>
        </w:rPr>
        <w:t xml:space="preserve">Popa, A.F. and Paunescu, M. (2013) ‘Difficulties Faced by </w:t>
      </w:r>
      <w:proofErr w:type="spellStart"/>
      <w:r w:rsidRPr="0017088E">
        <w:rPr>
          <w:lang w:val="en-US"/>
        </w:rPr>
        <w:t>Smes</w:t>
      </w:r>
      <w:proofErr w:type="spellEnd"/>
      <w:r w:rsidRPr="0017088E">
        <w:rPr>
          <w:lang w:val="en-US"/>
        </w:rPr>
        <w:t xml:space="preserve"> Romanian Accounting Professionals Inside Accounting - Taxation Relationship’, in Proceedings of the 8th International Conference Accounting and Management Information Systems (</w:t>
      </w:r>
      <w:proofErr w:type="spellStart"/>
      <w:r w:rsidRPr="0017088E">
        <w:rPr>
          <w:lang w:val="en-US"/>
        </w:rPr>
        <w:t>amis</w:t>
      </w:r>
      <w:proofErr w:type="spellEnd"/>
      <w:r w:rsidRPr="0017088E">
        <w:rPr>
          <w:lang w:val="en-US"/>
        </w:rPr>
        <w:t xml:space="preserve"> 2013). </w:t>
      </w:r>
      <w:proofErr w:type="spellStart"/>
      <w:r w:rsidRPr="0017088E">
        <w:rPr>
          <w:lang w:val="en-US"/>
        </w:rPr>
        <w:t>Bucuresti</w:t>
      </w:r>
      <w:proofErr w:type="spellEnd"/>
      <w:r w:rsidRPr="0017088E">
        <w:rPr>
          <w:lang w:val="en-US"/>
        </w:rPr>
        <w:t xml:space="preserve">: </w:t>
      </w:r>
      <w:proofErr w:type="spellStart"/>
      <w:r w:rsidRPr="0017088E">
        <w:rPr>
          <w:lang w:val="en-US"/>
        </w:rPr>
        <w:t>Editura</w:t>
      </w:r>
      <w:proofErr w:type="spellEnd"/>
      <w:r w:rsidRPr="0017088E">
        <w:rPr>
          <w:lang w:val="en-US"/>
        </w:rPr>
        <w:t xml:space="preserve"> </w:t>
      </w:r>
      <w:proofErr w:type="spellStart"/>
      <w:r w:rsidRPr="0017088E">
        <w:rPr>
          <w:lang w:val="en-US"/>
        </w:rPr>
        <w:t>Ase</w:t>
      </w:r>
      <w:proofErr w:type="spellEnd"/>
      <w:r w:rsidRPr="0017088E">
        <w:rPr>
          <w:lang w:val="en-US"/>
        </w:rPr>
        <w:t xml:space="preserve">, pp. 771–782. </w:t>
      </w:r>
    </w:p>
    <w:p w14:paraId="4344B414" w14:textId="77777777" w:rsidR="006E1643" w:rsidRPr="0017088E" w:rsidRDefault="006E1643" w:rsidP="0017088E">
      <w:pPr>
        <w:pStyle w:val="ListParagraph"/>
        <w:numPr>
          <w:ilvl w:val="0"/>
          <w:numId w:val="10"/>
        </w:numPr>
        <w:rPr>
          <w:lang w:val="en-US"/>
        </w:rPr>
      </w:pPr>
      <w:r w:rsidRPr="0017088E">
        <w:rPr>
          <w:lang w:val="en-US"/>
        </w:rPr>
        <w:t>Ristea, M. (2003), ‘Basis and alternative in the enterprise’s accounting’ (‘</w:t>
      </w:r>
      <w:proofErr w:type="spellStart"/>
      <w:r w:rsidRPr="0017088E">
        <w:rPr>
          <w:lang w:val="en-US"/>
        </w:rPr>
        <w:t>Bază</w:t>
      </w:r>
      <w:proofErr w:type="spellEnd"/>
      <w:r w:rsidRPr="0017088E">
        <w:rPr>
          <w:lang w:val="en-US"/>
        </w:rPr>
        <w:t xml:space="preserve"> </w:t>
      </w:r>
      <w:proofErr w:type="spellStart"/>
      <w:r w:rsidRPr="0017088E">
        <w:rPr>
          <w:lang w:val="en-US"/>
        </w:rPr>
        <w:t>şi</w:t>
      </w:r>
      <w:proofErr w:type="spellEnd"/>
      <w:r w:rsidRPr="0017088E">
        <w:rPr>
          <w:lang w:val="en-US"/>
        </w:rPr>
        <w:t xml:space="preserve"> </w:t>
      </w:r>
      <w:proofErr w:type="spellStart"/>
      <w:r w:rsidRPr="0017088E">
        <w:rPr>
          <w:lang w:val="en-US"/>
        </w:rPr>
        <w:t>alternativ</w:t>
      </w:r>
      <w:proofErr w:type="spellEnd"/>
      <w:r w:rsidRPr="0017088E">
        <w:rPr>
          <w:lang w:val="en-US"/>
        </w:rPr>
        <w:t xml:space="preserve"> </w:t>
      </w:r>
      <w:proofErr w:type="spellStart"/>
      <w:r w:rsidRPr="0017088E">
        <w:rPr>
          <w:lang w:val="en-US"/>
        </w:rPr>
        <w:t>în</w:t>
      </w:r>
      <w:proofErr w:type="spellEnd"/>
      <w:r w:rsidRPr="0017088E">
        <w:rPr>
          <w:lang w:val="en-US"/>
        </w:rPr>
        <w:t xml:space="preserve"> </w:t>
      </w:r>
      <w:proofErr w:type="spellStart"/>
      <w:r w:rsidRPr="0017088E">
        <w:rPr>
          <w:lang w:val="en-US"/>
        </w:rPr>
        <w:t>contabilitatea</w:t>
      </w:r>
      <w:proofErr w:type="spellEnd"/>
      <w:r w:rsidRPr="0017088E">
        <w:rPr>
          <w:lang w:val="en-US"/>
        </w:rPr>
        <w:t xml:space="preserve"> </w:t>
      </w:r>
      <w:proofErr w:type="spellStart"/>
      <w:r w:rsidRPr="0017088E">
        <w:rPr>
          <w:lang w:val="en-US"/>
        </w:rPr>
        <w:t>întreprinderii</w:t>
      </w:r>
      <w:proofErr w:type="spellEnd"/>
      <w:r w:rsidRPr="0017088E">
        <w:rPr>
          <w:lang w:val="en-US"/>
        </w:rPr>
        <w:t xml:space="preserve">’), </w:t>
      </w:r>
      <w:proofErr w:type="spellStart"/>
      <w:r w:rsidRPr="0017088E">
        <w:rPr>
          <w:i/>
          <w:lang w:val="en-US"/>
        </w:rPr>
        <w:t>Tribuna</w:t>
      </w:r>
      <w:proofErr w:type="spellEnd"/>
      <w:r w:rsidRPr="0017088E">
        <w:rPr>
          <w:i/>
          <w:lang w:val="en-US"/>
        </w:rPr>
        <w:t xml:space="preserve"> </w:t>
      </w:r>
      <w:proofErr w:type="spellStart"/>
      <w:r w:rsidRPr="0017088E">
        <w:rPr>
          <w:i/>
          <w:lang w:val="en-US"/>
        </w:rPr>
        <w:t>Economică</w:t>
      </w:r>
      <w:proofErr w:type="spellEnd"/>
      <w:r w:rsidRPr="0017088E">
        <w:rPr>
          <w:lang w:val="en-US"/>
        </w:rPr>
        <w:t>.</w:t>
      </w:r>
    </w:p>
    <w:p w14:paraId="3DBD43A0" w14:textId="77777777" w:rsidR="006E1643" w:rsidRPr="0017088E" w:rsidRDefault="006E1643" w:rsidP="0017088E">
      <w:pPr>
        <w:pStyle w:val="ListParagraph"/>
        <w:numPr>
          <w:ilvl w:val="0"/>
          <w:numId w:val="10"/>
        </w:numPr>
        <w:rPr>
          <w:lang w:val="en-US"/>
        </w:rPr>
      </w:pPr>
      <w:r w:rsidRPr="0017088E">
        <w:rPr>
          <w:lang w:val="en-US"/>
        </w:rPr>
        <w:t>Watrin, C., Ebert, N. and Thomsen, M. (2014) ‘Book-Tax Conformity and Earnings Management: Insights from European One- and Two-Book Systems’, Journal of the American Taxation Association, 36(2), pp. 55–89. doi:10.2308/atax-50769.</w:t>
      </w:r>
    </w:p>
    <w:p w14:paraId="20D81B3B" w14:textId="77777777" w:rsidR="006E1643" w:rsidRPr="006E1643" w:rsidRDefault="006E1643" w:rsidP="006E1643">
      <w:pPr>
        <w:ind w:firstLine="0"/>
        <w:rPr>
          <w:sz w:val="20"/>
          <w:szCs w:val="20"/>
          <w:lang w:val="en-US"/>
        </w:rPr>
      </w:pPr>
    </w:p>
    <w:p w14:paraId="1D997290" w14:textId="77777777" w:rsidR="006E1643" w:rsidRPr="006E1643" w:rsidRDefault="006E1643" w:rsidP="006E1643">
      <w:pPr>
        <w:ind w:firstLine="0"/>
        <w:rPr>
          <w:sz w:val="20"/>
          <w:szCs w:val="20"/>
          <w:lang w:val="en-US"/>
        </w:rPr>
      </w:pPr>
    </w:p>
    <w:p w14:paraId="22CCC6C5" w14:textId="77777777" w:rsidR="00ED55C6" w:rsidRPr="00ED55C6" w:rsidRDefault="00ED55C6" w:rsidP="00A71CCE">
      <w:pPr>
        <w:ind w:firstLine="0"/>
        <w:rPr>
          <w:sz w:val="20"/>
          <w:szCs w:val="20"/>
          <w:lang w:val="en-US"/>
        </w:rPr>
      </w:pPr>
    </w:p>
    <w:sectPr w:rsidR="00ED55C6" w:rsidRPr="00ED55C6" w:rsidSect="0001707A">
      <w:pgSz w:w="11906" w:h="16838" w:code="9"/>
      <w:pgMar w:top="1138" w:right="1138" w:bottom="1138"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E7E"/>
    <w:multiLevelType w:val="hybridMultilevel"/>
    <w:tmpl w:val="C1428038"/>
    <w:lvl w:ilvl="0" w:tplc="3E964DCE">
      <w:start w:val="1"/>
      <w:numFmt w:val="decimal"/>
      <w:lvlText w:val="%1."/>
      <w:lvlJc w:val="left"/>
      <w:pPr>
        <w:ind w:left="1065" w:hanging="705"/>
      </w:pPr>
      <w:rPr>
        <w:rFonts w:hint="default"/>
      </w:rPr>
    </w:lvl>
    <w:lvl w:ilvl="1" w:tplc="EF80BECA">
      <w:start w:val="23"/>
      <w:numFmt w:val="bullet"/>
      <w:lvlText w:val="•"/>
      <w:lvlJc w:val="left"/>
      <w:pPr>
        <w:ind w:left="1785" w:hanging="705"/>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D13750"/>
    <w:multiLevelType w:val="hybridMultilevel"/>
    <w:tmpl w:val="616498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05D3F1E"/>
    <w:multiLevelType w:val="hybridMultilevel"/>
    <w:tmpl w:val="41D04B90"/>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15:restartNumberingAfterBreak="0">
    <w:nsid w:val="24B4438D"/>
    <w:multiLevelType w:val="hybridMultilevel"/>
    <w:tmpl w:val="7800F4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8806AE0"/>
    <w:multiLevelType w:val="multilevel"/>
    <w:tmpl w:val="D8B078E6"/>
    <w:lvl w:ilvl="0">
      <w:start w:val="1"/>
      <w:numFmt w:val="upperRoman"/>
      <w:pStyle w:val="Heading1"/>
      <w:lvlText w:val="%1."/>
      <w:lvlJc w:val="left"/>
      <w:pPr>
        <w:tabs>
          <w:tab w:val="num" w:pos="9549"/>
        </w:tabs>
        <w:ind w:left="9549" w:hanging="476"/>
      </w:pPr>
      <w:rPr>
        <w:rFonts w:hint="default"/>
      </w:rPr>
    </w:lvl>
    <w:lvl w:ilvl="1">
      <w:start w:val="1"/>
      <w:numFmt w:val="decimal"/>
      <w:pStyle w:val="Heading2"/>
      <w:lvlText w:val="%1.%2"/>
      <w:lvlJc w:val="left"/>
      <w:pPr>
        <w:tabs>
          <w:tab w:val="num" w:pos="6039"/>
        </w:tabs>
        <w:ind w:left="6039" w:hanging="510"/>
      </w:pPr>
      <w:rPr>
        <w:rFonts w:hint="default"/>
        <w:b/>
      </w:rPr>
    </w:lvl>
    <w:lvl w:ilvl="2">
      <w:start w:val="1"/>
      <w:numFmt w:val="decimal"/>
      <w:pStyle w:val="Heading3"/>
      <w:lvlText w:val="%1.%2.%3"/>
      <w:lvlJc w:val="left"/>
      <w:pPr>
        <w:tabs>
          <w:tab w:val="num" w:pos="1134"/>
        </w:tabs>
        <w:ind w:left="1134" w:hanging="397"/>
      </w:pPr>
      <w:rPr>
        <w:rFonts w:hint="default"/>
      </w:rPr>
    </w:lvl>
    <w:lvl w:ilvl="3">
      <w:start w:val="1"/>
      <w:numFmt w:val="decimal"/>
      <w:pStyle w:val="Heading4"/>
      <w:lvlText w:val="%2.%3.%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5" w15:restartNumberingAfterBreak="0">
    <w:nsid w:val="296705AD"/>
    <w:multiLevelType w:val="multilevel"/>
    <w:tmpl w:val="2D7C6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DBB1ABC"/>
    <w:multiLevelType w:val="multilevel"/>
    <w:tmpl w:val="42901EBC"/>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19051EC"/>
    <w:multiLevelType w:val="hybridMultilevel"/>
    <w:tmpl w:val="7F545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5489"/>
    <w:multiLevelType w:val="hybridMultilevel"/>
    <w:tmpl w:val="9776093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9370AC6"/>
    <w:multiLevelType w:val="hybridMultilevel"/>
    <w:tmpl w:val="0006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980408">
    <w:abstractNumId w:val="4"/>
  </w:num>
  <w:num w:numId="2" w16cid:durableId="1533877190">
    <w:abstractNumId w:val="3"/>
  </w:num>
  <w:num w:numId="3" w16cid:durableId="1089814454">
    <w:abstractNumId w:val="8"/>
  </w:num>
  <w:num w:numId="4" w16cid:durableId="1343701346">
    <w:abstractNumId w:val="0"/>
  </w:num>
  <w:num w:numId="5" w16cid:durableId="5912818">
    <w:abstractNumId w:val="1"/>
  </w:num>
  <w:num w:numId="6" w16cid:durableId="1062556012">
    <w:abstractNumId w:val="9"/>
  </w:num>
  <w:num w:numId="7" w16cid:durableId="886915104">
    <w:abstractNumId w:val="6"/>
  </w:num>
  <w:num w:numId="8" w16cid:durableId="827358406">
    <w:abstractNumId w:val="5"/>
  </w:num>
  <w:num w:numId="9" w16cid:durableId="1816602624">
    <w:abstractNumId w:val="2"/>
  </w:num>
  <w:num w:numId="10" w16cid:durableId="810902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EC"/>
    <w:rsid w:val="00010A7C"/>
    <w:rsid w:val="00014929"/>
    <w:rsid w:val="0001707A"/>
    <w:rsid w:val="00034D75"/>
    <w:rsid w:val="00061132"/>
    <w:rsid w:val="000868EC"/>
    <w:rsid w:val="000F4386"/>
    <w:rsid w:val="00117033"/>
    <w:rsid w:val="00122C1F"/>
    <w:rsid w:val="00137F5E"/>
    <w:rsid w:val="00156A61"/>
    <w:rsid w:val="0017088E"/>
    <w:rsid w:val="001A2C45"/>
    <w:rsid w:val="001E319A"/>
    <w:rsid w:val="001F49B6"/>
    <w:rsid w:val="001F4A80"/>
    <w:rsid w:val="00227EED"/>
    <w:rsid w:val="00246728"/>
    <w:rsid w:val="00271A92"/>
    <w:rsid w:val="00272688"/>
    <w:rsid w:val="002775D7"/>
    <w:rsid w:val="002C0D36"/>
    <w:rsid w:val="002C19E2"/>
    <w:rsid w:val="002D70A1"/>
    <w:rsid w:val="00310BDC"/>
    <w:rsid w:val="00322C0E"/>
    <w:rsid w:val="00343A7B"/>
    <w:rsid w:val="00357061"/>
    <w:rsid w:val="00364C4F"/>
    <w:rsid w:val="00382D00"/>
    <w:rsid w:val="0038733B"/>
    <w:rsid w:val="003D5D5D"/>
    <w:rsid w:val="003F6BEB"/>
    <w:rsid w:val="004220AF"/>
    <w:rsid w:val="00422C25"/>
    <w:rsid w:val="00450087"/>
    <w:rsid w:val="00470DC2"/>
    <w:rsid w:val="004919F7"/>
    <w:rsid w:val="004A50BC"/>
    <w:rsid w:val="004A7451"/>
    <w:rsid w:val="004B22F3"/>
    <w:rsid w:val="004B4489"/>
    <w:rsid w:val="004E1423"/>
    <w:rsid w:val="004E3F1E"/>
    <w:rsid w:val="00521019"/>
    <w:rsid w:val="00560F8E"/>
    <w:rsid w:val="00592D9D"/>
    <w:rsid w:val="005D583A"/>
    <w:rsid w:val="005D7094"/>
    <w:rsid w:val="005E356C"/>
    <w:rsid w:val="006024C8"/>
    <w:rsid w:val="00604640"/>
    <w:rsid w:val="0064307E"/>
    <w:rsid w:val="006E1643"/>
    <w:rsid w:val="006E6F8C"/>
    <w:rsid w:val="006F1378"/>
    <w:rsid w:val="00701335"/>
    <w:rsid w:val="00724192"/>
    <w:rsid w:val="00737615"/>
    <w:rsid w:val="00745757"/>
    <w:rsid w:val="00750823"/>
    <w:rsid w:val="0077701C"/>
    <w:rsid w:val="00784061"/>
    <w:rsid w:val="007932AA"/>
    <w:rsid w:val="00796CBD"/>
    <w:rsid w:val="00801762"/>
    <w:rsid w:val="00855C7F"/>
    <w:rsid w:val="00867EC1"/>
    <w:rsid w:val="008811A2"/>
    <w:rsid w:val="008B634E"/>
    <w:rsid w:val="008C1BAF"/>
    <w:rsid w:val="008C5D0C"/>
    <w:rsid w:val="008C6547"/>
    <w:rsid w:val="008E0806"/>
    <w:rsid w:val="008E3ECC"/>
    <w:rsid w:val="008F15FF"/>
    <w:rsid w:val="009018A4"/>
    <w:rsid w:val="0095030E"/>
    <w:rsid w:val="0098212B"/>
    <w:rsid w:val="009A5374"/>
    <w:rsid w:val="00A13683"/>
    <w:rsid w:val="00A1431A"/>
    <w:rsid w:val="00A54222"/>
    <w:rsid w:val="00A56BAF"/>
    <w:rsid w:val="00A56FA0"/>
    <w:rsid w:val="00A71CCE"/>
    <w:rsid w:val="00A80337"/>
    <w:rsid w:val="00A80D23"/>
    <w:rsid w:val="00A93D73"/>
    <w:rsid w:val="00B15BBA"/>
    <w:rsid w:val="00B24A67"/>
    <w:rsid w:val="00B52D4D"/>
    <w:rsid w:val="00B64352"/>
    <w:rsid w:val="00BA73DC"/>
    <w:rsid w:val="00BF0706"/>
    <w:rsid w:val="00C06CBC"/>
    <w:rsid w:val="00C06E5D"/>
    <w:rsid w:val="00C12541"/>
    <w:rsid w:val="00C24C42"/>
    <w:rsid w:val="00C65A9F"/>
    <w:rsid w:val="00C719FF"/>
    <w:rsid w:val="00C96B29"/>
    <w:rsid w:val="00CF3576"/>
    <w:rsid w:val="00D27DA3"/>
    <w:rsid w:val="00D42694"/>
    <w:rsid w:val="00D54210"/>
    <w:rsid w:val="00D65459"/>
    <w:rsid w:val="00D87D4C"/>
    <w:rsid w:val="00DA31AF"/>
    <w:rsid w:val="00DA50CA"/>
    <w:rsid w:val="00E01127"/>
    <w:rsid w:val="00E139F8"/>
    <w:rsid w:val="00E26E68"/>
    <w:rsid w:val="00E35BA9"/>
    <w:rsid w:val="00E36C41"/>
    <w:rsid w:val="00E52E99"/>
    <w:rsid w:val="00E53DB5"/>
    <w:rsid w:val="00E54F18"/>
    <w:rsid w:val="00E63D2C"/>
    <w:rsid w:val="00E72E04"/>
    <w:rsid w:val="00E849D1"/>
    <w:rsid w:val="00E8725F"/>
    <w:rsid w:val="00EA6EE2"/>
    <w:rsid w:val="00EB1B87"/>
    <w:rsid w:val="00ED55C6"/>
    <w:rsid w:val="00F06AD8"/>
    <w:rsid w:val="00F07ED3"/>
    <w:rsid w:val="00F1742F"/>
    <w:rsid w:val="00F2743A"/>
    <w:rsid w:val="00F37ABE"/>
    <w:rsid w:val="00F4178D"/>
    <w:rsid w:val="00F6704D"/>
    <w:rsid w:val="00F97474"/>
    <w:rsid w:val="00FE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512C"/>
  <w15:docId w15:val="{4B8B70A2-E73B-427E-832E-F75196F1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o-RO" w:eastAsia="en-US" w:bidi="ar-SA"/>
      </w:rPr>
    </w:rPrDefault>
    <w:pPrDefault>
      <w:pPr>
        <w:spacing w:after="16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EC"/>
    <w:pPr>
      <w:spacing w:after="0"/>
      <w:ind w:firstLine="709"/>
    </w:pPr>
    <w:rPr>
      <w:rFonts w:eastAsia="Times New Roman" w:cs="Times New Roman"/>
      <w:lang w:eastAsia="ro-RO"/>
    </w:rPr>
  </w:style>
  <w:style w:type="paragraph" w:styleId="Heading1">
    <w:name w:val="heading 1"/>
    <w:basedOn w:val="Normal"/>
    <w:next w:val="Normal"/>
    <w:link w:val="Heading1Char"/>
    <w:qFormat/>
    <w:rsid w:val="000868EC"/>
    <w:pPr>
      <w:keepNext/>
      <w:numPr>
        <w:numId w:val="1"/>
      </w:numPr>
      <w:spacing w:before="240" w:after="60"/>
      <w:outlineLvl w:val="0"/>
    </w:pPr>
    <w:rPr>
      <w:rFonts w:cs="Arial"/>
      <w:b/>
      <w:bCs/>
      <w:kern w:val="32"/>
      <w:sz w:val="28"/>
      <w:szCs w:val="32"/>
    </w:rPr>
  </w:style>
  <w:style w:type="paragraph" w:styleId="Heading2">
    <w:name w:val="heading 2"/>
    <w:basedOn w:val="Normal"/>
    <w:next w:val="Normal"/>
    <w:link w:val="Heading2Char"/>
    <w:qFormat/>
    <w:rsid w:val="000868EC"/>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0868EC"/>
    <w:pPr>
      <w:keepNext/>
      <w:numPr>
        <w:ilvl w:val="2"/>
        <w:numId w:val="1"/>
      </w:numPr>
      <w:spacing w:before="240" w:after="60"/>
      <w:outlineLvl w:val="2"/>
    </w:pPr>
    <w:rPr>
      <w:rFonts w:cs="Arial"/>
      <w:bCs/>
      <w:i/>
      <w:szCs w:val="26"/>
    </w:rPr>
  </w:style>
  <w:style w:type="paragraph" w:styleId="Heading4">
    <w:name w:val="heading 4"/>
    <w:basedOn w:val="Normal"/>
    <w:next w:val="Normal"/>
    <w:link w:val="Heading4Char"/>
    <w:qFormat/>
    <w:rsid w:val="000868EC"/>
    <w:pPr>
      <w:numPr>
        <w:ilvl w:val="3"/>
        <w:numId w:val="1"/>
      </w:numPr>
      <w:outlineLvl w:val="3"/>
    </w:pPr>
  </w:style>
  <w:style w:type="paragraph" w:styleId="Heading5">
    <w:name w:val="heading 5"/>
    <w:basedOn w:val="Normal"/>
    <w:next w:val="Normal"/>
    <w:link w:val="Heading5Char"/>
    <w:qFormat/>
    <w:rsid w:val="000868E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868E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868EC"/>
    <w:pPr>
      <w:numPr>
        <w:ilvl w:val="6"/>
        <w:numId w:val="1"/>
      </w:numPr>
      <w:spacing w:before="240" w:after="60"/>
      <w:outlineLvl w:val="6"/>
    </w:pPr>
  </w:style>
  <w:style w:type="paragraph" w:styleId="Heading8">
    <w:name w:val="heading 8"/>
    <w:basedOn w:val="Normal"/>
    <w:next w:val="Normal"/>
    <w:link w:val="Heading8Char"/>
    <w:qFormat/>
    <w:rsid w:val="000868EC"/>
    <w:pPr>
      <w:numPr>
        <w:ilvl w:val="7"/>
        <w:numId w:val="1"/>
      </w:numPr>
      <w:spacing w:before="240" w:after="60"/>
      <w:outlineLvl w:val="7"/>
    </w:pPr>
    <w:rPr>
      <w:i/>
      <w:iCs/>
    </w:rPr>
  </w:style>
  <w:style w:type="paragraph" w:styleId="Heading9">
    <w:name w:val="heading 9"/>
    <w:basedOn w:val="Normal"/>
    <w:next w:val="Normal"/>
    <w:link w:val="Heading9Char"/>
    <w:qFormat/>
    <w:rsid w:val="000868E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8EC"/>
    <w:rPr>
      <w:rFonts w:eastAsia="Times New Roman" w:cs="Arial"/>
      <w:b/>
      <w:bCs/>
      <w:kern w:val="32"/>
      <w:sz w:val="28"/>
      <w:szCs w:val="32"/>
      <w:lang w:eastAsia="ro-RO"/>
    </w:rPr>
  </w:style>
  <w:style w:type="character" w:customStyle="1" w:styleId="Heading2Char">
    <w:name w:val="Heading 2 Char"/>
    <w:basedOn w:val="DefaultParagraphFont"/>
    <w:link w:val="Heading2"/>
    <w:rsid w:val="000868EC"/>
    <w:rPr>
      <w:rFonts w:eastAsia="Times New Roman" w:cs="Arial"/>
      <w:b/>
      <w:bCs/>
      <w:iCs/>
      <w:szCs w:val="28"/>
      <w:lang w:eastAsia="ro-RO"/>
    </w:rPr>
  </w:style>
  <w:style w:type="character" w:customStyle="1" w:styleId="Heading3Char">
    <w:name w:val="Heading 3 Char"/>
    <w:basedOn w:val="DefaultParagraphFont"/>
    <w:link w:val="Heading3"/>
    <w:rsid w:val="000868EC"/>
    <w:rPr>
      <w:rFonts w:eastAsia="Times New Roman" w:cs="Arial"/>
      <w:bCs/>
      <w:i/>
      <w:szCs w:val="26"/>
      <w:lang w:eastAsia="ro-RO"/>
    </w:rPr>
  </w:style>
  <w:style w:type="character" w:customStyle="1" w:styleId="Heading4Char">
    <w:name w:val="Heading 4 Char"/>
    <w:basedOn w:val="DefaultParagraphFont"/>
    <w:link w:val="Heading4"/>
    <w:rsid w:val="000868EC"/>
    <w:rPr>
      <w:rFonts w:eastAsia="Times New Roman" w:cs="Times New Roman"/>
      <w:lang w:eastAsia="ro-RO"/>
    </w:rPr>
  </w:style>
  <w:style w:type="character" w:customStyle="1" w:styleId="Heading5Char">
    <w:name w:val="Heading 5 Char"/>
    <w:basedOn w:val="DefaultParagraphFont"/>
    <w:link w:val="Heading5"/>
    <w:rsid w:val="000868EC"/>
    <w:rPr>
      <w:rFonts w:eastAsia="Times New Roman" w:cs="Times New Roman"/>
      <w:b/>
      <w:bCs/>
      <w:i/>
      <w:iCs/>
      <w:sz w:val="26"/>
      <w:szCs w:val="26"/>
      <w:lang w:eastAsia="ro-RO"/>
    </w:rPr>
  </w:style>
  <w:style w:type="character" w:customStyle="1" w:styleId="Heading6Char">
    <w:name w:val="Heading 6 Char"/>
    <w:basedOn w:val="DefaultParagraphFont"/>
    <w:link w:val="Heading6"/>
    <w:rsid w:val="000868EC"/>
    <w:rPr>
      <w:rFonts w:eastAsia="Times New Roman" w:cs="Times New Roman"/>
      <w:b/>
      <w:bCs/>
      <w:sz w:val="22"/>
      <w:szCs w:val="22"/>
      <w:lang w:eastAsia="ro-RO"/>
    </w:rPr>
  </w:style>
  <w:style w:type="character" w:customStyle="1" w:styleId="Heading7Char">
    <w:name w:val="Heading 7 Char"/>
    <w:basedOn w:val="DefaultParagraphFont"/>
    <w:link w:val="Heading7"/>
    <w:rsid w:val="000868EC"/>
    <w:rPr>
      <w:rFonts w:eastAsia="Times New Roman" w:cs="Times New Roman"/>
      <w:lang w:eastAsia="ro-RO"/>
    </w:rPr>
  </w:style>
  <w:style w:type="character" w:customStyle="1" w:styleId="Heading8Char">
    <w:name w:val="Heading 8 Char"/>
    <w:basedOn w:val="DefaultParagraphFont"/>
    <w:link w:val="Heading8"/>
    <w:rsid w:val="000868EC"/>
    <w:rPr>
      <w:rFonts w:eastAsia="Times New Roman" w:cs="Times New Roman"/>
      <w:i/>
      <w:iCs/>
      <w:lang w:eastAsia="ro-RO"/>
    </w:rPr>
  </w:style>
  <w:style w:type="character" w:customStyle="1" w:styleId="Heading9Char">
    <w:name w:val="Heading 9 Char"/>
    <w:basedOn w:val="DefaultParagraphFont"/>
    <w:link w:val="Heading9"/>
    <w:rsid w:val="000868EC"/>
    <w:rPr>
      <w:rFonts w:ascii="Arial" w:eastAsia="Times New Roman" w:hAnsi="Arial" w:cs="Arial"/>
      <w:sz w:val="22"/>
      <w:szCs w:val="22"/>
      <w:lang w:eastAsia="ro-RO"/>
    </w:rPr>
  </w:style>
  <w:style w:type="paragraph" w:styleId="Caption">
    <w:name w:val="caption"/>
    <w:basedOn w:val="Normal"/>
    <w:next w:val="Normal"/>
    <w:qFormat/>
    <w:rsid w:val="000868EC"/>
    <w:rPr>
      <w:b/>
      <w:bCs/>
      <w:sz w:val="20"/>
      <w:szCs w:val="20"/>
    </w:rPr>
  </w:style>
  <w:style w:type="paragraph" w:styleId="ListParagraph">
    <w:name w:val="List Paragraph"/>
    <w:basedOn w:val="Normal"/>
    <w:uiPriority w:val="34"/>
    <w:qFormat/>
    <w:rsid w:val="000868EC"/>
    <w:pPr>
      <w:ind w:left="720"/>
      <w:contextualSpacing/>
    </w:pPr>
    <w:rPr>
      <w:rFonts w:eastAsia="Calibri"/>
    </w:rPr>
  </w:style>
  <w:style w:type="paragraph" w:styleId="NormalWeb">
    <w:name w:val="Normal (Web)"/>
    <w:basedOn w:val="Normal"/>
    <w:uiPriority w:val="99"/>
    <w:unhideWhenUsed/>
    <w:rsid w:val="000868EC"/>
    <w:pPr>
      <w:spacing w:before="100" w:beforeAutospacing="1" w:after="100" w:afterAutospacing="1"/>
      <w:ind w:firstLine="0"/>
      <w:jc w:val="left"/>
    </w:pPr>
    <w:rPr>
      <w:lang w:val="en-US" w:eastAsia="en-US"/>
    </w:rPr>
  </w:style>
  <w:style w:type="paragraph" w:styleId="Title">
    <w:name w:val="Title"/>
    <w:basedOn w:val="Normal"/>
    <w:next w:val="Normal"/>
    <w:link w:val="TitleChar"/>
    <w:uiPriority w:val="10"/>
    <w:qFormat/>
    <w:rsid w:val="00387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33B"/>
    <w:rPr>
      <w:rFonts w:asciiTheme="majorHAnsi" w:eastAsiaTheme="majorEastAsia" w:hAnsiTheme="majorHAnsi" w:cstheme="majorBidi"/>
      <w:spacing w:val="-10"/>
      <w:kern w:val="28"/>
      <w:sz w:val="56"/>
      <w:szCs w:val="56"/>
      <w:lang w:eastAsia="ro-RO"/>
    </w:rPr>
  </w:style>
  <w:style w:type="character" w:styleId="Hyperlink">
    <w:name w:val="Hyperlink"/>
    <w:basedOn w:val="DefaultParagraphFont"/>
    <w:uiPriority w:val="99"/>
    <w:unhideWhenUsed/>
    <w:rsid w:val="00A71CCE"/>
    <w:rPr>
      <w:color w:val="0563C1" w:themeColor="hyperlink"/>
      <w:u w:val="single"/>
    </w:rPr>
  </w:style>
  <w:style w:type="table" w:styleId="TableGrid">
    <w:name w:val="Table Grid"/>
    <w:basedOn w:val="TableNormal"/>
    <w:uiPriority w:val="39"/>
    <w:rsid w:val="006F13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E1643"/>
  </w:style>
  <w:style w:type="paragraph" w:styleId="BalloonText">
    <w:name w:val="Balloon Text"/>
    <w:basedOn w:val="Normal"/>
    <w:link w:val="BalloonTextChar"/>
    <w:uiPriority w:val="99"/>
    <w:semiHidden/>
    <w:unhideWhenUsed/>
    <w:rsid w:val="00801762"/>
    <w:rPr>
      <w:rFonts w:ascii="Tahoma" w:hAnsi="Tahoma" w:cs="Tahoma"/>
      <w:sz w:val="16"/>
      <w:szCs w:val="16"/>
    </w:rPr>
  </w:style>
  <w:style w:type="character" w:customStyle="1" w:styleId="BalloonTextChar">
    <w:name w:val="Balloon Text Char"/>
    <w:basedOn w:val="DefaultParagraphFont"/>
    <w:link w:val="BalloonText"/>
    <w:uiPriority w:val="99"/>
    <w:semiHidden/>
    <w:rsid w:val="00801762"/>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8379">
      <w:bodyDiv w:val="1"/>
      <w:marLeft w:val="0"/>
      <w:marRight w:val="0"/>
      <w:marTop w:val="0"/>
      <w:marBottom w:val="0"/>
      <w:divBdr>
        <w:top w:val="none" w:sz="0" w:space="0" w:color="auto"/>
        <w:left w:val="none" w:sz="0" w:space="0" w:color="auto"/>
        <w:bottom w:val="none" w:sz="0" w:space="0" w:color="auto"/>
        <w:right w:val="none" w:sz="0" w:space="0" w:color="auto"/>
      </w:divBdr>
      <w:divsChild>
        <w:div w:id="820274804">
          <w:marLeft w:val="0"/>
          <w:marRight w:val="0"/>
          <w:marTop w:val="0"/>
          <w:marBottom w:val="0"/>
          <w:divBdr>
            <w:top w:val="none" w:sz="0" w:space="0" w:color="auto"/>
            <w:left w:val="none" w:sz="0" w:space="0" w:color="auto"/>
            <w:bottom w:val="none" w:sz="0" w:space="0" w:color="auto"/>
            <w:right w:val="none" w:sz="0" w:space="0" w:color="auto"/>
          </w:divBdr>
        </w:div>
      </w:divsChild>
    </w:div>
    <w:div w:id="435641389">
      <w:bodyDiv w:val="1"/>
      <w:marLeft w:val="0"/>
      <w:marRight w:val="0"/>
      <w:marTop w:val="0"/>
      <w:marBottom w:val="0"/>
      <w:divBdr>
        <w:top w:val="none" w:sz="0" w:space="0" w:color="auto"/>
        <w:left w:val="none" w:sz="0" w:space="0" w:color="auto"/>
        <w:bottom w:val="none" w:sz="0" w:space="0" w:color="auto"/>
        <w:right w:val="none" w:sz="0" w:space="0" w:color="auto"/>
      </w:divBdr>
    </w:div>
    <w:div w:id="563107360">
      <w:bodyDiv w:val="1"/>
      <w:marLeft w:val="0"/>
      <w:marRight w:val="0"/>
      <w:marTop w:val="0"/>
      <w:marBottom w:val="0"/>
      <w:divBdr>
        <w:top w:val="none" w:sz="0" w:space="0" w:color="auto"/>
        <w:left w:val="none" w:sz="0" w:space="0" w:color="auto"/>
        <w:bottom w:val="none" w:sz="0" w:space="0" w:color="auto"/>
        <w:right w:val="none" w:sz="0" w:space="0" w:color="auto"/>
      </w:divBdr>
    </w:div>
    <w:div w:id="613707950">
      <w:bodyDiv w:val="1"/>
      <w:marLeft w:val="0"/>
      <w:marRight w:val="0"/>
      <w:marTop w:val="0"/>
      <w:marBottom w:val="0"/>
      <w:divBdr>
        <w:top w:val="none" w:sz="0" w:space="0" w:color="auto"/>
        <w:left w:val="none" w:sz="0" w:space="0" w:color="auto"/>
        <w:bottom w:val="none" w:sz="0" w:space="0" w:color="auto"/>
        <w:right w:val="none" w:sz="0" w:space="0" w:color="auto"/>
      </w:divBdr>
    </w:div>
    <w:div w:id="679702790">
      <w:bodyDiv w:val="1"/>
      <w:marLeft w:val="0"/>
      <w:marRight w:val="0"/>
      <w:marTop w:val="0"/>
      <w:marBottom w:val="0"/>
      <w:divBdr>
        <w:top w:val="none" w:sz="0" w:space="0" w:color="auto"/>
        <w:left w:val="none" w:sz="0" w:space="0" w:color="auto"/>
        <w:bottom w:val="none" w:sz="0" w:space="0" w:color="auto"/>
        <w:right w:val="none" w:sz="0" w:space="0" w:color="auto"/>
      </w:divBdr>
    </w:div>
    <w:div w:id="1050030688">
      <w:bodyDiv w:val="1"/>
      <w:marLeft w:val="0"/>
      <w:marRight w:val="0"/>
      <w:marTop w:val="0"/>
      <w:marBottom w:val="0"/>
      <w:divBdr>
        <w:top w:val="none" w:sz="0" w:space="0" w:color="auto"/>
        <w:left w:val="none" w:sz="0" w:space="0" w:color="auto"/>
        <w:bottom w:val="none" w:sz="0" w:space="0" w:color="auto"/>
        <w:right w:val="none" w:sz="0" w:space="0" w:color="auto"/>
      </w:divBdr>
    </w:div>
    <w:div w:id="1211960982">
      <w:bodyDiv w:val="1"/>
      <w:marLeft w:val="0"/>
      <w:marRight w:val="0"/>
      <w:marTop w:val="0"/>
      <w:marBottom w:val="0"/>
      <w:divBdr>
        <w:top w:val="none" w:sz="0" w:space="0" w:color="auto"/>
        <w:left w:val="none" w:sz="0" w:space="0" w:color="auto"/>
        <w:bottom w:val="none" w:sz="0" w:space="0" w:color="auto"/>
        <w:right w:val="none" w:sz="0" w:space="0" w:color="auto"/>
      </w:divBdr>
    </w:div>
    <w:div w:id="1353725188">
      <w:bodyDiv w:val="1"/>
      <w:marLeft w:val="0"/>
      <w:marRight w:val="0"/>
      <w:marTop w:val="0"/>
      <w:marBottom w:val="0"/>
      <w:divBdr>
        <w:top w:val="none" w:sz="0" w:space="0" w:color="auto"/>
        <w:left w:val="none" w:sz="0" w:space="0" w:color="auto"/>
        <w:bottom w:val="none" w:sz="0" w:space="0" w:color="auto"/>
        <w:right w:val="none" w:sz="0" w:space="0" w:color="auto"/>
      </w:divBdr>
    </w:div>
    <w:div w:id="137946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NUT\Desktop\IULIA%20disertatie\FINAL%20distertaie%20iulia\ANALIZ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NUT\Desktop\IULIA%20disertatie\FINAL%20distertaie%20iulia\ANALIZ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ANUT\Desktop\IULIA%20disertatie\FINAL%20distertaie%20iulia\ANALIZ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ANUT\Desktop\IULIA%20disertatie\FINAL%20distertaie%20iulia\ANALIZ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ANUT\Desktop\IULIA%20disertatie\FINAL%20distertaie%20iulia\ANALIZ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451457605232525E-2"/>
          <c:y val="6.4046579330422182E-2"/>
          <c:w val="0.87533285612025769"/>
          <c:h val="0.68980083371931522"/>
        </c:manualLayout>
      </c:layout>
      <c:lineChart>
        <c:grouping val="standard"/>
        <c:varyColors val="0"/>
        <c:ser>
          <c:idx val="0"/>
          <c:order val="0"/>
          <c:spPr>
            <a:ln w="15875" cap="rnd">
              <a:solidFill>
                <a:schemeClr val="accent1"/>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dPt>
            <c:idx val="0"/>
            <c:bubble3D val="0"/>
            <c:spPr>
              <a:ln w="15875" cap="rnd">
                <a:solidFill>
                  <a:schemeClr val="accent1"/>
                </a:solidFill>
                <a:round/>
              </a:ln>
              <a:effectLst/>
            </c:spPr>
            <c:extLst>
              <c:ext xmlns:c16="http://schemas.microsoft.com/office/drawing/2014/chart" uri="{C3380CC4-5D6E-409C-BE32-E72D297353CC}">
                <c16:uniqueId val="{00000001-5132-4B9F-B40C-6F32BB8E0853}"/>
              </c:ext>
            </c:extLst>
          </c:dPt>
          <c:dPt>
            <c:idx val="1"/>
            <c:bubble3D val="0"/>
            <c:spPr>
              <a:ln w="15875" cap="rnd">
                <a:solidFill>
                  <a:schemeClr val="accent1"/>
                </a:solidFill>
                <a:round/>
              </a:ln>
              <a:effectLst/>
            </c:spPr>
            <c:extLst>
              <c:ext xmlns:c16="http://schemas.microsoft.com/office/drawing/2014/chart" uri="{C3380CC4-5D6E-409C-BE32-E72D297353CC}">
                <c16:uniqueId val="{00000003-5132-4B9F-B40C-6F32BB8E0853}"/>
              </c:ext>
            </c:extLst>
          </c:dPt>
          <c:dPt>
            <c:idx val="2"/>
            <c:bubble3D val="0"/>
            <c:spPr>
              <a:ln w="15875" cap="rnd">
                <a:solidFill>
                  <a:schemeClr val="accent1"/>
                </a:solidFill>
                <a:round/>
              </a:ln>
              <a:effectLst/>
            </c:spPr>
            <c:extLst>
              <c:ext xmlns:c16="http://schemas.microsoft.com/office/drawing/2014/chart" uri="{C3380CC4-5D6E-409C-BE32-E72D297353CC}">
                <c16:uniqueId val="{00000005-5132-4B9F-B40C-6F32BB8E0853}"/>
              </c:ext>
            </c:extLst>
          </c:dPt>
          <c:dPt>
            <c:idx val="3"/>
            <c:bubble3D val="0"/>
            <c:spPr>
              <a:ln w="15875" cap="rnd">
                <a:solidFill>
                  <a:schemeClr val="accent1"/>
                </a:solidFill>
                <a:round/>
              </a:ln>
              <a:effectLst/>
            </c:spPr>
            <c:extLst>
              <c:ext xmlns:c16="http://schemas.microsoft.com/office/drawing/2014/chart" uri="{C3380CC4-5D6E-409C-BE32-E72D297353CC}">
                <c16:uniqueId val="{00000007-5132-4B9F-B40C-6F32BB8E0853}"/>
              </c:ext>
            </c:extLst>
          </c:dPt>
          <c:dPt>
            <c:idx val="4"/>
            <c:bubble3D val="0"/>
            <c:spPr>
              <a:ln w="15875" cap="rnd">
                <a:solidFill>
                  <a:schemeClr val="accent1"/>
                </a:solidFill>
                <a:round/>
              </a:ln>
              <a:effectLst/>
            </c:spPr>
            <c:extLst>
              <c:ext xmlns:c16="http://schemas.microsoft.com/office/drawing/2014/chart" uri="{C3380CC4-5D6E-409C-BE32-E72D297353CC}">
                <c16:uniqueId val="{00000009-5132-4B9F-B40C-6F32BB8E0853}"/>
              </c:ext>
            </c:extLst>
          </c:dPt>
          <c:dLbls>
            <c:dLbl>
              <c:idx val="0"/>
              <c:layout>
                <c:manualLayout>
                  <c:x val="-0.10265458236484741"/>
                  <c:y val="8.2853858953905235E-2"/>
                </c:manualLayout>
              </c:layout>
              <c:tx>
                <c:rich>
                  <a:bodyPr/>
                  <a:lstStyle/>
                  <a:p>
                    <a:r>
                      <a:rPr lang="en-US" baseline="0"/>
                      <a:t>42</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132-4B9F-B40C-6F32BB8E0853}"/>
                </c:ext>
              </c:extLst>
            </c:dLbl>
            <c:dLbl>
              <c:idx val="1"/>
              <c:layout>
                <c:manualLayout>
                  <c:x val="-9.965681063322479E-2"/>
                  <c:y val="8.721115742885066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r>
                      <a:rPr lang="en-US" baseline="0"/>
                      <a:t> 58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688025610071052"/>
                      <c:h val="0.18287616008783211"/>
                    </c:manualLayout>
                  </c15:layout>
                  <c15:showDataLabelsRange val="0"/>
                </c:ext>
                <c:ext xmlns:c16="http://schemas.microsoft.com/office/drawing/2014/chart" uri="{C3380CC4-5D6E-409C-BE32-E72D297353CC}">
                  <c16:uniqueId val="{00000003-5132-4B9F-B40C-6F32BB8E0853}"/>
                </c:ext>
              </c:extLst>
            </c:dLbl>
            <c:dLbl>
              <c:idx val="2"/>
              <c:layout>
                <c:manualLayout>
                  <c:x val="-9.6552370312978822E-2"/>
                  <c:y val="7.4139262004014231E-2"/>
                </c:manualLayout>
              </c:layout>
              <c:tx>
                <c:rich>
                  <a:bodyPr/>
                  <a:lstStyle/>
                  <a:p>
                    <a:r>
                      <a:rPr lang="en-US" baseline="0"/>
                      <a:t>64</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132-4B9F-B40C-6F32BB8E0853}"/>
                </c:ext>
              </c:extLst>
            </c:dLbl>
            <c:dLbl>
              <c:idx val="3"/>
              <c:layout>
                <c:manualLayout>
                  <c:x val="-9.6552370312978766E-2"/>
                  <c:y val="6.5424665054123213E-2"/>
                </c:manualLayout>
              </c:layout>
              <c:tx>
                <c:rich>
                  <a:bodyPr/>
                  <a:lstStyle/>
                  <a:p>
                    <a:r>
                      <a:rPr lang="en-US" baseline="0"/>
                      <a:t>64</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132-4B9F-B40C-6F32BB8E0853}"/>
                </c:ext>
              </c:extLst>
            </c:dLbl>
            <c:dLbl>
              <c:idx val="4"/>
              <c:layout>
                <c:manualLayout>
                  <c:x val="-4.3774482423106761E-2"/>
                  <c:y val="7.4139262004014231E-2"/>
                </c:manualLayout>
              </c:layout>
              <c:tx>
                <c:rich>
                  <a:bodyPr/>
                  <a:lstStyle/>
                  <a:p>
                    <a:r>
                      <a:rPr lang="en-US" b="0" baseline="0"/>
                      <a:t>59</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132-4B9F-B40C-6F32BB8E08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numRef>
              <c:f>analiza!$B$48:$B$52</c:f>
              <c:numCache>
                <c:formatCode>General</c:formatCode>
                <c:ptCount val="5"/>
                <c:pt idx="0">
                  <c:v>2015</c:v>
                </c:pt>
                <c:pt idx="1">
                  <c:v>2016</c:v>
                </c:pt>
                <c:pt idx="2">
                  <c:v>2017</c:v>
                </c:pt>
                <c:pt idx="3">
                  <c:v>2018</c:v>
                </c:pt>
                <c:pt idx="4">
                  <c:v>2019</c:v>
                </c:pt>
              </c:numCache>
            </c:numRef>
          </c:cat>
          <c:val>
            <c:numRef>
              <c:f>analiza!$A$48:$A$52</c:f>
              <c:numCache>
                <c:formatCode>###,###,##0</c:formatCode>
                <c:ptCount val="5"/>
                <c:pt idx="0">
                  <c:v>42</c:v>
                </c:pt>
                <c:pt idx="1">
                  <c:v>58</c:v>
                </c:pt>
                <c:pt idx="2">
                  <c:v>64</c:v>
                </c:pt>
                <c:pt idx="3">
                  <c:v>64</c:v>
                </c:pt>
                <c:pt idx="4">
                  <c:v>59</c:v>
                </c:pt>
              </c:numCache>
            </c:numRef>
          </c:val>
          <c:smooth val="0"/>
          <c:extLst>
            <c:ext xmlns:c16="http://schemas.microsoft.com/office/drawing/2014/chart" uri="{C3380CC4-5D6E-409C-BE32-E72D297353CC}">
              <c16:uniqueId val="{0000000A-5132-4B9F-B40C-6F32BB8E0853}"/>
            </c:ext>
          </c:extLst>
        </c:ser>
        <c:dLbls>
          <c:showLegendKey val="0"/>
          <c:showVal val="0"/>
          <c:showCatName val="0"/>
          <c:showSerName val="0"/>
          <c:showPercent val="0"/>
          <c:showBubbleSize val="0"/>
        </c:dLbls>
        <c:marker val="1"/>
        <c:smooth val="0"/>
        <c:axId val="46598784"/>
        <c:axId val="46604672"/>
      </c:lineChart>
      <c:dateAx>
        <c:axId val="465987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6604672"/>
        <c:crosses val="autoZero"/>
        <c:auto val="0"/>
        <c:lblOffset val="100"/>
        <c:baseTimeUnit val="days"/>
      </c:dateAx>
      <c:valAx>
        <c:axId val="4660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6598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111111111111123E-2"/>
          <c:y val="5.9151720618256083E-2"/>
          <c:w val="0.93888888888888955"/>
          <c:h val="0.85659703995333913"/>
        </c:manualLayout>
      </c:layout>
      <c:bubbleChart>
        <c:varyColors val="0"/>
        <c:ser>
          <c:idx val="0"/>
          <c:order val="0"/>
          <c:spPr>
            <a:solidFill>
              <a:schemeClr val="accent1">
                <a:alpha val="70000"/>
              </a:schemeClr>
            </a:solidFill>
            <a:ln>
              <a:noFill/>
            </a:ln>
            <a:effectLst/>
          </c:spPr>
          <c:invertIfNegative val="0"/>
          <c:dLbls>
            <c:dLbl>
              <c:idx val="0"/>
              <c:layout>
                <c:manualLayout>
                  <c:x val="9.4355413033769264E-2"/>
                  <c:y val="8.3004917610778779E-3"/>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r>
                      <a:rPr lang="en-US"/>
                      <a:t>Small </a:t>
                    </a:r>
                    <a:r>
                      <a:rPr lang="en-US" baseline="0"/>
                      <a:t>74%</a:t>
                    </a:r>
                  </a:p>
                </c:rich>
              </c:tx>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r"/>
              <c:showLegendKey val="0"/>
              <c:showVal val="1"/>
              <c:showCatName val="1"/>
              <c:showSerName val="0"/>
              <c:showPercent val="0"/>
              <c:showBubbleSize val="1"/>
              <c:extLst>
                <c:ext xmlns:c15="http://schemas.microsoft.com/office/drawing/2012/chart" uri="{CE6537A1-D6FC-4f65-9D91-7224C49458BB}">
                  <c15:spPr xmlns:c15="http://schemas.microsoft.com/office/drawing/2012/chart">
                    <a:prstGeom prst="wedgeRectCallout">
                      <a:avLst/>
                    </a:prstGeom>
                  </c15:spPr>
                  <c15:layout>
                    <c:manualLayout>
                      <c:w val="0.30430073348649506"/>
                      <c:h val="0.1002401747304337"/>
                    </c:manualLayout>
                  </c15:layout>
                  <c15:showDataLabelsRange val="0"/>
                </c:ext>
                <c:ext xmlns:c16="http://schemas.microsoft.com/office/drawing/2014/chart" uri="{C3380CC4-5D6E-409C-BE32-E72D297353CC}">
                  <c16:uniqueId val="{00000000-E981-429B-995B-A88FF0702D07}"/>
                </c:ext>
              </c:extLst>
            </c:dLbl>
            <c:dLbl>
              <c:idx val="1"/>
              <c:layout>
                <c:manualLayout>
                  <c:x val="-0.52811751877974855"/>
                  <c:y val="-1.7241626394274023E-2"/>
                </c:manualLayout>
              </c:layout>
              <c:tx>
                <c:rich>
                  <a:bodyPr/>
                  <a:lstStyle/>
                  <a:p>
                    <a:r>
                      <a:rPr lang="en-US"/>
                      <a:t>Medium</a:t>
                    </a:r>
                    <a:r>
                      <a:rPr lang="en-US" baseline="0"/>
                      <a:t> 19%</a:t>
                    </a:r>
                  </a:p>
                </c:rich>
              </c:tx>
              <c:dLblPos val="r"/>
              <c:showLegendKey val="0"/>
              <c:showVal val="1"/>
              <c:showCatName val="1"/>
              <c:showSerName val="0"/>
              <c:showPercent val="0"/>
              <c:showBubbleSize val="1"/>
              <c:extLst>
                <c:ext xmlns:c15="http://schemas.microsoft.com/office/drawing/2012/chart" uri="{CE6537A1-D6FC-4f65-9D91-7224C49458BB}">
                  <c15:layout>
                    <c:manualLayout>
                      <c:w val="0.30131247007511902"/>
                      <c:h val="0.18656985369245427"/>
                    </c:manualLayout>
                  </c15:layout>
                  <c15:showDataLabelsRange val="0"/>
                </c:ext>
                <c:ext xmlns:c16="http://schemas.microsoft.com/office/drawing/2014/chart" uri="{C3380CC4-5D6E-409C-BE32-E72D297353CC}">
                  <c16:uniqueId val="{00000001-E981-429B-995B-A88FF0702D07}"/>
                </c:ext>
              </c:extLst>
            </c:dLbl>
            <c:dLbl>
              <c:idx val="2"/>
              <c:layout>
                <c:manualLayout>
                  <c:x val="-0.34968274596743426"/>
                  <c:y val="7.3125641903457717E-2"/>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chemeClr val="accent1"/>
                        </a:solidFill>
                        <a:effectLst/>
                        <a:latin typeface="+mn-lt"/>
                        <a:ea typeface="+mn-ea"/>
                        <a:cs typeface="+mn-cs"/>
                      </a:defRPr>
                    </a:pPr>
                    <a:r>
                      <a:rPr lang="en-US"/>
                      <a:t>Large</a:t>
                    </a:r>
                    <a:r>
                      <a:rPr lang="en-US" baseline="0"/>
                      <a:t> 7%</a:t>
                    </a:r>
                  </a:p>
                </c:rich>
              </c:tx>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r"/>
              <c:showLegendKey val="0"/>
              <c:showVal val="1"/>
              <c:showCatName val="1"/>
              <c:showSerName val="0"/>
              <c:showPercent val="0"/>
              <c:showBubbleSize val="1"/>
              <c:extLst>
                <c:ext xmlns:c15="http://schemas.microsoft.com/office/drawing/2012/chart" uri="{CE6537A1-D6FC-4f65-9D91-7224C49458BB}">
                  <c15:spPr xmlns:c15="http://schemas.microsoft.com/office/drawing/2012/chart">
                    <a:prstGeom prst="wedgeRectCallout">
                      <a:avLst/>
                    </a:prstGeom>
                  </c15:spPr>
                  <c15:layout>
                    <c:manualLayout>
                      <c:w val="0.29750421463029947"/>
                      <c:h val="9.9405799755313703E-2"/>
                    </c:manualLayout>
                  </c15:layout>
                  <c15:showDataLabelsRange val="0"/>
                </c:ext>
                <c:ext xmlns:c16="http://schemas.microsoft.com/office/drawing/2014/chart" uri="{C3380CC4-5D6E-409C-BE32-E72D297353CC}">
                  <c16:uniqueId val="{00000002-E981-429B-995B-A88FF0702D07}"/>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r"/>
            <c:showLegendKey val="0"/>
            <c:showVal val="1"/>
            <c:showCatName val="1"/>
            <c:showSerName val="0"/>
            <c:showPercent val="0"/>
            <c:showBubbleSize val="1"/>
            <c:showLeaderLines val="0"/>
            <c:extLst>
              <c:ext xmlns:c15="http://schemas.microsoft.com/office/drawing/2012/chart" uri="{CE6537A1-D6FC-4f65-9D91-7224C49458BB}">
                <c15:spPr xmlns:c15="http://schemas.microsoft.com/office/drawing/2012/chart">
                  <a:prstGeom prst="wedgeRectCallout">
                    <a:avLst/>
                  </a:prstGeom>
                </c15:spPr>
                <c15:showDataLabelsRange val="1"/>
                <c15:showLeaderLines val="0"/>
              </c:ext>
            </c:extLst>
          </c:dLbls>
          <c:xVal>
            <c:strRef>
              <c:f>'4variabile (2)'!$J$5:$L$5</c:f>
              <c:strCache>
                <c:ptCount val="3"/>
                <c:pt idx="0">
                  <c:v>Mic</c:v>
                </c:pt>
                <c:pt idx="1">
                  <c:v>Mijlociu</c:v>
                </c:pt>
                <c:pt idx="2">
                  <c:v>Mare</c:v>
                </c:pt>
              </c:strCache>
            </c:strRef>
          </c:xVal>
          <c:yVal>
            <c:numRef>
              <c:f>'4variabile (2)'!$J$6:$L$6</c:f>
              <c:numCache>
                <c:formatCode>###,###,##0</c:formatCode>
                <c:ptCount val="3"/>
                <c:pt idx="0">
                  <c:v>213</c:v>
                </c:pt>
                <c:pt idx="1">
                  <c:v>55</c:v>
                </c:pt>
                <c:pt idx="2">
                  <c:v>19</c:v>
                </c:pt>
              </c:numCache>
            </c:numRef>
          </c:yVal>
          <c:bubbleSize>
            <c:numLit>
              <c:formatCode>General</c:formatCode>
              <c:ptCount val="3"/>
              <c:pt idx="0">
                <c:v>1</c:v>
              </c:pt>
              <c:pt idx="1">
                <c:v>1</c:v>
              </c:pt>
              <c:pt idx="2">
                <c:v>1</c:v>
              </c:pt>
            </c:numLit>
          </c:bubbleSize>
          <c:bubble3D val="0"/>
          <c:extLst>
            <c:ext xmlns:c16="http://schemas.microsoft.com/office/drawing/2014/chart" uri="{C3380CC4-5D6E-409C-BE32-E72D297353CC}">
              <c16:uniqueId val="{00000003-E981-429B-995B-A88FF0702D07}"/>
            </c:ext>
          </c:extLst>
        </c:ser>
        <c:dLbls>
          <c:showLegendKey val="0"/>
          <c:showVal val="0"/>
          <c:showCatName val="0"/>
          <c:showSerName val="0"/>
          <c:showPercent val="0"/>
          <c:showBubbleSize val="0"/>
        </c:dLbls>
        <c:bubbleScale val="100"/>
        <c:showNegBubbles val="0"/>
        <c:axId val="46639744"/>
        <c:axId val="109179264"/>
      </c:bubbleChart>
      <c:valAx>
        <c:axId val="46639744"/>
        <c:scaling>
          <c:orientation val="minMax"/>
        </c:scaling>
        <c:delete val="1"/>
        <c:axPos val="b"/>
        <c:majorTickMark val="out"/>
        <c:minorTickMark val="none"/>
        <c:tickLblPos val="none"/>
        <c:crossAx val="109179264"/>
        <c:crosses val="autoZero"/>
        <c:crossBetween val="midCat"/>
      </c:valAx>
      <c:valAx>
        <c:axId val="109179264"/>
        <c:scaling>
          <c:orientation val="minMax"/>
        </c:scaling>
        <c:delete val="0"/>
        <c:axPos val="l"/>
        <c:numFmt formatCode="###,###,##0" sourceLinked="1"/>
        <c:majorTickMark val="out"/>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466397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r>
              <a:rPr lang="ro-RO" sz="1200"/>
              <a:t>Var.CAAT</a:t>
            </a:r>
            <a:endParaRPr lang="en-US" sz="1200"/>
          </a:p>
        </c:rich>
      </c:tx>
      <c:overlay val="0"/>
      <c:spPr>
        <a:noFill/>
        <a:ln>
          <a:noFill/>
        </a:ln>
        <a:effectLst/>
      </c:spPr>
    </c:title>
    <c:autoTitleDeleted val="0"/>
    <c:plotArea>
      <c:layout/>
      <c:lineChart>
        <c:grouping val="standard"/>
        <c:varyColors val="0"/>
        <c:ser>
          <c:idx val="0"/>
          <c:order val="0"/>
          <c:tx>
            <c:strRef>
              <c:f>marime!$B$8</c:f>
              <c:strCache>
                <c:ptCount val="1"/>
                <c:pt idx="0">
                  <c:v>Mici</c:v>
                </c:pt>
              </c:strCache>
            </c:strRef>
          </c:tx>
          <c:spPr>
            <a:ln w="38100" cap="rnd">
              <a:solidFill>
                <a:schemeClr val="accent1"/>
              </a:solidFill>
              <a:round/>
            </a:ln>
            <a:effectLst/>
          </c:spPr>
          <c:marker>
            <c:symbol val="none"/>
          </c:marker>
          <c:dLbls>
            <c:dLbl>
              <c:idx val="4"/>
              <c:layout>
                <c:manualLayout>
                  <c:x val="-1.3173665791776029E-2"/>
                  <c:y val="-3.00579615048120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7E-42BE-A89F-D0B61B170A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marime!$C$7:$H$7</c:f>
              <c:strCache>
                <c:ptCount val="5"/>
                <c:pt idx="0">
                  <c:v>2015</c:v>
                </c:pt>
                <c:pt idx="1">
                  <c:v>2016</c:v>
                </c:pt>
                <c:pt idx="2">
                  <c:v>2017</c:v>
                </c:pt>
                <c:pt idx="3">
                  <c:v>2018</c:v>
                </c:pt>
                <c:pt idx="4">
                  <c:v>2019</c:v>
                </c:pt>
              </c:strCache>
              <c:extLst/>
            </c:strRef>
          </c:cat>
          <c:val>
            <c:numRef>
              <c:f>marime!$C$8:$H$8</c:f>
              <c:numCache>
                <c:formatCode>General</c:formatCode>
                <c:ptCount val="5"/>
                <c:pt idx="0">
                  <c:v>0.84300000000000064</c:v>
                </c:pt>
                <c:pt idx="1">
                  <c:v>1.214</c:v>
                </c:pt>
                <c:pt idx="2">
                  <c:v>1.202</c:v>
                </c:pt>
                <c:pt idx="3">
                  <c:v>1.173</c:v>
                </c:pt>
                <c:pt idx="4">
                  <c:v>0.91300000000000003</c:v>
                </c:pt>
              </c:numCache>
              <c:extLst/>
            </c:numRef>
          </c:val>
          <c:smooth val="0"/>
          <c:extLst>
            <c:ext xmlns:c16="http://schemas.microsoft.com/office/drawing/2014/chart" uri="{C3380CC4-5D6E-409C-BE32-E72D297353CC}">
              <c16:uniqueId val="{00000001-237E-42BE-A89F-D0B61B170A3B}"/>
            </c:ext>
          </c:extLst>
        </c:ser>
        <c:ser>
          <c:idx val="1"/>
          <c:order val="1"/>
          <c:tx>
            <c:strRef>
              <c:f>marime!$B$9</c:f>
              <c:strCache>
                <c:ptCount val="1"/>
                <c:pt idx="0">
                  <c:v>Mijlocii</c:v>
                </c:pt>
              </c:strCache>
            </c:strRef>
          </c:tx>
          <c:spPr>
            <a:ln w="38100" cap="rnd">
              <a:solidFill>
                <a:schemeClr val="accent2"/>
              </a:solidFill>
              <a:round/>
            </a:ln>
            <a:effectLst/>
          </c:spPr>
          <c:marker>
            <c:symbol val="none"/>
          </c:marker>
          <c:dLbls>
            <c:dLbl>
              <c:idx val="0"/>
              <c:layout>
                <c:manualLayout>
                  <c:x val="-9.9284776902887201E-2"/>
                  <c:y val="-1.6169072615923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7E-42BE-A89F-D0B61B170A3B}"/>
                </c:ext>
              </c:extLst>
            </c:dLbl>
            <c:dLbl>
              <c:idx val="4"/>
              <c:layout>
                <c:manualLayout>
                  <c:x val="3.4930008748906417E-3"/>
                  <c:y val="1.62383347914843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7E-42BE-A89F-D0B61B170A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marime!$C$7:$H$7</c:f>
              <c:strCache>
                <c:ptCount val="5"/>
                <c:pt idx="0">
                  <c:v>2015</c:v>
                </c:pt>
                <c:pt idx="1">
                  <c:v>2016</c:v>
                </c:pt>
                <c:pt idx="2">
                  <c:v>2017</c:v>
                </c:pt>
                <c:pt idx="3">
                  <c:v>2018</c:v>
                </c:pt>
                <c:pt idx="4">
                  <c:v>2019</c:v>
                </c:pt>
              </c:strCache>
              <c:extLst/>
            </c:strRef>
          </c:cat>
          <c:val>
            <c:numRef>
              <c:f>marime!$C$9:$H$9</c:f>
              <c:numCache>
                <c:formatCode>General</c:formatCode>
                <c:ptCount val="5"/>
                <c:pt idx="0">
                  <c:v>0.79700000000000004</c:v>
                </c:pt>
                <c:pt idx="1">
                  <c:v>0.85800000000000065</c:v>
                </c:pt>
                <c:pt idx="2">
                  <c:v>0.83400000000000063</c:v>
                </c:pt>
                <c:pt idx="3">
                  <c:v>0.85600000000000065</c:v>
                </c:pt>
                <c:pt idx="4">
                  <c:v>0.87100000000000066</c:v>
                </c:pt>
              </c:numCache>
              <c:extLst/>
            </c:numRef>
          </c:val>
          <c:smooth val="0"/>
          <c:extLst>
            <c:ext xmlns:c16="http://schemas.microsoft.com/office/drawing/2014/chart" uri="{C3380CC4-5D6E-409C-BE32-E72D297353CC}">
              <c16:uniqueId val="{00000004-237E-42BE-A89F-D0B61B170A3B}"/>
            </c:ext>
          </c:extLst>
        </c:ser>
        <c:ser>
          <c:idx val="2"/>
          <c:order val="2"/>
          <c:tx>
            <c:strRef>
              <c:f>marime!$B$10</c:f>
              <c:strCache>
                <c:ptCount val="1"/>
                <c:pt idx="0">
                  <c:v>Mari</c:v>
                </c:pt>
              </c:strCache>
            </c:strRef>
          </c:tx>
          <c:spPr>
            <a:ln w="3810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marime!$C$7:$H$7</c:f>
              <c:strCache>
                <c:ptCount val="5"/>
                <c:pt idx="0">
                  <c:v>2015</c:v>
                </c:pt>
                <c:pt idx="1">
                  <c:v>2016</c:v>
                </c:pt>
                <c:pt idx="2">
                  <c:v>2017</c:v>
                </c:pt>
                <c:pt idx="3">
                  <c:v>2018</c:v>
                </c:pt>
                <c:pt idx="4">
                  <c:v>2019</c:v>
                </c:pt>
              </c:strCache>
              <c:extLst/>
            </c:strRef>
          </c:cat>
          <c:val>
            <c:numRef>
              <c:f>marime!$C$10:$H$10</c:f>
              <c:numCache>
                <c:formatCode>General</c:formatCode>
                <c:ptCount val="5"/>
                <c:pt idx="0">
                  <c:v>0.99099999999999999</c:v>
                </c:pt>
                <c:pt idx="1">
                  <c:v>0.99299999999999999</c:v>
                </c:pt>
                <c:pt idx="2">
                  <c:v>0.96700000000000064</c:v>
                </c:pt>
                <c:pt idx="3">
                  <c:v>1.0469999999999986</c:v>
                </c:pt>
                <c:pt idx="4">
                  <c:v>1.006</c:v>
                </c:pt>
              </c:numCache>
              <c:extLst/>
            </c:numRef>
          </c:val>
          <c:smooth val="0"/>
          <c:extLst>
            <c:ext xmlns:c16="http://schemas.microsoft.com/office/drawing/2014/chart" uri="{C3380CC4-5D6E-409C-BE32-E72D297353CC}">
              <c16:uniqueId val="{00000005-237E-42BE-A89F-D0B61B170A3B}"/>
            </c:ext>
          </c:extLst>
        </c:ser>
        <c:dLbls>
          <c:showLegendKey val="0"/>
          <c:showVal val="1"/>
          <c:showCatName val="0"/>
          <c:showSerName val="0"/>
          <c:showPercent val="0"/>
          <c:showBubbleSize val="0"/>
        </c:dLbls>
        <c:smooth val="0"/>
        <c:axId val="46704512"/>
        <c:axId val="46706048"/>
      </c:lineChart>
      <c:catAx>
        <c:axId val="4670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6706048"/>
        <c:crosses val="autoZero"/>
        <c:auto val="1"/>
        <c:lblAlgn val="ctr"/>
        <c:lblOffset val="100"/>
        <c:noMultiLvlLbl val="0"/>
      </c:catAx>
      <c:valAx>
        <c:axId val="46706048"/>
        <c:scaling>
          <c:orientation val="minMax"/>
          <c:min val="0.7000000000000006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04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r>
              <a:rPr lang="ro-RO" sz="1200"/>
              <a:t>Var.IMPAT</a:t>
            </a:r>
            <a:endParaRPr lang="en-US" sz="1200"/>
          </a:p>
        </c:rich>
      </c:tx>
      <c:overlay val="0"/>
      <c:spPr>
        <a:noFill/>
        <a:ln>
          <a:noFill/>
        </a:ln>
        <a:effectLst/>
      </c:spPr>
    </c:title>
    <c:autoTitleDeleted val="0"/>
    <c:plotArea>
      <c:layout/>
      <c:lineChart>
        <c:grouping val="standard"/>
        <c:varyColors val="0"/>
        <c:ser>
          <c:idx val="0"/>
          <c:order val="0"/>
          <c:tx>
            <c:strRef>
              <c:f>marime!$B$13</c:f>
              <c:strCache>
                <c:ptCount val="1"/>
                <c:pt idx="0">
                  <c:v>Mici</c:v>
                </c:pt>
              </c:strCache>
            </c:strRef>
          </c:tx>
          <c:spPr>
            <a:ln w="38100" cap="rnd">
              <a:solidFill>
                <a:schemeClr val="accent1"/>
              </a:solidFill>
              <a:round/>
            </a:ln>
            <a:effectLst/>
          </c:spPr>
          <c:marker>
            <c:symbol val="none"/>
          </c:marker>
          <c:dLbls>
            <c:dLbl>
              <c:idx val="0"/>
              <c:layout>
                <c:manualLayout>
                  <c:x val="-5.2062554680664917E-2"/>
                  <c:y val="-8.56135170603674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E3-4F72-8151-04AEC0FF7CCB}"/>
                </c:ext>
              </c:extLst>
            </c:dLbl>
            <c:dLbl>
              <c:idx val="5"/>
              <c:layout>
                <c:manualLayout>
                  <c:x val="-2.0118110236220576E-2"/>
                  <c:y val="4.170129775444725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7.6347112860892394E-2"/>
                      <c:h val="6.0115923009623796E-2"/>
                    </c:manualLayout>
                  </c15:layout>
                </c:ext>
                <c:ext xmlns:c16="http://schemas.microsoft.com/office/drawing/2014/chart" uri="{C3380CC4-5D6E-409C-BE32-E72D297353CC}">
                  <c16:uniqueId val="{00000001-D0E3-4F72-8151-04AEC0FF7C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marime!$C$12:$H$12</c:f>
              <c:strCache>
                <c:ptCount val="6"/>
                <c:pt idx="0">
                  <c:v>General</c:v>
                </c:pt>
                <c:pt idx="1">
                  <c:v>2015</c:v>
                </c:pt>
                <c:pt idx="2">
                  <c:v>2016</c:v>
                </c:pt>
                <c:pt idx="3">
                  <c:v>2017</c:v>
                </c:pt>
                <c:pt idx="4">
                  <c:v>2018</c:v>
                </c:pt>
                <c:pt idx="5">
                  <c:v>2019</c:v>
                </c:pt>
              </c:strCache>
            </c:strRef>
          </c:cat>
          <c:val>
            <c:numRef>
              <c:f>marime!$C$13:$H$13</c:f>
              <c:numCache>
                <c:formatCode>General</c:formatCode>
                <c:ptCount val="6"/>
                <c:pt idx="0">
                  <c:v>1.7000000000000001E-2</c:v>
                </c:pt>
                <c:pt idx="1">
                  <c:v>1.4E-2</c:v>
                </c:pt>
                <c:pt idx="2">
                  <c:v>1.7999999999999999E-2</c:v>
                </c:pt>
                <c:pt idx="3">
                  <c:v>1.7999999999999999E-2</c:v>
                </c:pt>
                <c:pt idx="4">
                  <c:v>2.1999999999999999E-2</c:v>
                </c:pt>
                <c:pt idx="5">
                  <c:v>1.2999999999999998E-2</c:v>
                </c:pt>
              </c:numCache>
            </c:numRef>
          </c:val>
          <c:smooth val="0"/>
          <c:extLst>
            <c:ext xmlns:c16="http://schemas.microsoft.com/office/drawing/2014/chart" uri="{C3380CC4-5D6E-409C-BE32-E72D297353CC}">
              <c16:uniqueId val="{00000002-D0E3-4F72-8151-04AEC0FF7CCB}"/>
            </c:ext>
          </c:extLst>
        </c:ser>
        <c:ser>
          <c:idx val="1"/>
          <c:order val="1"/>
          <c:tx>
            <c:strRef>
              <c:f>marime!$B$14</c:f>
              <c:strCache>
                <c:ptCount val="1"/>
                <c:pt idx="0">
                  <c:v>Mijlocii</c:v>
                </c:pt>
              </c:strCache>
            </c:strRef>
          </c:tx>
          <c:spPr>
            <a:ln w="38100" cap="rnd">
              <a:solidFill>
                <a:schemeClr val="accent2"/>
              </a:solidFill>
              <a:round/>
            </a:ln>
            <a:effectLst/>
          </c:spPr>
          <c:marker>
            <c:symbol val="none"/>
          </c:marker>
          <c:dLbls>
            <c:dLbl>
              <c:idx val="0"/>
              <c:layout>
                <c:manualLayout>
                  <c:x val="-8.2618110236220496E-2"/>
                  <c:y val="-2.5428331875182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E3-4F72-8151-04AEC0FF7CCB}"/>
                </c:ext>
              </c:extLst>
            </c:dLbl>
            <c:dLbl>
              <c:idx val="1"/>
              <c:layout>
                <c:manualLayout>
                  <c:x val="-5.2062554680664917E-2"/>
                  <c:y val="7.1793890347040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E3-4F72-8151-04AEC0FF7CCB}"/>
                </c:ext>
              </c:extLst>
            </c:dLbl>
            <c:dLbl>
              <c:idx val="2"/>
              <c:layout>
                <c:manualLayout>
                  <c:x val="-3.2618110236220611E-2"/>
                  <c:y val="8.10531496062992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E3-4F72-8151-04AEC0FF7CCB}"/>
                </c:ext>
              </c:extLst>
            </c:dLbl>
            <c:dLbl>
              <c:idx val="5"/>
              <c:layout>
                <c:manualLayout>
                  <c:x val="-1.3173665791776135E-2"/>
                  <c:y val="-4.85764800233304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E3-4F72-8151-04AEC0FF7C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marime!$C$12:$H$12</c:f>
              <c:strCache>
                <c:ptCount val="6"/>
                <c:pt idx="0">
                  <c:v>General</c:v>
                </c:pt>
                <c:pt idx="1">
                  <c:v>2015</c:v>
                </c:pt>
                <c:pt idx="2">
                  <c:v>2016</c:v>
                </c:pt>
                <c:pt idx="3">
                  <c:v>2017</c:v>
                </c:pt>
                <c:pt idx="4">
                  <c:v>2018</c:v>
                </c:pt>
                <c:pt idx="5">
                  <c:v>2019</c:v>
                </c:pt>
              </c:strCache>
            </c:strRef>
          </c:cat>
          <c:val>
            <c:numRef>
              <c:f>marime!$C$14:$H$14</c:f>
              <c:numCache>
                <c:formatCode>General</c:formatCode>
                <c:ptCount val="6"/>
                <c:pt idx="0">
                  <c:v>1.4E-2</c:v>
                </c:pt>
                <c:pt idx="1">
                  <c:v>9.0000000000000028E-3</c:v>
                </c:pt>
                <c:pt idx="2">
                  <c:v>1.6000000000000021E-2</c:v>
                </c:pt>
                <c:pt idx="3">
                  <c:v>1.4999999999999998E-2</c:v>
                </c:pt>
                <c:pt idx="4">
                  <c:v>1.7000000000000001E-2</c:v>
                </c:pt>
                <c:pt idx="5">
                  <c:v>1.4E-2</c:v>
                </c:pt>
              </c:numCache>
            </c:numRef>
          </c:val>
          <c:smooth val="0"/>
          <c:extLst>
            <c:ext xmlns:c16="http://schemas.microsoft.com/office/drawing/2014/chart" uri="{C3380CC4-5D6E-409C-BE32-E72D297353CC}">
              <c16:uniqueId val="{00000007-D0E3-4F72-8151-04AEC0FF7CCB}"/>
            </c:ext>
          </c:extLst>
        </c:ser>
        <c:ser>
          <c:idx val="2"/>
          <c:order val="2"/>
          <c:tx>
            <c:strRef>
              <c:f>marime!$B$15</c:f>
              <c:strCache>
                <c:ptCount val="1"/>
                <c:pt idx="0">
                  <c:v>Mari</c:v>
                </c:pt>
              </c:strCache>
            </c:strRef>
          </c:tx>
          <c:spPr>
            <a:ln w="38100" cap="rnd">
              <a:solidFill>
                <a:schemeClr val="accent3"/>
              </a:solidFill>
              <a:round/>
            </a:ln>
            <a:effectLst/>
          </c:spPr>
          <c:marker>
            <c:symbol val="none"/>
          </c:marker>
          <c:dLbls>
            <c:dLbl>
              <c:idx val="0"/>
              <c:layout>
                <c:manualLayout>
                  <c:x val="-9.6506999125109558E-2"/>
                  <c:y val="-5.7835739282589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0E3-4F72-8151-04AEC0FF7CCB}"/>
                </c:ext>
              </c:extLst>
            </c:dLbl>
            <c:dLbl>
              <c:idx val="1"/>
              <c:layout>
                <c:manualLayout>
                  <c:x val="-5.2062554680664917E-2"/>
                  <c:y val="3.4756853310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E3-4F72-8151-04AEC0FF7CCB}"/>
                </c:ext>
              </c:extLst>
            </c:dLbl>
            <c:dLbl>
              <c:idx val="3"/>
              <c:layout>
                <c:manualLayout>
                  <c:x val="-6.0395888013998318E-2"/>
                  <c:y val="5.32753718285214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E3-4F72-8151-04AEC0FF7CCB}"/>
                </c:ext>
              </c:extLst>
            </c:dLbl>
            <c:dLbl>
              <c:idx val="4"/>
              <c:layout>
                <c:manualLayout>
                  <c:x val="-5.2062554680664917E-2"/>
                  <c:y val="5.790500145815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E3-4F72-8151-04AEC0FF7C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marime!$C$12:$H$12</c:f>
              <c:strCache>
                <c:ptCount val="6"/>
                <c:pt idx="0">
                  <c:v>General</c:v>
                </c:pt>
                <c:pt idx="1">
                  <c:v>2015</c:v>
                </c:pt>
                <c:pt idx="2">
                  <c:v>2016</c:v>
                </c:pt>
                <c:pt idx="3">
                  <c:v>2017</c:v>
                </c:pt>
                <c:pt idx="4">
                  <c:v>2018</c:v>
                </c:pt>
                <c:pt idx="5">
                  <c:v>2019</c:v>
                </c:pt>
              </c:strCache>
            </c:strRef>
          </c:cat>
          <c:val>
            <c:numRef>
              <c:f>marime!$C$15:$H$15</c:f>
              <c:numCache>
                <c:formatCode>General</c:formatCode>
                <c:ptCount val="6"/>
                <c:pt idx="0">
                  <c:v>1.6000000000000021E-2</c:v>
                </c:pt>
                <c:pt idx="1">
                  <c:v>1.2E-2</c:v>
                </c:pt>
                <c:pt idx="2">
                  <c:v>1.7999999999999999E-2</c:v>
                </c:pt>
                <c:pt idx="3">
                  <c:v>1.4E-2</c:v>
                </c:pt>
                <c:pt idx="4">
                  <c:v>1.4999999999999998E-2</c:v>
                </c:pt>
                <c:pt idx="5">
                  <c:v>2.1000000000000012E-2</c:v>
                </c:pt>
              </c:numCache>
            </c:numRef>
          </c:val>
          <c:smooth val="0"/>
          <c:extLst>
            <c:ext xmlns:c16="http://schemas.microsoft.com/office/drawing/2014/chart" uri="{C3380CC4-5D6E-409C-BE32-E72D297353CC}">
              <c16:uniqueId val="{0000000C-D0E3-4F72-8151-04AEC0FF7CCB}"/>
            </c:ext>
          </c:extLst>
        </c:ser>
        <c:dLbls>
          <c:showLegendKey val="0"/>
          <c:showVal val="1"/>
          <c:showCatName val="0"/>
          <c:showSerName val="0"/>
          <c:showPercent val="0"/>
          <c:showBubbleSize val="0"/>
        </c:dLbls>
        <c:smooth val="0"/>
        <c:axId val="46788992"/>
        <c:axId val="46790528"/>
      </c:lineChart>
      <c:catAx>
        <c:axId val="4678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6790528"/>
        <c:crosses val="autoZero"/>
        <c:auto val="1"/>
        <c:lblAlgn val="ctr"/>
        <c:lblOffset val="100"/>
        <c:noMultiLvlLbl val="0"/>
      </c:catAx>
      <c:valAx>
        <c:axId val="46790528"/>
        <c:scaling>
          <c:orientation val="minMax"/>
          <c:max val="2.5000000000000012E-2"/>
          <c:min val="5.0000000000000062E-3"/>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88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35870516185478"/>
          <c:y val="2.5428331875182269E-2"/>
          <c:w val="0.85008573928259035"/>
          <c:h val="0.89032042869641292"/>
        </c:manualLayout>
      </c:layout>
      <c:lineChart>
        <c:grouping val="standard"/>
        <c:varyColors val="0"/>
        <c:ser>
          <c:idx val="0"/>
          <c:order val="0"/>
          <c:spPr>
            <a:ln w="22225" cap="rnd" cmpd="sng" algn="ctr">
              <a:solidFill>
                <a:schemeClr val="accent6"/>
              </a:solidFill>
              <a:round/>
            </a:ln>
            <a:effectLst/>
          </c:spPr>
          <c:marker>
            <c:symbol val="none"/>
          </c:marker>
          <c:dLbls>
            <c:dLbl>
              <c:idx val="0"/>
              <c:layout>
                <c:manualLayout>
                  <c:x val="-6.9333333333333483E-2"/>
                  <c:y val="-7.63542578011082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29-4D37-8543-E0823E0E1E49}"/>
                </c:ext>
              </c:extLst>
            </c:dLbl>
            <c:dLbl>
              <c:idx val="1"/>
              <c:layout>
                <c:manualLayout>
                  <c:x val="-7.2111111111111251E-2"/>
                  <c:y val="-7.17246281714785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29-4D37-8543-E0823E0E1E49}"/>
                </c:ext>
              </c:extLst>
            </c:dLbl>
            <c:dLbl>
              <c:idx val="2"/>
              <c:layout>
                <c:manualLayout>
                  <c:x val="-6.3777777777777878E-2"/>
                  <c:y val="-8.56135170603674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29-4D37-8543-E0823E0E1E49}"/>
                </c:ext>
              </c:extLst>
            </c:dLbl>
            <c:dLbl>
              <c:idx val="3"/>
              <c:layout>
                <c:manualLayout>
                  <c:x val="-6.1000000000000013E-2"/>
                  <c:y val="-4.68755468066491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29-4D37-8543-E0823E0E1E49}"/>
                </c:ext>
              </c:extLst>
            </c:dLbl>
            <c:dLbl>
              <c:idx val="4"/>
              <c:layout>
                <c:manualLayout>
                  <c:x val="-3.5999999999999997E-2"/>
                  <c:y val="-7.63542578011083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29-4D37-8543-E0823E0E1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analiza!$H$69:$H$73</c:f>
              <c:numCache>
                <c:formatCode>General</c:formatCode>
                <c:ptCount val="5"/>
                <c:pt idx="0">
                  <c:v>2015</c:v>
                </c:pt>
                <c:pt idx="1">
                  <c:v>2016</c:v>
                </c:pt>
                <c:pt idx="2">
                  <c:v>2017</c:v>
                </c:pt>
                <c:pt idx="3">
                  <c:v>2018</c:v>
                </c:pt>
                <c:pt idx="4">
                  <c:v>2019</c:v>
                </c:pt>
              </c:numCache>
            </c:numRef>
          </c:cat>
          <c:val>
            <c:numRef>
              <c:f>analiza!$I$69:$I$73</c:f>
              <c:numCache>
                <c:formatCode>0.00%</c:formatCode>
                <c:ptCount val="5"/>
                <c:pt idx="0">
                  <c:v>0.10100000000000002</c:v>
                </c:pt>
                <c:pt idx="1">
                  <c:v>0.21200000000000016</c:v>
                </c:pt>
                <c:pt idx="2">
                  <c:v>0.56599999999999995</c:v>
                </c:pt>
                <c:pt idx="3">
                  <c:v>0.73500000000000065</c:v>
                </c:pt>
                <c:pt idx="4">
                  <c:v>0.222</c:v>
                </c:pt>
              </c:numCache>
            </c:numRef>
          </c:val>
          <c:smooth val="0"/>
          <c:extLst>
            <c:ext xmlns:c16="http://schemas.microsoft.com/office/drawing/2014/chart" uri="{C3380CC4-5D6E-409C-BE32-E72D297353CC}">
              <c16:uniqueId val="{00000005-9D29-4D37-8543-E0823E0E1E49}"/>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846720"/>
        <c:axId val="46848256"/>
      </c:lineChart>
      <c:catAx>
        <c:axId val="468467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848256"/>
        <c:crosses val="autoZero"/>
        <c:auto val="1"/>
        <c:lblAlgn val="ctr"/>
        <c:lblOffset val="100"/>
        <c:noMultiLvlLbl val="0"/>
      </c:catAx>
      <c:valAx>
        <c:axId val="4684825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84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99D65-6BEE-4790-A512-1A6C5A2D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6104</Words>
  <Characters>34797</Characters>
  <Application>Microsoft Office Word</Application>
  <DocSecurity>0</DocSecurity>
  <Lines>289</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Coca Cristina</dc:creator>
  <cp:lastModifiedBy>User</cp:lastModifiedBy>
  <cp:revision>3</cp:revision>
  <dcterms:created xsi:type="dcterms:W3CDTF">2023-11-16T07:27:00Z</dcterms:created>
  <dcterms:modified xsi:type="dcterms:W3CDTF">2023-11-16T07:28:00Z</dcterms:modified>
</cp:coreProperties>
</file>