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BD3F8" w14:textId="77777777" w:rsidR="00AD2CA5" w:rsidRPr="00AD2CA5" w:rsidRDefault="00AD2CA5" w:rsidP="00FA6E58">
      <w:pPr>
        <w:pStyle w:val="ListParagraph"/>
        <w:numPr>
          <w:ilvl w:val="0"/>
          <w:numId w:val="1"/>
        </w:numPr>
        <w:spacing w:after="0" w:line="240" w:lineRule="auto"/>
        <w:ind w:left="0" w:firstLine="720"/>
        <w:contextualSpacing w:val="0"/>
        <w:jc w:val="both"/>
        <w:rPr>
          <w:b/>
          <w:vanish/>
          <w:sz w:val="28"/>
          <w:szCs w:val="28"/>
        </w:rPr>
      </w:pPr>
    </w:p>
    <w:p w14:paraId="220F8E16" w14:textId="77777777" w:rsidR="000A0CA9" w:rsidRPr="00FA6E58" w:rsidRDefault="000A0CA9" w:rsidP="00FA6E58">
      <w:pPr>
        <w:pStyle w:val="ListParagraph"/>
        <w:spacing w:after="0" w:line="240" w:lineRule="auto"/>
        <w:ind w:left="0" w:firstLine="720"/>
        <w:contextualSpacing w:val="0"/>
        <w:jc w:val="both"/>
        <w:rPr>
          <w:rFonts w:eastAsia="Calibri"/>
        </w:rPr>
      </w:pPr>
    </w:p>
    <w:p w14:paraId="49CAB649" w14:textId="77777777" w:rsidR="00315617" w:rsidRPr="00FA6E58" w:rsidRDefault="00FA6E58" w:rsidP="00FA6E58">
      <w:pPr>
        <w:jc w:val="both"/>
        <w:rPr>
          <w:rFonts w:eastAsia="Calibri"/>
          <w:b/>
          <w:sz w:val="28"/>
          <w:szCs w:val="28"/>
        </w:rPr>
      </w:pPr>
      <w:r w:rsidRPr="00FA6E58">
        <w:rPr>
          <w:rFonts w:eastAsia="Calibri"/>
          <w:b/>
          <w:sz w:val="28"/>
          <w:szCs w:val="28"/>
        </w:rPr>
        <w:t>IMPLICAREA POPULAȚIEI ÎN EDUCAȚIE. POZIȚIA ROMÂNIEI ÎN CONTEXT EUROPEAN - DISPARITĂȚI ȘI SIMILARITĂȚI</w:t>
      </w:r>
    </w:p>
    <w:p w14:paraId="00BFF5A0" w14:textId="77777777" w:rsidR="00205248" w:rsidRDefault="00205248" w:rsidP="00205248">
      <w:pPr>
        <w:ind w:firstLine="706"/>
        <w:jc w:val="center"/>
        <w:rPr>
          <w:sz w:val="20"/>
          <w:szCs w:val="20"/>
        </w:rPr>
      </w:pPr>
    </w:p>
    <w:p w14:paraId="5F3EAC34" w14:textId="77777777" w:rsidR="00205248" w:rsidRPr="00E06ED7" w:rsidRDefault="00205248" w:rsidP="00205248">
      <w:pPr>
        <w:jc w:val="center"/>
        <w:rPr>
          <w:b/>
          <w:sz w:val="20"/>
          <w:szCs w:val="20"/>
        </w:rPr>
      </w:pPr>
      <w:r w:rsidRPr="00E06ED7">
        <w:rPr>
          <w:b/>
          <w:sz w:val="20"/>
          <w:szCs w:val="20"/>
        </w:rPr>
        <w:t>Rodica Manuela GOGONEA</w:t>
      </w:r>
    </w:p>
    <w:p w14:paraId="02611FC3" w14:textId="77777777" w:rsidR="00205248" w:rsidRDefault="00205248" w:rsidP="00205248">
      <w:pPr>
        <w:jc w:val="center"/>
        <w:rPr>
          <w:sz w:val="20"/>
          <w:szCs w:val="20"/>
        </w:rPr>
      </w:pPr>
      <w:r>
        <w:rPr>
          <w:sz w:val="20"/>
          <w:szCs w:val="20"/>
        </w:rPr>
        <w:t>The Bucharest University of Economic Studies, România</w:t>
      </w:r>
    </w:p>
    <w:p w14:paraId="630C24C0" w14:textId="77777777" w:rsidR="00205248" w:rsidRDefault="002D6B0D" w:rsidP="00205248">
      <w:pPr>
        <w:jc w:val="center"/>
        <w:rPr>
          <w:sz w:val="20"/>
          <w:szCs w:val="20"/>
        </w:rPr>
      </w:pPr>
      <w:hyperlink r:id="rId9" w:history="1">
        <w:r w:rsidR="00205248" w:rsidRPr="005531CE">
          <w:rPr>
            <w:rStyle w:val="Hyperlink"/>
            <w:sz w:val="20"/>
            <w:szCs w:val="20"/>
          </w:rPr>
          <w:t>manuela.gogonea@gmail.com</w:t>
        </w:r>
      </w:hyperlink>
    </w:p>
    <w:p w14:paraId="63EABA55" w14:textId="77777777" w:rsidR="00205248" w:rsidRDefault="00205248" w:rsidP="00205248">
      <w:pPr>
        <w:jc w:val="center"/>
        <w:rPr>
          <w:b/>
          <w:sz w:val="20"/>
          <w:szCs w:val="20"/>
        </w:rPr>
      </w:pPr>
    </w:p>
    <w:p w14:paraId="3EFB44E4" w14:textId="77777777" w:rsidR="00205248" w:rsidRPr="00E06ED7" w:rsidRDefault="00205248" w:rsidP="00205248">
      <w:pPr>
        <w:jc w:val="center"/>
        <w:rPr>
          <w:b/>
          <w:sz w:val="20"/>
          <w:szCs w:val="20"/>
        </w:rPr>
      </w:pPr>
      <w:r w:rsidRPr="00E06ED7">
        <w:rPr>
          <w:b/>
          <w:sz w:val="20"/>
          <w:szCs w:val="20"/>
        </w:rPr>
        <w:t>Marian ZAHARIA</w:t>
      </w:r>
    </w:p>
    <w:p w14:paraId="488EBBE4" w14:textId="77777777" w:rsidR="00205248" w:rsidRDefault="00205248" w:rsidP="00205248">
      <w:pPr>
        <w:jc w:val="center"/>
        <w:rPr>
          <w:sz w:val="20"/>
          <w:szCs w:val="20"/>
        </w:rPr>
      </w:pPr>
      <w:r>
        <w:rPr>
          <w:sz w:val="20"/>
          <w:szCs w:val="20"/>
        </w:rPr>
        <w:t>ADER (</w:t>
      </w:r>
      <w:r w:rsidRPr="00B7745F">
        <w:rPr>
          <w:sz w:val="20"/>
          <w:szCs w:val="20"/>
        </w:rPr>
        <w:t>Association for Democracy, Education, Respect</w:t>
      </w:r>
      <w:r>
        <w:rPr>
          <w:sz w:val="20"/>
          <w:szCs w:val="20"/>
        </w:rPr>
        <w:t>), Târgu Jiu, Romania</w:t>
      </w:r>
    </w:p>
    <w:p w14:paraId="26CAE43C" w14:textId="77777777" w:rsidR="00205248" w:rsidRPr="003D71D7" w:rsidRDefault="002D6B0D" w:rsidP="00205248">
      <w:pPr>
        <w:ind w:firstLine="706"/>
        <w:jc w:val="center"/>
      </w:pPr>
      <w:hyperlink r:id="rId10" w:history="1">
        <w:r w:rsidR="00205248" w:rsidRPr="005531CE">
          <w:rPr>
            <w:rStyle w:val="Hyperlink"/>
            <w:sz w:val="20"/>
            <w:szCs w:val="20"/>
          </w:rPr>
          <w:t>marianzaharia53@gmail.com</w:t>
        </w:r>
      </w:hyperlink>
    </w:p>
    <w:p w14:paraId="50A2936F" w14:textId="77777777" w:rsidR="00205248" w:rsidRPr="00205248" w:rsidRDefault="00205248" w:rsidP="00205248">
      <w:pPr>
        <w:ind w:firstLine="720"/>
        <w:jc w:val="both"/>
        <w:rPr>
          <w:b/>
        </w:rPr>
      </w:pPr>
    </w:p>
    <w:p w14:paraId="07FEE7AA" w14:textId="77777777" w:rsidR="00205248" w:rsidRPr="003D71D7" w:rsidRDefault="00205248" w:rsidP="00205248">
      <w:pPr>
        <w:ind w:firstLine="720"/>
        <w:jc w:val="both"/>
        <w:rPr>
          <w:b/>
          <w:sz w:val="20"/>
          <w:szCs w:val="20"/>
        </w:rPr>
      </w:pPr>
      <w:r w:rsidRPr="003D71D7">
        <w:rPr>
          <w:b/>
          <w:sz w:val="20"/>
          <w:szCs w:val="20"/>
        </w:rPr>
        <w:t>Abstract</w:t>
      </w:r>
    </w:p>
    <w:p w14:paraId="4DA1AE9D" w14:textId="77777777" w:rsidR="005704B8" w:rsidRDefault="005704B8" w:rsidP="005704B8">
      <w:pPr>
        <w:ind w:firstLine="720"/>
        <w:jc w:val="both"/>
        <w:rPr>
          <w:i/>
          <w:sz w:val="20"/>
          <w:szCs w:val="20"/>
        </w:rPr>
      </w:pPr>
      <w:r w:rsidRPr="0002441B">
        <w:rPr>
          <w:i/>
          <w:sz w:val="20"/>
          <w:szCs w:val="20"/>
        </w:rPr>
        <w:t>It is almost universally recognized that sustainable development is fundamental to the future of humanity. Its implementation does not depend only on the economic possibilities and availabilities, on the level of material development of each state and, above all, on the human factor, on the degree of knowledge, understanding and practical application of this desired, from the individual, community level local, regional and national. This is largely determined by the level of education of individuals and the population as a whole. From this point of view in the European Union there are gaps in some significant cases. In this context, our paper analyzes the disparities and similarities between the EU states, as well as the identification of Romania's place through the lens of the population's involvement in education.</w:t>
      </w:r>
    </w:p>
    <w:p w14:paraId="590A0C2B" w14:textId="4EB4A303" w:rsidR="00205248" w:rsidRPr="00205248" w:rsidRDefault="00205248" w:rsidP="00205248">
      <w:pPr>
        <w:ind w:firstLine="720"/>
        <w:jc w:val="both"/>
        <w:rPr>
          <w:i/>
          <w:color w:val="FF0000"/>
          <w:sz w:val="20"/>
          <w:szCs w:val="20"/>
        </w:rPr>
      </w:pPr>
    </w:p>
    <w:p w14:paraId="7181BC4A" w14:textId="77777777" w:rsidR="00205248" w:rsidRPr="003D71D7" w:rsidRDefault="00205248" w:rsidP="00205248">
      <w:pPr>
        <w:ind w:firstLine="720"/>
        <w:jc w:val="both"/>
        <w:rPr>
          <w:i/>
          <w:sz w:val="20"/>
          <w:szCs w:val="20"/>
        </w:rPr>
      </w:pPr>
    </w:p>
    <w:p w14:paraId="19214797" w14:textId="6D1B9683" w:rsidR="00205248" w:rsidRPr="005704B8" w:rsidRDefault="00205248" w:rsidP="00205248">
      <w:pPr>
        <w:ind w:firstLine="720"/>
        <w:jc w:val="both"/>
        <w:rPr>
          <w:sz w:val="20"/>
          <w:szCs w:val="20"/>
        </w:rPr>
      </w:pPr>
      <w:r w:rsidRPr="003D71D7">
        <w:rPr>
          <w:b/>
          <w:sz w:val="20"/>
          <w:szCs w:val="20"/>
        </w:rPr>
        <w:t>Key words</w:t>
      </w:r>
      <w:r w:rsidRPr="003D71D7">
        <w:rPr>
          <w:sz w:val="20"/>
          <w:szCs w:val="20"/>
        </w:rPr>
        <w:t xml:space="preserve">: </w:t>
      </w:r>
      <w:r w:rsidR="005704B8" w:rsidRPr="005704B8">
        <w:rPr>
          <w:sz w:val="20"/>
          <w:szCs w:val="20"/>
        </w:rPr>
        <w:t>educație, abandon școlar, profesori, analiză cluster</w:t>
      </w:r>
    </w:p>
    <w:p w14:paraId="2CC42421" w14:textId="77777777" w:rsidR="00205248" w:rsidRPr="005704B8" w:rsidRDefault="00205248" w:rsidP="00205248">
      <w:pPr>
        <w:ind w:firstLine="720"/>
        <w:jc w:val="both"/>
        <w:rPr>
          <w:sz w:val="20"/>
          <w:szCs w:val="20"/>
        </w:rPr>
      </w:pPr>
    </w:p>
    <w:p w14:paraId="7BAAC945" w14:textId="1EC981CB" w:rsidR="00205248" w:rsidRPr="005704B8" w:rsidRDefault="00205248" w:rsidP="00205248">
      <w:pPr>
        <w:ind w:firstLine="720"/>
        <w:jc w:val="both"/>
        <w:rPr>
          <w:b/>
          <w:sz w:val="20"/>
          <w:szCs w:val="20"/>
        </w:rPr>
      </w:pPr>
      <w:r w:rsidRPr="005704B8">
        <w:rPr>
          <w:b/>
          <w:sz w:val="20"/>
          <w:szCs w:val="20"/>
        </w:rPr>
        <w:t>JEL classification</w:t>
      </w:r>
      <w:r w:rsidRPr="005704B8">
        <w:rPr>
          <w:sz w:val="20"/>
          <w:szCs w:val="20"/>
        </w:rPr>
        <w:t>:</w:t>
      </w:r>
      <w:r w:rsidR="005704B8" w:rsidRPr="005704B8">
        <w:rPr>
          <w:sz w:val="20"/>
          <w:szCs w:val="20"/>
        </w:rPr>
        <w:t xml:space="preserve"> </w:t>
      </w:r>
      <w:r w:rsidR="005704B8" w:rsidRPr="00131CB8">
        <w:rPr>
          <w:sz w:val="20"/>
          <w:szCs w:val="20"/>
        </w:rPr>
        <w:t>I21, C10</w:t>
      </w:r>
    </w:p>
    <w:p w14:paraId="61F8609D" w14:textId="77777777" w:rsidR="00205248" w:rsidRDefault="00205248" w:rsidP="00205248">
      <w:pPr>
        <w:ind w:firstLine="720"/>
        <w:jc w:val="both"/>
        <w:rPr>
          <w:sz w:val="20"/>
          <w:szCs w:val="20"/>
        </w:rPr>
      </w:pPr>
    </w:p>
    <w:p w14:paraId="109F4D51" w14:textId="77777777" w:rsidR="00205248" w:rsidRDefault="00205248" w:rsidP="00205248">
      <w:pPr>
        <w:ind w:firstLine="720"/>
        <w:jc w:val="both"/>
        <w:rPr>
          <w:sz w:val="20"/>
          <w:szCs w:val="20"/>
        </w:rPr>
      </w:pPr>
    </w:p>
    <w:p w14:paraId="4A65CD94" w14:textId="77777777" w:rsidR="00205248" w:rsidRPr="00205248" w:rsidRDefault="00205248" w:rsidP="00205248">
      <w:pPr>
        <w:ind w:firstLine="720"/>
        <w:jc w:val="both"/>
        <w:rPr>
          <w:b/>
        </w:rPr>
      </w:pPr>
      <w:r w:rsidRPr="00205248">
        <w:rPr>
          <w:b/>
        </w:rPr>
        <w:t xml:space="preserve">INTRODUCTION </w:t>
      </w:r>
    </w:p>
    <w:p w14:paraId="3E8C8699" w14:textId="77777777" w:rsidR="000A0CA9" w:rsidRPr="00315617" w:rsidRDefault="000A0CA9" w:rsidP="00FA6E58">
      <w:pPr>
        <w:ind w:firstLine="720"/>
        <w:jc w:val="both"/>
        <w:rPr>
          <w:rFonts w:eastAsia="Calibri"/>
          <w:b/>
          <w:color w:val="17365D" w:themeColor="text2" w:themeShade="BF"/>
          <w:sz w:val="26"/>
          <w:szCs w:val="26"/>
        </w:rPr>
      </w:pPr>
    </w:p>
    <w:p w14:paraId="301481A3" w14:textId="37F943B1" w:rsidR="00F07184" w:rsidRPr="0041738F" w:rsidRDefault="00F07184" w:rsidP="00F07184">
      <w:pPr>
        <w:pStyle w:val="ListParagraph"/>
        <w:spacing w:after="0" w:line="240" w:lineRule="auto"/>
        <w:ind w:left="0" w:firstLine="720"/>
        <w:contextualSpacing w:val="0"/>
        <w:jc w:val="both"/>
      </w:pPr>
      <w:r w:rsidRPr="0041738F">
        <w:t>Gradul de educație al populației este un factor fundamental în asigurarea dezvoltării durabile, creșterea economică fiind strâns legată de nivelul regional și național al educației (</w:t>
      </w:r>
      <w:r w:rsidRPr="0041738F">
        <w:rPr>
          <w:shd w:val="clear" w:color="auto" w:fill="FFFFFF"/>
        </w:rPr>
        <w:t>Szeles</w:t>
      </w:r>
      <w:r w:rsidRPr="0041738F">
        <w:rPr>
          <w:rStyle w:val="FootnoteReference"/>
        </w:rPr>
        <w:t xml:space="preserve"> </w:t>
      </w:r>
      <w:r w:rsidR="0041738F">
        <w:t>et</w:t>
      </w:r>
      <w:r w:rsidRPr="0041738F">
        <w:t>.</w:t>
      </w:r>
      <w:r w:rsidR="0041738F">
        <w:t xml:space="preserve">al. </w:t>
      </w:r>
      <w:r w:rsidRPr="0041738F">
        <w:t>2019). Aceasta este practic o axiomă care s-a impus managementului educațional pe parcursul procesului de integrare europeană, proc</w:t>
      </w:r>
      <w:r w:rsidR="005704B8">
        <w:t>es care este încă în plină desfă</w:t>
      </w:r>
      <w:r w:rsidRPr="0041738F">
        <w:t>ș</w:t>
      </w:r>
      <w:r w:rsidR="005704B8">
        <w:t>ura</w:t>
      </w:r>
      <w:r w:rsidRPr="0041738F">
        <w:t>re.</w:t>
      </w:r>
    </w:p>
    <w:p w14:paraId="6A919744" w14:textId="4317E1ED" w:rsidR="005704B8" w:rsidRDefault="005704B8" w:rsidP="00F07184">
      <w:pPr>
        <w:pStyle w:val="ListParagraph"/>
        <w:spacing w:after="0" w:line="240" w:lineRule="auto"/>
        <w:ind w:left="0" w:firstLine="720"/>
        <w:contextualSpacing w:val="0"/>
        <w:jc w:val="both"/>
      </w:pPr>
      <w:r w:rsidRPr="005704B8">
        <w:t>În dezvoltarea nivelului de educație al tinerei generații este necesară începerea educației de la cele mai fragede vârste, prin includerea acestora în diferite forme de educație (Rabigan și Manea, 2019) în concordanță cu specificul comunităților locale în care trăiesc. (Silva și colab., 2020).</w:t>
      </w:r>
    </w:p>
    <w:p w14:paraId="5645282E" w14:textId="5C749DEC" w:rsidR="005704B8" w:rsidRDefault="005704B8" w:rsidP="00F07184">
      <w:pPr>
        <w:pStyle w:val="ListParagraph"/>
        <w:spacing w:after="0" w:line="240" w:lineRule="auto"/>
        <w:ind w:left="0" w:firstLine="720"/>
        <w:contextualSpacing w:val="0"/>
        <w:jc w:val="both"/>
      </w:pPr>
      <w:r w:rsidRPr="005704B8">
        <w:t>Pe de altă parte, disparitățile dintre diferitele medii sociale, între urban și rural, constituie decalaje greu de traversat atât în România, cât și în celelalte state UE (Drăgoi, 2019). Dintre acestea, o atenție deosebită trebuie acordată comunităților defavorizate, cu nivel de trai foarte scăzut, pentru care studiile efectuate (Yuvaraj &amp; Arabi, 2021) concluzionează necesitatea stabilirii unor obiective specifice și totodată prioritare.</w:t>
      </w:r>
    </w:p>
    <w:p w14:paraId="1DBE0CD4" w14:textId="77777777" w:rsidR="00F07184" w:rsidRPr="0041738F" w:rsidRDefault="00F07184" w:rsidP="00F07184">
      <w:pPr>
        <w:pStyle w:val="ListParagraph"/>
        <w:spacing w:after="0" w:line="240" w:lineRule="auto"/>
        <w:ind w:left="0" w:firstLine="720"/>
        <w:contextualSpacing w:val="0"/>
        <w:jc w:val="both"/>
        <w:rPr>
          <w:rFonts w:eastAsia="Calibri"/>
        </w:rPr>
      </w:pPr>
      <w:r w:rsidRPr="0041738F">
        <w:t>În acest context, managementul educațional trebuie orientat căte identificarea și înțelegerea tipului de educație necesar pentru dezvoltarea umană durabilă (</w:t>
      </w:r>
      <w:r w:rsidRPr="0041738F">
        <w:rPr>
          <w:shd w:val="clear" w:color="auto" w:fill="FFFFFF"/>
        </w:rPr>
        <w:t xml:space="preserve">Bunda, Baciu </w:t>
      </w:r>
      <w:r w:rsidR="0041738F">
        <w:rPr>
          <w:shd w:val="clear" w:color="auto" w:fill="FFFFFF"/>
        </w:rPr>
        <w:t>&amp;</w:t>
      </w:r>
      <w:r w:rsidRPr="0041738F">
        <w:rPr>
          <w:shd w:val="clear" w:color="auto" w:fill="FFFFFF"/>
        </w:rPr>
        <w:t xml:space="preserve"> Ciote, 2010)</w:t>
      </w:r>
      <w:r w:rsidRPr="0041738F">
        <w:t xml:space="preserve">. Pe de altă parte, trebuie avute în vedere diferențele semnificative atât între regiunile de dezvoltare din cadrul unui stat (Hapenciuc </w:t>
      </w:r>
      <w:r w:rsidR="0041738F">
        <w:t>&amp;</w:t>
      </w:r>
      <w:r w:rsidRPr="0041738F">
        <w:t xml:space="preserve"> Neamțu, 2016), cât și între statele membre ale Uniunii Europene.</w:t>
      </w:r>
    </w:p>
    <w:p w14:paraId="1EFEE6DA" w14:textId="77777777" w:rsidR="00205248" w:rsidRPr="0041738F" w:rsidRDefault="0041738F" w:rsidP="0041738F">
      <w:pPr>
        <w:pStyle w:val="ListParagraph"/>
        <w:spacing w:after="0" w:line="240" w:lineRule="auto"/>
        <w:ind w:left="0" w:firstLine="720"/>
        <w:contextualSpacing w:val="0"/>
        <w:jc w:val="both"/>
        <w:rPr>
          <w:rFonts w:eastAsia="Calibri"/>
        </w:rPr>
      </w:pPr>
      <w:r w:rsidRPr="0041738F">
        <w:rPr>
          <w:rFonts w:eastAsia="Calibri"/>
        </w:rPr>
        <w:t>Ținând seama de aceste aspecte, obiectivul principal al cercetării a fost punerea în evidență a simi</w:t>
      </w:r>
      <w:r w:rsidR="00975041">
        <w:rPr>
          <w:rFonts w:eastAsia="Calibri"/>
        </w:rPr>
        <w:t>larităților și disparităților di</w:t>
      </w:r>
      <w:r w:rsidRPr="0041738F">
        <w:rPr>
          <w:rFonts w:eastAsia="Calibri"/>
        </w:rPr>
        <w:t>ntre statele membre ale Uniunii Europene privind implicarea populației în ed</w:t>
      </w:r>
      <w:r w:rsidR="00975041">
        <w:rPr>
          <w:rFonts w:eastAsia="Calibri"/>
        </w:rPr>
        <w:t>u</w:t>
      </w:r>
      <w:r w:rsidRPr="0041738F">
        <w:rPr>
          <w:rFonts w:eastAsia="Calibri"/>
        </w:rPr>
        <w:t xml:space="preserve">cație și identificarea locului României în acest context, pe baza seriilor de date oficiale disponibile în </w:t>
      </w:r>
      <w:r w:rsidR="00205248" w:rsidRPr="0041738F">
        <w:rPr>
          <w:rFonts w:eastAsia="Calibri"/>
        </w:rPr>
        <w:t xml:space="preserve">baza de date Eurostat (Eurostat, 2022) a Comisiei Europene. </w:t>
      </w:r>
    </w:p>
    <w:p w14:paraId="33EAF7C3" w14:textId="77777777" w:rsidR="00205248" w:rsidRDefault="00205248" w:rsidP="00205248">
      <w:pPr>
        <w:ind w:firstLine="720"/>
        <w:jc w:val="both"/>
        <w:rPr>
          <w:rFonts w:eastAsia="Calibri"/>
          <w:color w:val="17365D" w:themeColor="text2" w:themeShade="BF"/>
        </w:rPr>
      </w:pPr>
    </w:p>
    <w:p w14:paraId="00DB4CA4" w14:textId="77777777" w:rsidR="005704B8" w:rsidRDefault="005704B8" w:rsidP="00205248">
      <w:pPr>
        <w:ind w:firstLine="720"/>
        <w:jc w:val="both"/>
        <w:rPr>
          <w:rFonts w:eastAsia="Calibri"/>
          <w:color w:val="17365D" w:themeColor="text2" w:themeShade="BF"/>
        </w:rPr>
      </w:pPr>
    </w:p>
    <w:p w14:paraId="7817E440" w14:textId="77777777" w:rsidR="005704B8" w:rsidRDefault="005704B8" w:rsidP="00205248">
      <w:pPr>
        <w:ind w:firstLine="720"/>
        <w:jc w:val="both"/>
        <w:rPr>
          <w:rFonts w:eastAsia="Calibri"/>
          <w:color w:val="17365D" w:themeColor="text2" w:themeShade="BF"/>
        </w:rPr>
      </w:pPr>
    </w:p>
    <w:p w14:paraId="479C5FB1" w14:textId="77777777" w:rsidR="005704B8" w:rsidRDefault="005704B8" w:rsidP="00205248">
      <w:pPr>
        <w:ind w:firstLine="720"/>
        <w:jc w:val="both"/>
        <w:rPr>
          <w:rFonts w:eastAsia="Calibri"/>
          <w:color w:val="17365D" w:themeColor="text2" w:themeShade="BF"/>
        </w:rPr>
      </w:pPr>
    </w:p>
    <w:p w14:paraId="550FD2A8" w14:textId="77777777" w:rsidR="005704B8" w:rsidRDefault="005704B8" w:rsidP="00205248">
      <w:pPr>
        <w:ind w:firstLine="720"/>
        <w:jc w:val="both"/>
        <w:rPr>
          <w:rFonts w:eastAsia="Calibri"/>
          <w:color w:val="17365D" w:themeColor="text2" w:themeShade="BF"/>
        </w:rPr>
      </w:pPr>
    </w:p>
    <w:p w14:paraId="5B114A33" w14:textId="77777777" w:rsidR="005704B8" w:rsidRDefault="005704B8" w:rsidP="00205248">
      <w:pPr>
        <w:ind w:firstLine="720"/>
        <w:jc w:val="both"/>
        <w:rPr>
          <w:rFonts w:eastAsia="Calibri"/>
          <w:color w:val="17365D" w:themeColor="text2" w:themeShade="BF"/>
        </w:rPr>
      </w:pPr>
    </w:p>
    <w:p w14:paraId="582FC104" w14:textId="77777777" w:rsidR="00205248" w:rsidRDefault="00205248" w:rsidP="00205248">
      <w:pPr>
        <w:ind w:firstLine="720"/>
        <w:jc w:val="both"/>
        <w:rPr>
          <w:b/>
        </w:rPr>
      </w:pPr>
      <w:r>
        <w:rPr>
          <w:b/>
        </w:rPr>
        <w:lastRenderedPageBreak/>
        <w:t xml:space="preserve">DATA SERIES AND </w:t>
      </w:r>
      <w:r w:rsidRPr="000B23C9">
        <w:rPr>
          <w:b/>
        </w:rPr>
        <w:t>RESARCH METHOLOGY</w:t>
      </w:r>
    </w:p>
    <w:p w14:paraId="3B0C93BD" w14:textId="77777777" w:rsidR="00737507" w:rsidRPr="000373B3" w:rsidRDefault="00737507" w:rsidP="00FA6E58">
      <w:pPr>
        <w:pStyle w:val="ListParagraph"/>
        <w:spacing w:after="0" w:line="240" w:lineRule="auto"/>
        <w:ind w:left="0" w:firstLine="720"/>
        <w:contextualSpacing w:val="0"/>
        <w:jc w:val="both"/>
        <w:rPr>
          <w:rFonts w:eastAsia="Calibri"/>
          <w:color w:val="17365D" w:themeColor="text2" w:themeShade="BF"/>
        </w:rPr>
      </w:pPr>
    </w:p>
    <w:p w14:paraId="41587832" w14:textId="77777777" w:rsidR="005704B8" w:rsidRDefault="00315617" w:rsidP="00F07184">
      <w:pPr>
        <w:ind w:firstLine="720"/>
        <w:jc w:val="both"/>
        <w:rPr>
          <w:rFonts w:eastAsia="Calibri"/>
        </w:rPr>
      </w:pPr>
      <w:r w:rsidRPr="00FA6E58">
        <w:rPr>
          <w:rFonts w:eastAsia="Calibri"/>
        </w:rPr>
        <w:t>Ținând seama de obiectivul principal al cercetării efectuate, î</w:t>
      </w:r>
      <w:r w:rsidR="000A0CA9" w:rsidRPr="00FA6E58">
        <w:rPr>
          <w:rFonts w:eastAsia="Calibri"/>
        </w:rPr>
        <w:t xml:space="preserve">n analiza integrată </w:t>
      </w:r>
      <w:r w:rsidRPr="00FA6E58">
        <w:rPr>
          <w:rFonts w:eastAsia="Calibri"/>
        </w:rPr>
        <w:t xml:space="preserve">a </w:t>
      </w:r>
      <w:r w:rsidR="000A0CA9" w:rsidRPr="00FA6E58">
        <w:rPr>
          <w:rFonts w:eastAsia="Calibri"/>
        </w:rPr>
        <w:t>ponderii populației UE27 implicate în învățământ coroborate cu nivelul produsului intern brut pe locuitor, au fost utilizat</w:t>
      </w:r>
      <w:r w:rsidRPr="00FA6E58">
        <w:rPr>
          <w:rFonts w:eastAsia="Calibri"/>
        </w:rPr>
        <w:t xml:space="preserve">e </w:t>
      </w:r>
      <w:r w:rsidR="00977CF6">
        <w:rPr>
          <w:rFonts w:eastAsia="Calibri"/>
        </w:rPr>
        <w:t>cinci serii</w:t>
      </w:r>
      <w:r w:rsidR="00205248" w:rsidRPr="00205248">
        <w:rPr>
          <w:rFonts w:eastAsia="Calibri"/>
        </w:rPr>
        <w:t xml:space="preserve"> de date</w:t>
      </w:r>
      <w:r w:rsidR="00977CF6">
        <w:rPr>
          <w:rFonts w:eastAsia="Calibri"/>
        </w:rPr>
        <w:t xml:space="preserve">. </w:t>
      </w:r>
      <w:proofErr w:type="gramStart"/>
      <w:r w:rsidR="00977CF6">
        <w:rPr>
          <w:rFonts w:eastAsia="Calibri"/>
        </w:rPr>
        <w:t>Semnifica</w:t>
      </w:r>
      <w:r w:rsidR="00977CF6">
        <w:rPr>
          <w:rFonts w:eastAsia="Calibri"/>
          <w:lang w:val="ro-RO"/>
        </w:rPr>
        <w:t>ț</w:t>
      </w:r>
      <w:r w:rsidR="00977CF6">
        <w:rPr>
          <w:rFonts w:eastAsia="Calibri"/>
        </w:rPr>
        <w:t xml:space="preserve">iile, identificatorii și sursele seriilor </w:t>
      </w:r>
      <w:r w:rsidR="00975041">
        <w:rPr>
          <w:rFonts w:eastAsia="Calibri"/>
        </w:rPr>
        <w:t xml:space="preserve">de date sunt prezentate </w:t>
      </w:r>
      <w:r w:rsidR="00977CF6">
        <w:rPr>
          <w:rFonts w:eastAsia="Calibri"/>
        </w:rPr>
        <w:t>în tabelul 1.</w:t>
      </w:r>
      <w:proofErr w:type="gramEnd"/>
      <w:r w:rsidR="00F07184">
        <w:rPr>
          <w:rFonts w:eastAsia="Calibri"/>
        </w:rPr>
        <w:t xml:space="preserve"> </w:t>
      </w:r>
    </w:p>
    <w:p w14:paraId="6C8C98F7" w14:textId="7A07DEB1" w:rsidR="00F07184" w:rsidRPr="000373B3" w:rsidRDefault="00F07184" w:rsidP="00F07184">
      <w:pPr>
        <w:ind w:firstLine="720"/>
        <w:jc w:val="both"/>
        <w:rPr>
          <w:color w:val="17365D" w:themeColor="text2" w:themeShade="BF"/>
        </w:rPr>
      </w:pPr>
      <w:r w:rsidRPr="00F07184">
        <w:t>Dintre cele 27 de state membre ale Uniunii Europene, în analiza disparităților și similarităților dintre acestea privind populația implicată în învățământ coroborat cu produsul intern brut pe locuitor au fost cuprinse 24 de state. Celelalte trei state membre (Cehia, Estonia și Lituania) nu au putut și incluse în analiză din cauza lipsei valorilor corespunzătoare uneia sau mai multora din cele cinci variabile utilizate ca criterii de clasificare.</w:t>
      </w:r>
    </w:p>
    <w:p w14:paraId="68D53DBB" w14:textId="77777777" w:rsidR="00977CF6" w:rsidRDefault="00977CF6" w:rsidP="00205248">
      <w:pPr>
        <w:ind w:firstLine="720"/>
        <w:jc w:val="both"/>
        <w:rPr>
          <w:rFonts w:eastAsia="Calibri"/>
        </w:rPr>
      </w:pPr>
    </w:p>
    <w:p w14:paraId="57AE0E77" w14:textId="77777777" w:rsidR="00B8195E" w:rsidRDefault="00B8195E" w:rsidP="00B8195E">
      <w:pPr>
        <w:ind w:firstLine="720"/>
        <w:jc w:val="center"/>
        <w:rPr>
          <w:b/>
        </w:rPr>
      </w:pPr>
    </w:p>
    <w:p w14:paraId="4B6DDBC6" w14:textId="77777777" w:rsidR="00B8195E" w:rsidRPr="003D71D7" w:rsidRDefault="00B8195E" w:rsidP="00977CF6">
      <w:pPr>
        <w:jc w:val="center"/>
        <w:rPr>
          <w:b/>
        </w:rPr>
      </w:pPr>
      <w:r w:rsidRPr="003D71D7">
        <w:rPr>
          <w:b/>
        </w:rPr>
        <w:t xml:space="preserve">Table no. 1. </w:t>
      </w:r>
      <w:r w:rsidR="00977CF6">
        <w:rPr>
          <w:b/>
        </w:rPr>
        <w:t xml:space="preserve">Identificatorii variabilelor, semnificațiile acestora și sursele de date utilizate în analiza integrată </w:t>
      </w:r>
      <w:proofErr w:type="gramStart"/>
      <w:r w:rsidR="00977CF6">
        <w:rPr>
          <w:b/>
        </w:rPr>
        <w:t>a</w:t>
      </w:r>
      <w:proofErr w:type="gramEnd"/>
      <w:r w:rsidR="00977CF6">
        <w:rPr>
          <w:b/>
        </w:rPr>
        <w:t xml:space="preserve"> implicări</w:t>
      </w:r>
      <w:r w:rsidR="00F07184">
        <w:rPr>
          <w:b/>
        </w:rPr>
        <w:t>i populației în educație în UE</w:t>
      </w:r>
    </w:p>
    <w:tbl>
      <w:tblPr>
        <w:tblStyle w:val="TableGrid"/>
        <w:tblW w:w="0" w:type="auto"/>
        <w:jc w:val="center"/>
        <w:tblLook w:val="04A0" w:firstRow="1" w:lastRow="0" w:firstColumn="1" w:lastColumn="0" w:noHBand="0" w:noVBand="1"/>
      </w:tblPr>
      <w:tblGrid>
        <w:gridCol w:w="1039"/>
        <w:gridCol w:w="7439"/>
        <w:gridCol w:w="1369"/>
      </w:tblGrid>
      <w:tr w:rsidR="00B8195E" w:rsidRPr="00977CF6" w14:paraId="12DB5934" w14:textId="77777777" w:rsidTr="001A351B">
        <w:trPr>
          <w:jc w:val="center"/>
        </w:trPr>
        <w:tc>
          <w:tcPr>
            <w:tcW w:w="0" w:type="auto"/>
            <w:vAlign w:val="center"/>
          </w:tcPr>
          <w:p w14:paraId="50950E06" w14:textId="77777777" w:rsidR="00B8195E" w:rsidRPr="00977CF6" w:rsidRDefault="00B8195E" w:rsidP="00977CF6">
            <w:pPr>
              <w:rPr>
                <w:b/>
                <w:sz w:val="20"/>
                <w:szCs w:val="20"/>
              </w:rPr>
            </w:pPr>
            <w:r w:rsidRPr="00977CF6">
              <w:rPr>
                <w:b/>
                <w:sz w:val="20"/>
                <w:szCs w:val="20"/>
              </w:rPr>
              <w:t>Variables</w:t>
            </w:r>
          </w:p>
        </w:tc>
        <w:tc>
          <w:tcPr>
            <w:tcW w:w="7439" w:type="dxa"/>
            <w:vAlign w:val="center"/>
          </w:tcPr>
          <w:p w14:paraId="0147E6E2" w14:textId="77777777" w:rsidR="00B8195E" w:rsidRPr="00977CF6" w:rsidRDefault="00B8195E" w:rsidP="00977CF6">
            <w:pPr>
              <w:jc w:val="center"/>
              <w:rPr>
                <w:b/>
                <w:sz w:val="20"/>
                <w:szCs w:val="20"/>
              </w:rPr>
            </w:pPr>
            <w:r w:rsidRPr="00977CF6">
              <w:rPr>
                <w:b/>
                <w:sz w:val="20"/>
                <w:szCs w:val="20"/>
              </w:rPr>
              <w:t>Significance</w:t>
            </w:r>
          </w:p>
        </w:tc>
        <w:tc>
          <w:tcPr>
            <w:tcW w:w="1369" w:type="dxa"/>
            <w:vAlign w:val="center"/>
          </w:tcPr>
          <w:p w14:paraId="3E711264" w14:textId="77777777" w:rsidR="00B8195E" w:rsidRPr="00977CF6" w:rsidRDefault="00977CF6" w:rsidP="00977CF6">
            <w:pPr>
              <w:jc w:val="center"/>
              <w:rPr>
                <w:b/>
                <w:sz w:val="20"/>
                <w:szCs w:val="20"/>
              </w:rPr>
            </w:pPr>
            <w:r w:rsidRPr="00977CF6">
              <w:rPr>
                <w:b/>
                <w:sz w:val="20"/>
                <w:szCs w:val="20"/>
              </w:rPr>
              <w:t>Sources</w:t>
            </w:r>
          </w:p>
        </w:tc>
      </w:tr>
      <w:tr w:rsidR="00B8195E" w:rsidRPr="00977CF6" w14:paraId="7C2CD082" w14:textId="77777777" w:rsidTr="001A351B">
        <w:trPr>
          <w:jc w:val="center"/>
        </w:trPr>
        <w:tc>
          <w:tcPr>
            <w:tcW w:w="0" w:type="auto"/>
            <w:vAlign w:val="center"/>
          </w:tcPr>
          <w:p w14:paraId="03F9DACA" w14:textId="77777777" w:rsidR="00B8195E" w:rsidRPr="00977CF6" w:rsidRDefault="001A351B" w:rsidP="00977CF6">
            <w:pPr>
              <w:jc w:val="center"/>
              <w:rPr>
                <w:sz w:val="20"/>
                <w:szCs w:val="20"/>
              </w:rPr>
            </w:pPr>
            <w:r>
              <w:rPr>
                <w:sz w:val="20"/>
                <w:szCs w:val="20"/>
              </w:rPr>
              <w:t>PPTE</w:t>
            </w:r>
          </w:p>
        </w:tc>
        <w:tc>
          <w:tcPr>
            <w:tcW w:w="7439" w:type="dxa"/>
            <w:vAlign w:val="center"/>
          </w:tcPr>
          <w:p w14:paraId="234B2205" w14:textId="77777777" w:rsidR="00B8195E" w:rsidRPr="00977CF6" w:rsidRDefault="00977CF6" w:rsidP="00977CF6">
            <w:pPr>
              <w:rPr>
                <w:sz w:val="20"/>
                <w:szCs w:val="20"/>
              </w:rPr>
            </w:pPr>
            <w:r w:rsidRPr="00977CF6">
              <w:rPr>
                <w:rFonts w:eastAsia="Calibri"/>
                <w:sz w:val="20"/>
                <w:szCs w:val="20"/>
              </w:rPr>
              <w:t>Pupils and students by education level - as % of total age population</w:t>
            </w:r>
          </w:p>
        </w:tc>
        <w:tc>
          <w:tcPr>
            <w:tcW w:w="1369" w:type="dxa"/>
            <w:vAlign w:val="center"/>
          </w:tcPr>
          <w:p w14:paraId="1464DADB" w14:textId="77777777" w:rsidR="00B8195E" w:rsidRPr="00977CF6" w:rsidRDefault="00977CF6" w:rsidP="00977CF6">
            <w:pPr>
              <w:jc w:val="center"/>
              <w:rPr>
                <w:sz w:val="20"/>
                <w:szCs w:val="20"/>
              </w:rPr>
            </w:pPr>
            <w:r w:rsidRPr="00977CF6">
              <w:rPr>
                <w:rFonts w:eastAsia="Calibri"/>
                <w:sz w:val="20"/>
                <w:szCs w:val="20"/>
              </w:rPr>
              <w:t>Ednrp, 2020</w:t>
            </w:r>
          </w:p>
        </w:tc>
      </w:tr>
      <w:tr w:rsidR="00B8195E" w:rsidRPr="00977CF6" w14:paraId="66453949" w14:textId="77777777" w:rsidTr="001A351B">
        <w:trPr>
          <w:jc w:val="center"/>
        </w:trPr>
        <w:tc>
          <w:tcPr>
            <w:tcW w:w="0" w:type="auto"/>
            <w:vAlign w:val="center"/>
          </w:tcPr>
          <w:p w14:paraId="5E47F9F8" w14:textId="77777777" w:rsidR="00B8195E" w:rsidRPr="00977CF6" w:rsidRDefault="000D01FB" w:rsidP="00977CF6">
            <w:pPr>
              <w:jc w:val="center"/>
              <w:rPr>
                <w:sz w:val="20"/>
                <w:szCs w:val="20"/>
              </w:rPr>
            </w:pPr>
            <w:r>
              <w:rPr>
                <w:sz w:val="20"/>
                <w:szCs w:val="20"/>
              </w:rPr>
              <w:t>PPEAP</w:t>
            </w:r>
          </w:p>
        </w:tc>
        <w:tc>
          <w:tcPr>
            <w:tcW w:w="7439" w:type="dxa"/>
            <w:vAlign w:val="center"/>
          </w:tcPr>
          <w:p w14:paraId="0A4D8AEB" w14:textId="77777777" w:rsidR="00B8195E" w:rsidRPr="00977CF6" w:rsidRDefault="00977CF6" w:rsidP="00977CF6">
            <w:pPr>
              <w:rPr>
                <w:sz w:val="20"/>
                <w:szCs w:val="20"/>
              </w:rPr>
            </w:pPr>
            <w:r w:rsidRPr="00977CF6">
              <w:rPr>
                <w:rFonts w:eastAsia="Calibri"/>
                <w:sz w:val="20"/>
                <w:szCs w:val="20"/>
              </w:rPr>
              <w:t>Classroom teachers working full-time and part-time in primary, lower-secondary and upper-secondary education - as % of total active population</w:t>
            </w:r>
          </w:p>
        </w:tc>
        <w:tc>
          <w:tcPr>
            <w:tcW w:w="1369" w:type="dxa"/>
            <w:vAlign w:val="center"/>
          </w:tcPr>
          <w:p w14:paraId="5BD71B75" w14:textId="77777777" w:rsidR="00B8195E" w:rsidRPr="00977CF6" w:rsidRDefault="00977CF6" w:rsidP="00977CF6">
            <w:pPr>
              <w:jc w:val="center"/>
              <w:rPr>
                <w:sz w:val="20"/>
                <w:szCs w:val="20"/>
              </w:rPr>
            </w:pPr>
            <w:r w:rsidRPr="00977CF6">
              <w:rPr>
                <w:rFonts w:eastAsia="Calibri"/>
                <w:sz w:val="20"/>
                <w:szCs w:val="20"/>
              </w:rPr>
              <w:t>Edper, 2022</w:t>
            </w:r>
          </w:p>
        </w:tc>
      </w:tr>
      <w:tr w:rsidR="00B8195E" w:rsidRPr="00977CF6" w14:paraId="4B452CA8" w14:textId="77777777" w:rsidTr="001A351B">
        <w:trPr>
          <w:jc w:val="center"/>
        </w:trPr>
        <w:tc>
          <w:tcPr>
            <w:tcW w:w="0" w:type="auto"/>
            <w:vAlign w:val="center"/>
          </w:tcPr>
          <w:p w14:paraId="08B380F0" w14:textId="77777777" w:rsidR="00B8195E" w:rsidRPr="00977CF6" w:rsidRDefault="001A351B" w:rsidP="00977CF6">
            <w:pPr>
              <w:jc w:val="center"/>
              <w:rPr>
                <w:sz w:val="20"/>
                <w:szCs w:val="20"/>
              </w:rPr>
            </w:pPr>
            <w:r>
              <w:rPr>
                <w:sz w:val="20"/>
                <w:szCs w:val="20"/>
              </w:rPr>
              <w:t>P0CEP</w:t>
            </w:r>
          </w:p>
        </w:tc>
        <w:tc>
          <w:tcPr>
            <w:tcW w:w="7439" w:type="dxa"/>
            <w:vAlign w:val="center"/>
          </w:tcPr>
          <w:p w14:paraId="69661B60" w14:textId="77777777" w:rsidR="00B8195E" w:rsidRPr="00977CF6" w:rsidRDefault="00977CF6" w:rsidP="00977CF6">
            <w:pPr>
              <w:rPr>
                <w:sz w:val="20"/>
                <w:szCs w:val="20"/>
              </w:rPr>
            </w:pPr>
            <w:r w:rsidRPr="00977CF6">
              <w:rPr>
                <w:rFonts w:eastAsia="Calibri"/>
                <w:sz w:val="20"/>
                <w:szCs w:val="20"/>
              </w:rPr>
              <w:t>Pupils from age 0 to the starting age of compulsory education at primary level by sex - % of the population of the corresponding age</w:t>
            </w:r>
          </w:p>
        </w:tc>
        <w:tc>
          <w:tcPr>
            <w:tcW w:w="1369" w:type="dxa"/>
            <w:vAlign w:val="center"/>
          </w:tcPr>
          <w:p w14:paraId="0D3527D1" w14:textId="77777777" w:rsidR="00B8195E" w:rsidRPr="00977CF6" w:rsidRDefault="00977CF6" w:rsidP="00977CF6">
            <w:pPr>
              <w:jc w:val="center"/>
              <w:rPr>
                <w:sz w:val="20"/>
                <w:szCs w:val="20"/>
              </w:rPr>
            </w:pPr>
            <w:r w:rsidRPr="00977CF6">
              <w:rPr>
                <w:rFonts w:eastAsia="Calibri"/>
                <w:sz w:val="20"/>
                <w:szCs w:val="20"/>
              </w:rPr>
              <w:t>Edert, 2022</w:t>
            </w:r>
          </w:p>
        </w:tc>
      </w:tr>
      <w:tr w:rsidR="00B8195E" w:rsidRPr="00977CF6" w14:paraId="07403357" w14:textId="77777777" w:rsidTr="001A351B">
        <w:trPr>
          <w:jc w:val="center"/>
        </w:trPr>
        <w:tc>
          <w:tcPr>
            <w:tcW w:w="0" w:type="auto"/>
            <w:vAlign w:val="center"/>
          </w:tcPr>
          <w:p w14:paraId="37CEF78F" w14:textId="77777777" w:rsidR="00B8195E" w:rsidRPr="00977CF6" w:rsidRDefault="001A351B" w:rsidP="00977CF6">
            <w:pPr>
              <w:jc w:val="center"/>
              <w:rPr>
                <w:sz w:val="20"/>
                <w:szCs w:val="20"/>
              </w:rPr>
            </w:pPr>
            <w:r>
              <w:rPr>
                <w:sz w:val="20"/>
                <w:szCs w:val="20"/>
              </w:rPr>
              <w:t>PPATS</w:t>
            </w:r>
          </w:p>
        </w:tc>
        <w:tc>
          <w:tcPr>
            <w:tcW w:w="7439" w:type="dxa"/>
            <w:vAlign w:val="center"/>
          </w:tcPr>
          <w:p w14:paraId="19FBEA37" w14:textId="77777777" w:rsidR="00B8195E" w:rsidRPr="00977CF6" w:rsidRDefault="00977CF6" w:rsidP="00977CF6">
            <w:pPr>
              <w:rPr>
                <w:sz w:val="20"/>
                <w:szCs w:val="20"/>
              </w:rPr>
            </w:pPr>
            <w:r w:rsidRPr="00977CF6">
              <w:rPr>
                <w:rFonts w:eastAsia="Calibri"/>
                <w:sz w:val="20"/>
                <w:szCs w:val="20"/>
              </w:rPr>
              <w:t>Early leavers from education and training by sex and labour</w:t>
            </w:r>
          </w:p>
        </w:tc>
        <w:tc>
          <w:tcPr>
            <w:tcW w:w="1369" w:type="dxa"/>
            <w:vAlign w:val="center"/>
          </w:tcPr>
          <w:p w14:paraId="7054FB79" w14:textId="77777777" w:rsidR="00B8195E" w:rsidRPr="00977CF6" w:rsidRDefault="00977CF6" w:rsidP="00977CF6">
            <w:pPr>
              <w:jc w:val="center"/>
              <w:rPr>
                <w:sz w:val="20"/>
                <w:szCs w:val="20"/>
              </w:rPr>
            </w:pPr>
            <w:r w:rsidRPr="00977CF6">
              <w:rPr>
                <w:rFonts w:eastAsia="Calibri"/>
                <w:sz w:val="20"/>
                <w:szCs w:val="20"/>
              </w:rPr>
              <w:t>Edabs, 2022</w:t>
            </w:r>
          </w:p>
        </w:tc>
      </w:tr>
      <w:tr w:rsidR="00B8195E" w:rsidRPr="00977CF6" w14:paraId="335B8B97" w14:textId="77777777" w:rsidTr="001A351B">
        <w:trPr>
          <w:jc w:val="center"/>
        </w:trPr>
        <w:tc>
          <w:tcPr>
            <w:tcW w:w="0" w:type="auto"/>
            <w:vAlign w:val="center"/>
          </w:tcPr>
          <w:p w14:paraId="44FE571D" w14:textId="77777777" w:rsidR="00B8195E" w:rsidRPr="00977CF6" w:rsidRDefault="001A351B" w:rsidP="00977CF6">
            <w:pPr>
              <w:jc w:val="center"/>
              <w:rPr>
                <w:sz w:val="20"/>
                <w:szCs w:val="20"/>
              </w:rPr>
            </w:pPr>
            <w:r>
              <w:rPr>
                <w:sz w:val="20"/>
                <w:szCs w:val="20"/>
              </w:rPr>
              <w:t>PGDP</w:t>
            </w:r>
          </w:p>
        </w:tc>
        <w:tc>
          <w:tcPr>
            <w:tcW w:w="7439" w:type="dxa"/>
            <w:vAlign w:val="center"/>
          </w:tcPr>
          <w:p w14:paraId="6C60CA73" w14:textId="7F98B528" w:rsidR="00B8195E" w:rsidRPr="00977CF6" w:rsidRDefault="00977CF6" w:rsidP="00977CF6">
            <w:pPr>
              <w:rPr>
                <w:sz w:val="20"/>
                <w:szCs w:val="20"/>
              </w:rPr>
            </w:pPr>
            <w:r w:rsidRPr="00977CF6">
              <w:rPr>
                <w:rStyle w:val="leftside"/>
                <w:bCs/>
                <w:sz w:val="20"/>
                <w:szCs w:val="20"/>
                <w:shd w:val="clear" w:color="auto" w:fill="FCFCFC"/>
              </w:rPr>
              <w:t>Gross domestic product (</w:t>
            </w:r>
            <w:bookmarkStart w:id="0" w:name="_Hlk125309618"/>
            <w:r w:rsidRPr="00977CF6">
              <w:rPr>
                <w:rStyle w:val="leftside"/>
                <w:bCs/>
                <w:sz w:val="20"/>
                <w:szCs w:val="20"/>
                <w:shd w:val="clear" w:color="auto" w:fill="FCFCFC"/>
              </w:rPr>
              <w:t>eur</w:t>
            </w:r>
            <w:r w:rsidR="00DA5B5F">
              <w:rPr>
                <w:rStyle w:val="leftside"/>
                <w:bCs/>
                <w:sz w:val="20"/>
                <w:szCs w:val="20"/>
                <w:shd w:val="clear" w:color="auto" w:fill="FCFCFC"/>
              </w:rPr>
              <w:t>o</w:t>
            </w:r>
            <w:r w:rsidRPr="00977CF6">
              <w:rPr>
                <w:rStyle w:val="leftside"/>
                <w:bCs/>
                <w:sz w:val="20"/>
                <w:szCs w:val="20"/>
                <w:shd w:val="clear" w:color="auto" w:fill="FCFCFC"/>
              </w:rPr>
              <w:t>/locuitor</w:t>
            </w:r>
            <w:bookmarkEnd w:id="0"/>
            <w:r w:rsidRPr="00977CF6">
              <w:rPr>
                <w:rStyle w:val="leftside"/>
                <w:bCs/>
                <w:sz w:val="20"/>
                <w:szCs w:val="20"/>
                <w:shd w:val="clear" w:color="auto" w:fill="FCFCFC"/>
              </w:rPr>
              <w:t>) at current market prices by NUTS 2 regions</w:t>
            </w:r>
          </w:p>
        </w:tc>
        <w:tc>
          <w:tcPr>
            <w:tcW w:w="1369" w:type="dxa"/>
            <w:vAlign w:val="center"/>
          </w:tcPr>
          <w:p w14:paraId="58439297" w14:textId="77777777" w:rsidR="00B8195E" w:rsidRPr="00977CF6" w:rsidRDefault="00977CF6" w:rsidP="00977CF6">
            <w:pPr>
              <w:jc w:val="center"/>
              <w:rPr>
                <w:sz w:val="20"/>
                <w:szCs w:val="20"/>
              </w:rPr>
            </w:pPr>
            <w:r w:rsidRPr="00977CF6">
              <w:rPr>
                <w:rStyle w:val="leftside"/>
                <w:bCs/>
                <w:sz w:val="20"/>
                <w:szCs w:val="20"/>
                <w:shd w:val="clear" w:color="auto" w:fill="FCFCFC"/>
              </w:rPr>
              <w:t>Eugdp, 2022</w:t>
            </w:r>
          </w:p>
        </w:tc>
      </w:tr>
    </w:tbl>
    <w:p w14:paraId="5A06E670" w14:textId="77777777" w:rsidR="00B8195E" w:rsidRPr="00205248" w:rsidRDefault="00B8195E" w:rsidP="00205248">
      <w:pPr>
        <w:ind w:firstLine="720"/>
        <w:jc w:val="both"/>
        <w:rPr>
          <w:b/>
        </w:rPr>
      </w:pPr>
    </w:p>
    <w:p w14:paraId="55C33492" w14:textId="77777777" w:rsidR="00127F33" w:rsidRPr="000373B3" w:rsidRDefault="00315617" w:rsidP="00205248">
      <w:pPr>
        <w:pStyle w:val="ListParagraph"/>
        <w:spacing w:after="0" w:line="240" w:lineRule="auto"/>
        <w:ind w:left="0" w:firstLine="720"/>
        <w:contextualSpacing w:val="0"/>
        <w:jc w:val="both"/>
        <w:rPr>
          <w:color w:val="17365D" w:themeColor="text2" w:themeShade="BF"/>
        </w:rPr>
      </w:pPr>
      <w:r w:rsidRPr="00FA6E58">
        <w:rPr>
          <w:rFonts w:eastAsia="Calibri"/>
        </w:rPr>
        <w:t xml:space="preserve"> </w:t>
      </w:r>
      <w:r w:rsidR="001A351B">
        <w:rPr>
          <w:rFonts w:eastAsia="Calibri"/>
        </w:rPr>
        <w:t xml:space="preserve">Într-o primă etapă a cercetărilor întreprinse au fost determinate și analizate principalele caracteristici ale parametrilor seriilor de date incluse în analiză. </w:t>
      </w:r>
      <w:r w:rsidR="00205248">
        <w:rPr>
          <w:rFonts w:eastAsia="Calibri"/>
        </w:rPr>
        <w:t xml:space="preserve">Analizând </w:t>
      </w:r>
      <w:r w:rsidR="00205248" w:rsidRPr="001B2138">
        <w:t xml:space="preserve">valorile parametrilor </w:t>
      </w:r>
      <w:r w:rsidR="00205248" w:rsidRPr="001A351B">
        <w:t>caracteristi</w:t>
      </w:r>
      <w:r w:rsidR="00E66877">
        <w:t>ce</w:t>
      </w:r>
      <w:r w:rsidR="00205248" w:rsidRPr="001A351B">
        <w:t xml:space="preserve"> </w:t>
      </w:r>
      <w:r w:rsidR="001A351B" w:rsidRPr="001A351B">
        <w:t>acestora</w:t>
      </w:r>
      <w:r w:rsidR="00205248" w:rsidRPr="001A351B">
        <w:t xml:space="preserve"> </w:t>
      </w:r>
      <w:r w:rsidR="001A351B" w:rsidRPr="001A351B">
        <w:rPr>
          <w:rFonts w:eastAsia="Calibri"/>
        </w:rPr>
        <w:t>(Tabelul 2</w:t>
      </w:r>
      <w:r w:rsidR="00205248" w:rsidRPr="001A351B">
        <w:rPr>
          <w:rFonts w:eastAsia="Calibri"/>
        </w:rPr>
        <w:t>), o</w:t>
      </w:r>
      <w:r w:rsidR="00127F33" w:rsidRPr="001A351B">
        <w:t xml:space="preserve"> primă </w:t>
      </w:r>
      <w:r w:rsidR="001A351B" w:rsidRPr="001A351B">
        <w:t>concluzie care rezultă este acei</w:t>
      </w:r>
      <w:r w:rsidR="00127F33" w:rsidRPr="001A351B">
        <w:t>a că</w:t>
      </w:r>
      <w:r w:rsidR="00E66877">
        <w:t>,</w:t>
      </w:r>
      <w:r w:rsidR="00127F33" w:rsidRPr="001A351B">
        <w:t xml:space="preserve"> valoarea medie nu este concludentă decât pentru variabilele P0CEP, PPTE și PPEAP, pentru care seriile de date sunt re</w:t>
      </w:r>
      <w:r w:rsidR="00205248" w:rsidRPr="001A351B">
        <w:t>lativ omogene, celelalte serii</w:t>
      </w:r>
      <w:r w:rsidR="00127F33" w:rsidRPr="001A351B">
        <w:t xml:space="preserve"> de date fiind neomogene (</w:t>
      </w:r>
      <w:r w:rsidR="00127F33" w:rsidRPr="001A351B">
        <w:rPr>
          <w:position w:val="-10"/>
        </w:rPr>
        <w:object w:dxaOrig="780" w:dyaOrig="320" w14:anchorId="3E11A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5.75pt" o:ole="">
            <v:imagedata r:id="rId11" o:title=""/>
          </v:shape>
          <o:OLEObject Type="Embed" ProgID="Equation.3" ShapeID="_x0000_i1025" DrawAspect="Content" ObjectID="_1739124273" r:id="rId12"/>
        </w:object>
      </w:r>
      <w:r w:rsidR="00127F33" w:rsidRPr="001A351B">
        <w:t>)</w:t>
      </w:r>
      <w:r w:rsidR="00E66877">
        <w:t>.</w:t>
      </w:r>
      <w:r w:rsidR="00127F33" w:rsidRPr="001A351B">
        <w:t xml:space="preserve"> </w:t>
      </w:r>
      <w:r w:rsidR="00E66877">
        <w:t>Aceste rezultate arată</w:t>
      </w:r>
      <w:r w:rsidR="00127F33" w:rsidRPr="001A351B">
        <w:t xml:space="preserve"> că</w:t>
      </w:r>
      <w:r w:rsidR="001A351B" w:rsidRPr="001A351B">
        <w:t>,</w:t>
      </w:r>
      <w:r w:rsidR="00127F33" w:rsidRPr="001A351B">
        <w:t xml:space="preserve"> între s</w:t>
      </w:r>
      <w:r w:rsidR="0075449D" w:rsidRPr="001A351B">
        <w:t>t</w:t>
      </w:r>
      <w:r w:rsidR="00127F33" w:rsidRPr="001A351B">
        <w:t>atele UE27 incluse în analiză există diferențe semnificative privind ponderile abandonului școlar (PPATS) și produsul intern brut pe locuitor (</w:t>
      </w:r>
      <w:r w:rsidR="001A351B" w:rsidRPr="001A351B">
        <w:t>GDP</w:t>
      </w:r>
      <w:r w:rsidR="00127F33" w:rsidRPr="001A351B">
        <w:t>).</w:t>
      </w:r>
    </w:p>
    <w:p w14:paraId="3CC4B5BB" w14:textId="77777777" w:rsidR="00D4125B" w:rsidRPr="000373B3" w:rsidRDefault="00D4125B" w:rsidP="00FA6E58">
      <w:pPr>
        <w:ind w:firstLine="720"/>
        <w:jc w:val="both"/>
        <w:rPr>
          <w:color w:val="17365D" w:themeColor="text2" w:themeShade="BF"/>
        </w:rPr>
      </w:pPr>
    </w:p>
    <w:p w14:paraId="617CA7F7" w14:textId="77777777" w:rsidR="000A0CA9" w:rsidRPr="001A351B" w:rsidRDefault="000A0CA9" w:rsidP="00FA6E58">
      <w:pPr>
        <w:pStyle w:val="ListParagraph"/>
        <w:spacing w:after="0" w:line="240" w:lineRule="auto"/>
        <w:ind w:left="0" w:firstLine="720"/>
        <w:contextualSpacing w:val="0"/>
        <w:jc w:val="both"/>
        <w:rPr>
          <w:rFonts w:eastAsia="Calibri"/>
          <w:sz w:val="20"/>
          <w:szCs w:val="20"/>
        </w:rPr>
      </w:pPr>
      <w:r w:rsidRPr="001A351B">
        <w:rPr>
          <w:rFonts w:eastAsia="Calibri"/>
          <w:b/>
          <w:sz w:val="20"/>
          <w:szCs w:val="20"/>
        </w:rPr>
        <w:t xml:space="preserve">Tabelul </w:t>
      </w:r>
      <w:r w:rsidR="001A351B" w:rsidRPr="001A351B">
        <w:rPr>
          <w:rFonts w:eastAsia="Calibri"/>
          <w:b/>
          <w:sz w:val="20"/>
          <w:szCs w:val="20"/>
        </w:rPr>
        <w:t>2</w:t>
      </w:r>
      <w:r w:rsidRPr="001A351B">
        <w:rPr>
          <w:rFonts w:eastAsia="Calibri"/>
          <w:sz w:val="20"/>
          <w:szCs w:val="20"/>
        </w:rPr>
        <w:t xml:space="preserve"> </w:t>
      </w:r>
      <w:r w:rsidRPr="001A351B">
        <w:rPr>
          <w:rFonts w:eastAsia="Calibri"/>
          <w:i/>
          <w:sz w:val="20"/>
          <w:szCs w:val="20"/>
        </w:rPr>
        <w:t>Principalele caracteristici ale variabilelor analizate</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6"/>
        <w:gridCol w:w="1119"/>
        <w:gridCol w:w="1055"/>
        <w:gridCol w:w="1089"/>
        <w:gridCol w:w="1231"/>
        <w:gridCol w:w="865"/>
        <w:gridCol w:w="801"/>
        <w:gridCol w:w="991"/>
        <w:gridCol w:w="673"/>
      </w:tblGrid>
      <w:tr w:rsidR="000373B3" w:rsidRPr="001A351B" w14:paraId="0D22E06E" w14:textId="77777777" w:rsidTr="00E66877">
        <w:trPr>
          <w:trHeight w:val="285"/>
        </w:trPr>
        <w:tc>
          <w:tcPr>
            <w:tcW w:w="512" w:type="pct"/>
            <w:shd w:val="clear" w:color="auto" w:fill="auto"/>
            <w:noWrap/>
            <w:vAlign w:val="bottom"/>
            <w:hideMark/>
          </w:tcPr>
          <w:p w14:paraId="06449131" w14:textId="77777777" w:rsidR="000A0CA9" w:rsidRPr="001A351B" w:rsidRDefault="000A0CA9" w:rsidP="001A351B">
            <w:pPr>
              <w:jc w:val="both"/>
              <w:rPr>
                <w:sz w:val="20"/>
                <w:szCs w:val="20"/>
              </w:rPr>
            </w:pPr>
          </w:p>
        </w:tc>
        <w:tc>
          <w:tcPr>
            <w:tcW w:w="452" w:type="pct"/>
            <w:shd w:val="clear" w:color="auto" w:fill="auto"/>
            <w:noWrap/>
            <w:vAlign w:val="center"/>
            <w:hideMark/>
          </w:tcPr>
          <w:p w14:paraId="0F82ABD7" w14:textId="77777777" w:rsidR="000A0CA9" w:rsidRPr="001A351B" w:rsidRDefault="000A0CA9" w:rsidP="00E66877">
            <w:pPr>
              <w:jc w:val="center"/>
              <w:rPr>
                <w:sz w:val="20"/>
                <w:szCs w:val="20"/>
              </w:rPr>
            </w:pPr>
            <w:r w:rsidRPr="001A351B">
              <w:rPr>
                <w:sz w:val="20"/>
                <w:szCs w:val="20"/>
              </w:rPr>
              <w:t>Medie</w:t>
            </w:r>
          </w:p>
        </w:tc>
        <w:tc>
          <w:tcPr>
            <w:tcW w:w="577" w:type="pct"/>
            <w:shd w:val="clear" w:color="auto" w:fill="auto"/>
            <w:noWrap/>
            <w:vAlign w:val="center"/>
            <w:hideMark/>
          </w:tcPr>
          <w:p w14:paraId="230722EF" w14:textId="77777777" w:rsidR="000A0CA9" w:rsidRPr="001A351B" w:rsidRDefault="000A0CA9" w:rsidP="00E66877">
            <w:pPr>
              <w:jc w:val="center"/>
              <w:rPr>
                <w:sz w:val="20"/>
                <w:szCs w:val="20"/>
              </w:rPr>
            </w:pPr>
            <w:r w:rsidRPr="001A351B">
              <w:rPr>
                <w:sz w:val="20"/>
                <w:szCs w:val="20"/>
              </w:rPr>
              <w:t>Mediana</w:t>
            </w:r>
          </w:p>
        </w:tc>
        <w:tc>
          <w:tcPr>
            <w:tcW w:w="544" w:type="pct"/>
            <w:shd w:val="clear" w:color="auto" w:fill="auto"/>
            <w:noWrap/>
            <w:vAlign w:val="center"/>
            <w:hideMark/>
          </w:tcPr>
          <w:p w14:paraId="63D3FDC5" w14:textId="77777777" w:rsidR="000A0CA9" w:rsidRPr="001A351B" w:rsidRDefault="000A0CA9" w:rsidP="00E66877">
            <w:pPr>
              <w:jc w:val="center"/>
              <w:rPr>
                <w:sz w:val="20"/>
                <w:szCs w:val="20"/>
              </w:rPr>
            </w:pPr>
            <w:r w:rsidRPr="001A351B">
              <w:rPr>
                <w:sz w:val="20"/>
                <w:szCs w:val="20"/>
              </w:rPr>
              <w:t>St.Dev*</w:t>
            </w:r>
          </w:p>
        </w:tc>
        <w:tc>
          <w:tcPr>
            <w:tcW w:w="562" w:type="pct"/>
            <w:shd w:val="clear" w:color="auto" w:fill="auto"/>
            <w:noWrap/>
            <w:vAlign w:val="center"/>
            <w:hideMark/>
          </w:tcPr>
          <w:p w14:paraId="56BB4B54" w14:textId="77777777" w:rsidR="000A0CA9" w:rsidRPr="001A351B" w:rsidRDefault="000A0CA9" w:rsidP="00E66877">
            <w:pPr>
              <w:jc w:val="center"/>
              <w:rPr>
                <w:sz w:val="20"/>
                <w:szCs w:val="20"/>
              </w:rPr>
            </w:pPr>
            <w:r w:rsidRPr="001A351B">
              <w:rPr>
                <w:sz w:val="20"/>
                <w:szCs w:val="20"/>
              </w:rPr>
              <w:t>Kurtosis</w:t>
            </w:r>
          </w:p>
        </w:tc>
        <w:tc>
          <w:tcPr>
            <w:tcW w:w="635" w:type="pct"/>
            <w:shd w:val="clear" w:color="auto" w:fill="auto"/>
            <w:noWrap/>
            <w:vAlign w:val="center"/>
            <w:hideMark/>
          </w:tcPr>
          <w:p w14:paraId="6A45AA68" w14:textId="77777777" w:rsidR="000A0CA9" w:rsidRPr="001A351B" w:rsidRDefault="000A0CA9" w:rsidP="00E66877">
            <w:pPr>
              <w:jc w:val="center"/>
              <w:rPr>
                <w:sz w:val="20"/>
                <w:szCs w:val="20"/>
              </w:rPr>
            </w:pPr>
            <w:r w:rsidRPr="001A351B">
              <w:rPr>
                <w:sz w:val="20"/>
                <w:szCs w:val="20"/>
              </w:rPr>
              <w:t>Skewness</w:t>
            </w:r>
          </w:p>
        </w:tc>
        <w:tc>
          <w:tcPr>
            <w:tcW w:w="446" w:type="pct"/>
            <w:shd w:val="clear" w:color="auto" w:fill="auto"/>
            <w:noWrap/>
            <w:vAlign w:val="center"/>
            <w:hideMark/>
          </w:tcPr>
          <w:p w14:paraId="0DA75045" w14:textId="77777777" w:rsidR="000A0CA9" w:rsidRPr="001A351B" w:rsidRDefault="000A0CA9" w:rsidP="00E66877">
            <w:pPr>
              <w:jc w:val="center"/>
              <w:rPr>
                <w:sz w:val="20"/>
                <w:szCs w:val="20"/>
              </w:rPr>
            </w:pPr>
            <w:r w:rsidRPr="001A351B">
              <w:rPr>
                <w:sz w:val="20"/>
                <w:szCs w:val="20"/>
              </w:rPr>
              <w:t>W</w:t>
            </w:r>
          </w:p>
        </w:tc>
        <w:tc>
          <w:tcPr>
            <w:tcW w:w="413" w:type="pct"/>
            <w:shd w:val="clear" w:color="auto" w:fill="auto"/>
            <w:noWrap/>
            <w:vAlign w:val="center"/>
            <w:hideMark/>
          </w:tcPr>
          <w:p w14:paraId="66BF1D8A" w14:textId="77777777" w:rsidR="000A0CA9" w:rsidRPr="001A351B" w:rsidRDefault="000A0CA9" w:rsidP="00E66877">
            <w:pPr>
              <w:jc w:val="center"/>
              <w:rPr>
                <w:sz w:val="20"/>
                <w:szCs w:val="20"/>
              </w:rPr>
            </w:pPr>
            <w:r w:rsidRPr="001A351B">
              <w:rPr>
                <w:sz w:val="20"/>
                <w:szCs w:val="20"/>
              </w:rPr>
              <w:t>Min</w:t>
            </w:r>
          </w:p>
        </w:tc>
        <w:tc>
          <w:tcPr>
            <w:tcW w:w="511" w:type="pct"/>
            <w:shd w:val="clear" w:color="auto" w:fill="auto"/>
            <w:noWrap/>
            <w:vAlign w:val="center"/>
            <w:hideMark/>
          </w:tcPr>
          <w:p w14:paraId="4CDD12FF" w14:textId="77777777" w:rsidR="000A0CA9" w:rsidRPr="001A351B" w:rsidRDefault="000A0CA9" w:rsidP="00E66877">
            <w:pPr>
              <w:jc w:val="center"/>
              <w:rPr>
                <w:sz w:val="20"/>
                <w:szCs w:val="20"/>
              </w:rPr>
            </w:pPr>
            <w:r w:rsidRPr="001A351B">
              <w:rPr>
                <w:sz w:val="20"/>
                <w:szCs w:val="20"/>
              </w:rPr>
              <w:t>Max</w:t>
            </w:r>
          </w:p>
        </w:tc>
        <w:tc>
          <w:tcPr>
            <w:tcW w:w="347" w:type="pct"/>
            <w:shd w:val="clear" w:color="auto" w:fill="auto"/>
            <w:noWrap/>
            <w:vAlign w:val="center"/>
            <w:hideMark/>
          </w:tcPr>
          <w:p w14:paraId="582E8EA3" w14:textId="77777777" w:rsidR="000A0CA9" w:rsidRPr="001A351B" w:rsidRDefault="000A0CA9" w:rsidP="00E66877">
            <w:pPr>
              <w:jc w:val="center"/>
              <w:rPr>
                <w:sz w:val="20"/>
                <w:szCs w:val="20"/>
              </w:rPr>
            </w:pPr>
            <w:r w:rsidRPr="001A351B">
              <w:rPr>
                <w:sz w:val="20"/>
                <w:szCs w:val="20"/>
              </w:rPr>
              <w:t>V</w:t>
            </w:r>
          </w:p>
        </w:tc>
      </w:tr>
      <w:tr w:rsidR="000373B3" w:rsidRPr="001A351B" w14:paraId="33DA2893" w14:textId="77777777" w:rsidTr="00E66877">
        <w:trPr>
          <w:trHeight w:val="285"/>
        </w:trPr>
        <w:tc>
          <w:tcPr>
            <w:tcW w:w="512" w:type="pct"/>
            <w:shd w:val="clear" w:color="auto" w:fill="auto"/>
            <w:noWrap/>
            <w:vAlign w:val="bottom"/>
            <w:hideMark/>
          </w:tcPr>
          <w:p w14:paraId="0E088DF1" w14:textId="77777777" w:rsidR="000A0CA9" w:rsidRPr="001A351B" w:rsidRDefault="000A0CA9" w:rsidP="001A351B">
            <w:pPr>
              <w:jc w:val="both"/>
              <w:rPr>
                <w:sz w:val="20"/>
                <w:szCs w:val="20"/>
              </w:rPr>
            </w:pPr>
            <w:r w:rsidRPr="001A351B">
              <w:rPr>
                <w:sz w:val="20"/>
                <w:szCs w:val="20"/>
              </w:rPr>
              <w:t>PPTE</w:t>
            </w:r>
          </w:p>
        </w:tc>
        <w:tc>
          <w:tcPr>
            <w:tcW w:w="452" w:type="pct"/>
            <w:shd w:val="clear" w:color="auto" w:fill="auto"/>
            <w:noWrap/>
            <w:vAlign w:val="bottom"/>
            <w:hideMark/>
          </w:tcPr>
          <w:p w14:paraId="793A0FF1" w14:textId="77777777" w:rsidR="000A0CA9" w:rsidRPr="001A351B" w:rsidRDefault="000A0CA9" w:rsidP="001A351B">
            <w:pPr>
              <w:jc w:val="right"/>
              <w:rPr>
                <w:sz w:val="20"/>
                <w:szCs w:val="20"/>
              </w:rPr>
            </w:pPr>
            <w:r w:rsidRPr="001A351B">
              <w:rPr>
                <w:sz w:val="20"/>
                <w:szCs w:val="20"/>
              </w:rPr>
              <w:t>20.89</w:t>
            </w:r>
          </w:p>
        </w:tc>
        <w:tc>
          <w:tcPr>
            <w:tcW w:w="577" w:type="pct"/>
            <w:shd w:val="clear" w:color="auto" w:fill="auto"/>
            <w:noWrap/>
            <w:vAlign w:val="bottom"/>
            <w:hideMark/>
          </w:tcPr>
          <w:p w14:paraId="43829600" w14:textId="77777777" w:rsidR="000A0CA9" w:rsidRPr="001A351B" w:rsidRDefault="000A0CA9" w:rsidP="001A351B">
            <w:pPr>
              <w:jc w:val="right"/>
              <w:rPr>
                <w:sz w:val="20"/>
                <w:szCs w:val="20"/>
              </w:rPr>
            </w:pPr>
            <w:r w:rsidRPr="001A351B">
              <w:rPr>
                <w:sz w:val="20"/>
                <w:szCs w:val="20"/>
              </w:rPr>
              <w:t>20.15</w:t>
            </w:r>
          </w:p>
        </w:tc>
        <w:tc>
          <w:tcPr>
            <w:tcW w:w="544" w:type="pct"/>
            <w:shd w:val="clear" w:color="auto" w:fill="auto"/>
            <w:noWrap/>
            <w:vAlign w:val="bottom"/>
            <w:hideMark/>
          </w:tcPr>
          <w:p w14:paraId="03C144D0" w14:textId="77777777" w:rsidR="000A0CA9" w:rsidRPr="001A351B" w:rsidRDefault="000A0CA9" w:rsidP="001A351B">
            <w:pPr>
              <w:jc w:val="right"/>
              <w:rPr>
                <w:sz w:val="20"/>
                <w:szCs w:val="20"/>
              </w:rPr>
            </w:pPr>
            <w:r w:rsidRPr="001A351B">
              <w:rPr>
                <w:sz w:val="20"/>
                <w:szCs w:val="20"/>
              </w:rPr>
              <w:t>3.00</w:t>
            </w:r>
          </w:p>
        </w:tc>
        <w:tc>
          <w:tcPr>
            <w:tcW w:w="562" w:type="pct"/>
            <w:shd w:val="clear" w:color="auto" w:fill="auto"/>
            <w:noWrap/>
            <w:vAlign w:val="bottom"/>
            <w:hideMark/>
          </w:tcPr>
          <w:p w14:paraId="287985A1" w14:textId="77777777" w:rsidR="000A0CA9" w:rsidRPr="001A351B" w:rsidRDefault="000A0CA9" w:rsidP="001A351B">
            <w:pPr>
              <w:jc w:val="right"/>
              <w:rPr>
                <w:sz w:val="20"/>
                <w:szCs w:val="20"/>
              </w:rPr>
            </w:pPr>
            <w:r w:rsidRPr="001A351B">
              <w:rPr>
                <w:sz w:val="20"/>
                <w:szCs w:val="20"/>
              </w:rPr>
              <w:t>-0.53</w:t>
            </w:r>
          </w:p>
        </w:tc>
        <w:tc>
          <w:tcPr>
            <w:tcW w:w="635" w:type="pct"/>
            <w:shd w:val="clear" w:color="auto" w:fill="auto"/>
            <w:noWrap/>
            <w:vAlign w:val="bottom"/>
            <w:hideMark/>
          </w:tcPr>
          <w:p w14:paraId="59082F74" w14:textId="77777777" w:rsidR="000A0CA9" w:rsidRPr="001A351B" w:rsidRDefault="000A0CA9" w:rsidP="001A351B">
            <w:pPr>
              <w:jc w:val="right"/>
              <w:rPr>
                <w:sz w:val="20"/>
                <w:szCs w:val="20"/>
              </w:rPr>
            </w:pPr>
            <w:r w:rsidRPr="001A351B">
              <w:rPr>
                <w:sz w:val="20"/>
                <w:szCs w:val="20"/>
              </w:rPr>
              <w:t>0.75</w:t>
            </w:r>
          </w:p>
        </w:tc>
        <w:tc>
          <w:tcPr>
            <w:tcW w:w="446" w:type="pct"/>
            <w:shd w:val="clear" w:color="auto" w:fill="auto"/>
            <w:noWrap/>
            <w:vAlign w:val="bottom"/>
            <w:hideMark/>
          </w:tcPr>
          <w:p w14:paraId="2A11574C" w14:textId="77777777" w:rsidR="000A0CA9" w:rsidRPr="001A351B" w:rsidRDefault="000A0CA9" w:rsidP="001A351B">
            <w:pPr>
              <w:jc w:val="right"/>
              <w:rPr>
                <w:sz w:val="20"/>
                <w:szCs w:val="20"/>
              </w:rPr>
            </w:pPr>
            <w:r w:rsidRPr="001A351B">
              <w:rPr>
                <w:sz w:val="20"/>
                <w:szCs w:val="20"/>
              </w:rPr>
              <w:t>9.90</w:t>
            </w:r>
          </w:p>
        </w:tc>
        <w:tc>
          <w:tcPr>
            <w:tcW w:w="413" w:type="pct"/>
            <w:shd w:val="clear" w:color="auto" w:fill="auto"/>
            <w:noWrap/>
            <w:vAlign w:val="bottom"/>
            <w:hideMark/>
          </w:tcPr>
          <w:p w14:paraId="764ED67F" w14:textId="77777777" w:rsidR="000A0CA9" w:rsidRPr="001A351B" w:rsidRDefault="000A0CA9" w:rsidP="001A351B">
            <w:pPr>
              <w:jc w:val="right"/>
              <w:rPr>
                <w:sz w:val="20"/>
                <w:szCs w:val="20"/>
              </w:rPr>
            </w:pPr>
            <w:r w:rsidRPr="001A351B">
              <w:rPr>
                <w:sz w:val="20"/>
                <w:szCs w:val="20"/>
              </w:rPr>
              <w:t>16.90</w:t>
            </w:r>
          </w:p>
        </w:tc>
        <w:tc>
          <w:tcPr>
            <w:tcW w:w="511" w:type="pct"/>
            <w:shd w:val="clear" w:color="auto" w:fill="auto"/>
            <w:noWrap/>
            <w:vAlign w:val="bottom"/>
            <w:hideMark/>
          </w:tcPr>
          <w:p w14:paraId="4987C8D0" w14:textId="77777777" w:rsidR="000A0CA9" w:rsidRPr="001A351B" w:rsidRDefault="000A0CA9" w:rsidP="001A351B">
            <w:pPr>
              <w:jc w:val="right"/>
              <w:rPr>
                <w:sz w:val="20"/>
                <w:szCs w:val="20"/>
              </w:rPr>
            </w:pPr>
            <w:r w:rsidRPr="001A351B">
              <w:rPr>
                <w:sz w:val="20"/>
                <w:szCs w:val="20"/>
              </w:rPr>
              <w:t>26.80</w:t>
            </w:r>
          </w:p>
        </w:tc>
        <w:tc>
          <w:tcPr>
            <w:tcW w:w="347" w:type="pct"/>
            <w:shd w:val="clear" w:color="auto" w:fill="auto"/>
            <w:noWrap/>
            <w:vAlign w:val="bottom"/>
            <w:hideMark/>
          </w:tcPr>
          <w:p w14:paraId="792FA502" w14:textId="77777777" w:rsidR="000A0CA9" w:rsidRPr="001A351B" w:rsidRDefault="000A0CA9" w:rsidP="001A351B">
            <w:pPr>
              <w:jc w:val="both"/>
              <w:rPr>
                <w:sz w:val="20"/>
                <w:szCs w:val="20"/>
              </w:rPr>
            </w:pPr>
            <w:r w:rsidRPr="001A351B">
              <w:rPr>
                <w:sz w:val="20"/>
                <w:szCs w:val="20"/>
              </w:rPr>
              <w:t>0.14</w:t>
            </w:r>
          </w:p>
        </w:tc>
      </w:tr>
      <w:tr w:rsidR="00E66877" w:rsidRPr="001A351B" w14:paraId="193FA87E" w14:textId="77777777" w:rsidTr="00E66877">
        <w:trPr>
          <w:trHeight w:val="285"/>
        </w:trPr>
        <w:tc>
          <w:tcPr>
            <w:tcW w:w="512" w:type="pct"/>
            <w:shd w:val="clear" w:color="auto" w:fill="auto"/>
            <w:noWrap/>
            <w:vAlign w:val="bottom"/>
          </w:tcPr>
          <w:p w14:paraId="53536A24" w14:textId="77777777" w:rsidR="00E66877" w:rsidRPr="001A351B" w:rsidRDefault="00E66877" w:rsidP="00662236">
            <w:pPr>
              <w:jc w:val="both"/>
              <w:rPr>
                <w:sz w:val="20"/>
                <w:szCs w:val="20"/>
              </w:rPr>
            </w:pPr>
            <w:r w:rsidRPr="001A351B">
              <w:rPr>
                <w:sz w:val="20"/>
                <w:szCs w:val="20"/>
              </w:rPr>
              <w:t>PPEAP</w:t>
            </w:r>
          </w:p>
        </w:tc>
        <w:tc>
          <w:tcPr>
            <w:tcW w:w="452" w:type="pct"/>
            <w:shd w:val="clear" w:color="auto" w:fill="auto"/>
            <w:noWrap/>
            <w:vAlign w:val="bottom"/>
          </w:tcPr>
          <w:p w14:paraId="421BBFA5" w14:textId="77777777" w:rsidR="00E66877" w:rsidRPr="001A351B" w:rsidRDefault="00E66877" w:rsidP="00662236">
            <w:pPr>
              <w:jc w:val="right"/>
              <w:rPr>
                <w:sz w:val="20"/>
                <w:szCs w:val="20"/>
              </w:rPr>
            </w:pPr>
            <w:r w:rsidRPr="001A351B">
              <w:rPr>
                <w:sz w:val="20"/>
                <w:szCs w:val="20"/>
              </w:rPr>
              <w:t>2.62</w:t>
            </w:r>
          </w:p>
        </w:tc>
        <w:tc>
          <w:tcPr>
            <w:tcW w:w="577" w:type="pct"/>
            <w:shd w:val="clear" w:color="auto" w:fill="auto"/>
            <w:noWrap/>
            <w:vAlign w:val="bottom"/>
          </w:tcPr>
          <w:p w14:paraId="3D93EB3E" w14:textId="77777777" w:rsidR="00E66877" w:rsidRPr="001A351B" w:rsidRDefault="00E66877" w:rsidP="00662236">
            <w:pPr>
              <w:jc w:val="right"/>
              <w:rPr>
                <w:sz w:val="20"/>
                <w:szCs w:val="20"/>
              </w:rPr>
            </w:pPr>
            <w:r w:rsidRPr="001A351B">
              <w:rPr>
                <w:sz w:val="20"/>
                <w:szCs w:val="20"/>
              </w:rPr>
              <w:t>2.50</w:t>
            </w:r>
          </w:p>
        </w:tc>
        <w:tc>
          <w:tcPr>
            <w:tcW w:w="544" w:type="pct"/>
            <w:shd w:val="clear" w:color="auto" w:fill="auto"/>
            <w:noWrap/>
            <w:vAlign w:val="bottom"/>
          </w:tcPr>
          <w:p w14:paraId="6EB47C3E" w14:textId="77777777" w:rsidR="00E66877" w:rsidRPr="001A351B" w:rsidRDefault="00E66877" w:rsidP="00662236">
            <w:pPr>
              <w:jc w:val="right"/>
              <w:rPr>
                <w:sz w:val="20"/>
                <w:szCs w:val="20"/>
              </w:rPr>
            </w:pPr>
            <w:r w:rsidRPr="001A351B">
              <w:rPr>
                <w:sz w:val="20"/>
                <w:szCs w:val="20"/>
              </w:rPr>
              <w:t>0.56</w:t>
            </w:r>
          </w:p>
        </w:tc>
        <w:tc>
          <w:tcPr>
            <w:tcW w:w="562" w:type="pct"/>
            <w:shd w:val="clear" w:color="auto" w:fill="auto"/>
            <w:noWrap/>
            <w:vAlign w:val="bottom"/>
          </w:tcPr>
          <w:p w14:paraId="1D0F44BF" w14:textId="77777777" w:rsidR="00E66877" w:rsidRPr="001A351B" w:rsidRDefault="00E66877" w:rsidP="00662236">
            <w:pPr>
              <w:jc w:val="right"/>
              <w:rPr>
                <w:sz w:val="20"/>
                <w:szCs w:val="20"/>
              </w:rPr>
            </w:pPr>
            <w:r w:rsidRPr="001A351B">
              <w:rPr>
                <w:sz w:val="20"/>
                <w:szCs w:val="20"/>
              </w:rPr>
              <w:t>0.33</w:t>
            </w:r>
          </w:p>
        </w:tc>
        <w:tc>
          <w:tcPr>
            <w:tcW w:w="635" w:type="pct"/>
            <w:shd w:val="clear" w:color="auto" w:fill="auto"/>
            <w:noWrap/>
            <w:vAlign w:val="bottom"/>
          </w:tcPr>
          <w:p w14:paraId="6DCD0E5A" w14:textId="77777777" w:rsidR="00E66877" w:rsidRPr="001A351B" w:rsidRDefault="00E66877" w:rsidP="00662236">
            <w:pPr>
              <w:jc w:val="right"/>
              <w:rPr>
                <w:sz w:val="20"/>
                <w:szCs w:val="20"/>
              </w:rPr>
            </w:pPr>
            <w:r w:rsidRPr="001A351B">
              <w:rPr>
                <w:sz w:val="20"/>
                <w:szCs w:val="20"/>
              </w:rPr>
              <w:t>0.84</w:t>
            </w:r>
          </w:p>
        </w:tc>
        <w:tc>
          <w:tcPr>
            <w:tcW w:w="446" w:type="pct"/>
            <w:shd w:val="clear" w:color="auto" w:fill="auto"/>
            <w:noWrap/>
            <w:vAlign w:val="bottom"/>
          </w:tcPr>
          <w:p w14:paraId="6EAC9106" w14:textId="77777777" w:rsidR="00E66877" w:rsidRPr="001A351B" w:rsidRDefault="00E66877" w:rsidP="00662236">
            <w:pPr>
              <w:jc w:val="right"/>
              <w:rPr>
                <w:sz w:val="20"/>
                <w:szCs w:val="20"/>
              </w:rPr>
            </w:pPr>
            <w:r w:rsidRPr="001A351B">
              <w:rPr>
                <w:sz w:val="20"/>
                <w:szCs w:val="20"/>
              </w:rPr>
              <w:t>2.20</w:t>
            </w:r>
          </w:p>
        </w:tc>
        <w:tc>
          <w:tcPr>
            <w:tcW w:w="413" w:type="pct"/>
            <w:shd w:val="clear" w:color="auto" w:fill="auto"/>
            <w:noWrap/>
            <w:vAlign w:val="bottom"/>
          </w:tcPr>
          <w:p w14:paraId="6D44769B" w14:textId="77777777" w:rsidR="00E66877" w:rsidRPr="001A351B" w:rsidRDefault="00E66877" w:rsidP="00662236">
            <w:pPr>
              <w:jc w:val="right"/>
              <w:rPr>
                <w:sz w:val="20"/>
                <w:szCs w:val="20"/>
              </w:rPr>
            </w:pPr>
            <w:r w:rsidRPr="001A351B">
              <w:rPr>
                <w:sz w:val="20"/>
                <w:szCs w:val="20"/>
              </w:rPr>
              <w:t>1.80</w:t>
            </w:r>
          </w:p>
        </w:tc>
        <w:tc>
          <w:tcPr>
            <w:tcW w:w="511" w:type="pct"/>
            <w:shd w:val="clear" w:color="auto" w:fill="auto"/>
            <w:noWrap/>
            <w:vAlign w:val="bottom"/>
          </w:tcPr>
          <w:p w14:paraId="76871A02" w14:textId="77777777" w:rsidR="00E66877" w:rsidRPr="001A351B" w:rsidRDefault="00E66877" w:rsidP="00662236">
            <w:pPr>
              <w:jc w:val="right"/>
              <w:rPr>
                <w:sz w:val="20"/>
                <w:szCs w:val="20"/>
              </w:rPr>
            </w:pPr>
            <w:r w:rsidRPr="001A351B">
              <w:rPr>
                <w:sz w:val="20"/>
                <w:szCs w:val="20"/>
              </w:rPr>
              <w:t>4.00</w:t>
            </w:r>
          </w:p>
        </w:tc>
        <w:tc>
          <w:tcPr>
            <w:tcW w:w="347" w:type="pct"/>
            <w:shd w:val="clear" w:color="auto" w:fill="auto"/>
            <w:noWrap/>
            <w:vAlign w:val="bottom"/>
          </w:tcPr>
          <w:p w14:paraId="37FDA8C0" w14:textId="77777777" w:rsidR="00E66877" w:rsidRPr="001A351B" w:rsidRDefault="00E66877" w:rsidP="00662236">
            <w:pPr>
              <w:jc w:val="both"/>
              <w:rPr>
                <w:sz w:val="20"/>
                <w:szCs w:val="20"/>
              </w:rPr>
            </w:pPr>
            <w:r w:rsidRPr="001A351B">
              <w:rPr>
                <w:sz w:val="20"/>
                <w:szCs w:val="20"/>
              </w:rPr>
              <w:t>0.21</w:t>
            </w:r>
          </w:p>
        </w:tc>
      </w:tr>
      <w:tr w:rsidR="00E66877" w:rsidRPr="001A351B" w14:paraId="6B1A6122" w14:textId="77777777" w:rsidTr="00E66877">
        <w:trPr>
          <w:trHeight w:val="285"/>
        </w:trPr>
        <w:tc>
          <w:tcPr>
            <w:tcW w:w="512" w:type="pct"/>
            <w:shd w:val="clear" w:color="auto" w:fill="auto"/>
            <w:noWrap/>
            <w:vAlign w:val="bottom"/>
          </w:tcPr>
          <w:p w14:paraId="3A2F9BFA" w14:textId="77777777" w:rsidR="00E66877" w:rsidRPr="001A351B" w:rsidRDefault="00E66877" w:rsidP="00662236">
            <w:pPr>
              <w:jc w:val="both"/>
              <w:rPr>
                <w:sz w:val="20"/>
                <w:szCs w:val="20"/>
              </w:rPr>
            </w:pPr>
            <w:r w:rsidRPr="001A351B">
              <w:rPr>
                <w:sz w:val="20"/>
                <w:szCs w:val="20"/>
              </w:rPr>
              <w:t>P0CEP</w:t>
            </w:r>
          </w:p>
        </w:tc>
        <w:tc>
          <w:tcPr>
            <w:tcW w:w="452" w:type="pct"/>
            <w:shd w:val="clear" w:color="auto" w:fill="auto"/>
            <w:noWrap/>
            <w:vAlign w:val="bottom"/>
          </w:tcPr>
          <w:p w14:paraId="4F7F941F" w14:textId="77777777" w:rsidR="00E66877" w:rsidRPr="001A351B" w:rsidRDefault="00E66877" w:rsidP="00662236">
            <w:pPr>
              <w:jc w:val="right"/>
              <w:rPr>
                <w:sz w:val="20"/>
                <w:szCs w:val="20"/>
              </w:rPr>
            </w:pPr>
            <w:r w:rsidRPr="001A351B">
              <w:rPr>
                <w:sz w:val="20"/>
                <w:szCs w:val="20"/>
              </w:rPr>
              <w:t>57.17</w:t>
            </w:r>
          </w:p>
        </w:tc>
        <w:tc>
          <w:tcPr>
            <w:tcW w:w="577" w:type="pct"/>
            <w:shd w:val="clear" w:color="auto" w:fill="auto"/>
            <w:noWrap/>
            <w:vAlign w:val="bottom"/>
          </w:tcPr>
          <w:p w14:paraId="6C623BFB" w14:textId="77777777" w:rsidR="00E66877" w:rsidRPr="001A351B" w:rsidRDefault="00E66877" w:rsidP="00662236">
            <w:pPr>
              <w:jc w:val="right"/>
              <w:rPr>
                <w:sz w:val="20"/>
                <w:szCs w:val="20"/>
              </w:rPr>
            </w:pPr>
            <w:r w:rsidRPr="001A351B">
              <w:rPr>
                <w:sz w:val="20"/>
                <w:szCs w:val="20"/>
              </w:rPr>
              <w:t>55.10</w:t>
            </w:r>
          </w:p>
        </w:tc>
        <w:tc>
          <w:tcPr>
            <w:tcW w:w="544" w:type="pct"/>
            <w:shd w:val="clear" w:color="auto" w:fill="auto"/>
            <w:noWrap/>
            <w:vAlign w:val="bottom"/>
          </w:tcPr>
          <w:p w14:paraId="0FA3FA68" w14:textId="77777777" w:rsidR="00E66877" w:rsidRPr="001A351B" w:rsidRDefault="00E66877" w:rsidP="00662236">
            <w:pPr>
              <w:jc w:val="right"/>
              <w:rPr>
                <w:sz w:val="20"/>
                <w:szCs w:val="20"/>
              </w:rPr>
            </w:pPr>
            <w:r w:rsidRPr="001A351B">
              <w:rPr>
                <w:sz w:val="20"/>
                <w:szCs w:val="20"/>
              </w:rPr>
              <w:t>11.70</w:t>
            </w:r>
          </w:p>
        </w:tc>
        <w:tc>
          <w:tcPr>
            <w:tcW w:w="562" w:type="pct"/>
            <w:shd w:val="clear" w:color="auto" w:fill="auto"/>
            <w:noWrap/>
            <w:vAlign w:val="bottom"/>
          </w:tcPr>
          <w:p w14:paraId="20CA22C1" w14:textId="77777777" w:rsidR="00E66877" w:rsidRPr="001A351B" w:rsidRDefault="00E66877" w:rsidP="00662236">
            <w:pPr>
              <w:jc w:val="right"/>
              <w:rPr>
                <w:sz w:val="20"/>
                <w:szCs w:val="20"/>
              </w:rPr>
            </w:pPr>
            <w:r w:rsidRPr="001A351B">
              <w:rPr>
                <w:sz w:val="20"/>
                <w:szCs w:val="20"/>
              </w:rPr>
              <w:t>-1.34</w:t>
            </w:r>
          </w:p>
        </w:tc>
        <w:tc>
          <w:tcPr>
            <w:tcW w:w="635" w:type="pct"/>
            <w:shd w:val="clear" w:color="auto" w:fill="auto"/>
            <w:noWrap/>
            <w:vAlign w:val="bottom"/>
          </w:tcPr>
          <w:p w14:paraId="05A3F7B8" w14:textId="77777777" w:rsidR="00E66877" w:rsidRPr="001A351B" w:rsidRDefault="00E66877" w:rsidP="00662236">
            <w:pPr>
              <w:jc w:val="right"/>
              <w:rPr>
                <w:sz w:val="20"/>
                <w:szCs w:val="20"/>
              </w:rPr>
            </w:pPr>
            <w:r w:rsidRPr="001A351B">
              <w:rPr>
                <w:sz w:val="20"/>
                <w:szCs w:val="20"/>
              </w:rPr>
              <w:t>0.09</w:t>
            </w:r>
          </w:p>
        </w:tc>
        <w:tc>
          <w:tcPr>
            <w:tcW w:w="446" w:type="pct"/>
            <w:shd w:val="clear" w:color="auto" w:fill="auto"/>
            <w:noWrap/>
            <w:vAlign w:val="bottom"/>
          </w:tcPr>
          <w:p w14:paraId="7E630AC2" w14:textId="77777777" w:rsidR="00E66877" w:rsidRPr="001A351B" w:rsidRDefault="00E66877" w:rsidP="00662236">
            <w:pPr>
              <w:jc w:val="right"/>
              <w:rPr>
                <w:sz w:val="20"/>
                <w:szCs w:val="20"/>
              </w:rPr>
            </w:pPr>
            <w:r w:rsidRPr="001A351B">
              <w:rPr>
                <w:sz w:val="20"/>
                <w:szCs w:val="20"/>
              </w:rPr>
              <w:t>36.00</w:t>
            </w:r>
          </w:p>
        </w:tc>
        <w:tc>
          <w:tcPr>
            <w:tcW w:w="413" w:type="pct"/>
            <w:shd w:val="clear" w:color="auto" w:fill="auto"/>
            <w:noWrap/>
            <w:vAlign w:val="bottom"/>
          </w:tcPr>
          <w:p w14:paraId="38A0A82B" w14:textId="77777777" w:rsidR="00E66877" w:rsidRPr="001A351B" w:rsidRDefault="00E66877" w:rsidP="00662236">
            <w:pPr>
              <w:jc w:val="right"/>
              <w:rPr>
                <w:sz w:val="20"/>
                <w:szCs w:val="20"/>
              </w:rPr>
            </w:pPr>
            <w:r w:rsidRPr="001A351B">
              <w:rPr>
                <w:sz w:val="20"/>
                <w:szCs w:val="20"/>
              </w:rPr>
              <w:t>40.20</w:t>
            </w:r>
          </w:p>
        </w:tc>
        <w:tc>
          <w:tcPr>
            <w:tcW w:w="511" w:type="pct"/>
            <w:shd w:val="clear" w:color="auto" w:fill="auto"/>
            <w:noWrap/>
            <w:vAlign w:val="bottom"/>
          </w:tcPr>
          <w:p w14:paraId="06603E7C" w14:textId="77777777" w:rsidR="00E66877" w:rsidRPr="001A351B" w:rsidRDefault="00E66877" w:rsidP="00662236">
            <w:pPr>
              <w:jc w:val="right"/>
              <w:rPr>
                <w:sz w:val="20"/>
                <w:szCs w:val="20"/>
              </w:rPr>
            </w:pPr>
            <w:r w:rsidRPr="001A351B">
              <w:rPr>
                <w:sz w:val="20"/>
                <w:szCs w:val="20"/>
              </w:rPr>
              <w:t>76.20</w:t>
            </w:r>
          </w:p>
        </w:tc>
        <w:tc>
          <w:tcPr>
            <w:tcW w:w="347" w:type="pct"/>
            <w:shd w:val="clear" w:color="auto" w:fill="auto"/>
            <w:noWrap/>
            <w:vAlign w:val="bottom"/>
          </w:tcPr>
          <w:p w14:paraId="3549CBC0" w14:textId="77777777" w:rsidR="00E66877" w:rsidRPr="001A351B" w:rsidRDefault="00E66877" w:rsidP="00662236">
            <w:pPr>
              <w:jc w:val="both"/>
              <w:rPr>
                <w:sz w:val="20"/>
                <w:szCs w:val="20"/>
              </w:rPr>
            </w:pPr>
            <w:r w:rsidRPr="001A351B">
              <w:rPr>
                <w:sz w:val="20"/>
                <w:szCs w:val="20"/>
              </w:rPr>
              <w:t>0.20</w:t>
            </w:r>
          </w:p>
        </w:tc>
      </w:tr>
      <w:tr w:rsidR="00E66877" w:rsidRPr="001A351B" w14:paraId="78D0B31C" w14:textId="77777777" w:rsidTr="00E66877">
        <w:trPr>
          <w:trHeight w:val="285"/>
        </w:trPr>
        <w:tc>
          <w:tcPr>
            <w:tcW w:w="512" w:type="pct"/>
            <w:shd w:val="clear" w:color="auto" w:fill="auto"/>
            <w:noWrap/>
            <w:vAlign w:val="bottom"/>
            <w:hideMark/>
          </w:tcPr>
          <w:p w14:paraId="6E0D5421" w14:textId="77777777" w:rsidR="00E66877" w:rsidRPr="001A351B" w:rsidRDefault="00E66877" w:rsidP="001A351B">
            <w:pPr>
              <w:jc w:val="both"/>
              <w:rPr>
                <w:sz w:val="20"/>
                <w:szCs w:val="20"/>
              </w:rPr>
            </w:pPr>
            <w:r w:rsidRPr="001A351B">
              <w:rPr>
                <w:sz w:val="20"/>
                <w:szCs w:val="20"/>
              </w:rPr>
              <w:t>PPATS</w:t>
            </w:r>
          </w:p>
        </w:tc>
        <w:tc>
          <w:tcPr>
            <w:tcW w:w="452" w:type="pct"/>
            <w:shd w:val="clear" w:color="auto" w:fill="auto"/>
            <w:noWrap/>
            <w:vAlign w:val="bottom"/>
            <w:hideMark/>
          </w:tcPr>
          <w:p w14:paraId="10615CB8" w14:textId="77777777" w:rsidR="00E66877" w:rsidRPr="001A351B" w:rsidRDefault="00E66877" w:rsidP="001A351B">
            <w:pPr>
              <w:jc w:val="right"/>
              <w:rPr>
                <w:sz w:val="20"/>
                <w:szCs w:val="20"/>
              </w:rPr>
            </w:pPr>
            <w:r w:rsidRPr="001A351B">
              <w:rPr>
                <w:sz w:val="20"/>
                <w:szCs w:val="20"/>
              </w:rPr>
              <w:t>8.66</w:t>
            </w:r>
          </w:p>
        </w:tc>
        <w:tc>
          <w:tcPr>
            <w:tcW w:w="577" w:type="pct"/>
            <w:shd w:val="clear" w:color="auto" w:fill="auto"/>
            <w:noWrap/>
            <w:vAlign w:val="bottom"/>
            <w:hideMark/>
          </w:tcPr>
          <w:p w14:paraId="022EB386" w14:textId="77777777" w:rsidR="00E66877" w:rsidRPr="001A351B" w:rsidRDefault="00E66877" w:rsidP="001A351B">
            <w:pPr>
              <w:jc w:val="right"/>
              <w:rPr>
                <w:sz w:val="20"/>
                <w:szCs w:val="20"/>
              </w:rPr>
            </w:pPr>
            <w:r w:rsidRPr="001A351B">
              <w:rPr>
                <w:sz w:val="20"/>
                <w:szCs w:val="20"/>
              </w:rPr>
              <w:t>8.25</w:t>
            </w:r>
          </w:p>
        </w:tc>
        <w:tc>
          <w:tcPr>
            <w:tcW w:w="544" w:type="pct"/>
            <w:shd w:val="clear" w:color="auto" w:fill="auto"/>
            <w:noWrap/>
            <w:vAlign w:val="bottom"/>
            <w:hideMark/>
          </w:tcPr>
          <w:p w14:paraId="54A9C364" w14:textId="77777777" w:rsidR="00E66877" w:rsidRPr="001A351B" w:rsidRDefault="00E66877" w:rsidP="001A351B">
            <w:pPr>
              <w:jc w:val="right"/>
              <w:rPr>
                <w:sz w:val="20"/>
                <w:szCs w:val="20"/>
              </w:rPr>
            </w:pPr>
            <w:r w:rsidRPr="001A351B">
              <w:rPr>
                <w:sz w:val="20"/>
                <w:szCs w:val="20"/>
              </w:rPr>
              <w:t>3.69</w:t>
            </w:r>
          </w:p>
        </w:tc>
        <w:tc>
          <w:tcPr>
            <w:tcW w:w="562" w:type="pct"/>
            <w:shd w:val="clear" w:color="auto" w:fill="auto"/>
            <w:noWrap/>
            <w:vAlign w:val="bottom"/>
            <w:hideMark/>
          </w:tcPr>
          <w:p w14:paraId="0FB9B783" w14:textId="77777777" w:rsidR="00E66877" w:rsidRPr="001A351B" w:rsidRDefault="00E66877" w:rsidP="001A351B">
            <w:pPr>
              <w:jc w:val="right"/>
              <w:rPr>
                <w:sz w:val="20"/>
                <w:szCs w:val="20"/>
              </w:rPr>
            </w:pPr>
            <w:r w:rsidRPr="001A351B">
              <w:rPr>
                <w:sz w:val="20"/>
                <w:szCs w:val="20"/>
              </w:rPr>
              <w:t>0.05</w:t>
            </w:r>
          </w:p>
        </w:tc>
        <w:tc>
          <w:tcPr>
            <w:tcW w:w="635" w:type="pct"/>
            <w:shd w:val="clear" w:color="auto" w:fill="auto"/>
            <w:noWrap/>
            <w:vAlign w:val="bottom"/>
            <w:hideMark/>
          </w:tcPr>
          <w:p w14:paraId="62C1E172" w14:textId="77777777" w:rsidR="00E66877" w:rsidRPr="001A351B" w:rsidRDefault="00E66877" w:rsidP="001A351B">
            <w:pPr>
              <w:jc w:val="right"/>
              <w:rPr>
                <w:sz w:val="20"/>
                <w:szCs w:val="20"/>
              </w:rPr>
            </w:pPr>
            <w:r w:rsidRPr="001A351B">
              <w:rPr>
                <w:sz w:val="20"/>
                <w:szCs w:val="20"/>
              </w:rPr>
              <w:t>0.65</w:t>
            </w:r>
          </w:p>
        </w:tc>
        <w:tc>
          <w:tcPr>
            <w:tcW w:w="446" w:type="pct"/>
            <w:shd w:val="clear" w:color="auto" w:fill="auto"/>
            <w:noWrap/>
            <w:vAlign w:val="bottom"/>
            <w:hideMark/>
          </w:tcPr>
          <w:p w14:paraId="42F2CFD8" w14:textId="77777777" w:rsidR="00E66877" w:rsidRPr="001A351B" w:rsidRDefault="00E66877" w:rsidP="001A351B">
            <w:pPr>
              <w:jc w:val="right"/>
              <w:rPr>
                <w:sz w:val="20"/>
                <w:szCs w:val="20"/>
              </w:rPr>
            </w:pPr>
            <w:r w:rsidRPr="001A351B">
              <w:rPr>
                <w:sz w:val="20"/>
                <w:szCs w:val="20"/>
              </w:rPr>
              <w:t>14.30</w:t>
            </w:r>
          </w:p>
        </w:tc>
        <w:tc>
          <w:tcPr>
            <w:tcW w:w="413" w:type="pct"/>
            <w:shd w:val="clear" w:color="auto" w:fill="auto"/>
            <w:noWrap/>
            <w:vAlign w:val="bottom"/>
            <w:hideMark/>
          </w:tcPr>
          <w:p w14:paraId="781C6DDA" w14:textId="77777777" w:rsidR="00E66877" w:rsidRPr="001A351B" w:rsidRDefault="00E66877" w:rsidP="001A351B">
            <w:pPr>
              <w:jc w:val="right"/>
              <w:rPr>
                <w:sz w:val="20"/>
                <w:szCs w:val="20"/>
              </w:rPr>
            </w:pPr>
            <w:r w:rsidRPr="001A351B">
              <w:rPr>
                <w:sz w:val="20"/>
                <w:szCs w:val="20"/>
              </w:rPr>
              <w:t>3.00</w:t>
            </w:r>
          </w:p>
        </w:tc>
        <w:tc>
          <w:tcPr>
            <w:tcW w:w="511" w:type="pct"/>
            <w:shd w:val="clear" w:color="auto" w:fill="auto"/>
            <w:noWrap/>
            <w:vAlign w:val="bottom"/>
            <w:hideMark/>
          </w:tcPr>
          <w:p w14:paraId="75AF42F9" w14:textId="77777777" w:rsidR="00E66877" w:rsidRPr="001A351B" w:rsidRDefault="00E66877" w:rsidP="001A351B">
            <w:pPr>
              <w:jc w:val="right"/>
              <w:rPr>
                <w:sz w:val="20"/>
                <w:szCs w:val="20"/>
              </w:rPr>
            </w:pPr>
            <w:r w:rsidRPr="001A351B">
              <w:rPr>
                <w:sz w:val="20"/>
                <w:szCs w:val="20"/>
              </w:rPr>
              <w:t>17.30</w:t>
            </w:r>
          </w:p>
        </w:tc>
        <w:tc>
          <w:tcPr>
            <w:tcW w:w="347" w:type="pct"/>
            <w:shd w:val="clear" w:color="auto" w:fill="auto"/>
            <w:noWrap/>
            <w:vAlign w:val="bottom"/>
            <w:hideMark/>
          </w:tcPr>
          <w:p w14:paraId="5FA9312F" w14:textId="77777777" w:rsidR="00E66877" w:rsidRPr="001A351B" w:rsidRDefault="00E66877" w:rsidP="001A351B">
            <w:pPr>
              <w:jc w:val="both"/>
              <w:rPr>
                <w:sz w:val="20"/>
                <w:szCs w:val="20"/>
              </w:rPr>
            </w:pPr>
            <w:r w:rsidRPr="001A351B">
              <w:rPr>
                <w:sz w:val="20"/>
                <w:szCs w:val="20"/>
              </w:rPr>
              <w:t>0.43</w:t>
            </w:r>
          </w:p>
        </w:tc>
      </w:tr>
      <w:tr w:rsidR="00E66877" w:rsidRPr="001A351B" w14:paraId="517148A9" w14:textId="77777777" w:rsidTr="00E66877">
        <w:trPr>
          <w:trHeight w:val="285"/>
        </w:trPr>
        <w:tc>
          <w:tcPr>
            <w:tcW w:w="512" w:type="pct"/>
            <w:shd w:val="clear" w:color="auto" w:fill="auto"/>
            <w:noWrap/>
            <w:vAlign w:val="bottom"/>
            <w:hideMark/>
          </w:tcPr>
          <w:p w14:paraId="79742D9B" w14:textId="77777777" w:rsidR="00E66877" w:rsidRPr="001A351B" w:rsidRDefault="00E66877" w:rsidP="001A351B">
            <w:pPr>
              <w:jc w:val="both"/>
              <w:rPr>
                <w:sz w:val="20"/>
                <w:szCs w:val="20"/>
              </w:rPr>
            </w:pPr>
            <w:r w:rsidRPr="001A351B">
              <w:rPr>
                <w:sz w:val="20"/>
                <w:szCs w:val="20"/>
              </w:rPr>
              <w:t>PGDP</w:t>
            </w:r>
          </w:p>
        </w:tc>
        <w:tc>
          <w:tcPr>
            <w:tcW w:w="452" w:type="pct"/>
            <w:shd w:val="clear" w:color="auto" w:fill="auto"/>
            <w:noWrap/>
            <w:vAlign w:val="bottom"/>
            <w:hideMark/>
          </w:tcPr>
          <w:p w14:paraId="79069DFF" w14:textId="77777777" w:rsidR="00E66877" w:rsidRPr="001A351B" w:rsidRDefault="00E66877" w:rsidP="001A351B">
            <w:pPr>
              <w:jc w:val="right"/>
              <w:rPr>
                <w:sz w:val="20"/>
                <w:szCs w:val="20"/>
              </w:rPr>
            </w:pPr>
            <w:r w:rsidRPr="001A351B">
              <w:rPr>
                <w:sz w:val="20"/>
                <w:szCs w:val="20"/>
              </w:rPr>
              <w:t>30846</w:t>
            </w:r>
          </w:p>
        </w:tc>
        <w:tc>
          <w:tcPr>
            <w:tcW w:w="577" w:type="pct"/>
            <w:shd w:val="clear" w:color="auto" w:fill="auto"/>
            <w:noWrap/>
            <w:vAlign w:val="bottom"/>
            <w:hideMark/>
          </w:tcPr>
          <w:p w14:paraId="0DE8483C" w14:textId="77777777" w:rsidR="00E66877" w:rsidRPr="001A351B" w:rsidRDefault="00E66877" w:rsidP="001A351B">
            <w:pPr>
              <w:jc w:val="right"/>
              <w:rPr>
                <w:sz w:val="20"/>
                <w:szCs w:val="20"/>
              </w:rPr>
            </w:pPr>
            <w:r w:rsidRPr="001A351B">
              <w:rPr>
                <w:sz w:val="20"/>
                <w:szCs w:val="20"/>
              </w:rPr>
              <w:t>26250</w:t>
            </w:r>
          </w:p>
        </w:tc>
        <w:tc>
          <w:tcPr>
            <w:tcW w:w="544" w:type="pct"/>
            <w:shd w:val="clear" w:color="auto" w:fill="auto"/>
            <w:noWrap/>
            <w:vAlign w:val="bottom"/>
            <w:hideMark/>
          </w:tcPr>
          <w:p w14:paraId="2327DE5F" w14:textId="77777777" w:rsidR="00E66877" w:rsidRPr="001A351B" w:rsidRDefault="00E66877" w:rsidP="001A351B">
            <w:pPr>
              <w:jc w:val="right"/>
              <w:rPr>
                <w:sz w:val="20"/>
                <w:szCs w:val="20"/>
              </w:rPr>
            </w:pPr>
            <w:r w:rsidRPr="001A351B">
              <w:rPr>
                <w:sz w:val="20"/>
                <w:szCs w:val="20"/>
              </w:rPr>
              <w:t>20009</w:t>
            </w:r>
          </w:p>
        </w:tc>
        <w:tc>
          <w:tcPr>
            <w:tcW w:w="562" w:type="pct"/>
            <w:shd w:val="clear" w:color="auto" w:fill="auto"/>
            <w:noWrap/>
            <w:vAlign w:val="bottom"/>
            <w:hideMark/>
          </w:tcPr>
          <w:p w14:paraId="4B8A9B4F" w14:textId="77777777" w:rsidR="00E66877" w:rsidRPr="001A351B" w:rsidRDefault="00E66877" w:rsidP="001A351B">
            <w:pPr>
              <w:jc w:val="right"/>
              <w:rPr>
                <w:sz w:val="20"/>
                <w:szCs w:val="20"/>
              </w:rPr>
            </w:pPr>
            <w:r w:rsidRPr="001A351B">
              <w:rPr>
                <w:sz w:val="20"/>
                <w:szCs w:val="20"/>
              </w:rPr>
              <w:t>5.49</w:t>
            </w:r>
          </w:p>
        </w:tc>
        <w:tc>
          <w:tcPr>
            <w:tcW w:w="635" w:type="pct"/>
            <w:shd w:val="clear" w:color="auto" w:fill="auto"/>
            <w:noWrap/>
            <w:vAlign w:val="bottom"/>
            <w:hideMark/>
          </w:tcPr>
          <w:p w14:paraId="1F74F367" w14:textId="77777777" w:rsidR="00E66877" w:rsidRPr="001A351B" w:rsidRDefault="00E66877" w:rsidP="001A351B">
            <w:pPr>
              <w:jc w:val="right"/>
              <w:rPr>
                <w:sz w:val="20"/>
                <w:szCs w:val="20"/>
              </w:rPr>
            </w:pPr>
            <w:r w:rsidRPr="001A351B">
              <w:rPr>
                <w:sz w:val="20"/>
                <w:szCs w:val="20"/>
              </w:rPr>
              <w:t>1.93</w:t>
            </w:r>
          </w:p>
        </w:tc>
        <w:tc>
          <w:tcPr>
            <w:tcW w:w="446" w:type="pct"/>
            <w:shd w:val="clear" w:color="auto" w:fill="auto"/>
            <w:noWrap/>
            <w:vAlign w:val="bottom"/>
            <w:hideMark/>
          </w:tcPr>
          <w:p w14:paraId="64AA77C1" w14:textId="77777777" w:rsidR="00E66877" w:rsidRPr="001A351B" w:rsidRDefault="00E66877" w:rsidP="001A351B">
            <w:pPr>
              <w:jc w:val="right"/>
              <w:rPr>
                <w:sz w:val="20"/>
                <w:szCs w:val="20"/>
              </w:rPr>
            </w:pPr>
            <w:r w:rsidRPr="001A351B">
              <w:rPr>
                <w:sz w:val="20"/>
                <w:szCs w:val="20"/>
              </w:rPr>
              <w:t>92100</w:t>
            </w:r>
          </w:p>
        </w:tc>
        <w:tc>
          <w:tcPr>
            <w:tcW w:w="413" w:type="pct"/>
            <w:shd w:val="clear" w:color="auto" w:fill="auto"/>
            <w:noWrap/>
            <w:vAlign w:val="bottom"/>
            <w:hideMark/>
          </w:tcPr>
          <w:p w14:paraId="7AC10FEF" w14:textId="77777777" w:rsidR="00E66877" w:rsidRPr="001A351B" w:rsidRDefault="00E66877" w:rsidP="001A351B">
            <w:pPr>
              <w:jc w:val="right"/>
              <w:rPr>
                <w:sz w:val="20"/>
                <w:szCs w:val="20"/>
              </w:rPr>
            </w:pPr>
            <w:r w:rsidRPr="001A351B">
              <w:rPr>
                <w:sz w:val="20"/>
                <w:szCs w:val="20"/>
              </w:rPr>
              <w:t>8800</w:t>
            </w:r>
          </w:p>
        </w:tc>
        <w:tc>
          <w:tcPr>
            <w:tcW w:w="511" w:type="pct"/>
            <w:shd w:val="clear" w:color="auto" w:fill="auto"/>
            <w:noWrap/>
            <w:vAlign w:val="bottom"/>
            <w:hideMark/>
          </w:tcPr>
          <w:p w14:paraId="5B8D4872" w14:textId="77777777" w:rsidR="00E66877" w:rsidRPr="001A351B" w:rsidRDefault="00E66877" w:rsidP="001A351B">
            <w:pPr>
              <w:jc w:val="right"/>
              <w:rPr>
                <w:sz w:val="20"/>
                <w:szCs w:val="20"/>
              </w:rPr>
            </w:pPr>
            <w:r w:rsidRPr="001A351B">
              <w:rPr>
                <w:sz w:val="20"/>
                <w:szCs w:val="20"/>
              </w:rPr>
              <w:t>100900</w:t>
            </w:r>
          </w:p>
        </w:tc>
        <w:tc>
          <w:tcPr>
            <w:tcW w:w="347" w:type="pct"/>
            <w:shd w:val="clear" w:color="auto" w:fill="auto"/>
            <w:noWrap/>
            <w:vAlign w:val="bottom"/>
            <w:hideMark/>
          </w:tcPr>
          <w:p w14:paraId="56212ABC" w14:textId="77777777" w:rsidR="00E66877" w:rsidRPr="001A351B" w:rsidRDefault="00E66877" w:rsidP="001A351B">
            <w:pPr>
              <w:jc w:val="both"/>
              <w:rPr>
                <w:sz w:val="20"/>
                <w:szCs w:val="20"/>
              </w:rPr>
            </w:pPr>
            <w:r w:rsidRPr="001A351B">
              <w:rPr>
                <w:sz w:val="20"/>
                <w:szCs w:val="20"/>
              </w:rPr>
              <w:t>0.65</w:t>
            </w:r>
          </w:p>
        </w:tc>
      </w:tr>
    </w:tbl>
    <w:p w14:paraId="01FD577C" w14:textId="77777777" w:rsidR="000A0CA9" w:rsidRPr="001A351B" w:rsidRDefault="000A0CA9" w:rsidP="00FA6E58">
      <w:pPr>
        <w:ind w:firstLine="720"/>
        <w:jc w:val="both"/>
      </w:pPr>
    </w:p>
    <w:p w14:paraId="6F11EC96" w14:textId="77777777" w:rsidR="000A0CA9" w:rsidRPr="001A351B" w:rsidRDefault="000A0CA9" w:rsidP="00FA6E58">
      <w:pPr>
        <w:ind w:firstLine="720"/>
        <w:jc w:val="both"/>
      </w:pPr>
      <w:r w:rsidRPr="001A351B">
        <w:t xml:space="preserve">O a doua concluzie este aceea că dintre cele patru variabile numai trei au distribuție normală, seria de date a variabilei </w:t>
      </w:r>
      <w:r w:rsidR="001B2138">
        <w:t>PGDP</w:t>
      </w:r>
      <w:r w:rsidR="00E66877">
        <w:t xml:space="preserve"> fiind le</w:t>
      </w:r>
      <w:r w:rsidRPr="001A351B">
        <w:t xml:space="preserve">ptocurtică, valoarea caracteristicii </w:t>
      </w:r>
      <w:proofErr w:type="gramStart"/>
      <w:r w:rsidRPr="001A351B">
        <w:t xml:space="preserve">Kurtosis </w:t>
      </w:r>
      <w:proofErr w:type="gramEnd"/>
      <w:r w:rsidRPr="001A351B">
        <w:rPr>
          <w:position w:val="-14"/>
        </w:rPr>
        <w:object w:dxaOrig="1600" w:dyaOrig="400" w14:anchorId="459D52C7">
          <v:shape id="_x0000_i1026" type="#_x0000_t75" style="width:79.5pt;height:19.5pt" o:ole="">
            <v:imagedata r:id="rId13" o:title=""/>
          </v:shape>
          <o:OLEObject Type="Embed" ProgID="Equation.3" ShapeID="_x0000_i1026" DrawAspect="Content" ObjectID="_1739124274" r:id="rId14"/>
        </w:object>
      </w:r>
      <w:r w:rsidRPr="001A351B">
        <w:t>.</w:t>
      </w:r>
    </w:p>
    <w:p w14:paraId="1DAE2DB5" w14:textId="77777777" w:rsidR="00E40F24" w:rsidRDefault="00E66877" w:rsidP="00E40F24">
      <w:pPr>
        <w:ind w:firstLine="720"/>
        <w:jc w:val="both"/>
        <w:rPr>
          <w:lang w:val="en-GB"/>
        </w:rPr>
      </w:pPr>
      <w:r>
        <w:t>Luând în considerare</w:t>
      </w:r>
      <w:r w:rsidR="000A0CA9" w:rsidRPr="001A351B">
        <w:t xml:space="preserve"> aceste</w:t>
      </w:r>
      <w:r>
        <w:t xml:space="preserve"> rezultate și afirmații</w:t>
      </w:r>
      <w:r w:rsidR="000A0CA9" w:rsidRPr="001A351B">
        <w:t xml:space="preserve">, precum și faptul că amplitudinea intervalului de variație (W), comparativ cu media, este destul de mare pentru variabilele PPATS și </w:t>
      </w:r>
      <w:r w:rsidR="001B2138">
        <w:t>PGDP</w:t>
      </w:r>
      <w:r w:rsidR="000A0CA9" w:rsidRPr="001A351B">
        <w:t xml:space="preserve"> rezultă că</w:t>
      </w:r>
      <w:r w:rsidR="003B7111">
        <w:t>,</w:t>
      </w:r>
      <w:r w:rsidR="000A0CA9" w:rsidRPr="001A351B">
        <w:t xml:space="preserve"> pentru caracterizarea performanțelor statelor incluse în analiză este necesară o st</w:t>
      </w:r>
      <w:r w:rsidR="0075449D" w:rsidRPr="001A351B">
        <w:t>ructurare (grupare) a acestora d</w:t>
      </w:r>
      <w:r w:rsidR="000A0CA9" w:rsidRPr="001A351B">
        <w:t xml:space="preserve">upă cele </w:t>
      </w:r>
      <w:r w:rsidR="001A351B" w:rsidRPr="001A351B">
        <w:t>cinci</w:t>
      </w:r>
      <w:r w:rsidR="000A0CA9" w:rsidRPr="001A351B">
        <w:t xml:space="preserve"> criterii</w:t>
      </w:r>
      <w:r w:rsidR="001A351B" w:rsidRPr="001A351B">
        <w:t xml:space="preserve"> corespunzătoare variabilelor</w:t>
      </w:r>
      <w:r w:rsidR="000A0CA9" w:rsidRPr="001A351B">
        <w:t xml:space="preserve">. </w:t>
      </w:r>
      <w:r w:rsidR="003B7111">
        <w:t>În acest sens</w:t>
      </w:r>
      <w:r w:rsidR="000A0CA9" w:rsidRPr="001A351B">
        <w:t xml:space="preserve"> a fost utilizată metodologia clusterilor ierarhici (Rotaru, 2006)</w:t>
      </w:r>
      <w:r w:rsidR="000A01FD">
        <w:t>.</w:t>
      </w:r>
      <w:r w:rsidR="00E40F24">
        <w:t xml:space="preserve"> </w:t>
      </w:r>
      <w:r w:rsidR="003B7111">
        <w:t>Astfel s-a utilizat</w:t>
      </w:r>
      <w:r w:rsidR="00E40F24">
        <w:t xml:space="preserve"> </w:t>
      </w:r>
      <w:r w:rsidR="00E40F24">
        <w:rPr>
          <w:bCs/>
          <w:lang w:val="en-GB"/>
        </w:rPr>
        <w:t xml:space="preserve">the proximity matrix </w:t>
      </w:r>
      <w:r w:rsidR="00E40F24">
        <w:rPr>
          <w:lang w:val="en-GB"/>
        </w:rPr>
        <w:t>was obtained using Euclidian distance, and for generating clusters Ward’s method was used (</w:t>
      </w:r>
      <w:r w:rsidR="00E40F24">
        <w:t>Zaharia et.al, 2022)</w:t>
      </w:r>
      <w:r w:rsidR="00E40F24">
        <w:rPr>
          <w:lang w:val="en-GB"/>
        </w:rPr>
        <w:t>:</w:t>
      </w:r>
    </w:p>
    <w:p w14:paraId="3E1C42DC" w14:textId="77777777" w:rsidR="00E40F24" w:rsidRDefault="00E40F24" w:rsidP="00E40F24">
      <w:pPr>
        <w:tabs>
          <w:tab w:val="left" w:pos="2235"/>
        </w:tabs>
        <w:ind w:firstLine="720"/>
        <w:jc w:val="both"/>
        <w:rPr>
          <w:bCs/>
          <w:lang w:val="en-GB"/>
        </w:rPr>
      </w:pPr>
    </w:p>
    <w:p w14:paraId="5D3DBE0C" w14:textId="77777777" w:rsidR="00E40F24" w:rsidRDefault="00E40F24" w:rsidP="00E40F24">
      <w:pPr>
        <w:tabs>
          <w:tab w:val="left" w:pos="2235"/>
        </w:tabs>
        <w:ind w:firstLine="709"/>
        <w:jc w:val="right"/>
        <w:rPr>
          <w:lang w:val="en-GB"/>
        </w:rPr>
      </w:pPr>
      <w:r>
        <w:rPr>
          <w:rFonts w:eastAsia="Calibri" w:cstheme="minorBidi"/>
          <w:position w:val="-30"/>
          <w:sz w:val="22"/>
          <w:szCs w:val="22"/>
          <w:lang w:val="en-GB"/>
        </w:rPr>
        <w:object w:dxaOrig="6465" w:dyaOrig="600" w14:anchorId="3F7D6A85">
          <v:shape id="_x0000_i1027" type="#_x0000_t75" style="width:323.25pt;height:30pt" o:ole="">
            <v:imagedata r:id="rId15" o:title=""/>
          </v:shape>
          <o:OLEObject Type="Embed" ProgID="Equation.3" ShapeID="_x0000_i1027" DrawAspect="Content" ObjectID="_1739124275" r:id="rId16"/>
        </w:object>
      </w:r>
      <w:r>
        <w:rPr>
          <w:lang w:val="en-GB"/>
        </w:rPr>
        <w:t xml:space="preserve">     </w:t>
      </w:r>
      <w:r>
        <w:rPr>
          <w:lang w:val="en-GB"/>
        </w:rPr>
        <w:tab/>
        <w:t>(1)</w:t>
      </w:r>
    </w:p>
    <w:p w14:paraId="24B0C12E" w14:textId="77777777" w:rsidR="00E40F24" w:rsidRDefault="00E40F24" w:rsidP="00E40F24">
      <w:pPr>
        <w:ind w:firstLine="720"/>
        <w:jc w:val="both"/>
        <w:rPr>
          <w:lang w:val="en-GB"/>
        </w:rPr>
      </w:pPr>
    </w:p>
    <w:p w14:paraId="2BEFCDFD" w14:textId="77777777" w:rsidR="00E40F24" w:rsidRPr="001A351B" w:rsidRDefault="00E40F24" w:rsidP="00E40F24">
      <w:pPr>
        <w:ind w:firstLine="720"/>
        <w:jc w:val="both"/>
      </w:pPr>
      <w:r>
        <w:rPr>
          <w:lang w:val="en-GB"/>
        </w:rPr>
        <w:t xml:space="preserve">In (1), A and B are two clusters, </w:t>
      </w:r>
      <w:r>
        <w:rPr>
          <w:i/>
          <w:lang w:val="en-GB"/>
        </w:rPr>
        <w:t>m</w:t>
      </w:r>
      <w:r>
        <w:rPr>
          <w:i/>
          <w:vertAlign w:val="subscript"/>
          <w:lang w:val="en-GB"/>
        </w:rPr>
        <w:t>i</w:t>
      </w:r>
      <w:r>
        <w:rPr>
          <w:lang w:val="en-GB"/>
        </w:rPr>
        <w:t xml:space="preserve"> is the centroid, </w:t>
      </w:r>
      <w:r>
        <w:rPr>
          <w:i/>
          <w:lang w:val="en-GB"/>
        </w:rPr>
        <w:t>n</w:t>
      </w:r>
      <w:r>
        <w:rPr>
          <w:i/>
          <w:vertAlign w:val="subscript"/>
          <w:lang w:val="en-GB"/>
        </w:rPr>
        <w:t>i</w:t>
      </w:r>
      <w:r>
        <w:rPr>
          <w:lang w:val="en-GB"/>
        </w:rPr>
        <w:t xml:space="preserve"> is the number of elements from cluster </w:t>
      </w:r>
      <w:r>
        <w:rPr>
          <w:i/>
          <w:lang w:val="en-GB"/>
        </w:rPr>
        <w:t>i</w:t>
      </w:r>
      <w:r>
        <w:rPr>
          <w:lang w:val="en-GB"/>
        </w:rPr>
        <w:t xml:space="preserve">. and </w:t>
      </w:r>
      <w:r>
        <w:rPr>
          <w:i/>
          <w:lang w:val="en-GB"/>
        </w:rPr>
        <w:t>x</w:t>
      </w:r>
      <w:r>
        <w:rPr>
          <w:i/>
          <w:vertAlign w:val="subscript"/>
          <w:lang w:val="en-GB"/>
        </w:rPr>
        <w:t>i</w:t>
      </w:r>
      <w:r>
        <w:rPr>
          <w:lang w:val="en-GB"/>
        </w:rPr>
        <w:t xml:space="preserve"> an item. </w:t>
      </w:r>
    </w:p>
    <w:p w14:paraId="29BE394E" w14:textId="77777777" w:rsidR="000A0CA9" w:rsidRPr="004B6BE5" w:rsidRDefault="000A0CA9" w:rsidP="00FA6E58">
      <w:pPr>
        <w:ind w:firstLine="720"/>
        <w:jc w:val="both"/>
      </w:pPr>
      <w:r w:rsidRPr="004B6BE5">
        <w:t>Semnificația statistică a rezultatelor obținute a fost efectuată cu</w:t>
      </w:r>
      <w:r w:rsidR="00E40F24" w:rsidRPr="004B6BE5">
        <w:t xml:space="preserve"> </w:t>
      </w:r>
      <w:r w:rsidRPr="004B6BE5">
        <w:t>testul Levene, pentru verificarea omogenității dispersiilor, ș</w:t>
      </w:r>
      <w:r w:rsidR="003B7111">
        <w:t xml:space="preserve">i testul Brown-Forsythe pentru </w:t>
      </w:r>
      <w:r w:rsidRPr="004B6BE5">
        <w:t>verificarea semnificației statistice a valorilor mediilor obținute la nivelul clusterilor.</w:t>
      </w:r>
    </w:p>
    <w:p w14:paraId="01A92960" w14:textId="77777777" w:rsidR="000A0CA9" w:rsidRPr="004B6BE5" w:rsidRDefault="000A0CA9" w:rsidP="00FA6E58">
      <w:pPr>
        <w:ind w:firstLine="720"/>
        <w:jc w:val="both"/>
      </w:pPr>
      <w:r w:rsidRPr="004B6BE5">
        <w:t xml:space="preserve">Ipoteze nule ale acestora sunt: </w:t>
      </w:r>
    </w:p>
    <w:p w14:paraId="51A4F8A7" w14:textId="77777777" w:rsidR="000A0CA9" w:rsidRPr="004B6BE5" w:rsidRDefault="000A0CA9" w:rsidP="003B7111">
      <w:pPr>
        <w:pStyle w:val="ListParagraph"/>
        <w:numPr>
          <w:ilvl w:val="0"/>
          <w:numId w:val="4"/>
        </w:numPr>
        <w:tabs>
          <w:tab w:val="left" w:pos="142"/>
        </w:tabs>
        <w:spacing w:after="0" w:line="240" w:lineRule="auto"/>
        <w:ind w:left="0" w:firstLine="426"/>
        <w:contextualSpacing w:val="0"/>
        <w:jc w:val="both"/>
      </w:pPr>
      <w:r w:rsidRPr="004B6BE5">
        <w:t>pentru testul Levene:</w:t>
      </w:r>
    </w:p>
    <w:p w14:paraId="40E40206" w14:textId="77777777" w:rsidR="000A0CA9" w:rsidRPr="004B6BE5" w:rsidRDefault="000A0CA9" w:rsidP="003B7111">
      <w:pPr>
        <w:tabs>
          <w:tab w:val="left" w:pos="142"/>
        </w:tabs>
        <w:ind w:firstLine="426"/>
        <w:jc w:val="right"/>
        <w:rPr>
          <w:rFonts w:eastAsia="Calibri"/>
        </w:rPr>
      </w:pPr>
      <w:r w:rsidRPr="004B6BE5">
        <w:rPr>
          <w:rFonts w:eastAsia="Calibri"/>
          <w:position w:val="-14"/>
        </w:rPr>
        <w:object w:dxaOrig="3060" w:dyaOrig="400" w14:anchorId="496C3C12">
          <v:shape id="_x0000_i1028" type="#_x0000_t75" style="width:141.75pt;height:19.5pt" o:ole="">
            <v:imagedata r:id="rId17" o:title=""/>
          </v:shape>
          <o:OLEObject Type="Embed" ProgID="Equation.3" ShapeID="_x0000_i1028" DrawAspect="Content" ObjectID="_1739124276" r:id="rId18"/>
        </w:object>
      </w:r>
      <w:r w:rsidRPr="004B6BE5">
        <w:rPr>
          <w:rFonts w:eastAsia="Calibri"/>
        </w:rPr>
        <w:tab/>
      </w:r>
      <w:r w:rsidRPr="004B6BE5">
        <w:rPr>
          <w:rFonts w:eastAsia="Calibri"/>
        </w:rPr>
        <w:tab/>
      </w:r>
      <w:r w:rsidRPr="004B6BE5">
        <w:rPr>
          <w:rFonts w:eastAsia="Calibri"/>
        </w:rPr>
        <w:tab/>
      </w:r>
      <w:r w:rsidRPr="004B6BE5">
        <w:rPr>
          <w:rFonts w:eastAsia="Calibri"/>
        </w:rPr>
        <w:tab/>
      </w:r>
      <w:r w:rsidRPr="004B6BE5">
        <w:rPr>
          <w:rFonts w:eastAsia="Calibri"/>
        </w:rPr>
        <w:tab/>
      </w:r>
      <w:r w:rsidR="004B6BE5">
        <w:rPr>
          <w:rFonts w:eastAsia="Calibri"/>
        </w:rPr>
        <w:tab/>
      </w:r>
      <w:r w:rsidRPr="004B6BE5">
        <w:rPr>
          <w:rFonts w:eastAsia="Calibri"/>
        </w:rPr>
        <w:t>(</w:t>
      </w:r>
      <w:r w:rsidR="00144B13">
        <w:rPr>
          <w:rFonts w:eastAsia="Calibri"/>
        </w:rPr>
        <w:t>2</w:t>
      </w:r>
      <w:r w:rsidRPr="004B6BE5">
        <w:rPr>
          <w:rFonts w:eastAsia="Calibri"/>
        </w:rPr>
        <w:t>)</w:t>
      </w:r>
    </w:p>
    <w:p w14:paraId="062E7FF1" w14:textId="77777777" w:rsidR="000A0CA9" w:rsidRPr="004B6BE5" w:rsidRDefault="000A0CA9" w:rsidP="003B7111">
      <w:pPr>
        <w:pStyle w:val="ListParagraph"/>
        <w:numPr>
          <w:ilvl w:val="0"/>
          <w:numId w:val="4"/>
        </w:numPr>
        <w:tabs>
          <w:tab w:val="left" w:pos="142"/>
        </w:tabs>
        <w:spacing w:after="0" w:line="240" w:lineRule="auto"/>
        <w:ind w:left="0" w:firstLine="426"/>
        <w:contextualSpacing w:val="0"/>
        <w:jc w:val="both"/>
        <w:rPr>
          <w:rFonts w:eastAsia="Calibri"/>
        </w:rPr>
      </w:pPr>
      <w:r w:rsidRPr="004B6BE5">
        <w:rPr>
          <w:rFonts w:eastAsia="Calibri"/>
        </w:rPr>
        <w:t xml:space="preserve">pentru testul </w:t>
      </w:r>
      <w:r w:rsidRPr="004B6BE5">
        <w:t>Brown-Forsythe</w:t>
      </w:r>
      <w:r w:rsidRPr="004B6BE5">
        <w:rPr>
          <w:rFonts w:eastAsia="Calibri"/>
        </w:rPr>
        <w:t>:</w:t>
      </w:r>
    </w:p>
    <w:p w14:paraId="40EEF946" w14:textId="77777777" w:rsidR="000A0CA9" w:rsidRPr="004B6BE5" w:rsidRDefault="000A0CA9" w:rsidP="004B6BE5">
      <w:pPr>
        <w:ind w:firstLine="720"/>
        <w:jc w:val="right"/>
      </w:pPr>
      <w:r w:rsidRPr="004B6BE5">
        <w:rPr>
          <w:rFonts w:eastAsia="Calibri"/>
          <w:position w:val="-14"/>
        </w:rPr>
        <w:object w:dxaOrig="3120" w:dyaOrig="440" w14:anchorId="58494A84">
          <v:shape id="_x0000_i1029" type="#_x0000_t75" style="width:2in;height:21pt" o:ole="">
            <v:imagedata r:id="rId19" o:title=""/>
          </v:shape>
          <o:OLEObject Type="Embed" ProgID="Equation.3" ShapeID="_x0000_i1029" DrawAspect="Content" ObjectID="_1739124277" r:id="rId20"/>
        </w:object>
      </w:r>
      <w:r w:rsidRPr="004B6BE5">
        <w:rPr>
          <w:rFonts w:eastAsia="Calibri"/>
        </w:rPr>
        <w:tab/>
      </w:r>
      <w:r w:rsidRPr="004B6BE5">
        <w:rPr>
          <w:rFonts w:eastAsia="Calibri"/>
        </w:rPr>
        <w:tab/>
      </w:r>
      <w:r w:rsidRPr="004B6BE5">
        <w:rPr>
          <w:rFonts w:eastAsia="Calibri"/>
        </w:rPr>
        <w:tab/>
      </w:r>
      <w:r w:rsidRPr="004B6BE5">
        <w:rPr>
          <w:rFonts w:eastAsia="Calibri"/>
        </w:rPr>
        <w:tab/>
      </w:r>
      <w:r w:rsidR="004B6BE5">
        <w:rPr>
          <w:rFonts w:eastAsia="Calibri"/>
        </w:rPr>
        <w:tab/>
      </w:r>
      <w:r w:rsidR="004B6BE5">
        <w:rPr>
          <w:rFonts w:eastAsia="Calibri"/>
        </w:rPr>
        <w:tab/>
      </w:r>
      <w:r w:rsidRPr="004B6BE5">
        <w:rPr>
          <w:rFonts w:eastAsia="Calibri"/>
        </w:rPr>
        <w:t>(</w:t>
      </w:r>
      <w:r w:rsidR="00144B13">
        <w:rPr>
          <w:rFonts w:eastAsia="Calibri"/>
        </w:rPr>
        <w:t>3</w:t>
      </w:r>
      <w:r w:rsidRPr="004B6BE5">
        <w:rPr>
          <w:rFonts w:eastAsia="Calibri"/>
        </w:rPr>
        <w:t>)</w:t>
      </w:r>
    </w:p>
    <w:p w14:paraId="2ADDB92A" w14:textId="77777777" w:rsidR="000A0CA9" w:rsidRPr="004B6BE5" w:rsidRDefault="000A0CA9" w:rsidP="00FA6E58">
      <w:pPr>
        <w:ind w:firstLine="720"/>
        <w:jc w:val="both"/>
      </w:pPr>
      <w:r w:rsidRPr="004B6BE5">
        <w:t xml:space="preserve">Condiția de acceptare a ipotezelor nule este </w:t>
      </w:r>
      <w:proofErr w:type="gramStart"/>
      <w:r w:rsidR="003B7111">
        <w:t xml:space="preserve">ca </w:t>
      </w:r>
      <w:proofErr w:type="gramEnd"/>
      <w:r w:rsidRPr="004B6BE5">
        <w:rPr>
          <w:rFonts w:eastAsia="Calibri"/>
          <w:position w:val="-10"/>
        </w:rPr>
        <w:object w:dxaOrig="1020" w:dyaOrig="320" w14:anchorId="0EBC8AD7">
          <v:shape id="_x0000_i1030" type="#_x0000_t75" style="width:48pt;height:15pt" o:ole="">
            <v:imagedata r:id="rId21" o:title=""/>
          </v:shape>
          <o:OLEObject Type="Embed" ProgID="Equation.3" ShapeID="_x0000_i1030" DrawAspect="Content" ObjectID="_1739124278" r:id="rId22"/>
        </w:object>
      </w:r>
      <w:r w:rsidRPr="004B6BE5">
        <w:rPr>
          <w:rFonts w:eastAsia="Calibri"/>
        </w:rPr>
        <w:t>.</w:t>
      </w:r>
    </w:p>
    <w:p w14:paraId="171545B8" w14:textId="77777777" w:rsidR="000A0CA9" w:rsidRPr="004B6BE5" w:rsidRDefault="000A0CA9" w:rsidP="00FA6E58">
      <w:pPr>
        <w:ind w:firstLine="720"/>
        <w:jc w:val="both"/>
      </w:pPr>
      <w:r w:rsidRPr="004B6BE5">
        <w:t xml:space="preserve">În cazul în care se acceptă ipoteza H0_1 pentru testarea semnificației statistice a mediilor obținute la nivelul clusterilor se poate aplica metodologia ANOVA (Gogonea </w:t>
      </w:r>
      <w:r w:rsidR="00D4125B" w:rsidRPr="004B6BE5">
        <w:t xml:space="preserve">și </w:t>
      </w:r>
      <w:r w:rsidRPr="004B6BE5">
        <w:t>Zaharia, 2008), în caz contrar se utilizează testele Brown-Forsythe.</w:t>
      </w:r>
    </w:p>
    <w:p w14:paraId="262065EF" w14:textId="77777777" w:rsidR="000A0CA9" w:rsidRPr="000373B3" w:rsidRDefault="000A0CA9" w:rsidP="00FA6E58">
      <w:pPr>
        <w:ind w:firstLine="720"/>
        <w:jc w:val="both"/>
        <w:rPr>
          <w:color w:val="17365D" w:themeColor="text2" w:themeShade="BF"/>
        </w:rPr>
      </w:pPr>
      <w:r w:rsidRPr="004B6BE5">
        <w:t>Pentru prelucrarea datelor au fost utilizate SPSS (Popa, 2008) și Excel</w:t>
      </w:r>
      <w:r w:rsidR="00737507" w:rsidRPr="004B6BE5">
        <w:t>, iar p</w:t>
      </w:r>
      <w:r w:rsidRPr="004B6BE5">
        <w:t>entru testarea ipotezelor statistice a fost u</w:t>
      </w:r>
      <w:r w:rsidR="003B7111">
        <w:t xml:space="preserve">tilizat </w:t>
      </w:r>
      <w:proofErr w:type="gramStart"/>
      <w:r w:rsidR="003B7111">
        <w:t>un</w:t>
      </w:r>
      <w:proofErr w:type="gramEnd"/>
      <w:r w:rsidR="003B7111">
        <w:t xml:space="preserve"> prag de semnificație</w:t>
      </w:r>
      <w:r w:rsidR="00491D16" w:rsidRPr="00E90227">
        <w:rPr>
          <w:rFonts w:eastAsia="Calibri"/>
          <w:position w:val="-6"/>
        </w:rPr>
        <w:object w:dxaOrig="880" w:dyaOrig="279" w14:anchorId="72270842">
          <v:shape id="_x0000_i1031" type="#_x0000_t75" style="width:41.25pt;height:12.75pt" o:ole="">
            <v:imagedata r:id="rId23" o:title=""/>
          </v:shape>
          <o:OLEObject Type="Embed" ProgID="Equation.3" ShapeID="_x0000_i1031" DrawAspect="Content" ObjectID="_1739124279" r:id="rId24"/>
        </w:object>
      </w:r>
      <w:r w:rsidRPr="004B6BE5">
        <w:rPr>
          <w:rFonts w:eastAsia="Calibri"/>
        </w:rPr>
        <w:t xml:space="preserve">, corespunzător </w:t>
      </w:r>
      <w:r w:rsidRPr="004B6BE5">
        <w:t>un nivel de încredere de 95%</w:t>
      </w:r>
      <w:r w:rsidR="00127F33" w:rsidRPr="000373B3">
        <w:rPr>
          <w:color w:val="17365D" w:themeColor="text2" w:themeShade="BF"/>
        </w:rPr>
        <w:t>.</w:t>
      </w:r>
    </w:p>
    <w:p w14:paraId="43F33D3E" w14:textId="77777777" w:rsidR="00737507" w:rsidRPr="000373B3" w:rsidRDefault="00737507" w:rsidP="00FA6E58">
      <w:pPr>
        <w:ind w:firstLine="720"/>
        <w:jc w:val="both"/>
        <w:rPr>
          <w:color w:val="17365D" w:themeColor="text2" w:themeShade="BF"/>
        </w:rPr>
      </w:pPr>
    </w:p>
    <w:p w14:paraId="65814EEF" w14:textId="77777777" w:rsidR="000A0CA9" w:rsidRPr="0006591F" w:rsidRDefault="0006591F" w:rsidP="0006591F">
      <w:pPr>
        <w:ind w:left="720"/>
        <w:jc w:val="both"/>
        <w:rPr>
          <w:rFonts w:eastAsia="Calibri"/>
          <w:b/>
        </w:rPr>
      </w:pPr>
      <w:r w:rsidRPr="0006591F">
        <w:rPr>
          <w:rFonts w:eastAsia="Calibri"/>
          <w:b/>
        </w:rPr>
        <w:t>REZULTATE ȘI DISCUȚII</w:t>
      </w:r>
    </w:p>
    <w:p w14:paraId="2CBE17BE" w14:textId="77777777" w:rsidR="0006591F" w:rsidRPr="0006591F" w:rsidRDefault="0006591F" w:rsidP="0006591F">
      <w:pPr>
        <w:ind w:left="720"/>
        <w:jc w:val="both"/>
        <w:rPr>
          <w:rFonts w:eastAsia="Calibri"/>
          <w:b/>
          <w:color w:val="17365D" w:themeColor="text2" w:themeShade="BF"/>
        </w:rPr>
      </w:pPr>
    </w:p>
    <w:p w14:paraId="13A1A39A" w14:textId="77777777" w:rsidR="001B2138" w:rsidRDefault="00177E34" w:rsidP="00FA6E58">
      <w:pPr>
        <w:ind w:firstLine="720"/>
        <w:jc w:val="both"/>
      </w:pPr>
      <w:r w:rsidRPr="00E90227">
        <w:t xml:space="preserve">Ținând seama de rezultatele preliminare prezentate mai sus, </w:t>
      </w:r>
      <w:r w:rsidR="00E90227" w:rsidRPr="00E90227">
        <w:t>î</w:t>
      </w:r>
      <w:r w:rsidR="000A0CA9" w:rsidRPr="00E90227">
        <w:t xml:space="preserve">n urma testelor și analizelor efectuate, în funcție de cele cinci criterii de clasificare, a fost obținută o structură (Figura </w:t>
      </w:r>
      <w:r w:rsidR="00E90227" w:rsidRPr="00E90227">
        <w:t>1</w:t>
      </w:r>
      <w:r w:rsidR="000A0CA9" w:rsidRPr="00E90227">
        <w:t xml:space="preserve">) cu </w:t>
      </w:r>
      <w:r w:rsidR="002B7D63">
        <w:t>ci</w:t>
      </w:r>
      <w:r w:rsidR="003B7111">
        <w:t>n</w:t>
      </w:r>
      <w:r w:rsidR="002B7D63">
        <w:t>ci</w:t>
      </w:r>
      <w:r w:rsidR="000A0CA9" w:rsidRPr="00E90227">
        <w:t xml:space="preserve"> clusteri (Tabelul </w:t>
      </w:r>
      <w:r w:rsidR="00E90227" w:rsidRPr="00E90227">
        <w:t>3</w:t>
      </w:r>
      <w:r w:rsidR="002B7D63">
        <w:t>), la care se adaugă o excepție:</w:t>
      </w:r>
      <w:r w:rsidR="000A0CA9" w:rsidRPr="00E90227">
        <w:t xml:space="preserve"> Luxemburg.</w:t>
      </w:r>
    </w:p>
    <w:p w14:paraId="3B0DFAAD" w14:textId="77777777" w:rsidR="000A0CA9" w:rsidRPr="00E90227" w:rsidRDefault="000A0CA9" w:rsidP="00FA6E58">
      <w:pPr>
        <w:ind w:firstLine="720"/>
        <w:jc w:val="both"/>
      </w:pPr>
      <w:r w:rsidRPr="00E90227">
        <w:t xml:space="preserve"> </w:t>
      </w:r>
    </w:p>
    <w:p w14:paraId="22568D60" w14:textId="77777777" w:rsidR="002B7D63" w:rsidRDefault="002B7D63" w:rsidP="002B7D63">
      <w:pPr>
        <w:autoSpaceDE w:val="0"/>
        <w:autoSpaceDN w:val="0"/>
        <w:adjustRightInd w:val="0"/>
        <w:rPr>
          <w:rFonts w:eastAsiaTheme="minorHAnsi"/>
        </w:rPr>
      </w:pPr>
      <w:r>
        <w:rPr>
          <w:rFonts w:eastAsiaTheme="minorHAnsi"/>
          <w:noProof/>
        </w:rPr>
        <w:lastRenderedPageBreak/>
        <w:drawing>
          <wp:inline distT="0" distB="0" distL="0" distR="0" wp14:anchorId="5E74C7FB" wp14:editId="4128D9B3">
            <wp:extent cx="5946590" cy="496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9315" cy="4964799"/>
                    </a:xfrm>
                    <a:prstGeom prst="rect">
                      <a:avLst/>
                    </a:prstGeom>
                    <a:noFill/>
                    <a:ln>
                      <a:noFill/>
                    </a:ln>
                  </pic:spPr>
                </pic:pic>
              </a:graphicData>
            </a:graphic>
          </wp:inline>
        </w:drawing>
      </w:r>
    </w:p>
    <w:p w14:paraId="6D7A5D23" w14:textId="77777777" w:rsidR="000A0CA9" w:rsidRPr="000373B3" w:rsidRDefault="000A0CA9" w:rsidP="002B7D63">
      <w:pPr>
        <w:autoSpaceDE w:val="0"/>
        <w:autoSpaceDN w:val="0"/>
        <w:adjustRightInd w:val="0"/>
        <w:jc w:val="both"/>
        <w:rPr>
          <w:rFonts w:eastAsia="Calibri"/>
          <w:color w:val="17365D" w:themeColor="text2" w:themeShade="BF"/>
        </w:rPr>
      </w:pPr>
    </w:p>
    <w:p w14:paraId="0A53E993" w14:textId="77777777" w:rsidR="000A0CA9" w:rsidRPr="001B2138" w:rsidRDefault="000A0CA9" w:rsidP="00E90227">
      <w:pPr>
        <w:autoSpaceDE w:val="0"/>
        <w:autoSpaceDN w:val="0"/>
        <w:adjustRightInd w:val="0"/>
        <w:ind w:firstLine="720"/>
        <w:jc w:val="center"/>
        <w:rPr>
          <w:rFonts w:eastAsia="Calibri"/>
          <w:i/>
        </w:rPr>
      </w:pPr>
      <w:r w:rsidRPr="001B2138">
        <w:rPr>
          <w:rFonts w:eastAsia="Calibri"/>
          <w:b/>
        </w:rPr>
        <w:t xml:space="preserve">Figura </w:t>
      </w:r>
      <w:r w:rsidR="00E90227" w:rsidRPr="001B2138">
        <w:rPr>
          <w:rFonts w:eastAsia="Calibri"/>
          <w:b/>
        </w:rPr>
        <w:t>1</w:t>
      </w:r>
      <w:r w:rsidRPr="001B2138">
        <w:rPr>
          <w:rFonts w:eastAsia="Calibri"/>
        </w:rPr>
        <w:t xml:space="preserve"> </w:t>
      </w:r>
      <w:r w:rsidRPr="001B2138">
        <w:rPr>
          <w:rFonts w:eastAsia="Calibri"/>
          <w:i/>
        </w:rPr>
        <w:t>Dendograma generării clusterilor</w:t>
      </w:r>
    </w:p>
    <w:p w14:paraId="50346892" w14:textId="77777777" w:rsidR="000A0CA9" w:rsidRPr="000373B3" w:rsidRDefault="000A0CA9" w:rsidP="00FA6E58">
      <w:pPr>
        <w:autoSpaceDE w:val="0"/>
        <w:autoSpaceDN w:val="0"/>
        <w:adjustRightInd w:val="0"/>
        <w:ind w:firstLine="720"/>
        <w:jc w:val="both"/>
        <w:rPr>
          <w:rFonts w:eastAsia="Calibri"/>
          <w:color w:val="17365D" w:themeColor="text2" w:themeShade="BF"/>
        </w:rPr>
      </w:pPr>
    </w:p>
    <w:p w14:paraId="059C7D6A" w14:textId="77777777" w:rsidR="000A0CA9" w:rsidRDefault="000A0CA9" w:rsidP="00FA6E58">
      <w:pPr>
        <w:ind w:firstLine="720"/>
        <w:jc w:val="both"/>
        <w:rPr>
          <w:color w:val="17365D" w:themeColor="text2" w:themeShade="BF"/>
        </w:rPr>
      </w:pPr>
      <w:r w:rsidRPr="00E90227">
        <w:t xml:space="preserve">Dintre cei </w:t>
      </w:r>
      <w:r w:rsidR="0065464A">
        <w:t>cinci clusteri obținuți, clusterii A și E</w:t>
      </w:r>
      <w:r w:rsidRPr="00E90227">
        <w:t xml:space="preserve"> includ câte </w:t>
      </w:r>
      <w:r w:rsidR="0065464A">
        <w:t>patru</w:t>
      </w:r>
      <w:r w:rsidRPr="00E90227">
        <w:t xml:space="preserve"> state, clusterii B</w:t>
      </w:r>
      <w:r w:rsidR="0065464A">
        <w:t xml:space="preserve"> și C</w:t>
      </w:r>
      <w:r w:rsidRPr="00E90227">
        <w:t xml:space="preserve"> inc</w:t>
      </w:r>
      <w:r w:rsidR="0065464A">
        <w:t>lud</w:t>
      </w:r>
      <w:r w:rsidRPr="00E90227">
        <w:t xml:space="preserve"> câte </w:t>
      </w:r>
      <w:r w:rsidR="0065464A">
        <w:t>șase state, iar clusterul D</w:t>
      </w:r>
      <w:r w:rsidRPr="00E90227">
        <w:t xml:space="preserve"> este format din </w:t>
      </w:r>
      <w:r w:rsidR="0065464A">
        <w:t>trei</w:t>
      </w:r>
      <w:r w:rsidRPr="00E90227">
        <w:t xml:space="preserve"> state</w:t>
      </w:r>
      <w:r w:rsidRPr="000373B3">
        <w:rPr>
          <w:color w:val="17365D" w:themeColor="text2" w:themeShade="BF"/>
        </w:rPr>
        <w:t xml:space="preserve">. </w:t>
      </w:r>
    </w:p>
    <w:p w14:paraId="5F83ECD9" w14:textId="77777777" w:rsidR="00E90227" w:rsidRPr="000373B3" w:rsidRDefault="00E90227" w:rsidP="00FA6E58">
      <w:pPr>
        <w:ind w:firstLine="720"/>
        <w:jc w:val="both"/>
        <w:rPr>
          <w:color w:val="17365D" w:themeColor="text2" w:themeShade="BF"/>
        </w:rPr>
      </w:pPr>
    </w:p>
    <w:p w14:paraId="63223A84" w14:textId="77777777" w:rsidR="000A0CA9" w:rsidRPr="00E90227" w:rsidRDefault="000A0CA9" w:rsidP="00FA6E58">
      <w:pPr>
        <w:ind w:firstLine="720"/>
        <w:jc w:val="both"/>
      </w:pPr>
      <w:r w:rsidRPr="00E90227">
        <w:rPr>
          <w:b/>
        </w:rPr>
        <w:t xml:space="preserve">Tabelul </w:t>
      </w:r>
      <w:r w:rsidR="00E90227" w:rsidRPr="00E90227">
        <w:rPr>
          <w:b/>
        </w:rPr>
        <w:t>3</w:t>
      </w:r>
      <w:r w:rsidRPr="00E90227">
        <w:t xml:space="preserve"> </w:t>
      </w:r>
      <w:r w:rsidRPr="00E90227">
        <w:rPr>
          <w:i/>
        </w:rPr>
        <w:t>Structurarea statelor analizate pe clusteri în funcție de criteriile utilizate</w:t>
      </w:r>
    </w:p>
    <w:tbl>
      <w:tblPr>
        <w:tblStyle w:val="TableGrid"/>
        <w:tblW w:w="0" w:type="auto"/>
        <w:jc w:val="center"/>
        <w:tblLook w:val="04A0" w:firstRow="1" w:lastRow="0" w:firstColumn="1" w:lastColumn="0" w:noHBand="0" w:noVBand="1"/>
      </w:tblPr>
      <w:tblGrid>
        <w:gridCol w:w="905"/>
        <w:gridCol w:w="5395"/>
      </w:tblGrid>
      <w:tr w:rsidR="00E90227" w:rsidRPr="00E90227" w14:paraId="70234722" w14:textId="77777777" w:rsidTr="00E90227">
        <w:trPr>
          <w:jc w:val="center"/>
        </w:trPr>
        <w:tc>
          <w:tcPr>
            <w:tcW w:w="0" w:type="auto"/>
            <w:vAlign w:val="center"/>
          </w:tcPr>
          <w:p w14:paraId="332BB332" w14:textId="77777777" w:rsidR="000A0CA9" w:rsidRPr="00E90227" w:rsidRDefault="000A0CA9" w:rsidP="00E90227">
            <w:pPr>
              <w:jc w:val="center"/>
              <w:rPr>
                <w:b/>
                <w:sz w:val="20"/>
                <w:szCs w:val="20"/>
              </w:rPr>
            </w:pPr>
            <w:r w:rsidRPr="00E90227">
              <w:rPr>
                <w:b/>
                <w:sz w:val="20"/>
                <w:szCs w:val="20"/>
              </w:rPr>
              <w:t>Clusteri</w:t>
            </w:r>
          </w:p>
        </w:tc>
        <w:tc>
          <w:tcPr>
            <w:tcW w:w="5395" w:type="dxa"/>
            <w:vAlign w:val="center"/>
          </w:tcPr>
          <w:p w14:paraId="2E864574" w14:textId="77777777" w:rsidR="000A0CA9" w:rsidRPr="00E90227" w:rsidRDefault="000A0CA9" w:rsidP="00E90227">
            <w:pPr>
              <w:jc w:val="center"/>
              <w:rPr>
                <w:b/>
                <w:sz w:val="20"/>
                <w:szCs w:val="20"/>
              </w:rPr>
            </w:pPr>
            <w:r w:rsidRPr="00E90227">
              <w:rPr>
                <w:b/>
                <w:sz w:val="20"/>
                <w:szCs w:val="20"/>
              </w:rPr>
              <w:t>Componența clusterilor</w:t>
            </w:r>
          </w:p>
        </w:tc>
      </w:tr>
      <w:tr w:rsidR="00E90227" w:rsidRPr="00E90227" w14:paraId="50A264B0" w14:textId="77777777" w:rsidTr="00E90227">
        <w:trPr>
          <w:jc w:val="center"/>
        </w:trPr>
        <w:tc>
          <w:tcPr>
            <w:tcW w:w="0" w:type="auto"/>
            <w:vAlign w:val="center"/>
          </w:tcPr>
          <w:p w14:paraId="146CD4F2" w14:textId="77777777" w:rsidR="000A0CA9" w:rsidRPr="00E90227" w:rsidRDefault="000A0CA9" w:rsidP="00E90227">
            <w:pPr>
              <w:jc w:val="center"/>
              <w:rPr>
                <w:sz w:val="20"/>
                <w:szCs w:val="20"/>
              </w:rPr>
            </w:pPr>
            <w:r w:rsidRPr="00E90227">
              <w:rPr>
                <w:sz w:val="20"/>
                <w:szCs w:val="20"/>
              </w:rPr>
              <w:t>A</w:t>
            </w:r>
          </w:p>
        </w:tc>
        <w:tc>
          <w:tcPr>
            <w:tcW w:w="5395" w:type="dxa"/>
            <w:vAlign w:val="center"/>
          </w:tcPr>
          <w:p w14:paraId="2E32097A" w14:textId="77777777" w:rsidR="000A0CA9" w:rsidRPr="00E90227" w:rsidRDefault="0065464A" w:rsidP="00E90227">
            <w:pPr>
              <w:rPr>
                <w:sz w:val="20"/>
                <w:szCs w:val="20"/>
              </w:rPr>
            </w:pPr>
            <w:r>
              <w:rPr>
                <w:sz w:val="20"/>
                <w:szCs w:val="20"/>
              </w:rPr>
              <w:t>Belgium, Denmark, Finland, Sweden</w:t>
            </w:r>
          </w:p>
        </w:tc>
      </w:tr>
      <w:tr w:rsidR="00E90227" w:rsidRPr="00E90227" w14:paraId="4FE5F0B6" w14:textId="77777777" w:rsidTr="00E90227">
        <w:trPr>
          <w:jc w:val="center"/>
        </w:trPr>
        <w:tc>
          <w:tcPr>
            <w:tcW w:w="0" w:type="auto"/>
            <w:vAlign w:val="center"/>
          </w:tcPr>
          <w:p w14:paraId="00FD85D7" w14:textId="77777777" w:rsidR="000A0CA9" w:rsidRPr="00E90227" w:rsidRDefault="000A0CA9" w:rsidP="00E90227">
            <w:pPr>
              <w:jc w:val="center"/>
              <w:rPr>
                <w:sz w:val="20"/>
                <w:szCs w:val="20"/>
              </w:rPr>
            </w:pPr>
            <w:r w:rsidRPr="00E90227">
              <w:rPr>
                <w:sz w:val="20"/>
                <w:szCs w:val="20"/>
              </w:rPr>
              <w:t>B</w:t>
            </w:r>
          </w:p>
        </w:tc>
        <w:tc>
          <w:tcPr>
            <w:tcW w:w="5395" w:type="dxa"/>
            <w:vAlign w:val="center"/>
          </w:tcPr>
          <w:p w14:paraId="19042AAD" w14:textId="36986AB0" w:rsidR="000A0CA9" w:rsidRPr="00E90227" w:rsidRDefault="000A0CA9" w:rsidP="00E90227">
            <w:pPr>
              <w:rPr>
                <w:sz w:val="20"/>
                <w:szCs w:val="20"/>
              </w:rPr>
            </w:pPr>
            <w:r w:rsidRPr="00E90227">
              <w:rPr>
                <w:sz w:val="20"/>
                <w:szCs w:val="20"/>
              </w:rPr>
              <w:t xml:space="preserve">Bulgaria, </w:t>
            </w:r>
            <w:r w:rsidR="0065464A">
              <w:rPr>
                <w:sz w:val="20"/>
                <w:szCs w:val="20"/>
              </w:rPr>
              <w:t>Italy, Hungary, Malta, Rom</w:t>
            </w:r>
            <w:r w:rsidR="00C023DB">
              <w:rPr>
                <w:sz w:val="20"/>
                <w:szCs w:val="20"/>
              </w:rPr>
              <w:t>a</w:t>
            </w:r>
            <w:r w:rsidR="0065464A">
              <w:rPr>
                <w:sz w:val="20"/>
                <w:szCs w:val="20"/>
              </w:rPr>
              <w:t>nia, Slovak</w:t>
            </w:r>
            <w:r w:rsidRPr="00E90227">
              <w:rPr>
                <w:sz w:val="20"/>
                <w:szCs w:val="20"/>
              </w:rPr>
              <w:t>ia</w:t>
            </w:r>
          </w:p>
        </w:tc>
      </w:tr>
      <w:tr w:rsidR="00E90227" w:rsidRPr="00E90227" w14:paraId="0557B470" w14:textId="77777777" w:rsidTr="00E90227">
        <w:trPr>
          <w:jc w:val="center"/>
        </w:trPr>
        <w:tc>
          <w:tcPr>
            <w:tcW w:w="0" w:type="auto"/>
            <w:vAlign w:val="center"/>
          </w:tcPr>
          <w:p w14:paraId="43504E7F" w14:textId="77777777" w:rsidR="000A0CA9" w:rsidRPr="00E90227" w:rsidRDefault="000A0CA9" w:rsidP="00E90227">
            <w:pPr>
              <w:jc w:val="center"/>
              <w:rPr>
                <w:sz w:val="20"/>
                <w:szCs w:val="20"/>
              </w:rPr>
            </w:pPr>
            <w:r w:rsidRPr="00E90227">
              <w:rPr>
                <w:sz w:val="20"/>
                <w:szCs w:val="20"/>
              </w:rPr>
              <w:t>C</w:t>
            </w:r>
          </w:p>
        </w:tc>
        <w:tc>
          <w:tcPr>
            <w:tcW w:w="5395" w:type="dxa"/>
            <w:vAlign w:val="center"/>
          </w:tcPr>
          <w:p w14:paraId="7AE02E28" w14:textId="61599B75" w:rsidR="000A0CA9" w:rsidRPr="00E90227" w:rsidRDefault="000A0CA9" w:rsidP="00E90227">
            <w:pPr>
              <w:rPr>
                <w:sz w:val="20"/>
                <w:szCs w:val="20"/>
              </w:rPr>
            </w:pPr>
            <w:r w:rsidRPr="00E90227">
              <w:rPr>
                <w:sz w:val="20"/>
                <w:szCs w:val="20"/>
              </w:rPr>
              <w:t>German</w:t>
            </w:r>
            <w:r w:rsidR="00C023DB">
              <w:rPr>
                <w:sz w:val="20"/>
                <w:szCs w:val="20"/>
              </w:rPr>
              <w:t>y</w:t>
            </w:r>
            <w:r w:rsidRPr="00E90227">
              <w:rPr>
                <w:sz w:val="20"/>
                <w:szCs w:val="20"/>
              </w:rPr>
              <w:t>, Austria</w:t>
            </w:r>
            <w:r w:rsidR="0065464A">
              <w:rPr>
                <w:sz w:val="20"/>
                <w:szCs w:val="20"/>
              </w:rPr>
              <w:t>, Spain, France, Cyprus, Netherlands</w:t>
            </w:r>
          </w:p>
        </w:tc>
      </w:tr>
      <w:tr w:rsidR="00E90227" w:rsidRPr="00E90227" w14:paraId="1E1FCC5B" w14:textId="77777777" w:rsidTr="00E90227">
        <w:trPr>
          <w:jc w:val="center"/>
        </w:trPr>
        <w:tc>
          <w:tcPr>
            <w:tcW w:w="0" w:type="auto"/>
            <w:vAlign w:val="center"/>
          </w:tcPr>
          <w:p w14:paraId="10B1E290" w14:textId="77777777" w:rsidR="000A0CA9" w:rsidRPr="00E90227" w:rsidRDefault="000A0CA9" w:rsidP="00E90227">
            <w:pPr>
              <w:jc w:val="center"/>
              <w:rPr>
                <w:sz w:val="20"/>
                <w:szCs w:val="20"/>
              </w:rPr>
            </w:pPr>
            <w:r w:rsidRPr="00E90227">
              <w:rPr>
                <w:sz w:val="20"/>
                <w:szCs w:val="20"/>
              </w:rPr>
              <w:t>D</w:t>
            </w:r>
          </w:p>
        </w:tc>
        <w:tc>
          <w:tcPr>
            <w:tcW w:w="5395" w:type="dxa"/>
            <w:vAlign w:val="center"/>
          </w:tcPr>
          <w:p w14:paraId="134D78CB" w14:textId="77777777" w:rsidR="000A0CA9" w:rsidRPr="00E90227" w:rsidRDefault="0065464A" w:rsidP="0065464A">
            <w:pPr>
              <w:rPr>
                <w:sz w:val="20"/>
                <w:szCs w:val="20"/>
              </w:rPr>
            </w:pPr>
            <w:r>
              <w:rPr>
                <w:sz w:val="20"/>
                <w:szCs w:val="20"/>
              </w:rPr>
              <w:t>Greece, Croat</w:t>
            </w:r>
            <w:r w:rsidR="000A0CA9" w:rsidRPr="00E90227">
              <w:rPr>
                <w:sz w:val="20"/>
                <w:szCs w:val="20"/>
              </w:rPr>
              <w:t xml:space="preserve">ia, </w:t>
            </w:r>
            <w:r>
              <w:rPr>
                <w:sz w:val="20"/>
                <w:szCs w:val="20"/>
              </w:rPr>
              <w:t>Poland</w:t>
            </w:r>
          </w:p>
        </w:tc>
      </w:tr>
      <w:tr w:rsidR="00E90227" w:rsidRPr="00E90227" w14:paraId="05FBB0E6" w14:textId="77777777" w:rsidTr="00E90227">
        <w:trPr>
          <w:jc w:val="center"/>
        </w:trPr>
        <w:tc>
          <w:tcPr>
            <w:tcW w:w="0" w:type="auto"/>
            <w:vAlign w:val="center"/>
          </w:tcPr>
          <w:p w14:paraId="44EF72E9" w14:textId="77777777" w:rsidR="000A0CA9" w:rsidRPr="00E90227" w:rsidRDefault="000A0CA9" w:rsidP="00E90227">
            <w:pPr>
              <w:jc w:val="center"/>
              <w:rPr>
                <w:sz w:val="20"/>
                <w:szCs w:val="20"/>
              </w:rPr>
            </w:pPr>
            <w:r w:rsidRPr="00E90227">
              <w:rPr>
                <w:sz w:val="20"/>
                <w:szCs w:val="20"/>
              </w:rPr>
              <w:t>E</w:t>
            </w:r>
          </w:p>
        </w:tc>
        <w:tc>
          <w:tcPr>
            <w:tcW w:w="5395" w:type="dxa"/>
            <w:vAlign w:val="center"/>
          </w:tcPr>
          <w:p w14:paraId="311822CC" w14:textId="7FB81800" w:rsidR="000A0CA9" w:rsidRPr="00E90227" w:rsidRDefault="0065464A" w:rsidP="00E90227">
            <w:pPr>
              <w:rPr>
                <w:sz w:val="20"/>
                <w:szCs w:val="20"/>
              </w:rPr>
            </w:pPr>
            <w:r>
              <w:rPr>
                <w:sz w:val="20"/>
                <w:szCs w:val="20"/>
              </w:rPr>
              <w:t>Latvia, Lithuania, Por</w:t>
            </w:r>
            <w:r w:rsidR="0034799C">
              <w:rPr>
                <w:sz w:val="20"/>
                <w:szCs w:val="20"/>
              </w:rPr>
              <w:t>t</w:t>
            </w:r>
            <w:r>
              <w:rPr>
                <w:sz w:val="20"/>
                <w:szCs w:val="20"/>
              </w:rPr>
              <w:t>ugal, Slovenia</w:t>
            </w:r>
          </w:p>
        </w:tc>
      </w:tr>
    </w:tbl>
    <w:p w14:paraId="23BE114B" w14:textId="77777777" w:rsidR="000A0CA9" w:rsidRPr="00E90227" w:rsidRDefault="000A0CA9" w:rsidP="00FA6E58">
      <w:pPr>
        <w:ind w:firstLine="720"/>
        <w:jc w:val="both"/>
      </w:pPr>
    </w:p>
    <w:p w14:paraId="4DAA2464" w14:textId="77777777" w:rsidR="000A0CA9" w:rsidRPr="00E90227" w:rsidRDefault="000A0CA9" w:rsidP="00FA6E58">
      <w:pPr>
        <w:ind w:firstLine="720"/>
        <w:jc w:val="both"/>
        <w:rPr>
          <w:rFonts w:eastAsia="Calibri"/>
        </w:rPr>
      </w:pPr>
      <w:r w:rsidRPr="00E90227">
        <w:t xml:space="preserve">În vederea stabilirii metodei de testare a semnificațiilor statistice ale valorilor medii înregistrate la nivelul clusterilor a fost utilizat testul Levene. Rezultatele obținute (Tabelul </w:t>
      </w:r>
      <w:r w:rsidR="00E90227" w:rsidRPr="00E90227">
        <w:t>4</w:t>
      </w:r>
      <w:r w:rsidRPr="00E90227">
        <w:t>) eviden</w:t>
      </w:r>
      <w:r w:rsidR="002B7D63">
        <w:t>țiază faptul că pentru variabilele</w:t>
      </w:r>
      <w:r w:rsidRPr="00E90227">
        <w:t xml:space="preserve"> PP</w:t>
      </w:r>
      <w:r w:rsidR="002B7D63">
        <w:t>EAP și PGDP</w:t>
      </w:r>
      <w:r w:rsidRPr="00E90227">
        <w:t xml:space="preserve"> </w:t>
      </w:r>
      <w:r w:rsidR="002B7D63" w:rsidRPr="00E90227">
        <w:rPr>
          <w:rFonts w:eastAsia="Calibri"/>
          <w:position w:val="-10"/>
        </w:rPr>
        <w:object w:dxaOrig="1660" w:dyaOrig="320" w14:anchorId="573488FC">
          <v:shape id="_x0000_i1032" type="#_x0000_t75" style="width:78pt;height:15pt" o:ole="">
            <v:imagedata r:id="rId26" o:title=""/>
          </v:shape>
          <o:OLEObject Type="Embed" ProgID="Equation.3" ShapeID="_x0000_i1032" DrawAspect="Content" ObjectID="_1739124280" r:id="rId27"/>
        </w:object>
      </w:r>
      <w:r w:rsidRPr="00E90227">
        <w:rPr>
          <w:rFonts w:eastAsia="Calibri"/>
        </w:rPr>
        <w:t xml:space="preserve">ceea </w:t>
      </w:r>
      <w:proofErr w:type="gramStart"/>
      <w:r w:rsidRPr="00E90227">
        <w:rPr>
          <w:rFonts w:eastAsia="Calibri"/>
        </w:rPr>
        <w:t>ce</w:t>
      </w:r>
      <w:proofErr w:type="gramEnd"/>
      <w:r w:rsidRPr="00E90227">
        <w:rPr>
          <w:rFonts w:eastAsia="Calibri"/>
        </w:rPr>
        <w:t xml:space="preserve"> conduce la respingerea ipotezei nule H</w:t>
      </w:r>
      <w:r w:rsidRPr="00E90227">
        <w:rPr>
          <w:rFonts w:eastAsia="Calibri"/>
          <w:vertAlign w:val="subscript"/>
        </w:rPr>
        <w:t>0_1</w:t>
      </w:r>
      <w:r w:rsidRPr="00E90227">
        <w:rPr>
          <w:rFonts w:eastAsia="Calibri"/>
        </w:rPr>
        <w:t xml:space="preserve"> și, în consecință, pentru testarea semnificațiilor statistice ale mediilor clusterilor nu se poate aplica metodologia ANOVA.  </w:t>
      </w:r>
    </w:p>
    <w:p w14:paraId="1342E85F" w14:textId="77777777" w:rsidR="00E90227" w:rsidRDefault="00E90227" w:rsidP="00FA6E58">
      <w:pPr>
        <w:ind w:firstLine="720"/>
        <w:jc w:val="both"/>
      </w:pPr>
    </w:p>
    <w:p w14:paraId="16762DFE" w14:textId="77777777" w:rsidR="005704B8" w:rsidRDefault="005704B8" w:rsidP="00FA6E58">
      <w:pPr>
        <w:ind w:firstLine="720"/>
        <w:jc w:val="both"/>
      </w:pPr>
    </w:p>
    <w:p w14:paraId="4ECF34A7" w14:textId="77777777" w:rsidR="005704B8" w:rsidRDefault="005704B8" w:rsidP="00FA6E58">
      <w:pPr>
        <w:ind w:firstLine="720"/>
        <w:jc w:val="both"/>
      </w:pPr>
    </w:p>
    <w:p w14:paraId="7E23BA2A" w14:textId="77777777" w:rsidR="005704B8" w:rsidRDefault="005704B8" w:rsidP="00FA6E58">
      <w:pPr>
        <w:ind w:firstLine="720"/>
        <w:jc w:val="both"/>
      </w:pPr>
    </w:p>
    <w:p w14:paraId="3BA9D2BF" w14:textId="77777777" w:rsidR="005704B8" w:rsidRDefault="005704B8" w:rsidP="00FA6E58">
      <w:pPr>
        <w:ind w:firstLine="720"/>
        <w:jc w:val="both"/>
      </w:pPr>
    </w:p>
    <w:p w14:paraId="7D06BC07" w14:textId="77777777" w:rsidR="005704B8" w:rsidRPr="00E90227" w:rsidRDefault="005704B8" w:rsidP="00FA6E58">
      <w:pPr>
        <w:ind w:firstLine="720"/>
        <w:jc w:val="both"/>
      </w:pPr>
    </w:p>
    <w:p w14:paraId="08D94867" w14:textId="77777777" w:rsidR="000A0CA9" w:rsidRPr="00E90227" w:rsidRDefault="000A0CA9" w:rsidP="00E90227">
      <w:pPr>
        <w:ind w:firstLine="720"/>
        <w:jc w:val="center"/>
      </w:pPr>
      <w:r w:rsidRPr="00E90227">
        <w:rPr>
          <w:b/>
        </w:rPr>
        <w:lastRenderedPageBreak/>
        <w:t xml:space="preserve">Tabelul </w:t>
      </w:r>
      <w:r w:rsidR="00E90227" w:rsidRPr="00E90227">
        <w:rPr>
          <w:b/>
        </w:rPr>
        <w:t>4</w:t>
      </w:r>
      <w:r w:rsidR="00E90227">
        <w:rPr>
          <w:b/>
        </w:rPr>
        <w:t xml:space="preserve"> </w:t>
      </w:r>
      <w:r w:rsidRPr="00E90227">
        <w:rPr>
          <w:i/>
        </w:rPr>
        <w:t>Testarea omogenității dispersiilor seriilor de date</w:t>
      </w:r>
    </w:p>
    <w:tbl>
      <w:tblPr>
        <w:tblW w:w="6440" w:type="dxa"/>
        <w:jc w:val="center"/>
        <w:tblLook w:val="04A0" w:firstRow="1" w:lastRow="0" w:firstColumn="1" w:lastColumn="0" w:noHBand="0" w:noVBand="1"/>
      </w:tblPr>
      <w:tblGrid>
        <w:gridCol w:w="1080"/>
        <w:gridCol w:w="1840"/>
        <w:gridCol w:w="1360"/>
        <w:gridCol w:w="1080"/>
        <w:gridCol w:w="1080"/>
      </w:tblGrid>
      <w:tr w:rsidR="00E90227" w:rsidRPr="00E90227" w14:paraId="03B871C8" w14:textId="77777777" w:rsidTr="00E90227">
        <w:trPr>
          <w:trHeight w:val="300"/>
          <w:jc w:val="center"/>
        </w:trPr>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2BB3A43" w14:textId="77777777" w:rsidR="000A0CA9" w:rsidRPr="00E90227" w:rsidRDefault="00E90227" w:rsidP="00E90227">
            <w:pPr>
              <w:jc w:val="both"/>
              <w:rPr>
                <w:b/>
                <w:sz w:val="20"/>
                <w:szCs w:val="20"/>
              </w:rPr>
            </w:pPr>
            <w:r w:rsidRPr="00E90227">
              <w:rPr>
                <w:b/>
                <w:sz w:val="20"/>
                <w:szCs w:val="20"/>
              </w:rPr>
              <w:t>Variables</w:t>
            </w:r>
          </w:p>
        </w:tc>
        <w:tc>
          <w:tcPr>
            <w:tcW w:w="1840" w:type="dxa"/>
            <w:tcBorders>
              <w:top w:val="single" w:sz="12" w:space="0" w:color="000000"/>
              <w:left w:val="nil"/>
              <w:bottom w:val="single" w:sz="12" w:space="0" w:color="000000"/>
              <w:right w:val="single" w:sz="4" w:space="0" w:color="000000"/>
            </w:tcBorders>
            <w:shd w:val="clear" w:color="auto" w:fill="auto"/>
            <w:vAlign w:val="center"/>
            <w:hideMark/>
          </w:tcPr>
          <w:p w14:paraId="33B6E193" w14:textId="77777777" w:rsidR="000A0CA9" w:rsidRPr="00E90227" w:rsidRDefault="000A0CA9" w:rsidP="00E90227">
            <w:pPr>
              <w:jc w:val="center"/>
              <w:rPr>
                <w:b/>
                <w:sz w:val="20"/>
                <w:szCs w:val="20"/>
              </w:rPr>
            </w:pPr>
            <w:r w:rsidRPr="00E90227">
              <w:rPr>
                <w:b/>
                <w:sz w:val="20"/>
                <w:szCs w:val="20"/>
              </w:rPr>
              <w:t>Levene Statistic</w:t>
            </w:r>
          </w:p>
        </w:tc>
        <w:tc>
          <w:tcPr>
            <w:tcW w:w="1360" w:type="dxa"/>
            <w:tcBorders>
              <w:top w:val="single" w:sz="12" w:space="0" w:color="000000"/>
              <w:left w:val="nil"/>
              <w:bottom w:val="single" w:sz="12" w:space="0" w:color="000000"/>
              <w:right w:val="single" w:sz="4" w:space="0" w:color="000000"/>
            </w:tcBorders>
            <w:shd w:val="clear" w:color="auto" w:fill="auto"/>
            <w:vAlign w:val="center"/>
            <w:hideMark/>
          </w:tcPr>
          <w:p w14:paraId="09F897F3" w14:textId="77777777" w:rsidR="000A0CA9" w:rsidRPr="00E90227" w:rsidRDefault="000A0CA9" w:rsidP="00E90227">
            <w:pPr>
              <w:jc w:val="center"/>
              <w:rPr>
                <w:b/>
                <w:sz w:val="20"/>
                <w:szCs w:val="20"/>
              </w:rPr>
            </w:pPr>
            <w:r w:rsidRPr="00E90227">
              <w:rPr>
                <w:b/>
                <w:sz w:val="20"/>
                <w:szCs w:val="20"/>
              </w:rPr>
              <w:t>df1</w:t>
            </w:r>
          </w:p>
        </w:tc>
        <w:tc>
          <w:tcPr>
            <w:tcW w:w="1080" w:type="dxa"/>
            <w:tcBorders>
              <w:top w:val="single" w:sz="12" w:space="0" w:color="000000"/>
              <w:left w:val="nil"/>
              <w:bottom w:val="single" w:sz="12" w:space="0" w:color="000000"/>
              <w:right w:val="single" w:sz="4" w:space="0" w:color="000000"/>
            </w:tcBorders>
            <w:shd w:val="clear" w:color="auto" w:fill="auto"/>
            <w:vAlign w:val="center"/>
            <w:hideMark/>
          </w:tcPr>
          <w:p w14:paraId="20EA0D10" w14:textId="77777777" w:rsidR="000A0CA9" w:rsidRPr="00E90227" w:rsidRDefault="000A0CA9" w:rsidP="00E90227">
            <w:pPr>
              <w:jc w:val="center"/>
              <w:rPr>
                <w:b/>
                <w:sz w:val="20"/>
                <w:szCs w:val="20"/>
              </w:rPr>
            </w:pPr>
            <w:r w:rsidRPr="00E90227">
              <w:rPr>
                <w:b/>
                <w:sz w:val="20"/>
                <w:szCs w:val="20"/>
              </w:rPr>
              <w:t>df2</w:t>
            </w:r>
          </w:p>
        </w:tc>
        <w:tc>
          <w:tcPr>
            <w:tcW w:w="1080" w:type="dxa"/>
            <w:tcBorders>
              <w:top w:val="single" w:sz="12" w:space="0" w:color="000000"/>
              <w:left w:val="nil"/>
              <w:bottom w:val="single" w:sz="12" w:space="0" w:color="000000"/>
              <w:right w:val="single" w:sz="12" w:space="0" w:color="000000"/>
            </w:tcBorders>
            <w:shd w:val="clear" w:color="auto" w:fill="auto"/>
            <w:vAlign w:val="center"/>
            <w:hideMark/>
          </w:tcPr>
          <w:p w14:paraId="4E03D2BD" w14:textId="77777777" w:rsidR="000A0CA9" w:rsidRPr="00E90227" w:rsidRDefault="000A0CA9" w:rsidP="00E90227">
            <w:pPr>
              <w:jc w:val="center"/>
              <w:rPr>
                <w:b/>
                <w:sz w:val="20"/>
                <w:szCs w:val="20"/>
              </w:rPr>
            </w:pPr>
            <w:r w:rsidRPr="00E90227">
              <w:rPr>
                <w:b/>
                <w:sz w:val="20"/>
                <w:szCs w:val="20"/>
              </w:rPr>
              <w:t>Sig.</w:t>
            </w:r>
          </w:p>
        </w:tc>
      </w:tr>
      <w:tr w:rsidR="00F33D9B" w:rsidRPr="00E90227" w14:paraId="2F835104" w14:textId="77777777" w:rsidTr="00E90227">
        <w:trPr>
          <w:trHeight w:val="300"/>
          <w:jc w:val="center"/>
        </w:trPr>
        <w:tc>
          <w:tcPr>
            <w:tcW w:w="1080" w:type="dxa"/>
            <w:tcBorders>
              <w:top w:val="nil"/>
              <w:left w:val="single" w:sz="12" w:space="0" w:color="000000"/>
              <w:bottom w:val="nil"/>
              <w:right w:val="single" w:sz="12" w:space="0" w:color="000000"/>
            </w:tcBorders>
            <w:shd w:val="clear" w:color="auto" w:fill="auto"/>
            <w:vAlign w:val="center"/>
            <w:hideMark/>
          </w:tcPr>
          <w:p w14:paraId="55F1C651" w14:textId="77777777" w:rsidR="00F33D9B" w:rsidRPr="00E90227" w:rsidRDefault="00F33D9B" w:rsidP="00E90227">
            <w:pPr>
              <w:jc w:val="both"/>
              <w:rPr>
                <w:sz w:val="20"/>
                <w:szCs w:val="20"/>
              </w:rPr>
            </w:pPr>
            <w:r w:rsidRPr="00E90227">
              <w:rPr>
                <w:sz w:val="20"/>
                <w:szCs w:val="20"/>
              </w:rPr>
              <w:t>P0CEP</w:t>
            </w:r>
          </w:p>
        </w:tc>
        <w:tc>
          <w:tcPr>
            <w:tcW w:w="1840" w:type="dxa"/>
            <w:tcBorders>
              <w:top w:val="nil"/>
              <w:left w:val="nil"/>
              <w:bottom w:val="nil"/>
              <w:right w:val="single" w:sz="4" w:space="0" w:color="000000"/>
            </w:tcBorders>
            <w:shd w:val="clear" w:color="auto" w:fill="auto"/>
            <w:noWrap/>
            <w:vAlign w:val="center"/>
            <w:hideMark/>
          </w:tcPr>
          <w:p w14:paraId="37520843" w14:textId="77777777" w:rsidR="00F33D9B" w:rsidRPr="003B7111" w:rsidRDefault="00F33D9B" w:rsidP="00F33D9B">
            <w:pPr>
              <w:jc w:val="center"/>
              <w:rPr>
                <w:color w:val="000000"/>
                <w:sz w:val="20"/>
                <w:szCs w:val="20"/>
              </w:rPr>
            </w:pPr>
            <w:r w:rsidRPr="003B7111">
              <w:rPr>
                <w:color w:val="000000"/>
                <w:sz w:val="20"/>
                <w:szCs w:val="20"/>
              </w:rPr>
              <w:t>2.179</w:t>
            </w:r>
          </w:p>
        </w:tc>
        <w:tc>
          <w:tcPr>
            <w:tcW w:w="1360" w:type="dxa"/>
            <w:tcBorders>
              <w:top w:val="nil"/>
              <w:left w:val="nil"/>
              <w:bottom w:val="nil"/>
              <w:right w:val="single" w:sz="4" w:space="0" w:color="000000"/>
            </w:tcBorders>
            <w:shd w:val="clear" w:color="auto" w:fill="auto"/>
            <w:noWrap/>
            <w:vAlign w:val="center"/>
            <w:hideMark/>
          </w:tcPr>
          <w:p w14:paraId="6113CF53"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nil"/>
              <w:left w:val="nil"/>
              <w:bottom w:val="nil"/>
              <w:right w:val="single" w:sz="4" w:space="0" w:color="000000"/>
            </w:tcBorders>
            <w:shd w:val="clear" w:color="auto" w:fill="auto"/>
            <w:noWrap/>
            <w:vAlign w:val="center"/>
            <w:hideMark/>
          </w:tcPr>
          <w:p w14:paraId="50058CF3" w14:textId="77777777" w:rsidR="00F33D9B" w:rsidRPr="003B7111" w:rsidRDefault="00F33D9B" w:rsidP="00F33D9B">
            <w:pPr>
              <w:jc w:val="center"/>
              <w:rPr>
                <w:color w:val="000000"/>
                <w:sz w:val="20"/>
                <w:szCs w:val="20"/>
              </w:rPr>
            </w:pPr>
            <w:r w:rsidRPr="003B7111">
              <w:rPr>
                <w:color w:val="000000"/>
                <w:sz w:val="20"/>
                <w:szCs w:val="20"/>
              </w:rPr>
              <w:t>18</w:t>
            </w:r>
          </w:p>
        </w:tc>
        <w:tc>
          <w:tcPr>
            <w:tcW w:w="1080" w:type="dxa"/>
            <w:tcBorders>
              <w:top w:val="nil"/>
              <w:left w:val="nil"/>
              <w:bottom w:val="nil"/>
              <w:right w:val="single" w:sz="12" w:space="0" w:color="000000"/>
            </w:tcBorders>
            <w:shd w:val="clear" w:color="auto" w:fill="auto"/>
            <w:noWrap/>
            <w:vAlign w:val="center"/>
            <w:hideMark/>
          </w:tcPr>
          <w:p w14:paraId="7FFD3265" w14:textId="77777777" w:rsidR="00F33D9B" w:rsidRPr="003B7111" w:rsidRDefault="00F33D9B" w:rsidP="00F33D9B">
            <w:pPr>
              <w:jc w:val="center"/>
              <w:rPr>
                <w:color w:val="000000"/>
                <w:sz w:val="20"/>
                <w:szCs w:val="20"/>
              </w:rPr>
            </w:pPr>
            <w:r w:rsidRPr="003B7111">
              <w:rPr>
                <w:color w:val="000000"/>
                <w:sz w:val="20"/>
                <w:szCs w:val="20"/>
              </w:rPr>
              <w:t>0.113</w:t>
            </w:r>
          </w:p>
        </w:tc>
      </w:tr>
      <w:tr w:rsidR="00F33D9B" w:rsidRPr="00E90227" w14:paraId="6F5A68EA" w14:textId="77777777" w:rsidTr="00E90227">
        <w:trPr>
          <w:trHeight w:val="300"/>
          <w:jc w:val="center"/>
        </w:trPr>
        <w:tc>
          <w:tcPr>
            <w:tcW w:w="1080" w:type="dxa"/>
            <w:tcBorders>
              <w:top w:val="nil"/>
              <w:left w:val="single" w:sz="12" w:space="0" w:color="000000"/>
              <w:bottom w:val="nil"/>
              <w:right w:val="single" w:sz="12" w:space="0" w:color="000000"/>
            </w:tcBorders>
            <w:shd w:val="clear" w:color="auto" w:fill="auto"/>
            <w:vAlign w:val="center"/>
            <w:hideMark/>
          </w:tcPr>
          <w:p w14:paraId="5BC7D7E6" w14:textId="77777777" w:rsidR="00F33D9B" w:rsidRPr="00E90227" w:rsidRDefault="00F33D9B" w:rsidP="00E90227">
            <w:pPr>
              <w:jc w:val="both"/>
              <w:rPr>
                <w:sz w:val="20"/>
                <w:szCs w:val="20"/>
              </w:rPr>
            </w:pPr>
            <w:r w:rsidRPr="00E90227">
              <w:rPr>
                <w:sz w:val="20"/>
                <w:szCs w:val="20"/>
              </w:rPr>
              <w:t>PPTE</w:t>
            </w:r>
          </w:p>
        </w:tc>
        <w:tc>
          <w:tcPr>
            <w:tcW w:w="1840" w:type="dxa"/>
            <w:tcBorders>
              <w:top w:val="nil"/>
              <w:left w:val="nil"/>
              <w:bottom w:val="nil"/>
              <w:right w:val="single" w:sz="4" w:space="0" w:color="000000"/>
            </w:tcBorders>
            <w:shd w:val="clear" w:color="auto" w:fill="auto"/>
            <w:noWrap/>
            <w:vAlign w:val="center"/>
            <w:hideMark/>
          </w:tcPr>
          <w:p w14:paraId="1CB27D68" w14:textId="77777777" w:rsidR="00F33D9B" w:rsidRPr="003B7111" w:rsidRDefault="00F33D9B" w:rsidP="00F33D9B">
            <w:pPr>
              <w:jc w:val="center"/>
              <w:rPr>
                <w:color w:val="000000"/>
                <w:sz w:val="20"/>
                <w:szCs w:val="20"/>
              </w:rPr>
            </w:pPr>
            <w:r w:rsidRPr="003B7111">
              <w:rPr>
                <w:color w:val="000000"/>
                <w:sz w:val="20"/>
                <w:szCs w:val="20"/>
              </w:rPr>
              <w:t>2.332</w:t>
            </w:r>
          </w:p>
        </w:tc>
        <w:tc>
          <w:tcPr>
            <w:tcW w:w="1360" w:type="dxa"/>
            <w:tcBorders>
              <w:top w:val="nil"/>
              <w:left w:val="nil"/>
              <w:bottom w:val="nil"/>
              <w:right w:val="single" w:sz="4" w:space="0" w:color="000000"/>
            </w:tcBorders>
            <w:shd w:val="clear" w:color="auto" w:fill="auto"/>
            <w:noWrap/>
            <w:vAlign w:val="center"/>
            <w:hideMark/>
          </w:tcPr>
          <w:p w14:paraId="0681B303"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nil"/>
              <w:left w:val="nil"/>
              <w:bottom w:val="nil"/>
              <w:right w:val="single" w:sz="4" w:space="0" w:color="000000"/>
            </w:tcBorders>
            <w:shd w:val="clear" w:color="auto" w:fill="auto"/>
            <w:noWrap/>
            <w:vAlign w:val="center"/>
            <w:hideMark/>
          </w:tcPr>
          <w:p w14:paraId="38BD1E5B" w14:textId="77777777" w:rsidR="00F33D9B" w:rsidRPr="003B7111" w:rsidRDefault="00F33D9B" w:rsidP="00F33D9B">
            <w:pPr>
              <w:jc w:val="center"/>
              <w:rPr>
                <w:color w:val="000000"/>
                <w:sz w:val="20"/>
                <w:szCs w:val="20"/>
              </w:rPr>
            </w:pPr>
            <w:r w:rsidRPr="003B7111">
              <w:rPr>
                <w:color w:val="000000"/>
                <w:sz w:val="20"/>
                <w:szCs w:val="20"/>
              </w:rPr>
              <w:t>18</w:t>
            </w:r>
          </w:p>
        </w:tc>
        <w:tc>
          <w:tcPr>
            <w:tcW w:w="1080" w:type="dxa"/>
            <w:tcBorders>
              <w:top w:val="nil"/>
              <w:left w:val="nil"/>
              <w:bottom w:val="nil"/>
              <w:right w:val="single" w:sz="12" w:space="0" w:color="000000"/>
            </w:tcBorders>
            <w:shd w:val="clear" w:color="auto" w:fill="auto"/>
            <w:noWrap/>
            <w:vAlign w:val="center"/>
            <w:hideMark/>
          </w:tcPr>
          <w:p w14:paraId="4A425F9A" w14:textId="77777777" w:rsidR="00F33D9B" w:rsidRPr="003B7111" w:rsidRDefault="00F33D9B" w:rsidP="00F33D9B">
            <w:pPr>
              <w:jc w:val="center"/>
              <w:rPr>
                <w:color w:val="000000"/>
                <w:sz w:val="20"/>
                <w:szCs w:val="20"/>
              </w:rPr>
            </w:pPr>
            <w:r w:rsidRPr="003B7111">
              <w:rPr>
                <w:color w:val="000000"/>
                <w:sz w:val="20"/>
                <w:szCs w:val="20"/>
              </w:rPr>
              <w:t>0.095</w:t>
            </w:r>
          </w:p>
        </w:tc>
      </w:tr>
      <w:tr w:rsidR="00F33D9B" w:rsidRPr="00E90227" w14:paraId="5A22B34D" w14:textId="77777777" w:rsidTr="00E90227">
        <w:trPr>
          <w:trHeight w:val="300"/>
          <w:jc w:val="center"/>
        </w:trPr>
        <w:tc>
          <w:tcPr>
            <w:tcW w:w="1080" w:type="dxa"/>
            <w:tcBorders>
              <w:top w:val="nil"/>
              <w:left w:val="single" w:sz="12" w:space="0" w:color="000000"/>
              <w:bottom w:val="nil"/>
              <w:right w:val="single" w:sz="12" w:space="0" w:color="000000"/>
            </w:tcBorders>
            <w:shd w:val="clear" w:color="auto" w:fill="auto"/>
            <w:vAlign w:val="center"/>
            <w:hideMark/>
          </w:tcPr>
          <w:p w14:paraId="7A77CE44" w14:textId="77777777" w:rsidR="00F33D9B" w:rsidRPr="00E90227" w:rsidRDefault="00F33D9B" w:rsidP="00E90227">
            <w:pPr>
              <w:jc w:val="both"/>
              <w:rPr>
                <w:sz w:val="20"/>
                <w:szCs w:val="20"/>
              </w:rPr>
            </w:pPr>
            <w:r w:rsidRPr="00E90227">
              <w:rPr>
                <w:sz w:val="20"/>
                <w:szCs w:val="20"/>
              </w:rPr>
              <w:t>PPATS</w:t>
            </w:r>
          </w:p>
        </w:tc>
        <w:tc>
          <w:tcPr>
            <w:tcW w:w="1840" w:type="dxa"/>
            <w:tcBorders>
              <w:top w:val="nil"/>
              <w:left w:val="nil"/>
              <w:bottom w:val="nil"/>
              <w:right w:val="single" w:sz="4" w:space="0" w:color="000000"/>
            </w:tcBorders>
            <w:shd w:val="clear" w:color="auto" w:fill="auto"/>
            <w:noWrap/>
            <w:vAlign w:val="center"/>
            <w:hideMark/>
          </w:tcPr>
          <w:p w14:paraId="6131113E" w14:textId="77777777" w:rsidR="00F33D9B" w:rsidRPr="003B7111" w:rsidRDefault="00F33D9B" w:rsidP="00F33D9B">
            <w:pPr>
              <w:jc w:val="center"/>
              <w:rPr>
                <w:color w:val="000000"/>
                <w:sz w:val="20"/>
                <w:szCs w:val="20"/>
              </w:rPr>
            </w:pPr>
            <w:r w:rsidRPr="003B7111">
              <w:rPr>
                <w:color w:val="000000"/>
                <w:sz w:val="20"/>
                <w:szCs w:val="20"/>
              </w:rPr>
              <w:t>1.094</w:t>
            </w:r>
          </w:p>
        </w:tc>
        <w:tc>
          <w:tcPr>
            <w:tcW w:w="1360" w:type="dxa"/>
            <w:tcBorders>
              <w:top w:val="nil"/>
              <w:left w:val="nil"/>
              <w:bottom w:val="nil"/>
              <w:right w:val="single" w:sz="4" w:space="0" w:color="000000"/>
            </w:tcBorders>
            <w:shd w:val="clear" w:color="auto" w:fill="auto"/>
            <w:noWrap/>
            <w:vAlign w:val="center"/>
            <w:hideMark/>
          </w:tcPr>
          <w:p w14:paraId="326F722F"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nil"/>
              <w:left w:val="nil"/>
              <w:bottom w:val="nil"/>
              <w:right w:val="single" w:sz="4" w:space="0" w:color="000000"/>
            </w:tcBorders>
            <w:shd w:val="clear" w:color="auto" w:fill="auto"/>
            <w:noWrap/>
            <w:vAlign w:val="center"/>
            <w:hideMark/>
          </w:tcPr>
          <w:p w14:paraId="787C35CF" w14:textId="77777777" w:rsidR="00F33D9B" w:rsidRPr="003B7111" w:rsidRDefault="00F33D9B" w:rsidP="00F33D9B">
            <w:pPr>
              <w:jc w:val="center"/>
              <w:rPr>
                <w:color w:val="000000"/>
                <w:sz w:val="20"/>
                <w:szCs w:val="20"/>
              </w:rPr>
            </w:pPr>
            <w:r w:rsidRPr="003B7111">
              <w:rPr>
                <w:color w:val="000000"/>
                <w:sz w:val="20"/>
                <w:szCs w:val="20"/>
              </w:rPr>
              <w:t>18</w:t>
            </w:r>
          </w:p>
        </w:tc>
        <w:tc>
          <w:tcPr>
            <w:tcW w:w="1080" w:type="dxa"/>
            <w:tcBorders>
              <w:top w:val="nil"/>
              <w:left w:val="nil"/>
              <w:bottom w:val="nil"/>
              <w:right w:val="single" w:sz="12" w:space="0" w:color="000000"/>
            </w:tcBorders>
            <w:shd w:val="clear" w:color="auto" w:fill="auto"/>
            <w:noWrap/>
            <w:vAlign w:val="center"/>
            <w:hideMark/>
          </w:tcPr>
          <w:p w14:paraId="50294401" w14:textId="77777777" w:rsidR="00F33D9B" w:rsidRPr="003B7111" w:rsidRDefault="00F33D9B" w:rsidP="00F33D9B">
            <w:pPr>
              <w:jc w:val="center"/>
              <w:rPr>
                <w:color w:val="000000"/>
                <w:sz w:val="20"/>
                <w:szCs w:val="20"/>
              </w:rPr>
            </w:pPr>
            <w:r w:rsidRPr="003B7111">
              <w:rPr>
                <w:color w:val="000000"/>
                <w:sz w:val="20"/>
                <w:szCs w:val="20"/>
              </w:rPr>
              <w:t>0.389</w:t>
            </w:r>
          </w:p>
        </w:tc>
      </w:tr>
      <w:tr w:rsidR="00F33D9B" w:rsidRPr="00E90227" w14:paraId="15CE169A" w14:textId="77777777" w:rsidTr="00E90227">
        <w:trPr>
          <w:trHeight w:val="300"/>
          <w:jc w:val="center"/>
        </w:trPr>
        <w:tc>
          <w:tcPr>
            <w:tcW w:w="1080" w:type="dxa"/>
            <w:tcBorders>
              <w:top w:val="nil"/>
              <w:left w:val="single" w:sz="12" w:space="0" w:color="000000"/>
              <w:bottom w:val="nil"/>
              <w:right w:val="single" w:sz="12" w:space="0" w:color="000000"/>
            </w:tcBorders>
            <w:shd w:val="clear" w:color="auto" w:fill="auto"/>
            <w:vAlign w:val="center"/>
            <w:hideMark/>
          </w:tcPr>
          <w:p w14:paraId="0045821E" w14:textId="77777777" w:rsidR="00F33D9B" w:rsidRPr="00E90227" w:rsidRDefault="00F33D9B" w:rsidP="00E90227">
            <w:pPr>
              <w:jc w:val="both"/>
              <w:rPr>
                <w:sz w:val="20"/>
                <w:szCs w:val="20"/>
              </w:rPr>
            </w:pPr>
            <w:r w:rsidRPr="00E90227">
              <w:rPr>
                <w:sz w:val="20"/>
                <w:szCs w:val="20"/>
              </w:rPr>
              <w:t>PPEAP</w:t>
            </w:r>
          </w:p>
        </w:tc>
        <w:tc>
          <w:tcPr>
            <w:tcW w:w="1840" w:type="dxa"/>
            <w:tcBorders>
              <w:top w:val="nil"/>
              <w:left w:val="nil"/>
              <w:bottom w:val="nil"/>
              <w:right w:val="single" w:sz="4" w:space="0" w:color="000000"/>
            </w:tcBorders>
            <w:shd w:val="clear" w:color="auto" w:fill="auto"/>
            <w:noWrap/>
            <w:vAlign w:val="center"/>
            <w:hideMark/>
          </w:tcPr>
          <w:p w14:paraId="059D7705" w14:textId="77777777" w:rsidR="00F33D9B" w:rsidRPr="003B7111" w:rsidRDefault="00F33D9B" w:rsidP="00F33D9B">
            <w:pPr>
              <w:jc w:val="center"/>
              <w:rPr>
                <w:color w:val="000000"/>
                <w:sz w:val="20"/>
                <w:szCs w:val="20"/>
              </w:rPr>
            </w:pPr>
            <w:r w:rsidRPr="003B7111">
              <w:rPr>
                <w:color w:val="000000"/>
                <w:sz w:val="20"/>
                <w:szCs w:val="20"/>
              </w:rPr>
              <w:t>5.133</w:t>
            </w:r>
          </w:p>
        </w:tc>
        <w:tc>
          <w:tcPr>
            <w:tcW w:w="1360" w:type="dxa"/>
            <w:tcBorders>
              <w:top w:val="nil"/>
              <w:left w:val="nil"/>
              <w:bottom w:val="nil"/>
              <w:right w:val="single" w:sz="4" w:space="0" w:color="000000"/>
            </w:tcBorders>
            <w:shd w:val="clear" w:color="auto" w:fill="auto"/>
            <w:noWrap/>
            <w:vAlign w:val="center"/>
            <w:hideMark/>
          </w:tcPr>
          <w:p w14:paraId="04EB9E30"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nil"/>
              <w:left w:val="nil"/>
              <w:bottom w:val="nil"/>
              <w:right w:val="single" w:sz="4" w:space="0" w:color="000000"/>
            </w:tcBorders>
            <w:shd w:val="clear" w:color="auto" w:fill="auto"/>
            <w:noWrap/>
            <w:vAlign w:val="center"/>
            <w:hideMark/>
          </w:tcPr>
          <w:p w14:paraId="5E204F18" w14:textId="77777777" w:rsidR="00F33D9B" w:rsidRPr="003B7111" w:rsidRDefault="00F33D9B" w:rsidP="00F33D9B">
            <w:pPr>
              <w:jc w:val="center"/>
              <w:rPr>
                <w:color w:val="000000"/>
                <w:sz w:val="20"/>
                <w:szCs w:val="20"/>
              </w:rPr>
            </w:pPr>
            <w:r w:rsidRPr="003B7111">
              <w:rPr>
                <w:color w:val="000000"/>
                <w:sz w:val="20"/>
                <w:szCs w:val="20"/>
              </w:rPr>
              <w:t>18</w:t>
            </w:r>
          </w:p>
        </w:tc>
        <w:tc>
          <w:tcPr>
            <w:tcW w:w="1080" w:type="dxa"/>
            <w:tcBorders>
              <w:top w:val="nil"/>
              <w:left w:val="nil"/>
              <w:bottom w:val="nil"/>
              <w:right w:val="single" w:sz="12" w:space="0" w:color="000000"/>
            </w:tcBorders>
            <w:shd w:val="clear" w:color="auto" w:fill="auto"/>
            <w:noWrap/>
            <w:vAlign w:val="center"/>
            <w:hideMark/>
          </w:tcPr>
          <w:p w14:paraId="18873377" w14:textId="77777777" w:rsidR="00F33D9B" w:rsidRPr="003B7111" w:rsidRDefault="00F33D9B" w:rsidP="00F33D9B">
            <w:pPr>
              <w:jc w:val="center"/>
              <w:rPr>
                <w:color w:val="000000"/>
                <w:sz w:val="20"/>
                <w:szCs w:val="20"/>
              </w:rPr>
            </w:pPr>
            <w:r w:rsidRPr="003B7111">
              <w:rPr>
                <w:color w:val="000000"/>
                <w:sz w:val="20"/>
                <w:szCs w:val="20"/>
              </w:rPr>
              <w:t>0.006</w:t>
            </w:r>
          </w:p>
        </w:tc>
      </w:tr>
      <w:tr w:rsidR="00F33D9B" w:rsidRPr="00E90227" w14:paraId="5A33AF22" w14:textId="77777777" w:rsidTr="00E90227">
        <w:trPr>
          <w:trHeight w:val="300"/>
          <w:jc w:val="center"/>
        </w:trPr>
        <w:tc>
          <w:tcPr>
            <w:tcW w:w="1080" w:type="dxa"/>
            <w:tcBorders>
              <w:top w:val="nil"/>
              <w:left w:val="single" w:sz="12" w:space="0" w:color="000000"/>
              <w:bottom w:val="single" w:sz="12" w:space="0" w:color="000000"/>
              <w:right w:val="single" w:sz="12" w:space="0" w:color="000000"/>
            </w:tcBorders>
            <w:shd w:val="clear" w:color="auto" w:fill="auto"/>
            <w:vAlign w:val="center"/>
            <w:hideMark/>
          </w:tcPr>
          <w:p w14:paraId="1E45D888" w14:textId="77777777" w:rsidR="00F33D9B" w:rsidRPr="00E90227" w:rsidRDefault="00F33D9B" w:rsidP="00E90227">
            <w:pPr>
              <w:jc w:val="both"/>
              <w:rPr>
                <w:sz w:val="20"/>
                <w:szCs w:val="20"/>
              </w:rPr>
            </w:pPr>
            <w:r>
              <w:rPr>
                <w:sz w:val="20"/>
                <w:szCs w:val="20"/>
              </w:rPr>
              <w:t>PGDP</w:t>
            </w:r>
          </w:p>
        </w:tc>
        <w:tc>
          <w:tcPr>
            <w:tcW w:w="1840" w:type="dxa"/>
            <w:tcBorders>
              <w:top w:val="nil"/>
              <w:left w:val="nil"/>
              <w:bottom w:val="single" w:sz="12" w:space="0" w:color="000000"/>
              <w:right w:val="single" w:sz="4" w:space="0" w:color="000000"/>
            </w:tcBorders>
            <w:shd w:val="clear" w:color="auto" w:fill="auto"/>
            <w:noWrap/>
            <w:vAlign w:val="center"/>
            <w:hideMark/>
          </w:tcPr>
          <w:p w14:paraId="789090ED" w14:textId="77777777" w:rsidR="00F33D9B" w:rsidRPr="003B7111" w:rsidRDefault="00F33D9B" w:rsidP="00F33D9B">
            <w:pPr>
              <w:jc w:val="center"/>
              <w:rPr>
                <w:color w:val="000000"/>
                <w:sz w:val="20"/>
                <w:szCs w:val="20"/>
              </w:rPr>
            </w:pPr>
            <w:r w:rsidRPr="003B7111">
              <w:rPr>
                <w:color w:val="000000"/>
                <w:sz w:val="20"/>
                <w:szCs w:val="20"/>
              </w:rPr>
              <w:t>3.074</w:t>
            </w:r>
          </w:p>
        </w:tc>
        <w:tc>
          <w:tcPr>
            <w:tcW w:w="1360" w:type="dxa"/>
            <w:tcBorders>
              <w:top w:val="nil"/>
              <w:left w:val="nil"/>
              <w:bottom w:val="single" w:sz="12" w:space="0" w:color="000000"/>
              <w:right w:val="single" w:sz="4" w:space="0" w:color="000000"/>
            </w:tcBorders>
            <w:shd w:val="clear" w:color="auto" w:fill="auto"/>
            <w:noWrap/>
            <w:vAlign w:val="center"/>
            <w:hideMark/>
          </w:tcPr>
          <w:p w14:paraId="5D14C4CA"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nil"/>
              <w:left w:val="nil"/>
              <w:bottom w:val="single" w:sz="12" w:space="0" w:color="000000"/>
              <w:right w:val="single" w:sz="4" w:space="0" w:color="000000"/>
            </w:tcBorders>
            <w:shd w:val="clear" w:color="auto" w:fill="auto"/>
            <w:noWrap/>
            <w:vAlign w:val="center"/>
            <w:hideMark/>
          </w:tcPr>
          <w:p w14:paraId="00CE5A6B" w14:textId="77777777" w:rsidR="00F33D9B" w:rsidRPr="003B7111" w:rsidRDefault="00F33D9B" w:rsidP="00F33D9B">
            <w:pPr>
              <w:jc w:val="center"/>
              <w:rPr>
                <w:color w:val="000000"/>
                <w:sz w:val="20"/>
                <w:szCs w:val="20"/>
              </w:rPr>
            </w:pPr>
            <w:r w:rsidRPr="003B7111">
              <w:rPr>
                <w:color w:val="000000"/>
                <w:sz w:val="20"/>
                <w:szCs w:val="20"/>
              </w:rPr>
              <w:t>18</w:t>
            </w:r>
          </w:p>
        </w:tc>
        <w:tc>
          <w:tcPr>
            <w:tcW w:w="1080" w:type="dxa"/>
            <w:tcBorders>
              <w:top w:val="nil"/>
              <w:left w:val="nil"/>
              <w:bottom w:val="single" w:sz="12" w:space="0" w:color="000000"/>
              <w:right w:val="single" w:sz="12" w:space="0" w:color="000000"/>
            </w:tcBorders>
            <w:shd w:val="clear" w:color="auto" w:fill="auto"/>
            <w:noWrap/>
            <w:vAlign w:val="center"/>
            <w:hideMark/>
          </w:tcPr>
          <w:p w14:paraId="076F76F8" w14:textId="77777777" w:rsidR="00F33D9B" w:rsidRPr="003B7111" w:rsidRDefault="00F33D9B" w:rsidP="00F33D9B">
            <w:pPr>
              <w:jc w:val="center"/>
              <w:rPr>
                <w:color w:val="000000"/>
                <w:sz w:val="20"/>
                <w:szCs w:val="20"/>
              </w:rPr>
            </w:pPr>
            <w:r w:rsidRPr="003B7111">
              <w:rPr>
                <w:color w:val="000000"/>
                <w:sz w:val="20"/>
                <w:szCs w:val="20"/>
              </w:rPr>
              <w:t>0.043</w:t>
            </w:r>
          </w:p>
        </w:tc>
      </w:tr>
    </w:tbl>
    <w:p w14:paraId="0BD282AF" w14:textId="77777777" w:rsidR="000A0CA9" w:rsidRPr="000373B3" w:rsidRDefault="000A0CA9" w:rsidP="00FA6E58">
      <w:pPr>
        <w:ind w:firstLine="720"/>
        <w:jc w:val="both"/>
        <w:rPr>
          <w:color w:val="17365D" w:themeColor="text2" w:themeShade="BF"/>
        </w:rPr>
      </w:pPr>
    </w:p>
    <w:p w14:paraId="25EC2EC5" w14:textId="77777777" w:rsidR="00E90227" w:rsidRDefault="000A0CA9" w:rsidP="00FA6E58">
      <w:pPr>
        <w:ind w:firstLine="720"/>
        <w:jc w:val="both"/>
        <w:rPr>
          <w:color w:val="17365D" w:themeColor="text2" w:themeShade="BF"/>
        </w:rPr>
      </w:pPr>
      <w:r w:rsidRPr="00E90227">
        <w:t>Deoarece ipoteza H</w:t>
      </w:r>
      <w:r w:rsidRPr="00E90227">
        <w:rPr>
          <w:vertAlign w:val="subscript"/>
        </w:rPr>
        <w:t xml:space="preserve">0_1 </w:t>
      </w:r>
      <w:r w:rsidRPr="00E90227">
        <w:t xml:space="preserve">a fost respinsă, pentru testarea </w:t>
      </w:r>
      <w:r w:rsidRPr="00E90227">
        <w:rPr>
          <w:rFonts w:eastAsia="Calibri"/>
        </w:rPr>
        <w:t xml:space="preserve">semnificațiilor statistice ale valoriilor medii înregistrate la nivelul clusterilor a fost utilizat testul </w:t>
      </w:r>
      <w:r w:rsidRPr="00E90227">
        <w:t>Brown-Forsythe</w:t>
      </w:r>
      <w:r w:rsidRPr="000373B3">
        <w:rPr>
          <w:color w:val="17365D" w:themeColor="text2" w:themeShade="BF"/>
        </w:rPr>
        <w:t>.</w:t>
      </w:r>
    </w:p>
    <w:p w14:paraId="70CB0212" w14:textId="77777777" w:rsidR="000A0CA9" w:rsidRPr="000373B3" w:rsidRDefault="000A0CA9" w:rsidP="00FA6E58">
      <w:pPr>
        <w:ind w:firstLine="720"/>
        <w:jc w:val="both"/>
        <w:rPr>
          <w:color w:val="17365D" w:themeColor="text2" w:themeShade="BF"/>
        </w:rPr>
      </w:pPr>
      <w:r w:rsidRPr="000373B3">
        <w:rPr>
          <w:color w:val="17365D" w:themeColor="text2" w:themeShade="BF"/>
        </w:rPr>
        <w:t xml:space="preserve"> </w:t>
      </w:r>
    </w:p>
    <w:p w14:paraId="371B69D2" w14:textId="77777777" w:rsidR="000A0CA9" w:rsidRPr="00E90227" w:rsidRDefault="000A0CA9" w:rsidP="00E90227">
      <w:pPr>
        <w:ind w:firstLine="720"/>
        <w:jc w:val="center"/>
        <w:rPr>
          <w:i/>
        </w:rPr>
      </w:pPr>
      <w:r w:rsidRPr="00E90227">
        <w:rPr>
          <w:b/>
        </w:rPr>
        <w:t xml:space="preserve">Tabelul </w:t>
      </w:r>
      <w:r w:rsidR="00E90227" w:rsidRPr="00E90227">
        <w:rPr>
          <w:b/>
        </w:rPr>
        <w:t>5</w:t>
      </w:r>
      <w:r w:rsidRPr="00E90227">
        <w:t xml:space="preserve"> </w:t>
      </w:r>
      <w:r w:rsidRPr="00E90227">
        <w:rPr>
          <w:i/>
        </w:rPr>
        <w:t>Rezultatele testului Brown-Forsythe privind semnificațiile statistice</w:t>
      </w:r>
    </w:p>
    <w:p w14:paraId="31B76BBD" w14:textId="77777777" w:rsidR="000A0CA9" w:rsidRPr="00E90227" w:rsidRDefault="000A0CA9" w:rsidP="00E90227">
      <w:pPr>
        <w:ind w:firstLine="720"/>
        <w:jc w:val="center"/>
      </w:pPr>
      <w:r w:rsidRPr="00E90227">
        <w:rPr>
          <w:i/>
        </w:rPr>
        <w:t>ale valorilor mediilor obținute la nivelul clusterilor</w:t>
      </w:r>
    </w:p>
    <w:tbl>
      <w:tblPr>
        <w:tblW w:w="6664" w:type="dxa"/>
        <w:jc w:val="center"/>
        <w:tblLook w:val="04A0" w:firstRow="1" w:lastRow="0" w:firstColumn="1" w:lastColumn="0" w:noHBand="0" w:noVBand="1"/>
      </w:tblPr>
      <w:tblGrid>
        <w:gridCol w:w="1612"/>
        <w:gridCol w:w="1537"/>
        <w:gridCol w:w="1221"/>
        <w:gridCol w:w="1080"/>
        <w:gridCol w:w="1214"/>
      </w:tblGrid>
      <w:tr w:rsidR="000373B3" w:rsidRPr="00E90227" w14:paraId="335B62FE" w14:textId="77777777" w:rsidTr="00E90227">
        <w:trPr>
          <w:trHeight w:val="300"/>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D1251" w14:textId="77777777" w:rsidR="000A0CA9" w:rsidRPr="00491D16" w:rsidRDefault="000A0CA9" w:rsidP="00E90227">
            <w:pPr>
              <w:jc w:val="both"/>
              <w:rPr>
                <w:b/>
                <w:sz w:val="20"/>
                <w:szCs w:val="20"/>
              </w:rPr>
            </w:pPr>
            <w:r w:rsidRPr="00491D16">
              <w:rPr>
                <w:b/>
                <w:sz w:val="20"/>
                <w:szCs w:val="20"/>
              </w:rPr>
              <w:t> </w:t>
            </w:r>
            <w:r w:rsidR="00E90227" w:rsidRPr="00491D16">
              <w:rPr>
                <w:b/>
                <w:sz w:val="20"/>
                <w:szCs w:val="20"/>
              </w:rPr>
              <w:t>Variables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49367" w14:textId="77777777" w:rsidR="000A0CA9" w:rsidRPr="00491D16" w:rsidRDefault="000A0CA9" w:rsidP="00E90227">
            <w:pPr>
              <w:jc w:val="center"/>
              <w:rPr>
                <w:b/>
                <w:sz w:val="20"/>
                <w:szCs w:val="20"/>
              </w:rPr>
            </w:pPr>
            <w:r w:rsidRPr="00491D16">
              <w:rPr>
                <w:b/>
                <w:sz w:val="20"/>
                <w:szCs w:val="20"/>
              </w:rPr>
              <w:t>Statistic</w:t>
            </w:r>
            <w:r w:rsidRPr="00491D16">
              <w:rPr>
                <w:b/>
                <w:sz w:val="20"/>
                <w:szCs w:val="20"/>
                <w:vertAlign w:val="superscript"/>
              </w:rPr>
              <w:t>a</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7B86C" w14:textId="77777777" w:rsidR="000A0CA9" w:rsidRPr="00491D16" w:rsidRDefault="000A0CA9" w:rsidP="00E90227">
            <w:pPr>
              <w:jc w:val="center"/>
              <w:rPr>
                <w:b/>
                <w:sz w:val="20"/>
                <w:szCs w:val="20"/>
              </w:rPr>
            </w:pPr>
            <w:r w:rsidRPr="00491D16">
              <w:rPr>
                <w:b/>
                <w:sz w:val="20"/>
                <w:szCs w:val="20"/>
              </w:rPr>
              <w:t>df1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F78E" w14:textId="77777777" w:rsidR="000A0CA9" w:rsidRPr="00491D16" w:rsidRDefault="000A0CA9" w:rsidP="00E90227">
            <w:pPr>
              <w:jc w:val="center"/>
              <w:rPr>
                <w:b/>
                <w:sz w:val="20"/>
                <w:szCs w:val="20"/>
              </w:rPr>
            </w:pPr>
            <w:r w:rsidRPr="00491D16">
              <w:rPr>
                <w:b/>
                <w:sz w:val="20"/>
                <w:szCs w:val="20"/>
              </w:rPr>
              <w:t>df2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C0C6" w14:textId="77777777" w:rsidR="000A0CA9" w:rsidRPr="00491D16" w:rsidRDefault="000A0CA9" w:rsidP="00E90227">
            <w:pPr>
              <w:jc w:val="center"/>
              <w:rPr>
                <w:b/>
                <w:sz w:val="20"/>
                <w:szCs w:val="20"/>
              </w:rPr>
            </w:pPr>
            <w:r w:rsidRPr="00491D16">
              <w:rPr>
                <w:b/>
                <w:sz w:val="20"/>
                <w:szCs w:val="20"/>
              </w:rPr>
              <w:t>Sig.</w:t>
            </w:r>
          </w:p>
        </w:tc>
      </w:tr>
      <w:tr w:rsidR="00F33D9B" w:rsidRPr="00E90227" w14:paraId="4C0F51AB" w14:textId="77777777" w:rsidTr="00E90227">
        <w:trPr>
          <w:trHeight w:val="300"/>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175E0" w14:textId="77777777" w:rsidR="00F33D9B" w:rsidRPr="00491D16" w:rsidRDefault="00F33D9B" w:rsidP="00E90227">
            <w:pPr>
              <w:jc w:val="both"/>
              <w:rPr>
                <w:sz w:val="20"/>
                <w:szCs w:val="20"/>
              </w:rPr>
            </w:pPr>
            <w:r w:rsidRPr="00491D16">
              <w:rPr>
                <w:sz w:val="20"/>
                <w:szCs w:val="20"/>
              </w:rPr>
              <w:t>P0CEP</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3F6C7" w14:textId="77777777" w:rsidR="00F33D9B" w:rsidRPr="003B7111" w:rsidRDefault="00F33D9B" w:rsidP="00F33D9B">
            <w:pPr>
              <w:jc w:val="center"/>
              <w:rPr>
                <w:color w:val="000000"/>
                <w:sz w:val="20"/>
                <w:szCs w:val="20"/>
              </w:rPr>
            </w:pPr>
            <w:r w:rsidRPr="003B7111">
              <w:rPr>
                <w:color w:val="000000"/>
                <w:sz w:val="20"/>
                <w:szCs w:val="20"/>
              </w:rPr>
              <w:t>16.855</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F196B"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EF1B6" w14:textId="77777777" w:rsidR="00F33D9B" w:rsidRPr="003B7111" w:rsidRDefault="00F33D9B" w:rsidP="00F33D9B">
            <w:pPr>
              <w:jc w:val="center"/>
              <w:rPr>
                <w:color w:val="000000"/>
                <w:sz w:val="20"/>
                <w:szCs w:val="20"/>
              </w:rPr>
            </w:pPr>
            <w:r w:rsidRPr="003B7111">
              <w:rPr>
                <w:color w:val="000000"/>
                <w:sz w:val="20"/>
                <w:szCs w:val="20"/>
              </w:rPr>
              <w:t>8.832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BDD23" w14:textId="77777777" w:rsidR="00F33D9B" w:rsidRPr="003B7111" w:rsidRDefault="00F33D9B" w:rsidP="00F33D9B">
            <w:pPr>
              <w:jc w:val="center"/>
              <w:rPr>
                <w:color w:val="000000"/>
                <w:sz w:val="20"/>
                <w:szCs w:val="20"/>
              </w:rPr>
            </w:pPr>
            <w:r w:rsidRPr="003B7111">
              <w:rPr>
                <w:color w:val="000000"/>
                <w:sz w:val="20"/>
                <w:szCs w:val="20"/>
              </w:rPr>
              <w:t>0.000</w:t>
            </w:r>
          </w:p>
        </w:tc>
      </w:tr>
      <w:tr w:rsidR="00F33D9B" w:rsidRPr="00E90227" w14:paraId="409ECACD" w14:textId="77777777" w:rsidTr="00E90227">
        <w:trPr>
          <w:trHeight w:val="300"/>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CF1AE" w14:textId="77777777" w:rsidR="00F33D9B" w:rsidRPr="00491D16" w:rsidRDefault="00F33D9B" w:rsidP="00E90227">
            <w:pPr>
              <w:jc w:val="both"/>
              <w:rPr>
                <w:sz w:val="20"/>
                <w:szCs w:val="20"/>
              </w:rPr>
            </w:pPr>
            <w:r w:rsidRPr="00491D16">
              <w:rPr>
                <w:sz w:val="20"/>
                <w:szCs w:val="20"/>
              </w:rPr>
              <w:t>PPTE</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04A8C" w14:textId="77777777" w:rsidR="00F33D9B" w:rsidRPr="003B7111" w:rsidRDefault="00F33D9B" w:rsidP="00F33D9B">
            <w:pPr>
              <w:jc w:val="center"/>
              <w:rPr>
                <w:color w:val="000000"/>
                <w:sz w:val="20"/>
                <w:szCs w:val="20"/>
              </w:rPr>
            </w:pPr>
            <w:r w:rsidRPr="003B7111">
              <w:rPr>
                <w:color w:val="000000"/>
                <w:sz w:val="20"/>
                <w:szCs w:val="20"/>
              </w:rPr>
              <w:t>26.392</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8A864"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0D268" w14:textId="77777777" w:rsidR="00F33D9B" w:rsidRPr="003B7111" w:rsidRDefault="00F33D9B" w:rsidP="00F33D9B">
            <w:pPr>
              <w:jc w:val="center"/>
              <w:rPr>
                <w:color w:val="000000"/>
                <w:sz w:val="20"/>
                <w:szCs w:val="20"/>
              </w:rPr>
            </w:pPr>
            <w:r w:rsidRPr="003B7111">
              <w:rPr>
                <w:color w:val="000000"/>
                <w:sz w:val="20"/>
                <w:szCs w:val="20"/>
              </w:rPr>
              <w:t>9.069</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49D98" w14:textId="77777777" w:rsidR="00F33D9B" w:rsidRPr="003B7111" w:rsidRDefault="00F33D9B" w:rsidP="00F33D9B">
            <w:pPr>
              <w:jc w:val="center"/>
              <w:rPr>
                <w:color w:val="000000"/>
                <w:sz w:val="20"/>
                <w:szCs w:val="20"/>
              </w:rPr>
            </w:pPr>
            <w:r w:rsidRPr="003B7111">
              <w:rPr>
                <w:color w:val="000000"/>
                <w:sz w:val="20"/>
                <w:szCs w:val="20"/>
              </w:rPr>
              <w:t>0.000</w:t>
            </w:r>
          </w:p>
        </w:tc>
      </w:tr>
      <w:tr w:rsidR="00F33D9B" w:rsidRPr="00E90227" w14:paraId="4DB4D735" w14:textId="77777777" w:rsidTr="00E90227">
        <w:trPr>
          <w:trHeight w:val="300"/>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FA9C" w14:textId="77777777" w:rsidR="00F33D9B" w:rsidRPr="00491D16" w:rsidRDefault="00F33D9B" w:rsidP="00E90227">
            <w:pPr>
              <w:jc w:val="both"/>
              <w:rPr>
                <w:sz w:val="20"/>
                <w:szCs w:val="20"/>
              </w:rPr>
            </w:pPr>
            <w:r w:rsidRPr="00491D16">
              <w:rPr>
                <w:sz w:val="20"/>
                <w:szCs w:val="20"/>
              </w:rPr>
              <w:t>PPATS</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8E7E0" w14:textId="77777777" w:rsidR="00F33D9B" w:rsidRPr="003B7111" w:rsidRDefault="00F33D9B" w:rsidP="00F33D9B">
            <w:pPr>
              <w:jc w:val="center"/>
              <w:rPr>
                <w:color w:val="000000"/>
                <w:sz w:val="20"/>
                <w:szCs w:val="20"/>
              </w:rPr>
            </w:pPr>
            <w:r w:rsidRPr="003B7111">
              <w:rPr>
                <w:color w:val="000000"/>
                <w:sz w:val="20"/>
                <w:szCs w:val="20"/>
              </w:rPr>
              <w:t>7.132</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42E81"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D232" w14:textId="77777777" w:rsidR="00F33D9B" w:rsidRPr="003B7111" w:rsidRDefault="00F33D9B" w:rsidP="00F33D9B">
            <w:pPr>
              <w:jc w:val="center"/>
              <w:rPr>
                <w:color w:val="000000"/>
                <w:sz w:val="20"/>
                <w:szCs w:val="20"/>
              </w:rPr>
            </w:pPr>
            <w:r w:rsidRPr="003B7111">
              <w:rPr>
                <w:color w:val="000000"/>
                <w:sz w:val="20"/>
                <w:szCs w:val="20"/>
              </w:rPr>
              <w:t>13.451</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9F02" w14:textId="77777777" w:rsidR="00F33D9B" w:rsidRPr="003B7111" w:rsidRDefault="00F33D9B" w:rsidP="00F33D9B">
            <w:pPr>
              <w:jc w:val="center"/>
              <w:rPr>
                <w:color w:val="000000"/>
                <w:sz w:val="20"/>
                <w:szCs w:val="20"/>
              </w:rPr>
            </w:pPr>
            <w:r w:rsidRPr="003B7111">
              <w:rPr>
                <w:color w:val="000000"/>
                <w:sz w:val="20"/>
                <w:szCs w:val="20"/>
              </w:rPr>
              <w:t>0.003</w:t>
            </w:r>
          </w:p>
        </w:tc>
      </w:tr>
      <w:tr w:rsidR="00F33D9B" w:rsidRPr="00E90227" w14:paraId="48032B74" w14:textId="77777777" w:rsidTr="00E90227">
        <w:trPr>
          <w:trHeight w:val="300"/>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0F109" w14:textId="77777777" w:rsidR="00F33D9B" w:rsidRPr="00491D16" w:rsidRDefault="00F33D9B" w:rsidP="00E90227">
            <w:pPr>
              <w:jc w:val="both"/>
              <w:rPr>
                <w:sz w:val="20"/>
                <w:szCs w:val="20"/>
              </w:rPr>
            </w:pPr>
            <w:r w:rsidRPr="00491D16">
              <w:rPr>
                <w:sz w:val="20"/>
                <w:szCs w:val="20"/>
              </w:rPr>
              <w:t>PPEAP</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BA582" w14:textId="77777777" w:rsidR="00F33D9B" w:rsidRPr="003B7111" w:rsidRDefault="00F33D9B" w:rsidP="00F33D9B">
            <w:pPr>
              <w:jc w:val="center"/>
              <w:rPr>
                <w:color w:val="000000"/>
                <w:sz w:val="20"/>
                <w:szCs w:val="20"/>
              </w:rPr>
            </w:pPr>
            <w:r w:rsidRPr="003B7111">
              <w:rPr>
                <w:color w:val="000000"/>
                <w:sz w:val="20"/>
                <w:szCs w:val="20"/>
              </w:rPr>
              <w:t>5.463</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51C1"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237C0" w14:textId="77777777" w:rsidR="00F33D9B" w:rsidRPr="003B7111" w:rsidRDefault="00F33D9B" w:rsidP="00F33D9B">
            <w:pPr>
              <w:jc w:val="center"/>
              <w:rPr>
                <w:color w:val="000000"/>
                <w:sz w:val="20"/>
                <w:szCs w:val="20"/>
              </w:rPr>
            </w:pPr>
            <w:r w:rsidRPr="003B7111">
              <w:rPr>
                <w:color w:val="000000"/>
                <w:sz w:val="20"/>
                <w:szCs w:val="20"/>
              </w:rPr>
              <w:t>6.627</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8408" w14:textId="77777777" w:rsidR="00F33D9B" w:rsidRPr="003B7111" w:rsidRDefault="00F33D9B" w:rsidP="00F33D9B">
            <w:pPr>
              <w:jc w:val="center"/>
              <w:rPr>
                <w:color w:val="000000"/>
                <w:sz w:val="20"/>
                <w:szCs w:val="20"/>
              </w:rPr>
            </w:pPr>
            <w:r w:rsidRPr="003B7111">
              <w:rPr>
                <w:color w:val="000000"/>
                <w:sz w:val="20"/>
                <w:szCs w:val="20"/>
              </w:rPr>
              <w:t>0.028</w:t>
            </w:r>
          </w:p>
        </w:tc>
      </w:tr>
      <w:tr w:rsidR="00F33D9B" w:rsidRPr="00E90227" w14:paraId="10942597" w14:textId="77777777" w:rsidTr="00E90227">
        <w:trPr>
          <w:trHeight w:val="300"/>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E76B" w14:textId="77777777" w:rsidR="00F33D9B" w:rsidRPr="00491D16" w:rsidRDefault="00F33D9B" w:rsidP="00E90227">
            <w:pPr>
              <w:jc w:val="both"/>
              <w:rPr>
                <w:sz w:val="20"/>
                <w:szCs w:val="20"/>
              </w:rPr>
            </w:pPr>
            <w:r>
              <w:rPr>
                <w:sz w:val="20"/>
                <w:szCs w:val="20"/>
              </w:rPr>
              <w:t>PGDP</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8CB63" w14:textId="77777777" w:rsidR="00F33D9B" w:rsidRPr="003B7111" w:rsidRDefault="00F33D9B" w:rsidP="00F33D9B">
            <w:pPr>
              <w:jc w:val="center"/>
              <w:rPr>
                <w:color w:val="000000"/>
                <w:sz w:val="20"/>
                <w:szCs w:val="20"/>
              </w:rPr>
            </w:pPr>
            <w:r w:rsidRPr="003B7111">
              <w:rPr>
                <w:color w:val="000000"/>
                <w:sz w:val="20"/>
                <w:szCs w:val="20"/>
              </w:rPr>
              <w:t>20.999</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F74CC" w14:textId="77777777" w:rsidR="00F33D9B" w:rsidRPr="003B7111" w:rsidRDefault="00F33D9B" w:rsidP="00F33D9B">
            <w:pPr>
              <w:jc w:val="center"/>
              <w:rPr>
                <w:color w:val="000000"/>
                <w:sz w:val="20"/>
                <w:szCs w:val="20"/>
              </w:rPr>
            </w:pPr>
            <w:r w:rsidRPr="003B7111">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09C29" w14:textId="77777777" w:rsidR="00F33D9B" w:rsidRPr="003B7111" w:rsidRDefault="00F33D9B" w:rsidP="00F33D9B">
            <w:pPr>
              <w:jc w:val="center"/>
              <w:rPr>
                <w:color w:val="000000"/>
                <w:sz w:val="20"/>
                <w:szCs w:val="20"/>
              </w:rPr>
            </w:pPr>
            <w:r w:rsidRPr="003B7111">
              <w:rPr>
                <w:color w:val="000000"/>
                <w:sz w:val="20"/>
                <w:szCs w:val="20"/>
              </w:rPr>
              <w:t>14.571</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3BA04" w14:textId="77777777" w:rsidR="00F33D9B" w:rsidRPr="003B7111" w:rsidRDefault="00F33D9B" w:rsidP="00F33D9B">
            <w:pPr>
              <w:jc w:val="center"/>
              <w:rPr>
                <w:color w:val="000000"/>
                <w:sz w:val="20"/>
                <w:szCs w:val="20"/>
              </w:rPr>
            </w:pPr>
            <w:r w:rsidRPr="003B7111">
              <w:rPr>
                <w:color w:val="000000"/>
                <w:sz w:val="20"/>
                <w:szCs w:val="20"/>
              </w:rPr>
              <w:t>0.000</w:t>
            </w:r>
          </w:p>
        </w:tc>
      </w:tr>
      <w:tr w:rsidR="000373B3" w:rsidRPr="00E90227" w14:paraId="347C1A61" w14:textId="77777777" w:rsidTr="00E90227">
        <w:trPr>
          <w:trHeight w:val="300"/>
          <w:jc w:val="center"/>
        </w:trPr>
        <w:tc>
          <w:tcPr>
            <w:tcW w:w="6664" w:type="dxa"/>
            <w:gridSpan w:val="5"/>
            <w:tcBorders>
              <w:top w:val="single" w:sz="4" w:space="0" w:color="auto"/>
            </w:tcBorders>
            <w:shd w:val="clear" w:color="auto" w:fill="auto"/>
            <w:vAlign w:val="center"/>
            <w:hideMark/>
          </w:tcPr>
          <w:p w14:paraId="1E72C855" w14:textId="77777777" w:rsidR="000A0CA9" w:rsidRPr="00491D16" w:rsidRDefault="000A0CA9" w:rsidP="00E90227">
            <w:pPr>
              <w:jc w:val="both"/>
              <w:rPr>
                <w:sz w:val="20"/>
                <w:szCs w:val="20"/>
              </w:rPr>
            </w:pPr>
            <w:proofErr w:type="gramStart"/>
            <w:r w:rsidRPr="00491D16">
              <w:rPr>
                <w:sz w:val="20"/>
                <w:szCs w:val="20"/>
                <w:vertAlign w:val="superscript"/>
              </w:rPr>
              <w:t>a</w:t>
            </w:r>
            <w:proofErr w:type="gramEnd"/>
            <w:r w:rsidRPr="00491D16">
              <w:rPr>
                <w:sz w:val="20"/>
                <w:szCs w:val="20"/>
              </w:rPr>
              <w:t xml:space="preserve"> Asymptotically F distributed.</w:t>
            </w:r>
          </w:p>
        </w:tc>
      </w:tr>
    </w:tbl>
    <w:p w14:paraId="180CC93E" w14:textId="77777777" w:rsidR="000A0CA9" w:rsidRPr="000373B3" w:rsidRDefault="000A0CA9" w:rsidP="00FA6E58">
      <w:pPr>
        <w:ind w:firstLine="720"/>
        <w:jc w:val="both"/>
        <w:rPr>
          <w:color w:val="17365D" w:themeColor="text2" w:themeShade="BF"/>
        </w:rPr>
      </w:pPr>
    </w:p>
    <w:p w14:paraId="3D91065F" w14:textId="77777777" w:rsidR="000A0CA9" w:rsidRPr="001B2138" w:rsidRDefault="005D264D" w:rsidP="00FA6E58">
      <w:pPr>
        <w:ind w:firstLine="720"/>
        <w:jc w:val="both"/>
      </w:pPr>
      <w:r w:rsidRPr="001B2138">
        <w:t>Av</w:t>
      </w:r>
      <w:r w:rsidRPr="001B2138">
        <w:rPr>
          <w:lang w:val="ro-RO"/>
        </w:rPr>
        <w:t>â</w:t>
      </w:r>
      <w:r w:rsidR="000A0CA9" w:rsidRPr="001B2138">
        <w:t xml:space="preserve">nd în vedere că toate valorile </w:t>
      </w:r>
      <w:r w:rsidR="00491D16" w:rsidRPr="001B2138">
        <w:rPr>
          <w:rFonts w:eastAsia="Calibri"/>
          <w:position w:val="-10"/>
        </w:rPr>
        <w:object w:dxaOrig="1660" w:dyaOrig="320" w14:anchorId="1578070A">
          <v:shape id="_x0000_i1033" type="#_x0000_t75" style="width:78pt;height:15pt" o:ole="">
            <v:imagedata r:id="rId28" o:title=""/>
          </v:shape>
          <o:OLEObject Type="Embed" ProgID="Equation.3" ShapeID="_x0000_i1033" DrawAspect="Content" ObjectID="_1739124281" r:id="rId29"/>
        </w:object>
      </w:r>
      <w:r w:rsidR="000A0CA9" w:rsidRPr="001B2138">
        <w:t xml:space="preserve">(Tabelul </w:t>
      </w:r>
      <w:r w:rsidR="00491D16" w:rsidRPr="001B2138">
        <w:t>5</w:t>
      </w:r>
      <w:r w:rsidR="000A0CA9" w:rsidRPr="001B2138">
        <w:t>) rezultă că</w:t>
      </w:r>
      <w:r w:rsidRPr="001B2138">
        <w:t>,</w:t>
      </w:r>
      <w:r w:rsidR="000A0CA9" w:rsidRPr="001B2138">
        <w:t xml:space="preserve"> se respinge ipoteza nulă H</w:t>
      </w:r>
      <w:r w:rsidR="000A0CA9" w:rsidRPr="001B2138">
        <w:rPr>
          <w:vertAlign w:val="subscript"/>
        </w:rPr>
        <w:t xml:space="preserve">0_2 </w:t>
      </w:r>
      <w:r w:rsidR="000A0CA9" w:rsidRPr="001B2138">
        <w:t>și în consecință clasificarea statelor UE incluse în analiză, pe baza celor cinci criterii de clasificare, este concludentă (validă).</w:t>
      </w:r>
    </w:p>
    <w:p w14:paraId="7FAE42D9" w14:textId="77777777" w:rsidR="005D264D" w:rsidRPr="000D01FB" w:rsidRDefault="005D264D" w:rsidP="00FA6E58">
      <w:pPr>
        <w:ind w:firstLine="720"/>
        <w:jc w:val="both"/>
      </w:pPr>
      <w:r w:rsidRPr="000D01FB">
        <w:t xml:space="preserve">Atributele clusterilor (Tabelul </w:t>
      </w:r>
      <w:r w:rsidR="00491D16" w:rsidRPr="000D01FB">
        <w:t>6</w:t>
      </w:r>
      <w:r w:rsidRPr="000D01FB">
        <w:t>) evidențiază o serie de similarități și disparități dintre statele analizate din punct de verere al par</w:t>
      </w:r>
      <w:r w:rsidR="000D01FB" w:rsidRPr="000D01FB">
        <w:t>ticipării populație la educație, corelat cu valorile PGDP.</w:t>
      </w:r>
    </w:p>
    <w:p w14:paraId="5B4784F4" w14:textId="21D32D9E" w:rsidR="00DF0C85" w:rsidRPr="005704B8" w:rsidRDefault="000D01FB" w:rsidP="00FA6E58">
      <w:pPr>
        <w:ind w:firstLine="720"/>
        <w:jc w:val="both"/>
      </w:pPr>
      <w:r w:rsidRPr="00D1323D">
        <w:t>C</w:t>
      </w:r>
      <w:r w:rsidR="00D4125B" w:rsidRPr="00D1323D">
        <w:t>lusterul A</w:t>
      </w:r>
      <w:r w:rsidR="00DF0C85" w:rsidRPr="00D1323D">
        <w:t>, fo</w:t>
      </w:r>
      <w:r w:rsidR="002E3EC3">
        <w:t>r</w:t>
      </w:r>
      <w:r w:rsidR="00DF0C85" w:rsidRPr="00D1323D">
        <w:t xml:space="preserve">mat din Belgium, </w:t>
      </w:r>
      <w:bookmarkStart w:id="1" w:name="_Hlk125309454"/>
      <w:r w:rsidR="00DF0C85" w:rsidRPr="00D1323D">
        <w:t xml:space="preserve">Denmark, </w:t>
      </w:r>
      <w:bookmarkEnd w:id="1"/>
      <w:r w:rsidR="00DF0C85" w:rsidRPr="00D1323D">
        <w:t>Finland and Sweden,</w:t>
      </w:r>
      <w:r w:rsidR="00D4125B" w:rsidRPr="00D1323D">
        <w:t xml:space="preserve"> </w:t>
      </w:r>
      <w:r w:rsidR="00DF0C85" w:rsidRPr="00D1323D">
        <w:t>este cel mai performant prin prisma criteriilor alese, caracterizân</w:t>
      </w:r>
      <w:r w:rsidR="003B7111">
        <w:t>d</w:t>
      </w:r>
      <w:r w:rsidR="00DF0C85" w:rsidRPr="00D1323D">
        <w:t>u-se</w:t>
      </w:r>
      <w:r w:rsidRPr="00D1323D">
        <w:t xml:space="preserve"> prin cele mai mari valori medii la</w:t>
      </w:r>
      <w:r w:rsidR="00D4125B" w:rsidRPr="00D1323D">
        <w:t xml:space="preserve"> </w:t>
      </w:r>
      <w:r w:rsidRPr="00D1323D">
        <w:t xml:space="preserve">indicatorii </w:t>
      </w:r>
      <w:r w:rsidRPr="00D1323D">
        <w:rPr>
          <w:rFonts w:eastAsia="Calibri"/>
        </w:rPr>
        <w:t>Pupils from age 0 to the starting age of compulsory education at primary level by sex - % of the population of the corresponding age</w:t>
      </w:r>
      <w:r w:rsidRPr="00D1323D">
        <w:t xml:space="preserve"> (P0CEP=</w:t>
      </w:r>
      <w:r w:rsidR="00DF0C85" w:rsidRPr="00D1323D">
        <w:t>73.84</w:t>
      </w:r>
      <w:r w:rsidRPr="00D1323D">
        <w:t>%)</w:t>
      </w:r>
      <w:r w:rsidR="00874C20">
        <w:t>,</w:t>
      </w:r>
      <w:r w:rsidRPr="00D1323D">
        <w:t xml:space="preserve"> </w:t>
      </w:r>
      <w:r w:rsidR="00DF0C85" w:rsidRPr="00D1323D">
        <w:rPr>
          <w:rFonts w:eastAsia="Calibri"/>
        </w:rPr>
        <w:t xml:space="preserve">Pupils and students by education level - as % of total age population </w:t>
      </w:r>
      <w:r w:rsidRPr="00D1323D">
        <w:rPr>
          <w:rFonts w:eastAsia="Calibri"/>
        </w:rPr>
        <w:t>(P</w:t>
      </w:r>
      <w:r w:rsidR="00DF0C85" w:rsidRPr="00D1323D">
        <w:rPr>
          <w:rFonts w:eastAsia="Calibri"/>
        </w:rPr>
        <w:t>PTE</w:t>
      </w:r>
      <w:r w:rsidRPr="00D1323D">
        <w:rPr>
          <w:rFonts w:eastAsia="Calibri"/>
        </w:rPr>
        <w:t>=</w:t>
      </w:r>
      <w:r w:rsidR="00DF0C85" w:rsidRPr="00D1323D">
        <w:rPr>
          <w:rFonts w:eastAsia="Calibri"/>
        </w:rPr>
        <w:t>26,13</w:t>
      </w:r>
      <w:r w:rsidRPr="00D1323D">
        <w:rPr>
          <w:rFonts w:eastAsia="Calibri"/>
        </w:rPr>
        <w:t>%)</w:t>
      </w:r>
      <w:r w:rsidR="00874C20">
        <w:rPr>
          <w:rFonts w:eastAsia="Calibri"/>
        </w:rPr>
        <w:t xml:space="preserve"> și </w:t>
      </w:r>
      <w:r w:rsidR="00874C20" w:rsidRPr="00874C20">
        <w:rPr>
          <w:rFonts w:eastAsia="Calibri"/>
          <w:color w:val="0070C0"/>
        </w:rPr>
        <w:t>Gross domestic product (</w:t>
      </w:r>
      <w:bookmarkStart w:id="2" w:name="_Hlk125311699"/>
      <w:r w:rsidR="00874C20" w:rsidRPr="00874C20">
        <w:rPr>
          <w:rFonts w:eastAsia="Calibri"/>
          <w:color w:val="0070C0"/>
        </w:rPr>
        <w:t>PGDP</w:t>
      </w:r>
      <w:bookmarkEnd w:id="2"/>
      <w:r w:rsidR="00874C20" w:rsidRPr="00874C20">
        <w:rPr>
          <w:rFonts w:eastAsia="Calibri"/>
          <w:color w:val="0070C0"/>
        </w:rPr>
        <w:t>=46200 euro/locuitor)</w:t>
      </w:r>
      <w:r w:rsidR="00DF0C85" w:rsidRPr="00874C20">
        <w:rPr>
          <w:rFonts w:eastAsia="Calibri"/>
          <w:color w:val="0070C0"/>
        </w:rPr>
        <w:t>.</w:t>
      </w:r>
      <w:r w:rsidR="00DF0C85" w:rsidRPr="00D1323D">
        <w:rPr>
          <w:rFonts w:eastAsia="Calibri"/>
        </w:rPr>
        <w:t xml:space="preserve"> </w:t>
      </w:r>
      <w:r w:rsidR="00A90CAF" w:rsidRPr="00D1323D">
        <w:rPr>
          <w:rFonts w:eastAsia="Calibri"/>
        </w:rPr>
        <w:t xml:space="preserve">De asemenea se înregistrează valori semnificative ale </w:t>
      </w:r>
      <w:bookmarkStart w:id="3" w:name="_Hlk125313237"/>
      <w:r w:rsidR="00A90CAF" w:rsidRPr="00D1323D">
        <w:rPr>
          <w:rFonts w:eastAsia="Calibri"/>
        </w:rPr>
        <w:t xml:space="preserve">indicatorului </w:t>
      </w:r>
      <w:r w:rsidR="00DF0C85" w:rsidRPr="00D1323D">
        <w:rPr>
          <w:rFonts w:eastAsia="Calibri"/>
        </w:rPr>
        <w:t xml:space="preserve">Classroom teachers working full-time and part-time in primary, lower-secondary and upper-secondary education - as % of total active population </w:t>
      </w:r>
      <w:r w:rsidR="00A90CAF" w:rsidRPr="00D1323D">
        <w:rPr>
          <w:rFonts w:eastAsia="Calibri"/>
        </w:rPr>
        <w:t>(P</w:t>
      </w:r>
      <w:r w:rsidR="00531341">
        <w:rPr>
          <w:rFonts w:eastAsia="Calibri"/>
        </w:rPr>
        <w:t>P</w:t>
      </w:r>
      <w:r w:rsidR="00DF0C85" w:rsidRPr="00D1323D">
        <w:rPr>
          <w:rFonts w:eastAsia="Calibri"/>
        </w:rPr>
        <w:t>EAP</w:t>
      </w:r>
      <w:r w:rsidR="00A90CAF" w:rsidRPr="00D1323D">
        <w:rPr>
          <w:rFonts w:eastAsia="Calibri"/>
        </w:rPr>
        <w:t>=</w:t>
      </w:r>
      <w:r w:rsidR="00DF0C85" w:rsidRPr="00D1323D">
        <w:rPr>
          <w:rFonts w:eastAsia="Calibri"/>
        </w:rPr>
        <w:t>3.08%)</w:t>
      </w:r>
      <w:bookmarkEnd w:id="3"/>
      <w:r w:rsidR="00DF0C85" w:rsidRPr="00D1323D">
        <w:rPr>
          <w:rFonts w:eastAsia="Calibri"/>
        </w:rPr>
        <w:t xml:space="preserve">, </w:t>
      </w:r>
      <w:r w:rsidR="00DF0C85" w:rsidRPr="00F53421">
        <w:rPr>
          <w:rFonts w:eastAsia="Calibri"/>
        </w:rPr>
        <w:t>cu numai 0.22</w:t>
      </w:r>
      <w:r w:rsidR="00A90CAF" w:rsidRPr="00F53421">
        <w:rPr>
          <w:rFonts w:eastAsia="Calibri"/>
        </w:rPr>
        <w:t xml:space="preserve"> puncte procentuale mai puțin decât clusterul </w:t>
      </w:r>
      <w:r w:rsidR="00DF0C85" w:rsidRPr="00F53421">
        <w:rPr>
          <w:rFonts w:eastAsia="Calibri"/>
        </w:rPr>
        <w:t>D</w:t>
      </w:r>
      <w:r w:rsidR="00A90CAF" w:rsidRPr="00F53421">
        <w:rPr>
          <w:rFonts w:eastAsia="Calibri"/>
        </w:rPr>
        <w:t xml:space="preserve">, care este </w:t>
      </w:r>
      <w:r w:rsidR="00A90CAF" w:rsidRPr="00C0519F">
        <w:rPr>
          <w:rFonts w:eastAsia="Calibri"/>
        </w:rPr>
        <w:t>leader</w:t>
      </w:r>
      <w:r w:rsidR="00A90CAF" w:rsidRPr="00F53421">
        <w:rPr>
          <w:rFonts w:eastAsia="Calibri"/>
        </w:rPr>
        <w:t xml:space="preserve"> din acest punct de vedere.</w:t>
      </w:r>
      <w:r w:rsidR="00D4125B" w:rsidRPr="00F53421">
        <w:t xml:space="preserve"> </w:t>
      </w:r>
      <w:r w:rsidR="00F53421" w:rsidRPr="005704B8">
        <w:t>Locul trei între celelalte clustere îl ocupă acest cluster A prin indicatorul Early leavers from education and training by sex and labour (PPATS) cu o diferență de 4</w:t>
      </w:r>
      <w:r w:rsidR="00030D4F" w:rsidRPr="005704B8">
        <w:t>.</w:t>
      </w:r>
      <w:r w:rsidR="00F53421" w:rsidRPr="005704B8">
        <w:t>75 puncte procentuale față de clustrul B care deține cea mai ridicată pondere de 12</w:t>
      </w:r>
      <w:r w:rsidR="00030D4F" w:rsidRPr="005704B8">
        <w:t>.</w:t>
      </w:r>
      <w:r w:rsidR="00F53421" w:rsidRPr="005704B8">
        <w:t>78%.</w:t>
      </w:r>
    </w:p>
    <w:p w14:paraId="7FF3C20E" w14:textId="4E2C0388" w:rsidR="00DA5B5F" w:rsidRPr="005704B8" w:rsidRDefault="00F53421" w:rsidP="00FA6E58">
      <w:pPr>
        <w:ind w:firstLine="720"/>
        <w:jc w:val="both"/>
      </w:pPr>
      <w:r w:rsidRPr="005704B8">
        <w:t xml:space="preserve">În interiorul clusterului, </w:t>
      </w:r>
      <w:r w:rsidR="00030D4F" w:rsidRPr="005704B8">
        <w:t>fiecare țară deține o poziție dominantă sau se află la ultimul nivel, în raport cu valorile indicatorilor înregistrate.</w:t>
      </w:r>
      <w:r w:rsidRPr="005704B8">
        <w:t xml:space="preserve"> </w:t>
      </w:r>
      <w:r w:rsidR="00DA5B5F" w:rsidRPr="005704B8">
        <w:t>Comparativ cu celelalte state componente ale clusterului A, Denmark este în fruntea clasamentului cu 76</w:t>
      </w:r>
      <w:r w:rsidR="00030D4F" w:rsidRPr="005704B8">
        <w:t>.</w:t>
      </w:r>
      <w:r w:rsidR="00DA5B5F" w:rsidRPr="005704B8">
        <w:t>2% la P0CEP, cu 9</w:t>
      </w:r>
      <w:r w:rsidR="00030D4F" w:rsidRPr="005704B8">
        <w:t>.</w:t>
      </w:r>
      <w:r w:rsidR="00DA5B5F" w:rsidRPr="005704B8">
        <w:t xml:space="preserve">9% la PPATS și cu 53400 </w:t>
      </w:r>
      <w:bookmarkStart w:id="4" w:name="_Hlk125310038"/>
      <w:r w:rsidR="00DA5B5F" w:rsidRPr="005704B8">
        <w:t>euro/locuitor</w:t>
      </w:r>
      <w:r w:rsidR="00DC040D" w:rsidRPr="005704B8">
        <w:t xml:space="preserve"> la </w:t>
      </w:r>
      <w:r w:rsidR="00030D4F" w:rsidRPr="005704B8">
        <w:t>PGDP</w:t>
      </w:r>
      <w:r w:rsidR="00DC040D" w:rsidRPr="005704B8">
        <w:t xml:space="preserve"> </w:t>
      </w:r>
      <w:bookmarkEnd w:id="4"/>
      <w:r w:rsidR="00DC040D" w:rsidRPr="005704B8">
        <w:t>și deține ultimul loc la PPTE cu 25</w:t>
      </w:r>
      <w:r w:rsidR="00030D4F" w:rsidRPr="005704B8">
        <w:t>.</w:t>
      </w:r>
      <w:r w:rsidR="00DC040D" w:rsidRPr="005704B8">
        <w:t>4%. Suedia și Belgia dețin cel mai ridicate procente de 26</w:t>
      </w:r>
      <w:r w:rsidR="00030D4F" w:rsidRPr="005704B8">
        <w:t>.</w:t>
      </w:r>
      <w:r w:rsidR="00DC040D" w:rsidRPr="005704B8">
        <w:t>8%, respectiv de 4% pentru PPTE, respectiv PPEAP, în timp ce cu 6</w:t>
      </w:r>
      <w:r w:rsidR="00030D4F" w:rsidRPr="005704B8">
        <w:t>.</w:t>
      </w:r>
      <w:r w:rsidR="00DC040D" w:rsidRPr="005704B8">
        <w:t xml:space="preserve">5% la PPATS, respectiv cu 41600 euro/locuitor la </w:t>
      </w:r>
      <w:r w:rsidR="00030D4F" w:rsidRPr="005704B8">
        <w:t>PGDP</w:t>
      </w:r>
      <w:r w:rsidR="00DC040D" w:rsidRPr="005704B8">
        <w:t xml:space="preserve"> aceste țări sunt la finalul clasamentului. Finlanda este singura țară a acestui cluster care înregistrează cele mai reduse procente de 67</w:t>
      </w:r>
      <w:proofErr w:type="gramStart"/>
      <w:r w:rsidR="00DC040D" w:rsidRPr="005704B8">
        <w:t>,9</w:t>
      </w:r>
      <w:proofErr w:type="gramEnd"/>
      <w:r w:rsidR="00DC040D" w:rsidRPr="005704B8">
        <w:t xml:space="preserve">% și 2,4% la P0CEP și PPEAP. </w:t>
      </w:r>
    </w:p>
    <w:p w14:paraId="61C463DF" w14:textId="4E38F7F6" w:rsidR="00D4125B" w:rsidRPr="005704B8" w:rsidRDefault="00030D4F" w:rsidP="00FA6E58">
      <w:pPr>
        <w:ind w:firstLine="720"/>
        <w:jc w:val="both"/>
      </w:pPr>
      <w:r w:rsidRPr="005704B8">
        <w:t>Cu excepția indicatorului amintit, PPATS, care poziționează Clusterul B pe primul loc față de celelalte clustere, l</w:t>
      </w:r>
      <w:r w:rsidR="00531341" w:rsidRPr="005704B8">
        <w:t xml:space="preserve">a polul opus </w:t>
      </w:r>
      <w:r w:rsidR="00DC040D" w:rsidRPr="005704B8">
        <w:t xml:space="preserve">clusterului A </w:t>
      </w:r>
      <w:r w:rsidR="00531341" w:rsidRPr="005704B8">
        <w:t xml:space="preserve">se află clusterul B </w:t>
      </w:r>
      <w:r w:rsidR="00DA5B5F" w:rsidRPr="005704B8">
        <w:t>c</w:t>
      </w:r>
      <w:r w:rsidR="00403ED0" w:rsidRPr="005704B8">
        <w:t>are include</w:t>
      </w:r>
      <w:r w:rsidR="00DA5B5F" w:rsidRPr="005704B8">
        <w:t xml:space="preserve"> </w:t>
      </w:r>
      <w:r w:rsidR="00DC040D" w:rsidRPr="005704B8">
        <w:t xml:space="preserve">țările </w:t>
      </w:r>
      <w:r w:rsidR="00531341" w:rsidRPr="005704B8">
        <w:t>Bulgaria, Italy, Hungary, Malta, Rom</w:t>
      </w:r>
      <w:r w:rsidR="005C079E" w:rsidRPr="005704B8">
        <w:t>a</w:t>
      </w:r>
      <w:r w:rsidR="00531341" w:rsidRPr="005704B8">
        <w:t xml:space="preserve">nia, </w:t>
      </w:r>
      <w:bookmarkStart w:id="5" w:name="_Hlk125312621"/>
      <w:r w:rsidR="00531341" w:rsidRPr="005704B8">
        <w:t>Slovakia</w:t>
      </w:r>
      <w:bookmarkEnd w:id="5"/>
      <w:r w:rsidR="00DC040D" w:rsidRPr="005704B8">
        <w:t>. Acest fapt e confirmat de</w:t>
      </w:r>
      <w:r w:rsidR="00531341" w:rsidRPr="005704B8">
        <w:t xml:space="preserve"> cele mai reduse valori medii la majoritatea indicatorilor: Pupils from age 0 to the starting age of compulsory education at primary level by sex - % of the population of the corresponding age (</w:t>
      </w:r>
      <w:r w:rsidR="000F4CE7" w:rsidRPr="005704B8">
        <w:t>P0CEP=45</w:t>
      </w:r>
      <w:r w:rsidRPr="005704B8">
        <w:t>.</w:t>
      </w:r>
      <w:r w:rsidR="000F4CE7" w:rsidRPr="005704B8">
        <w:t xml:space="preserve">48%), Pupils and students </w:t>
      </w:r>
      <w:r w:rsidR="000F4CE7" w:rsidRPr="005704B8">
        <w:lastRenderedPageBreak/>
        <w:t>by education level - as % of total age population (PPTE=17</w:t>
      </w:r>
      <w:r w:rsidRPr="005704B8">
        <w:t>.</w:t>
      </w:r>
      <w:r w:rsidR="000F4CE7" w:rsidRPr="005704B8">
        <w:t>85%), Classroom teachers working full-time and part-time in primary, lower-secondary and upper-secondary education - as % of total active population (PPEAP=2</w:t>
      </w:r>
      <w:r w:rsidRPr="005704B8">
        <w:t>.</w:t>
      </w:r>
      <w:r w:rsidR="000F4CE7" w:rsidRPr="005704B8">
        <w:t>23%)</w:t>
      </w:r>
      <w:r w:rsidR="00DC040D" w:rsidRPr="005704B8">
        <w:t xml:space="preserve">. </w:t>
      </w:r>
      <w:r w:rsidRPr="005704B8">
        <w:t xml:space="preserve">Penultimul loc este deținut de indicatorul </w:t>
      </w:r>
      <w:r w:rsidR="005C079E" w:rsidRPr="005704B8">
        <w:t>Gross domestic product (</w:t>
      </w:r>
      <w:r w:rsidRPr="005704B8">
        <w:t>PGDP</w:t>
      </w:r>
      <w:r w:rsidR="005C079E" w:rsidRPr="005704B8">
        <w:t>)</w:t>
      </w:r>
      <w:r w:rsidRPr="005704B8">
        <w:t xml:space="preserve"> cu 18400 euro/locuitor comparative cu valorile medii ale celorlalte clustere.</w:t>
      </w:r>
    </w:p>
    <w:p w14:paraId="244C2F29" w14:textId="55CE808C" w:rsidR="00030D4F" w:rsidRPr="005704B8" w:rsidRDefault="00030D4F" w:rsidP="00FA6E58">
      <w:pPr>
        <w:ind w:firstLine="720"/>
        <w:jc w:val="both"/>
      </w:pPr>
      <w:r w:rsidRPr="005704B8">
        <w:t>În interiorul clusterului primul loc este ocupat de Italy</w:t>
      </w:r>
      <w:r w:rsidR="005C079E" w:rsidRPr="005704B8">
        <w:t xml:space="preserve"> cu 51.4% (P0CEP), 2.8% (PPEAP) și 30100 euro/locuitor (PGDB), Hungary cu 1% (PPTE) și România cu 15.3% (PPATS). La finalul clasamentului clusterului B se află Bulgaria cu 17% la PPTE, 1.8% la PPEAP și 8800 euro/locuitor la PGDB, respectiv Slovakia la indicatorii P0CEP și PPATS cu 40.6% și 8.3%.</w:t>
      </w:r>
    </w:p>
    <w:p w14:paraId="46385D0B" w14:textId="77777777" w:rsidR="00491D16" w:rsidRPr="005704B8" w:rsidRDefault="00491D16" w:rsidP="00FA6E58">
      <w:pPr>
        <w:ind w:firstLine="720"/>
        <w:jc w:val="both"/>
        <w:rPr>
          <w:b/>
        </w:rPr>
      </w:pPr>
    </w:p>
    <w:p w14:paraId="7B565293" w14:textId="77777777" w:rsidR="000A0CA9" w:rsidRPr="00491D16" w:rsidRDefault="000A0CA9" w:rsidP="00491D16">
      <w:pPr>
        <w:jc w:val="center"/>
      </w:pPr>
      <w:r w:rsidRPr="00491D16">
        <w:rPr>
          <w:b/>
        </w:rPr>
        <w:t xml:space="preserve">Tabelul </w:t>
      </w:r>
      <w:r w:rsidR="00491D16">
        <w:rPr>
          <w:b/>
        </w:rPr>
        <w:t>6</w:t>
      </w:r>
      <w:r w:rsidRPr="00491D16">
        <w:t xml:space="preserve"> </w:t>
      </w:r>
      <w:r w:rsidRPr="00491D16">
        <w:rPr>
          <w:i/>
        </w:rPr>
        <w:t>Principalele caracteristici ale clusterilor prin prisma criteriilor de clasificare utilizate</w:t>
      </w:r>
    </w:p>
    <w:tbl>
      <w:tblPr>
        <w:tblW w:w="5000" w:type="pct"/>
        <w:tblLook w:val="04A0" w:firstRow="1" w:lastRow="0" w:firstColumn="1" w:lastColumn="0" w:noHBand="0" w:noVBand="1"/>
      </w:tblPr>
      <w:tblGrid>
        <w:gridCol w:w="510"/>
        <w:gridCol w:w="1095"/>
        <w:gridCol w:w="825"/>
        <w:gridCol w:w="869"/>
        <w:gridCol w:w="811"/>
        <w:gridCol w:w="811"/>
        <w:gridCol w:w="398"/>
        <w:gridCol w:w="1097"/>
        <w:gridCol w:w="825"/>
        <w:gridCol w:w="142"/>
        <w:gridCol w:w="727"/>
        <w:gridCol w:w="928"/>
        <w:gridCol w:w="809"/>
      </w:tblGrid>
      <w:tr w:rsidR="000373B3" w:rsidRPr="008B361B" w14:paraId="4FB035F3" w14:textId="77777777" w:rsidTr="008B361B">
        <w:trPr>
          <w:trHeight w:val="285"/>
        </w:trPr>
        <w:tc>
          <w:tcPr>
            <w:tcW w:w="259" w:type="pct"/>
            <w:tcBorders>
              <w:top w:val="double" w:sz="4" w:space="0" w:color="auto"/>
              <w:left w:val="double" w:sz="4" w:space="0" w:color="auto"/>
              <w:bottom w:val="double" w:sz="4" w:space="0" w:color="auto"/>
              <w:right w:val="nil"/>
            </w:tcBorders>
            <w:shd w:val="clear" w:color="auto" w:fill="auto"/>
            <w:vAlign w:val="center"/>
            <w:hideMark/>
          </w:tcPr>
          <w:p w14:paraId="39AABA9A" w14:textId="77777777" w:rsidR="000A0CA9" w:rsidRPr="008B361B" w:rsidRDefault="000A0CA9" w:rsidP="00491D16">
            <w:pPr>
              <w:jc w:val="both"/>
              <w:rPr>
                <w:sz w:val="20"/>
                <w:szCs w:val="20"/>
              </w:rPr>
            </w:pPr>
          </w:p>
        </w:tc>
        <w:tc>
          <w:tcPr>
            <w:tcW w:w="556" w:type="pct"/>
            <w:tcBorders>
              <w:top w:val="double" w:sz="4" w:space="0" w:color="auto"/>
              <w:left w:val="nil"/>
              <w:bottom w:val="double" w:sz="4" w:space="0" w:color="auto"/>
              <w:right w:val="nil"/>
            </w:tcBorders>
            <w:shd w:val="clear" w:color="auto" w:fill="auto"/>
            <w:vAlign w:val="center"/>
            <w:hideMark/>
          </w:tcPr>
          <w:p w14:paraId="65C580AE" w14:textId="77777777" w:rsidR="000A0CA9" w:rsidRPr="008B361B" w:rsidRDefault="000A0CA9" w:rsidP="00491D16">
            <w:pPr>
              <w:jc w:val="both"/>
              <w:rPr>
                <w:sz w:val="20"/>
                <w:szCs w:val="20"/>
              </w:rPr>
            </w:pPr>
            <w:r w:rsidRPr="008B361B">
              <w:rPr>
                <w:sz w:val="20"/>
                <w:szCs w:val="20"/>
              </w:rPr>
              <w:t>Variabila</w:t>
            </w:r>
          </w:p>
        </w:tc>
        <w:tc>
          <w:tcPr>
            <w:tcW w:w="419" w:type="pct"/>
            <w:tcBorders>
              <w:top w:val="double" w:sz="4" w:space="0" w:color="auto"/>
              <w:left w:val="nil"/>
              <w:bottom w:val="double" w:sz="4" w:space="0" w:color="auto"/>
              <w:right w:val="nil"/>
            </w:tcBorders>
            <w:shd w:val="clear" w:color="auto" w:fill="auto"/>
            <w:vAlign w:val="center"/>
            <w:hideMark/>
          </w:tcPr>
          <w:p w14:paraId="64E69223" w14:textId="77777777" w:rsidR="000A0CA9" w:rsidRPr="008B361B" w:rsidRDefault="000A0CA9" w:rsidP="00491D16">
            <w:pPr>
              <w:jc w:val="both"/>
              <w:rPr>
                <w:sz w:val="20"/>
                <w:szCs w:val="20"/>
              </w:rPr>
            </w:pPr>
            <w:r w:rsidRPr="008B361B">
              <w:rPr>
                <w:sz w:val="20"/>
                <w:szCs w:val="20"/>
              </w:rPr>
              <w:t>Medie</w:t>
            </w:r>
          </w:p>
        </w:tc>
        <w:tc>
          <w:tcPr>
            <w:tcW w:w="441" w:type="pct"/>
            <w:tcBorders>
              <w:top w:val="double" w:sz="4" w:space="0" w:color="auto"/>
              <w:left w:val="nil"/>
              <w:bottom w:val="double" w:sz="4" w:space="0" w:color="auto"/>
              <w:right w:val="nil"/>
            </w:tcBorders>
            <w:shd w:val="clear" w:color="auto" w:fill="auto"/>
            <w:vAlign w:val="center"/>
            <w:hideMark/>
          </w:tcPr>
          <w:p w14:paraId="7C813D60" w14:textId="77777777" w:rsidR="000A0CA9" w:rsidRPr="008B361B" w:rsidRDefault="000A0CA9" w:rsidP="00491D16">
            <w:pPr>
              <w:jc w:val="both"/>
              <w:rPr>
                <w:sz w:val="20"/>
                <w:szCs w:val="20"/>
              </w:rPr>
            </w:pPr>
            <w:r w:rsidRPr="008B361B">
              <w:rPr>
                <w:sz w:val="20"/>
                <w:szCs w:val="20"/>
              </w:rPr>
              <w:t>St.Dev</w:t>
            </w:r>
          </w:p>
        </w:tc>
        <w:tc>
          <w:tcPr>
            <w:tcW w:w="412" w:type="pct"/>
            <w:tcBorders>
              <w:top w:val="double" w:sz="4" w:space="0" w:color="auto"/>
              <w:left w:val="nil"/>
              <w:bottom w:val="double" w:sz="4" w:space="0" w:color="auto"/>
              <w:right w:val="nil"/>
            </w:tcBorders>
            <w:shd w:val="clear" w:color="auto" w:fill="auto"/>
            <w:vAlign w:val="center"/>
            <w:hideMark/>
          </w:tcPr>
          <w:p w14:paraId="051C84F7" w14:textId="77777777" w:rsidR="000A0CA9" w:rsidRPr="008B361B" w:rsidRDefault="000A0CA9" w:rsidP="00491D16">
            <w:pPr>
              <w:jc w:val="both"/>
              <w:rPr>
                <w:sz w:val="20"/>
                <w:szCs w:val="20"/>
              </w:rPr>
            </w:pPr>
            <w:r w:rsidRPr="008B361B">
              <w:rPr>
                <w:sz w:val="20"/>
                <w:szCs w:val="20"/>
              </w:rPr>
              <w:t>Min</w:t>
            </w:r>
          </w:p>
        </w:tc>
        <w:tc>
          <w:tcPr>
            <w:tcW w:w="412" w:type="pct"/>
            <w:tcBorders>
              <w:top w:val="double" w:sz="4" w:space="0" w:color="auto"/>
              <w:left w:val="nil"/>
              <w:bottom w:val="double" w:sz="4" w:space="0" w:color="auto"/>
              <w:right w:val="double" w:sz="4" w:space="0" w:color="auto"/>
            </w:tcBorders>
            <w:shd w:val="clear" w:color="auto" w:fill="auto"/>
            <w:vAlign w:val="center"/>
            <w:hideMark/>
          </w:tcPr>
          <w:p w14:paraId="32259939" w14:textId="77777777" w:rsidR="000A0CA9" w:rsidRPr="008B361B" w:rsidRDefault="000A0CA9" w:rsidP="00491D16">
            <w:pPr>
              <w:jc w:val="both"/>
              <w:rPr>
                <w:sz w:val="20"/>
                <w:szCs w:val="20"/>
              </w:rPr>
            </w:pPr>
            <w:r w:rsidRPr="008B361B">
              <w:rPr>
                <w:sz w:val="20"/>
                <w:szCs w:val="20"/>
              </w:rPr>
              <w:t>Max</w:t>
            </w:r>
          </w:p>
        </w:tc>
        <w:tc>
          <w:tcPr>
            <w:tcW w:w="202" w:type="pct"/>
            <w:tcBorders>
              <w:top w:val="double" w:sz="4" w:space="0" w:color="auto"/>
              <w:left w:val="double" w:sz="4" w:space="0" w:color="auto"/>
              <w:bottom w:val="double" w:sz="4" w:space="0" w:color="auto"/>
              <w:right w:val="nil"/>
            </w:tcBorders>
            <w:shd w:val="clear" w:color="auto" w:fill="auto"/>
            <w:noWrap/>
            <w:vAlign w:val="center"/>
            <w:hideMark/>
          </w:tcPr>
          <w:p w14:paraId="677400F6" w14:textId="77777777" w:rsidR="000A0CA9" w:rsidRPr="008B361B" w:rsidRDefault="000A0CA9" w:rsidP="00491D16">
            <w:pPr>
              <w:jc w:val="both"/>
              <w:rPr>
                <w:sz w:val="20"/>
                <w:szCs w:val="20"/>
              </w:rPr>
            </w:pPr>
          </w:p>
        </w:tc>
        <w:tc>
          <w:tcPr>
            <w:tcW w:w="557" w:type="pct"/>
            <w:tcBorders>
              <w:top w:val="double" w:sz="4" w:space="0" w:color="auto"/>
              <w:left w:val="nil"/>
              <w:bottom w:val="double" w:sz="4" w:space="0" w:color="auto"/>
              <w:right w:val="nil"/>
            </w:tcBorders>
            <w:shd w:val="clear" w:color="auto" w:fill="auto"/>
            <w:vAlign w:val="center"/>
            <w:hideMark/>
          </w:tcPr>
          <w:p w14:paraId="6855D4BA" w14:textId="77777777" w:rsidR="000A0CA9" w:rsidRPr="008B361B" w:rsidRDefault="000A0CA9" w:rsidP="00491D16">
            <w:pPr>
              <w:jc w:val="both"/>
              <w:rPr>
                <w:sz w:val="20"/>
                <w:szCs w:val="20"/>
              </w:rPr>
            </w:pPr>
            <w:r w:rsidRPr="008B361B">
              <w:rPr>
                <w:sz w:val="20"/>
                <w:szCs w:val="20"/>
              </w:rPr>
              <w:t>Variabila</w:t>
            </w:r>
          </w:p>
        </w:tc>
        <w:tc>
          <w:tcPr>
            <w:tcW w:w="419" w:type="pct"/>
            <w:tcBorders>
              <w:top w:val="double" w:sz="4" w:space="0" w:color="auto"/>
              <w:left w:val="nil"/>
              <w:bottom w:val="double" w:sz="4" w:space="0" w:color="auto"/>
              <w:right w:val="nil"/>
            </w:tcBorders>
            <w:shd w:val="clear" w:color="auto" w:fill="auto"/>
            <w:vAlign w:val="center"/>
            <w:hideMark/>
          </w:tcPr>
          <w:p w14:paraId="3FCECAF9" w14:textId="77777777" w:rsidR="000A0CA9" w:rsidRPr="008B361B" w:rsidRDefault="000A0CA9" w:rsidP="00491D16">
            <w:pPr>
              <w:jc w:val="both"/>
              <w:rPr>
                <w:sz w:val="20"/>
                <w:szCs w:val="20"/>
              </w:rPr>
            </w:pPr>
            <w:r w:rsidRPr="008B361B">
              <w:rPr>
                <w:sz w:val="20"/>
                <w:szCs w:val="20"/>
              </w:rPr>
              <w:t>Medie</w:t>
            </w:r>
          </w:p>
        </w:tc>
        <w:tc>
          <w:tcPr>
            <w:tcW w:w="441" w:type="pct"/>
            <w:gridSpan w:val="2"/>
            <w:tcBorders>
              <w:top w:val="double" w:sz="4" w:space="0" w:color="auto"/>
              <w:left w:val="nil"/>
              <w:bottom w:val="double" w:sz="4" w:space="0" w:color="auto"/>
              <w:right w:val="nil"/>
            </w:tcBorders>
            <w:shd w:val="clear" w:color="auto" w:fill="auto"/>
            <w:vAlign w:val="center"/>
            <w:hideMark/>
          </w:tcPr>
          <w:p w14:paraId="7B4D7F68" w14:textId="77777777" w:rsidR="000A0CA9" w:rsidRPr="008B361B" w:rsidRDefault="000A0CA9" w:rsidP="00491D16">
            <w:pPr>
              <w:jc w:val="both"/>
              <w:rPr>
                <w:sz w:val="20"/>
                <w:szCs w:val="20"/>
              </w:rPr>
            </w:pPr>
            <w:r w:rsidRPr="008B361B">
              <w:rPr>
                <w:sz w:val="20"/>
                <w:szCs w:val="20"/>
              </w:rPr>
              <w:t>St.Dev</w:t>
            </w:r>
          </w:p>
        </w:tc>
        <w:tc>
          <w:tcPr>
            <w:tcW w:w="471" w:type="pct"/>
            <w:tcBorders>
              <w:top w:val="double" w:sz="4" w:space="0" w:color="auto"/>
              <w:left w:val="nil"/>
              <w:bottom w:val="double" w:sz="4" w:space="0" w:color="auto"/>
              <w:right w:val="nil"/>
            </w:tcBorders>
            <w:shd w:val="clear" w:color="auto" w:fill="auto"/>
            <w:vAlign w:val="center"/>
            <w:hideMark/>
          </w:tcPr>
          <w:p w14:paraId="671DA786" w14:textId="77777777" w:rsidR="000A0CA9" w:rsidRPr="008B361B" w:rsidRDefault="000A0CA9" w:rsidP="00491D16">
            <w:pPr>
              <w:jc w:val="both"/>
              <w:rPr>
                <w:sz w:val="20"/>
                <w:szCs w:val="20"/>
              </w:rPr>
            </w:pPr>
            <w:r w:rsidRPr="008B361B">
              <w:rPr>
                <w:sz w:val="20"/>
                <w:szCs w:val="20"/>
              </w:rPr>
              <w:t>Min</w:t>
            </w:r>
          </w:p>
        </w:tc>
        <w:tc>
          <w:tcPr>
            <w:tcW w:w="411" w:type="pct"/>
            <w:tcBorders>
              <w:top w:val="double" w:sz="4" w:space="0" w:color="auto"/>
              <w:left w:val="nil"/>
              <w:bottom w:val="double" w:sz="4" w:space="0" w:color="auto"/>
              <w:right w:val="double" w:sz="4" w:space="0" w:color="auto"/>
            </w:tcBorders>
            <w:shd w:val="clear" w:color="auto" w:fill="auto"/>
            <w:vAlign w:val="center"/>
            <w:hideMark/>
          </w:tcPr>
          <w:p w14:paraId="77B0AB80" w14:textId="77777777" w:rsidR="000A0CA9" w:rsidRPr="008B361B" w:rsidRDefault="000A0CA9" w:rsidP="00491D16">
            <w:pPr>
              <w:jc w:val="both"/>
              <w:rPr>
                <w:sz w:val="20"/>
                <w:szCs w:val="20"/>
              </w:rPr>
            </w:pPr>
            <w:r w:rsidRPr="008B361B">
              <w:rPr>
                <w:sz w:val="20"/>
                <w:szCs w:val="20"/>
              </w:rPr>
              <w:t>Max</w:t>
            </w:r>
          </w:p>
        </w:tc>
      </w:tr>
      <w:tr w:rsidR="008B361B" w:rsidRPr="008B361B" w14:paraId="52BAD3D5" w14:textId="77777777" w:rsidTr="008B361B">
        <w:trPr>
          <w:trHeight w:val="285"/>
        </w:trPr>
        <w:tc>
          <w:tcPr>
            <w:tcW w:w="259" w:type="pct"/>
            <w:vMerge w:val="restart"/>
            <w:tcBorders>
              <w:top w:val="double" w:sz="4" w:space="0" w:color="auto"/>
              <w:left w:val="double" w:sz="4" w:space="0" w:color="auto"/>
              <w:right w:val="nil"/>
            </w:tcBorders>
            <w:shd w:val="clear" w:color="auto" w:fill="auto"/>
            <w:noWrap/>
            <w:vAlign w:val="center"/>
            <w:hideMark/>
          </w:tcPr>
          <w:p w14:paraId="36128D36" w14:textId="77777777" w:rsidR="008B361B" w:rsidRPr="008B361B" w:rsidRDefault="008B361B" w:rsidP="00491D16">
            <w:pPr>
              <w:jc w:val="both"/>
              <w:rPr>
                <w:sz w:val="20"/>
                <w:szCs w:val="20"/>
              </w:rPr>
            </w:pPr>
            <w:r w:rsidRPr="008B361B">
              <w:rPr>
                <w:sz w:val="20"/>
                <w:szCs w:val="20"/>
              </w:rPr>
              <w:t>A</w:t>
            </w:r>
          </w:p>
        </w:tc>
        <w:tc>
          <w:tcPr>
            <w:tcW w:w="556" w:type="pct"/>
            <w:tcBorders>
              <w:top w:val="double" w:sz="4" w:space="0" w:color="auto"/>
              <w:left w:val="single" w:sz="4" w:space="0" w:color="auto"/>
              <w:bottom w:val="nil"/>
              <w:right w:val="nil"/>
            </w:tcBorders>
            <w:shd w:val="clear" w:color="auto" w:fill="auto"/>
            <w:vAlign w:val="center"/>
            <w:hideMark/>
          </w:tcPr>
          <w:p w14:paraId="00C0139B" w14:textId="77777777" w:rsidR="008B361B" w:rsidRPr="008B361B" w:rsidRDefault="008B361B" w:rsidP="00491D16">
            <w:pPr>
              <w:jc w:val="both"/>
              <w:rPr>
                <w:sz w:val="20"/>
                <w:szCs w:val="20"/>
              </w:rPr>
            </w:pPr>
            <w:r w:rsidRPr="008B361B">
              <w:rPr>
                <w:sz w:val="20"/>
                <w:szCs w:val="20"/>
              </w:rPr>
              <w:t>P0CEP</w:t>
            </w:r>
          </w:p>
        </w:tc>
        <w:tc>
          <w:tcPr>
            <w:tcW w:w="419" w:type="pct"/>
            <w:tcBorders>
              <w:top w:val="double" w:sz="4" w:space="0" w:color="auto"/>
              <w:left w:val="nil"/>
              <w:bottom w:val="nil"/>
              <w:right w:val="nil"/>
            </w:tcBorders>
            <w:shd w:val="clear" w:color="auto" w:fill="auto"/>
            <w:noWrap/>
            <w:vAlign w:val="center"/>
            <w:hideMark/>
          </w:tcPr>
          <w:p w14:paraId="63BCE39E" w14:textId="77777777" w:rsidR="008B361B" w:rsidRPr="008B361B" w:rsidRDefault="008B361B">
            <w:pPr>
              <w:jc w:val="right"/>
              <w:rPr>
                <w:color w:val="000000"/>
                <w:sz w:val="20"/>
                <w:szCs w:val="20"/>
              </w:rPr>
            </w:pPr>
            <w:r w:rsidRPr="008B361B">
              <w:rPr>
                <w:color w:val="000000"/>
                <w:sz w:val="20"/>
                <w:szCs w:val="20"/>
              </w:rPr>
              <w:t>73.08</w:t>
            </w:r>
          </w:p>
        </w:tc>
        <w:tc>
          <w:tcPr>
            <w:tcW w:w="441" w:type="pct"/>
            <w:tcBorders>
              <w:top w:val="double" w:sz="4" w:space="0" w:color="auto"/>
              <w:left w:val="nil"/>
              <w:bottom w:val="nil"/>
              <w:right w:val="nil"/>
            </w:tcBorders>
            <w:shd w:val="clear" w:color="auto" w:fill="auto"/>
            <w:noWrap/>
            <w:vAlign w:val="center"/>
            <w:hideMark/>
          </w:tcPr>
          <w:p w14:paraId="60751B16" w14:textId="77777777" w:rsidR="008B361B" w:rsidRPr="008B361B" w:rsidRDefault="008B361B">
            <w:pPr>
              <w:jc w:val="right"/>
              <w:rPr>
                <w:color w:val="000000"/>
                <w:sz w:val="20"/>
                <w:szCs w:val="20"/>
              </w:rPr>
            </w:pPr>
            <w:r w:rsidRPr="008B361B">
              <w:rPr>
                <w:color w:val="000000"/>
                <w:sz w:val="20"/>
                <w:szCs w:val="20"/>
              </w:rPr>
              <w:t>3.70</w:t>
            </w:r>
          </w:p>
        </w:tc>
        <w:tc>
          <w:tcPr>
            <w:tcW w:w="412" w:type="pct"/>
            <w:tcBorders>
              <w:top w:val="double" w:sz="4" w:space="0" w:color="auto"/>
              <w:left w:val="nil"/>
              <w:bottom w:val="nil"/>
              <w:right w:val="nil"/>
            </w:tcBorders>
            <w:shd w:val="clear" w:color="auto" w:fill="auto"/>
            <w:noWrap/>
            <w:vAlign w:val="center"/>
            <w:hideMark/>
          </w:tcPr>
          <w:p w14:paraId="079CF582" w14:textId="77777777" w:rsidR="008B361B" w:rsidRPr="008B361B" w:rsidRDefault="008B361B">
            <w:pPr>
              <w:jc w:val="right"/>
              <w:rPr>
                <w:color w:val="000000"/>
                <w:sz w:val="20"/>
                <w:szCs w:val="20"/>
              </w:rPr>
            </w:pPr>
            <w:r w:rsidRPr="008B361B">
              <w:rPr>
                <w:color w:val="000000"/>
                <w:sz w:val="20"/>
                <w:szCs w:val="20"/>
              </w:rPr>
              <w:t>67.90</w:t>
            </w:r>
          </w:p>
        </w:tc>
        <w:tc>
          <w:tcPr>
            <w:tcW w:w="412" w:type="pct"/>
            <w:tcBorders>
              <w:top w:val="double" w:sz="4" w:space="0" w:color="auto"/>
              <w:left w:val="nil"/>
              <w:bottom w:val="nil"/>
              <w:right w:val="double" w:sz="4" w:space="0" w:color="auto"/>
            </w:tcBorders>
            <w:shd w:val="clear" w:color="auto" w:fill="auto"/>
            <w:noWrap/>
            <w:vAlign w:val="center"/>
            <w:hideMark/>
          </w:tcPr>
          <w:p w14:paraId="2B833FE3" w14:textId="77777777" w:rsidR="008B361B" w:rsidRPr="008B361B" w:rsidRDefault="008B361B">
            <w:pPr>
              <w:jc w:val="right"/>
              <w:rPr>
                <w:color w:val="000000"/>
                <w:sz w:val="20"/>
                <w:szCs w:val="20"/>
              </w:rPr>
            </w:pPr>
            <w:r w:rsidRPr="008B361B">
              <w:rPr>
                <w:color w:val="000000"/>
                <w:sz w:val="20"/>
                <w:szCs w:val="20"/>
              </w:rPr>
              <w:t>76.20</w:t>
            </w:r>
          </w:p>
        </w:tc>
        <w:tc>
          <w:tcPr>
            <w:tcW w:w="202" w:type="pct"/>
            <w:vMerge w:val="restart"/>
            <w:tcBorders>
              <w:top w:val="double" w:sz="4" w:space="0" w:color="auto"/>
              <w:left w:val="double" w:sz="4" w:space="0" w:color="auto"/>
              <w:right w:val="nil"/>
            </w:tcBorders>
            <w:shd w:val="clear" w:color="auto" w:fill="auto"/>
            <w:noWrap/>
            <w:vAlign w:val="center"/>
            <w:hideMark/>
          </w:tcPr>
          <w:p w14:paraId="6536C220" w14:textId="77777777" w:rsidR="008B361B" w:rsidRPr="008B361B" w:rsidRDefault="008B361B" w:rsidP="00491D16">
            <w:pPr>
              <w:jc w:val="both"/>
              <w:rPr>
                <w:sz w:val="20"/>
                <w:szCs w:val="20"/>
              </w:rPr>
            </w:pPr>
            <w:r w:rsidRPr="008B361B">
              <w:rPr>
                <w:sz w:val="20"/>
                <w:szCs w:val="20"/>
              </w:rPr>
              <w:t>B</w:t>
            </w:r>
          </w:p>
        </w:tc>
        <w:tc>
          <w:tcPr>
            <w:tcW w:w="557" w:type="pct"/>
            <w:tcBorders>
              <w:top w:val="double" w:sz="4" w:space="0" w:color="auto"/>
              <w:left w:val="single" w:sz="4" w:space="0" w:color="auto"/>
              <w:bottom w:val="nil"/>
              <w:right w:val="nil"/>
            </w:tcBorders>
            <w:shd w:val="clear" w:color="auto" w:fill="auto"/>
            <w:vAlign w:val="center"/>
            <w:hideMark/>
          </w:tcPr>
          <w:p w14:paraId="00C23D97" w14:textId="77777777" w:rsidR="008B361B" w:rsidRPr="008B361B" w:rsidRDefault="008B361B" w:rsidP="00491D16">
            <w:pPr>
              <w:jc w:val="both"/>
              <w:rPr>
                <w:sz w:val="20"/>
                <w:szCs w:val="20"/>
              </w:rPr>
            </w:pPr>
            <w:r w:rsidRPr="008B361B">
              <w:rPr>
                <w:sz w:val="20"/>
                <w:szCs w:val="20"/>
              </w:rPr>
              <w:t>P0CEP</w:t>
            </w:r>
          </w:p>
        </w:tc>
        <w:tc>
          <w:tcPr>
            <w:tcW w:w="419" w:type="pct"/>
            <w:tcBorders>
              <w:top w:val="double" w:sz="4" w:space="0" w:color="auto"/>
              <w:left w:val="nil"/>
              <w:bottom w:val="nil"/>
              <w:right w:val="nil"/>
            </w:tcBorders>
            <w:shd w:val="clear" w:color="auto" w:fill="auto"/>
            <w:noWrap/>
            <w:vAlign w:val="center"/>
            <w:hideMark/>
          </w:tcPr>
          <w:p w14:paraId="36C175EA" w14:textId="77777777" w:rsidR="008B361B" w:rsidRPr="008B361B" w:rsidRDefault="008B361B">
            <w:pPr>
              <w:jc w:val="right"/>
              <w:rPr>
                <w:color w:val="000000"/>
                <w:sz w:val="20"/>
                <w:szCs w:val="20"/>
              </w:rPr>
            </w:pPr>
            <w:r w:rsidRPr="008B361B">
              <w:rPr>
                <w:color w:val="000000"/>
                <w:sz w:val="20"/>
                <w:szCs w:val="20"/>
              </w:rPr>
              <w:t>45.48</w:t>
            </w:r>
          </w:p>
        </w:tc>
        <w:tc>
          <w:tcPr>
            <w:tcW w:w="441" w:type="pct"/>
            <w:gridSpan w:val="2"/>
            <w:tcBorders>
              <w:top w:val="double" w:sz="4" w:space="0" w:color="auto"/>
              <w:left w:val="nil"/>
              <w:bottom w:val="nil"/>
              <w:right w:val="nil"/>
            </w:tcBorders>
            <w:shd w:val="clear" w:color="auto" w:fill="auto"/>
            <w:noWrap/>
            <w:vAlign w:val="center"/>
            <w:hideMark/>
          </w:tcPr>
          <w:p w14:paraId="36D5645B" w14:textId="77777777" w:rsidR="008B361B" w:rsidRPr="008B361B" w:rsidRDefault="008B361B">
            <w:pPr>
              <w:jc w:val="right"/>
              <w:rPr>
                <w:color w:val="000000"/>
                <w:sz w:val="20"/>
                <w:szCs w:val="20"/>
              </w:rPr>
            </w:pPr>
            <w:r w:rsidRPr="008B361B">
              <w:rPr>
                <w:color w:val="000000"/>
                <w:sz w:val="20"/>
                <w:szCs w:val="20"/>
              </w:rPr>
              <w:t>4.55</w:t>
            </w:r>
          </w:p>
        </w:tc>
        <w:tc>
          <w:tcPr>
            <w:tcW w:w="471" w:type="pct"/>
            <w:tcBorders>
              <w:top w:val="double" w:sz="4" w:space="0" w:color="auto"/>
              <w:left w:val="nil"/>
              <w:bottom w:val="nil"/>
              <w:right w:val="nil"/>
            </w:tcBorders>
            <w:shd w:val="clear" w:color="auto" w:fill="auto"/>
            <w:noWrap/>
            <w:vAlign w:val="center"/>
            <w:hideMark/>
          </w:tcPr>
          <w:p w14:paraId="3377CDE7" w14:textId="77777777" w:rsidR="008B361B" w:rsidRPr="008B361B" w:rsidRDefault="008B361B">
            <w:pPr>
              <w:jc w:val="right"/>
              <w:rPr>
                <w:color w:val="000000"/>
                <w:sz w:val="20"/>
                <w:szCs w:val="20"/>
              </w:rPr>
            </w:pPr>
            <w:r w:rsidRPr="008B361B">
              <w:rPr>
                <w:color w:val="000000"/>
                <w:sz w:val="20"/>
                <w:szCs w:val="20"/>
              </w:rPr>
              <w:t>40.60</w:t>
            </w:r>
          </w:p>
        </w:tc>
        <w:tc>
          <w:tcPr>
            <w:tcW w:w="411" w:type="pct"/>
            <w:tcBorders>
              <w:top w:val="double" w:sz="4" w:space="0" w:color="auto"/>
              <w:left w:val="nil"/>
              <w:bottom w:val="nil"/>
              <w:right w:val="double" w:sz="4" w:space="0" w:color="auto"/>
            </w:tcBorders>
            <w:shd w:val="clear" w:color="auto" w:fill="auto"/>
            <w:noWrap/>
            <w:vAlign w:val="center"/>
            <w:hideMark/>
          </w:tcPr>
          <w:p w14:paraId="1622DE67" w14:textId="77777777" w:rsidR="008B361B" w:rsidRPr="008B361B" w:rsidRDefault="008B361B">
            <w:pPr>
              <w:jc w:val="right"/>
              <w:rPr>
                <w:color w:val="000000"/>
                <w:sz w:val="20"/>
                <w:szCs w:val="20"/>
              </w:rPr>
            </w:pPr>
            <w:r w:rsidRPr="008B361B">
              <w:rPr>
                <w:color w:val="000000"/>
                <w:sz w:val="20"/>
                <w:szCs w:val="20"/>
              </w:rPr>
              <w:t>51.40</w:t>
            </w:r>
          </w:p>
        </w:tc>
      </w:tr>
      <w:tr w:rsidR="008B361B" w:rsidRPr="008B361B" w14:paraId="4AA2C6AA" w14:textId="77777777" w:rsidTr="008B361B">
        <w:trPr>
          <w:trHeight w:val="285"/>
        </w:trPr>
        <w:tc>
          <w:tcPr>
            <w:tcW w:w="259" w:type="pct"/>
            <w:vMerge/>
            <w:tcBorders>
              <w:left w:val="double" w:sz="4" w:space="0" w:color="auto"/>
              <w:right w:val="nil"/>
            </w:tcBorders>
            <w:shd w:val="clear" w:color="auto" w:fill="auto"/>
            <w:noWrap/>
            <w:vAlign w:val="center"/>
            <w:hideMark/>
          </w:tcPr>
          <w:p w14:paraId="645D77FB"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70D0BDB5" w14:textId="77777777" w:rsidR="008B361B" w:rsidRPr="008B361B" w:rsidRDefault="008B361B" w:rsidP="00491D16">
            <w:pPr>
              <w:jc w:val="both"/>
              <w:rPr>
                <w:sz w:val="20"/>
                <w:szCs w:val="20"/>
              </w:rPr>
            </w:pPr>
            <w:r w:rsidRPr="008B361B">
              <w:rPr>
                <w:sz w:val="20"/>
                <w:szCs w:val="20"/>
              </w:rPr>
              <w:t>PPTE</w:t>
            </w:r>
          </w:p>
        </w:tc>
        <w:tc>
          <w:tcPr>
            <w:tcW w:w="419" w:type="pct"/>
            <w:tcBorders>
              <w:top w:val="nil"/>
              <w:left w:val="nil"/>
              <w:bottom w:val="nil"/>
              <w:right w:val="nil"/>
            </w:tcBorders>
            <w:shd w:val="clear" w:color="auto" w:fill="auto"/>
            <w:noWrap/>
            <w:vAlign w:val="center"/>
            <w:hideMark/>
          </w:tcPr>
          <w:p w14:paraId="130ACDAE" w14:textId="77777777" w:rsidR="008B361B" w:rsidRPr="008B361B" w:rsidRDefault="008B361B">
            <w:pPr>
              <w:jc w:val="right"/>
              <w:rPr>
                <w:color w:val="000000"/>
                <w:sz w:val="20"/>
                <w:szCs w:val="20"/>
              </w:rPr>
            </w:pPr>
            <w:r w:rsidRPr="008B361B">
              <w:rPr>
                <w:color w:val="000000"/>
                <w:sz w:val="20"/>
                <w:szCs w:val="20"/>
              </w:rPr>
              <w:t>26.13</w:t>
            </w:r>
          </w:p>
        </w:tc>
        <w:tc>
          <w:tcPr>
            <w:tcW w:w="441" w:type="pct"/>
            <w:tcBorders>
              <w:top w:val="nil"/>
              <w:left w:val="nil"/>
              <w:bottom w:val="nil"/>
              <w:right w:val="nil"/>
            </w:tcBorders>
            <w:shd w:val="clear" w:color="auto" w:fill="auto"/>
            <w:noWrap/>
            <w:vAlign w:val="center"/>
            <w:hideMark/>
          </w:tcPr>
          <w:p w14:paraId="208148AE" w14:textId="77777777" w:rsidR="008B361B" w:rsidRPr="008B361B" w:rsidRDefault="008B361B">
            <w:pPr>
              <w:jc w:val="right"/>
              <w:rPr>
                <w:color w:val="000000"/>
                <w:sz w:val="20"/>
                <w:szCs w:val="20"/>
              </w:rPr>
            </w:pPr>
            <w:r w:rsidRPr="008B361B">
              <w:rPr>
                <w:color w:val="000000"/>
                <w:sz w:val="20"/>
                <w:szCs w:val="20"/>
              </w:rPr>
              <w:t>0.68</w:t>
            </w:r>
          </w:p>
        </w:tc>
        <w:tc>
          <w:tcPr>
            <w:tcW w:w="412" w:type="pct"/>
            <w:tcBorders>
              <w:top w:val="nil"/>
              <w:left w:val="nil"/>
              <w:bottom w:val="nil"/>
              <w:right w:val="nil"/>
            </w:tcBorders>
            <w:shd w:val="clear" w:color="auto" w:fill="auto"/>
            <w:noWrap/>
            <w:vAlign w:val="center"/>
            <w:hideMark/>
          </w:tcPr>
          <w:p w14:paraId="1ACE0518" w14:textId="77777777" w:rsidR="008B361B" w:rsidRPr="008B361B" w:rsidRDefault="008B361B">
            <w:pPr>
              <w:jc w:val="right"/>
              <w:rPr>
                <w:color w:val="000000"/>
                <w:sz w:val="20"/>
                <w:szCs w:val="20"/>
              </w:rPr>
            </w:pPr>
            <w:r w:rsidRPr="008B361B">
              <w:rPr>
                <w:color w:val="000000"/>
                <w:sz w:val="20"/>
                <w:szCs w:val="20"/>
              </w:rPr>
              <w:t>25.40</w:t>
            </w:r>
          </w:p>
        </w:tc>
        <w:tc>
          <w:tcPr>
            <w:tcW w:w="412" w:type="pct"/>
            <w:tcBorders>
              <w:top w:val="nil"/>
              <w:left w:val="nil"/>
              <w:bottom w:val="nil"/>
              <w:right w:val="double" w:sz="4" w:space="0" w:color="auto"/>
            </w:tcBorders>
            <w:shd w:val="clear" w:color="auto" w:fill="auto"/>
            <w:noWrap/>
            <w:vAlign w:val="center"/>
            <w:hideMark/>
          </w:tcPr>
          <w:p w14:paraId="6CA620F0" w14:textId="77777777" w:rsidR="008B361B" w:rsidRPr="008B361B" w:rsidRDefault="008B361B">
            <w:pPr>
              <w:jc w:val="right"/>
              <w:rPr>
                <w:color w:val="000000"/>
                <w:sz w:val="20"/>
                <w:szCs w:val="20"/>
              </w:rPr>
            </w:pPr>
            <w:r w:rsidRPr="008B361B">
              <w:rPr>
                <w:color w:val="000000"/>
                <w:sz w:val="20"/>
                <w:szCs w:val="20"/>
              </w:rPr>
              <w:t>26.80</w:t>
            </w:r>
          </w:p>
        </w:tc>
        <w:tc>
          <w:tcPr>
            <w:tcW w:w="202" w:type="pct"/>
            <w:vMerge/>
            <w:tcBorders>
              <w:left w:val="double" w:sz="4" w:space="0" w:color="auto"/>
              <w:right w:val="nil"/>
            </w:tcBorders>
            <w:shd w:val="clear" w:color="auto" w:fill="auto"/>
            <w:noWrap/>
            <w:vAlign w:val="center"/>
            <w:hideMark/>
          </w:tcPr>
          <w:p w14:paraId="3C4A925F" w14:textId="77777777" w:rsidR="008B361B" w:rsidRPr="008B361B" w:rsidRDefault="008B361B" w:rsidP="00491D16">
            <w:pPr>
              <w:jc w:val="both"/>
              <w:rPr>
                <w:sz w:val="20"/>
                <w:szCs w:val="20"/>
              </w:rPr>
            </w:pPr>
          </w:p>
        </w:tc>
        <w:tc>
          <w:tcPr>
            <w:tcW w:w="557" w:type="pct"/>
            <w:tcBorders>
              <w:top w:val="nil"/>
              <w:left w:val="single" w:sz="4" w:space="0" w:color="auto"/>
              <w:bottom w:val="nil"/>
              <w:right w:val="nil"/>
            </w:tcBorders>
            <w:shd w:val="clear" w:color="auto" w:fill="auto"/>
            <w:vAlign w:val="center"/>
            <w:hideMark/>
          </w:tcPr>
          <w:p w14:paraId="13DE11AB" w14:textId="77777777" w:rsidR="008B361B" w:rsidRPr="008B361B" w:rsidRDefault="008B361B" w:rsidP="00491D16">
            <w:pPr>
              <w:jc w:val="both"/>
              <w:rPr>
                <w:sz w:val="20"/>
                <w:szCs w:val="20"/>
              </w:rPr>
            </w:pPr>
            <w:r w:rsidRPr="008B361B">
              <w:rPr>
                <w:sz w:val="20"/>
                <w:szCs w:val="20"/>
              </w:rPr>
              <w:t>PPTE</w:t>
            </w:r>
          </w:p>
        </w:tc>
        <w:tc>
          <w:tcPr>
            <w:tcW w:w="419" w:type="pct"/>
            <w:tcBorders>
              <w:top w:val="nil"/>
              <w:left w:val="nil"/>
              <w:bottom w:val="nil"/>
              <w:right w:val="nil"/>
            </w:tcBorders>
            <w:shd w:val="clear" w:color="auto" w:fill="auto"/>
            <w:noWrap/>
            <w:vAlign w:val="center"/>
            <w:hideMark/>
          </w:tcPr>
          <w:p w14:paraId="495887B7" w14:textId="77777777" w:rsidR="008B361B" w:rsidRPr="008B361B" w:rsidRDefault="008B361B">
            <w:pPr>
              <w:jc w:val="right"/>
              <w:rPr>
                <w:color w:val="000000"/>
                <w:sz w:val="20"/>
                <w:szCs w:val="20"/>
              </w:rPr>
            </w:pPr>
            <w:r w:rsidRPr="008B361B">
              <w:rPr>
                <w:color w:val="000000"/>
                <w:sz w:val="20"/>
                <w:szCs w:val="20"/>
              </w:rPr>
              <w:t>17.85</w:t>
            </w:r>
          </w:p>
        </w:tc>
        <w:tc>
          <w:tcPr>
            <w:tcW w:w="441" w:type="pct"/>
            <w:gridSpan w:val="2"/>
            <w:tcBorders>
              <w:top w:val="nil"/>
              <w:left w:val="nil"/>
              <w:bottom w:val="nil"/>
              <w:right w:val="nil"/>
            </w:tcBorders>
            <w:shd w:val="clear" w:color="auto" w:fill="auto"/>
            <w:noWrap/>
            <w:vAlign w:val="center"/>
            <w:hideMark/>
          </w:tcPr>
          <w:p w14:paraId="645B52F7" w14:textId="77777777" w:rsidR="008B361B" w:rsidRPr="008B361B" w:rsidRDefault="008B361B">
            <w:pPr>
              <w:jc w:val="right"/>
              <w:rPr>
                <w:color w:val="000000"/>
                <w:sz w:val="20"/>
                <w:szCs w:val="20"/>
              </w:rPr>
            </w:pPr>
            <w:r w:rsidRPr="008B361B">
              <w:rPr>
                <w:color w:val="000000"/>
                <w:sz w:val="20"/>
                <w:szCs w:val="20"/>
              </w:rPr>
              <w:t>0.73</w:t>
            </w:r>
          </w:p>
        </w:tc>
        <w:tc>
          <w:tcPr>
            <w:tcW w:w="471" w:type="pct"/>
            <w:tcBorders>
              <w:top w:val="nil"/>
              <w:left w:val="nil"/>
              <w:bottom w:val="nil"/>
              <w:right w:val="nil"/>
            </w:tcBorders>
            <w:shd w:val="clear" w:color="auto" w:fill="auto"/>
            <w:noWrap/>
            <w:vAlign w:val="center"/>
            <w:hideMark/>
          </w:tcPr>
          <w:p w14:paraId="1E8AC59E" w14:textId="77777777" w:rsidR="008B361B" w:rsidRPr="008B361B" w:rsidRDefault="008B361B">
            <w:pPr>
              <w:jc w:val="right"/>
              <w:rPr>
                <w:color w:val="000000"/>
                <w:sz w:val="20"/>
                <w:szCs w:val="20"/>
              </w:rPr>
            </w:pPr>
            <w:r w:rsidRPr="008B361B">
              <w:rPr>
                <w:color w:val="000000"/>
                <w:sz w:val="20"/>
                <w:szCs w:val="20"/>
              </w:rPr>
              <w:t>16.90</w:t>
            </w:r>
          </w:p>
        </w:tc>
        <w:tc>
          <w:tcPr>
            <w:tcW w:w="411" w:type="pct"/>
            <w:tcBorders>
              <w:top w:val="nil"/>
              <w:left w:val="nil"/>
              <w:bottom w:val="nil"/>
              <w:right w:val="double" w:sz="4" w:space="0" w:color="auto"/>
            </w:tcBorders>
            <w:shd w:val="clear" w:color="auto" w:fill="auto"/>
            <w:noWrap/>
            <w:vAlign w:val="center"/>
            <w:hideMark/>
          </w:tcPr>
          <w:p w14:paraId="4CCC09DA" w14:textId="77777777" w:rsidR="008B361B" w:rsidRPr="008B361B" w:rsidRDefault="008B361B">
            <w:pPr>
              <w:jc w:val="right"/>
              <w:rPr>
                <w:color w:val="000000"/>
                <w:sz w:val="20"/>
                <w:szCs w:val="20"/>
              </w:rPr>
            </w:pPr>
            <w:r w:rsidRPr="008B361B">
              <w:rPr>
                <w:color w:val="000000"/>
                <w:sz w:val="20"/>
                <w:szCs w:val="20"/>
              </w:rPr>
              <w:t>18.70</w:t>
            </w:r>
          </w:p>
        </w:tc>
      </w:tr>
      <w:tr w:rsidR="008B361B" w:rsidRPr="008B361B" w14:paraId="122D214A" w14:textId="77777777" w:rsidTr="008B361B">
        <w:trPr>
          <w:trHeight w:val="285"/>
        </w:trPr>
        <w:tc>
          <w:tcPr>
            <w:tcW w:w="259" w:type="pct"/>
            <w:vMerge/>
            <w:tcBorders>
              <w:left w:val="double" w:sz="4" w:space="0" w:color="auto"/>
              <w:right w:val="nil"/>
            </w:tcBorders>
            <w:shd w:val="clear" w:color="auto" w:fill="auto"/>
            <w:noWrap/>
            <w:vAlign w:val="center"/>
            <w:hideMark/>
          </w:tcPr>
          <w:p w14:paraId="61AC32C2"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262435DD" w14:textId="77777777" w:rsidR="008B361B" w:rsidRPr="008B361B" w:rsidRDefault="008B361B" w:rsidP="00491D16">
            <w:pPr>
              <w:jc w:val="both"/>
              <w:rPr>
                <w:sz w:val="20"/>
                <w:szCs w:val="20"/>
              </w:rPr>
            </w:pPr>
            <w:r w:rsidRPr="008B361B">
              <w:rPr>
                <w:sz w:val="20"/>
                <w:szCs w:val="20"/>
              </w:rPr>
              <w:t>PPATS</w:t>
            </w:r>
          </w:p>
        </w:tc>
        <w:tc>
          <w:tcPr>
            <w:tcW w:w="419" w:type="pct"/>
            <w:tcBorders>
              <w:top w:val="nil"/>
              <w:left w:val="nil"/>
              <w:bottom w:val="nil"/>
              <w:right w:val="nil"/>
            </w:tcBorders>
            <w:shd w:val="clear" w:color="auto" w:fill="auto"/>
            <w:noWrap/>
            <w:vAlign w:val="center"/>
            <w:hideMark/>
          </w:tcPr>
          <w:p w14:paraId="56331CA7" w14:textId="77777777" w:rsidR="008B361B" w:rsidRPr="008B361B" w:rsidRDefault="008B361B">
            <w:pPr>
              <w:jc w:val="right"/>
              <w:rPr>
                <w:color w:val="000000"/>
                <w:sz w:val="20"/>
                <w:szCs w:val="20"/>
              </w:rPr>
            </w:pPr>
            <w:r w:rsidRPr="008B361B">
              <w:rPr>
                <w:color w:val="000000"/>
                <w:sz w:val="20"/>
                <w:szCs w:val="20"/>
              </w:rPr>
              <w:t>8.03</w:t>
            </w:r>
          </w:p>
        </w:tc>
        <w:tc>
          <w:tcPr>
            <w:tcW w:w="441" w:type="pct"/>
            <w:tcBorders>
              <w:top w:val="nil"/>
              <w:left w:val="nil"/>
              <w:bottom w:val="nil"/>
              <w:right w:val="nil"/>
            </w:tcBorders>
            <w:shd w:val="clear" w:color="auto" w:fill="auto"/>
            <w:noWrap/>
            <w:vAlign w:val="center"/>
            <w:hideMark/>
          </w:tcPr>
          <w:p w14:paraId="01DF0372" w14:textId="77777777" w:rsidR="008B361B" w:rsidRPr="008B361B" w:rsidRDefault="008B361B">
            <w:pPr>
              <w:jc w:val="right"/>
              <w:rPr>
                <w:color w:val="000000"/>
                <w:sz w:val="20"/>
                <w:szCs w:val="20"/>
              </w:rPr>
            </w:pPr>
            <w:r w:rsidRPr="008B361B">
              <w:rPr>
                <w:color w:val="000000"/>
                <w:sz w:val="20"/>
                <w:szCs w:val="20"/>
              </w:rPr>
              <w:t>1.47</w:t>
            </w:r>
          </w:p>
        </w:tc>
        <w:tc>
          <w:tcPr>
            <w:tcW w:w="412" w:type="pct"/>
            <w:tcBorders>
              <w:top w:val="nil"/>
              <w:left w:val="nil"/>
              <w:bottom w:val="nil"/>
              <w:right w:val="nil"/>
            </w:tcBorders>
            <w:shd w:val="clear" w:color="auto" w:fill="auto"/>
            <w:noWrap/>
            <w:vAlign w:val="center"/>
            <w:hideMark/>
          </w:tcPr>
          <w:p w14:paraId="6393D88C" w14:textId="77777777" w:rsidR="008B361B" w:rsidRPr="008B361B" w:rsidRDefault="008B361B">
            <w:pPr>
              <w:jc w:val="right"/>
              <w:rPr>
                <w:color w:val="000000"/>
                <w:sz w:val="20"/>
                <w:szCs w:val="20"/>
              </w:rPr>
            </w:pPr>
            <w:r w:rsidRPr="008B361B">
              <w:rPr>
                <w:color w:val="000000"/>
                <w:sz w:val="20"/>
                <w:szCs w:val="20"/>
              </w:rPr>
              <w:t>6.50</w:t>
            </w:r>
          </w:p>
        </w:tc>
        <w:tc>
          <w:tcPr>
            <w:tcW w:w="412" w:type="pct"/>
            <w:tcBorders>
              <w:top w:val="nil"/>
              <w:left w:val="nil"/>
              <w:bottom w:val="nil"/>
              <w:right w:val="double" w:sz="4" w:space="0" w:color="auto"/>
            </w:tcBorders>
            <w:shd w:val="clear" w:color="auto" w:fill="auto"/>
            <w:noWrap/>
            <w:vAlign w:val="center"/>
            <w:hideMark/>
          </w:tcPr>
          <w:p w14:paraId="39E74C2D" w14:textId="77777777" w:rsidR="008B361B" w:rsidRPr="008B361B" w:rsidRDefault="008B361B">
            <w:pPr>
              <w:jc w:val="right"/>
              <w:rPr>
                <w:color w:val="000000"/>
                <w:sz w:val="20"/>
                <w:szCs w:val="20"/>
              </w:rPr>
            </w:pPr>
            <w:r w:rsidRPr="008B361B">
              <w:rPr>
                <w:color w:val="000000"/>
                <w:sz w:val="20"/>
                <w:szCs w:val="20"/>
              </w:rPr>
              <w:t>9.90</w:t>
            </w:r>
          </w:p>
        </w:tc>
        <w:tc>
          <w:tcPr>
            <w:tcW w:w="202" w:type="pct"/>
            <w:vMerge/>
            <w:tcBorders>
              <w:left w:val="double" w:sz="4" w:space="0" w:color="auto"/>
              <w:right w:val="nil"/>
            </w:tcBorders>
            <w:shd w:val="clear" w:color="auto" w:fill="auto"/>
            <w:noWrap/>
            <w:vAlign w:val="center"/>
            <w:hideMark/>
          </w:tcPr>
          <w:p w14:paraId="7962389B" w14:textId="77777777" w:rsidR="008B361B" w:rsidRPr="008B361B" w:rsidRDefault="008B361B" w:rsidP="00491D16">
            <w:pPr>
              <w:jc w:val="both"/>
              <w:rPr>
                <w:sz w:val="20"/>
                <w:szCs w:val="20"/>
              </w:rPr>
            </w:pPr>
          </w:p>
        </w:tc>
        <w:tc>
          <w:tcPr>
            <w:tcW w:w="557" w:type="pct"/>
            <w:tcBorders>
              <w:top w:val="nil"/>
              <w:left w:val="single" w:sz="4" w:space="0" w:color="auto"/>
              <w:bottom w:val="nil"/>
              <w:right w:val="nil"/>
            </w:tcBorders>
            <w:shd w:val="clear" w:color="auto" w:fill="auto"/>
            <w:vAlign w:val="center"/>
            <w:hideMark/>
          </w:tcPr>
          <w:p w14:paraId="48227F7B" w14:textId="77777777" w:rsidR="008B361B" w:rsidRPr="008B361B" w:rsidRDefault="008B361B" w:rsidP="00491D16">
            <w:pPr>
              <w:jc w:val="both"/>
              <w:rPr>
                <w:sz w:val="20"/>
                <w:szCs w:val="20"/>
              </w:rPr>
            </w:pPr>
            <w:r w:rsidRPr="008B361B">
              <w:rPr>
                <w:sz w:val="20"/>
                <w:szCs w:val="20"/>
              </w:rPr>
              <w:t>PPATS</w:t>
            </w:r>
          </w:p>
        </w:tc>
        <w:tc>
          <w:tcPr>
            <w:tcW w:w="419" w:type="pct"/>
            <w:tcBorders>
              <w:top w:val="nil"/>
              <w:left w:val="nil"/>
              <w:bottom w:val="nil"/>
              <w:right w:val="nil"/>
            </w:tcBorders>
            <w:shd w:val="clear" w:color="auto" w:fill="auto"/>
            <w:noWrap/>
            <w:vAlign w:val="center"/>
            <w:hideMark/>
          </w:tcPr>
          <w:p w14:paraId="6E815E2F" w14:textId="77777777" w:rsidR="008B361B" w:rsidRPr="008B361B" w:rsidRDefault="008B361B">
            <w:pPr>
              <w:jc w:val="right"/>
              <w:rPr>
                <w:color w:val="000000"/>
                <w:sz w:val="20"/>
                <w:szCs w:val="20"/>
              </w:rPr>
            </w:pPr>
            <w:r w:rsidRPr="008B361B">
              <w:rPr>
                <w:color w:val="000000"/>
                <w:sz w:val="20"/>
                <w:szCs w:val="20"/>
              </w:rPr>
              <w:t>12.78</w:t>
            </w:r>
          </w:p>
        </w:tc>
        <w:tc>
          <w:tcPr>
            <w:tcW w:w="441" w:type="pct"/>
            <w:gridSpan w:val="2"/>
            <w:tcBorders>
              <w:top w:val="nil"/>
              <w:left w:val="nil"/>
              <w:bottom w:val="nil"/>
              <w:right w:val="nil"/>
            </w:tcBorders>
            <w:shd w:val="clear" w:color="auto" w:fill="auto"/>
            <w:noWrap/>
            <w:vAlign w:val="center"/>
            <w:hideMark/>
          </w:tcPr>
          <w:p w14:paraId="74071C5E" w14:textId="77777777" w:rsidR="008B361B" w:rsidRPr="008B361B" w:rsidRDefault="008B361B">
            <w:pPr>
              <w:jc w:val="right"/>
              <w:rPr>
                <w:color w:val="000000"/>
                <w:sz w:val="20"/>
                <w:szCs w:val="20"/>
              </w:rPr>
            </w:pPr>
            <w:r w:rsidRPr="008B361B">
              <w:rPr>
                <w:color w:val="000000"/>
                <w:sz w:val="20"/>
                <w:szCs w:val="20"/>
              </w:rPr>
              <w:t>2.47</w:t>
            </w:r>
          </w:p>
        </w:tc>
        <w:tc>
          <w:tcPr>
            <w:tcW w:w="471" w:type="pct"/>
            <w:tcBorders>
              <w:top w:val="nil"/>
              <w:left w:val="nil"/>
              <w:bottom w:val="nil"/>
              <w:right w:val="nil"/>
            </w:tcBorders>
            <w:shd w:val="clear" w:color="auto" w:fill="auto"/>
            <w:noWrap/>
            <w:vAlign w:val="center"/>
            <w:hideMark/>
          </w:tcPr>
          <w:p w14:paraId="4FD8468C" w14:textId="77777777" w:rsidR="008B361B" w:rsidRPr="008B361B" w:rsidRDefault="008B361B">
            <w:pPr>
              <w:jc w:val="right"/>
              <w:rPr>
                <w:color w:val="000000"/>
                <w:sz w:val="20"/>
                <w:szCs w:val="20"/>
              </w:rPr>
            </w:pPr>
            <w:r w:rsidRPr="008B361B">
              <w:rPr>
                <w:color w:val="000000"/>
                <w:sz w:val="20"/>
                <w:szCs w:val="20"/>
              </w:rPr>
              <w:t>8.30</w:t>
            </w:r>
          </w:p>
        </w:tc>
        <w:tc>
          <w:tcPr>
            <w:tcW w:w="411" w:type="pct"/>
            <w:tcBorders>
              <w:top w:val="nil"/>
              <w:left w:val="nil"/>
              <w:bottom w:val="nil"/>
              <w:right w:val="double" w:sz="4" w:space="0" w:color="auto"/>
            </w:tcBorders>
            <w:shd w:val="clear" w:color="auto" w:fill="auto"/>
            <w:noWrap/>
            <w:vAlign w:val="center"/>
            <w:hideMark/>
          </w:tcPr>
          <w:p w14:paraId="37174133" w14:textId="77777777" w:rsidR="008B361B" w:rsidRPr="008B361B" w:rsidRDefault="008B361B">
            <w:pPr>
              <w:jc w:val="right"/>
              <w:rPr>
                <w:color w:val="000000"/>
                <w:sz w:val="20"/>
                <w:szCs w:val="20"/>
              </w:rPr>
            </w:pPr>
            <w:r w:rsidRPr="008B361B">
              <w:rPr>
                <w:color w:val="000000"/>
                <w:sz w:val="20"/>
                <w:szCs w:val="20"/>
              </w:rPr>
              <w:t>15.30</w:t>
            </w:r>
          </w:p>
        </w:tc>
      </w:tr>
      <w:tr w:rsidR="008B361B" w:rsidRPr="008B361B" w14:paraId="2E5A7AF1" w14:textId="77777777" w:rsidTr="008B361B">
        <w:trPr>
          <w:trHeight w:val="285"/>
        </w:trPr>
        <w:tc>
          <w:tcPr>
            <w:tcW w:w="259" w:type="pct"/>
            <w:vMerge/>
            <w:tcBorders>
              <w:left w:val="double" w:sz="4" w:space="0" w:color="auto"/>
              <w:right w:val="nil"/>
            </w:tcBorders>
            <w:shd w:val="clear" w:color="auto" w:fill="auto"/>
            <w:noWrap/>
            <w:vAlign w:val="center"/>
            <w:hideMark/>
          </w:tcPr>
          <w:p w14:paraId="6862CC9A"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31501D0B" w14:textId="77777777" w:rsidR="008B361B" w:rsidRPr="008B361B" w:rsidRDefault="008B361B" w:rsidP="00491D16">
            <w:pPr>
              <w:jc w:val="both"/>
              <w:rPr>
                <w:sz w:val="20"/>
                <w:szCs w:val="20"/>
              </w:rPr>
            </w:pPr>
            <w:r w:rsidRPr="008B361B">
              <w:rPr>
                <w:sz w:val="20"/>
                <w:szCs w:val="20"/>
              </w:rPr>
              <w:t>PPEAP</w:t>
            </w:r>
          </w:p>
        </w:tc>
        <w:tc>
          <w:tcPr>
            <w:tcW w:w="419" w:type="pct"/>
            <w:tcBorders>
              <w:top w:val="nil"/>
              <w:left w:val="nil"/>
              <w:bottom w:val="nil"/>
              <w:right w:val="nil"/>
            </w:tcBorders>
            <w:shd w:val="clear" w:color="auto" w:fill="auto"/>
            <w:noWrap/>
            <w:vAlign w:val="center"/>
            <w:hideMark/>
          </w:tcPr>
          <w:p w14:paraId="6976F474" w14:textId="77777777" w:rsidR="008B361B" w:rsidRPr="008B361B" w:rsidRDefault="008B361B">
            <w:pPr>
              <w:jc w:val="right"/>
              <w:rPr>
                <w:color w:val="000000"/>
                <w:sz w:val="20"/>
                <w:szCs w:val="20"/>
              </w:rPr>
            </w:pPr>
            <w:r w:rsidRPr="008B361B">
              <w:rPr>
                <w:color w:val="000000"/>
                <w:sz w:val="20"/>
                <w:szCs w:val="20"/>
              </w:rPr>
              <w:t>3.08</w:t>
            </w:r>
          </w:p>
        </w:tc>
        <w:tc>
          <w:tcPr>
            <w:tcW w:w="441" w:type="pct"/>
            <w:tcBorders>
              <w:top w:val="nil"/>
              <w:left w:val="nil"/>
              <w:bottom w:val="nil"/>
              <w:right w:val="nil"/>
            </w:tcBorders>
            <w:shd w:val="clear" w:color="auto" w:fill="auto"/>
            <w:noWrap/>
            <w:vAlign w:val="center"/>
            <w:hideMark/>
          </w:tcPr>
          <w:p w14:paraId="138CEE98" w14:textId="77777777" w:rsidR="008B361B" w:rsidRPr="008B361B" w:rsidRDefault="008B361B">
            <w:pPr>
              <w:jc w:val="right"/>
              <w:rPr>
                <w:color w:val="000000"/>
                <w:sz w:val="20"/>
                <w:szCs w:val="20"/>
              </w:rPr>
            </w:pPr>
            <w:r w:rsidRPr="008B361B">
              <w:rPr>
                <w:color w:val="000000"/>
                <w:sz w:val="20"/>
                <w:szCs w:val="20"/>
              </w:rPr>
              <w:t>0.73</w:t>
            </w:r>
          </w:p>
        </w:tc>
        <w:tc>
          <w:tcPr>
            <w:tcW w:w="412" w:type="pct"/>
            <w:tcBorders>
              <w:top w:val="nil"/>
              <w:left w:val="nil"/>
              <w:bottom w:val="nil"/>
              <w:right w:val="nil"/>
            </w:tcBorders>
            <w:shd w:val="clear" w:color="auto" w:fill="auto"/>
            <w:noWrap/>
            <w:vAlign w:val="center"/>
            <w:hideMark/>
          </w:tcPr>
          <w:p w14:paraId="20A9F8A4" w14:textId="77777777" w:rsidR="008B361B" w:rsidRPr="008B361B" w:rsidRDefault="008B361B">
            <w:pPr>
              <w:jc w:val="right"/>
              <w:rPr>
                <w:color w:val="000000"/>
                <w:sz w:val="20"/>
                <w:szCs w:val="20"/>
              </w:rPr>
            </w:pPr>
            <w:r w:rsidRPr="008B361B">
              <w:rPr>
                <w:color w:val="000000"/>
                <w:sz w:val="20"/>
                <w:szCs w:val="20"/>
              </w:rPr>
              <w:t>2.40</w:t>
            </w:r>
          </w:p>
        </w:tc>
        <w:tc>
          <w:tcPr>
            <w:tcW w:w="412" w:type="pct"/>
            <w:tcBorders>
              <w:top w:val="nil"/>
              <w:left w:val="nil"/>
              <w:bottom w:val="nil"/>
              <w:right w:val="double" w:sz="4" w:space="0" w:color="auto"/>
            </w:tcBorders>
            <w:shd w:val="clear" w:color="auto" w:fill="auto"/>
            <w:noWrap/>
            <w:vAlign w:val="center"/>
            <w:hideMark/>
          </w:tcPr>
          <w:p w14:paraId="33B460A1" w14:textId="77777777" w:rsidR="008B361B" w:rsidRPr="008B361B" w:rsidRDefault="008B361B">
            <w:pPr>
              <w:jc w:val="right"/>
              <w:rPr>
                <w:color w:val="000000"/>
                <w:sz w:val="20"/>
                <w:szCs w:val="20"/>
              </w:rPr>
            </w:pPr>
            <w:r w:rsidRPr="008B361B">
              <w:rPr>
                <w:color w:val="000000"/>
                <w:sz w:val="20"/>
                <w:szCs w:val="20"/>
              </w:rPr>
              <w:t>4.00</w:t>
            </w:r>
          </w:p>
        </w:tc>
        <w:tc>
          <w:tcPr>
            <w:tcW w:w="202" w:type="pct"/>
            <w:vMerge/>
            <w:tcBorders>
              <w:left w:val="double" w:sz="4" w:space="0" w:color="auto"/>
              <w:right w:val="nil"/>
            </w:tcBorders>
            <w:shd w:val="clear" w:color="auto" w:fill="auto"/>
            <w:noWrap/>
            <w:vAlign w:val="center"/>
            <w:hideMark/>
          </w:tcPr>
          <w:p w14:paraId="29EBCB0B" w14:textId="77777777" w:rsidR="008B361B" w:rsidRPr="008B361B" w:rsidRDefault="008B361B" w:rsidP="00491D16">
            <w:pPr>
              <w:jc w:val="both"/>
              <w:rPr>
                <w:sz w:val="20"/>
                <w:szCs w:val="20"/>
              </w:rPr>
            </w:pPr>
          </w:p>
        </w:tc>
        <w:tc>
          <w:tcPr>
            <w:tcW w:w="557" w:type="pct"/>
            <w:tcBorders>
              <w:top w:val="nil"/>
              <w:left w:val="single" w:sz="4" w:space="0" w:color="auto"/>
              <w:bottom w:val="nil"/>
              <w:right w:val="nil"/>
            </w:tcBorders>
            <w:shd w:val="clear" w:color="auto" w:fill="auto"/>
            <w:vAlign w:val="center"/>
            <w:hideMark/>
          </w:tcPr>
          <w:p w14:paraId="55D93492" w14:textId="77777777" w:rsidR="008B361B" w:rsidRPr="008B361B" w:rsidRDefault="008B361B" w:rsidP="00491D16">
            <w:pPr>
              <w:jc w:val="both"/>
              <w:rPr>
                <w:sz w:val="20"/>
                <w:szCs w:val="20"/>
              </w:rPr>
            </w:pPr>
            <w:r w:rsidRPr="008B361B">
              <w:rPr>
                <w:sz w:val="20"/>
                <w:szCs w:val="20"/>
              </w:rPr>
              <w:t>PPEAP</w:t>
            </w:r>
          </w:p>
        </w:tc>
        <w:tc>
          <w:tcPr>
            <w:tcW w:w="419" w:type="pct"/>
            <w:tcBorders>
              <w:top w:val="nil"/>
              <w:left w:val="nil"/>
              <w:bottom w:val="nil"/>
              <w:right w:val="nil"/>
            </w:tcBorders>
            <w:shd w:val="clear" w:color="auto" w:fill="auto"/>
            <w:noWrap/>
            <w:vAlign w:val="center"/>
            <w:hideMark/>
          </w:tcPr>
          <w:p w14:paraId="08C29B23" w14:textId="77777777" w:rsidR="008B361B" w:rsidRPr="008B361B" w:rsidRDefault="008B361B">
            <w:pPr>
              <w:jc w:val="right"/>
              <w:rPr>
                <w:color w:val="000000"/>
                <w:sz w:val="20"/>
                <w:szCs w:val="20"/>
              </w:rPr>
            </w:pPr>
            <w:r w:rsidRPr="008B361B">
              <w:rPr>
                <w:color w:val="000000"/>
                <w:sz w:val="20"/>
                <w:szCs w:val="20"/>
              </w:rPr>
              <w:t>2.23</w:t>
            </w:r>
          </w:p>
        </w:tc>
        <w:tc>
          <w:tcPr>
            <w:tcW w:w="441" w:type="pct"/>
            <w:gridSpan w:val="2"/>
            <w:tcBorders>
              <w:top w:val="nil"/>
              <w:left w:val="nil"/>
              <w:bottom w:val="nil"/>
              <w:right w:val="nil"/>
            </w:tcBorders>
            <w:shd w:val="clear" w:color="auto" w:fill="auto"/>
            <w:noWrap/>
            <w:vAlign w:val="center"/>
            <w:hideMark/>
          </w:tcPr>
          <w:p w14:paraId="2CC635E1" w14:textId="77777777" w:rsidR="008B361B" w:rsidRPr="008B361B" w:rsidRDefault="008B361B">
            <w:pPr>
              <w:jc w:val="right"/>
              <w:rPr>
                <w:color w:val="000000"/>
                <w:sz w:val="20"/>
                <w:szCs w:val="20"/>
              </w:rPr>
            </w:pPr>
            <w:r w:rsidRPr="008B361B">
              <w:rPr>
                <w:color w:val="000000"/>
                <w:sz w:val="20"/>
                <w:szCs w:val="20"/>
              </w:rPr>
              <w:t>0.39</w:t>
            </w:r>
          </w:p>
        </w:tc>
        <w:tc>
          <w:tcPr>
            <w:tcW w:w="471" w:type="pct"/>
            <w:tcBorders>
              <w:top w:val="nil"/>
              <w:left w:val="nil"/>
              <w:bottom w:val="nil"/>
              <w:right w:val="nil"/>
            </w:tcBorders>
            <w:shd w:val="clear" w:color="auto" w:fill="auto"/>
            <w:noWrap/>
            <w:vAlign w:val="center"/>
            <w:hideMark/>
          </w:tcPr>
          <w:p w14:paraId="4B0DBA00" w14:textId="77777777" w:rsidR="008B361B" w:rsidRPr="008B361B" w:rsidRDefault="008B361B">
            <w:pPr>
              <w:jc w:val="right"/>
              <w:rPr>
                <w:color w:val="000000"/>
                <w:sz w:val="20"/>
                <w:szCs w:val="20"/>
              </w:rPr>
            </w:pPr>
            <w:r w:rsidRPr="008B361B">
              <w:rPr>
                <w:color w:val="000000"/>
                <w:sz w:val="20"/>
                <w:szCs w:val="20"/>
              </w:rPr>
              <w:t>1.80</w:t>
            </w:r>
          </w:p>
        </w:tc>
        <w:tc>
          <w:tcPr>
            <w:tcW w:w="411" w:type="pct"/>
            <w:tcBorders>
              <w:top w:val="nil"/>
              <w:left w:val="nil"/>
              <w:bottom w:val="nil"/>
              <w:right w:val="double" w:sz="4" w:space="0" w:color="auto"/>
            </w:tcBorders>
            <w:shd w:val="clear" w:color="auto" w:fill="auto"/>
            <w:noWrap/>
            <w:vAlign w:val="center"/>
            <w:hideMark/>
          </w:tcPr>
          <w:p w14:paraId="68A573DB" w14:textId="77777777" w:rsidR="008B361B" w:rsidRPr="008B361B" w:rsidRDefault="008B361B">
            <w:pPr>
              <w:jc w:val="right"/>
              <w:rPr>
                <w:color w:val="000000"/>
                <w:sz w:val="20"/>
                <w:szCs w:val="20"/>
              </w:rPr>
            </w:pPr>
            <w:r w:rsidRPr="008B361B">
              <w:rPr>
                <w:color w:val="000000"/>
                <w:sz w:val="20"/>
                <w:szCs w:val="20"/>
              </w:rPr>
              <w:t>2.80</w:t>
            </w:r>
          </w:p>
        </w:tc>
      </w:tr>
      <w:tr w:rsidR="008B361B" w:rsidRPr="008B361B" w14:paraId="3E5FE8E7" w14:textId="77777777" w:rsidTr="008B361B">
        <w:trPr>
          <w:trHeight w:val="285"/>
        </w:trPr>
        <w:tc>
          <w:tcPr>
            <w:tcW w:w="259" w:type="pct"/>
            <w:vMerge/>
            <w:tcBorders>
              <w:left w:val="double" w:sz="4" w:space="0" w:color="auto"/>
              <w:bottom w:val="double" w:sz="4" w:space="0" w:color="auto"/>
              <w:right w:val="nil"/>
            </w:tcBorders>
            <w:shd w:val="clear" w:color="auto" w:fill="auto"/>
            <w:noWrap/>
            <w:vAlign w:val="center"/>
            <w:hideMark/>
          </w:tcPr>
          <w:p w14:paraId="602B35FB" w14:textId="77777777" w:rsidR="008B361B" w:rsidRPr="008B361B" w:rsidRDefault="008B361B" w:rsidP="00491D16">
            <w:pPr>
              <w:jc w:val="both"/>
              <w:rPr>
                <w:sz w:val="20"/>
                <w:szCs w:val="20"/>
              </w:rPr>
            </w:pPr>
          </w:p>
        </w:tc>
        <w:tc>
          <w:tcPr>
            <w:tcW w:w="556" w:type="pct"/>
            <w:tcBorders>
              <w:top w:val="nil"/>
              <w:left w:val="single" w:sz="4" w:space="0" w:color="auto"/>
              <w:bottom w:val="double" w:sz="4" w:space="0" w:color="auto"/>
              <w:right w:val="nil"/>
            </w:tcBorders>
            <w:shd w:val="clear" w:color="auto" w:fill="auto"/>
            <w:vAlign w:val="center"/>
            <w:hideMark/>
          </w:tcPr>
          <w:p w14:paraId="74C2D47E" w14:textId="77777777" w:rsidR="008B361B" w:rsidRPr="008B361B" w:rsidRDefault="008B361B" w:rsidP="00491D16">
            <w:pPr>
              <w:jc w:val="both"/>
              <w:rPr>
                <w:sz w:val="20"/>
                <w:szCs w:val="20"/>
              </w:rPr>
            </w:pPr>
            <w:r w:rsidRPr="008B361B">
              <w:rPr>
                <w:sz w:val="20"/>
                <w:szCs w:val="20"/>
              </w:rPr>
              <w:t>PGDP</w:t>
            </w:r>
          </w:p>
        </w:tc>
        <w:tc>
          <w:tcPr>
            <w:tcW w:w="419" w:type="pct"/>
            <w:tcBorders>
              <w:top w:val="nil"/>
              <w:left w:val="nil"/>
              <w:bottom w:val="double" w:sz="4" w:space="0" w:color="auto"/>
              <w:right w:val="nil"/>
            </w:tcBorders>
            <w:shd w:val="clear" w:color="auto" w:fill="auto"/>
            <w:noWrap/>
            <w:vAlign w:val="center"/>
            <w:hideMark/>
          </w:tcPr>
          <w:p w14:paraId="715EDEB4" w14:textId="77777777" w:rsidR="008B361B" w:rsidRPr="008B361B" w:rsidRDefault="008B361B">
            <w:pPr>
              <w:jc w:val="right"/>
              <w:rPr>
                <w:color w:val="000000"/>
                <w:sz w:val="20"/>
                <w:szCs w:val="20"/>
              </w:rPr>
            </w:pPr>
            <w:r w:rsidRPr="008B361B">
              <w:rPr>
                <w:color w:val="000000"/>
                <w:sz w:val="20"/>
                <w:szCs w:val="20"/>
              </w:rPr>
              <w:t>46200</w:t>
            </w:r>
          </w:p>
        </w:tc>
        <w:tc>
          <w:tcPr>
            <w:tcW w:w="441" w:type="pct"/>
            <w:tcBorders>
              <w:top w:val="nil"/>
              <w:left w:val="nil"/>
              <w:bottom w:val="double" w:sz="4" w:space="0" w:color="auto"/>
              <w:right w:val="nil"/>
            </w:tcBorders>
            <w:shd w:val="clear" w:color="auto" w:fill="auto"/>
            <w:noWrap/>
            <w:vAlign w:val="center"/>
            <w:hideMark/>
          </w:tcPr>
          <w:p w14:paraId="5F92A62F" w14:textId="77777777" w:rsidR="008B361B" w:rsidRPr="008B361B" w:rsidRDefault="008B361B">
            <w:pPr>
              <w:jc w:val="right"/>
              <w:rPr>
                <w:color w:val="000000"/>
                <w:sz w:val="20"/>
                <w:szCs w:val="20"/>
              </w:rPr>
            </w:pPr>
            <w:r w:rsidRPr="008B361B">
              <w:rPr>
                <w:color w:val="000000"/>
                <w:sz w:val="20"/>
                <w:szCs w:val="20"/>
              </w:rPr>
              <w:t>5192</w:t>
            </w:r>
          </w:p>
        </w:tc>
        <w:tc>
          <w:tcPr>
            <w:tcW w:w="412" w:type="pct"/>
            <w:tcBorders>
              <w:top w:val="nil"/>
              <w:left w:val="nil"/>
              <w:bottom w:val="double" w:sz="4" w:space="0" w:color="auto"/>
              <w:right w:val="nil"/>
            </w:tcBorders>
            <w:shd w:val="clear" w:color="auto" w:fill="auto"/>
            <w:noWrap/>
            <w:vAlign w:val="center"/>
            <w:hideMark/>
          </w:tcPr>
          <w:p w14:paraId="17FE5096" w14:textId="77777777" w:rsidR="008B361B" w:rsidRPr="008B361B" w:rsidRDefault="008B361B">
            <w:pPr>
              <w:jc w:val="right"/>
              <w:rPr>
                <w:color w:val="000000"/>
                <w:sz w:val="20"/>
                <w:szCs w:val="20"/>
              </w:rPr>
            </w:pPr>
            <w:r w:rsidRPr="008B361B">
              <w:rPr>
                <w:color w:val="000000"/>
                <w:sz w:val="20"/>
                <w:szCs w:val="20"/>
              </w:rPr>
              <w:t>41600</w:t>
            </w:r>
          </w:p>
        </w:tc>
        <w:tc>
          <w:tcPr>
            <w:tcW w:w="412" w:type="pct"/>
            <w:tcBorders>
              <w:top w:val="nil"/>
              <w:left w:val="nil"/>
              <w:bottom w:val="double" w:sz="4" w:space="0" w:color="auto"/>
              <w:right w:val="double" w:sz="4" w:space="0" w:color="auto"/>
            </w:tcBorders>
            <w:shd w:val="clear" w:color="auto" w:fill="auto"/>
            <w:noWrap/>
            <w:vAlign w:val="center"/>
            <w:hideMark/>
          </w:tcPr>
          <w:p w14:paraId="12665978" w14:textId="77777777" w:rsidR="008B361B" w:rsidRPr="008B361B" w:rsidRDefault="008B361B">
            <w:pPr>
              <w:jc w:val="right"/>
              <w:rPr>
                <w:color w:val="000000"/>
                <w:sz w:val="20"/>
                <w:szCs w:val="20"/>
              </w:rPr>
            </w:pPr>
            <w:r w:rsidRPr="008B361B">
              <w:rPr>
                <w:color w:val="000000"/>
                <w:sz w:val="20"/>
                <w:szCs w:val="20"/>
              </w:rPr>
              <w:t>53400</w:t>
            </w:r>
          </w:p>
        </w:tc>
        <w:tc>
          <w:tcPr>
            <w:tcW w:w="202" w:type="pct"/>
            <w:vMerge/>
            <w:tcBorders>
              <w:left w:val="double" w:sz="4" w:space="0" w:color="auto"/>
              <w:bottom w:val="double" w:sz="4" w:space="0" w:color="auto"/>
              <w:right w:val="nil"/>
            </w:tcBorders>
            <w:shd w:val="clear" w:color="auto" w:fill="auto"/>
            <w:noWrap/>
            <w:vAlign w:val="center"/>
            <w:hideMark/>
          </w:tcPr>
          <w:p w14:paraId="7B83154D" w14:textId="77777777" w:rsidR="008B361B" w:rsidRPr="008B361B" w:rsidRDefault="008B361B" w:rsidP="00491D16">
            <w:pPr>
              <w:jc w:val="both"/>
              <w:rPr>
                <w:sz w:val="20"/>
                <w:szCs w:val="20"/>
              </w:rPr>
            </w:pPr>
          </w:p>
        </w:tc>
        <w:tc>
          <w:tcPr>
            <w:tcW w:w="557" w:type="pct"/>
            <w:tcBorders>
              <w:top w:val="nil"/>
              <w:left w:val="single" w:sz="4" w:space="0" w:color="auto"/>
              <w:bottom w:val="double" w:sz="4" w:space="0" w:color="auto"/>
              <w:right w:val="nil"/>
            </w:tcBorders>
            <w:shd w:val="clear" w:color="auto" w:fill="auto"/>
            <w:vAlign w:val="center"/>
            <w:hideMark/>
          </w:tcPr>
          <w:p w14:paraId="6ED51A77" w14:textId="77777777" w:rsidR="008B361B" w:rsidRPr="008B361B" w:rsidRDefault="008B361B" w:rsidP="00491D16">
            <w:pPr>
              <w:jc w:val="both"/>
              <w:rPr>
                <w:sz w:val="20"/>
                <w:szCs w:val="20"/>
              </w:rPr>
            </w:pPr>
            <w:r w:rsidRPr="008B361B">
              <w:rPr>
                <w:sz w:val="20"/>
                <w:szCs w:val="20"/>
              </w:rPr>
              <w:t>PGDP</w:t>
            </w:r>
          </w:p>
        </w:tc>
        <w:tc>
          <w:tcPr>
            <w:tcW w:w="419" w:type="pct"/>
            <w:tcBorders>
              <w:top w:val="nil"/>
              <w:left w:val="nil"/>
              <w:bottom w:val="double" w:sz="4" w:space="0" w:color="auto"/>
              <w:right w:val="nil"/>
            </w:tcBorders>
            <w:shd w:val="clear" w:color="auto" w:fill="auto"/>
            <w:noWrap/>
            <w:vAlign w:val="center"/>
            <w:hideMark/>
          </w:tcPr>
          <w:p w14:paraId="00652BDD" w14:textId="77777777" w:rsidR="008B361B" w:rsidRPr="008B361B" w:rsidRDefault="008B361B">
            <w:pPr>
              <w:jc w:val="right"/>
              <w:rPr>
                <w:color w:val="000000"/>
                <w:sz w:val="20"/>
                <w:szCs w:val="20"/>
              </w:rPr>
            </w:pPr>
            <w:r w:rsidRPr="008B361B">
              <w:rPr>
                <w:color w:val="000000"/>
                <w:sz w:val="20"/>
                <w:szCs w:val="20"/>
              </w:rPr>
              <w:t>18400</w:t>
            </w:r>
          </w:p>
        </w:tc>
        <w:tc>
          <w:tcPr>
            <w:tcW w:w="441" w:type="pct"/>
            <w:gridSpan w:val="2"/>
            <w:tcBorders>
              <w:top w:val="nil"/>
              <w:left w:val="nil"/>
              <w:bottom w:val="double" w:sz="4" w:space="0" w:color="auto"/>
              <w:right w:val="nil"/>
            </w:tcBorders>
            <w:shd w:val="clear" w:color="auto" w:fill="auto"/>
            <w:noWrap/>
            <w:vAlign w:val="center"/>
            <w:hideMark/>
          </w:tcPr>
          <w:p w14:paraId="44506EAA" w14:textId="77777777" w:rsidR="008B361B" w:rsidRPr="008B361B" w:rsidRDefault="008B361B">
            <w:pPr>
              <w:jc w:val="right"/>
              <w:rPr>
                <w:color w:val="000000"/>
                <w:sz w:val="20"/>
                <w:szCs w:val="20"/>
              </w:rPr>
            </w:pPr>
            <w:r w:rsidRPr="008B361B">
              <w:rPr>
                <w:color w:val="000000"/>
                <w:sz w:val="20"/>
                <w:szCs w:val="20"/>
              </w:rPr>
              <w:t>8695</w:t>
            </w:r>
          </w:p>
        </w:tc>
        <w:tc>
          <w:tcPr>
            <w:tcW w:w="471" w:type="pct"/>
            <w:tcBorders>
              <w:top w:val="nil"/>
              <w:left w:val="nil"/>
              <w:bottom w:val="double" w:sz="4" w:space="0" w:color="auto"/>
              <w:right w:val="nil"/>
            </w:tcBorders>
            <w:shd w:val="clear" w:color="auto" w:fill="auto"/>
            <w:noWrap/>
            <w:vAlign w:val="center"/>
            <w:hideMark/>
          </w:tcPr>
          <w:p w14:paraId="5CB23E22" w14:textId="77777777" w:rsidR="008B361B" w:rsidRPr="008B361B" w:rsidRDefault="008B361B">
            <w:pPr>
              <w:jc w:val="right"/>
              <w:rPr>
                <w:color w:val="000000"/>
                <w:sz w:val="20"/>
                <w:szCs w:val="20"/>
              </w:rPr>
            </w:pPr>
            <w:r w:rsidRPr="008B361B">
              <w:rPr>
                <w:color w:val="000000"/>
                <w:sz w:val="20"/>
                <w:szCs w:val="20"/>
              </w:rPr>
              <w:t>8800</w:t>
            </w:r>
          </w:p>
        </w:tc>
        <w:tc>
          <w:tcPr>
            <w:tcW w:w="411" w:type="pct"/>
            <w:tcBorders>
              <w:top w:val="nil"/>
              <w:left w:val="nil"/>
              <w:bottom w:val="double" w:sz="4" w:space="0" w:color="auto"/>
              <w:right w:val="double" w:sz="4" w:space="0" w:color="auto"/>
            </w:tcBorders>
            <w:shd w:val="clear" w:color="auto" w:fill="auto"/>
            <w:noWrap/>
            <w:vAlign w:val="center"/>
            <w:hideMark/>
          </w:tcPr>
          <w:p w14:paraId="3D06866D" w14:textId="77777777" w:rsidR="008B361B" w:rsidRPr="008B361B" w:rsidRDefault="008B361B">
            <w:pPr>
              <w:jc w:val="right"/>
              <w:rPr>
                <w:color w:val="000000"/>
                <w:sz w:val="20"/>
                <w:szCs w:val="20"/>
              </w:rPr>
            </w:pPr>
            <w:r w:rsidRPr="008B361B">
              <w:rPr>
                <w:color w:val="000000"/>
                <w:sz w:val="20"/>
                <w:szCs w:val="20"/>
              </w:rPr>
              <w:t>30100</w:t>
            </w:r>
          </w:p>
        </w:tc>
      </w:tr>
      <w:tr w:rsidR="008B361B" w:rsidRPr="008B361B" w14:paraId="0E965124" w14:textId="77777777" w:rsidTr="008B361B">
        <w:trPr>
          <w:trHeight w:val="285"/>
        </w:trPr>
        <w:tc>
          <w:tcPr>
            <w:tcW w:w="259" w:type="pct"/>
            <w:vMerge w:val="restart"/>
            <w:tcBorders>
              <w:top w:val="double" w:sz="4" w:space="0" w:color="auto"/>
              <w:left w:val="double" w:sz="4" w:space="0" w:color="auto"/>
              <w:right w:val="nil"/>
            </w:tcBorders>
            <w:shd w:val="clear" w:color="auto" w:fill="auto"/>
            <w:noWrap/>
            <w:vAlign w:val="center"/>
            <w:hideMark/>
          </w:tcPr>
          <w:p w14:paraId="0076AF94" w14:textId="77777777" w:rsidR="008B361B" w:rsidRPr="008B361B" w:rsidRDefault="008B361B" w:rsidP="00491D16">
            <w:pPr>
              <w:jc w:val="both"/>
              <w:rPr>
                <w:sz w:val="20"/>
                <w:szCs w:val="20"/>
              </w:rPr>
            </w:pPr>
            <w:r w:rsidRPr="008B361B">
              <w:rPr>
                <w:sz w:val="20"/>
                <w:szCs w:val="20"/>
              </w:rPr>
              <w:t>C</w:t>
            </w:r>
          </w:p>
        </w:tc>
        <w:tc>
          <w:tcPr>
            <w:tcW w:w="556" w:type="pct"/>
            <w:tcBorders>
              <w:top w:val="double" w:sz="4" w:space="0" w:color="auto"/>
              <w:left w:val="single" w:sz="4" w:space="0" w:color="auto"/>
              <w:bottom w:val="nil"/>
              <w:right w:val="nil"/>
            </w:tcBorders>
            <w:shd w:val="clear" w:color="auto" w:fill="auto"/>
            <w:vAlign w:val="center"/>
            <w:hideMark/>
          </w:tcPr>
          <w:p w14:paraId="643A6315" w14:textId="77777777" w:rsidR="008B361B" w:rsidRPr="008B361B" w:rsidRDefault="008B361B" w:rsidP="00491D16">
            <w:pPr>
              <w:jc w:val="both"/>
              <w:rPr>
                <w:sz w:val="20"/>
                <w:szCs w:val="20"/>
              </w:rPr>
            </w:pPr>
            <w:r w:rsidRPr="008B361B">
              <w:rPr>
                <w:sz w:val="20"/>
                <w:szCs w:val="20"/>
              </w:rPr>
              <w:t>P0CEP</w:t>
            </w:r>
          </w:p>
        </w:tc>
        <w:tc>
          <w:tcPr>
            <w:tcW w:w="419" w:type="pct"/>
            <w:tcBorders>
              <w:top w:val="double" w:sz="4" w:space="0" w:color="auto"/>
              <w:left w:val="nil"/>
              <w:bottom w:val="nil"/>
              <w:right w:val="nil"/>
            </w:tcBorders>
            <w:shd w:val="clear" w:color="auto" w:fill="auto"/>
            <w:noWrap/>
            <w:vAlign w:val="center"/>
            <w:hideMark/>
          </w:tcPr>
          <w:p w14:paraId="2EF7FDD0" w14:textId="77777777" w:rsidR="008B361B" w:rsidRPr="008B361B" w:rsidRDefault="008B361B">
            <w:pPr>
              <w:jc w:val="right"/>
              <w:rPr>
                <w:color w:val="000000"/>
                <w:sz w:val="20"/>
                <w:szCs w:val="20"/>
              </w:rPr>
            </w:pPr>
            <w:r w:rsidRPr="008B361B">
              <w:rPr>
                <w:color w:val="000000"/>
                <w:sz w:val="20"/>
                <w:szCs w:val="20"/>
              </w:rPr>
              <w:t>58.00</w:t>
            </w:r>
          </w:p>
        </w:tc>
        <w:tc>
          <w:tcPr>
            <w:tcW w:w="441" w:type="pct"/>
            <w:tcBorders>
              <w:top w:val="double" w:sz="4" w:space="0" w:color="auto"/>
              <w:left w:val="nil"/>
              <w:bottom w:val="nil"/>
              <w:right w:val="nil"/>
            </w:tcBorders>
            <w:shd w:val="clear" w:color="auto" w:fill="auto"/>
            <w:noWrap/>
            <w:vAlign w:val="center"/>
            <w:hideMark/>
          </w:tcPr>
          <w:p w14:paraId="7AD0EA0D" w14:textId="77777777" w:rsidR="008B361B" w:rsidRPr="008B361B" w:rsidRDefault="008B361B">
            <w:pPr>
              <w:jc w:val="right"/>
              <w:rPr>
                <w:color w:val="000000"/>
                <w:sz w:val="20"/>
                <w:szCs w:val="20"/>
              </w:rPr>
            </w:pPr>
            <w:r w:rsidRPr="008B361B">
              <w:rPr>
                <w:color w:val="000000"/>
                <w:sz w:val="20"/>
                <w:szCs w:val="20"/>
              </w:rPr>
              <w:t>8.58</w:t>
            </w:r>
          </w:p>
        </w:tc>
        <w:tc>
          <w:tcPr>
            <w:tcW w:w="412" w:type="pct"/>
            <w:tcBorders>
              <w:top w:val="double" w:sz="4" w:space="0" w:color="auto"/>
              <w:left w:val="nil"/>
              <w:bottom w:val="nil"/>
              <w:right w:val="nil"/>
            </w:tcBorders>
            <w:shd w:val="clear" w:color="auto" w:fill="auto"/>
            <w:noWrap/>
            <w:vAlign w:val="center"/>
            <w:hideMark/>
          </w:tcPr>
          <w:p w14:paraId="3BAFFE97" w14:textId="77777777" w:rsidR="008B361B" w:rsidRPr="008B361B" w:rsidRDefault="008B361B">
            <w:pPr>
              <w:jc w:val="right"/>
              <w:rPr>
                <w:color w:val="000000"/>
                <w:sz w:val="20"/>
                <w:szCs w:val="20"/>
              </w:rPr>
            </w:pPr>
            <w:r w:rsidRPr="008B361B">
              <w:rPr>
                <w:color w:val="000000"/>
                <w:sz w:val="20"/>
                <w:szCs w:val="20"/>
              </w:rPr>
              <w:t>45.90</w:t>
            </w:r>
          </w:p>
        </w:tc>
        <w:tc>
          <w:tcPr>
            <w:tcW w:w="412" w:type="pct"/>
            <w:tcBorders>
              <w:top w:val="double" w:sz="4" w:space="0" w:color="auto"/>
              <w:left w:val="nil"/>
              <w:bottom w:val="nil"/>
              <w:right w:val="double" w:sz="4" w:space="0" w:color="auto"/>
            </w:tcBorders>
            <w:shd w:val="clear" w:color="auto" w:fill="auto"/>
            <w:noWrap/>
            <w:vAlign w:val="center"/>
            <w:hideMark/>
          </w:tcPr>
          <w:p w14:paraId="69C6C916" w14:textId="77777777" w:rsidR="008B361B" w:rsidRPr="008B361B" w:rsidRDefault="008B361B">
            <w:pPr>
              <w:jc w:val="right"/>
              <w:rPr>
                <w:color w:val="000000"/>
                <w:sz w:val="20"/>
                <w:szCs w:val="20"/>
              </w:rPr>
            </w:pPr>
            <w:r w:rsidRPr="008B361B">
              <w:rPr>
                <w:color w:val="000000"/>
                <w:sz w:val="20"/>
                <w:szCs w:val="20"/>
              </w:rPr>
              <w:t>69.80</w:t>
            </w:r>
          </w:p>
        </w:tc>
        <w:tc>
          <w:tcPr>
            <w:tcW w:w="202" w:type="pct"/>
            <w:vMerge w:val="restart"/>
            <w:tcBorders>
              <w:top w:val="double" w:sz="4" w:space="0" w:color="auto"/>
              <w:left w:val="double" w:sz="4" w:space="0" w:color="auto"/>
              <w:right w:val="nil"/>
            </w:tcBorders>
            <w:shd w:val="clear" w:color="auto" w:fill="auto"/>
            <w:noWrap/>
            <w:vAlign w:val="center"/>
            <w:hideMark/>
          </w:tcPr>
          <w:p w14:paraId="0A1D2FDB" w14:textId="77777777" w:rsidR="008B361B" w:rsidRPr="008B361B" w:rsidRDefault="008B361B" w:rsidP="00491D16">
            <w:pPr>
              <w:jc w:val="both"/>
              <w:rPr>
                <w:sz w:val="20"/>
                <w:szCs w:val="20"/>
              </w:rPr>
            </w:pPr>
            <w:r w:rsidRPr="008B361B">
              <w:rPr>
                <w:sz w:val="20"/>
                <w:szCs w:val="20"/>
              </w:rPr>
              <w:t>D</w:t>
            </w:r>
          </w:p>
        </w:tc>
        <w:tc>
          <w:tcPr>
            <w:tcW w:w="557" w:type="pct"/>
            <w:tcBorders>
              <w:top w:val="double" w:sz="4" w:space="0" w:color="auto"/>
              <w:left w:val="single" w:sz="4" w:space="0" w:color="auto"/>
              <w:bottom w:val="nil"/>
              <w:right w:val="nil"/>
            </w:tcBorders>
            <w:shd w:val="clear" w:color="auto" w:fill="auto"/>
            <w:vAlign w:val="center"/>
            <w:hideMark/>
          </w:tcPr>
          <w:p w14:paraId="1CC19663" w14:textId="77777777" w:rsidR="008B361B" w:rsidRPr="008B361B" w:rsidRDefault="008B361B" w:rsidP="00491D16">
            <w:pPr>
              <w:jc w:val="both"/>
              <w:rPr>
                <w:sz w:val="20"/>
                <w:szCs w:val="20"/>
              </w:rPr>
            </w:pPr>
            <w:r w:rsidRPr="008B361B">
              <w:rPr>
                <w:sz w:val="20"/>
                <w:szCs w:val="20"/>
              </w:rPr>
              <w:t>P0CEP</w:t>
            </w:r>
          </w:p>
        </w:tc>
        <w:tc>
          <w:tcPr>
            <w:tcW w:w="419" w:type="pct"/>
            <w:tcBorders>
              <w:top w:val="double" w:sz="4" w:space="0" w:color="auto"/>
              <w:left w:val="nil"/>
              <w:bottom w:val="nil"/>
              <w:right w:val="nil"/>
            </w:tcBorders>
            <w:shd w:val="clear" w:color="auto" w:fill="auto"/>
            <w:noWrap/>
            <w:vAlign w:val="center"/>
            <w:hideMark/>
          </w:tcPr>
          <w:p w14:paraId="49B325C9" w14:textId="77777777" w:rsidR="008B361B" w:rsidRPr="008B361B" w:rsidRDefault="008B361B">
            <w:pPr>
              <w:jc w:val="right"/>
              <w:rPr>
                <w:color w:val="000000"/>
                <w:sz w:val="20"/>
                <w:szCs w:val="20"/>
              </w:rPr>
            </w:pPr>
            <w:r w:rsidRPr="008B361B">
              <w:rPr>
                <w:color w:val="000000"/>
                <w:sz w:val="20"/>
                <w:szCs w:val="20"/>
              </w:rPr>
              <w:t>49.20</w:t>
            </w:r>
          </w:p>
        </w:tc>
        <w:tc>
          <w:tcPr>
            <w:tcW w:w="441" w:type="pct"/>
            <w:gridSpan w:val="2"/>
            <w:tcBorders>
              <w:top w:val="double" w:sz="4" w:space="0" w:color="auto"/>
              <w:left w:val="nil"/>
              <w:bottom w:val="nil"/>
              <w:right w:val="nil"/>
            </w:tcBorders>
            <w:shd w:val="clear" w:color="auto" w:fill="auto"/>
            <w:noWrap/>
            <w:vAlign w:val="center"/>
            <w:hideMark/>
          </w:tcPr>
          <w:p w14:paraId="78BD7758" w14:textId="77777777" w:rsidR="008B361B" w:rsidRPr="008B361B" w:rsidRDefault="008B361B">
            <w:pPr>
              <w:jc w:val="right"/>
              <w:rPr>
                <w:color w:val="000000"/>
                <w:sz w:val="20"/>
                <w:szCs w:val="20"/>
              </w:rPr>
            </w:pPr>
            <w:r w:rsidRPr="008B361B">
              <w:rPr>
                <w:color w:val="000000"/>
                <w:sz w:val="20"/>
                <w:szCs w:val="20"/>
              </w:rPr>
              <w:t>7.98</w:t>
            </w:r>
          </w:p>
        </w:tc>
        <w:tc>
          <w:tcPr>
            <w:tcW w:w="471" w:type="pct"/>
            <w:tcBorders>
              <w:top w:val="double" w:sz="4" w:space="0" w:color="auto"/>
              <w:left w:val="nil"/>
              <w:bottom w:val="nil"/>
              <w:right w:val="nil"/>
            </w:tcBorders>
            <w:shd w:val="clear" w:color="auto" w:fill="auto"/>
            <w:noWrap/>
            <w:vAlign w:val="center"/>
            <w:hideMark/>
          </w:tcPr>
          <w:p w14:paraId="17985751" w14:textId="77777777" w:rsidR="008B361B" w:rsidRPr="008B361B" w:rsidRDefault="008B361B">
            <w:pPr>
              <w:jc w:val="right"/>
              <w:rPr>
                <w:color w:val="000000"/>
                <w:sz w:val="20"/>
                <w:szCs w:val="20"/>
              </w:rPr>
            </w:pPr>
            <w:r w:rsidRPr="008B361B">
              <w:rPr>
                <w:color w:val="000000"/>
                <w:sz w:val="20"/>
                <w:szCs w:val="20"/>
              </w:rPr>
              <w:t>40.20</w:t>
            </w:r>
          </w:p>
        </w:tc>
        <w:tc>
          <w:tcPr>
            <w:tcW w:w="411" w:type="pct"/>
            <w:tcBorders>
              <w:top w:val="double" w:sz="4" w:space="0" w:color="auto"/>
              <w:left w:val="nil"/>
              <w:bottom w:val="nil"/>
              <w:right w:val="double" w:sz="4" w:space="0" w:color="auto"/>
            </w:tcBorders>
            <w:shd w:val="clear" w:color="auto" w:fill="auto"/>
            <w:noWrap/>
            <w:vAlign w:val="center"/>
            <w:hideMark/>
          </w:tcPr>
          <w:p w14:paraId="4A5A8B14" w14:textId="77777777" w:rsidR="008B361B" w:rsidRPr="008B361B" w:rsidRDefault="008B361B">
            <w:pPr>
              <w:jc w:val="right"/>
              <w:rPr>
                <w:color w:val="000000"/>
                <w:sz w:val="20"/>
                <w:szCs w:val="20"/>
              </w:rPr>
            </w:pPr>
            <w:r w:rsidRPr="008B361B">
              <w:rPr>
                <w:color w:val="000000"/>
                <w:sz w:val="20"/>
                <w:szCs w:val="20"/>
              </w:rPr>
              <w:t>55.40</w:t>
            </w:r>
          </w:p>
        </w:tc>
      </w:tr>
      <w:tr w:rsidR="008B361B" w:rsidRPr="008B361B" w14:paraId="2E2CD0DF" w14:textId="77777777" w:rsidTr="008B361B">
        <w:trPr>
          <w:trHeight w:val="285"/>
        </w:trPr>
        <w:tc>
          <w:tcPr>
            <w:tcW w:w="259" w:type="pct"/>
            <w:vMerge/>
            <w:tcBorders>
              <w:left w:val="double" w:sz="4" w:space="0" w:color="auto"/>
              <w:right w:val="nil"/>
            </w:tcBorders>
            <w:shd w:val="clear" w:color="auto" w:fill="auto"/>
            <w:noWrap/>
            <w:vAlign w:val="center"/>
            <w:hideMark/>
          </w:tcPr>
          <w:p w14:paraId="37B38182"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7C7C313D" w14:textId="77777777" w:rsidR="008B361B" w:rsidRPr="008B361B" w:rsidRDefault="008B361B" w:rsidP="00491D16">
            <w:pPr>
              <w:jc w:val="both"/>
              <w:rPr>
                <w:sz w:val="20"/>
                <w:szCs w:val="20"/>
              </w:rPr>
            </w:pPr>
            <w:r w:rsidRPr="008B361B">
              <w:rPr>
                <w:sz w:val="20"/>
                <w:szCs w:val="20"/>
              </w:rPr>
              <w:t>PPTE</w:t>
            </w:r>
          </w:p>
        </w:tc>
        <w:tc>
          <w:tcPr>
            <w:tcW w:w="419" w:type="pct"/>
            <w:tcBorders>
              <w:top w:val="nil"/>
              <w:left w:val="nil"/>
              <w:bottom w:val="nil"/>
              <w:right w:val="nil"/>
            </w:tcBorders>
            <w:shd w:val="clear" w:color="auto" w:fill="auto"/>
            <w:noWrap/>
            <w:vAlign w:val="center"/>
            <w:hideMark/>
          </w:tcPr>
          <w:p w14:paraId="4379E945" w14:textId="77777777" w:rsidR="008B361B" w:rsidRPr="008B361B" w:rsidRDefault="008B361B">
            <w:pPr>
              <w:jc w:val="right"/>
              <w:rPr>
                <w:color w:val="000000"/>
                <w:sz w:val="20"/>
                <w:szCs w:val="20"/>
              </w:rPr>
            </w:pPr>
            <w:r w:rsidRPr="008B361B">
              <w:rPr>
                <w:color w:val="000000"/>
                <w:sz w:val="20"/>
                <w:szCs w:val="20"/>
              </w:rPr>
              <w:t>21.58</w:t>
            </w:r>
          </w:p>
        </w:tc>
        <w:tc>
          <w:tcPr>
            <w:tcW w:w="441" w:type="pct"/>
            <w:tcBorders>
              <w:top w:val="nil"/>
              <w:left w:val="nil"/>
              <w:bottom w:val="nil"/>
              <w:right w:val="nil"/>
            </w:tcBorders>
            <w:shd w:val="clear" w:color="auto" w:fill="auto"/>
            <w:noWrap/>
            <w:vAlign w:val="center"/>
            <w:hideMark/>
          </w:tcPr>
          <w:p w14:paraId="36F6DC80" w14:textId="77777777" w:rsidR="008B361B" w:rsidRPr="008B361B" w:rsidRDefault="008B361B">
            <w:pPr>
              <w:jc w:val="right"/>
              <w:rPr>
                <w:color w:val="000000"/>
                <w:sz w:val="20"/>
                <w:szCs w:val="20"/>
              </w:rPr>
            </w:pPr>
            <w:r w:rsidRPr="008B361B">
              <w:rPr>
                <w:color w:val="000000"/>
                <w:sz w:val="20"/>
                <w:szCs w:val="20"/>
              </w:rPr>
              <w:t>1.97</w:t>
            </w:r>
          </w:p>
        </w:tc>
        <w:tc>
          <w:tcPr>
            <w:tcW w:w="412" w:type="pct"/>
            <w:tcBorders>
              <w:top w:val="nil"/>
              <w:left w:val="nil"/>
              <w:bottom w:val="nil"/>
              <w:right w:val="nil"/>
            </w:tcBorders>
            <w:shd w:val="clear" w:color="auto" w:fill="auto"/>
            <w:noWrap/>
            <w:vAlign w:val="center"/>
            <w:hideMark/>
          </w:tcPr>
          <w:p w14:paraId="3775EB93" w14:textId="77777777" w:rsidR="008B361B" w:rsidRPr="008B361B" w:rsidRDefault="008B361B">
            <w:pPr>
              <w:jc w:val="right"/>
              <w:rPr>
                <w:color w:val="000000"/>
                <w:sz w:val="20"/>
                <w:szCs w:val="20"/>
              </w:rPr>
            </w:pPr>
            <w:r w:rsidRPr="008B361B">
              <w:rPr>
                <w:color w:val="000000"/>
                <w:sz w:val="20"/>
                <w:szCs w:val="20"/>
              </w:rPr>
              <w:t>19.50</w:t>
            </w:r>
          </w:p>
        </w:tc>
        <w:tc>
          <w:tcPr>
            <w:tcW w:w="412" w:type="pct"/>
            <w:tcBorders>
              <w:top w:val="nil"/>
              <w:left w:val="nil"/>
              <w:bottom w:val="nil"/>
              <w:right w:val="double" w:sz="4" w:space="0" w:color="auto"/>
            </w:tcBorders>
            <w:shd w:val="clear" w:color="auto" w:fill="auto"/>
            <w:noWrap/>
            <w:vAlign w:val="center"/>
            <w:hideMark/>
          </w:tcPr>
          <w:p w14:paraId="41DB2E69" w14:textId="77777777" w:rsidR="008B361B" w:rsidRPr="008B361B" w:rsidRDefault="008B361B">
            <w:pPr>
              <w:jc w:val="right"/>
              <w:rPr>
                <w:color w:val="000000"/>
                <w:sz w:val="20"/>
                <w:szCs w:val="20"/>
              </w:rPr>
            </w:pPr>
            <w:r w:rsidRPr="008B361B">
              <w:rPr>
                <w:color w:val="000000"/>
                <w:sz w:val="20"/>
                <w:szCs w:val="20"/>
              </w:rPr>
              <w:t>24.40</w:t>
            </w:r>
          </w:p>
        </w:tc>
        <w:tc>
          <w:tcPr>
            <w:tcW w:w="202" w:type="pct"/>
            <w:vMerge/>
            <w:tcBorders>
              <w:left w:val="double" w:sz="4" w:space="0" w:color="auto"/>
              <w:right w:val="nil"/>
            </w:tcBorders>
            <w:shd w:val="clear" w:color="auto" w:fill="auto"/>
            <w:noWrap/>
            <w:vAlign w:val="center"/>
            <w:hideMark/>
          </w:tcPr>
          <w:p w14:paraId="10903AFA" w14:textId="77777777" w:rsidR="008B361B" w:rsidRPr="008B361B" w:rsidRDefault="008B361B" w:rsidP="00491D16">
            <w:pPr>
              <w:jc w:val="both"/>
              <w:rPr>
                <w:sz w:val="20"/>
                <w:szCs w:val="20"/>
              </w:rPr>
            </w:pPr>
          </w:p>
        </w:tc>
        <w:tc>
          <w:tcPr>
            <w:tcW w:w="557" w:type="pct"/>
            <w:tcBorders>
              <w:top w:val="nil"/>
              <w:left w:val="single" w:sz="4" w:space="0" w:color="auto"/>
              <w:bottom w:val="nil"/>
              <w:right w:val="nil"/>
            </w:tcBorders>
            <w:shd w:val="clear" w:color="auto" w:fill="auto"/>
            <w:vAlign w:val="center"/>
            <w:hideMark/>
          </w:tcPr>
          <w:p w14:paraId="08335194" w14:textId="77777777" w:rsidR="008B361B" w:rsidRPr="008B361B" w:rsidRDefault="008B361B" w:rsidP="00491D16">
            <w:pPr>
              <w:jc w:val="both"/>
              <w:rPr>
                <w:sz w:val="20"/>
                <w:szCs w:val="20"/>
              </w:rPr>
            </w:pPr>
            <w:r w:rsidRPr="008B361B">
              <w:rPr>
                <w:sz w:val="20"/>
                <w:szCs w:val="20"/>
              </w:rPr>
              <w:t>PPTE</w:t>
            </w:r>
          </w:p>
        </w:tc>
        <w:tc>
          <w:tcPr>
            <w:tcW w:w="419" w:type="pct"/>
            <w:tcBorders>
              <w:top w:val="nil"/>
              <w:left w:val="nil"/>
              <w:bottom w:val="nil"/>
              <w:right w:val="nil"/>
            </w:tcBorders>
            <w:shd w:val="clear" w:color="auto" w:fill="auto"/>
            <w:noWrap/>
            <w:vAlign w:val="center"/>
            <w:hideMark/>
          </w:tcPr>
          <w:p w14:paraId="33CD5C8E" w14:textId="77777777" w:rsidR="008B361B" w:rsidRPr="008B361B" w:rsidRDefault="008B361B">
            <w:pPr>
              <w:jc w:val="right"/>
              <w:rPr>
                <w:color w:val="000000"/>
                <w:sz w:val="20"/>
                <w:szCs w:val="20"/>
              </w:rPr>
            </w:pPr>
            <w:r w:rsidRPr="008B361B">
              <w:rPr>
                <w:color w:val="000000"/>
                <w:sz w:val="20"/>
                <w:szCs w:val="20"/>
              </w:rPr>
              <w:t>20.33</w:t>
            </w:r>
          </w:p>
        </w:tc>
        <w:tc>
          <w:tcPr>
            <w:tcW w:w="441" w:type="pct"/>
            <w:gridSpan w:val="2"/>
            <w:tcBorders>
              <w:top w:val="nil"/>
              <w:left w:val="nil"/>
              <w:bottom w:val="nil"/>
              <w:right w:val="nil"/>
            </w:tcBorders>
            <w:shd w:val="clear" w:color="auto" w:fill="auto"/>
            <w:noWrap/>
            <w:vAlign w:val="center"/>
            <w:hideMark/>
          </w:tcPr>
          <w:p w14:paraId="6864797E" w14:textId="77777777" w:rsidR="008B361B" w:rsidRPr="008B361B" w:rsidRDefault="008B361B">
            <w:pPr>
              <w:jc w:val="right"/>
              <w:rPr>
                <w:color w:val="000000"/>
                <w:sz w:val="20"/>
                <w:szCs w:val="20"/>
              </w:rPr>
            </w:pPr>
            <w:r w:rsidRPr="008B361B">
              <w:rPr>
                <w:color w:val="000000"/>
                <w:sz w:val="20"/>
                <w:szCs w:val="20"/>
              </w:rPr>
              <w:t>1.65</w:t>
            </w:r>
          </w:p>
        </w:tc>
        <w:tc>
          <w:tcPr>
            <w:tcW w:w="471" w:type="pct"/>
            <w:tcBorders>
              <w:top w:val="nil"/>
              <w:left w:val="nil"/>
              <w:bottom w:val="nil"/>
              <w:right w:val="nil"/>
            </w:tcBorders>
            <w:shd w:val="clear" w:color="auto" w:fill="auto"/>
            <w:noWrap/>
            <w:vAlign w:val="center"/>
            <w:hideMark/>
          </w:tcPr>
          <w:p w14:paraId="7195C2AB" w14:textId="77777777" w:rsidR="008B361B" w:rsidRPr="008B361B" w:rsidRDefault="008B361B">
            <w:pPr>
              <w:jc w:val="right"/>
              <w:rPr>
                <w:color w:val="000000"/>
                <w:sz w:val="20"/>
                <w:szCs w:val="20"/>
              </w:rPr>
            </w:pPr>
            <w:r w:rsidRPr="008B361B">
              <w:rPr>
                <w:color w:val="000000"/>
                <w:sz w:val="20"/>
                <w:szCs w:val="20"/>
              </w:rPr>
              <w:t>18.70</w:t>
            </w:r>
          </w:p>
        </w:tc>
        <w:tc>
          <w:tcPr>
            <w:tcW w:w="411" w:type="pct"/>
            <w:tcBorders>
              <w:top w:val="nil"/>
              <w:left w:val="nil"/>
              <w:bottom w:val="nil"/>
              <w:right w:val="double" w:sz="4" w:space="0" w:color="auto"/>
            </w:tcBorders>
            <w:shd w:val="clear" w:color="auto" w:fill="auto"/>
            <w:noWrap/>
            <w:vAlign w:val="center"/>
            <w:hideMark/>
          </w:tcPr>
          <w:p w14:paraId="195A098B" w14:textId="77777777" w:rsidR="008B361B" w:rsidRPr="008B361B" w:rsidRDefault="008B361B">
            <w:pPr>
              <w:jc w:val="right"/>
              <w:rPr>
                <w:color w:val="000000"/>
                <w:sz w:val="20"/>
                <w:szCs w:val="20"/>
              </w:rPr>
            </w:pPr>
            <w:r w:rsidRPr="008B361B">
              <w:rPr>
                <w:color w:val="000000"/>
                <w:sz w:val="20"/>
                <w:szCs w:val="20"/>
              </w:rPr>
              <w:t>22.00</w:t>
            </w:r>
          </w:p>
        </w:tc>
      </w:tr>
      <w:tr w:rsidR="008B361B" w:rsidRPr="008B361B" w14:paraId="6F3FE63F" w14:textId="77777777" w:rsidTr="008B361B">
        <w:trPr>
          <w:trHeight w:val="285"/>
        </w:trPr>
        <w:tc>
          <w:tcPr>
            <w:tcW w:w="259" w:type="pct"/>
            <w:vMerge/>
            <w:tcBorders>
              <w:left w:val="double" w:sz="4" w:space="0" w:color="auto"/>
              <w:right w:val="nil"/>
            </w:tcBorders>
            <w:shd w:val="clear" w:color="auto" w:fill="auto"/>
            <w:noWrap/>
            <w:vAlign w:val="center"/>
            <w:hideMark/>
          </w:tcPr>
          <w:p w14:paraId="0855B768"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5B69D3B1" w14:textId="77777777" w:rsidR="008B361B" w:rsidRPr="008B361B" w:rsidRDefault="008B361B" w:rsidP="00491D16">
            <w:pPr>
              <w:jc w:val="both"/>
              <w:rPr>
                <w:sz w:val="20"/>
                <w:szCs w:val="20"/>
              </w:rPr>
            </w:pPr>
            <w:r w:rsidRPr="008B361B">
              <w:rPr>
                <w:sz w:val="20"/>
                <w:szCs w:val="20"/>
              </w:rPr>
              <w:t>PPATS</w:t>
            </w:r>
          </w:p>
        </w:tc>
        <w:tc>
          <w:tcPr>
            <w:tcW w:w="419" w:type="pct"/>
            <w:tcBorders>
              <w:top w:val="nil"/>
              <w:left w:val="nil"/>
              <w:bottom w:val="nil"/>
              <w:right w:val="nil"/>
            </w:tcBorders>
            <w:shd w:val="clear" w:color="auto" w:fill="auto"/>
            <w:noWrap/>
            <w:vAlign w:val="center"/>
            <w:hideMark/>
          </w:tcPr>
          <w:p w14:paraId="05EB0F03" w14:textId="77777777" w:rsidR="008B361B" w:rsidRPr="008B361B" w:rsidRDefault="008B361B">
            <w:pPr>
              <w:jc w:val="right"/>
              <w:rPr>
                <w:color w:val="000000"/>
                <w:sz w:val="20"/>
                <w:szCs w:val="20"/>
              </w:rPr>
            </w:pPr>
            <w:r w:rsidRPr="008B361B">
              <w:rPr>
                <w:color w:val="000000"/>
                <w:sz w:val="20"/>
                <w:szCs w:val="20"/>
              </w:rPr>
              <w:t>10.05</w:t>
            </w:r>
          </w:p>
        </w:tc>
        <w:tc>
          <w:tcPr>
            <w:tcW w:w="441" w:type="pct"/>
            <w:tcBorders>
              <w:top w:val="nil"/>
              <w:left w:val="nil"/>
              <w:bottom w:val="nil"/>
              <w:right w:val="nil"/>
            </w:tcBorders>
            <w:shd w:val="clear" w:color="auto" w:fill="auto"/>
            <w:noWrap/>
            <w:vAlign w:val="center"/>
            <w:hideMark/>
          </w:tcPr>
          <w:p w14:paraId="25AB942C" w14:textId="77777777" w:rsidR="008B361B" w:rsidRPr="008B361B" w:rsidRDefault="008B361B">
            <w:pPr>
              <w:jc w:val="right"/>
              <w:rPr>
                <w:color w:val="000000"/>
                <w:sz w:val="20"/>
                <w:szCs w:val="20"/>
              </w:rPr>
            </w:pPr>
            <w:r w:rsidRPr="008B361B">
              <w:rPr>
                <w:color w:val="000000"/>
                <w:sz w:val="20"/>
                <w:szCs w:val="20"/>
              </w:rPr>
              <w:t>3.70</w:t>
            </w:r>
          </w:p>
        </w:tc>
        <w:tc>
          <w:tcPr>
            <w:tcW w:w="412" w:type="pct"/>
            <w:tcBorders>
              <w:top w:val="nil"/>
              <w:left w:val="nil"/>
              <w:bottom w:val="nil"/>
              <w:right w:val="nil"/>
            </w:tcBorders>
            <w:shd w:val="clear" w:color="auto" w:fill="auto"/>
            <w:noWrap/>
            <w:vAlign w:val="center"/>
            <w:hideMark/>
          </w:tcPr>
          <w:p w14:paraId="42602AA9" w14:textId="77777777" w:rsidR="008B361B" w:rsidRPr="008B361B" w:rsidRDefault="008B361B">
            <w:pPr>
              <w:jc w:val="right"/>
              <w:rPr>
                <w:color w:val="000000"/>
                <w:sz w:val="20"/>
                <w:szCs w:val="20"/>
              </w:rPr>
            </w:pPr>
            <w:r w:rsidRPr="008B361B">
              <w:rPr>
                <w:color w:val="000000"/>
                <w:sz w:val="20"/>
                <w:szCs w:val="20"/>
              </w:rPr>
              <w:t>7.50</w:t>
            </w:r>
          </w:p>
        </w:tc>
        <w:tc>
          <w:tcPr>
            <w:tcW w:w="412" w:type="pct"/>
            <w:tcBorders>
              <w:top w:val="nil"/>
              <w:left w:val="nil"/>
              <w:bottom w:val="nil"/>
              <w:right w:val="double" w:sz="4" w:space="0" w:color="auto"/>
            </w:tcBorders>
            <w:shd w:val="clear" w:color="auto" w:fill="auto"/>
            <w:noWrap/>
            <w:vAlign w:val="center"/>
            <w:hideMark/>
          </w:tcPr>
          <w:p w14:paraId="7E516497" w14:textId="77777777" w:rsidR="008B361B" w:rsidRPr="008B361B" w:rsidRDefault="008B361B">
            <w:pPr>
              <w:jc w:val="right"/>
              <w:rPr>
                <w:color w:val="000000"/>
                <w:sz w:val="20"/>
                <w:szCs w:val="20"/>
              </w:rPr>
            </w:pPr>
            <w:r w:rsidRPr="008B361B">
              <w:rPr>
                <w:color w:val="000000"/>
                <w:sz w:val="20"/>
                <w:szCs w:val="20"/>
              </w:rPr>
              <w:t>17.30</w:t>
            </w:r>
          </w:p>
        </w:tc>
        <w:tc>
          <w:tcPr>
            <w:tcW w:w="202" w:type="pct"/>
            <w:vMerge/>
            <w:tcBorders>
              <w:left w:val="double" w:sz="4" w:space="0" w:color="auto"/>
              <w:right w:val="nil"/>
            </w:tcBorders>
            <w:shd w:val="clear" w:color="auto" w:fill="auto"/>
            <w:noWrap/>
            <w:vAlign w:val="center"/>
            <w:hideMark/>
          </w:tcPr>
          <w:p w14:paraId="138CF4D6" w14:textId="77777777" w:rsidR="008B361B" w:rsidRPr="008B361B" w:rsidRDefault="008B361B" w:rsidP="00491D16">
            <w:pPr>
              <w:jc w:val="both"/>
              <w:rPr>
                <w:sz w:val="20"/>
                <w:szCs w:val="20"/>
              </w:rPr>
            </w:pPr>
          </w:p>
        </w:tc>
        <w:tc>
          <w:tcPr>
            <w:tcW w:w="557" w:type="pct"/>
            <w:tcBorders>
              <w:top w:val="nil"/>
              <w:left w:val="single" w:sz="4" w:space="0" w:color="auto"/>
              <w:bottom w:val="nil"/>
              <w:right w:val="nil"/>
            </w:tcBorders>
            <w:shd w:val="clear" w:color="auto" w:fill="auto"/>
            <w:vAlign w:val="center"/>
            <w:hideMark/>
          </w:tcPr>
          <w:p w14:paraId="21997283" w14:textId="77777777" w:rsidR="008B361B" w:rsidRPr="008B361B" w:rsidRDefault="008B361B" w:rsidP="00491D16">
            <w:pPr>
              <w:jc w:val="both"/>
              <w:rPr>
                <w:sz w:val="20"/>
                <w:szCs w:val="20"/>
              </w:rPr>
            </w:pPr>
            <w:r w:rsidRPr="008B361B">
              <w:rPr>
                <w:sz w:val="20"/>
                <w:szCs w:val="20"/>
              </w:rPr>
              <w:t>PPATS</w:t>
            </w:r>
          </w:p>
        </w:tc>
        <w:tc>
          <w:tcPr>
            <w:tcW w:w="419" w:type="pct"/>
            <w:tcBorders>
              <w:top w:val="nil"/>
              <w:left w:val="nil"/>
              <w:bottom w:val="nil"/>
              <w:right w:val="nil"/>
            </w:tcBorders>
            <w:shd w:val="clear" w:color="auto" w:fill="auto"/>
            <w:noWrap/>
            <w:vAlign w:val="center"/>
            <w:hideMark/>
          </w:tcPr>
          <w:p w14:paraId="16CACAFB" w14:textId="77777777" w:rsidR="008B361B" w:rsidRPr="008B361B" w:rsidRDefault="008B361B">
            <w:pPr>
              <w:jc w:val="right"/>
              <w:rPr>
                <w:color w:val="000000"/>
                <w:sz w:val="20"/>
                <w:szCs w:val="20"/>
              </w:rPr>
            </w:pPr>
            <w:r w:rsidRPr="008B361B">
              <w:rPr>
                <w:color w:val="000000"/>
                <w:sz w:val="20"/>
                <w:szCs w:val="20"/>
              </w:rPr>
              <w:t>4.10</w:t>
            </w:r>
          </w:p>
        </w:tc>
        <w:tc>
          <w:tcPr>
            <w:tcW w:w="441" w:type="pct"/>
            <w:gridSpan w:val="2"/>
            <w:tcBorders>
              <w:top w:val="nil"/>
              <w:left w:val="nil"/>
              <w:bottom w:val="nil"/>
              <w:right w:val="nil"/>
            </w:tcBorders>
            <w:shd w:val="clear" w:color="auto" w:fill="auto"/>
            <w:noWrap/>
            <w:vAlign w:val="center"/>
            <w:hideMark/>
          </w:tcPr>
          <w:p w14:paraId="7CD9CC48" w14:textId="77777777" w:rsidR="008B361B" w:rsidRPr="008B361B" w:rsidRDefault="008B361B">
            <w:pPr>
              <w:jc w:val="right"/>
              <w:rPr>
                <w:color w:val="000000"/>
                <w:sz w:val="20"/>
                <w:szCs w:val="20"/>
              </w:rPr>
            </w:pPr>
            <w:r w:rsidRPr="008B361B">
              <w:rPr>
                <w:color w:val="000000"/>
                <w:sz w:val="20"/>
                <w:szCs w:val="20"/>
              </w:rPr>
              <w:t>1.10</w:t>
            </w:r>
          </w:p>
        </w:tc>
        <w:tc>
          <w:tcPr>
            <w:tcW w:w="471" w:type="pct"/>
            <w:tcBorders>
              <w:top w:val="nil"/>
              <w:left w:val="nil"/>
              <w:bottom w:val="nil"/>
              <w:right w:val="nil"/>
            </w:tcBorders>
            <w:shd w:val="clear" w:color="auto" w:fill="auto"/>
            <w:noWrap/>
            <w:vAlign w:val="center"/>
            <w:hideMark/>
          </w:tcPr>
          <w:p w14:paraId="4A7EE2D6" w14:textId="77777777" w:rsidR="008B361B" w:rsidRPr="008B361B" w:rsidRDefault="008B361B">
            <w:pPr>
              <w:jc w:val="right"/>
              <w:rPr>
                <w:color w:val="000000"/>
                <w:sz w:val="20"/>
                <w:szCs w:val="20"/>
              </w:rPr>
            </w:pPr>
            <w:r w:rsidRPr="008B361B">
              <w:rPr>
                <w:color w:val="000000"/>
                <w:sz w:val="20"/>
                <w:szCs w:val="20"/>
              </w:rPr>
              <w:t>3.00</w:t>
            </w:r>
          </w:p>
        </w:tc>
        <w:tc>
          <w:tcPr>
            <w:tcW w:w="411" w:type="pct"/>
            <w:tcBorders>
              <w:top w:val="nil"/>
              <w:left w:val="nil"/>
              <w:bottom w:val="nil"/>
              <w:right w:val="double" w:sz="4" w:space="0" w:color="auto"/>
            </w:tcBorders>
            <w:shd w:val="clear" w:color="auto" w:fill="auto"/>
            <w:noWrap/>
            <w:vAlign w:val="center"/>
            <w:hideMark/>
          </w:tcPr>
          <w:p w14:paraId="00D10F2D" w14:textId="77777777" w:rsidR="008B361B" w:rsidRPr="008B361B" w:rsidRDefault="008B361B">
            <w:pPr>
              <w:jc w:val="right"/>
              <w:rPr>
                <w:color w:val="000000"/>
                <w:sz w:val="20"/>
                <w:szCs w:val="20"/>
              </w:rPr>
            </w:pPr>
            <w:r w:rsidRPr="008B361B">
              <w:rPr>
                <w:color w:val="000000"/>
                <w:sz w:val="20"/>
                <w:szCs w:val="20"/>
              </w:rPr>
              <w:t>5.20</w:t>
            </w:r>
          </w:p>
        </w:tc>
      </w:tr>
      <w:tr w:rsidR="008B361B" w:rsidRPr="008B361B" w14:paraId="48C5E0EA" w14:textId="77777777" w:rsidTr="008B361B">
        <w:trPr>
          <w:trHeight w:val="285"/>
        </w:trPr>
        <w:tc>
          <w:tcPr>
            <w:tcW w:w="259" w:type="pct"/>
            <w:vMerge/>
            <w:tcBorders>
              <w:left w:val="double" w:sz="4" w:space="0" w:color="auto"/>
              <w:right w:val="nil"/>
            </w:tcBorders>
            <w:shd w:val="clear" w:color="auto" w:fill="auto"/>
            <w:noWrap/>
            <w:vAlign w:val="center"/>
            <w:hideMark/>
          </w:tcPr>
          <w:p w14:paraId="0170E1DF"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6295E514" w14:textId="77777777" w:rsidR="008B361B" w:rsidRPr="008B361B" w:rsidRDefault="008B361B" w:rsidP="00491D16">
            <w:pPr>
              <w:jc w:val="both"/>
              <w:rPr>
                <w:sz w:val="20"/>
                <w:szCs w:val="20"/>
              </w:rPr>
            </w:pPr>
            <w:r w:rsidRPr="008B361B">
              <w:rPr>
                <w:sz w:val="20"/>
                <w:szCs w:val="20"/>
              </w:rPr>
              <w:t>PPEAP</w:t>
            </w:r>
          </w:p>
        </w:tc>
        <w:tc>
          <w:tcPr>
            <w:tcW w:w="419" w:type="pct"/>
            <w:tcBorders>
              <w:top w:val="nil"/>
              <w:left w:val="nil"/>
              <w:bottom w:val="nil"/>
              <w:right w:val="nil"/>
            </w:tcBorders>
            <w:shd w:val="clear" w:color="auto" w:fill="auto"/>
            <w:noWrap/>
            <w:vAlign w:val="center"/>
            <w:hideMark/>
          </w:tcPr>
          <w:p w14:paraId="2B820B88" w14:textId="77777777" w:rsidR="008B361B" w:rsidRPr="008B361B" w:rsidRDefault="008B361B">
            <w:pPr>
              <w:jc w:val="right"/>
              <w:rPr>
                <w:color w:val="000000"/>
                <w:sz w:val="20"/>
                <w:szCs w:val="20"/>
              </w:rPr>
            </w:pPr>
            <w:r w:rsidRPr="008B361B">
              <w:rPr>
                <w:color w:val="000000"/>
                <w:sz w:val="20"/>
                <w:szCs w:val="20"/>
              </w:rPr>
              <w:t>2.32</w:t>
            </w:r>
          </w:p>
        </w:tc>
        <w:tc>
          <w:tcPr>
            <w:tcW w:w="441" w:type="pct"/>
            <w:tcBorders>
              <w:top w:val="nil"/>
              <w:left w:val="nil"/>
              <w:bottom w:val="nil"/>
              <w:right w:val="nil"/>
            </w:tcBorders>
            <w:shd w:val="clear" w:color="auto" w:fill="auto"/>
            <w:noWrap/>
            <w:vAlign w:val="center"/>
            <w:hideMark/>
          </w:tcPr>
          <w:p w14:paraId="3701287D" w14:textId="77777777" w:rsidR="008B361B" w:rsidRPr="008B361B" w:rsidRDefault="008B361B">
            <w:pPr>
              <w:jc w:val="right"/>
              <w:rPr>
                <w:color w:val="000000"/>
                <w:sz w:val="20"/>
                <w:szCs w:val="20"/>
              </w:rPr>
            </w:pPr>
            <w:r w:rsidRPr="008B361B">
              <w:rPr>
                <w:color w:val="000000"/>
                <w:sz w:val="20"/>
                <w:szCs w:val="20"/>
              </w:rPr>
              <w:t>0.26</w:t>
            </w:r>
          </w:p>
        </w:tc>
        <w:tc>
          <w:tcPr>
            <w:tcW w:w="412" w:type="pct"/>
            <w:tcBorders>
              <w:top w:val="nil"/>
              <w:left w:val="nil"/>
              <w:bottom w:val="nil"/>
              <w:right w:val="nil"/>
            </w:tcBorders>
            <w:shd w:val="clear" w:color="auto" w:fill="auto"/>
            <w:noWrap/>
            <w:vAlign w:val="center"/>
            <w:hideMark/>
          </w:tcPr>
          <w:p w14:paraId="427B1335" w14:textId="77777777" w:rsidR="008B361B" w:rsidRPr="008B361B" w:rsidRDefault="008B361B">
            <w:pPr>
              <w:jc w:val="right"/>
              <w:rPr>
                <w:color w:val="000000"/>
                <w:sz w:val="20"/>
                <w:szCs w:val="20"/>
              </w:rPr>
            </w:pPr>
            <w:r w:rsidRPr="008B361B">
              <w:rPr>
                <w:color w:val="000000"/>
                <w:sz w:val="20"/>
                <w:szCs w:val="20"/>
              </w:rPr>
              <w:t>1.90</w:t>
            </w:r>
          </w:p>
        </w:tc>
        <w:tc>
          <w:tcPr>
            <w:tcW w:w="412" w:type="pct"/>
            <w:tcBorders>
              <w:top w:val="nil"/>
              <w:left w:val="nil"/>
              <w:bottom w:val="nil"/>
              <w:right w:val="double" w:sz="4" w:space="0" w:color="auto"/>
            </w:tcBorders>
            <w:shd w:val="clear" w:color="auto" w:fill="auto"/>
            <w:noWrap/>
            <w:vAlign w:val="center"/>
            <w:hideMark/>
          </w:tcPr>
          <w:p w14:paraId="069CC341" w14:textId="77777777" w:rsidR="008B361B" w:rsidRPr="008B361B" w:rsidRDefault="008B361B">
            <w:pPr>
              <w:jc w:val="right"/>
              <w:rPr>
                <w:color w:val="000000"/>
                <w:sz w:val="20"/>
                <w:szCs w:val="20"/>
              </w:rPr>
            </w:pPr>
            <w:r w:rsidRPr="008B361B">
              <w:rPr>
                <w:color w:val="000000"/>
                <w:sz w:val="20"/>
                <w:szCs w:val="20"/>
              </w:rPr>
              <w:t>2.70</w:t>
            </w:r>
          </w:p>
        </w:tc>
        <w:tc>
          <w:tcPr>
            <w:tcW w:w="202" w:type="pct"/>
            <w:vMerge/>
            <w:tcBorders>
              <w:left w:val="double" w:sz="4" w:space="0" w:color="auto"/>
              <w:right w:val="nil"/>
            </w:tcBorders>
            <w:shd w:val="clear" w:color="auto" w:fill="auto"/>
            <w:noWrap/>
            <w:vAlign w:val="center"/>
            <w:hideMark/>
          </w:tcPr>
          <w:p w14:paraId="46FB56C6" w14:textId="77777777" w:rsidR="008B361B" w:rsidRPr="008B361B" w:rsidRDefault="008B361B" w:rsidP="00491D16">
            <w:pPr>
              <w:jc w:val="both"/>
              <w:rPr>
                <w:sz w:val="20"/>
                <w:szCs w:val="20"/>
              </w:rPr>
            </w:pPr>
          </w:p>
        </w:tc>
        <w:tc>
          <w:tcPr>
            <w:tcW w:w="557" w:type="pct"/>
            <w:tcBorders>
              <w:top w:val="nil"/>
              <w:left w:val="single" w:sz="4" w:space="0" w:color="auto"/>
              <w:bottom w:val="nil"/>
              <w:right w:val="nil"/>
            </w:tcBorders>
            <w:shd w:val="clear" w:color="auto" w:fill="auto"/>
            <w:vAlign w:val="center"/>
            <w:hideMark/>
          </w:tcPr>
          <w:p w14:paraId="333CD2AE" w14:textId="77777777" w:rsidR="008B361B" w:rsidRPr="008B361B" w:rsidRDefault="008B361B" w:rsidP="00491D16">
            <w:pPr>
              <w:jc w:val="both"/>
              <w:rPr>
                <w:sz w:val="20"/>
                <w:szCs w:val="20"/>
              </w:rPr>
            </w:pPr>
            <w:r w:rsidRPr="008B361B">
              <w:rPr>
                <w:sz w:val="20"/>
                <w:szCs w:val="20"/>
              </w:rPr>
              <w:t>PPEAP</w:t>
            </w:r>
          </w:p>
        </w:tc>
        <w:tc>
          <w:tcPr>
            <w:tcW w:w="419" w:type="pct"/>
            <w:tcBorders>
              <w:top w:val="nil"/>
              <w:left w:val="nil"/>
              <w:bottom w:val="nil"/>
              <w:right w:val="nil"/>
            </w:tcBorders>
            <w:shd w:val="clear" w:color="auto" w:fill="auto"/>
            <w:noWrap/>
            <w:vAlign w:val="center"/>
            <w:hideMark/>
          </w:tcPr>
          <w:p w14:paraId="3F6B3481" w14:textId="77777777" w:rsidR="008B361B" w:rsidRPr="008B361B" w:rsidRDefault="008B361B">
            <w:pPr>
              <w:jc w:val="right"/>
              <w:rPr>
                <w:color w:val="000000"/>
                <w:sz w:val="20"/>
                <w:szCs w:val="20"/>
              </w:rPr>
            </w:pPr>
            <w:r w:rsidRPr="008B361B">
              <w:rPr>
                <w:color w:val="000000"/>
                <w:sz w:val="20"/>
                <w:szCs w:val="20"/>
              </w:rPr>
              <w:t>3.30</w:t>
            </w:r>
          </w:p>
        </w:tc>
        <w:tc>
          <w:tcPr>
            <w:tcW w:w="441" w:type="pct"/>
            <w:gridSpan w:val="2"/>
            <w:tcBorders>
              <w:top w:val="nil"/>
              <w:left w:val="nil"/>
              <w:bottom w:val="nil"/>
              <w:right w:val="nil"/>
            </w:tcBorders>
            <w:shd w:val="clear" w:color="auto" w:fill="auto"/>
            <w:noWrap/>
            <w:vAlign w:val="center"/>
            <w:hideMark/>
          </w:tcPr>
          <w:p w14:paraId="0ECA03CB" w14:textId="77777777" w:rsidR="008B361B" w:rsidRPr="008B361B" w:rsidRDefault="008B361B">
            <w:pPr>
              <w:jc w:val="right"/>
              <w:rPr>
                <w:color w:val="000000"/>
                <w:sz w:val="20"/>
                <w:szCs w:val="20"/>
              </w:rPr>
            </w:pPr>
            <w:r w:rsidRPr="008B361B">
              <w:rPr>
                <w:color w:val="000000"/>
                <w:sz w:val="20"/>
                <w:szCs w:val="20"/>
              </w:rPr>
              <w:t>0.30</w:t>
            </w:r>
          </w:p>
        </w:tc>
        <w:tc>
          <w:tcPr>
            <w:tcW w:w="471" w:type="pct"/>
            <w:tcBorders>
              <w:top w:val="nil"/>
              <w:left w:val="nil"/>
              <w:bottom w:val="nil"/>
              <w:right w:val="nil"/>
            </w:tcBorders>
            <w:shd w:val="clear" w:color="auto" w:fill="auto"/>
            <w:noWrap/>
            <w:vAlign w:val="center"/>
            <w:hideMark/>
          </w:tcPr>
          <w:p w14:paraId="77004ECC" w14:textId="77777777" w:rsidR="008B361B" w:rsidRPr="008B361B" w:rsidRDefault="008B361B">
            <w:pPr>
              <w:jc w:val="right"/>
              <w:rPr>
                <w:color w:val="000000"/>
                <w:sz w:val="20"/>
                <w:szCs w:val="20"/>
              </w:rPr>
            </w:pPr>
            <w:r w:rsidRPr="008B361B">
              <w:rPr>
                <w:color w:val="000000"/>
                <w:sz w:val="20"/>
                <w:szCs w:val="20"/>
              </w:rPr>
              <w:t>3.00</w:t>
            </w:r>
          </w:p>
        </w:tc>
        <w:tc>
          <w:tcPr>
            <w:tcW w:w="411" w:type="pct"/>
            <w:tcBorders>
              <w:top w:val="nil"/>
              <w:left w:val="nil"/>
              <w:bottom w:val="nil"/>
              <w:right w:val="double" w:sz="4" w:space="0" w:color="auto"/>
            </w:tcBorders>
            <w:shd w:val="clear" w:color="auto" w:fill="auto"/>
            <w:noWrap/>
            <w:vAlign w:val="center"/>
            <w:hideMark/>
          </w:tcPr>
          <w:p w14:paraId="61DBCFF5" w14:textId="77777777" w:rsidR="008B361B" w:rsidRPr="008B361B" w:rsidRDefault="008B361B">
            <w:pPr>
              <w:jc w:val="right"/>
              <w:rPr>
                <w:color w:val="000000"/>
                <w:sz w:val="20"/>
                <w:szCs w:val="20"/>
              </w:rPr>
            </w:pPr>
            <w:r w:rsidRPr="008B361B">
              <w:rPr>
                <w:color w:val="000000"/>
                <w:sz w:val="20"/>
                <w:szCs w:val="20"/>
              </w:rPr>
              <w:t>3.60</w:t>
            </w:r>
          </w:p>
        </w:tc>
      </w:tr>
      <w:tr w:rsidR="008B361B" w:rsidRPr="008B361B" w14:paraId="03E8B125" w14:textId="77777777" w:rsidTr="008B361B">
        <w:trPr>
          <w:trHeight w:val="285"/>
        </w:trPr>
        <w:tc>
          <w:tcPr>
            <w:tcW w:w="259" w:type="pct"/>
            <w:vMerge/>
            <w:tcBorders>
              <w:left w:val="double" w:sz="4" w:space="0" w:color="auto"/>
              <w:bottom w:val="double" w:sz="4" w:space="0" w:color="auto"/>
              <w:right w:val="nil"/>
            </w:tcBorders>
            <w:shd w:val="clear" w:color="auto" w:fill="auto"/>
            <w:noWrap/>
            <w:vAlign w:val="center"/>
            <w:hideMark/>
          </w:tcPr>
          <w:p w14:paraId="6A5254F6" w14:textId="77777777" w:rsidR="008B361B" w:rsidRPr="008B361B" w:rsidRDefault="008B361B" w:rsidP="00491D16">
            <w:pPr>
              <w:jc w:val="both"/>
              <w:rPr>
                <w:sz w:val="20"/>
                <w:szCs w:val="20"/>
              </w:rPr>
            </w:pPr>
          </w:p>
        </w:tc>
        <w:tc>
          <w:tcPr>
            <w:tcW w:w="556" w:type="pct"/>
            <w:tcBorders>
              <w:top w:val="nil"/>
              <w:left w:val="single" w:sz="4" w:space="0" w:color="auto"/>
              <w:bottom w:val="double" w:sz="4" w:space="0" w:color="auto"/>
              <w:right w:val="nil"/>
            </w:tcBorders>
            <w:shd w:val="clear" w:color="auto" w:fill="auto"/>
            <w:vAlign w:val="center"/>
            <w:hideMark/>
          </w:tcPr>
          <w:p w14:paraId="7392470B" w14:textId="77777777" w:rsidR="008B361B" w:rsidRPr="008B361B" w:rsidRDefault="008B361B" w:rsidP="00491D16">
            <w:pPr>
              <w:jc w:val="both"/>
              <w:rPr>
                <w:sz w:val="20"/>
                <w:szCs w:val="20"/>
              </w:rPr>
            </w:pPr>
            <w:r w:rsidRPr="008B361B">
              <w:rPr>
                <w:sz w:val="20"/>
                <w:szCs w:val="20"/>
              </w:rPr>
              <w:t>PGDP</w:t>
            </w:r>
          </w:p>
        </w:tc>
        <w:tc>
          <w:tcPr>
            <w:tcW w:w="419" w:type="pct"/>
            <w:tcBorders>
              <w:top w:val="nil"/>
              <w:left w:val="nil"/>
              <w:bottom w:val="double" w:sz="4" w:space="0" w:color="auto"/>
              <w:right w:val="nil"/>
            </w:tcBorders>
            <w:shd w:val="clear" w:color="auto" w:fill="auto"/>
            <w:noWrap/>
            <w:vAlign w:val="center"/>
            <w:hideMark/>
          </w:tcPr>
          <w:p w14:paraId="4DBC5D7E" w14:textId="77777777" w:rsidR="008B361B" w:rsidRPr="008B361B" w:rsidRDefault="008B361B">
            <w:pPr>
              <w:jc w:val="right"/>
              <w:rPr>
                <w:color w:val="000000"/>
                <w:sz w:val="20"/>
                <w:szCs w:val="20"/>
              </w:rPr>
            </w:pPr>
            <w:r w:rsidRPr="008B361B">
              <w:rPr>
                <w:color w:val="000000"/>
                <w:sz w:val="20"/>
                <w:szCs w:val="20"/>
              </w:rPr>
              <w:t>37000</w:t>
            </w:r>
          </w:p>
        </w:tc>
        <w:tc>
          <w:tcPr>
            <w:tcW w:w="441" w:type="pct"/>
            <w:tcBorders>
              <w:top w:val="nil"/>
              <w:left w:val="nil"/>
              <w:bottom w:val="double" w:sz="4" w:space="0" w:color="auto"/>
              <w:right w:val="nil"/>
            </w:tcBorders>
            <w:shd w:val="clear" w:color="auto" w:fill="auto"/>
            <w:noWrap/>
            <w:vAlign w:val="center"/>
            <w:hideMark/>
          </w:tcPr>
          <w:p w14:paraId="4E5B8536" w14:textId="77777777" w:rsidR="008B361B" w:rsidRPr="008B361B" w:rsidRDefault="008B361B">
            <w:pPr>
              <w:jc w:val="right"/>
              <w:rPr>
                <w:color w:val="000000"/>
                <w:sz w:val="20"/>
                <w:szCs w:val="20"/>
              </w:rPr>
            </w:pPr>
            <w:r w:rsidRPr="008B361B">
              <w:rPr>
                <w:color w:val="000000"/>
                <w:sz w:val="20"/>
                <w:szCs w:val="20"/>
              </w:rPr>
              <w:t>9100</w:t>
            </w:r>
          </w:p>
        </w:tc>
        <w:tc>
          <w:tcPr>
            <w:tcW w:w="412" w:type="pct"/>
            <w:tcBorders>
              <w:top w:val="nil"/>
              <w:left w:val="nil"/>
              <w:bottom w:val="double" w:sz="4" w:space="0" w:color="auto"/>
              <w:right w:val="nil"/>
            </w:tcBorders>
            <w:shd w:val="clear" w:color="auto" w:fill="auto"/>
            <w:noWrap/>
            <w:vAlign w:val="center"/>
            <w:hideMark/>
          </w:tcPr>
          <w:p w14:paraId="28124BAD" w14:textId="77777777" w:rsidR="008B361B" w:rsidRPr="008B361B" w:rsidRDefault="008B361B">
            <w:pPr>
              <w:jc w:val="right"/>
              <w:rPr>
                <w:color w:val="000000"/>
                <w:sz w:val="20"/>
                <w:szCs w:val="20"/>
              </w:rPr>
            </w:pPr>
            <w:r w:rsidRPr="008B361B">
              <w:rPr>
                <w:color w:val="000000"/>
                <w:sz w:val="20"/>
                <w:szCs w:val="20"/>
              </w:rPr>
              <w:t>26100</w:t>
            </w:r>
          </w:p>
        </w:tc>
        <w:tc>
          <w:tcPr>
            <w:tcW w:w="412" w:type="pct"/>
            <w:tcBorders>
              <w:top w:val="nil"/>
              <w:left w:val="nil"/>
              <w:bottom w:val="double" w:sz="4" w:space="0" w:color="auto"/>
              <w:right w:val="double" w:sz="4" w:space="0" w:color="auto"/>
            </w:tcBorders>
            <w:shd w:val="clear" w:color="auto" w:fill="auto"/>
            <w:noWrap/>
            <w:vAlign w:val="center"/>
            <w:hideMark/>
          </w:tcPr>
          <w:p w14:paraId="60EDE444" w14:textId="77777777" w:rsidR="008B361B" w:rsidRPr="008B361B" w:rsidRDefault="008B361B">
            <w:pPr>
              <w:jc w:val="right"/>
              <w:rPr>
                <w:color w:val="000000"/>
                <w:sz w:val="20"/>
                <w:szCs w:val="20"/>
              </w:rPr>
            </w:pPr>
            <w:r w:rsidRPr="008B361B">
              <w:rPr>
                <w:color w:val="000000"/>
                <w:sz w:val="20"/>
                <w:szCs w:val="20"/>
              </w:rPr>
              <w:t>46900</w:t>
            </w:r>
          </w:p>
        </w:tc>
        <w:tc>
          <w:tcPr>
            <w:tcW w:w="202" w:type="pct"/>
            <w:vMerge/>
            <w:tcBorders>
              <w:left w:val="double" w:sz="4" w:space="0" w:color="auto"/>
              <w:bottom w:val="double" w:sz="4" w:space="0" w:color="auto"/>
              <w:right w:val="nil"/>
            </w:tcBorders>
            <w:shd w:val="clear" w:color="auto" w:fill="auto"/>
            <w:noWrap/>
            <w:vAlign w:val="center"/>
            <w:hideMark/>
          </w:tcPr>
          <w:p w14:paraId="215AFC4A" w14:textId="77777777" w:rsidR="008B361B" w:rsidRPr="008B361B" w:rsidRDefault="008B361B" w:rsidP="00491D16">
            <w:pPr>
              <w:jc w:val="both"/>
              <w:rPr>
                <w:sz w:val="20"/>
                <w:szCs w:val="20"/>
              </w:rPr>
            </w:pPr>
          </w:p>
        </w:tc>
        <w:tc>
          <w:tcPr>
            <w:tcW w:w="557" w:type="pct"/>
            <w:tcBorders>
              <w:top w:val="nil"/>
              <w:left w:val="single" w:sz="4" w:space="0" w:color="auto"/>
              <w:bottom w:val="double" w:sz="4" w:space="0" w:color="auto"/>
              <w:right w:val="nil"/>
            </w:tcBorders>
            <w:shd w:val="clear" w:color="auto" w:fill="auto"/>
            <w:vAlign w:val="center"/>
            <w:hideMark/>
          </w:tcPr>
          <w:p w14:paraId="3A8D78D4" w14:textId="77777777" w:rsidR="008B361B" w:rsidRPr="008B361B" w:rsidRDefault="008B361B" w:rsidP="00491D16">
            <w:pPr>
              <w:jc w:val="both"/>
              <w:rPr>
                <w:sz w:val="20"/>
                <w:szCs w:val="20"/>
              </w:rPr>
            </w:pPr>
            <w:r w:rsidRPr="008B361B">
              <w:rPr>
                <w:sz w:val="20"/>
                <w:szCs w:val="20"/>
              </w:rPr>
              <w:t>PGDP</w:t>
            </w:r>
          </w:p>
        </w:tc>
        <w:tc>
          <w:tcPr>
            <w:tcW w:w="419" w:type="pct"/>
            <w:tcBorders>
              <w:top w:val="nil"/>
              <w:left w:val="nil"/>
              <w:bottom w:val="double" w:sz="4" w:space="0" w:color="auto"/>
              <w:right w:val="nil"/>
            </w:tcBorders>
            <w:shd w:val="clear" w:color="auto" w:fill="auto"/>
            <w:noWrap/>
            <w:vAlign w:val="center"/>
            <w:hideMark/>
          </w:tcPr>
          <w:p w14:paraId="60611D9A" w14:textId="77777777" w:rsidR="008B361B" w:rsidRPr="008B361B" w:rsidRDefault="008B361B">
            <w:pPr>
              <w:jc w:val="right"/>
              <w:rPr>
                <w:color w:val="000000"/>
                <w:sz w:val="20"/>
                <w:szCs w:val="20"/>
              </w:rPr>
            </w:pPr>
            <w:r w:rsidRPr="008B361B">
              <w:rPr>
                <w:color w:val="000000"/>
                <w:sz w:val="20"/>
                <w:szCs w:val="20"/>
              </w:rPr>
              <w:t>14900</w:t>
            </w:r>
          </w:p>
        </w:tc>
        <w:tc>
          <w:tcPr>
            <w:tcW w:w="441" w:type="pct"/>
            <w:gridSpan w:val="2"/>
            <w:tcBorders>
              <w:top w:val="nil"/>
              <w:left w:val="nil"/>
              <w:bottom w:val="double" w:sz="4" w:space="0" w:color="auto"/>
              <w:right w:val="nil"/>
            </w:tcBorders>
            <w:shd w:val="clear" w:color="auto" w:fill="auto"/>
            <w:noWrap/>
            <w:vAlign w:val="center"/>
            <w:hideMark/>
          </w:tcPr>
          <w:p w14:paraId="08B98CD1" w14:textId="77777777" w:rsidR="008B361B" w:rsidRPr="008B361B" w:rsidRDefault="008B361B">
            <w:pPr>
              <w:jc w:val="right"/>
              <w:rPr>
                <w:color w:val="000000"/>
                <w:sz w:val="20"/>
                <w:szCs w:val="20"/>
              </w:rPr>
            </w:pPr>
            <w:r w:rsidRPr="008B361B">
              <w:rPr>
                <w:color w:val="000000"/>
                <w:sz w:val="20"/>
                <w:szCs w:val="20"/>
              </w:rPr>
              <w:t>1908</w:t>
            </w:r>
          </w:p>
        </w:tc>
        <w:tc>
          <w:tcPr>
            <w:tcW w:w="471" w:type="pct"/>
            <w:tcBorders>
              <w:top w:val="nil"/>
              <w:left w:val="nil"/>
              <w:bottom w:val="double" w:sz="4" w:space="0" w:color="auto"/>
              <w:right w:val="nil"/>
            </w:tcBorders>
            <w:shd w:val="clear" w:color="auto" w:fill="auto"/>
            <w:noWrap/>
            <w:vAlign w:val="center"/>
            <w:hideMark/>
          </w:tcPr>
          <w:p w14:paraId="515BE8AB" w14:textId="77777777" w:rsidR="008B361B" w:rsidRPr="008B361B" w:rsidRDefault="008B361B">
            <w:pPr>
              <w:jc w:val="right"/>
              <w:rPr>
                <w:color w:val="000000"/>
                <w:sz w:val="20"/>
                <w:szCs w:val="20"/>
              </w:rPr>
            </w:pPr>
            <w:r w:rsidRPr="008B361B">
              <w:rPr>
                <w:color w:val="000000"/>
                <w:sz w:val="20"/>
                <w:szCs w:val="20"/>
              </w:rPr>
              <w:t>13700</w:t>
            </w:r>
          </w:p>
        </w:tc>
        <w:tc>
          <w:tcPr>
            <w:tcW w:w="411" w:type="pct"/>
            <w:tcBorders>
              <w:top w:val="nil"/>
              <w:left w:val="nil"/>
              <w:bottom w:val="double" w:sz="4" w:space="0" w:color="auto"/>
              <w:right w:val="double" w:sz="4" w:space="0" w:color="auto"/>
            </w:tcBorders>
            <w:shd w:val="clear" w:color="auto" w:fill="auto"/>
            <w:noWrap/>
            <w:vAlign w:val="center"/>
            <w:hideMark/>
          </w:tcPr>
          <w:p w14:paraId="4DF9D18B" w14:textId="77777777" w:rsidR="008B361B" w:rsidRPr="008B361B" w:rsidRDefault="008B361B">
            <w:pPr>
              <w:jc w:val="right"/>
              <w:rPr>
                <w:color w:val="000000"/>
                <w:sz w:val="20"/>
                <w:szCs w:val="20"/>
              </w:rPr>
            </w:pPr>
            <w:r w:rsidRPr="008B361B">
              <w:rPr>
                <w:color w:val="000000"/>
                <w:sz w:val="20"/>
                <w:szCs w:val="20"/>
              </w:rPr>
              <w:t>17100</w:t>
            </w:r>
          </w:p>
        </w:tc>
      </w:tr>
      <w:tr w:rsidR="008B361B" w:rsidRPr="008B361B" w14:paraId="497CDD15" w14:textId="77777777" w:rsidTr="007A100D">
        <w:trPr>
          <w:trHeight w:val="285"/>
        </w:trPr>
        <w:tc>
          <w:tcPr>
            <w:tcW w:w="259" w:type="pct"/>
            <w:vMerge w:val="restart"/>
            <w:tcBorders>
              <w:top w:val="double" w:sz="4" w:space="0" w:color="auto"/>
              <w:left w:val="double" w:sz="4" w:space="0" w:color="auto"/>
              <w:right w:val="nil"/>
            </w:tcBorders>
            <w:shd w:val="clear" w:color="auto" w:fill="auto"/>
            <w:noWrap/>
            <w:vAlign w:val="center"/>
            <w:hideMark/>
          </w:tcPr>
          <w:p w14:paraId="10E07E49" w14:textId="77777777" w:rsidR="008B361B" w:rsidRPr="008B361B" w:rsidRDefault="008B361B" w:rsidP="00491D16">
            <w:pPr>
              <w:jc w:val="both"/>
              <w:rPr>
                <w:sz w:val="20"/>
                <w:szCs w:val="20"/>
              </w:rPr>
            </w:pPr>
            <w:r w:rsidRPr="008B361B">
              <w:rPr>
                <w:sz w:val="20"/>
                <w:szCs w:val="20"/>
              </w:rPr>
              <w:t>E</w:t>
            </w:r>
          </w:p>
        </w:tc>
        <w:tc>
          <w:tcPr>
            <w:tcW w:w="556" w:type="pct"/>
            <w:tcBorders>
              <w:top w:val="double" w:sz="4" w:space="0" w:color="auto"/>
              <w:left w:val="single" w:sz="4" w:space="0" w:color="auto"/>
              <w:bottom w:val="nil"/>
              <w:right w:val="nil"/>
            </w:tcBorders>
            <w:shd w:val="clear" w:color="auto" w:fill="auto"/>
            <w:vAlign w:val="center"/>
            <w:hideMark/>
          </w:tcPr>
          <w:p w14:paraId="0F595F95" w14:textId="77777777" w:rsidR="008B361B" w:rsidRPr="008B361B" w:rsidRDefault="008B361B" w:rsidP="00491D16">
            <w:pPr>
              <w:jc w:val="both"/>
              <w:rPr>
                <w:sz w:val="20"/>
                <w:szCs w:val="20"/>
              </w:rPr>
            </w:pPr>
            <w:r w:rsidRPr="008B361B">
              <w:rPr>
                <w:sz w:val="20"/>
                <w:szCs w:val="20"/>
              </w:rPr>
              <w:t>P0CEP</w:t>
            </w:r>
          </w:p>
        </w:tc>
        <w:tc>
          <w:tcPr>
            <w:tcW w:w="419" w:type="pct"/>
            <w:tcBorders>
              <w:top w:val="double" w:sz="4" w:space="0" w:color="auto"/>
              <w:left w:val="nil"/>
              <w:bottom w:val="nil"/>
              <w:right w:val="nil"/>
            </w:tcBorders>
            <w:shd w:val="clear" w:color="auto" w:fill="auto"/>
            <w:noWrap/>
            <w:vAlign w:val="center"/>
            <w:hideMark/>
          </w:tcPr>
          <w:p w14:paraId="72B49F48" w14:textId="77777777" w:rsidR="008B361B" w:rsidRPr="008B361B" w:rsidRDefault="008B361B">
            <w:pPr>
              <w:jc w:val="right"/>
              <w:rPr>
                <w:color w:val="000000"/>
                <w:sz w:val="20"/>
                <w:szCs w:val="20"/>
              </w:rPr>
            </w:pPr>
            <w:r w:rsidRPr="008B361B">
              <w:rPr>
                <w:color w:val="000000"/>
                <w:sz w:val="20"/>
                <w:szCs w:val="20"/>
              </w:rPr>
              <w:t>66.38</w:t>
            </w:r>
          </w:p>
        </w:tc>
        <w:tc>
          <w:tcPr>
            <w:tcW w:w="441" w:type="pct"/>
            <w:tcBorders>
              <w:top w:val="double" w:sz="4" w:space="0" w:color="auto"/>
              <w:left w:val="nil"/>
              <w:bottom w:val="nil"/>
              <w:right w:val="nil"/>
            </w:tcBorders>
            <w:shd w:val="clear" w:color="auto" w:fill="auto"/>
            <w:noWrap/>
            <w:vAlign w:val="center"/>
            <w:hideMark/>
          </w:tcPr>
          <w:p w14:paraId="164F8A4A" w14:textId="77777777" w:rsidR="008B361B" w:rsidRPr="008B361B" w:rsidRDefault="008B361B">
            <w:pPr>
              <w:jc w:val="right"/>
              <w:rPr>
                <w:color w:val="000000"/>
                <w:sz w:val="20"/>
                <w:szCs w:val="20"/>
              </w:rPr>
            </w:pPr>
            <w:r w:rsidRPr="008B361B">
              <w:rPr>
                <w:color w:val="000000"/>
                <w:sz w:val="20"/>
                <w:szCs w:val="20"/>
              </w:rPr>
              <w:t>2.07</w:t>
            </w:r>
          </w:p>
        </w:tc>
        <w:tc>
          <w:tcPr>
            <w:tcW w:w="412" w:type="pct"/>
            <w:tcBorders>
              <w:top w:val="double" w:sz="4" w:space="0" w:color="auto"/>
              <w:left w:val="nil"/>
              <w:bottom w:val="nil"/>
              <w:right w:val="nil"/>
            </w:tcBorders>
            <w:shd w:val="clear" w:color="auto" w:fill="auto"/>
            <w:noWrap/>
            <w:vAlign w:val="center"/>
            <w:hideMark/>
          </w:tcPr>
          <w:p w14:paraId="0478F98D" w14:textId="77777777" w:rsidR="008B361B" w:rsidRPr="008B361B" w:rsidRDefault="008B361B">
            <w:pPr>
              <w:jc w:val="right"/>
              <w:rPr>
                <w:color w:val="000000"/>
                <w:sz w:val="20"/>
                <w:szCs w:val="20"/>
              </w:rPr>
            </w:pPr>
            <w:r w:rsidRPr="008B361B">
              <w:rPr>
                <w:color w:val="000000"/>
                <w:sz w:val="20"/>
                <w:szCs w:val="20"/>
              </w:rPr>
              <w:t>64.20</w:t>
            </w:r>
          </w:p>
        </w:tc>
        <w:tc>
          <w:tcPr>
            <w:tcW w:w="412" w:type="pct"/>
            <w:tcBorders>
              <w:top w:val="double" w:sz="4" w:space="0" w:color="auto"/>
              <w:left w:val="nil"/>
              <w:bottom w:val="nil"/>
              <w:right w:val="double" w:sz="4" w:space="0" w:color="auto"/>
            </w:tcBorders>
            <w:shd w:val="clear" w:color="auto" w:fill="auto"/>
            <w:noWrap/>
            <w:vAlign w:val="center"/>
            <w:hideMark/>
          </w:tcPr>
          <w:p w14:paraId="300A4055" w14:textId="77777777" w:rsidR="008B361B" w:rsidRPr="008B361B" w:rsidRDefault="008B361B">
            <w:pPr>
              <w:jc w:val="right"/>
              <w:rPr>
                <w:color w:val="000000"/>
                <w:sz w:val="20"/>
                <w:szCs w:val="20"/>
              </w:rPr>
            </w:pPr>
            <w:r w:rsidRPr="008B361B">
              <w:rPr>
                <w:color w:val="000000"/>
                <w:sz w:val="20"/>
                <w:szCs w:val="20"/>
              </w:rPr>
              <w:t>68.80</w:t>
            </w:r>
          </w:p>
        </w:tc>
        <w:tc>
          <w:tcPr>
            <w:tcW w:w="2501" w:type="pct"/>
            <w:gridSpan w:val="7"/>
            <w:tcBorders>
              <w:top w:val="double" w:sz="4" w:space="0" w:color="auto"/>
              <w:left w:val="double" w:sz="4" w:space="0" w:color="auto"/>
              <w:bottom w:val="nil"/>
              <w:right w:val="double" w:sz="4" w:space="0" w:color="auto"/>
            </w:tcBorders>
            <w:shd w:val="clear" w:color="auto" w:fill="auto"/>
            <w:noWrap/>
            <w:vAlign w:val="center"/>
            <w:hideMark/>
          </w:tcPr>
          <w:p w14:paraId="1452D9DE" w14:textId="77777777" w:rsidR="008B361B" w:rsidRPr="008B361B" w:rsidRDefault="008B361B" w:rsidP="008B361B">
            <w:pPr>
              <w:jc w:val="center"/>
              <w:rPr>
                <w:sz w:val="20"/>
                <w:szCs w:val="20"/>
              </w:rPr>
            </w:pPr>
            <w:r w:rsidRPr="008B361B">
              <w:rPr>
                <w:sz w:val="20"/>
                <w:szCs w:val="20"/>
              </w:rPr>
              <w:t>Luxemburg</w:t>
            </w:r>
          </w:p>
        </w:tc>
      </w:tr>
      <w:tr w:rsidR="008B361B" w:rsidRPr="008B361B" w14:paraId="4041DB45" w14:textId="77777777" w:rsidTr="008B361B">
        <w:trPr>
          <w:trHeight w:val="285"/>
        </w:trPr>
        <w:tc>
          <w:tcPr>
            <w:tcW w:w="259" w:type="pct"/>
            <w:vMerge/>
            <w:tcBorders>
              <w:left w:val="double" w:sz="4" w:space="0" w:color="auto"/>
              <w:right w:val="nil"/>
            </w:tcBorders>
            <w:shd w:val="clear" w:color="auto" w:fill="auto"/>
            <w:noWrap/>
            <w:vAlign w:val="center"/>
            <w:hideMark/>
          </w:tcPr>
          <w:p w14:paraId="563A5AC0"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17B855B6" w14:textId="77777777" w:rsidR="008B361B" w:rsidRPr="008B361B" w:rsidRDefault="008B361B" w:rsidP="00491D16">
            <w:pPr>
              <w:jc w:val="both"/>
              <w:rPr>
                <w:sz w:val="20"/>
                <w:szCs w:val="20"/>
              </w:rPr>
            </w:pPr>
            <w:r w:rsidRPr="008B361B">
              <w:rPr>
                <w:sz w:val="20"/>
                <w:szCs w:val="20"/>
              </w:rPr>
              <w:t>PPTE</w:t>
            </w:r>
          </w:p>
        </w:tc>
        <w:tc>
          <w:tcPr>
            <w:tcW w:w="419" w:type="pct"/>
            <w:tcBorders>
              <w:top w:val="nil"/>
              <w:left w:val="nil"/>
              <w:bottom w:val="nil"/>
              <w:right w:val="nil"/>
            </w:tcBorders>
            <w:shd w:val="clear" w:color="auto" w:fill="auto"/>
            <w:noWrap/>
            <w:vAlign w:val="center"/>
            <w:hideMark/>
          </w:tcPr>
          <w:p w14:paraId="15BCF86B" w14:textId="77777777" w:rsidR="008B361B" w:rsidRPr="008B361B" w:rsidRDefault="008B361B">
            <w:pPr>
              <w:jc w:val="right"/>
              <w:rPr>
                <w:color w:val="000000"/>
                <w:sz w:val="20"/>
                <w:szCs w:val="20"/>
              </w:rPr>
            </w:pPr>
            <w:r w:rsidRPr="008B361B">
              <w:rPr>
                <w:color w:val="000000"/>
                <w:sz w:val="20"/>
                <w:szCs w:val="20"/>
              </w:rPr>
              <w:t>20.20</w:t>
            </w:r>
          </w:p>
        </w:tc>
        <w:tc>
          <w:tcPr>
            <w:tcW w:w="441" w:type="pct"/>
            <w:tcBorders>
              <w:top w:val="nil"/>
              <w:left w:val="nil"/>
              <w:bottom w:val="nil"/>
              <w:right w:val="nil"/>
            </w:tcBorders>
            <w:shd w:val="clear" w:color="auto" w:fill="auto"/>
            <w:noWrap/>
            <w:vAlign w:val="center"/>
            <w:hideMark/>
          </w:tcPr>
          <w:p w14:paraId="0D92D76C" w14:textId="77777777" w:rsidR="008B361B" w:rsidRPr="008B361B" w:rsidRDefault="008B361B">
            <w:pPr>
              <w:jc w:val="right"/>
              <w:rPr>
                <w:color w:val="000000"/>
                <w:sz w:val="20"/>
                <w:szCs w:val="20"/>
              </w:rPr>
            </w:pPr>
            <w:r w:rsidRPr="008B361B">
              <w:rPr>
                <w:color w:val="000000"/>
                <w:sz w:val="20"/>
                <w:szCs w:val="20"/>
              </w:rPr>
              <w:t>0.73</w:t>
            </w:r>
          </w:p>
        </w:tc>
        <w:tc>
          <w:tcPr>
            <w:tcW w:w="412" w:type="pct"/>
            <w:tcBorders>
              <w:top w:val="nil"/>
              <w:left w:val="nil"/>
              <w:bottom w:val="nil"/>
              <w:right w:val="nil"/>
            </w:tcBorders>
            <w:shd w:val="clear" w:color="auto" w:fill="auto"/>
            <w:noWrap/>
            <w:vAlign w:val="center"/>
            <w:hideMark/>
          </w:tcPr>
          <w:p w14:paraId="555F06B3" w14:textId="77777777" w:rsidR="008B361B" w:rsidRPr="008B361B" w:rsidRDefault="008B361B">
            <w:pPr>
              <w:jc w:val="right"/>
              <w:rPr>
                <w:color w:val="000000"/>
                <w:sz w:val="20"/>
                <w:szCs w:val="20"/>
              </w:rPr>
            </w:pPr>
            <w:r w:rsidRPr="008B361B">
              <w:rPr>
                <w:color w:val="000000"/>
                <w:sz w:val="20"/>
                <w:szCs w:val="20"/>
              </w:rPr>
              <w:t>19.30</w:t>
            </w:r>
          </w:p>
        </w:tc>
        <w:tc>
          <w:tcPr>
            <w:tcW w:w="412" w:type="pct"/>
            <w:tcBorders>
              <w:top w:val="nil"/>
              <w:left w:val="nil"/>
              <w:bottom w:val="nil"/>
              <w:right w:val="double" w:sz="4" w:space="0" w:color="auto"/>
            </w:tcBorders>
            <w:shd w:val="clear" w:color="auto" w:fill="auto"/>
            <w:noWrap/>
            <w:vAlign w:val="center"/>
            <w:hideMark/>
          </w:tcPr>
          <w:p w14:paraId="3990F145" w14:textId="77777777" w:rsidR="008B361B" w:rsidRPr="008B361B" w:rsidRDefault="008B361B">
            <w:pPr>
              <w:jc w:val="right"/>
              <w:rPr>
                <w:color w:val="000000"/>
                <w:sz w:val="20"/>
                <w:szCs w:val="20"/>
              </w:rPr>
            </w:pPr>
            <w:r w:rsidRPr="008B361B">
              <w:rPr>
                <w:color w:val="000000"/>
                <w:sz w:val="20"/>
                <w:szCs w:val="20"/>
              </w:rPr>
              <w:t>21.00</w:t>
            </w:r>
          </w:p>
        </w:tc>
        <w:tc>
          <w:tcPr>
            <w:tcW w:w="759" w:type="pct"/>
            <w:gridSpan w:val="2"/>
            <w:tcBorders>
              <w:top w:val="single" w:sz="4" w:space="0" w:color="auto"/>
              <w:left w:val="double" w:sz="4" w:space="0" w:color="auto"/>
              <w:bottom w:val="nil"/>
              <w:right w:val="single" w:sz="4" w:space="0" w:color="auto"/>
            </w:tcBorders>
            <w:shd w:val="clear" w:color="auto" w:fill="auto"/>
            <w:noWrap/>
            <w:vAlign w:val="center"/>
            <w:hideMark/>
          </w:tcPr>
          <w:p w14:paraId="0884C1A8" w14:textId="77777777" w:rsidR="008B361B" w:rsidRPr="008B361B" w:rsidRDefault="008B361B" w:rsidP="008B361B">
            <w:pPr>
              <w:jc w:val="center"/>
              <w:rPr>
                <w:sz w:val="20"/>
                <w:szCs w:val="20"/>
              </w:rPr>
            </w:pPr>
            <w:r w:rsidRPr="008B361B">
              <w:rPr>
                <w:sz w:val="20"/>
                <w:szCs w:val="20"/>
              </w:rPr>
              <w:t>P0CEP</w:t>
            </w:r>
          </w:p>
        </w:tc>
        <w:tc>
          <w:tcPr>
            <w:tcW w:w="860" w:type="pct"/>
            <w:gridSpan w:val="3"/>
            <w:tcBorders>
              <w:top w:val="single" w:sz="4" w:space="0" w:color="auto"/>
              <w:left w:val="single" w:sz="4" w:space="0" w:color="auto"/>
              <w:bottom w:val="nil"/>
              <w:right w:val="single" w:sz="4" w:space="0" w:color="auto"/>
            </w:tcBorders>
            <w:shd w:val="clear" w:color="auto" w:fill="auto"/>
            <w:noWrap/>
            <w:vAlign w:val="center"/>
            <w:hideMark/>
          </w:tcPr>
          <w:p w14:paraId="6805F87C" w14:textId="77777777" w:rsidR="008B361B" w:rsidRPr="008B361B" w:rsidRDefault="008B361B" w:rsidP="008B361B">
            <w:pPr>
              <w:jc w:val="center"/>
              <w:rPr>
                <w:sz w:val="20"/>
                <w:szCs w:val="20"/>
              </w:rPr>
            </w:pPr>
            <w:r w:rsidRPr="008B361B">
              <w:rPr>
                <w:sz w:val="20"/>
                <w:szCs w:val="20"/>
              </w:rPr>
              <w:t>PPTE</w:t>
            </w:r>
          </w:p>
        </w:tc>
        <w:tc>
          <w:tcPr>
            <w:tcW w:w="882" w:type="pct"/>
            <w:gridSpan w:val="2"/>
            <w:tcBorders>
              <w:top w:val="single" w:sz="4" w:space="0" w:color="auto"/>
              <w:left w:val="single" w:sz="4" w:space="0" w:color="auto"/>
              <w:bottom w:val="nil"/>
              <w:right w:val="double" w:sz="4" w:space="0" w:color="auto"/>
            </w:tcBorders>
            <w:shd w:val="clear" w:color="auto" w:fill="auto"/>
            <w:noWrap/>
            <w:vAlign w:val="center"/>
            <w:hideMark/>
          </w:tcPr>
          <w:p w14:paraId="481A9E90" w14:textId="77777777" w:rsidR="008B361B" w:rsidRPr="008B361B" w:rsidRDefault="008B361B" w:rsidP="008B361B">
            <w:pPr>
              <w:jc w:val="center"/>
              <w:rPr>
                <w:sz w:val="20"/>
                <w:szCs w:val="20"/>
              </w:rPr>
            </w:pPr>
            <w:r w:rsidRPr="008B361B">
              <w:rPr>
                <w:sz w:val="20"/>
                <w:szCs w:val="20"/>
              </w:rPr>
              <w:t>PPATS</w:t>
            </w:r>
          </w:p>
        </w:tc>
      </w:tr>
      <w:tr w:rsidR="008B361B" w:rsidRPr="008B361B" w14:paraId="2906E14E" w14:textId="77777777" w:rsidTr="008B361B">
        <w:trPr>
          <w:trHeight w:val="285"/>
        </w:trPr>
        <w:tc>
          <w:tcPr>
            <w:tcW w:w="259" w:type="pct"/>
            <w:vMerge/>
            <w:tcBorders>
              <w:left w:val="double" w:sz="4" w:space="0" w:color="auto"/>
              <w:right w:val="nil"/>
            </w:tcBorders>
            <w:shd w:val="clear" w:color="auto" w:fill="auto"/>
            <w:noWrap/>
            <w:vAlign w:val="center"/>
            <w:hideMark/>
          </w:tcPr>
          <w:p w14:paraId="3985C18E"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5B5F361B" w14:textId="77777777" w:rsidR="008B361B" w:rsidRPr="008B361B" w:rsidRDefault="008B361B" w:rsidP="00491D16">
            <w:pPr>
              <w:jc w:val="both"/>
              <w:rPr>
                <w:sz w:val="20"/>
                <w:szCs w:val="20"/>
              </w:rPr>
            </w:pPr>
            <w:r w:rsidRPr="008B361B">
              <w:rPr>
                <w:sz w:val="20"/>
                <w:szCs w:val="20"/>
              </w:rPr>
              <w:t>PPATS</w:t>
            </w:r>
          </w:p>
        </w:tc>
        <w:tc>
          <w:tcPr>
            <w:tcW w:w="419" w:type="pct"/>
            <w:tcBorders>
              <w:top w:val="nil"/>
              <w:left w:val="nil"/>
              <w:bottom w:val="nil"/>
              <w:right w:val="nil"/>
            </w:tcBorders>
            <w:shd w:val="clear" w:color="auto" w:fill="auto"/>
            <w:noWrap/>
            <w:vAlign w:val="center"/>
            <w:hideMark/>
          </w:tcPr>
          <w:p w14:paraId="6EAB9B9F" w14:textId="77777777" w:rsidR="008B361B" w:rsidRPr="008B361B" w:rsidRDefault="008B361B">
            <w:pPr>
              <w:jc w:val="right"/>
              <w:rPr>
                <w:color w:val="000000"/>
                <w:sz w:val="20"/>
                <w:szCs w:val="20"/>
              </w:rPr>
            </w:pPr>
            <w:r w:rsidRPr="008B361B">
              <w:rPr>
                <w:color w:val="000000"/>
                <w:sz w:val="20"/>
                <w:szCs w:val="20"/>
              </w:rPr>
              <w:t>6.98</w:t>
            </w:r>
          </w:p>
        </w:tc>
        <w:tc>
          <w:tcPr>
            <w:tcW w:w="441" w:type="pct"/>
            <w:tcBorders>
              <w:top w:val="nil"/>
              <w:left w:val="nil"/>
              <w:bottom w:val="nil"/>
              <w:right w:val="nil"/>
            </w:tcBorders>
            <w:shd w:val="clear" w:color="auto" w:fill="auto"/>
            <w:noWrap/>
            <w:vAlign w:val="center"/>
            <w:hideMark/>
          </w:tcPr>
          <w:p w14:paraId="487E1F98" w14:textId="77777777" w:rsidR="008B361B" w:rsidRPr="008B361B" w:rsidRDefault="008B361B">
            <w:pPr>
              <w:jc w:val="right"/>
              <w:rPr>
                <w:color w:val="000000"/>
                <w:sz w:val="20"/>
                <w:szCs w:val="20"/>
              </w:rPr>
            </w:pPr>
            <w:r w:rsidRPr="008B361B">
              <w:rPr>
                <w:color w:val="000000"/>
                <w:sz w:val="20"/>
                <w:szCs w:val="20"/>
              </w:rPr>
              <w:t>3.19</w:t>
            </w:r>
          </w:p>
        </w:tc>
        <w:tc>
          <w:tcPr>
            <w:tcW w:w="412" w:type="pct"/>
            <w:tcBorders>
              <w:top w:val="nil"/>
              <w:left w:val="nil"/>
              <w:bottom w:val="nil"/>
              <w:right w:val="nil"/>
            </w:tcBorders>
            <w:shd w:val="clear" w:color="auto" w:fill="auto"/>
            <w:noWrap/>
            <w:vAlign w:val="center"/>
            <w:hideMark/>
          </w:tcPr>
          <w:p w14:paraId="298ED560" w14:textId="77777777" w:rsidR="008B361B" w:rsidRPr="008B361B" w:rsidRDefault="008B361B">
            <w:pPr>
              <w:jc w:val="right"/>
              <w:rPr>
                <w:color w:val="000000"/>
                <w:sz w:val="20"/>
                <w:szCs w:val="20"/>
              </w:rPr>
            </w:pPr>
            <w:r w:rsidRPr="008B361B">
              <w:rPr>
                <w:color w:val="000000"/>
                <w:sz w:val="20"/>
                <w:szCs w:val="20"/>
              </w:rPr>
              <w:t>4.00</w:t>
            </w:r>
          </w:p>
        </w:tc>
        <w:tc>
          <w:tcPr>
            <w:tcW w:w="412" w:type="pct"/>
            <w:tcBorders>
              <w:top w:val="nil"/>
              <w:left w:val="nil"/>
              <w:bottom w:val="nil"/>
              <w:right w:val="double" w:sz="4" w:space="0" w:color="auto"/>
            </w:tcBorders>
            <w:shd w:val="clear" w:color="auto" w:fill="auto"/>
            <w:noWrap/>
            <w:vAlign w:val="center"/>
            <w:hideMark/>
          </w:tcPr>
          <w:p w14:paraId="679C7E78" w14:textId="77777777" w:rsidR="008B361B" w:rsidRPr="008B361B" w:rsidRDefault="008B361B">
            <w:pPr>
              <w:jc w:val="right"/>
              <w:rPr>
                <w:color w:val="000000"/>
                <w:sz w:val="20"/>
                <w:szCs w:val="20"/>
              </w:rPr>
            </w:pPr>
            <w:r w:rsidRPr="008B361B">
              <w:rPr>
                <w:color w:val="000000"/>
                <w:sz w:val="20"/>
                <w:szCs w:val="20"/>
              </w:rPr>
              <w:t>10.60</w:t>
            </w:r>
          </w:p>
        </w:tc>
        <w:tc>
          <w:tcPr>
            <w:tcW w:w="759" w:type="pct"/>
            <w:gridSpan w:val="2"/>
            <w:tcBorders>
              <w:top w:val="nil"/>
              <w:left w:val="double" w:sz="4" w:space="0" w:color="auto"/>
              <w:bottom w:val="single" w:sz="4" w:space="0" w:color="auto"/>
              <w:right w:val="single" w:sz="4" w:space="0" w:color="auto"/>
            </w:tcBorders>
            <w:shd w:val="clear" w:color="auto" w:fill="auto"/>
            <w:noWrap/>
            <w:vAlign w:val="center"/>
            <w:hideMark/>
          </w:tcPr>
          <w:p w14:paraId="79AC9D14" w14:textId="77777777" w:rsidR="008B361B" w:rsidRPr="008B361B" w:rsidRDefault="008B361B" w:rsidP="008B361B">
            <w:pPr>
              <w:jc w:val="center"/>
              <w:rPr>
                <w:sz w:val="20"/>
                <w:szCs w:val="20"/>
              </w:rPr>
            </w:pPr>
            <w:r w:rsidRPr="008B361B">
              <w:rPr>
                <w:sz w:val="20"/>
                <w:szCs w:val="20"/>
              </w:rPr>
              <w:t>45.8</w:t>
            </w:r>
          </w:p>
        </w:tc>
        <w:tc>
          <w:tcPr>
            <w:tcW w:w="860" w:type="pct"/>
            <w:gridSpan w:val="3"/>
            <w:tcBorders>
              <w:top w:val="nil"/>
              <w:left w:val="single" w:sz="4" w:space="0" w:color="auto"/>
              <w:bottom w:val="single" w:sz="4" w:space="0" w:color="auto"/>
              <w:right w:val="single" w:sz="4" w:space="0" w:color="auto"/>
            </w:tcBorders>
            <w:shd w:val="clear" w:color="auto" w:fill="auto"/>
            <w:noWrap/>
            <w:vAlign w:val="center"/>
            <w:hideMark/>
          </w:tcPr>
          <w:p w14:paraId="6E130026" w14:textId="77777777" w:rsidR="008B361B" w:rsidRPr="008B361B" w:rsidRDefault="008B361B" w:rsidP="008B361B">
            <w:pPr>
              <w:jc w:val="center"/>
              <w:rPr>
                <w:sz w:val="20"/>
                <w:szCs w:val="20"/>
              </w:rPr>
            </w:pPr>
            <w:r w:rsidRPr="008B361B">
              <w:rPr>
                <w:sz w:val="20"/>
                <w:szCs w:val="20"/>
              </w:rPr>
              <w:t>18.5</w:t>
            </w:r>
          </w:p>
        </w:tc>
        <w:tc>
          <w:tcPr>
            <w:tcW w:w="882" w:type="pct"/>
            <w:gridSpan w:val="2"/>
            <w:tcBorders>
              <w:top w:val="nil"/>
              <w:left w:val="single" w:sz="4" w:space="0" w:color="auto"/>
              <w:bottom w:val="single" w:sz="4" w:space="0" w:color="auto"/>
              <w:right w:val="double" w:sz="4" w:space="0" w:color="auto"/>
            </w:tcBorders>
            <w:shd w:val="clear" w:color="auto" w:fill="auto"/>
            <w:noWrap/>
            <w:vAlign w:val="center"/>
            <w:hideMark/>
          </w:tcPr>
          <w:p w14:paraId="69F9A39E" w14:textId="77777777" w:rsidR="008B361B" w:rsidRPr="008B361B" w:rsidRDefault="008B361B" w:rsidP="008B361B">
            <w:pPr>
              <w:jc w:val="center"/>
              <w:rPr>
                <w:sz w:val="20"/>
                <w:szCs w:val="20"/>
              </w:rPr>
            </w:pPr>
            <w:r w:rsidRPr="008B361B">
              <w:rPr>
                <w:sz w:val="20"/>
                <w:szCs w:val="20"/>
              </w:rPr>
              <w:t>7.2</w:t>
            </w:r>
          </w:p>
        </w:tc>
      </w:tr>
      <w:tr w:rsidR="008B361B" w:rsidRPr="008B361B" w14:paraId="22D4A8D9" w14:textId="77777777" w:rsidTr="007A100D">
        <w:trPr>
          <w:trHeight w:val="285"/>
        </w:trPr>
        <w:tc>
          <w:tcPr>
            <w:tcW w:w="259" w:type="pct"/>
            <w:vMerge/>
            <w:tcBorders>
              <w:left w:val="double" w:sz="4" w:space="0" w:color="auto"/>
              <w:right w:val="nil"/>
            </w:tcBorders>
            <w:shd w:val="clear" w:color="auto" w:fill="auto"/>
            <w:noWrap/>
            <w:vAlign w:val="center"/>
            <w:hideMark/>
          </w:tcPr>
          <w:p w14:paraId="07FE3F50" w14:textId="77777777" w:rsidR="008B361B" w:rsidRPr="008B361B" w:rsidRDefault="008B361B" w:rsidP="00491D16">
            <w:pPr>
              <w:jc w:val="both"/>
              <w:rPr>
                <w:sz w:val="20"/>
                <w:szCs w:val="20"/>
              </w:rPr>
            </w:pPr>
          </w:p>
        </w:tc>
        <w:tc>
          <w:tcPr>
            <w:tcW w:w="556" w:type="pct"/>
            <w:tcBorders>
              <w:top w:val="nil"/>
              <w:left w:val="single" w:sz="4" w:space="0" w:color="auto"/>
              <w:bottom w:val="nil"/>
              <w:right w:val="nil"/>
            </w:tcBorders>
            <w:shd w:val="clear" w:color="auto" w:fill="auto"/>
            <w:vAlign w:val="center"/>
            <w:hideMark/>
          </w:tcPr>
          <w:p w14:paraId="3FCF8899" w14:textId="77777777" w:rsidR="008B361B" w:rsidRPr="008B361B" w:rsidRDefault="008B361B" w:rsidP="00491D16">
            <w:pPr>
              <w:jc w:val="both"/>
              <w:rPr>
                <w:sz w:val="20"/>
                <w:szCs w:val="20"/>
              </w:rPr>
            </w:pPr>
            <w:r w:rsidRPr="008B361B">
              <w:rPr>
                <w:sz w:val="20"/>
                <w:szCs w:val="20"/>
              </w:rPr>
              <w:t>PPEAP</w:t>
            </w:r>
          </w:p>
        </w:tc>
        <w:tc>
          <w:tcPr>
            <w:tcW w:w="419" w:type="pct"/>
            <w:tcBorders>
              <w:top w:val="nil"/>
              <w:left w:val="nil"/>
              <w:bottom w:val="nil"/>
              <w:right w:val="nil"/>
            </w:tcBorders>
            <w:shd w:val="clear" w:color="auto" w:fill="auto"/>
            <w:noWrap/>
            <w:vAlign w:val="center"/>
            <w:hideMark/>
          </w:tcPr>
          <w:p w14:paraId="17B839B0" w14:textId="77777777" w:rsidR="008B361B" w:rsidRPr="008B361B" w:rsidRDefault="008B361B">
            <w:pPr>
              <w:jc w:val="right"/>
              <w:rPr>
                <w:color w:val="000000"/>
                <w:sz w:val="20"/>
                <w:szCs w:val="20"/>
              </w:rPr>
            </w:pPr>
            <w:r w:rsidRPr="008B361B">
              <w:rPr>
                <w:color w:val="000000"/>
                <w:sz w:val="20"/>
                <w:szCs w:val="20"/>
              </w:rPr>
              <w:t>2.48</w:t>
            </w:r>
          </w:p>
        </w:tc>
        <w:tc>
          <w:tcPr>
            <w:tcW w:w="441" w:type="pct"/>
            <w:tcBorders>
              <w:top w:val="nil"/>
              <w:left w:val="nil"/>
              <w:bottom w:val="nil"/>
              <w:right w:val="nil"/>
            </w:tcBorders>
            <w:shd w:val="clear" w:color="auto" w:fill="auto"/>
            <w:noWrap/>
            <w:vAlign w:val="center"/>
            <w:hideMark/>
          </w:tcPr>
          <w:p w14:paraId="1189E231" w14:textId="77777777" w:rsidR="008B361B" w:rsidRPr="008B361B" w:rsidRDefault="008B361B">
            <w:pPr>
              <w:jc w:val="right"/>
              <w:rPr>
                <w:color w:val="000000"/>
                <w:sz w:val="20"/>
                <w:szCs w:val="20"/>
              </w:rPr>
            </w:pPr>
            <w:r w:rsidRPr="008B361B">
              <w:rPr>
                <w:color w:val="000000"/>
                <w:sz w:val="20"/>
                <w:szCs w:val="20"/>
              </w:rPr>
              <w:t>0.05</w:t>
            </w:r>
          </w:p>
        </w:tc>
        <w:tc>
          <w:tcPr>
            <w:tcW w:w="412" w:type="pct"/>
            <w:tcBorders>
              <w:top w:val="nil"/>
              <w:left w:val="nil"/>
              <w:bottom w:val="nil"/>
              <w:right w:val="nil"/>
            </w:tcBorders>
            <w:shd w:val="clear" w:color="auto" w:fill="auto"/>
            <w:noWrap/>
            <w:vAlign w:val="center"/>
            <w:hideMark/>
          </w:tcPr>
          <w:p w14:paraId="71B72FB0" w14:textId="77777777" w:rsidR="008B361B" w:rsidRPr="008B361B" w:rsidRDefault="008B361B">
            <w:pPr>
              <w:jc w:val="right"/>
              <w:rPr>
                <w:color w:val="000000"/>
                <w:sz w:val="20"/>
                <w:szCs w:val="20"/>
              </w:rPr>
            </w:pPr>
            <w:r w:rsidRPr="008B361B">
              <w:rPr>
                <w:color w:val="000000"/>
                <w:sz w:val="20"/>
                <w:szCs w:val="20"/>
              </w:rPr>
              <w:t>2.40</w:t>
            </w:r>
          </w:p>
        </w:tc>
        <w:tc>
          <w:tcPr>
            <w:tcW w:w="412" w:type="pct"/>
            <w:tcBorders>
              <w:top w:val="nil"/>
              <w:left w:val="nil"/>
              <w:bottom w:val="nil"/>
              <w:right w:val="double" w:sz="4" w:space="0" w:color="auto"/>
            </w:tcBorders>
            <w:shd w:val="clear" w:color="auto" w:fill="auto"/>
            <w:noWrap/>
            <w:vAlign w:val="center"/>
            <w:hideMark/>
          </w:tcPr>
          <w:p w14:paraId="1BAD747E" w14:textId="77777777" w:rsidR="008B361B" w:rsidRPr="008B361B" w:rsidRDefault="008B361B">
            <w:pPr>
              <w:jc w:val="right"/>
              <w:rPr>
                <w:color w:val="000000"/>
                <w:sz w:val="20"/>
                <w:szCs w:val="20"/>
              </w:rPr>
            </w:pPr>
            <w:r w:rsidRPr="008B361B">
              <w:rPr>
                <w:color w:val="000000"/>
                <w:sz w:val="20"/>
                <w:szCs w:val="20"/>
              </w:rPr>
              <w:t>2.50</w:t>
            </w:r>
          </w:p>
        </w:tc>
        <w:tc>
          <w:tcPr>
            <w:tcW w:w="1250" w:type="pct"/>
            <w:gridSpan w:val="4"/>
            <w:tcBorders>
              <w:top w:val="single" w:sz="4" w:space="0" w:color="auto"/>
              <w:left w:val="double" w:sz="4" w:space="0" w:color="auto"/>
              <w:bottom w:val="nil"/>
              <w:right w:val="single" w:sz="4" w:space="0" w:color="auto"/>
            </w:tcBorders>
            <w:shd w:val="clear" w:color="auto" w:fill="auto"/>
            <w:noWrap/>
            <w:vAlign w:val="center"/>
            <w:hideMark/>
          </w:tcPr>
          <w:p w14:paraId="685ABB7F" w14:textId="77777777" w:rsidR="008B361B" w:rsidRPr="008B361B" w:rsidRDefault="008B361B" w:rsidP="008B361B">
            <w:pPr>
              <w:jc w:val="center"/>
              <w:rPr>
                <w:sz w:val="20"/>
                <w:szCs w:val="20"/>
              </w:rPr>
            </w:pPr>
            <w:r w:rsidRPr="008B361B">
              <w:rPr>
                <w:sz w:val="20"/>
                <w:szCs w:val="20"/>
              </w:rPr>
              <w:t>PPEAP</w:t>
            </w:r>
          </w:p>
        </w:tc>
        <w:tc>
          <w:tcPr>
            <w:tcW w:w="1251" w:type="pct"/>
            <w:gridSpan w:val="3"/>
            <w:tcBorders>
              <w:top w:val="nil"/>
              <w:left w:val="single" w:sz="4" w:space="0" w:color="auto"/>
              <w:bottom w:val="nil"/>
              <w:right w:val="double" w:sz="4" w:space="0" w:color="auto"/>
            </w:tcBorders>
            <w:shd w:val="clear" w:color="auto" w:fill="auto"/>
            <w:vAlign w:val="center"/>
          </w:tcPr>
          <w:p w14:paraId="7BD7DA0A" w14:textId="77777777" w:rsidR="008B361B" w:rsidRPr="008B361B" w:rsidRDefault="008B361B" w:rsidP="008B361B">
            <w:pPr>
              <w:jc w:val="center"/>
              <w:rPr>
                <w:sz w:val="20"/>
                <w:szCs w:val="20"/>
              </w:rPr>
            </w:pPr>
            <w:r w:rsidRPr="008B361B">
              <w:rPr>
                <w:sz w:val="20"/>
                <w:szCs w:val="20"/>
              </w:rPr>
              <w:t>PGDP</w:t>
            </w:r>
          </w:p>
        </w:tc>
      </w:tr>
      <w:tr w:rsidR="008B361B" w:rsidRPr="008B361B" w14:paraId="6D9746EA" w14:textId="77777777" w:rsidTr="007A100D">
        <w:trPr>
          <w:trHeight w:val="285"/>
        </w:trPr>
        <w:tc>
          <w:tcPr>
            <w:tcW w:w="259" w:type="pct"/>
            <w:vMerge/>
            <w:tcBorders>
              <w:left w:val="double" w:sz="4" w:space="0" w:color="auto"/>
              <w:bottom w:val="double" w:sz="4" w:space="0" w:color="auto"/>
              <w:right w:val="nil"/>
            </w:tcBorders>
            <w:shd w:val="clear" w:color="auto" w:fill="auto"/>
            <w:noWrap/>
            <w:vAlign w:val="center"/>
            <w:hideMark/>
          </w:tcPr>
          <w:p w14:paraId="535E4002" w14:textId="77777777" w:rsidR="008B361B" w:rsidRPr="008B361B" w:rsidRDefault="008B361B" w:rsidP="00491D16">
            <w:pPr>
              <w:jc w:val="both"/>
              <w:rPr>
                <w:sz w:val="20"/>
                <w:szCs w:val="20"/>
              </w:rPr>
            </w:pPr>
          </w:p>
        </w:tc>
        <w:tc>
          <w:tcPr>
            <w:tcW w:w="556" w:type="pct"/>
            <w:tcBorders>
              <w:top w:val="nil"/>
              <w:left w:val="single" w:sz="4" w:space="0" w:color="auto"/>
              <w:bottom w:val="double" w:sz="4" w:space="0" w:color="auto"/>
              <w:right w:val="nil"/>
            </w:tcBorders>
            <w:shd w:val="clear" w:color="auto" w:fill="auto"/>
            <w:vAlign w:val="center"/>
            <w:hideMark/>
          </w:tcPr>
          <w:p w14:paraId="61CA68E3" w14:textId="77777777" w:rsidR="008B361B" w:rsidRPr="008B361B" w:rsidRDefault="008B361B" w:rsidP="00491D16">
            <w:pPr>
              <w:jc w:val="both"/>
              <w:rPr>
                <w:sz w:val="20"/>
                <w:szCs w:val="20"/>
              </w:rPr>
            </w:pPr>
            <w:r w:rsidRPr="008B361B">
              <w:rPr>
                <w:sz w:val="20"/>
                <w:szCs w:val="20"/>
              </w:rPr>
              <w:t>PGDP</w:t>
            </w:r>
          </w:p>
        </w:tc>
        <w:tc>
          <w:tcPr>
            <w:tcW w:w="419" w:type="pct"/>
            <w:tcBorders>
              <w:top w:val="nil"/>
              <w:left w:val="nil"/>
              <w:bottom w:val="double" w:sz="4" w:space="0" w:color="auto"/>
              <w:right w:val="nil"/>
            </w:tcBorders>
            <w:shd w:val="clear" w:color="auto" w:fill="auto"/>
            <w:noWrap/>
            <w:vAlign w:val="center"/>
            <w:hideMark/>
          </w:tcPr>
          <w:p w14:paraId="2D26B657" w14:textId="77777777" w:rsidR="008B361B" w:rsidRPr="008B361B" w:rsidRDefault="008B361B">
            <w:pPr>
              <w:jc w:val="right"/>
              <w:rPr>
                <w:color w:val="000000"/>
                <w:sz w:val="20"/>
                <w:szCs w:val="20"/>
              </w:rPr>
            </w:pPr>
            <w:r w:rsidRPr="008B361B">
              <w:rPr>
                <w:color w:val="000000"/>
                <w:sz w:val="20"/>
                <w:szCs w:val="20"/>
              </w:rPr>
              <w:t>19375</w:t>
            </w:r>
          </w:p>
        </w:tc>
        <w:tc>
          <w:tcPr>
            <w:tcW w:w="441" w:type="pct"/>
            <w:tcBorders>
              <w:top w:val="nil"/>
              <w:left w:val="nil"/>
              <w:bottom w:val="double" w:sz="4" w:space="0" w:color="auto"/>
              <w:right w:val="nil"/>
            </w:tcBorders>
            <w:shd w:val="clear" w:color="auto" w:fill="auto"/>
            <w:noWrap/>
            <w:vAlign w:val="center"/>
            <w:hideMark/>
          </w:tcPr>
          <w:p w14:paraId="412DF455" w14:textId="77777777" w:rsidR="008B361B" w:rsidRPr="008B361B" w:rsidRDefault="008B361B">
            <w:pPr>
              <w:jc w:val="right"/>
              <w:rPr>
                <w:color w:val="000000"/>
                <w:sz w:val="20"/>
                <w:szCs w:val="20"/>
              </w:rPr>
            </w:pPr>
            <w:r w:rsidRPr="008B361B">
              <w:rPr>
                <w:color w:val="000000"/>
                <w:sz w:val="20"/>
                <w:szCs w:val="20"/>
              </w:rPr>
              <w:t>3244</w:t>
            </w:r>
          </w:p>
        </w:tc>
        <w:tc>
          <w:tcPr>
            <w:tcW w:w="412" w:type="pct"/>
            <w:tcBorders>
              <w:top w:val="nil"/>
              <w:left w:val="nil"/>
              <w:bottom w:val="double" w:sz="4" w:space="0" w:color="auto"/>
              <w:right w:val="nil"/>
            </w:tcBorders>
            <w:shd w:val="clear" w:color="auto" w:fill="auto"/>
            <w:noWrap/>
            <w:vAlign w:val="center"/>
            <w:hideMark/>
          </w:tcPr>
          <w:p w14:paraId="1B033AB8" w14:textId="77777777" w:rsidR="008B361B" w:rsidRPr="008B361B" w:rsidRDefault="008B361B">
            <w:pPr>
              <w:jc w:val="right"/>
              <w:rPr>
                <w:color w:val="000000"/>
                <w:sz w:val="20"/>
                <w:szCs w:val="20"/>
              </w:rPr>
            </w:pPr>
            <w:r w:rsidRPr="008B361B">
              <w:rPr>
                <w:color w:val="000000"/>
                <w:sz w:val="20"/>
                <w:szCs w:val="20"/>
              </w:rPr>
              <w:t>16000</w:t>
            </w:r>
          </w:p>
        </w:tc>
        <w:tc>
          <w:tcPr>
            <w:tcW w:w="412" w:type="pct"/>
            <w:tcBorders>
              <w:top w:val="nil"/>
              <w:left w:val="nil"/>
              <w:bottom w:val="double" w:sz="4" w:space="0" w:color="auto"/>
              <w:right w:val="double" w:sz="4" w:space="0" w:color="auto"/>
            </w:tcBorders>
            <w:shd w:val="clear" w:color="auto" w:fill="auto"/>
            <w:noWrap/>
            <w:vAlign w:val="center"/>
            <w:hideMark/>
          </w:tcPr>
          <w:p w14:paraId="65F07683" w14:textId="77777777" w:rsidR="008B361B" w:rsidRPr="008B361B" w:rsidRDefault="008B361B">
            <w:pPr>
              <w:jc w:val="right"/>
              <w:rPr>
                <w:color w:val="000000"/>
                <w:sz w:val="20"/>
                <w:szCs w:val="20"/>
              </w:rPr>
            </w:pPr>
            <w:r w:rsidRPr="008B361B">
              <w:rPr>
                <w:color w:val="000000"/>
                <w:sz w:val="20"/>
                <w:szCs w:val="20"/>
              </w:rPr>
              <w:t>23200</w:t>
            </w:r>
          </w:p>
        </w:tc>
        <w:tc>
          <w:tcPr>
            <w:tcW w:w="1250" w:type="pct"/>
            <w:gridSpan w:val="4"/>
            <w:tcBorders>
              <w:top w:val="nil"/>
              <w:left w:val="double" w:sz="4" w:space="0" w:color="auto"/>
              <w:bottom w:val="double" w:sz="4" w:space="0" w:color="auto"/>
              <w:right w:val="single" w:sz="4" w:space="0" w:color="auto"/>
            </w:tcBorders>
            <w:shd w:val="clear" w:color="auto" w:fill="auto"/>
            <w:noWrap/>
            <w:vAlign w:val="center"/>
            <w:hideMark/>
          </w:tcPr>
          <w:p w14:paraId="54FF7F57" w14:textId="77777777" w:rsidR="008B361B" w:rsidRPr="008B361B" w:rsidRDefault="008B361B" w:rsidP="008B361B">
            <w:pPr>
              <w:jc w:val="center"/>
              <w:rPr>
                <w:sz w:val="20"/>
                <w:szCs w:val="20"/>
              </w:rPr>
            </w:pPr>
            <w:r w:rsidRPr="008B361B">
              <w:rPr>
                <w:sz w:val="20"/>
                <w:szCs w:val="20"/>
              </w:rPr>
              <w:t>3.4</w:t>
            </w:r>
          </w:p>
        </w:tc>
        <w:tc>
          <w:tcPr>
            <w:tcW w:w="1251" w:type="pct"/>
            <w:gridSpan w:val="3"/>
            <w:tcBorders>
              <w:top w:val="nil"/>
              <w:left w:val="single" w:sz="4" w:space="0" w:color="auto"/>
              <w:bottom w:val="double" w:sz="4" w:space="0" w:color="auto"/>
              <w:right w:val="double" w:sz="4" w:space="0" w:color="auto"/>
            </w:tcBorders>
            <w:shd w:val="clear" w:color="auto" w:fill="auto"/>
            <w:vAlign w:val="center"/>
          </w:tcPr>
          <w:p w14:paraId="68C52131" w14:textId="77777777" w:rsidR="008B361B" w:rsidRPr="008B361B" w:rsidRDefault="008B361B" w:rsidP="008B361B">
            <w:pPr>
              <w:jc w:val="center"/>
              <w:rPr>
                <w:sz w:val="20"/>
                <w:szCs w:val="20"/>
              </w:rPr>
            </w:pPr>
            <w:r w:rsidRPr="008B361B">
              <w:rPr>
                <w:sz w:val="20"/>
                <w:szCs w:val="20"/>
              </w:rPr>
              <w:t>100900</w:t>
            </w:r>
          </w:p>
        </w:tc>
      </w:tr>
    </w:tbl>
    <w:p w14:paraId="5F887159" w14:textId="77777777" w:rsidR="000A0CA9" w:rsidRPr="000373B3" w:rsidRDefault="000A0CA9" w:rsidP="00FA6E58">
      <w:pPr>
        <w:ind w:firstLine="720"/>
        <w:jc w:val="both"/>
        <w:rPr>
          <w:color w:val="17365D" w:themeColor="text2" w:themeShade="BF"/>
        </w:rPr>
      </w:pPr>
    </w:p>
    <w:p w14:paraId="400F3682" w14:textId="0DDC3052" w:rsidR="00885C7C" w:rsidRPr="00337733" w:rsidRDefault="00885C7C" w:rsidP="00FA6E58">
      <w:pPr>
        <w:ind w:firstLine="720"/>
        <w:jc w:val="both"/>
      </w:pPr>
      <w:r w:rsidRPr="00337733">
        <w:t xml:space="preserve">În clasamentul celor 5 clustere, Clusterul C </w:t>
      </w:r>
      <w:r w:rsidR="00C023DB" w:rsidRPr="00337733">
        <w:t xml:space="preserve">(Germany, Austria, Spain, France, Cyprus, </w:t>
      </w:r>
      <w:bookmarkStart w:id="6" w:name="_Hlk125314256"/>
      <w:r w:rsidR="00C023DB" w:rsidRPr="00337733">
        <w:t>Netherlands</w:t>
      </w:r>
      <w:bookmarkEnd w:id="6"/>
      <w:r w:rsidR="00C023DB" w:rsidRPr="00337733">
        <w:t xml:space="preserve">) </w:t>
      </w:r>
      <w:r w:rsidRPr="00337733">
        <w:t>ocupă locul doi prin valorile medii determinate la Pupils and students by education level - as % of total age population (PPTE=21.58%), Early leavers from education and training by sex and labour (PPATS=10.05%) și Gross domestic product (PGDP=37000 euro/locuitor). Dacă la Pupils from age 0 to the starting age of compulsory education at primary level by sex - % of the population of the corresponding age (P0CEP) cele 58% plasează clusterul pe locul 3 față de celelalte patru, prin 2.32% ale indicatorului Classroom teachers working full-time and part-time in primary, lower-secondary and upper-secondary education - as % of total active population (PPEAP) va ajunge pe penultima treaptă ierarhică.</w:t>
      </w:r>
    </w:p>
    <w:p w14:paraId="0A9C8687" w14:textId="360F2659" w:rsidR="00885C7C" w:rsidRPr="00337733" w:rsidRDefault="00147AF2" w:rsidP="00FA6E58">
      <w:pPr>
        <w:ind w:firstLine="720"/>
        <w:jc w:val="both"/>
      </w:pPr>
      <w:r w:rsidRPr="00337733">
        <w:t xml:space="preserve">În ceea ce privește ierarhizarea țărilor componente ale clusterului C în rapor cu indicatorii analizați se poate menționa că, </w:t>
      </w:r>
      <w:r w:rsidR="00885C7C" w:rsidRPr="00337733">
        <w:t>Fran</w:t>
      </w:r>
      <w:r w:rsidR="00C023DB" w:rsidRPr="00337733">
        <w:t>ce</w:t>
      </w:r>
      <w:r w:rsidR="00885C7C" w:rsidRPr="00337733">
        <w:t xml:space="preserve"> es</w:t>
      </w:r>
      <w:r w:rsidR="00C023DB" w:rsidRPr="00337733">
        <w:t xml:space="preserve">te singura țară care nu deține nici o poziție extremă la nici un indicator. </w:t>
      </w:r>
      <w:r w:rsidRPr="00337733">
        <w:t xml:space="preserve">Cele mai reduse valori sunt înregistrate de </w:t>
      </w:r>
      <w:r w:rsidR="00C023DB" w:rsidRPr="00337733">
        <w:t>Austria</w:t>
      </w:r>
      <w:r w:rsidRPr="00337733">
        <w:t xml:space="preserve"> la PPTE cu 19.5%</w:t>
      </w:r>
      <w:r w:rsidR="00C023DB" w:rsidRPr="00337733">
        <w:t xml:space="preserve">, </w:t>
      </w:r>
      <w:r w:rsidRPr="00337733">
        <w:t xml:space="preserve">de </w:t>
      </w:r>
      <w:r w:rsidR="00C023DB" w:rsidRPr="00337733">
        <w:t>Germany</w:t>
      </w:r>
      <w:r w:rsidRPr="00337733">
        <w:t xml:space="preserve"> la PPEAP cu 1.9%</w:t>
      </w:r>
      <w:r w:rsidR="00C023DB" w:rsidRPr="00337733">
        <w:t xml:space="preserve"> și </w:t>
      </w:r>
      <w:r w:rsidRPr="00337733">
        <w:t xml:space="preserve">de </w:t>
      </w:r>
      <w:r w:rsidR="00C023DB" w:rsidRPr="00337733">
        <w:t xml:space="preserve">Cipru </w:t>
      </w:r>
      <w:r w:rsidRPr="00337733">
        <w:t>cu 26100 euro/locuitor</w:t>
      </w:r>
      <w:r w:rsidR="00C023DB" w:rsidRPr="00337733">
        <w:t xml:space="preserve"> la </w:t>
      </w:r>
      <w:r w:rsidRPr="00337733">
        <w:t>PPTE. Minimele celorlalți doi indicatori, P0CEP cu 45.9% și PPATS cu 17.3% sunt înregistrate de Netherlands. Cu toate că pentru cei doi indicatori se află pe ultima treaptă ierarhică, pentru ceilalți doi este suverană cu 24.4% la PPTE și cu 46900 euro/locuitor la PGDP. Comparativ cu celelalte țări, dominantă prin valorile înregistrate pentru P0CEP (69.8%) și PPATS (</w:t>
      </w:r>
      <w:r w:rsidR="00EB25FB" w:rsidRPr="00337733">
        <w:t>17.3%</w:t>
      </w:r>
      <w:r w:rsidRPr="00337733">
        <w:t>) este și Spain</w:t>
      </w:r>
      <w:r w:rsidR="00EB25FB" w:rsidRPr="00337733">
        <w:t>.</w:t>
      </w:r>
    </w:p>
    <w:p w14:paraId="16480B58" w14:textId="0EEDC2DD" w:rsidR="00072072" w:rsidRPr="00337733" w:rsidRDefault="00072072" w:rsidP="00FA6E58">
      <w:pPr>
        <w:ind w:firstLine="720"/>
        <w:jc w:val="both"/>
      </w:pPr>
      <w:r w:rsidRPr="00337733">
        <w:t xml:space="preserve">Comparativ cu </w:t>
      </w:r>
      <w:r w:rsidR="00410D96" w:rsidRPr="00337733">
        <w:t xml:space="preserve">primul loc ocupat de Greece, Croatia and Poland, la Classroom teachers working full-time and part-time in primary, lower-secondary and upper-secondary education - as % of total active population (PPEAP=3.30%) după cum am precizat, ceilalți indicatori au valori medii reduse care au plasat clusterul D pe locuri inferioare clasamentului. Astfel, cu 20.33% la Pupils and students by education level - as % of total age population (PPTE) clusterul D este pe locul trei, cu 49.26% la Pupils from age 0 to the starting age of compulsory education at primary level by sex - % of the population of the corresponding age (P0CEP) locul patru, pentru ca ultimul să fie ocupat prin </w:t>
      </w:r>
      <w:r w:rsidR="00410D96" w:rsidRPr="00337733">
        <w:lastRenderedPageBreak/>
        <w:t xml:space="preserve">intermediul celorlalți doi indicatori Early leavers from education and training by sex and labour (PPATS) cu 4.10% și Gross domestic product (PGDB) cu 14900 euro/locuitor </w:t>
      </w:r>
    </w:p>
    <w:p w14:paraId="754D4FD5" w14:textId="30892279" w:rsidR="00885C7C" w:rsidRPr="00337733" w:rsidRDefault="00410D96" w:rsidP="00FA6E58">
      <w:pPr>
        <w:ind w:firstLine="720"/>
        <w:jc w:val="both"/>
      </w:pPr>
      <w:r w:rsidRPr="00337733">
        <w:t>Între cele trei țări sunt schimbări de locuri</w:t>
      </w:r>
      <w:r w:rsidR="00DD0D7B" w:rsidRPr="00337733">
        <w:t xml:space="preserve"> în clasament de la un indicator la altul. Astfel, dacă la PPTE și PGDB Minimul aparține Croației și maximul Greciei, la P0CEP este schimbare de locuri între cele două țări. Această inversare a locurilor este înregistrată și între alte două țări: pentru PPATS Polonia deține primul loc cu 5.2%, iar minima de 3.0% Croația în timp ce pentru PPEAP, Polonia va fi pe ultimul cu 3.0%, iar Croația pe primul prin 3.6%.</w:t>
      </w:r>
    </w:p>
    <w:p w14:paraId="42039B65" w14:textId="2A9A46B8" w:rsidR="00885C7C" w:rsidRPr="00337733" w:rsidRDefault="0034799C" w:rsidP="00FA6E58">
      <w:pPr>
        <w:ind w:firstLine="720"/>
        <w:jc w:val="both"/>
      </w:pPr>
      <w:r w:rsidRPr="00337733">
        <w:t>Clusterul E prin intermediul valorilor indicatorilor înregistrați pentru Latvia, Lithuania, Portugal</w:t>
      </w:r>
      <w:r w:rsidR="00AA101C" w:rsidRPr="00337733">
        <w:t xml:space="preserve"> și</w:t>
      </w:r>
      <w:r w:rsidRPr="00337733">
        <w:t xml:space="preserve"> Slovenia</w:t>
      </w:r>
      <w:r w:rsidR="00AA101C" w:rsidRPr="00337733">
        <w:t xml:space="preserve">, comparativ cu celelalte clustere, ocupă locul doi la Pupils from age 0 to the starting age of compulsory education at primary level by sex - % of the population of the corresponding ag (P0CEP) cu 66.38%, două locuri trei la Classroom teachers working full-time and part-time in primary, lower-secondary and upper-secondary education - as % of total active population (PPEAP) cu 2.48%, la Gross domestic product (PGDB) cu 19375 euro/locuitor și două locuri patru la Pupils and students by education level - as % of total age population (PPTE) cu 20.20% și </w:t>
      </w:r>
      <w:r w:rsidR="009C4B13" w:rsidRPr="00337733">
        <w:t>Early leavers from education and training by sex and labour (</w:t>
      </w:r>
      <w:r w:rsidR="00AA101C" w:rsidRPr="00337733">
        <w:t>PPATS</w:t>
      </w:r>
      <w:r w:rsidR="009C4B13" w:rsidRPr="00337733">
        <w:t>)</w:t>
      </w:r>
      <w:r w:rsidR="00AA101C" w:rsidRPr="00337733">
        <w:t xml:space="preserve"> cu 6.98%.</w:t>
      </w:r>
    </w:p>
    <w:p w14:paraId="3F508E12" w14:textId="55233E1B" w:rsidR="00885C7C" w:rsidRPr="00337733" w:rsidRDefault="00D5772D" w:rsidP="00FA6E58">
      <w:pPr>
        <w:ind w:firstLine="720"/>
        <w:jc w:val="both"/>
      </w:pPr>
      <w:r w:rsidRPr="00337733">
        <w:t xml:space="preserve">Ierarhizarea țărilor în interiorul clusterului E evidențiează că, Lithuania este singura țară a acestui cluster care se prezintă într-o situație extremă prin valorile minime înregistrate pentru doi indicatori </w:t>
      </w:r>
      <w:r w:rsidR="00F80E79" w:rsidRPr="00337733">
        <w:t>ocupând astfel</w:t>
      </w:r>
      <w:r w:rsidRPr="00337733">
        <w:t xml:space="preserve"> ultimul loc: P0CEP cu 64.2% și PPATS cu 4%</w:t>
      </w:r>
      <w:r w:rsidR="00F80E79" w:rsidRPr="00337733">
        <w:t>. Celelalte trei țări sunt la ambele extreme (primul și ultimul loc) după cum urmează: Slovenia înregistrează maxime pentru P0CEP (68.8%), PGDB (23200) și minimă la PPEAP (2.4%), Latvia cu 21% la PPTE este pe primul loc</w:t>
      </w:r>
      <w:r w:rsidR="00E61A47" w:rsidRPr="00337733">
        <w:t>,</w:t>
      </w:r>
      <w:r w:rsidR="00F80E79" w:rsidRPr="00337733">
        <w:t xml:space="preserve"> iar pe ultimul cu 16000 euro/locuitor, în timp ce Portugal este dominantă cu 10.6% la PPATS și pe locul patru la PPTE cu 19.3%.</w:t>
      </w:r>
    </w:p>
    <w:p w14:paraId="4839D085" w14:textId="67F27638" w:rsidR="00D167B2" w:rsidRPr="00337733" w:rsidRDefault="00285CFE" w:rsidP="00FA6E58">
      <w:pPr>
        <w:ind w:firstLine="720"/>
        <w:jc w:val="both"/>
      </w:pPr>
      <w:r w:rsidRPr="00337733">
        <w:t>Luxemburg reprezintă țara care se desprinde din rândul clustrilor înregistrați, revenindu-i 3</w:t>
      </w:r>
      <w:r w:rsidR="00F80E79" w:rsidRPr="00337733">
        <w:t>.</w:t>
      </w:r>
      <w:r w:rsidRPr="00337733">
        <w:t>4% la PPEA</w:t>
      </w:r>
      <w:r w:rsidR="00072072" w:rsidRPr="00337733">
        <w:t>P</w:t>
      </w:r>
      <w:r w:rsidRPr="00337733">
        <w:t xml:space="preserve">, </w:t>
      </w:r>
      <w:r w:rsidR="00072072" w:rsidRPr="00337733">
        <w:t>7.2</w:t>
      </w:r>
      <w:r w:rsidRPr="00337733">
        <w:t>% la PPATS, 18</w:t>
      </w:r>
      <w:r w:rsidR="00072072" w:rsidRPr="00337733">
        <w:t>.</w:t>
      </w:r>
      <w:r w:rsidRPr="00337733">
        <w:t xml:space="preserve">5% la PPTE, </w:t>
      </w:r>
      <w:r w:rsidR="00EE7B3A" w:rsidRPr="00337733">
        <w:t>45</w:t>
      </w:r>
      <w:r w:rsidR="00072072" w:rsidRPr="00337733">
        <w:t>.</w:t>
      </w:r>
      <w:r w:rsidR="00EE7B3A" w:rsidRPr="00337733">
        <w:t>8% pentru P0</w:t>
      </w:r>
      <w:r w:rsidRPr="00337733">
        <w:t xml:space="preserve">CEP și </w:t>
      </w:r>
      <w:r w:rsidR="00EE7B3A" w:rsidRPr="00337733">
        <w:t>100</w:t>
      </w:r>
      <w:r w:rsidRPr="00337733">
        <w:t>9</w:t>
      </w:r>
      <w:r w:rsidR="00EE7B3A" w:rsidRPr="00337733">
        <w:t>0</w:t>
      </w:r>
      <w:r w:rsidRPr="00337733">
        <w:t>0</w:t>
      </w:r>
      <w:r w:rsidR="00EE7B3A" w:rsidRPr="00337733">
        <w:t xml:space="preserve"> euro/locuitor </w:t>
      </w:r>
      <w:r w:rsidRPr="00337733">
        <w:t xml:space="preserve">pentru </w:t>
      </w:r>
      <w:r w:rsidR="001B2138" w:rsidRPr="00337733">
        <w:t>PGDP</w:t>
      </w:r>
      <w:r w:rsidRPr="00337733">
        <w:t xml:space="preserve">. </w:t>
      </w:r>
    </w:p>
    <w:p w14:paraId="6D015E5F" w14:textId="77777777" w:rsidR="00285CFE" w:rsidRPr="00337733" w:rsidRDefault="00285CFE" w:rsidP="00FA6E58">
      <w:pPr>
        <w:ind w:firstLine="720"/>
        <w:jc w:val="both"/>
      </w:pPr>
    </w:p>
    <w:p w14:paraId="688E5D78" w14:textId="77777777" w:rsidR="000A0CA9" w:rsidRPr="00337733" w:rsidRDefault="00DC6222" w:rsidP="00DC6222">
      <w:pPr>
        <w:ind w:left="720"/>
        <w:jc w:val="both"/>
        <w:rPr>
          <w:rFonts w:eastAsia="Calibri"/>
          <w:b/>
          <w:sz w:val="26"/>
          <w:szCs w:val="26"/>
        </w:rPr>
      </w:pPr>
      <w:r w:rsidRPr="00337733">
        <w:rPr>
          <w:rFonts w:eastAsia="Calibri"/>
          <w:b/>
          <w:sz w:val="26"/>
          <w:szCs w:val="26"/>
        </w:rPr>
        <w:t>CONCLUZII</w:t>
      </w:r>
    </w:p>
    <w:p w14:paraId="38A4A148" w14:textId="77777777" w:rsidR="00DC6222" w:rsidRPr="00337733" w:rsidRDefault="00DC6222" w:rsidP="00FA6E58">
      <w:pPr>
        <w:pStyle w:val="ListParagraph"/>
        <w:spacing w:after="0" w:line="240" w:lineRule="auto"/>
        <w:ind w:left="0" w:firstLine="720"/>
        <w:contextualSpacing w:val="0"/>
        <w:jc w:val="both"/>
        <w:rPr>
          <w:lang w:val="en-US"/>
        </w:rPr>
      </w:pPr>
    </w:p>
    <w:p w14:paraId="1ECC1516" w14:textId="77777777" w:rsidR="00491D16" w:rsidRPr="00337733" w:rsidRDefault="003335F7" w:rsidP="00FA6E58">
      <w:pPr>
        <w:pStyle w:val="ListParagraph"/>
        <w:spacing w:after="0" w:line="240" w:lineRule="auto"/>
        <w:ind w:left="0" w:firstLine="720"/>
        <w:contextualSpacing w:val="0"/>
        <w:jc w:val="both"/>
        <w:rPr>
          <w:lang w:val="en-US"/>
        </w:rPr>
      </w:pPr>
      <w:r w:rsidRPr="00337733">
        <w:rPr>
          <w:lang w:val="en-US"/>
        </w:rPr>
        <w:t xml:space="preserve">Analiza disparităților și similarităților dintre </w:t>
      </w:r>
      <w:r w:rsidR="00491D16" w:rsidRPr="00337733">
        <w:rPr>
          <w:lang w:val="en-US"/>
        </w:rPr>
        <w:t>cele</w:t>
      </w:r>
      <w:r w:rsidRPr="00337733">
        <w:rPr>
          <w:lang w:val="en-US"/>
        </w:rPr>
        <w:t xml:space="preserve"> 24 state </w:t>
      </w:r>
      <w:r w:rsidR="00491D16" w:rsidRPr="00337733">
        <w:rPr>
          <w:lang w:val="en-US"/>
        </w:rPr>
        <w:t>membre UE, a</w:t>
      </w:r>
      <w:r w:rsidRPr="00337733">
        <w:rPr>
          <w:lang w:val="en-US"/>
        </w:rPr>
        <w:t xml:space="preserve"> condus la concluzia că, ponderea copiilor între 0 și vârsta de începere a învățământului obligatoriu, cuprinș</w:t>
      </w:r>
      <w:proofErr w:type="gramStart"/>
      <w:r w:rsidRPr="00337733">
        <w:rPr>
          <w:lang w:val="en-US"/>
        </w:rPr>
        <w:t>i  în</w:t>
      </w:r>
      <w:proofErr w:type="gramEnd"/>
      <w:r w:rsidRPr="00337733">
        <w:rPr>
          <w:lang w:val="en-US"/>
        </w:rPr>
        <w:t xml:space="preserve"> forme de educație timpurie, ca procent din populația de aceiași vârstă (P0CEP) înregistrează valoarea medie procentuală maximă în cadrul clusterului A prin 7</w:t>
      </w:r>
      <w:r w:rsidR="00E74BB3" w:rsidRPr="00337733">
        <w:rPr>
          <w:lang w:val="en-US"/>
        </w:rPr>
        <w:t>4.</w:t>
      </w:r>
      <w:r w:rsidRPr="00337733">
        <w:rPr>
          <w:lang w:val="en-US"/>
        </w:rPr>
        <w:t>60%</w:t>
      </w:r>
      <w:r w:rsidR="00E74BB3" w:rsidRPr="00337733">
        <w:rPr>
          <w:lang w:val="en-US"/>
        </w:rPr>
        <w:t xml:space="preserve"> și minimă la clusterul B cu 43.</w:t>
      </w:r>
      <w:r w:rsidRPr="00337733">
        <w:rPr>
          <w:lang w:val="en-US"/>
        </w:rPr>
        <w:t xml:space="preserve">25%. </w:t>
      </w:r>
      <w:r w:rsidR="00491D16" w:rsidRPr="00337733">
        <w:rPr>
          <w:lang w:val="en-US"/>
        </w:rPr>
        <w:t>În raport cu media UE</w:t>
      </w:r>
      <w:r w:rsidR="00E74BB3" w:rsidRPr="00337733">
        <w:rPr>
          <w:lang w:val="en-US"/>
        </w:rPr>
        <w:t xml:space="preserve"> (57.</w:t>
      </w:r>
      <w:r w:rsidRPr="00337733">
        <w:rPr>
          <w:lang w:val="en-US"/>
        </w:rPr>
        <w:t>17%) clusterele D și F</w:t>
      </w:r>
      <w:r w:rsidR="00491D16" w:rsidRPr="00337733">
        <w:rPr>
          <w:lang w:val="en-US"/>
        </w:rPr>
        <w:t>, alături de clusterul B</w:t>
      </w:r>
      <w:r w:rsidRPr="00337733">
        <w:rPr>
          <w:lang w:val="en-US"/>
        </w:rPr>
        <w:t xml:space="preserve"> </w:t>
      </w:r>
      <w:r w:rsidR="00E74BB3" w:rsidRPr="00337733">
        <w:rPr>
          <w:lang w:val="en-US"/>
        </w:rPr>
        <w:t>inregistrează</w:t>
      </w:r>
      <w:r w:rsidRPr="00337733">
        <w:rPr>
          <w:lang w:val="en-US"/>
        </w:rPr>
        <w:t xml:space="preserve"> procente mai mici</w:t>
      </w:r>
      <w:r w:rsidR="00E74BB3" w:rsidRPr="00337733">
        <w:rPr>
          <w:lang w:val="en-US"/>
        </w:rPr>
        <w:t>,</w:t>
      </w:r>
      <w:r w:rsidRPr="00337733">
        <w:rPr>
          <w:lang w:val="en-US"/>
        </w:rPr>
        <w:t xml:space="preserve"> </w:t>
      </w:r>
      <w:r w:rsidR="00E74BB3" w:rsidRPr="00337733">
        <w:rPr>
          <w:lang w:val="en-US"/>
        </w:rPr>
        <w:t>în timp ce</w:t>
      </w:r>
      <w:r w:rsidRPr="00337733">
        <w:rPr>
          <w:lang w:val="en-US"/>
        </w:rPr>
        <w:t xml:space="preserve"> clusterele C, E și G </w:t>
      </w:r>
      <w:r w:rsidR="00E74BB3" w:rsidRPr="00337733">
        <w:rPr>
          <w:lang w:val="en-US"/>
        </w:rPr>
        <w:t>înregistrează valori peste această medie</w:t>
      </w:r>
      <w:r w:rsidRPr="00337733">
        <w:rPr>
          <w:lang w:val="en-US"/>
        </w:rPr>
        <w:t xml:space="preserve">. </w:t>
      </w:r>
    </w:p>
    <w:p w14:paraId="16519CE0" w14:textId="77777777" w:rsidR="00E74BB3" w:rsidRPr="00337733" w:rsidRDefault="003335F7" w:rsidP="00FA6E58">
      <w:pPr>
        <w:pStyle w:val="ListParagraph"/>
        <w:spacing w:after="0" w:line="240" w:lineRule="auto"/>
        <w:ind w:left="0" w:firstLine="720"/>
        <w:contextualSpacing w:val="0"/>
        <w:jc w:val="both"/>
        <w:rPr>
          <w:lang w:val="en-US"/>
        </w:rPr>
      </w:pPr>
      <w:r w:rsidRPr="00337733">
        <w:rPr>
          <w:lang w:val="en-US"/>
        </w:rPr>
        <w:t xml:space="preserve">În ceea ce privește indicatorul ponderea persoanelor înmatruculate în nivelele de educație primară, secundară și terțiară, în totalel populației (PPTE), se poate menționa că, peste </w:t>
      </w:r>
      <w:r w:rsidR="00E74BB3" w:rsidRPr="00337733">
        <w:rPr>
          <w:lang w:val="en-US"/>
        </w:rPr>
        <w:t>valoare medie procentuală de 20.</w:t>
      </w:r>
      <w:r w:rsidRPr="00337733">
        <w:rPr>
          <w:lang w:val="en-US"/>
        </w:rPr>
        <w:t>89% se află clusterele A, F și G</w:t>
      </w:r>
      <w:r w:rsidR="00E74BB3" w:rsidRPr="00337733">
        <w:rPr>
          <w:lang w:val="en-US"/>
        </w:rPr>
        <w:t>, iar</w:t>
      </w:r>
      <w:r w:rsidRPr="00337733">
        <w:rPr>
          <w:lang w:val="en-US"/>
        </w:rPr>
        <w:t xml:space="preserve"> sub acea</w:t>
      </w:r>
      <w:r w:rsidR="00E74BB3" w:rsidRPr="00337733">
        <w:rPr>
          <w:lang w:val="en-US"/>
        </w:rPr>
        <w:t>sta</w:t>
      </w:r>
      <w:r w:rsidRPr="00337733">
        <w:rPr>
          <w:lang w:val="en-US"/>
        </w:rPr>
        <w:t xml:space="preserve"> clusterele B</w:t>
      </w:r>
      <w:r w:rsidR="00E74BB3" w:rsidRPr="00337733">
        <w:rPr>
          <w:lang w:val="en-US"/>
        </w:rPr>
        <w:t>, C, D și</w:t>
      </w:r>
      <w:r w:rsidRPr="00337733">
        <w:rPr>
          <w:lang w:val="en-US"/>
        </w:rPr>
        <w:t xml:space="preserve"> E.</w:t>
      </w:r>
    </w:p>
    <w:p w14:paraId="53FBF379" w14:textId="77777777" w:rsidR="00E74BB3" w:rsidRPr="00337733" w:rsidRDefault="003335F7" w:rsidP="00FA6E58">
      <w:pPr>
        <w:pStyle w:val="ListParagraph"/>
        <w:spacing w:after="0" w:line="240" w:lineRule="auto"/>
        <w:ind w:left="0" w:firstLine="720"/>
        <w:contextualSpacing w:val="0"/>
        <w:jc w:val="both"/>
        <w:rPr>
          <w:lang w:val="en-US"/>
        </w:rPr>
      </w:pPr>
      <w:r w:rsidRPr="00337733">
        <w:rPr>
          <w:lang w:val="en-US"/>
        </w:rPr>
        <w:t xml:space="preserve"> Analiza valorilor procentuale ale indicatorului ponderea persoanelor între 18 și 24 de ani care abandonează timpuriu sudiile (PPATS), </w:t>
      </w:r>
      <w:r w:rsidR="00E74BB3" w:rsidRPr="00337733">
        <w:rPr>
          <w:lang w:val="en-US"/>
        </w:rPr>
        <w:t>evidențiază faptul că cel mai mic nivel al abandonului școlar se înregisrează în statele incluse în</w:t>
      </w:r>
      <w:r w:rsidRPr="00337733">
        <w:rPr>
          <w:lang w:val="en-US"/>
        </w:rPr>
        <w:t xml:space="preserve"> </w:t>
      </w:r>
      <w:r w:rsidR="00E74BB3" w:rsidRPr="00337733">
        <w:rPr>
          <w:lang w:val="en-US"/>
        </w:rPr>
        <w:t>c</w:t>
      </w:r>
      <w:r w:rsidRPr="00337733">
        <w:rPr>
          <w:lang w:val="en-US"/>
        </w:rPr>
        <w:t xml:space="preserve">lustrul D </w:t>
      </w:r>
      <w:r w:rsidR="00E74BB3" w:rsidRPr="00337733">
        <w:rPr>
          <w:lang w:val="en-US"/>
        </w:rPr>
        <w:t>(6.</w:t>
      </w:r>
      <w:r w:rsidRPr="00337733">
        <w:rPr>
          <w:lang w:val="en-US"/>
        </w:rPr>
        <w:t>26%</w:t>
      </w:r>
      <w:r w:rsidR="00E74BB3" w:rsidRPr="00337733">
        <w:rPr>
          <w:lang w:val="en-US"/>
        </w:rPr>
        <w:t>), în timp ce media înregistrată la nivelul statelor din clusterul</w:t>
      </w:r>
      <w:r w:rsidRPr="00337733">
        <w:rPr>
          <w:lang w:val="en-US"/>
        </w:rPr>
        <w:t xml:space="preserve"> F </w:t>
      </w:r>
      <w:r w:rsidR="00E74BB3" w:rsidRPr="00337733">
        <w:rPr>
          <w:lang w:val="en-US"/>
        </w:rPr>
        <w:t>este de 15%</w:t>
      </w:r>
      <w:r w:rsidRPr="00337733">
        <w:rPr>
          <w:lang w:val="en-US"/>
        </w:rPr>
        <w:t xml:space="preserve"> </w:t>
      </w:r>
      <w:r w:rsidR="00E74BB3" w:rsidRPr="00337733">
        <w:rPr>
          <w:lang w:val="en-US"/>
        </w:rPr>
        <w:t>cu 6.34 puncte procentuale peste media UE</w:t>
      </w:r>
      <w:r w:rsidRPr="00337733">
        <w:rPr>
          <w:lang w:val="en-US"/>
        </w:rPr>
        <w:t xml:space="preserve"> </w:t>
      </w:r>
      <w:r w:rsidR="00E74BB3" w:rsidRPr="00337733">
        <w:rPr>
          <w:lang w:val="en-US"/>
        </w:rPr>
        <w:t>(</w:t>
      </w:r>
      <w:r w:rsidR="00DC6222" w:rsidRPr="00337733">
        <w:rPr>
          <w:lang w:val="en-US"/>
        </w:rPr>
        <w:t>8.</w:t>
      </w:r>
      <w:r w:rsidRPr="00337733">
        <w:rPr>
          <w:lang w:val="en-US"/>
        </w:rPr>
        <w:t>66%</w:t>
      </w:r>
      <w:r w:rsidR="00E74BB3" w:rsidRPr="00337733">
        <w:rPr>
          <w:lang w:val="en-US"/>
        </w:rPr>
        <w:t>).</w:t>
      </w:r>
    </w:p>
    <w:p w14:paraId="03B84858" w14:textId="77777777" w:rsidR="003335F7" w:rsidRPr="00337733" w:rsidRDefault="003335F7" w:rsidP="00FA6E58">
      <w:pPr>
        <w:pStyle w:val="ListParagraph"/>
        <w:spacing w:after="0" w:line="240" w:lineRule="auto"/>
        <w:ind w:left="0" w:firstLine="720"/>
        <w:contextualSpacing w:val="0"/>
        <w:jc w:val="both"/>
        <w:rPr>
          <w:lang w:val="en-US"/>
        </w:rPr>
      </w:pPr>
      <w:r w:rsidRPr="00337733">
        <w:rPr>
          <w:lang w:val="en-US"/>
        </w:rPr>
        <w:t xml:space="preserve"> Ponderea profesorilor, care lucrează cu normă întreagă și cu fracțiune de normă în învățământul primar, secundar inferior și postliceal, în populația activă totală (PPEAP) </w:t>
      </w:r>
      <w:r w:rsidR="00DC6222" w:rsidRPr="00337733">
        <w:rPr>
          <w:lang w:val="en-US"/>
        </w:rPr>
        <w:t>a evidențiat faptul că</w:t>
      </w:r>
      <w:r w:rsidRPr="00337733">
        <w:rPr>
          <w:lang w:val="en-US"/>
        </w:rPr>
        <w:t xml:space="preserve"> </w:t>
      </w:r>
      <w:r w:rsidR="00DC6222" w:rsidRPr="00337733">
        <w:rPr>
          <w:lang w:val="en-US"/>
        </w:rPr>
        <w:t xml:space="preserve">cea mai mică valoare 2.03% corespunde clusterului </w:t>
      </w:r>
      <w:r w:rsidRPr="00337733">
        <w:rPr>
          <w:lang w:val="en-US"/>
        </w:rPr>
        <w:t>B</w:t>
      </w:r>
      <w:r w:rsidR="00DC6222" w:rsidRPr="00337733">
        <w:rPr>
          <w:lang w:val="en-US"/>
        </w:rPr>
        <w:t>, care alături de clusterele C, E F și G</w:t>
      </w:r>
      <w:r w:rsidRPr="00337733">
        <w:rPr>
          <w:lang w:val="en-US"/>
        </w:rPr>
        <w:t xml:space="preserve"> </w:t>
      </w:r>
      <w:r w:rsidR="00DC6222" w:rsidRPr="00337733">
        <w:rPr>
          <w:lang w:val="en-US"/>
        </w:rPr>
        <w:t>se află sub media UE</w:t>
      </w:r>
      <w:r w:rsidRPr="00337733">
        <w:rPr>
          <w:lang w:val="en-US"/>
        </w:rPr>
        <w:t xml:space="preserve"> </w:t>
      </w:r>
      <w:r w:rsidR="00DC6222" w:rsidRPr="00337733">
        <w:rPr>
          <w:lang w:val="en-US"/>
        </w:rPr>
        <w:t>(</w:t>
      </w:r>
      <w:r w:rsidRPr="00337733">
        <w:rPr>
          <w:lang w:val="en-US"/>
        </w:rPr>
        <w:t>2</w:t>
      </w:r>
      <w:proofErr w:type="gramStart"/>
      <w:r w:rsidRPr="00337733">
        <w:rPr>
          <w:lang w:val="en-US"/>
        </w:rPr>
        <w:t>,62</w:t>
      </w:r>
      <w:proofErr w:type="gramEnd"/>
      <w:r w:rsidRPr="00337733">
        <w:rPr>
          <w:lang w:val="en-US"/>
        </w:rPr>
        <w:t>%</w:t>
      </w:r>
      <w:r w:rsidR="00DC6222" w:rsidRPr="00337733">
        <w:rPr>
          <w:lang w:val="en-US"/>
        </w:rPr>
        <w:t>)</w:t>
      </w:r>
      <w:r w:rsidRPr="00337733">
        <w:rPr>
          <w:lang w:val="en-US"/>
        </w:rPr>
        <w:t xml:space="preserve"> </w:t>
      </w:r>
      <w:r w:rsidR="00DC6222" w:rsidRPr="00337733">
        <w:rPr>
          <w:lang w:val="en-US"/>
        </w:rPr>
        <w:t>medie depășită doar de</w:t>
      </w:r>
      <w:r w:rsidRPr="00337733">
        <w:rPr>
          <w:lang w:val="en-US"/>
        </w:rPr>
        <w:t xml:space="preserve"> clusterele C și A</w:t>
      </w:r>
      <w:r w:rsidR="00DC6222" w:rsidRPr="00337733">
        <w:rPr>
          <w:lang w:val="en-US"/>
        </w:rPr>
        <w:t>.</w:t>
      </w:r>
      <w:r w:rsidRPr="00337733">
        <w:rPr>
          <w:lang w:val="en-US"/>
        </w:rPr>
        <w:t xml:space="preserve"> </w:t>
      </w:r>
      <w:bookmarkStart w:id="7" w:name="_GoBack"/>
      <w:bookmarkEnd w:id="7"/>
    </w:p>
    <w:p w14:paraId="4FBC1436" w14:textId="77777777" w:rsidR="003335F7" w:rsidRPr="00337733" w:rsidRDefault="003335F7" w:rsidP="00FA6E58">
      <w:pPr>
        <w:pStyle w:val="ListParagraph"/>
        <w:spacing w:after="0" w:line="240" w:lineRule="auto"/>
        <w:ind w:left="0" w:firstLine="720"/>
        <w:contextualSpacing w:val="0"/>
        <w:jc w:val="both"/>
        <w:rPr>
          <w:lang w:val="en-US"/>
        </w:rPr>
      </w:pPr>
      <w:r w:rsidRPr="00337733">
        <w:rPr>
          <w:lang w:val="en-US"/>
        </w:rPr>
        <w:t xml:space="preserve">România, componenta clusterului B, are stabilite ponderi care sunt, la </w:t>
      </w:r>
      <w:proofErr w:type="gramStart"/>
      <w:r w:rsidRPr="00337733">
        <w:rPr>
          <w:lang w:val="en-US"/>
        </w:rPr>
        <w:t>majoritatea  indicatorilor</w:t>
      </w:r>
      <w:proofErr w:type="gramEnd"/>
      <w:r w:rsidRPr="00337733">
        <w:rPr>
          <w:lang w:val="en-US"/>
        </w:rPr>
        <w:t xml:space="preserve">, sub mediile clusterului (PPATS, P0CEP, PPTE, PPEAT și </w:t>
      </w:r>
      <w:r w:rsidR="001B2138" w:rsidRPr="00337733">
        <w:rPr>
          <w:lang w:val="en-US"/>
        </w:rPr>
        <w:t>PGDP</w:t>
      </w:r>
      <w:r w:rsidRPr="00337733">
        <w:rPr>
          <w:lang w:val="en-US"/>
        </w:rPr>
        <w:t xml:space="preserve">), numai PPATS având o pondere superioară mediei. </w:t>
      </w:r>
    </w:p>
    <w:p w14:paraId="7D6036F4" w14:textId="77777777" w:rsidR="003335F7" w:rsidRPr="00337733" w:rsidRDefault="003335F7" w:rsidP="00FA6E58">
      <w:pPr>
        <w:pStyle w:val="ListParagraph"/>
        <w:spacing w:after="0" w:line="240" w:lineRule="auto"/>
        <w:ind w:left="0" w:firstLine="720"/>
        <w:contextualSpacing w:val="0"/>
        <w:jc w:val="both"/>
        <w:rPr>
          <w:lang w:val="en-US"/>
        </w:rPr>
      </w:pPr>
      <w:r w:rsidRPr="00337733">
        <w:rPr>
          <w:lang w:val="en-US"/>
        </w:rPr>
        <w:t xml:space="preserve">În acest context este de subliniat nivelul foarte redus de dezvoltare al învățământului românesc, fapt confirmat de toate rezultatele evidențiate prin indicatorii abordați. </w:t>
      </w:r>
    </w:p>
    <w:p w14:paraId="6F291896" w14:textId="77777777" w:rsidR="00346843" w:rsidRDefault="00346843" w:rsidP="00FA6E58">
      <w:pPr>
        <w:ind w:firstLine="720"/>
        <w:jc w:val="both"/>
        <w:rPr>
          <w:color w:val="FF0000"/>
        </w:rPr>
      </w:pPr>
    </w:p>
    <w:p w14:paraId="7271623C" w14:textId="77777777" w:rsidR="00337733" w:rsidRDefault="00337733" w:rsidP="00337733">
      <w:pPr>
        <w:ind w:firstLine="720"/>
        <w:jc w:val="both"/>
        <w:rPr>
          <w:b/>
        </w:rPr>
      </w:pPr>
    </w:p>
    <w:p w14:paraId="2F77DAF5" w14:textId="77777777" w:rsidR="00337733" w:rsidRPr="005C44B2" w:rsidRDefault="00337733" w:rsidP="00337733">
      <w:pPr>
        <w:ind w:firstLine="720"/>
        <w:jc w:val="both"/>
        <w:rPr>
          <w:b/>
        </w:rPr>
      </w:pPr>
      <w:r w:rsidRPr="005C44B2">
        <w:rPr>
          <w:b/>
        </w:rPr>
        <w:lastRenderedPageBreak/>
        <w:t>BIBLIOGRAFIE</w:t>
      </w:r>
    </w:p>
    <w:p w14:paraId="2417AA6B" w14:textId="77777777" w:rsidR="00337733" w:rsidRDefault="00337733" w:rsidP="00337733">
      <w:pPr>
        <w:ind w:firstLine="720"/>
        <w:jc w:val="both"/>
        <w:rPr>
          <w:color w:val="FF0000"/>
        </w:rPr>
      </w:pPr>
    </w:p>
    <w:p w14:paraId="3AF1944D" w14:textId="77777777" w:rsidR="00337733" w:rsidRPr="00FC1782" w:rsidRDefault="00337733" w:rsidP="00337733">
      <w:pPr>
        <w:pStyle w:val="ListParagraph"/>
        <w:numPr>
          <w:ilvl w:val="0"/>
          <w:numId w:val="7"/>
        </w:numPr>
        <w:ind w:left="360"/>
        <w:jc w:val="both"/>
        <w:rPr>
          <w:color w:val="000000"/>
          <w:shd w:val="clear" w:color="auto" w:fill="FFFFFF"/>
        </w:rPr>
      </w:pPr>
      <w:r w:rsidRPr="00FC1782">
        <w:rPr>
          <w:color w:val="000000"/>
          <w:shd w:val="clear" w:color="auto" w:fill="FFFFFF"/>
        </w:rPr>
        <w:t>Angelov, Angel, (2019), </w:t>
      </w:r>
      <w:r>
        <w:rPr>
          <w:shd w:val="clear" w:color="auto" w:fill="FFFFFF"/>
        </w:rPr>
        <w:t>Public Expenditure on Education in the EU</w:t>
      </w:r>
      <w:r w:rsidRPr="00FC1782">
        <w:rPr>
          <w:shd w:val="clear" w:color="auto" w:fill="FFFFFF"/>
        </w:rPr>
        <w:t xml:space="preserve"> Member States: A Cluster Analysis</w:t>
      </w:r>
      <w:r w:rsidRPr="00FC1782">
        <w:rPr>
          <w:color w:val="000000"/>
          <w:shd w:val="clear" w:color="auto" w:fill="FFFFFF"/>
        </w:rPr>
        <w:t>, </w:t>
      </w:r>
      <w:r w:rsidRPr="00FC1782">
        <w:rPr>
          <w:i/>
          <w:iCs/>
          <w:color w:val="000000"/>
          <w:shd w:val="clear" w:color="auto" w:fill="FFFFFF"/>
        </w:rPr>
        <w:t>Economic Archive</w:t>
      </w:r>
      <w:r w:rsidRPr="00FC1782">
        <w:rPr>
          <w:color w:val="000000"/>
          <w:shd w:val="clear" w:color="auto" w:fill="FFFFFF"/>
        </w:rPr>
        <w:t>, issue 1 Year 2019, p. 52-64.</w:t>
      </w:r>
    </w:p>
    <w:p w14:paraId="60D3281C" w14:textId="77777777" w:rsidR="00337733" w:rsidRDefault="00337733" w:rsidP="00337733">
      <w:pPr>
        <w:pStyle w:val="ListParagraph"/>
        <w:numPr>
          <w:ilvl w:val="0"/>
          <w:numId w:val="7"/>
        </w:numPr>
        <w:ind w:left="360"/>
        <w:jc w:val="both"/>
        <w:rPr>
          <w:color w:val="000000"/>
          <w:shd w:val="clear" w:color="auto" w:fill="FFFFFF"/>
        </w:rPr>
      </w:pPr>
      <w:r w:rsidRPr="000F67F6">
        <w:rPr>
          <w:color w:val="000000"/>
          <w:shd w:val="clear" w:color="auto" w:fill="FFFFFF"/>
        </w:rPr>
        <w:t>Bunda, N. R., Baciu, L. and Ciote, C.(2010), </w:t>
      </w:r>
      <w:r w:rsidRPr="000F67F6">
        <w:rPr>
          <w:shd w:val="clear" w:color="auto" w:fill="FFFFFF"/>
        </w:rPr>
        <w:t>Education for Sustainable Development: National, Regional and Global Perspectives</w:t>
      </w:r>
      <w:r w:rsidRPr="000F67F6">
        <w:rPr>
          <w:color w:val="000000"/>
          <w:shd w:val="clear" w:color="auto" w:fill="FFFFFF"/>
        </w:rPr>
        <w:t>, </w:t>
      </w:r>
      <w:r w:rsidRPr="000F67F6">
        <w:rPr>
          <w:i/>
          <w:iCs/>
          <w:color w:val="000000"/>
          <w:shd w:val="clear" w:color="auto" w:fill="FFFFFF"/>
        </w:rPr>
        <w:t>Ovidius University Annals, Economic Sciences Series</w:t>
      </w:r>
      <w:r w:rsidRPr="000F67F6">
        <w:rPr>
          <w:color w:val="000000"/>
          <w:shd w:val="clear" w:color="auto" w:fill="FFFFFF"/>
        </w:rPr>
        <w:t>, </w:t>
      </w:r>
      <w:r w:rsidRPr="000F67F6">
        <w:rPr>
          <w:b/>
          <w:bCs/>
          <w:color w:val="000000"/>
          <w:shd w:val="clear" w:color="auto" w:fill="FFFFFF"/>
        </w:rPr>
        <w:t>X</w:t>
      </w:r>
      <w:r w:rsidRPr="000F67F6">
        <w:rPr>
          <w:color w:val="000000"/>
          <w:shd w:val="clear" w:color="auto" w:fill="FFFFFF"/>
        </w:rPr>
        <w:t>, issue 1, p. 566-571.</w:t>
      </w:r>
    </w:p>
    <w:p w14:paraId="1FB6A7B8" w14:textId="77777777" w:rsidR="00337733" w:rsidRPr="00FC1782" w:rsidRDefault="00337733" w:rsidP="00337733">
      <w:pPr>
        <w:pStyle w:val="ListParagraph"/>
        <w:numPr>
          <w:ilvl w:val="0"/>
          <w:numId w:val="7"/>
        </w:numPr>
        <w:ind w:left="360"/>
        <w:jc w:val="both"/>
        <w:rPr>
          <w:color w:val="000000"/>
          <w:shd w:val="clear" w:color="auto" w:fill="FFFFFF"/>
        </w:rPr>
      </w:pPr>
      <w:r>
        <w:rPr>
          <w:color w:val="000000"/>
          <w:shd w:val="clear" w:color="auto" w:fill="FFFFFF"/>
        </w:rPr>
        <w:t>Drăgoi, A-E.</w:t>
      </w:r>
      <w:r w:rsidRPr="00FC1782">
        <w:rPr>
          <w:color w:val="000000"/>
          <w:shd w:val="clear" w:color="auto" w:fill="FFFFFF"/>
        </w:rPr>
        <w:t>, (2019), </w:t>
      </w:r>
      <w:r>
        <w:rPr>
          <w:shd w:val="clear" w:color="auto" w:fill="FFFFFF"/>
        </w:rPr>
        <w:t>Education in EU a</w:t>
      </w:r>
      <w:r w:rsidRPr="00FC1782">
        <w:rPr>
          <w:shd w:val="clear" w:color="auto" w:fill="FFFFFF"/>
        </w:rPr>
        <w:t xml:space="preserve">nd Romania - A Theoretical Approach </w:t>
      </w:r>
      <w:r>
        <w:rPr>
          <w:shd w:val="clear" w:color="auto" w:fill="FFFFFF"/>
        </w:rPr>
        <w:t>of t</w:t>
      </w:r>
      <w:r w:rsidRPr="00FC1782">
        <w:rPr>
          <w:shd w:val="clear" w:color="auto" w:fill="FFFFFF"/>
        </w:rPr>
        <w:t>he Rural – Urban Education Gap</w:t>
      </w:r>
      <w:r w:rsidRPr="00FC1782">
        <w:rPr>
          <w:color w:val="000000"/>
          <w:shd w:val="clear" w:color="auto" w:fill="FFFFFF"/>
        </w:rPr>
        <w:t>, </w:t>
      </w:r>
      <w:r w:rsidRPr="00FC1782">
        <w:rPr>
          <w:i/>
          <w:iCs/>
          <w:color w:val="000000"/>
          <w:shd w:val="clear" w:color="auto" w:fill="FFFFFF"/>
        </w:rPr>
        <w:t>Euroinfo</w:t>
      </w:r>
      <w:r w:rsidRPr="00FC1782">
        <w:rPr>
          <w:color w:val="000000"/>
          <w:shd w:val="clear" w:color="auto" w:fill="FFFFFF"/>
        </w:rPr>
        <w:t>, </w:t>
      </w:r>
      <w:r w:rsidRPr="00FC1782">
        <w:rPr>
          <w:b/>
          <w:bCs/>
          <w:color w:val="000000"/>
          <w:shd w:val="clear" w:color="auto" w:fill="FFFFFF"/>
        </w:rPr>
        <w:t>3</w:t>
      </w:r>
      <w:r w:rsidRPr="00FC1782">
        <w:rPr>
          <w:color w:val="000000"/>
          <w:shd w:val="clear" w:color="auto" w:fill="FFFFFF"/>
        </w:rPr>
        <w:t>, issue 2, p. 55-66.</w:t>
      </w:r>
    </w:p>
    <w:p w14:paraId="3D4D06C0" w14:textId="77777777" w:rsidR="00337733" w:rsidRPr="000F67F6" w:rsidRDefault="00337733" w:rsidP="00337733">
      <w:pPr>
        <w:pStyle w:val="ListParagraph"/>
        <w:numPr>
          <w:ilvl w:val="0"/>
          <w:numId w:val="7"/>
        </w:numPr>
        <w:ind w:left="360"/>
        <w:jc w:val="both"/>
        <w:rPr>
          <w:color w:val="FF0000"/>
        </w:rPr>
      </w:pPr>
      <w:r w:rsidRPr="000F67F6">
        <w:rPr>
          <w:rStyle w:val="leftside"/>
          <w:bCs/>
          <w:color w:val="000000"/>
          <w:shd w:val="clear" w:color="auto" w:fill="FCFCFC"/>
        </w:rPr>
        <w:t>Edabs (2022) Early leavers from education and training by sex and labour status</w:t>
      </w:r>
      <w:r w:rsidRPr="000F67F6">
        <w:rPr>
          <w:rStyle w:val="rightside"/>
          <w:bCs/>
          <w:color w:val="000000"/>
          <w:shd w:val="clear" w:color="auto" w:fill="FCFCFC"/>
        </w:rPr>
        <w:t xml:space="preserve">[edat_lfse_14] </w:t>
      </w:r>
      <w:hyperlink r:id="rId30" w:history="1">
        <w:r w:rsidRPr="004A3F3A">
          <w:rPr>
            <w:rStyle w:val="Hyperlink"/>
          </w:rPr>
          <w:t>https://appsso.eurostat.ec.europa.eu/nui/show.do?dataset=edat_lfse_14&amp;lang=en</w:t>
        </w:r>
      </w:hyperlink>
      <w:r w:rsidRPr="000F67F6">
        <w:rPr>
          <w:rStyle w:val="leftside"/>
          <w:bCs/>
          <w:shd w:val="clear" w:color="auto" w:fill="FCFCFC"/>
        </w:rPr>
        <w:t>Eugdp, 2022</w:t>
      </w:r>
    </w:p>
    <w:p w14:paraId="4F08C379" w14:textId="77777777" w:rsidR="00337733" w:rsidRPr="000F67F6" w:rsidRDefault="00337733" w:rsidP="00337733">
      <w:pPr>
        <w:pStyle w:val="ListParagraph"/>
        <w:numPr>
          <w:ilvl w:val="0"/>
          <w:numId w:val="7"/>
        </w:numPr>
        <w:ind w:left="360"/>
        <w:rPr>
          <w:rStyle w:val="rightside"/>
          <w:bCs/>
          <w:color w:val="000000"/>
          <w:shd w:val="clear" w:color="auto" w:fill="FCFCFC"/>
        </w:rPr>
      </w:pPr>
      <w:r w:rsidRPr="000F67F6">
        <w:rPr>
          <w:rStyle w:val="leftside"/>
          <w:bCs/>
          <w:color w:val="000000"/>
          <w:shd w:val="clear" w:color="auto" w:fill="FCFCFC"/>
        </w:rPr>
        <w:t xml:space="preserve">Edert (2022) </w:t>
      </w:r>
      <w:r>
        <w:rPr>
          <w:rStyle w:val="leftside"/>
          <w:bCs/>
          <w:color w:val="000000"/>
          <w:shd w:val="clear" w:color="auto" w:fill="FCFCFC"/>
        </w:rPr>
        <w:t>Pupils from age 0 to the starting age of compulsory education at primary level - as % of the population of the corresponding age</w:t>
      </w:r>
      <w:r w:rsidRPr="000F67F6">
        <w:rPr>
          <w:rStyle w:val="rightside"/>
          <w:bCs/>
          <w:color w:val="000000"/>
          <w:shd w:val="clear" w:color="auto" w:fill="FCFCFC"/>
        </w:rPr>
        <w:t xml:space="preserve">[educ_uoe_enra23] </w:t>
      </w:r>
      <w:hyperlink r:id="rId31" w:history="1">
        <w:r w:rsidRPr="000F67F6">
          <w:rPr>
            <w:rStyle w:val="Hyperlink"/>
            <w:bCs/>
            <w:shd w:val="clear" w:color="auto" w:fill="FCFCFC"/>
          </w:rPr>
          <w:t>https://appsso.eurostat.ec.europa.eu/nui/show.do?dataset=educ_uoe_enra23&amp;lang=en</w:t>
        </w:r>
      </w:hyperlink>
    </w:p>
    <w:p w14:paraId="1E3FDCFD" w14:textId="77777777" w:rsidR="00337733" w:rsidRPr="004A3F3A" w:rsidRDefault="00337733" w:rsidP="00337733">
      <w:pPr>
        <w:pStyle w:val="ListParagraph"/>
        <w:numPr>
          <w:ilvl w:val="0"/>
          <w:numId w:val="7"/>
        </w:numPr>
        <w:ind w:left="360"/>
      </w:pPr>
      <w:r w:rsidRPr="000F67F6">
        <w:rPr>
          <w:rStyle w:val="leftside"/>
          <w:bCs/>
          <w:color w:val="000000"/>
          <w:shd w:val="clear" w:color="auto" w:fill="FCFCFC"/>
        </w:rPr>
        <w:t xml:space="preserve">Ednrp (2022) Pupils and students by education level - as % of total age population </w:t>
      </w:r>
      <w:r w:rsidRPr="000F67F6">
        <w:rPr>
          <w:rStyle w:val="rightside"/>
          <w:bCs/>
          <w:color w:val="000000"/>
          <w:shd w:val="clear" w:color="auto" w:fill="FCFCFC"/>
        </w:rPr>
        <w:t xml:space="preserve">[educ_uoe_enra04] </w:t>
      </w:r>
      <w:hyperlink r:id="rId32" w:history="1">
        <w:r w:rsidRPr="004A3F3A">
          <w:rPr>
            <w:rStyle w:val="Hyperlink"/>
          </w:rPr>
          <w:t>https://appsso.eurostat.ec.europa.eu/nui/show.do?dataset=educ_uoe_enra04&amp;lang=en</w:t>
        </w:r>
      </w:hyperlink>
    </w:p>
    <w:p w14:paraId="130D9C32" w14:textId="77777777" w:rsidR="00337733" w:rsidRPr="004A3F3A" w:rsidRDefault="00337733" w:rsidP="00337733">
      <w:pPr>
        <w:pStyle w:val="ListParagraph"/>
        <w:numPr>
          <w:ilvl w:val="0"/>
          <w:numId w:val="7"/>
        </w:numPr>
        <w:shd w:val="clear" w:color="auto" w:fill="FCFCFC"/>
        <w:ind w:left="360"/>
      </w:pPr>
      <w:r w:rsidRPr="000F67F6">
        <w:rPr>
          <w:bCs/>
          <w:color w:val="000000"/>
        </w:rPr>
        <w:t xml:space="preserve">Edper (2022) Classroom teachers working full-time and part-time in primary, lower-secondary and upper-secondary education - as % of total active population[educ_uoe_perp03] </w:t>
      </w:r>
      <w:hyperlink r:id="rId33" w:history="1">
        <w:r w:rsidRPr="004A3F3A">
          <w:rPr>
            <w:rStyle w:val="Hyperlink"/>
          </w:rPr>
          <w:t>https://appsso.eurostat.ec.europa.eu/nui/show.do?dataset=educ_uoe_perp03&amp;lang=en</w:t>
        </w:r>
      </w:hyperlink>
    </w:p>
    <w:p w14:paraId="0C2DEC2E" w14:textId="77777777" w:rsidR="00337733" w:rsidRPr="000F67F6" w:rsidRDefault="00337733" w:rsidP="00337733">
      <w:pPr>
        <w:pStyle w:val="ListParagraph"/>
        <w:numPr>
          <w:ilvl w:val="0"/>
          <w:numId w:val="7"/>
        </w:numPr>
        <w:ind w:left="360"/>
        <w:jc w:val="both"/>
      </w:pPr>
      <w:r w:rsidRPr="000F67F6">
        <w:rPr>
          <w:rStyle w:val="leftside"/>
          <w:bCs/>
          <w:color w:val="000000"/>
          <w:shd w:val="clear" w:color="auto" w:fill="FCFCFC"/>
        </w:rPr>
        <w:t>Eugdp  (2020) Gross domestic product (GDP) at current market prices by NUTS 2 regions</w:t>
      </w:r>
      <w:r w:rsidRPr="000F67F6">
        <w:rPr>
          <w:rStyle w:val="rightside"/>
          <w:bCs/>
          <w:color w:val="000000"/>
          <w:shd w:val="clear" w:color="auto" w:fill="FCFCFC"/>
        </w:rPr>
        <w:t xml:space="preserve">[nama_10r_2gdp] </w:t>
      </w:r>
      <w:hyperlink r:id="rId34" w:history="1">
        <w:r w:rsidRPr="004A3F3A">
          <w:rPr>
            <w:rStyle w:val="Hyperlink"/>
          </w:rPr>
          <w:t>https://appsso.eurostat.ec.europa.eu/nui/submitViewTableAction.do</w:t>
        </w:r>
      </w:hyperlink>
    </w:p>
    <w:p w14:paraId="58CA5529" w14:textId="77777777" w:rsidR="00337733" w:rsidRPr="000F67F6" w:rsidRDefault="00337733" w:rsidP="00337733">
      <w:pPr>
        <w:pStyle w:val="ListParagraph"/>
        <w:numPr>
          <w:ilvl w:val="0"/>
          <w:numId w:val="7"/>
        </w:numPr>
        <w:ind w:left="360"/>
        <w:jc w:val="both"/>
        <w:rPr>
          <w:rFonts w:eastAsia="Calibri"/>
        </w:rPr>
      </w:pPr>
      <w:r w:rsidRPr="000F67F6">
        <w:rPr>
          <w:rFonts w:eastAsia="Calibri"/>
        </w:rPr>
        <w:t>Eurostat, 2022</w:t>
      </w:r>
    </w:p>
    <w:p w14:paraId="6531E56D" w14:textId="77777777" w:rsidR="00337733" w:rsidRPr="000F67F6" w:rsidRDefault="00337733" w:rsidP="00337733">
      <w:pPr>
        <w:pStyle w:val="ListParagraph"/>
        <w:numPr>
          <w:ilvl w:val="0"/>
          <w:numId w:val="7"/>
        </w:numPr>
        <w:ind w:left="360"/>
        <w:jc w:val="both"/>
        <w:rPr>
          <w:rStyle w:val="leftside"/>
          <w:bCs/>
          <w:color w:val="000000"/>
          <w:shd w:val="clear" w:color="auto" w:fill="FCFCFC"/>
        </w:rPr>
      </w:pPr>
      <w:r w:rsidRPr="004A3F3A">
        <w:t>Gogonea R.M., Zaharia M.</w:t>
      </w:r>
      <w:r w:rsidRPr="000F67F6">
        <w:rPr>
          <w:rStyle w:val="leftside"/>
          <w:bCs/>
          <w:color w:val="000000"/>
          <w:shd w:val="clear" w:color="auto" w:fill="FCFCFC"/>
        </w:rPr>
        <w:t xml:space="preserve">(2008) </w:t>
      </w:r>
      <w:r w:rsidRPr="000F67F6">
        <w:rPr>
          <w:rStyle w:val="leftside"/>
          <w:bCs/>
          <w:i/>
          <w:color w:val="000000"/>
          <w:shd w:val="clear" w:color="auto" w:fill="FCFCFC"/>
        </w:rPr>
        <w:t>Econometrie cu aplicații în comerț-turism-servicii</w:t>
      </w:r>
      <w:r w:rsidRPr="000F67F6">
        <w:rPr>
          <w:rStyle w:val="leftside"/>
          <w:bCs/>
          <w:color w:val="000000"/>
          <w:shd w:val="clear" w:color="auto" w:fill="FCFCFC"/>
        </w:rPr>
        <w:t>, Editura Universitară, București</w:t>
      </w:r>
    </w:p>
    <w:p w14:paraId="463B7724" w14:textId="77777777" w:rsidR="00337733" w:rsidRPr="000F67F6" w:rsidRDefault="00337733" w:rsidP="00337733">
      <w:pPr>
        <w:pStyle w:val="ListParagraph"/>
        <w:numPr>
          <w:ilvl w:val="0"/>
          <w:numId w:val="7"/>
        </w:numPr>
        <w:ind w:left="360"/>
        <w:jc w:val="both"/>
        <w:rPr>
          <w:color w:val="000000"/>
          <w:shd w:val="clear" w:color="auto" w:fill="FFFFFF"/>
        </w:rPr>
      </w:pPr>
      <w:r w:rsidRPr="000F67F6">
        <w:rPr>
          <w:color w:val="000000"/>
          <w:shd w:val="clear" w:color="auto" w:fill="FFFFFF"/>
        </w:rPr>
        <w:t>Hapenciuc, C. V. and Neamtu, D. M., (2016), </w:t>
      </w:r>
      <w:r w:rsidRPr="000F67F6">
        <w:rPr>
          <w:shd w:val="clear" w:color="auto" w:fill="FFFFFF"/>
        </w:rPr>
        <w:t>Comparative Analysis of the Geographical Disparities Regarding the Level of Education of the Population and the Level of Economic Development in Romania and in the Regional Profile</w:t>
      </w:r>
      <w:r w:rsidRPr="000F67F6">
        <w:rPr>
          <w:color w:val="000000"/>
          <w:shd w:val="clear" w:color="auto" w:fill="FFFFFF"/>
        </w:rPr>
        <w:t>, </w:t>
      </w:r>
      <w:r w:rsidRPr="000F67F6">
        <w:rPr>
          <w:i/>
          <w:iCs/>
          <w:color w:val="000000"/>
          <w:shd w:val="clear" w:color="auto" w:fill="FFFFFF"/>
        </w:rPr>
        <w:t>EcoForum</w:t>
      </w:r>
      <w:r w:rsidRPr="000F67F6">
        <w:rPr>
          <w:color w:val="000000"/>
          <w:shd w:val="clear" w:color="auto" w:fill="FFFFFF"/>
        </w:rPr>
        <w:t>, </w:t>
      </w:r>
      <w:r w:rsidRPr="000F67F6">
        <w:rPr>
          <w:b/>
          <w:bCs/>
          <w:color w:val="000000"/>
          <w:shd w:val="clear" w:color="auto" w:fill="FFFFFF"/>
        </w:rPr>
        <w:t>5</w:t>
      </w:r>
      <w:r w:rsidRPr="000F67F6">
        <w:rPr>
          <w:color w:val="000000"/>
          <w:shd w:val="clear" w:color="auto" w:fill="FFFFFF"/>
        </w:rPr>
        <w:t>, issue 2.</w:t>
      </w:r>
    </w:p>
    <w:p w14:paraId="7256732C" w14:textId="77777777" w:rsidR="00337733" w:rsidRPr="000F67F6" w:rsidRDefault="00337733" w:rsidP="00337733">
      <w:pPr>
        <w:pStyle w:val="ListParagraph"/>
        <w:numPr>
          <w:ilvl w:val="0"/>
          <w:numId w:val="7"/>
        </w:numPr>
        <w:ind w:left="360"/>
        <w:jc w:val="both"/>
        <w:rPr>
          <w:color w:val="000000"/>
          <w:shd w:val="clear" w:color="auto" w:fill="FFFFFF"/>
        </w:rPr>
      </w:pPr>
      <w:r w:rsidRPr="000F67F6">
        <w:rPr>
          <w:color w:val="000000"/>
          <w:shd w:val="clear" w:color="auto" w:fill="FFFFFF"/>
        </w:rPr>
        <w:t>Rabigan, T. and Manea, C., (2019), </w:t>
      </w:r>
      <w:r w:rsidRPr="000F67F6">
        <w:rPr>
          <w:shd w:val="clear" w:color="auto" w:fill="FFFFFF"/>
        </w:rPr>
        <w:t>Quality Education within the Scope Sustainable Development in the Context of Globalization. A Case Study of Primary Education in Eastern Europe and Central Asia: The Case of Romania</w:t>
      </w:r>
      <w:r w:rsidRPr="000F67F6">
        <w:rPr>
          <w:color w:val="000000"/>
          <w:shd w:val="clear" w:color="auto" w:fill="FFFFFF"/>
        </w:rPr>
        <w:t>, </w:t>
      </w:r>
      <w:r w:rsidRPr="000F67F6">
        <w:rPr>
          <w:i/>
          <w:iCs/>
          <w:color w:val="000000"/>
          <w:shd w:val="clear" w:color="auto" w:fill="FFFFFF"/>
        </w:rPr>
        <w:t>Logos Universalitate Mentalitate Educatie Noutate - Sectiunea Stiinte Sociale/ Logos Universality Mentality Education Novelty - Section: Social Sciences</w:t>
      </w:r>
      <w:r w:rsidRPr="000F67F6">
        <w:rPr>
          <w:color w:val="000000"/>
          <w:shd w:val="clear" w:color="auto" w:fill="FFFFFF"/>
        </w:rPr>
        <w:t>, </w:t>
      </w:r>
      <w:r w:rsidRPr="000F67F6">
        <w:rPr>
          <w:b/>
          <w:bCs/>
          <w:color w:val="000000"/>
          <w:shd w:val="clear" w:color="auto" w:fill="FFFFFF"/>
        </w:rPr>
        <w:t>8</w:t>
      </w:r>
      <w:r w:rsidRPr="000F67F6">
        <w:rPr>
          <w:color w:val="000000"/>
          <w:shd w:val="clear" w:color="auto" w:fill="FFFFFF"/>
        </w:rPr>
        <w:t>, issue 1, p. 61-69.</w:t>
      </w:r>
    </w:p>
    <w:p w14:paraId="798D49AE" w14:textId="77777777" w:rsidR="00337733" w:rsidRPr="000F67F6" w:rsidRDefault="00337733" w:rsidP="00337733">
      <w:pPr>
        <w:pStyle w:val="ListParagraph"/>
        <w:numPr>
          <w:ilvl w:val="0"/>
          <w:numId w:val="7"/>
        </w:numPr>
        <w:ind w:left="360"/>
        <w:jc w:val="both"/>
      </w:pPr>
      <w:r w:rsidRPr="000F67F6">
        <w:t xml:space="preserve">Rotaru T. (ed.), Badescu G., Culic I., Mezei E. &amp; Mureșan C. (2006) </w:t>
      </w:r>
      <w:r w:rsidRPr="000F67F6">
        <w:rPr>
          <w:i/>
        </w:rPr>
        <w:t>Metode statistice aplicate în științele sociale</w:t>
      </w:r>
      <w:r w:rsidRPr="000F67F6">
        <w:t>, Ed. Polirom, Iași,</w:t>
      </w:r>
    </w:p>
    <w:p w14:paraId="3C508B3A" w14:textId="77777777" w:rsidR="00337733" w:rsidRPr="000F67F6" w:rsidRDefault="00337733" w:rsidP="00337733">
      <w:pPr>
        <w:pStyle w:val="ListParagraph"/>
        <w:numPr>
          <w:ilvl w:val="0"/>
          <w:numId w:val="7"/>
        </w:numPr>
        <w:ind w:left="360"/>
        <w:jc w:val="both"/>
        <w:rPr>
          <w:rStyle w:val="leftside"/>
          <w:bCs/>
          <w:color w:val="000000"/>
          <w:shd w:val="clear" w:color="auto" w:fill="FCFCFC"/>
        </w:rPr>
      </w:pPr>
      <w:r w:rsidRPr="000F67F6">
        <w:rPr>
          <w:color w:val="000000"/>
          <w:shd w:val="clear" w:color="auto" w:fill="FFFFFF"/>
        </w:rPr>
        <w:t>Silva A., W., P., Araújo L., C., Ana L., Santos H., C., C., Neto, A., R., Veiga C., Ahiram B., C. and El-Aouar W., A. (2020), </w:t>
      </w:r>
      <w:r w:rsidRPr="000F67F6">
        <w:rPr>
          <w:shd w:val="clear" w:color="auto" w:fill="FFFFFF"/>
        </w:rPr>
        <w:t>Education principles and practises turned to sustainability in primary school</w:t>
      </w:r>
      <w:r w:rsidRPr="000F67F6">
        <w:rPr>
          <w:color w:val="000000"/>
          <w:shd w:val="clear" w:color="auto" w:fill="FFFFFF"/>
        </w:rPr>
        <w:t>, </w:t>
      </w:r>
      <w:r w:rsidRPr="000F67F6">
        <w:rPr>
          <w:i/>
          <w:iCs/>
          <w:color w:val="000000"/>
          <w:shd w:val="clear" w:color="auto" w:fill="FFFFFF"/>
        </w:rPr>
        <w:t>Environment, Development and Sustainability: A Multidisciplinary Approach to the Theory and Practice of Sustainable Development</w:t>
      </w:r>
      <w:r w:rsidRPr="000F67F6">
        <w:rPr>
          <w:color w:val="000000"/>
          <w:shd w:val="clear" w:color="auto" w:fill="FFFFFF"/>
        </w:rPr>
        <w:t>, </w:t>
      </w:r>
      <w:r w:rsidRPr="000F67F6">
        <w:rPr>
          <w:b/>
          <w:bCs/>
          <w:color w:val="000000"/>
          <w:shd w:val="clear" w:color="auto" w:fill="FFFFFF"/>
        </w:rPr>
        <w:t>22</w:t>
      </w:r>
      <w:r w:rsidRPr="000F67F6">
        <w:rPr>
          <w:color w:val="000000"/>
          <w:shd w:val="clear" w:color="auto" w:fill="FFFFFF"/>
        </w:rPr>
        <w:t>, issue 7, p. 6645-6670</w:t>
      </w:r>
    </w:p>
    <w:p w14:paraId="78FA0303" w14:textId="77777777" w:rsidR="00337733" w:rsidRDefault="00337733" w:rsidP="00337733">
      <w:pPr>
        <w:pStyle w:val="ListParagraph"/>
        <w:numPr>
          <w:ilvl w:val="0"/>
          <w:numId w:val="7"/>
        </w:numPr>
        <w:ind w:left="360"/>
        <w:jc w:val="both"/>
        <w:rPr>
          <w:color w:val="000000"/>
          <w:shd w:val="clear" w:color="auto" w:fill="FFFFFF"/>
        </w:rPr>
      </w:pPr>
      <w:r w:rsidRPr="000F67F6">
        <w:rPr>
          <w:color w:val="000000"/>
          <w:shd w:val="clear" w:color="auto" w:fill="FFFFFF"/>
        </w:rPr>
        <w:t>Szeles, M. R., Anton, C., Baba, M., Busuioceanu, S., Litră, A. and Suciu, T., (2019), </w:t>
      </w:r>
      <w:r w:rsidRPr="000F67F6">
        <w:rPr>
          <w:shd w:val="clear" w:color="auto" w:fill="FFFFFF"/>
        </w:rPr>
        <w:t>Explaining The EU Regional Economic Growth upon Regional- and Country- Level Achievements in Education</w:t>
      </w:r>
      <w:r w:rsidRPr="000F67F6">
        <w:rPr>
          <w:color w:val="000000"/>
          <w:shd w:val="clear" w:color="auto" w:fill="FFFFFF"/>
        </w:rPr>
        <w:t>, </w:t>
      </w:r>
      <w:r w:rsidRPr="000F67F6">
        <w:rPr>
          <w:i/>
          <w:iCs/>
          <w:color w:val="000000"/>
          <w:shd w:val="clear" w:color="auto" w:fill="FFFFFF"/>
        </w:rPr>
        <w:t>Journal for Economic Forecasting</w:t>
      </w:r>
      <w:r w:rsidRPr="000F67F6">
        <w:rPr>
          <w:color w:val="000000"/>
          <w:shd w:val="clear" w:color="auto" w:fill="FFFFFF"/>
        </w:rPr>
        <w:t>, issue 1, p. 143-157.</w:t>
      </w:r>
    </w:p>
    <w:p w14:paraId="2A528D37" w14:textId="77777777" w:rsidR="00337733" w:rsidRPr="000F67F6" w:rsidRDefault="00337733" w:rsidP="00337733">
      <w:pPr>
        <w:pStyle w:val="ListParagraph"/>
        <w:numPr>
          <w:ilvl w:val="0"/>
          <w:numId w:val="7"/>
        </w:numPr>
        <w:ind w:left="360"/>
        <w:jc w:val="both"/>
        <w:rPr>
          <w:color w:val="000000"/>
          <w:shd w:val="clear" w:color="auto" w:fill="FFFFFF"/>
        </w:rPr>
      </w:pPr>
      <w:r w:rsidRPr="00885041">
        <w:rPr>
          <w:color w:val="000000"/>
          <w:shd w:val="clear" w:color="auto" w:fill="FFFFFF"/>
        </w:rPr>
        <w:t>Yuvaraj, N. and Arabi, U, (2021), </w:t>
      </w:r>
      <w:r w:rsidRPr="00885041">
        <w:rPr>
          <w:shd w:val="clear" w:color="auto" w:fill="FFFFFF"/>
        </w:rPr>
        <w:t>Determinants of Household Expenditure on Primary Education</w:t>
      </w:r>
      <w:r w:rsidRPr="00885041">
        <w:rPr>
          <w:color w:val="000000"/>
          <w:shd w:val="clear" w:color="auto" w:fill="FFFFFF"/>
        </w:rPr>
        <w:t>, </w:t>
      </w:r>
      <w:r w:rsidRPr="00885041">
        <w:rPr>
          <w:i/>
          <w:iCs/>
          <w:color w:val="000000"/>
          <w:shd w:val="clear" w:color="auto" w:fill="FFFFFF"/>
        </w:rPr>
        <w:t>Shanlax International Journal of Economics</w:t>
      </w:r>
      <w:r w:rsidRPr="00885041">
        <w:rPr>
          <w:color w:val="000000"/>
          <w:shd w:val="clear" w:color="auto" w:fill="FFFFFF"/>
        </w:rPr>
        <w:t>, </w:t>
      </w:r>
      <w:r w:rsidRPr="00885041">
        <w:rPr>
          <w:b/>
          <w:bCs/>
          <w:color w:val="000000"/>
          <w:shd w:val="clear" w:color="auto" w:fill="FFFFFF"/>
        </w:rPr>
        <w:t>9</w:t>
      </w:r>
      <w:r w:rsidRPr="00885041">
        <w:rPr>
          <w:color w:val="000000"/>
          <w:shd w:val="clear" w:color="auto" w:fill="FFFFFF"/>
        </w:rPr>
        <w:t>, issue 3, p. 10-14.</w:t>
      </w:r>
    </w:p>
    <w:p w14:paraId="3C004C06" w14:textId="77777777" w:rsidR="00337733" w:rsidRPr="000F67F6" w:rsidRDefault="00337733" w:rsidP="00337733">
      <w:pPr>
        <w:pStyle w:val="ListParagraph"/>
        <w:numPr>
          <w:ilvl w:val="0"/>
          <w:numId w:val="7"/>
        </w:numPr>
        <w:ind w:left="360"/>
        <w:jc w:val="both"/>
        <w:rPr>
          <w:rFonts w:eastAsia="Calibri"/>
        </w:rPr>
      </w:pPr>
      <w:r w:rsidRPr="004A3F3A">
        <w:lastRenderedPageBreak/>
        <w:t>Zaharia M., Bălăcescu, A., Păunescu, L.,</w:t>
      </w:r>
      <w:r w:rsidRPr="000F67F6">
        <w:rPr>
          <w:rFonts w:eastAsia="Calibri"/>
        </w:rPr>
        <w:t xml:space="preserve"> Halil Ibrahim Aydin </w:t>
      </w:r>
      <w:r w:rsidRPr="004A3F3A">
        <w:t xml:space="preserve">(2022) </w:t>
      </w:r>
      <w:r w:rsidRPr="000F67F6">
        <w:rPr>
          <w:rFonts w:eastAsia="Calibri"/>
        </w:rPr>
        <w:t xml:space="preserve">Tertiary Education in Europe.What is Romania's place? </w:t>
      </w:r>
      <w:r w:rsidRPr="000F67F6">
        <w:rPr>
          <w:rFonts w:eastAsia="Calibri"/>
          <w:i/>
        </w:rPr>
        <w:t>Valahian Journal of Economic Studies</w:t>
      </w:r>
      <w:r w:rsidRPr="000F67F6">
        <w:rPr>
          <w:rFonts w:eastAsia="Calibri"/>
        </w:rPr>
        <w:t>. Volume 13(27) Issue 1/2022.</w:t>
      </w:r>
    </w:p>
    <w:p w14:paraId="73A28D3F" w14:textId="512FBD23" w:rsidR="00E40F24" w:rsidRPr="00D4125B" w:rsidRDefault="00E40F24" w:rsidP="00337733">
      <w:pPr>
        <w:ind w:firstLine="720"/>
        <w:jc w:val="both"/>
        <w:rPr>
          <w:color w:val="FF0000"/>
        </w:rPr>
      </w:pPr>
    </w:p>
    <w:sectPr w:rsidR="00E40F24" w:rsidRPr="00D4125B" w:rsidSect="00FA6E58">
      <w:pgSz w:w="11907" w:h="16839"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16599" w14:textId="77777777" w:rsidR="00E03DEB" w:rsidRDefault="00E03DEB" w:rsidP="008A7431">
      <w:r>
        <w:separator/>
      </w:r>
    </w:p>
  </w:endnote>
  <w:endnote w:type="continuationSeparator" w:id="0">
    <w:p w14:paraId="264B07D6" w14:textId="77777777" w:rsidR="00E03DEB" w:rsidRDefault="00E03DEB" w:rsidP="008A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2B5CB" w14:textId="77777777" w:rsidR="00E03DEB" w:rsidRDefault="00E03DEB" w:rsidP="008A7431">
      <w:r>
        <w:separator/>
      </w:r>
    </w:p>
  </w:footnote>
  <w:footnote w:type="continuationSeparator" w:id="0">
    <w:p w14:paraId="62E292FE" w14:textId="77777777" w:rsidR="00E03DEB" w:rsidRDefault="00E03DEB" w:rsidP="008A7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203"/>
    <w:multiLevelType w:val="hybridMultilevel"/>
    <w:tmpl w:val="67F210D6"/>
    <w:lvl w:ilvl="0" w:tplc="3112D6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949D1"/>
    <w:multiLevelType w:val="hybridMultilevel"/>
    <w:tmpl w:val="1868991E"/>
    <w:lvl w:ilvl="0" w:tplc="3112D6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AF6388"/>
    <w:multiLevelType w:val="multilevel"/>
    <w:tmpl w:val="502C15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6A9554C"/>
    <w:multiLevelType w:val="hybridMultilevel"/>
    <w:tmpl w:val="9A0E9DEA"/>
    <w:lvl w:ilvl="0" w:tplc="3112D6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855A1F"/>
    <w:multiLevelType w:val="hybridMultilevel"/>
    <w:tmpl w:val="D742B90E"/>
    <w:lvl w:ilvl="0" w:tplc="CD9C8A4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71097"/>
    <w:multiLevelType w:val="hybridMultilevel"/>
    <w:tmpl w:val="C3DC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6208FF"/>
    <w:multiLevelType w:val="hybridMultilevel"/>
    <w:tmpl w:val="A274C9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AA"/>
    <w:rsid w:val="000142D0"/>
    <w:rsid w:val="00015CD6"/>
    <w:rsid w:val="0003031D"/>
    <w:rsid w:val="00030D4F"/>
    <w:rsid w:val="000373B3"/>
    <w:rsid w:val="00045330"/>
    <w:rsid w:val="00050D0D"/>
    <w:rsid w:val="0005703F"/>
    <w:rsid w:val="0006591F"/>
    <w:rsid w:val="00071C24"/>
    <w:rsid w:val="00072072"/>
    <w:rsid w:val="000769DA"/>
    <w:rsid w:val="000A01FD"/>
    <w:rsid w:val="000A0CA9"/>
    <w:rsid w:val="000B19CD"/>
    <w:rsid w:val="000D01FB"/>
    <w:rsid w:val="000E24C5"/>
    <w:rsid w:val="000E54A1"/>
    <w:rsid w:val="000F4CE7"/>
    <w:rsid w:val="001255AB"/>
    <w:rsid w:val="00127F33"/>
    <w:rsid w:val="00133749"/>
    <w:rsid w:val="00144B13"/>
    <w:rsid w:val="00147AF2"/>
    <w:rsid w:val="00154990"/>
    <w:rsid w:val="00177E34"/>
    <w:rsid w:val="00180049"/>
    <w:rsid w:val="00192DA3"/>
    <w:rsid w:val="00194CD4"/>
    <w:rsid w:val="001A351B"/>
    <w:rsid w:val="001B2138"/>
    <w:rsid w:val="001E0698"/>
    <w:rsid w:val="00205248"/>
    <w:rsid w:val="00230F91"/>
    <w:rsid w:val="00233403"/>
    <w:rsid w:val="002435D7"/>
    <w:rsid w:val="00285CFE"/>
    <w:rsid w:val="00286056"/>
    <w:rsid w:val="002B7D63"/>
    <w:rsid w:val="002D36B6"/>
    <w:rsid w:val="002E3EC3"/>
    <w:rsid w:val="003031BA"/>
    <w:rsid w:val="003058D8"/>
    <w:rsid w:val="00315617"/>
    <w:rsid w:val="00320774"/>
    <w:rsid w:val="003335F7"/>
    <w:rsid w:val="00337733"/>
    <w:rsid w:val="00346843"/>
    <w:rsid w:val="00347437"/>
    <w:rsid w:val="0034799C"/>
    <w:rsid w:val="0036138D"/>
    <w:rsid w:val="003A41D1"/>
    <w:rsid w:val="003B1E9D"/>
    <w:rsid w:val="003B7111"/>
    <w:rsid w:val="003D6E5D"/>
    <w:rsid w:val="00403ED0"/>
    <w:rsid w:val="00410D96"/>
    <w:rsid w:val="00412D8F"/>
    <w:rsid w:val="0041738F"/>
    <w:rsid w:val="00430600"/>
    <w:rsid w:val="00437991"/>
    <w:rsid w:val="00442B54"/>
    <w:rsid w:val="0046478C"/>
    <w:rsid w:val="00467A30"/>
    <w:rsid w:val="0048108F"/>
    <w:rsid w:val="00491D16"/>
    <w:rsid w:val="004A2C97"/>
    <w:rsid w:val="004A527C"/>
    <w:rsid w:val="004B6BE5"/>
    <w:rsid w:val="004C6E43"/>
    <w:rsid w:val="004D3C63"/>
    <w:rsid w:val="0050341E"/>
    <w:rsid w:val="00517964"/>
    <w:rsid w:val="00531341"/>
    <w:rsid w:val="005328EC"/>
    <w:rsid w:val="00533DDB"/>
    <w:rsid w:val="00544497"/>
    <w:rsid w:val="00544F5B"/>
    <w:rsid w:val="00557A4F"/>
    <w:rsid w:val="00560C2A"/>
    <w:rsid w:val="005704B8"/>
    <w:rsid w:val="00571432"/>
    <w:rsid w:val="005C079E"/>
    <w:rsid w:val="005D264D"/>
    <w:rsid w:val="005E38BA"/>
    <w:rsid w:val="00633A6B"/>
    <w:rsid w:val="006468DD"/>
    <w:rsid w:val="0065464A"/>
    <w:rsid w:val="00656195"/>
    <w:rsid w:val="006A44F0"/>
    <w:rsid w:val="006B2C43"/>
    <w:rsid w:val="006F0361"/>
    <w:rsid w:val="00714DEF"/>
    <w:rsid w:val="00733D2B"/>
    <w:rsid w:val="0073719E"/>
    <w:rsid w:val="00737507"/>
    <w:rsid w:val="0074115A"/>
    <w:rsid w:val="0075449D"/>
    <w:rsid w:val="00777A97"/>
    <w:rsid w:val="007A100D"/>
    <w:rsid w:val="007D2EEB"/>
    <w:rsid w:val="008031E4"/>
    <w:rsid w:val="00830BC6"/>
    <w:rsid w:val="00867548"/>
    <w:rsid w:val="00874C20"/>
    <w:rsid w:val="00885C7C"/>
    <w:rsid w:val="008A50AA"/>
    <w:rsid w:val="008A7431"/>
    <w:rsid w:val="008B2EC5"/>
    <w:rsid w:val="008B361B"/>
    <w:rsid w:val="008F6B32"/>
    <w:rsid w:val="00906308"/>
    <w:rsid w:val="00907450"/>
    <w:rsid w:val="0091490A"/>
    <w:rsid w:val="0092619F"/>
    <w:rsid w:val="009451C8"/>
    <w:rsid w:val="00975041"/>
    <w:rsid w:val="00976D24"/>
    <w:rsid w:val="00977CF6"/>
    <w:rsid w:val="009812D6"/>
    <w:rsid w:val="009814DD"/>
    <w:rsid w:val="00987CCC"/>
    <w:rsid w:val="009A6266"/>
    <w:rsid w:val="009C4B13"/>
    <w:rsid w:val="009D5B40"/>
    <w:rsid w:val="00A015D8"/>
    <w:rsid w:val="00A469E9"/>
    <w:rsid w:val="00A90CAF"/>
    <w:rsid w:val="00AA101C"/>
    <w:rsid w:val="00AC0724"/>
    <w:rsid w:val="00AD2CA5"/>
    <w:rsid w:val="00B10574"/>
    <w:rsid w:val="00B11E28"/>
    <w:rsid w:val="00B13E88"/>
    <w:rsid w:val="00B32F34"/>
    <w:rsid w:val="00B645F2"/>
    <w:rsid w:val="00B64B57"/>
    <w:rsid w:val="00B772E4"/>
    <w:rsid w:val="00B8195E"/>
    <w:rsid w:val="00B950F0"/>
    <w:rsid w:val="00C023DB"/>
    <w:rsid w:val="00C0519F"/>
    <w:rsid w:val="00C17D8F"/>
    <w:rsid w:val="00C17E36"/>
    <w:rsid w:val="00C550C8"/>
    <w:rsid w:val="00C94232"/>
    <w:rsid w:val="00CE44B3"/>
    <w:rsid w:val="00D1323D"/>
    <w:rsid w:val="00D167B2"/>
    <w:rsid w:val="00D230F1"/>
    <w:rsid w:val="00D25648"/>
    <w:rsid w:val="00D4125B"/>
    <w:rsid w:val="00D542AF"/>
    <w:rsid w:val="00D5772D"/>
    <w:rsid w:val="00D61660"/>
    <w:rsid w:val="00D919ED"/>
    <w:rsid w:val="00DA1DA0"/>
    <w:rsid w:val="00DA1FF0"/>
    <w:rsid w:val="00DA5B5F"/>
    <w:rsid w:val="00DB1117"/>
    <w:rsid w:val="00DC040D"/>
    <w:rsid w:val="00DC6222"/>
    <w:rsid w:val="00DC666C"/>
    <w:rsid w:val="00DD0D7B"/>
    <w:rsid w:val="00DD5381"/>
    <w:rsid w:val="00DE661A"/>
    <w:rsid w:val="00DF0C85"/>
    <w:rsid w:val="00E03DEB"/>
    <w:rsid w:val="00E40F24"/>
    <w:rsid w:val="00E4329E"/>
    <w:rsid w:val="00E51105"/>
    <w:rsid w:val="00E5535C"/>
    <w:rsid w:val="00E61A47"/>
    <w:rsid w:val="00E66877"/>
    <w:rsid w:val="00E74BB3"/>
    <w:rsid w:val="00E763A0"/>
    <w:rsid w:val="00E87DE5"/>
    <w:rsid w:val="00E90227"/>
    <w:rsid w:val="00E97647"/>
    <w:rsid w:val="00EB25FB"/>
    <w:rsid w:val="00EE7B3A"/>
    <w:rsid w:val="00F07184"/>
    <w:rsid w:val="00F20D07"/>
    <w:rsid w:val="00F31635"/>
    <w:rsid w:val="00F31EC3"/>
    <w:rsid w:val="00F33D9B"/>
    <w:rsid w:val="00F53421"/>
    <w:rsid w:val="00F70500"/>
    <w:rsid w:val="00F80E79"/>
    <w:rsid w:val="00FA6E58"/>
    <w:rsid w:val="00FD3379"/>
    <w:rsid w:val="00FF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DC4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DA1FF0"/>
    <w:pPr>
      <w:spacing w:after="200" w:line="276" w:lineRule="auto"/>
      <w:ind w:left="720"/>
      <w:contextualSpacing/>
    </w:pPr>
    <w:rPr>
      <w:lang w:val="ro-RO"/>
    </w:rPr>
  </w:style>
  <w:style w:type="table" w:styleId="TableGrid">
    <w:name w:val="Table Grid"/>
    <w:basedOn w:val="TableNormal"/>
    <w:uiPriority w:val="59"/>
    <w:rsid w:val="00DA1FF0"/>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uiPriority w:val="99"/>
    <w:semiHidden/>
    <w:unhideWhenUsed/>
    <w:rsid w:val="00DA1FF0"/>
    <w:rPr>
      <w:rFonts w:ascii="Tahoma" w:hAnsi="Tahoma" w:cs="Tahoma"/>
      <w:sz w:val="16"/>
      <w:szCs w:val="16"/>
    </w:rPr>
  </w:style>
  <w:style w:type="character" w:customStyle="1" w:styleId="BalloonTextChar">
    <w:name w:val="Balloon Text Char"/>
    <w:basedOn w:val="DefaultParagraphFont"/>
    <w:link w:val="BalloonText"/>
    <w:uiPriority w:val="99"/>
    <w:semiHidden/>
    <w:rsid w:val="00DA1FF0"/>
    <w:rPr>
      <w:rFonts w:ascii="Tahoma" w:eastAsia="Times New Roman" w:hAnsi="Tahoma" w:cs="Tahoma"/>
      <w:sz w:val="16"/>
      <w:szCs w:val="16"/>
    </w:rPr>
  </w:style>
  <w:style w:type="character" w:customStyle="1" w:styleId="leftside">
    <w:name w:val="left_side"/>
    <w:basedOn w:val="DefaultParagraphFont"/>
    <w:rsid w:val="000A0CA9"/>
  </w:style>
  <w:style w:type="character" w:styleId="Hyperlink">
    <w:name w:val="Hyperlink"/>
    <w:basedOn w:val="DefaultParagraphFont"/>
    <w:uiPriority w:val="99"/>
    <w:unhideWhenUsed/>
    <w:rsid w:val="000A0CA9"/>
    <w:rPr>
      <w:color w:val="0000FF"/>
      <w:u w:val="single"/>
    </w:rPr>
  </w:style>
  <w:style w:type="paragraph" w:styleId="FootnoteText">
    <w:name w:val="footnote text"/>
    <w:basedOn w:val="Normal"/>
    <w:link w:val="FootnoteTextChar"/>
    <w:uiPriority w:val="99"/>
    <w:semiHidden/>
    <w:unhideWhenUsed/>
    <w:rsid w:val="008A7431"/>
    <w:rPr>
      <w:sz w:val="20"/>
      <w:szCs w:val="20"/>
    </w:rPr>
  </w:style>
  <w:style w:type="character" w:customStyle="1" w:styleId="FootnoteTextChar">
    <w:name w:val="Footnote Text Char"/>
    <w:basedOn w:val="DefaultParagraphFont"/>
    <w:link w:val="FootnoteText"/>
    <w:uiPriority w:val="99"/>
    <w:semiHidden/>
    <w:rsid w:val="008A74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431"/>
    <w:rPr>
      <w:vertAlign w:val="superscript"/>
    </w:rPr>
  </w:style>
  <w:style w:type="character" w:customStyle="1" w:styleId="rightside">
    <w:name w:val="right_side"/>
    <w:basedOn w:val="DefaultParagraphFont"/>
    <w:rsid w:val="00337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DA1FF0"/>
    <w:pPr>
      <w:spacing w:after="200" w:line="276" w:lineRule="auto"/>
      <w:ind w:left="720"/>
      <w:contextualSpacing/>
    </w:pPr>
    <w:rPr>
      <w:lang w:val="ro-RO"/>
    </w:rPr>
  </w:style>
  <w:style w:type="table" w:styleId="TableGrid">
    <w:name w:val="Table Grid"/>
    <w:basedOn w:val="TableNormal"/>
    <w:uiPriority w:val="59"/>
    <w:rsid w:val="00DA1FF0"/>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alloonText">
    <w:name w:val="Balloon Text"/>
    <w:basedOn w:val="Normal"/>
    <w:link w:val="BalloonTextChar"/>
    <w:uiPriority w:val="99"/>
    <w:semiHidden/>
    <w:unhideWhenUsed/>
    <w:rsid w:val="00DA1FF0"/>
    <w:rPr>
      <w:rFonts w:ascii="Tahoma" w:hAnsi="Tahoma" w:cs="Tahoma"/>
      <w:sz w:val="16"/>
      <w:szCs w:val="16"/>
    </w:rPr>
  </w:style>
  <w:style w:type="character" w:customStyle="1" w:styleId="BalloonTextChar">
    <w:name w:val="Balloon Text Char"/>
    <w:basedOn w:val="DefaultParagraphFont"/>
    <w:link w:val="BalloonText"/>
    <w:uiPriority w:val="99"/>
    <w:semiHidden/>
    <w:rsid w:val="00DA1FF0"/>
    <w:rPr>
      <w:rFonts w:ascii="Tahoma" w:eastAsia="Times New Roman" w:hAnsi="Tahoma" w:cs="Tahoma"/>
      <w:sz w:val="16"/>
      <w:szCs w:val="16"/>
    </w:rPr>
  </w:style>
  <w:style w:type="character" w:customStyle="1" w:styleId="leftside">
    <w:name w:val="left_side"/>
    <w:basedOn w:val="DefaultParagraphFont"/>
    <w:rsid w:val="000A0CA9"/>
  </w:style>
  <w:style w:type="character" w:styleId="Hyperlink">
    <w:name w:val="Hyperlink"/>
    <w:basedOn w:val="DefaultParagraphFont"/>
    <w:uiPriority w:val="99"/>
    <w:unhideWhenUsed/>
    <w:rsid w:val="000A0CA9"/>
    <w:rPr>
      <w:color w:val="0000FF"/>
      <w:u w:val="single"/>
    </w:rPr>
  </w:style>
  <w:style w:type="paragraph" w:styleId="FootnoteText">
    <w:name w:val="footnote text"/>
    <w:basedOn w:val="Normal"/>
    <w:link w:val="FootnoteTextChar"/>
    <w:uiPriority w:val="99"/>
    <w:semiHidden/>
    <w:unhideWhenUsed/>
    <w:rsid w:val="008A7431"/>
    <w:rPr>
      <w:sz w:val="20"/>
      <w:szCs w:val="20"/>
    </w:rPr>
  </w:style>
  <w:style w:type="character" w:customStyle="1" w:styleId="FootnoteTextChar">
    <w:name w:val="Footnote Text Char"/>
    <w:basedOn w:val="DefaultParagraphFont"/>
    <w:link w:val="FootnoteText"/>
    <w:uiPriority w:val="99"/>
    <w:semiHidden/>
    <w:rsid w:val="008A74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431"/>
    <w:rPr>
      <w:vertAlign w:val="superscript"/>
    </w:rPr>
  </w:style>
  <w:style w:type="character" w:customStyle="1" w:styleId="rightside">
    <w:name w:val="right_side"/>
    <w:basedOn w:val="DefaultParagraphFont"/>
    <w:rsid w:val="0033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yperlink" Target="https://appsso.eurostat.ec.europa.eu/nui/submitViewTableAction.do"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png"/><Relationship Id="rId33" Type="http://schemas.openxmlformats.org/officeDocument/2006/relationships/hyperlink" Target="https://appsso.eurostat.ec.europa.eu/nui/show.do?dataset=educ_uoe_perp03&amp;lang=en"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hyperlink" Target="https://appsso.eurostat.ec.europa.eu/nui/show.do?dataset=educ_uoe_enra04&amp;lang=en"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hyperlink" Target="mailto:marianzaharia53@gmail.com" TargetMode="External"/><Relationship Id="rId19" Type="http://schemas.openxmlformats.org/officeDocument/2006/relationships/image" Target="media/image5.wmf"/><Relationship Id="rId31" Type="http://schemas.openxmlformats.org/officeDocument/2006/relationships/hyperlink" Target="https://appsso.eurostat.ec.europa.eu/nui/show.do?dataset=educ_uoe_enra23&amp;lang=en" TargetMode="External"/><Relationship Id="rId4" Type="http://schemas.microsoft.com/office/2007/relationships/stylesWithEffects" Target="stylesWithEffects.xml"/><Relationship Id="rId9" Type="http://schemas.openxmlformats.org/officeDocument/2006/relationships/hyperlink" Target="mailto:manuela.gogonea@gmail.com"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hyperlink" Target="https://appsso.eurostat.ec.europa.eu/nui/show.do?dataset=edat_lfse_14&amp;lang=e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4273B97-3F5F-4048-B9FB-B45FD6A2F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2022-04-03T19:47:00Z</cp:lastPrinted>
  <dcterms:created xsi:type="dcterms:W3CDTF">2023-02-28T19:18:00Z</dcterms:created>
  <dcterms:modified xsi:type="dcterms:W3CDTF">2023-02-28T19:18:00Z</dcterms:modified>
</cp:coreProperties>
</file>