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CCC84" w14:textId="293339F8" w:rsidR="009D4F12" w:rsidRDefault="00E34F3E" w:rsidP="00E34F3E">
      <w:pPr>
        <w:spacing w:after="0" w:line="360" w:lineRule="auto"/>
        <w:contextualSpacing/>
        <w:rPr>
          <w:rFonts w:ascii="Times New Roman" w:hAnsi="Times New Roman" w:cs="Times New Roman"/>
          <w:bCs/>
          <w:i/>
          <w:sz w:val="24"/>
        </w:rPr>
      </w:pPr>
      <w:r w:rsidRPr="00E34F3E">
        <w:rPr>
          <w:rFonts w:ascii="Times New Roman" w:hAnsi="Times New Roman" w:cs="Times New Roman"/>
          <w:bCs/>
          <w:i/>
          <w:sz w:val="24"/>
        </w:rPr>
        <w:t>EVOLUȚIA GUVERNANȚEI CORPORATIVE ÎN INDUSTRIA AUTO. STUDIU DE CAZ DAIMLER AG</w:t>
      </w:r>
    </w:p>
    <w:p w14:paraId="2D43AA19" w14:textId="77777777" w:rsidR="00E34F3E" w:rsidRPr="007D0FD9" w:rsidRDefault="00E34F3E" w:rsidP="00E34F3E">
      <w:pPr>
        <w:spacing w:after="0" w:line="360" w:lineRule="auto"/>
        <w:contextualSpacing/>
        <w:rPr>
          <w:rFonts w:ascii="Times New Roman" w:eastAsia="Times New Roman" w:hAnsi="Times New Roman" w:cs="Times New Roman"/>
          <w:b/>
          <w:bCs/>
          <w:color w:val="000000"/>
          <w:sz w:val="24"/>
          <w:szCs w:val="24"/>
        </w:rPr>
      </w:pPr>
      <w:bookmarkStart w:id="0" w:name="_GoBack"/>
      <w:bookmarkEnd w:id="0"/>
    </w:p>
    <w:p w14:paraId="383EE847" w14:textId="77777777" w:rsidR="00B83773" w:rsidRPr="007D0FD9" w:rsidRDefault="00B83773" w:rsidP="00620163">
      <w:pPr>
        <w:spacing w:after="0" w:line="360" w:lineRule="auto"/>
        <w:contextualSpacing/>
        <w:rPr>
          <w:rFonts w:ascii="Times New Roman" w:hAnsi="Times New Roman" w:cs="Times New Roman"/>
          <w:b/>
          <w:bCs/>
          <w:sz w:val="24"/>
          <w:szCs w:val="24"/>
        </w:rPr>
      </w:pPr>
      <w:r w:rsidRPr="007D0FD9">
        <w:rPr>
          <w:rFonts w:ascii="Times New Roman" w:hAnsi="Times New Roman" w:cs="Times New Roman"/>
          <w:b/>
          <w:bCs/>
          <w:sz w:val="24"/>
          <w:szCs w:val="24"/>
        </w:rPr>
        <w:t>Abstract</w:t>
      </w:r>
    </w:p>
    <w:p w14:paraId="3A947363" w14:textId="77777777" w:rsidR="007D0FD9" w:rsidRPr="007D0FD9" w:rsidRDefault="007D0FD9" w:rsidP="007D0FD9">
      <w:pPr>
        <w:spacing w:after="0" w:line="240" w:lineRule="auto"/>
        <w:contextualSpacing/>
        <w:jc w:val="both"/>
        <w:rPr>
          <w:rFonts w:ascii="Times New Roman" w:hAnsi="Times New Roman" w:cs="Times New Roman"/>
          <w:bCs/>
          <w:i/>
          <w:sz w:val="20"/>
          <w:szCs w:val="20"/>
        </w:rPr>
      </w:pPr>
      <w:r w:rsidRPr="007D0FD9">
        <w:rPr>
          <w:rFonts w:ascii="Times New Roman" w:hAnsi="Times New Roman" w:cs="Times New Roman"/>
          <w:bCs/>
          <w:i/>
          <w:sz w:val="20"/>
          <w:szCs w:val="20"/>
        </w:rPr>
        <w:t>Scopul lucrării este de a examina evoluția guvernanței corporative în industria auto.</w:t>
      </w:r>
    </w:p>
    <w:p w14:paraId="6C1B6BB6" w14:textId="77777777" w:rsidR="007D0FD9" w:rsidRPr="007D0FD9" w:rsidRDefault="007D0FD9" w:rsidP="007D0FD9">
      <w:pPr>
        <w:spacing w:after="0" w:line="240" w:lineRule="auto"/>
        <w:contextualSpacing/>
        <w:jc w:val="both"/>
        <w:rPr>
          <w:rFonts w:ascii="Times New Roman" w:hAnsi="Times New Roman" w:cs="Times New Roman"/>
          <w:bCs/>
          <w:i/>
          <w:sz w:val="20"/>
          <w:szCs w:val="20"/>
        </w:rPr>
      </w:pPr>
      <w:r w:rsidRPr="007D0FD9">
        <w:rPr>
          <w:rFonts w:ascii="Times New Roman" w:hAnsi="Times New Roman" w:cs="Times New Roman"/>
          <w:bCs/>
          <w:i/>
          <w:sz w:val="20"/>
          <w:szCs w:val="20"/>
        </w:rPr>
        <w:t xml:space="preserve">Guvernanța corporativă este vitală, deoarece influențează creșterea piețelor financiare și joacă un rol central în performanța corporativă, formarea capitalului și maximizarea valorii acționarilor, precum și în protecția drepturilor investitorilor. Guvernanța corporativă oferă o mai mare asigurare că există un sistem de control eficient în cadrul unei entități, asigurând astfel că activitatea este condusă în interesul acționarilor și al părților interesate. Cazul de studiu este aplicat grupului Daimler, care este unul dintre cei mai mari producători de automobile </w:t>
      </w:r>
      <w:proofErr w:type="spellStart"/>
      <w:r w:rsidRPr="007D0FD9">
        <w:rPr>
          <w:rFonts w:ascii="Times New Roman" w:hAnsi="Times New Roman" w:cs="Times New Roman"/>
          <w:bCs/>
          <w:i/>
          <w:sz w:val="20"/>
          <w:szCs w:val="20"/>
        </w:rPr>
        <w:t>premium</w:t>
      </w:r>
      <w:proofErr w:type="spellEnd"/>
      <w:r w:rsidRPr="007D0FD9">
        <w:rPr>
          <w:rFonts w:ascii="Times New Roman" w:hAnsi="Times New Roman" w:cs="Times New Roman"/>
          <w:bCs/>
          <w:i/>
          <w:sz w:val="20"/>
          <w:szCs w:val="20"/>
        </w:rPr>
        <w:t xml:space="preserve"> și cel mai mare producător mondial de vehicule comerciale cu o anvergură globală. Am identificat că Daimler, ca și alte companii germane, respectă Codul de guvernanță corporativă germană. Prezintă în principal reglementări legale esențiale pentru gestionarea și supravegherea companiilor listate din Germania și conține, sub formă de recomandări și sugestii, standarde recunoscute la nivel internațional și național pentru o guvernare corporativă bună și responsabilă.</w:t>
      </w:r>
    </w:p>
    <w:p w14:paraId="69BEEEF0" w14:textId="2D9B8381" w:rsidR="007D0FD9" w:rsidRPr="007D0FD9" w:rsidRDefault="007D0FD9" w:rsidP="007D0FD9">
      <w:pPr>
        <w:spacing w:after="0" w:line="240" w:lineRule="auto"/>
        <w:contextualSpacing/>
        <w:jc w:val="both"/>
        <w:rPr>
          <w:rFonts w:ascii="Times New Roman" w:hAnsi="Times New Roman" w:cs="Times New Roman"/>
          <w:bCs/>
          <w:i/>
          <w:sz w:val="20"/>
          <w:szCs w:val="20"/>
        </w:rPr>
      </w:pPr>
      <w:r w:rsidRPr="007D0FD9">
        <w:rPr>
          <w:rFonts w:ascii="Times New Roman" w:hAnsi="Times New Roman" w:cs="Times New Roman"/>
          <w:bCs/>
          <w:i/>
          <w:sz w:val="20"/>
          <w:szCs w:val="20"/>
        </w:rPr>
        <w:t>Lucrarea începe cu principiile guvernanței corporative. Acesta descrie pe scurt aspectele principale legate de modul de aplicare a guvernanței corporative în Germania, care stabilește sfera problemelor pe care le discută lucrarea. Prin revizuirea literaturii de specialitate, lucrarea prezintă motivul pentru care guvernanța corporativă poate conta pentru dezvoltarea durabilă în sectorul auto.</w:t>
      </w:r>
    </w:p>
    <w:p w14:paraId="259F910E" w14:textId="08139787" w:rsidR="00857E4D" w:rsidRPr="007D0FD9" w:rsidRDefault="00857E4D" w:rsidP="007167A4">
      <w:pPr>
        <w:spacing w:after="0" w:line="360" w:lineRule="auto"/>
        <w:contextualSpacing/>
        <w:jc w:val="both"/>
        <w:rPr>
          <w:rFonts w:ascii="Times New Roman" w:hAnsi="Times New Roman" w:cs="Times New Roman"/>
          <w:bCs/>
          <w:i/>
          <w:sz w:val="24"/>
          <w:szCs w:val="24"/>
        </w:rPr>
      </w:pPr>
    </w:p>
    <w:p w14:paraId="758C9CA0" w14:textId="7D1C2F88" w:rsidR="00BE6A3A" w:rsidRPr="007D0FD9" w:rsidRDefault="007D0FD9" w:rsidP="007167A4">
      <w:pPr>
        <w:spacing w:after="0" w:line="360" w:lineRule="auto"/>
        <w:contextualSpacing/>
        <w:jc w:val="both"/>
        <w:rPr>
          <w:rFonts w:ascii="Times New Roman" w:hAnsi="Times New Roman" w:cs="Times New Roman"/>
          <w:bCs/>
          <w:i/>
        </w:rPr>
      </w:pPr>
      <w:r w:rsidRPr="007D0FD9">
        <w:rPr>
          <w:rFonts w:ascii="Times New Roman" w:hAnsi="Times New Roman" w:cs="Times New Roman"/>
          <w:i/>
          <w:iCs/>
          <w:color w:val="000000"/>
        </w:rPr>
        <w:t>Cuvinte cheie</w:t>
      </w:r>
      <w:r w:rsidR="00BE6A3A" w:rsidRPr="007D0FD9">
        <w:rPr>
          <w:rFonts w:ascii="Times New Roman" w:hAnsi="Times New Roman" w:cs="Times New Roman"/>
          <w:i/>
          <w:iCs/>
          <w:color w:val="000000"/>
        </w:rPr>
        <w:t>:</w:t>
      </w:r>
      <w:r w:rsidR="00BE6A3A" w:rsidRPr="007D0FD9">
        <w:rPr>
          <w:rFonts w:ascii="Arial" w:hAnsi="Arial" w:cs="Arial"/>
          <w:color w:val="000000"/>
          <w:shd w:val="clear" w:color="auto" w:fill="FFFFFF"/>
        </w:rPr>
        <w:t xml:space="preserve"> </w:t>
      </w:r>
      <w:r w:rsidRPr="007D0FD9">
        <w:rPr>
          <w:rFonts w:ascii="Times New Roman" w:hAnsi="Times New Roman" w:cs="Times New Roman"/>
          <w:bCs/>
          <w:i/>
        </w:rPr>
        <w:t>Evoluția guvernanței corporative, Daimler, Codul guvernanței corporative germane</w:t>
      </w:r>
    </w:p>
    <w:p w14:paraId="01C27EBA" w14:textId="4CECBCC0" w:rsidR="00D43CF5" w:rsidRPr="007D0FD9" w:rsidRDefault="00D43CF5" w:rsidP="007167A4">
      <w:pPr>
        <w:spacing w:after="0" w:line="360" w:lineRule="auto"/>
        <w:contextualSpacing/>
        <w:jc w:val="both"/>
        <w:rPr>
          <w:rFonts w:ascii="Times New Roman" w:hAnsi="Times New Roman" w:cs="Times New Roman"/>
          <w:bCs/>
          <w:i/>
        </w:rPr>
      </w:pPr>
    </w:p>
    <w:p w14:paraId="5ED99E7B" w14:textId="24779DA2" w:rsidR="006409EF" w:rsidRPr="007D0FD9" w:rsidRDefault="007D0FD9" w:rsidP="00D43CF5">
      <w:pPr>
        <w:spacing w:after="0" w:line="360" w:lineRule="auto"/>
        <w:contextualSpacing/>
        <w:jc w:val="both"/>
        <w:rPr>
          <w:rFonts w:ascii="Times New Roman" w:hAnsi="Times New Roman" w:cs="Times New Roman"/>
          <w:b/>
          <w:sz w:val="24"/>
        </w:rPr>
      </w:pPr>
      <w:r w:rsidRPr="007D0FD9">
        <w:rPr>
          <w:rFonts w:ascii="Times New Roman" w:hAnsi="Times New Roman" w:cs="Times New Roman"/>
          <w:b/>
          <w:sz w:val="24"/>
        </w:rPr>
        <w:t>Introducere</w:t>
      </w:r>
    </w:p>
    <w:p w14:paraId="267A7F67" w14:textId="7E791524" w:rsidR="007D0FD9" w:rsidRPr="007D0FD9" w:rsidRDefault="005B5CBB" w:rsidP="007D0FD9">
      <w:pPr>
        <w:spacing w:after="0" w:line="360" w:lineRule="auto"/>
        <w:contextualSpacing/>
        <w:jc w:val="both"/>
        <w:rPr>
          <w:rFonts w:ascii="Times New Roman" w:hAnsi="Times New Roman" w:cs="Times New Roman"/>
          <w:bCs/>
          <w:sz w:val="24"/>
        </w:rPr>
      </w:pPr>
      <w:r w:rsidRPr="007D0FD9">
        <w:rPr>
          <w:rFonts w:ascii="Times New Roman" w:hAnsi="Times New Roman" w:cs="Times New Roman"/>
          <w:bCs/>
          <w:sz w:val="24"/>
        </w:rPr>
        <w:tab/>
      </w:r>
      <w:r w:rsidR="007D0FD9">
        <w:rPr>
          <w:rFonts w:ascii="Times New Roman" w:hAnsi="Times New Roman" w:cs="Times New Roman"/>
          <w:bCs/>
          <w:sz w:val="24"/>
        </w:rPr>
        <w:t>I</w:t>
      </w:r>
      <w:r w:rsidR="007D0FD9" w:rsidRPr="007D0FD9">
        <w:rPr>
          <w:rFonts w:ascii="Times New Roman" w:hAnsi="Times New Roman" w:cs="Times New Roman"/>
          <w:bCs/>
          <w:sz w:val="24"/>
        </w:rPr>
        <w:t>nstitutul Auditorilor Interni (IIA) definește guvernanța corporativă ca un set de proceduri utilizate de reprezentanții părților interesate ale companiei pentru a oferi o imagine de ansamblu asupra procedurilor de control al riscurilor și managementului. Monitorizarea riscurilor organizaționale și asigurarea faptului că aceste controale reduc riscurile contribuie în mod direct la realizarea și menținerea valorii organizației.</w:t>
      </w:r>
    </w:p>
    <w:p w14:paraId="44766451" w14:textId="06A5B651" w:rsidR="007D0FD9" w:rsidRPr="007D0FD9" w:rsidRDefault="00001FB7" w:rsidP="007D0FD9">
      <w:pPr>
        <w:spacing w:after="0" w:line="360" w:lineRule="auto"/>
        <w:contextualSpacing/>
        <w:jc w:val="both"/>
        <w:rPr>
          <w:rFonts w:ascii="Times New Roman" w:hAnsi="Times New Roman" w:cs="Times New Roman"/>
          <w:bCs/>
          <w:sz w:val="24"/>
        </w:rPr>
      </w:pPr>
      <w:r>
        <w:rPr>
          <w:rFonts w:ascii="Times New Roman" w:hAnsi="Times New Roman" w:cs="Times New Roman"/>
          <w:bCs/>
          <w:sz w:val="24"/>
        </w:rPr>
        <w:tab/>
      </w:r>
      <w:r w:rsidR="007D0FD9" w:rsidRPr="007D0FD9">
        <w:rPr>
          <w:rFonts w:ascii="Times New Roman" w:hAnsi="Times New Roman" w:cs="Times New Roman"/>
          <w:bCs/>
          <w:sz w:val="24"/>
        </w:rPr>
        <w:t>Principiile principale care reprezintă o bază puternică pentru guvernanța corporativă sunt corectitudinea, responsabilitatea, responsabilitatea și transparența. O companie, care aplică aceste principii de bază, va putea atrage investitori, al căror sprijin poate ajuta la finanțarea creșterii ulterioare.</w:t>
      </w:r>
    </w:p>
    <w:p w14:paraId="0CF33F5C" w14:textId="6D95ED52" w:rsidR="007D0FD9" w:rsidRPr="007D0FD9" w:rsidRDefault="007D0FD9" w:rsidP="007D0FD9">
      <w:pPr>
        <w:spacing w:after="0" w:line="360" w:lineRule="auto"/>
        <w:contextualSpacing/>
        <w:jc w:val="both"/>
        <w:rPr>
          <w:rFonts w:ascii="Times New Roman" w:hAnsi="Times New Roman" w:cs="Times New Roman"/>
          <w:bCs/>
          <w:sz w:val="24"/>
        </w:rPr>
      </w:pPr>
      <w:r w:rsidRPr="007D0FD9">
        <w:rPr>
          <w:rFonts w:ascii="Times New Roman" w:hAnsi="Times New Roman" w:cs="Times New Roman"/>
          <w:bCs/>
          <w:sz w:val="24"/>
        </w:rPr>
        <w:t>Un principiu important al bunei guvernări corporative este acela că ar trebui să protejeze drepturile acționarilor. În al doilea rând, întreprinderea corporativă ar trebui să asigure un tratament echitabil tuturor părților interesate, inclusiv acționarilor minoritari și acționarilor străini.</w:t>
      </w:r>
    </w:p>
    <w:p w14:paraId="6AD26E48" w14:textId="77777777" w:rsidR="007D0FD9" w:rsidRPr="007D0FD9" w:rsidRDefault="007D0FD9" w:rsidP="007D0FD9">
      <w:pPr>
        <w:spacing w:after="0" w:line="360" w:lineRule="auto"/>
        <w:contextualSpacing/>
        <w:jc w:val="both"/>
        <w:rPr>
          <w:rFonts w:ascii="Times New Roman" w:hAnsi="Times New Roman" w:cs="Times New Roman"/>
          <w:bCs/>
          <w:sz w:val="24"/>
        </w:rPr>
      </w:pPr>
      <w:r w:rsidRPr="007D0FD9">
        <w:rPr>
          <w:rFonts w:ascii="Times New Roman" w:hAnsi="Times New Roman" w:cs="Times New Roman"/>
          <w:bCs/>
          <w:sz w:val="24"/>
        </w:rPr>
        <w:t>Conform principiului răspunderii, sistemul de guvernanță corporativă, astfel cum este format de consiliul de administrație, trebuie să asigure monitorizarea eficientă a managementului de către consiliu și, mai presus de toate, responsabilitatea Consiliului și a conducerii de vârf față de acționari și alți acționari pentru orice tranzacții făcute și activități productive efectuat de companie.</w:t>
      </w:r>
    </w:p>
    <w:p w14:paraId="25DDB366" w14:textId="11380B4E" w:rsidR="007D0FD9" w:rsidRPr="007D0FD9" w:rsidRDefault="00001FB7" w:rsidP="007D0FD9">
      <w:pPr>
        <w:spacing w:after="0" w:line="360" w:lineRule="auto"/>
        <w:contextualSpacing/>
        <w:jc w:val="both"/>
        <w:rPr>
          <w:rFonts w:ascii="Times New Roman" w:hAnsi="Times New Roman" w:cs="Times New Roman"/>
          <w:bCs/>
          <w:sz w:val="24"/>
        </w:rPr>
      </w:pPr>
      <w:r>
        <w:rPr>
          <w:rFonts w:ascii="Times New Roman" w:hAnsi="Times New Roman" w:cs="Times New Roman"/>
          <w:bCs/>
          <w:sz w:val="24"/>
        </w:rPr>
        <w:t>Răspunderea</w:t>
      </w:r>
      <w:r w:rsidR="007D0FD9" w:rsidRPr="007D0FD9">
        <w:rPr>
          <w:rFonts w:ascii="Times New Roman" w:hAnsi="Times New Roman" w:cs="Times New Roman"/>
          <w:bCs/>
          <w:sz w:val="24"/>
        </w:rPr>
        <w:t xml:space="preserve"> merge mână în mână cu responsabilitatea. Consiliul de administrație ar trebui să răspundă acționarilor pentru modul în care compania și-a îndeplinit responsabilitățile.</w:t>
      </w:r>
    </w:p>
    <w:p w14:paraId="3F6F2421" w14:textId="76D66E01" w:rsidR="00645D66" w:rsidRPr="007D0FD9" w:rsidRDefault="007D0FD9" w:rsidP="00306C0A">
      <w:pPr>
        <w:spacing w:after="0" w:line="360" w:lineRule="auto"/>
        <w:contextualSpacing/>
        <w:jc w:val="both"/>
        <w:rPr>
          <w:rFonts w:ascii="Times New Roman" w:hAnsi="Times New Roman" w:cs="Times New Roman"/>
          <w:bCs/>
          <w:sz w:val="24"/>
        </w:rPr>
      </w:pPr>
      <w:r w:rsidRPr="007D0FD9">
        <w:rPr>
          <w:rFonts w:ascii="Times New Roman" w:hAnsi="Times New Roman" w:cs="Times New Roman"/>
          <w:bCs/>
          <w:sz w:val="24"/>
        </w:rPr>
        <w:lastRenderedPageBreak/>
        <w:t>Principiul transparenței corporative necesită divulgarea în timp util și exactă a informațiilor de către o companie corporativă cu privire la toate aspectele referitoare la corporație, inclusiv situația financiară, performanța și dreptul de proprietate.</w:t>
      </w:r>
    </w:p>
    <w:p w14:paraId="562EC033" w14:textId="1EDE9F23" w:rsidR="006409EF" w:rsidRPr="007D0FD9" w:rsidRDefault="007D0FD9" w:rsidP="00D43CF5">
      <w:pPr>
        <w:spacing w:after="0" w:line="360" w:lineRule="auto"/>
        <w:contextualSpacing/>
        <w:jc w:val="both"/>
        <w:rPr>
          <w:rFonts w:ascii="Times New Roman" w:hAnsi="Times New Roman" w:cs="Times New Roman"/>
          <w:b/>
          <w:sz w:val="24"/>
        </w:rPr>
      </w:pPr>
      <w:r>
        <w:rPr>
          <w:rFonts w:ascii="Times New Roman" w:hAnsi="Times New Roman" w:cs="Times New Roman"/>
          <w:b/>
          <w:sz w:val="24"/>
        </w:rPr>
        <w:t>Guvernanța corporativă în Germania</w:t>
      </w:r>
      <w:r w:rsidR="00F8534E" w:rsidRPr="007D0FD9">
        <w:rPr>
          <w:rFonts w:ascii="Times New Roman" w:hAnsi="Times New Roman" w:cs="Times New Roman"/>
          <w:b/>
          <w:sz w:val="24"/>
        </w:rPr>
        <w:tab/>
      </w:r>
    </w:p>
    <w:p w14:paraId="225FAC5F" w14:textId="77777777" w:rsidR="007D0FD9" w:rsidRPr="007D0FD9" w:rsidRDefault="00645D66" w:rsidP="007D0FD9">
      <w:pPr>
        <w:spacing w:after="0" w:line="360" w:lineRule="auto"/>
        <w:contextualSpacing/>
        <w:jc w:val="both"/>
        <w:rPr>
          <w:rFonts w:ascii="Times New Roman" w:hAnsi="Times New Roman" w:cs="Times New Roman"/>
          <w:bCs/>
          <w:sz w:val="24"/>
        </w:rPr>
      </w:pPr>
      <w:r w:rsidRPr="007D0FD9">
        <w:rPr>
          <w:rFonts w:ascii="Times New Roman" w:hAnsi="Times New Roman" w:cs="Times New Roman"/>
          <w:bCs/>
          <w:sz w:val="24"/>
        </w:rPr>
        <w:tab/>
      </w:r>
      <w:r w:rsidR="007D0FD9" w:rsidRPr="007D0FD9">
        <w:rPr>
          <w:rFonts w:ascii="Times New Roman" w:hAnsi="Times New Roman" w:cs="Times New Roman"/>
          <w:bCs/>
          <w:sz w:val="24"/>
        </w:rPr>
        <w:t>Principiile guvernanței corporative diferă, de asemenea, de la o țară la alta. Majoritatea țărilor își stabilesc propriile standarde și principii pe baza caracteristicilor lor culturale. Cu toate acestea, guvernanța corporativă depinde și de tipul industriei. În multe companii, este esențial să se înființeze un departament pentru guvernanța corporativă, deoarece sistemul și măsurile asociate implică, de asemenea, un efort considerabil. Companiile germane urmează Codul de guvernanță corporativă germană pentru raportare.</w:t>
      </w:r>
    </w:p>
    <w:p w14:paraId="4B64829E" w14:textId="0C9C426C" w:rsidR="007D0FD9" w:rsidRPr="007D0FD9" w:rsidRDefault="00E7710A" w:rsidP="007D0FD9">
      <w:pPr>
        <w:spacing w:after="0" w:line="360" w:lineRule="auto"/>
        <w:contextualSpacing/>
        <w:jc w:val="both"/>
        <w:rPr>
          <w:rFonts w:ascii="Times New Roman" w:hAnsi="Times New Roman" w:cs="Times New Roman"/>
          <w:bCs/>
          <w:sz w:val="24"/>
        </w:rPr>
      </w:pPr>
      <w:r>
        <w:rPr>
          <w:rFonts w:ascii="Times New Roman" w:hAnsi="Times New Roman" w:cs="Times New Roman"/>
          <w:bCs/>
          <w:sz w:val="24"/>
        </w:rPr>
        <w:tab/>
      </w:r>
      <w:r w:rsidR="007D0FD9" w:rsidRPr="007D0FD9">
        <w:rPr>
          <w:rFonts w:ascii="Times New Roman" w:hAnsi="Times New Roman" w:cs="Times New Roman"/>
          <w:bCs/>
          <w:sz w:val="24"/>
        </w:rPr>
        <w:t>Codul de guvernanță corporativă germană conține principii, recomandări și sugestii pentru consiliul de administrație și consiliul de supraveghere care sunt destinate să se asigure că compania este administrată în interesul său. Codul evidențiază obligația consiliilor de administrație și a consiliilor de supraveghere - în conformitate cu principiile economiei de piață socială - de a ține seama de interesele acționarilor, de forța de muncă ale întreprinderii și de celelalte grupuri aferente întreprinderii (părțile interesate) de a asigura existența continuă a întreprinderii și crearea ei de valoare durabilă (interesul superior al întreprinderii).</w:t>
      </w:r>
    </w:p>
    <w:p w14:paraId="69F3B386" w14:textId="4E1550E1" w:rsidR="007D0FD9" w:rsidRPr="007D0FD9" w:rsidRDefault="00E7710A" w:rsidP="007D0FD9">
      <w:pPr>
        <w:spacing w:after="0" w:line="360" w:lineRule="auto"/>
        <w:contextualSpacing/>
        <w:jc w:val="both"/>
        <w:rPr>
          <w:rFonts w:ascii="Times New Roman" w:hAnsi="Times New Roman" w:cs="Times New Roman"/>
          <w:bCs/>
          <w:sz w:val="24"/>
        </w:rPr>
      </w:pPr>
      <w:r>
        <w:rPr>
          <w:rFonts w:ascii="Times New Roman" w:hAnsi="Times New Roman" w:cs="Times New Roman"/>
          <w:bCs/>
          <w:sz w:val="24"/>
        </w:rPr>
        <w:tab/>
      </w:r>
      <w:r w:rsidR="007D0FD9" w:rsidRPr="007D0FD9">
        <w:rPr>
          <w:rFonts w:ascii="Times New Roman" w:hAnsi="Times New Roman" w:cs="Times New Roman"/>
          <w:bCs/>
          <w:sz w:val="24"/>
        </w:rPr>
        <w:t>Prin acțiunile lor, compania și organele sale de conducere trebuie să fie conștiente de rolul întreprinderii în comunitate și de responsabilitatea acesteia față de societate. Factorii sociali și de mediu influențează succesul întreprinderii. În interesul întreprinderii, Consiliul de administrație și Consiliul de supraveghere se asigură că impactul potențial al acestor factori asupra strategiei corporative și a deciziilor de operare este identificat și abordat.</w:t>
      </w:r>
    </w:p>
    <w:p w14:paraId="453B0A80" w14:textId="075DA691" w:rsidR="007D0FD9" w:rsidRPr="007D0FD9" w:rsidRDefault="00E7710A" w:rsidP="007D0FD9">
      <w:pPr>
        <w:spacing w:after="0" w:line="360" w:lineRule="auto"/>
        <w:contextualSpacing/>
        <w:jc w:val="both"/>
        <w:rPr>
          <w:rFonts w:ascii="Times New Roman" w:hAnsi="Times New Roman" w:cs="Times New Roman"/>
          <w:bCs/>
          <w:sz w:val="24"/>
        </w:rPr>
      </w:pPr>
      <w:r>
        <w:rPr>
          <w:rFonts w:ascii="Times New Roman" w:hAnsi="Times New Roman" w:cs="Times New Roman"/>
          <w:bCs/>
          <w:sz w:val="24"/>
        </w:rPr>
        <w:tab/>
      </w:r>
      <w:r w:rsidR="007D0FD9" w:rsidRPr="007D0FD9">
        <w:rPr>
          <w:rFonts w:ascii="Times New Roman" w:hAnsi="Times New Roman" w:cs="Times New Roman"/>
          <w:bCs/>
          <w:sz w:val="24"/>
        </w:rPr>
        <w:t>Obiectivul Codului este de a face sistemul de guvernare corporativă germană dual transparent și inteligibil. Codul include principii, recomandări și sugestii care reglementează gestionarea și monitorizarea companiilor listate din Germania, care sunt acceptate la nivel național și internațional ca standarde de guvernare bună și responsabilă. Acesta își propune să promoveze încrederea în gestionarea și supravegherea companiilor listate din Germania de către investitori, clienți, angajați și public.</w:t>
      </w:r>
    </w:p>
    <w:p w14:paraId="67A0E35F" w14:textId="6C1F3696" w:rsidR="007D0FD9" w:rsidRDefault="00E7710A" w:rsidP="007D0FD9">
      <w:pPr>
        <w:spacing w:after="0" w:line="360" w:lineRule="auto"/>
        <w:contextualSpacing/>
        <w:jc w:val="both"/>
        <w:rPr>
          <w:rFonts w:ascii="Times New Roman" w:hAnsi="Times New Roman" w:cs="Times New Roman"/>
          <w:bCs/>
          <w:sz w:val="24"/>
        </w:rPr>
      </w:pPr>
      <w:r>
        <w:rPr>
          <w:rFonts w:ascii="Times New Roman" w:hAnsi="Times New Roman" w:cs="Times New Roman"/>
          <w:bCs/>
          <w:sz w:val="24"/>
        </w:rPr>
        <w:tab/>
      </w:r>
      <w:r w:rsidR="007D0FD9" w:rsidRPr="007D0FD9">
        <w:rPr>
          <w:rFonts w:ascii="Times New Roman" w:hAnsi="Times New Roman" w:cs="Times New Roman"/>
          <w:bCs/>
          <w:sz w:val="24"/>
        </w:rPr>
        <w:t xml:space="preserve">Codul este structurat pe capitole care conțin în total 25 de principii. Pentru fiecare principiu, există puține recomandări. Companiile se pot îndepărta de </w:t>
      </w:r>
      <w:r>
        <w:rPr>
          <w:rFonts w:ascii="Times New Roman" w:hAnsi="Times New Roman" w:cs="Times New Roman"/>
          <w:bCs/>
          <w:sz w:val="24"/>
        </w:rPr>
        <w:t xml:space="preserve">la </w:t>
      </w:r>
      <w:r w:rsidR="007D0FD9" w:rsidRPr="007D0FD9">
        <w:rPr>
          <w:rFonts w:ascii="Times New Roman" w:hAnsi="Times New Roman" w:cs="Times New Roman"/>
          <w:bCs/>
          <w:sz w:val="24"/>
        </w:rPr>
        <w:t>recomandări, dar, în acest caz, sunt obligate să dezvăluie și să explice în fiecare an („respectă sau explică”); recomandările sunt indicate în text folosind cuvântul „trebuie”. Codul conține, de asemenea, sugestii care sunt adăugate la sfârșitul fiecărui capit</w:t>
      </w:r>
      <w:r>
        <w:rPr>
          <w:rFonts w:ascii="Times New Roman" w:hAnsi="Times New Roman" w:cs="Times New Roman"/>
          <w:bCs/>
          <w:sz w:val="24"/>
        </w:rPr>
        <w:t xml:space="preserve">ol și de la care companiile se pot îndepărta </w:t>
      </w:r>
      <w:r w:rsidR="007D0FD9" w:rsidRPr="007D0FD9">
        <w:rPr>
          <w:rFonts w:ascii="Times New Roman" w:hAnsi="Times New Roman" w:cs="Times New Roman"/>
          <w:bCs/>
          <w:sz w:val="24"/>
        </w:rPr>
        <w:t xml:space="preserve">fără </w:t>
      </w:r>
      <w:r>
        <w:rPr>
          <w:rFonts w:ascii="Times New Roman" w:hAnsi="Times New Roman" w:cs="Times New Roman"/>
          <w:bCs/>
          <w:sz w:val="24"/>
        </w:rPr>
        <w:t>explicații</w:t>
      </w:r>
      <w:r w:rsidR="007D0FD9" w:rsidRPr="007D0FD9">
        <w:rPr>
          <w:rFonts w:ascii="Times New Roman" w:hAnsi="Times New Roman" w:cs="Times New Roman"/>
          <w:bCs/>
          <w:sz w:val="24"/>
        </w:rPr>
        <w:t>; sugestiile sunt indicate în text folosind cuvântul „ar trebui”.</w:t>
      </w:r>
    </w:p>
    <w:p w14:paraId="4305969A" w14:textId="77777777" w:rsidR="007D0FD9" w:rsidRDefault="007D0FD9" w:rsidP="007D0FD9">
      <w:pPr>
        <w:spacing w:after="0" w:line="360" w:lineRule="auto"/>
        <w:contextualSpacing/>
        <w:jc w:val="both"/>
        <w:rPr>
          <w:rFonts w:ascii="Times New Roman" w:hAnsi="Times New Roman" w:cs="Times New Roman"/>
          <w:bCs/>
          <w:sz w:val="24"/>
        </w:rPr>
      </w:pPr>
    </w:p>
    <w:p w14:paraId="21FCF7A9" w14:textId="77777777" w:rsidR="007D0FD9" w:rsidRDefault="007D0FD9" w:rsidP="00D43CF5">
      <w:pPr>
        <w:spacing w:after="0" w:line="360" w:lineRule="auto"/>
        <w:contextualSpacing/>
        <w:jc w:val="both"/>
        <w:rPr>
          <w:rFonts w:ascii="Times New Roman" w:hAnsi="Times New Roman" w:cs="Times New Roman"/>
          <w:b/>
          <w:sz w:val="24"/>
        </w:rPr>
      </w:pPr>
      <w:r>
        <w:rPr>
          <w:rFonts w:ascii="Times New Roman" w:hAnsi="Times New Roman" w:cs="Times New Roman"/>
          <w:b/>
          <w:sz w:val="24"/>
        </w:rPr>
        <w:lastRenderedPageBreak/>
        <w:t>Guvernanța corporativă în industria auto</w:t>
      </w:r>
    </w:p>
    <w:p w14:paraId="1FBD9FE5" w14:textId="7C3230AA" w:rsidR="007D0FD9" w:rsidRPr="007D0FD9" w:rsidRDefault="007D0FD9" w:rsidP="007D0FD9">
      <w:pPr>
        <w:spacing w:after="0" w:line="360" w:lineRule="auto"/>
        <w:contextualSpacing/>
        <w:jc w:val="both"/>
        <w:rPr>
          <w:rFonts w:ascii="Times New Roman" w:hAnsi="Times New Roman" w:cs="Times New Roman"/>
          <w:bCs/>
          <w:sz w:val="24"/>
        </w:rPr>
      </w:pPr>
      <w:r>
        <w:rPr>
          <w:rFonts w:ascii="Times New Roman" w:hAnsi="Times New Roman" w:cs="Times New Roman"/>
          <w:bCs/>
          <w:sz w:val="24"/>
        </w:rPr>
        <w:tab/>
      </w:r>
      <w:r w:rsidRPr="007D0FD9">
        <w:rPr>
          <w:rFonts w:ascii="Times New Roman" w:hAnsi="Times New Roman" w:cs="Times New Roman"/>
          <w:bCs/>
          <w:sz w:val="24"/>
        </w:rPr>
        <w:t>Industria auto germană este industria cheie în economia germană. Este de o importanță eminentă pentru creșterea și prosperitatea Germaniei ca locație de afaceri. Este indispensabil pentru garantarea unui nivel ridicat de venit și pentru protejarea unui volum mare de angajare. Se estimează că unul din șapte locuri de muncă germane depinde de industria auto. (Becker, 2006)</w:t>
      </w:r>
    </w:p>
    <w:p w14:paraId="48ABCE8F" w14:textId="77777777" w:rsidR="007D0FD9" w:rsidRPr="007D0FD9" w:rsidRDefault="007D0FD9" w:rsidP="007D0FD9">
      <w:pPr>
        <w:spacing w:after="0" w:line="360" w:lineRule="auto"/>
        <w:contextualSpacing/>
        <w:jc w:val="both"/>
        <w:rPr>
          <w:rFonts w:ascii="Times New Roman" w:hAnsi="Times New Roman" w:cs="Times New Roman"/>
          <w:bCs/>
          <w:sz w:val="24"/>
        </w:rPr>
      </w:pPr>
      <w:r w:rsidRPr="007D0FD9">
        <w:rPr>
          <w:rFonts w:ascii="Times New Roman" w:hAnsi="Times New Roman" w:cs="Times New Roman"/>
          <w:bCs/>
          <w:sz w:val="24"/>
        </w:rPr>
        <w:t xml:space="preserve">Germania este un stat federal format din diferite state sau „țări”. Multe aspecte ale vieții sociale și economice sunt descentralizate în Germania și sunt responsabilitatea acestor guverne de stat. Marile companii auto germane sunt Daimler, BMW, Audi, Porsche, Opel și Ford </w:t>
      </w:r>
      <w:proofErr w:type="spellStart"/>
      <w:r w:rsidRPr="007D0FD9">
        <w:rPr>
          <w:rFonts w:ascii="Times New Roman" w:hAnsi="Times New Roman" w:cs="Times New Roman"/>
          <w:bCs/>
          <w:sz w:val="24"/>
        </w:rPr>
        <w:t>Werke</w:t>
      </w:r>
      <w:proofErr w:type="spellEnd"/>
      <w:r w:rsidRPr="007D0FD9">
        <w:rPr>
          <w:rFonts w:ascii="Times New Roman" w:hAnsi="Times New Roman" w:cs="Times New Roman"/>
          <w:bCs/>
          <w:sz w:val="24"/>
        </w:rPr>
        <w:t>.</w:t>
      </w:r>
    </w:p>
    <w:p w14:paraId="34D2C910" w14:textId="59B778F0" w:rsidR="007D0FD9" w:rsidRDefault="007D0FD9" w:rsidP="007D0FD9">
      <w:pPr>
        <w:spacing w:after="0" w:line="360" w:lineRule="auto"/>
        <w:contextualSpacing/>
        <w:jc w:val="both"/>
        <w:rPr>
          <w:rFonts w:ascii="Times New Roman" w:hAnsi="Times New Roman" w:cs="Times New Roman"/>
          <w:bCs/>
          <w:sz w:val="24"/>
        </w:rPr>
      </w:pPr>
      <w:r>
        <w:rPr>
          <w:rFonts w:ascii="Times New Roman" w:hAnsi="Times New Roman" w:cs="Times New Roman"/>
          <w:bCs/>
          <w:sz w:val="24"/>
        </w:rPr>
        <w:tab/>
      </w:r>
      <w:r w:rsidRPr="007D0FD9">
        <w:rPr>
          <w:rFonts w:ascii="Times New Roman" w:hAnsi="Times New Roman" w:cs="Times New Roman"/>
          <w:bCs/>
          <w:sz w:val="24"/>
        </w:rPr>
        <w:t>Companiile auto care alcătuiesc industria auto germană au legături regionale puternice cu statele germane în care au fost înființate și în care își păstrează sediul. Prin urmare, fiecare dintre companiile auto germane trebuie să se ocupe cu propriul său guvern regional, precum și cu guvernul național german. Datorită acestor legături regionale puternice, fiecare companie se poate baza pe propriul guvern de stat pentru a ajuta la reprezentarea intereselor sale și la nivel național. (</w:t>
      </w:r>
      <w:proofErr w:type="spellStart"/>
      <w:r w:rsidRPr="007D0FD9">
        <w:rPr>
          <w:rFonts w:ascii="Times New Roman" w:hAnsi="Times New Roman" w:cs="Times New Roman"/>
          <w:bCs/>
          <w:sz w:val="24"/>
        </w:rPr>
        <w:t>Dankbaar</w:t>
      </w:r>
      <w:proofErr w:type="spellEnd"/>
      <w:r w:rsidRPr="007D0FD9">
        <w:rPr>
          <w:rFonts w:ascii="Times New Roman" w:hAnsi="Times New Roman" w:cs="Times New Roman"/>
          <w:bCs/>
          <w:sz w:val="24"/>
        </w:rPr>
        <w:t>, 2019).</w:t>
      </w:r>
    </w:p>
    <w:p w14:paraId="7D0F7F7A" w14:textId="33E008AB" w:rsidR="00E2105D" w:rsidRPr="007D0FD9" w:rsidRDefault="007D0FD9" w:rsidP="007D0FD9">
      <w:pPr>
        <w:spacing w:after="0" w:line="360" w:lineRule="auto"/>
        <w:contextualSpacing/>
        <w:jc w:val="both"/>
        <w:rPr>
          <w:rFonts w:ascii="Times New Roman" w:hAnsi="Times New Roman" w:cs="Times New Roman"/>
          <w:b/>
          <w:sz w:val="24"/>
        </w:rPr>
      </w:pPr>
      <w:r>
        <w:rPr>
          <w:rFonts w:ascii="Times New Roman" w:hAnsi="Times New Roman" w:cs="Times New Roman"/>
          <w:b/>
          <w:sz w:val="24"/>
        </w:rPr>
        <w:t xml:space="preserve">Guvernanța corporativă </w:t>
      </w:r>
      <w:r w:rsidR="00E2105D" w:rsidRPr="007D0FD9">
        <w:rPr>
          <w:rFonts w:ascii="Times New Roman" w:hAnsi="Times New Roman" w:cs="Times New Roman"/>
          <w:b/>
          <w:sz w:val="24"/>
        </w:rPr>
        <w:t xml:space="preserve">– </w:t>
      </w:r>
      <w:r>
        <w:rPr>
          <w:rFonts w:ascii="Times New Roman" w:hAnsi="Times New Roman" w:cs="Times New Roman"/>
          <w:b/>
          <w:sz w:val="24"/>
        </w:rPr>
        <w:t xml:space="preserve">Grupul </w:t>
      </w:r>
      <w:r w:rsidR="00E2105D" w:rsidRPr="007D0FD9">
        <w:rPr>
          <w:rFonts w:ascii="Times New Roman" w:hAnsi="Times New Roman" w:cs="Times New Roman"/>
          <w:b/>
          <w:sz w:val="24"/>
        </w:rPr>
        <w:t xml:space="preserve">Daimler – </w:t>
      </w:r>
      <w:r>
        <w:rPr>
          <w:rFonts w:ascii="Times New Roman" w:hAnsi="Times New Roman" w:cs="Times New Roman"/>
          <w:b/>
          <w:sz w:val="24"/>
        </w:rPr>
        <w:t>analiză calitativă</w:t>
      </w:r>
      <w:r w:rsidR="00E2105D" w:rsidRPr="007D0FD9">
        <w:rPr>
          <w:rFonts w:ascii="Times New Roman" w:hAnsi="Times New Roman" w:cs="Times New Roman"/>
          <w:b/>
          <w:sz w:val="24"/>
        </w:rPr>
        <w:t xml:space="preserve"> </w:t>
      </w:r>
    </w:p>
    <w:p w14:paraId="60FA37BA" w14:textId="77777777" w:rsidR="007D0FD9" w:rsidRPr="007D0FD9" w:rsidRDefault="00CE0BA8" w:rsidP="007D0FD9">
      <w:pPr>
        <w:spacing w:after="0" w:line="360" w:lineRule="auto"/>
        <w:contextualSpacing/>
        <w:jc w:val="both"/>
        <w:rPr>
          <w:rFonts w:ascii="Times New Roman" w:hAnsi="Times New Roman" w:cs="Times New Roman"/>
          <w:bCs/>
          <w:sz w:val="24"/>
        </w:rPr>
      </w:pPr>
      <w:r w:rsidRPr="007D0FD9">
        <w:rPr>
          <w:rFonts w:ascii="Times New Roman" w:hAnsi="Times New Roman" w:cs="Times New Roman"/>
          <w:bCs/>
          <w:sz w:val="24"/>
        </w:rPr>
        <w:tab/>
      </w:r>
      <w:r w:rsidR="007D0FD9" w:rsidRPr="007D0FD9">
        <w:rPr>
          <w:rFonts w:ascii="Times New Roman" w:hAnsi="Times New Roman" w:cs="Times New Roman"/>
          <w:bCs/>
          <w:sz w:val="24"/>
        </w:rPr>
        <w:t xml:space="preserve">Grupul Daimler este unul dintre cei mai mari producători de mașini </w:t>
      </w:r>
      <w:proofErr w:type="spellStart"/>
      <w:r w:rsidR="007D0FD9" w:rsidRPr="007D0FD9">
        <w:rPr>
          <w:rFonts w:ascii="Times New Roman" w:hAnsi="Times New Roman" w:cs="Times New Roman"/>
          <w:bCs/>
          <w:sz w:val="24"/>
        </w:rPr>
        <w:t>premium</w:t>
      </w:r>
      <w:proofErr w:type="spellEnd"/>
      <w:r w:rsidR="007D0FD9" w:rsidRPr="007D0FD9">
        <w:rPr>
          <w:rFonts w:ascii="Times New Roman" w:hAnsi="Times New Roman" w:cs="Times New Roman"/>
          <w:bCs/>
          <w:sz w:val="24"/>
        </w:rPr>
        <w:t xml:space="preserve"> și cel mai mare producător mondial de vehicule comerciale cu o anvergură globală. Oferă finanțare, leasing, gestionarea flotei, asigurări și servicii inovatoare de mobilitate. (Daimler AG, 2020);</w:t>
      </w:r>
    </w:p>
    <w:p w14:paraId="7A38D440" w14:textId="77777777" w:rsidR="007D0FD9" w:rsidRPr="007D0FD9" w:rsidRDefault="007D0FD9" w:rsidP="007D0FD9">
      <w:pPr>
        <w:spacing w:after="0" w:line="360" w:lineRule="auto"/>
        <w:contextualSpacing/>
        <w:jc w:val="both"/>
        <w:rPr>
          <w:rFonts w:ascii="Times New Roman" w:hAnsi="Times New Roman" w:cs="Times New Roman"/>
          <w:bCs/>
          <w:sz w:val="24"/>
        </w:rPr>
      </w:pPr>
      <w:r w:rsidRPr="007D0FD9">
        <w:rPr>
          <w:rFonts w:ascii="Times New Roman" w:hAnsi="Times New Roman" w:cs="Times New Roman"/>
          <w:bCs/>
          <w:sz w:val="24"/>
        </w:rPr>
        <w:t>Analizând rapoartele anuale publicate pe pagina web oficială a Daimler începând cu 1979, am identificat că detaliile despre guvernanța corporativă sunt publicate în rapoartele anuale începând cu 2003.</w:t>
      </w:r>
    </w:p>
    <w:p w14:paraId="71339ADA" w14:textId="112E8BB5" w:rsidR="007D0FD9" w:rsidRPr="007D0FD9" w:rsidRDefault="00FE4CF4" w:rsidP="007D0FD9">
      <w:pPr>
        <w:spacing w:after="0" w:line="360" w:lineRule="auto"/>
        <w:contextualSpacing/>
        <w:jc w:val="both"/>
        <w:rPr>
          <w:rFonts w:ascii="Times New Roman" w:hAnsi="Times New Roman" w:cs="Times New Roman"/>
          <w:bCs/>
          <w:sz w:val="24"/>
        </w:rPr>
      </w:pPr>
      <w:r>
        <w:rPr>
          <w:rFonts w:ascii="Times New Roman" w:hAnsi="Times New Roman" w:cs="Times New Roman"/>
          <w:bCs/>
          <w:sz w:val="24"/>
        </w:rPr>
        <w:tab/>
      </w:r>
      <w:r w:rsidR="007D0FD9" w:rsidRPr="007D0FD9">
        <w:rPr>
          <w:rFonts w:ascii="Times New Roman" w:hAnsi="Times New Roman" w:cs="Times New Roman"/>
          <w:bCs/>
          <w:sz w:val="24"/>
        </w:rPr>
        <w:t>Am decis să analizez rapoartele anuale din ultimii trei ani 2017, 2018 și 2019 pentru a vedea evoluția în ceea ce privește raportarea de la un an la altul, iar entitatea respectă Codul de guvernanță corporativă germană.</w:t>
      </w:r>
    </w:p>
    <w:p w14:paraId="6F06F671" w14:textId="1B328A1E" w:rsidR="007D0FD9" w:rsidRDefault="00FE4CF4" w:rsidP="007D0FD9">
      <w:pPr>
        <w:spacing w:after="0" w:line="360" w:lineRule="auto"/>
        <w:contextualSpacing/>
        <w:jc w:val="both"/>
        <w:rPr>
          <w:rFonts w:ascii="Times New Roman" w:hAnsi="Times New Roman" w:cs="Times New Roman"/>
          <w:bCs/>
          <w:sz w:val="24"/>
        </w:rPr>
      </w:pPr>
      <w:r>
        <w:rPr>
          <w:rFonts w:ascii="Times New Roman" w:hAnsi="Times New Roman" w:cs="Times New Roman"/>
          <w:bCs/>
          <w:sz w:val="24"/>
        </w:rPr>
        <w:tab/>
      </w:r>
      <w:r w:rsidR="007D0FD9" w:rsidRPr="007D0FD9">
        <w:rPr>
          <w:rFonts w:ascii="Times New Roman" w:hAnsi="Times New Roman" w:cs="Times New Roman"/>
          <w:bCs/>
          <w:sz w:val="24"/>
        </w:rPr>
        <w:t>Așa cum am menționat anterior, Consiliul de administrație și consiliul de supraveghere al unei societăți pe acțiuni listate din Germania vor declara anual că recomandările Comisiei guvernamentale a Codului de guvernanță corporativă din Germania, publicate de Ministerul Federal al Justiției și Protecției Consumatorilor în secțiunea oficială a Federației Gazeta, au fost și sunt respectate sau, dacă nu, care recomandări nu au fost sau nu sunt aplicate și de ce. Declarația publicată de Daimler poate fi găsită pe pagina lor web oficială într-o secțiune distinctă denumită „Guvernanță corporativă”. Aici găsiți informații despre componența Consiliului de administrație, a Consiliului de supraveghere, a tranzacțiilor managerilor, a declarației, a rapoartelor și a conformității.</w:t>
      </w:r>
    </w:p>
    <w:p w14:paraId="6153EA91" w14:textId="30B02039" w:rsidR="007D0FD9" w:rsidRPr="007D0FD9" w:rsidRDefault="00E57102" w:rsidP="007D0FD9">
      <w:pPr>
        <w:spacing w:after="0" w:line="360" w:lineRule="auto"/>
        <w:contextualSpacing/>
        <w:jc w:val="both"/>
        <w:rPr>
          <w:rFonts w:ascii="Times New Roman" w:hAnsi="Times New Roman" w:cs="Times New Roman"/>
          <w:bCs/>
          <w:sz w:val="24"/>
        </w:rPr>
      </w:pPr>
      <w:r w:rsidRPr="007D0FD9">
        <w:rPr>
          <w:rFonts w:ascii="Times New Roman" w:hAnsi="Times New Roman" w:cs="Times New Roman"/>
          <w:bCs/>
          <w:sz w:val="24"/>
        </w:rPr>
        <w:tab/>
        <w:t xml:space="preserve"> </w:t>
      </w:r>
      <w:r w:rsidR="007D0FD9" w:rsidRPr="007D0FD9">
        <w:rPr>
          <w:rFonts w:ascii="Times New Roman" w:hAnsi="Times New Roman" w:cs="Times New Roman"/>
          <w:bCs/>
          <w:sz w:val="24"/>
        </w:rPr>
        <w:t>Daimler îndeplinește recomandările Codului de guvernanță corporativă germană publicat în secțiunea oficială a Gazetei Federale Germane la 24 aprilie 2017 în versiunea de cod din 7 februarie 2017, cu exc</w:t>
      </w:r>
      <w:r w:rsidR="00FE4CF4">
        <w:rPr>
          <w:rFonts w:ascii="Times New Roman" w:hAnsi="Times New Roman" w:cs="Times New Roman"/>
          <w:bCs/>
          <w:sz w:val="24"/>
        </w:rPr>
        <w:t>epția clauzei 3.8 Alineatul 3 (A</w:t>
      </w:r>
      <w:r w:rsidR="007D0FD9" w:rsidRPr="007D0FD9">
        <w:rPr>
          <w:rFonts w:ascii="Times New Roman" w:hAnsi="Times New Roman" w:cs="Times New Roman"/>
          <w:bCs/>
          <w:sz w:val="24"/>
        </w:rPr>
        <w:t xml:space="preserve">sigurarea deductibilă </w:t>
      </w:r>
      <w:r w:rsidR="00FE4CF4" w:rsidRPr="007D0FD9">
        <w:rPr>
          <w:rFonts w:ascii="Times New Roman" w:hAnsi="Times New Roman" w:cs="Times New Roman"/>
          <w:bCs/>
          <w:sz w:val="24"/>
        </w:rPr>
        <w:t xml:space="preserve">D&amp;O </w:t>
      </w:r>
      <w:r w:rsidR="007D0FD9" w:rsidRPr="007D0FD9">
        <w:rPr>
          <w:rFonts w:ascii="Times New Roman" w:hAnsi="Times New Roman" w:cs="Times New Roman"/>
          <w:bCs/>
          <w:sz w:val="24"/>
        </w:rPr>
        <w:t>pentru Consiliul</w:t>
      </w:r>
      <w:r w:rsidR="00FE4CF4">
        <w:rPr>
          <w:rFonts w:ascii="Times New Roman" w:hAnsi="Times New Roman" w:cs="Times New Roman"/>
          <w:bCs/>
          <w:sz w:val="24"/>
        </w:rPr>
        <w:t xml:space="preserve"> de </w:t>
      </w:r>
      <w:r w:rsidR="00FE4CF4">
        <w:rPr>
          <w:rFonts w:ascii="Times New Roman" w:hAnsi="Times New Roman" w:cs="Times New Roman"/>
          <w:bCs/>
          <w:sz w:val="24"/>
        </w:rPr>
        <w:lastRenderedPageBreak/>
        <w:t>supraveghere</w:t>
      </w:r>
      <w:r w:rsidR="007D0FD9" w:rsidRPr="007D0FD9">
        <w:rPr>
          <w:rFonts w:ascii="Times New Roman" w:hAnsi="Times New Roman" w:cs="Times New Roman"/>
          <w:bCs/>
          <w:sz w:val="24"/>
        </w:rPr>
        <w:t>) și clauza 5.4.5 Paragraful 1 Sentința 2 (numărul maxim de mandate ale consiliului de supraveghere pentru membrii consiliului de administrație al unei companii listate) și va continua să respecte recomandările cu abaterile menționate anterior. Am identificat că excepția clauzei 3.8 Paragraful 3 (</w:t>
      </w:r>
      <w:r w:rsidR="00FE4CF4">
        <w:rPr>
          <w:rFonts w:ascii="Times New Roman" w:hAnsi="Times New Roman" w:cs="Times New Roman"/>
          <w:bCs/>
          <w:sz w:val="24"/>
        </w:rPr>
        <w:t>A</w:t>
      </w:r>
      <w:r w:rsidR="00FE4CF4" w:rsidRPr="007D0FD9">
        <w:rPr>
          <w:rFonts w:ascii="Times New Roman" w:hAnsi="Times New Roman" w:cs="Times New Roman"/>
          <w:bCs/>
          <w:sz w:val="24"/>
        </w:rPr>
        <w:t>sigurarea deductibilă D&amp;O pentru Consiliul</w:t>
      </w:r>
      <w:r w:rsidR="00FE4CF4">
        <w:rPr>
          <w:rFonts w:ascii="Times New Roman" w:hAnsi="Times New Roman" w:cs="Times New Roman"/>
          <w:bCs/>
          <w:sz w:val="24"/>
        </w:rPr>
        <w:t xml:space="preserve"> de supraveghere</w:t>
      </w:r>
      <w:r w:rsidR="007D0FD9" w:rsidRPr="007D0FD9">
        <w:rPr>
          <w:rFonts w:ascii="Times New Roman" w:hAnsi="Times New Roman" w:cs="Times New Roman"/>
          <w:bCs/>
          <w:sz w:val="24"/>
        </w:rPr>
        <w:t>) este păstrat</w:t>
      </w:r>
      <w:r w:rsidR="00FE4CF4">
        <w:rPr>
          <w:rFonts w:ascii="Times New Roman" w:hAnsi="Times New Roman" w:cs="Times New Roman"/>
          <w:bCs/>
          <w:sz w:val="24"/>
        </w:rPr>
        <w:t>ă</w:t>
      </w:r>
      <w:r w:rsidR="007D0FD9" w:rsidRPr="007D0FD9">
        <w:rPr>
          <w:rFonts w:ascii="Times New Roman" w:hAnsi="Times New Roman" w:cs="Times New Roman"/>
          <w:bCs/>
          <w:sz w:val="24"/>
        </w:rPr>
        <w:t xml:space="preserve"> în rapoart</w:t>
      </w:r>
      <w:r w:rsidR="00FE4CF4">
        <w:rPr>
          <w:rFonts w:ascii="Times New Roman" w:hAnsi="Times New Roman" w:cs="Times New Roman"/>
          <w:bCs/>
          <w:sz w:val="24"/>
        </w:rPr>
        <w:t>ele anuale din ultimii trei ani cu</w:t>
      </w:r>
      <w:r w:rsidR="007D0FD9" w:rsidRPr="007D0FD9">
        <w:rPr>
          <w:rFonts w:ascii="Times New Roman" w:hAnsi="Times New Roman" w:cs="Times New Roman"/>
          <w:bCs/>
          <w:sz w:val="24"/>
        </w:rPr>
        <w:t xml:space="preserve"> excepția clauzei 5.4.5 Paragraful 1 teza 2 (numărul maxim de mandate ale consiliului de supraveghere) pentru membrii Consiliului de administrație al unei companii listate)</w:t>
      </w:r>
      <w:r w:rsidR="00FE4CF4">
        <w:rPr>
          <w:rFonts w:ascii="Times New Roman" w:hAnsi="Times New Roman" w:cs="Times New Roman"/>
          <w:bCs/>
          <w:sz w:val="24"/>
        </w:rPr>
        <w:t xml:space="preserve"> care</w:t>
      </w:r>
      <w:r w:rsidR="007D0FD9" w:rsidRPr="007D0FD9">
        <w:rPr>
          <w:rFonts w:ascii="Times New Roman" w:hAnsi="Times New Roman" w:cs="Times New Roman"/>
          <w:bCs/>
          <w:sz w:val="24"/>
        </w:rPr>
        <w:t xml:space="preserve"> a apărut începând cu anul 2019, nu este prezent</w:t>
      </w:r>
      <w:r w:rsidR="00FE4CF4">
        <w:rPr>
          <w:rFonts w:ascii="Times New Roman" w:hAnsi="Times New Roman" w:cs="Times New Roman"/>
          <w:bCs/>
          <w:sz w:val="24"/>
        </w:rPr>
        <w:t>ă</w:t>
      </w:r>
      <w:r w:rsidR="007D0FD9" w:rsidRPr="007D0FD9">
        <w:rPr>
          <w:rFonts w:ascii="Times New Roman" w:hAnsi="Times New Roman" w:cs="Times New Roman"/>
          <w:bCs/>
          <w:sz w:val="24"/>
        </w:rPr>
        <w:t xml:space="preserve"> în 2017 sau în 2018.</w:t>
      </w:r>
    </w:p>
    <w:p w14:paraId="3F4937DE" w14:textId="39CE1703" w:rsidR="007D0FD9" w:rsidRDefault="00FE4CF4" w:rsidP="00437D7A">
      <w:pPr>
        <w:spacing w:after="0" w:line="360" w:lineRule="auto"/>
        <w:contextualSpacing/>
        <w:jc w:val="both"/>
        <w:rPr>
          <w:rFonts w:ascii="Times New Roman" w:hAnsi="Times New Roman" w:cs="Times New Roman"/>
          <w:bCs/>
          <w:sz w:val="24"/>
        </w:rPr>
      </w:pPr>
      <w:r>
        <w:rPr>
          <w:rFonts w:ascii="Times New Roman" w:hAnsi="Times New Roman" w:cs="Times New Roman"/>
          <w:bCs/>
          <w:sz w:val="24"/>
        </w:rPr>
        <w:tab/>
      </w:r>
      <w:r w:rsidR="007D0FD9" w:rsidRPr="007D0FD9">
        <w:rPr>
          <w:rFonts w:ascii="Times New Roman" w:hAnsi="Times New Roman" w:cs="Times New Roman"/>
          <w:bCs/>
          <w:sz w:val="24"/>
        </w:rPr>
        <w:t>Ca și în anii precedenți, asigurarea de răspundere a administratorilor și a ofițerilor (asigurare D&amp;O) conține, de asemenea, o prevedere deductibilă pentru membrii Consiliului de Supraveghere, ceea ce este potrivit în opinia Daimler AG. Cu to</w:t>
      </w:r>
      <w:r>
        <w:rPr>
          <w:rFonts w:ascii="Times New Roman" w:hAnsi="Times New Roman" w:cs="Times New Roman"/>
          <w:bCs/>
          <w:sz w:val="24"/>
        </w:rPr>
        <w:t>ate acestea, această deductibilitate</w:t>
      </w:r>
      <w:r w:rsidR="007D0FD9" w:rsidRPr="007D0FD9">
        <w:rPr>
          <w:rFonts w:ascii="Times New Roman" w:hAnsi="Times New Roman" w:cs="Times New Roman"/>
          <w:bCs/>
          <w:sz w:val="24"/>
        </w:rPr>
        <w:t xml:space="preserve"> nu corespunde cu deductibilitatea legal necesară pentru membrii Consiliului de administrație, în cuantum de cel puțin 10% din daune până la cel puțin una și jumătate din remunerația anuală fixă. Întrucât structura de remunerare a consiliului de supraveghere este limitată la o remunerație fixă ​​legată de funcție fără componente de bonus de performanță, stabilirea unei deductibile pentru membrii consiliului de supraveghere în sumă de 1,5 ori remunerația anuală fixă ​​ar avea un impact economic disproporționat în comparație cu membrii din Consiliul de administrație, a cărui compensare constă în component</w:t>
      </w:r>
      <w:r w:rsidR="00437D7A">
        <w:rPr>
          <w:rFonts w:ascii="Times New Roman" w:hAnsi="Times New Roman" w:cs="Times New Roman"/>
          <w:bCs/>
          <w:sz w:val="24"/>
        </w:rPr>
        <w:t>e bonus și de performanță fixe.</w:t>
      </w:r>
    </w:p>
    <w:p w14:paraId="4DE487A2" w14:textId="39DCC422" w:rsidR="00437D7A" w:rsidRPr="00437D7A" w:rsidRDefault="00437D7A" w:rsidP="00437D7A">
      <w:pPr>
        <w:spacing w:after="0" w:line="360" w:lineRule="auto"/>
        <w:contextualSpacing/>
        <w:jc w:val="both"/>
        <w:rPr>
          <w:rFonts w:ascii="Times New Roman" w:hAnsi="Times New Roman" w:cs="Times New Roman"/>
          <w:bCs/>
          <w:sz w:val="24"/>
        </w:rPr>
      </w:pPr>
      <w:r>
        <w:rPr>
          <w:rFonts w:ascii="Times New Roman" w:hAnsi="Times New Roman" w:cs="Times New Roman"/>
          <w:bCs/>
          <w:sz w:val="24"/>
        </w:rPr>
        <w:tab/>
      </w:r>
      <w:r w:rsidRPr="00437D7A">
        <w:rPr>
          <w:rFonts w:ascii="Times New Roman" w:hAnsi="Times New Roman" w:cs="Times New Roman"/>
          <w:bCs/>
          <w:sz w:val="24"/>
        </w:rPr>
        <w:t xml:space="preserve">Conform recomandării din clauza 5.4.5 Paragraful 1 Propoziția 2- Numărul maxim de mandate ale consiliului de supraveghere pentru membrii consiliului de administrație al unei companii listate, membrii consiliului de administrație al unei societăți listate nu vor accepta mai mult de un total de trei </w:t>
      </w:r>
      <w:r>
        <w:rPr>
          <w:rFonts w:ascii="Times New Roman" w:hAnsi="Times New Roman" w:cs="Times New Roman"/>
          <w:bCs/>
          <w:sz w:val="24"/>
        </w:rPr>
        <w:t>m</w:t>
      </w:r>
      <w:r w:rsidRPr="00437D7A">
        <w:rPr>
          <w:rFonts w:ascii="Times New Roman" w:hAnsi="Times New Roman" w:cs="Times New Roman"/>
          <w:bCs/>
          <w:sz w:val="24"/>
        </w:rPr>
        <w:t xml:space="preserve">andate ale consiliului de supraveghere </w:t>
      </w:r>
      <w:r>
        <w:rPr>
          <w:rFonts w:ascii="Times New Roman" w:hAnsi="Times New Roman" w:cs="Times New Roman"/>
          <w:bCs/>
          <w:sz w:val="24"/>
        </w:rPr>
        <w:t xml:space="preserve">sau </w:t>
      </w:r>
      <w:r w:rsidRPr="00437D7A">
        <w:rPr>
          <w:rFonts w:ascii="Times New Roman" w:hAnsi="Times New Roman" w:cs="Times New Roman"/>
          <w:bCs/>
          <w:sz w:val="24"/>
        </w:rPr>
        <w:t>ale consiliului de administrație în cadrul companiilor listate în grupuri sau în organele de supraveghere ale entităților non-grup care îndeplinesc cerințe similare</w:t>
      </w:r>
      <w:r>
        <w:rPr>
          <w:rFonts w:ascii="Times New Roman" w:hAnsi="Times New Roman" w:cs="Times New Roman"/>
          <w:bCs/>
          <w:sz w:val="24"/>
        </w:rPr>
        <w:t>.</w:t>
      </w:r>
      <w:r w:rsidRPr="00437D7A">
        <w:rPr>
          <w:rFonts w:ascii="Times New Roman" w:hAnsi="Times New Roman" w:cs="Times New Roman"/>
          <w:bCs/>
          <w:sz w:val="24"/>
        </w:rPr>
        <w:t xml:space="preserve"> Dacă numărul de mandate deținute de membrii comisiilor de administrație ale companiilor listate pare totuși adecvat, totuși, trebuie evaluat mai adecvat de la caz la caz decât de o limită superioară rigidă. Volumul individual de muncă preconizat pentru un membru al consiliului de administrație ca urmare a numărului total de mandate deținute nu crește neapărat proporțional cu numărul acestora.</w:t>
      </w:r>
    </w:p>
    <w:p w14:paraId="647A8FAC" w14:textId="5C6591CF" w:rsidR="00437D7A" w:rsidRPr="007D0FD9" w:rsidRDefault="00437D7A" w:rsidP="00437D7A">
      <w:pPr>
        <w:spacing w:after="0" w:line="360" w:lineRule="auto"/>
        <w:contextualSpacing/>
        <w:jc w:val="both"/>
        <w:rPr>
          <w:rFonts w:ascii="Times New Roman" w:hAnsi="Times New Roman" w:cs="Times New Roman"/>
          <w:bCs/>
          <w:sz w:val="24"/>
        </w:rPr>
      </w:pPr>
      <w:r>
        <w:rPr>
          <w:rFonts w:ascii="Times New Roman" w:hAnsi="Times New Roman" w:cs="Times New Roman"/>
          <w:bCs/>
          <w:sz w:val="24"/>
        </w:rPr>
        <w:tab/>
      </w:r>
      <w:r w:rsidRPr="00437D7A">
        <w:rPr>
          <w:rFonts w:ascii="Times New Roman" w:hAnsi="Times New Roman" w:cs="Times New Roman"/>
          <w:bCs/>
          <w:sz w:val="24"/>
        </w:rPr>
        <w:t>Pentru a obține un succes de afaceri pe termen lung și, astfel, durabil, pe această bază, obiectivul Daimler este să se asigure că toate activitățile sunt în armonie cu mediul și cu societatea. Daimler a definit cele mai importante principii din Codul de integritate, care servește ca un cadru de referință pentru toți angajații de la Daimler și Grup și îi sprijină în luarea deciziilor corecte chiar și î</w:t>
      </w:r>
      <w:r>
        <w:rPr>
          <w:rFonts w:ascii="Times New Roman" w:hAnsi="Times New Roman" w:cs="Times New Roman"/>
          <w:bCs/>
          <w:sz w:val="24"/>
        </w:rPr>
        <w:t>n situații de afaceri dificile.</w:t>
      </w:r>
    </w:p>
    <w:p w14:paraId="1394CB58" w14:textId="59DF5AB3" w:rsidR="007D0FD9" w:rsidRDefault="00437D7A" w:rsidP="007D0FD9">
      <w:pPr>
        <w:spacing w:after="0" w:line="360" w:lineRule="auto"/>
        <w:contextualSpacing/>
        <w:jc w:val="both"/>
        <w:rPr>
          <w:rFonts w:ascii="Times New Roman" w:hAnsi="Times New Roman" w:cs="Times New Roman"/>
          <w:bCs/>
          <w:sz w:val="24"/>
        </w:rPr>
      </w:pPr>
      <w:r>
        <w:rPr>
          <w:rFonts w:ascii="Times New Roman" w:hAnsi="Times New Roman" w:cs="Times New Roman"/>
          <w:bCs/>
          <w:sz w:val="24"/>
        </w:rPr>
        <w:tab/>
      </w:r>
      <w:r w:rsidR="007D0FD9" w:rsidRPr="007D0FD9">
        <w:rPr>
          <w:rFonts w:ascii="Times New Roman" w:hAnsi="Times New Roman" w:cs="Times New Roman"/>
          <w:bCs/>
          <w:sz w:val="24"/>
        </w:rPr>
        <w:t xml:space="preserve">Daimler își pregătește situațiile financiare consolidate și rapoartele financiare interimare în conformitate cu Standardele Internaționale de Raportare Financiară (IFRS), astfel cum au fost adoptate de Uniunea Europeană. Situațiile financiare anuale ale Daimler AG sunt întocmite în </w:t>
      </w:r>
      <w:r w:rsidR="007D0FD9" w:rsidRPr="007D0FD9">
        <w:rPr>
          <w:rFonts w:ascii="Times New Roman" w:hAnsi="Times New Roman" w:cs="Times New Roman"/>
          <w:bCs/>
          <w:sz w:val="24"/>
        </w:rPr>
        <w:lastRenderedPageBreak/>
        <w:t>conformitate cu standardele contabile ale Codului comercial german (HGB). Daimler pregătește atât rapoarte financiare semestriale, cât și trimestriale. Auditorii externi audită situațiile financiare anuale ale companiei și situațiile financiare consolidate ale Daimler AG; auditorii externi examinează rapoartele financiare interimare. Situațiile financiare consolidate și rapoartele de administrare a Grupului sunt accesibile publicului pe site-ul web al companiei în termen de 90 de zile de la sfârșitul anului de raportare; rapoartele financiare interimare sunt accesibile publicului în aceeași manieră în termen de 45 de zile de la sfârșitul perioadei de raportare.</w:t>
      </w:r>
    </w:p>
    <w:p w14:paraId="6049A95A" w14:textId="5856918C" w:rsidR="003617DA" w:rsidRDefault="008C6889" w:rsidP="00D43CF5">
      <w:pPr>
        <w:spacing w:after="0" w:line="360" w:lineRule="auto"/>
        <w:contextualSpacing/>
        <w:jc w:val="both"/>
        <w:rPr>
          <w:rFonts w:ascii="Times New Roman" w:hAnsi="Times New Roman" w:cs="Times New Roman"/>
          <w:bCs/>
          <w:sz w:val="24"/>
        </w:rPr>
      </w:pPr>
      <w:r w:rsidRPr="007D0FD9">
        <w:rPr>
          <w:rFonts w:ascii="Times New Roman" w:hAnsi="Times New Roman" w:cs="Times New Roman"/>
          <w:bCs/>
          <w:sz w:val="24"/>
        </w:rPr>
        <w:tab/>
      </w:r>
      <w:r w:rsidR="007D0FD9" w:rsidRPr="007D0FD9">
        <w:rPr>
          <w:rFonts w:ascii="Times New Roman" w:hAnsi="Times New Roman" w:cs="Times New Roman"/>
          <w:bCs/>
          <w:sz w:val="24"/>
        </w:rPr>
        <w:t xml:space="preserve">Daimler este obligată prin </w:t>
      </w:r>
      <w:r w:rsidR="00437D7A" w:rsidRPr="00437D7A">
        <w:rPr>
          <w:rFonts w:ascii="Times New Roman" w:hAnsi="Times New Roman" w:cs="Times New Roman"/>
          <w:bCs/>
          <w:sz w:val="24"/>
        </w:rPr>
        <w:t xml:space="preserve">Legea privind societățile pe acțiuni </w:t>
      </w:r>
      <w:r w:rsidR="00437D7A">
        <w:rPr>
          <w:rFonts w:ascii="Times New Roman" w:hAnsi="Times New Roman" w:cs="Times New Roman"/>
          <w:bCs/>
          <w:sz w:val="24"/>
        </w:rPr>
        <w:t>din Germania</w:t>
      </w:r>
      <w:r w:rsidR="00437D7A" w:rsidRPr="00437D7A">
        <w:rPr>
          <w:rFonts w:ascii="Times New Roman" w:hAnsi="Times New Roman" w:cs="Times New Roman"/>
          <w:bCs/>
          <w:sz w:val="24"/>
        </w:rPr>
        <w:t xml:space="preserve"> </w:t>
      </w:r>
      <w:r w:rsidR="007D0FD9" w:rsidRPr="007D0FD9">
        <w:rPr>
          <w:rFonts w:ascii="Times New Roman" w:hAnsi="Times New Roman" w:cs="Times New Roman"/>
          <w:bCs/>
          <w:sz w:val="24"/>
        </w:rPr>
        <w:t>(</w:t>
      </w:r>
      <w:proofErr w:type="spellStart"/>
      <w:r w:rsidR="007D0FD9" w:rsidRPr="007D0FD9">
        <w:rPr>
          <w:rFonts w:ascii="Times New Roman" w:hAnsi="Times New Roman" w:cs="Times New Roman"/>
          <w:bCs/>
          <w:sz w:val="24"/>
        </w:rPr>
        <w:t>AktG</w:t>
      </w:r>
      <w:proofErr w:type="spellEnd"/>
      <w:r w:rsidR="007D0FD9" w:rsidRPr="007D0FD9">
        <w:rPr>
          <w:rFonts w:ascii="Times New Roman" w:hAnsi="Times New Roman" w:cs="Times New Roman"/>
          <w:bCs/>
          <w:sz w:val="24"/>
        </w:rPr>
        <w:t>) să aplice un sistem de administrare duală, cu separare strictă personală și funcțională între Consiliul de administrație și Consiliul de supraveghere (consiliul cu două niveluri). În consecință, Consiliul de administrație administrează compania în timp ce Consiliul de supraveghere monitorizează și consiliază Consiliul de administrație.</w:t>
      </w:r>
    </w:p>
    <w:p w14:paraId="5B86799F" w14:textId="6A72BF3B" w:rsidR="00E2105D" w:rsidRPr="007D0FD9" w:rsidRDefault="007D0FD9" w:rsidP="00D43CF5">
      <w:pPr>
        <w:spacing w:after="0" w:line="360" w:lineRule="auto"/>
        <w:contextualSpacing/>
        <w:jc w:val="both"/>
        <w:rPr>
          <w:rFonts w:ascii="Times New Roman" w:hAnsi="Times New Roman" w:cs="Times New Roman"/>
          <w:b/>
          <w:sz w:val="24"/>
        </w:rPr>
      </w:pPr>
      <w:r w:rsidRPr="007D0FD9">
        <w:rPr>
          <w:rFonts w:ascii="Times New Roman" w:hAnsi="Times New Roman" w:cs="Times New Roman"/>
          <w:b/>
          <w:sz w:val="24"/>
        </w:rPr>
        <w:t>Concluzie și direcție de cercetare ulterioară</w:t>
      </w:r>
      <w:r w:rsidR="00E501D5" w:rsidRPr="007D0FD9">
        <w:rPr>
          <w:rFonts w:ascii="Times New Roman" w:hAnsi="Times New Roman" w:cs="Times New Roman"/>
          <w:b/>
          <w:sz w:val="24"/>
        </w:rPr>
        <w:tab/>
      </w:r>
    </w:p>
    <w:p w14:paraId="2F8D250C" w14:textId="77777777" w:rsidR="007D0FD9" w:rsidRPr="007D0FD9" w:rsidRDefault="007D0FD9" w:rsidP="007D0FD9">
      <w:pPr>
        <w:spacing w:after="0" w:line="360" w:lineRule="auto"/>
        <w:contextualSpacing/>
        <w:jc w:val="both"/>
        <w:rPr>
          <w:rFonts w:ascii="Times New Roman" w:hAnsi="Times New Roman" w:cs="Times New Roman"/>
          <w:bCs/>
          <w:sz w:val="24"/>
        </w:rPr>
      </w:pPr>
      <w:r w:rsidRPr="007D0FD9">
        <w:rPr>
          <w:rFonts w:ascii="Times New Roman" w:hAnsi="Times New Roman" w:cs="Times New Roman"/>
          <w:bCs/>
          <w:sz w:val="24"/>
        </w:rPr>
        <w:t>În conformitate cu legislația germană privind participarea egală a femeilor și a bărbaților în funcții de conducere atât în ​​sectorul privat, cât și în sectorul public, consiliile de supraveghere ale companiilor listate sau ale companiilor supuse sistemului de codificare a Germaniei trebuie să stabilească o țintă pentru proporția de femei pe care le Consiliul de Administrație. Consiliul de administrație al unei astfel de companii trebuie să stabilească o țintă pentru proporția de femei la cele două niveluri de conducere sub cea a consiliului de administrație. Dacă proporțiile femeilor în momentul în care aceste ținte sunt stabilite de consiliul de administrație și consiliul de supraveghere sunt sub 30%, țintele pot să nu fie mai mici decât proporțiile deja atinse. În același timp în care sunt stabilite obiectivele, comisiile trebuie să stabilească perioade pentru realizarea lor, care nu pot depăși cinci ani.</w:t>
      </w:r>
    </w:p>
    <w:p w14:paraId="54D30883" w14:textId="77777777" w:rsidR="007D0FD9" w:rsidRPr="007D0FD9" w:rsidRDefault="007D0FD9" w:rsidP="007D0FD9">
      <w:pPr>
        <w:spacing w:after="0" w:line="360" w:lineRule="auto"/>
        <w:contextualSpacing/>
        <w:jc w:val="both"/>
        <w:rPr>
          <w:rFonts w:ascii="Times New Roman" w:hAnsi="Times New Roman" w:cs="Times New Roman"/>
          <w:bCs/>
          <w:sz w:val="24"/>
        </w:rPr>
      </w:pPr>
      <w:r w:rsidRPr="007D0FD9">
        <w:rPr>
          <w:rFonts w:ascii="Times New Roman" w:hAnsi="Times New Roman" w:cs="Times New Roman"/>
          <w:bCs/>
          <w:sz w:val="24"/>
        </w:rPr>
        <w:t>Deoarece se anunță că noul Cod al guvernanței corporative germane va fi realizat în acest an, auditorii au recomandat Consiliului de Supraveghere să revizuiască profilurile de cerințe generale pentru compoziția proprie și componența Consiliului de administrație.</w:t>
      </w:r>
    </w:p>
    <w:p w14:paraId="3EFA6A8C" w14:textId="77777777" w:rsidR="007D0FD9" w:rsidRPr="007D0FD9" w:rsidRDefault="007D0FD9" w:rsidP="007D0FD9">
      <w:pPr>
        <w:spacing w:after="0" w:line="360" w:lineRule="auto"/>
        <w:contextualSpacing/>
        <w:jc w:val="both"/>
        <w:rPr>
          <w:rFonts w:ascii="Times New Roman" w:hAnsi="Times New Roman" w:cs="Times New Roman"/>
          <w:bCs/>
          <w:sz w:val="24"/>
        </w:rPr>
      </w:pPr>
      <w:r w:rsidRPr="007D0FD9">
        <w:rPr>
          <w:rFonts w:ascii="Times New Roman" w:hAnsi="Times New Roman" w:cs="Times New Roman"/>
          <w:bCs/>
          <w:sz w:val="24"/>
        </w:rPr>
        <w:t>Modificările semnificative ale Codului guvernanței corporative germane în comparație cu versiunea din 7 februarie 2017 se referă în special la următoarele:</w:t>
      </w:r>
    </w:p>
    <w:p w14:paraId="27D65859" w14:textId="542807C1" w:rsidR="007D0FD9" w:rsidRPr="00EA532F" w:rsidRDefault="007D0FD9" w:rsidP="00EA532F">
      <w:pPr>
        <w:pStyle w:val="ListParagraph"/>
        <w:numPr>
          <w:ilvl w:val="0"/>
          <w:numId w:val="20"/>
        </w:numPr>
        <w:spacing w:after="0" w:line="360" w:lineRule="auto"/>
        <w:jc w:val="both"/>
        <w:rPr>
          <w:rFonts w:ascii="Times New Roman" w:hAnsi="Times New Roman" w:cs="Times New Roman"/>
          <w:bCs/>
          <w:sz w:val="24"/>
        </w:rPr>
      </w:pPr>
      <w:r w:rsidRPr="00EA532F">
        <w:rPr>
          <w:rFonts w:ascii="Times New Roman" w:hAnsi="Times New Roman" w:cs="Times New Roman"/>
          <w:bCs/>
          <w:sz w:val="24"/>
        </w:rPr>
        <w:t>Introducerea de principii pentru informarea cu privire la cerințele legale materiale privind guvernanța responsabilă;</w:t>
      </w:r>
    </w:p>
    <w:p w14:paraId="65081FDA" w14:textId="0D285A55" w:rsidR="007D0FD9" w:rsidRPr="00EA532F" w:rsidRDefault="007D0FD9" w:rsidP="00EA532F">
      <w:pPr>
        <w:pStyle w:val="ListParagraph"/>
        <w:numPr>
          <w:ilvl w:val="0"/>
          <w:numId w:val="20"/>
        </w:numPr>
        <w:spacing w:after="0" w:line="360" w:lineRule="auto"/>
        <w:jc w:val="both"/>
        <w:rPr>
          <w:rFonts w:ascii="Times New Roman" w:hAnsi="Times New Roman" w:cs="Times New Roman"/>
          <w:bCs/>
          <w:sz w:val="24"/>
        </w:rPr>
      </w:pPr>
      <w:r w:rsidRPr="00EA532F">
        <w:rPr>
          <w:rFonts w:ascii="Times New Roman" w:hAnsi="Times New Roman" w:cs="Times New Roman"/>
          <w:bCs/>
          <w:sz w:val="24"/>
        </w:rPr>
        <w:t>Precizarea cerinței de independență cu privire la reprezentanții acționarilor din Consiliul de supraveghere, care este un obiectiv pentru Comisia guvernamentală;</w:t>
      </w:r>
    </w:p>
    <w:p w14:paraId="03BAE004" w14:textId="75E392ED" w:rsidR="007D0FD9" w:rsidRPr="00EA532F" w:rsidRDefault="007D0FD9" w:rsidP="00EA532F">
      <w:pPr>
        <w:pStyle w:val="ListParagraph"/>
        <w:numPr>
          <w:ilvl w:val="0"/>
          <w:numId w:val="20"/>
        </w:numPr>
        <w:spacing w:after="0" w:line="360" w:lineRule="auto"/>
        <w:jc w:val="both"/>
        <w:rPr>
          <w:rFonts w:ascii="Times New Roman" w:hAnsi="Times New Roman" w:cs="Times New Roman"/>
          <w:bCs/>
          <w:sz w:val="24"/>
        </w:rPr>
      </w:pPr>
      <w:r w:rsidRPr="00EA532F">
        <w:rPr>
          <w:rFonts w:ascii="Times New Roman" w:hAnsi="Times New Roman" w:cs="Times New Roman"/>
          <w:bCs/>
          <w:sz w:val="24"/>
        </w:rPr>
        <w:t xml:space="preserve">Un catalog de criterii care să ofere îndrumări pentru situația în care un reprezentant al acționarilor în Consiliul de Supraveghere nu mai poate fi considerat independent. Un alt accent este pus pe retratarea recomandărilor privind remunerația consiliului de administrație. </w:t>
      </w:r>
      <w:r w:rsidRPr="00EA532F">
        <w:rPr>
          <w:rFonts w:ascii="Times New Roman" w:hAnsi="Times New Roman" w:cs="Times New Roman"/>
          <w:bCs/>
          <w:sz w:val="24"/>
        </w:rPr>
        <w:lastRenderedPageBreak/>
        <w:t>Noile recomandări reflectă cele mai bune practici internaționale și îndeplinesc standardele Legii la a doua directivă privind drepturile acționarilor (ARUG II).</w:t>
      </w:r>
    </w:p>
    <w:p w14:paraId="3330A98F" w14:textId="3FE5D0E7" w:rsidR="007D0FD9" w:rsidRPr="00EA532F" w:rsidRDefault="007D0FD9" w:rsidP="00EA532F">
      <w:pPr>
        <w:pStyle w:val="ListParagraph"/>
        <w:numPr>
          <w:ilvl w:val="0"/>
          <w:numId w:val="20"/>
        </w:numPr>
        <w:spacing w:after="0" w:line="360" w:lineRule="auto"/>
        <w:jc w:val="both"/>
        <w:rPr>
          <w:rFonts w:ascii="Times New Roman" w:hAnsi="Times New Roman" w:cs="Times New Roman"/>
          <w:bCs/>
          <w:sz w:val="24"/>
        </w:rPr>
      </w:pPr>
      <w:r w:rsidRPr="00EA532F">
        <w:rPr>
          <w:rFonts w:ascii="Times New Roman" w:hAnsi="Times New Roman" w:cs="Times New Roman"/>
          <w:bCs/>
          <w:sz w:val="24"/>
        </w:rPr>
        <w:t>În cele din urmă, raportarea guvernanței corporative este simplificată plasându-l exclusiv în Declarația de guvernanță corporativă.</w:t>
      </w:r>
    </w:p>
    <w:p w14:paraId="6CE59DF3" w14:textId="77777777" w:rsidR="007D0FD9" w:rsidRPr="007D0FD9" w:rsidRDefault="007D0FD9" w:rsidP="007D0FD9">
      <w:pPr>
        <w:spacing w:after="0" w:line="360" w:lineRule="auto"/>
        <w:contextualSpacing/>
        <w:jc w:val="both"/>
        <w:rPr>
          <w:rFonts w:ascii="Times New Roman" w:hAnsi="Times New Roman" w:cs="Times New Roman"/>
          <w:bCs/>
          <w:sz w:val="24"/>
        </w:rPr>
      </w:pPr>
      <w:r w:rsidRPr="007D0FD9">
        <w:rPr>
          <w:rFonts w:ascii="Times New Roman" w:hAnsi="Times New Roman" w:cs="Times New Roman"/>
          <w:bCs/>
          <w:sz w:val="24"/>
        </w:rPr>
        <w:t>Guvernanța corporativă germană, la fel ca toate sistemele de guvernanță corporativă, s-a implicat într-un mod propriu unic din cauza evoluțiilor istorice, politice, sociale și economice distincte.</w:t>
      </w:r>
    </w:p>
    <w:p w14:paraId="6BAD4C68" w14:textId="2BBA19AD" w:rsidR="00551303" w:rsidRDefault="00EA532F" w:rsidP="007D0FD9">
      <w:pPr>
        <w:spacing w:after="0" w:line="360" w:lineRule="auto"/>
        <w:contextualSpacing/>
        <w:jc w:val="both"/>
        <w:rPr>
          <w:rFonts w:ascii="Times New Roman" w:hAnsi="Times New Roman" w:cs="Times New Roman"/>
          <w:bCs/>
          <w:sz w:val="24"/>
        </w:rPr>
      </w:pPr>
      <w:r>
        <w:rPr>
          <w:rFonts w:ascii="Times New Roman" w:hAnsi="Times New Roman" w:cs="Times New Roman"/>
          <w:bCs/>
          <w:sz w:val="24"/>
        </w:rPr>
        <w:tab/>
      </w:r>
      <w:r w:rsidR="007D0FD9" w:rsidRPr="007D0FD9">
        <w:rPr>
          <w:rFonts w:ascii="Times New Roman" w:hAnsi="Times New Roman" w:cs="Times New Roman"/>
          <w:bCs/>
          <w:sz w:val="24"/>
        </w:rPr>
        <w:t>Desfășurarea activității Daimler se bazează pe standarde la nivelul întregului grup care depășesc cerințele legislației relevante și ale Codului guvernanței corporative germane. Aceste standarde se bazează pe patru valori corporative integritate, respect, pasiune și disciplină și reprezintă un factor cheie în succesul industriei auto din Germania.</w:t>
      </w:r>
    </w:p>
    <w:p w14:paraId="1D77C403" w14:textId="77777777" w:rsidR="00EA532F" w:rsidRPr="007D0FD9" w:rsidRDefault="00EA532F" w:rsidP="007D0FD9">
      <w:pPr>
        <w:spacing w:after="0" w:line="360" w:lineRule="auto"/>
        <w:contextualSpacing/>
        <w:jc w:val="both"/>
        <w:rPr>
          <w:rFonts w:ascii="Times New Roman" w:hAnsi="Times New Roman" w:cs="Times New Roman"/>
          <w:bCs/>
          <w:sz w:val="24"/>
        </w:rPr>
      </w:pPr>
    </w:p>
    <w:p w14:paraId="2459E0D8" w14:textId="3EE05260" w:rsidR="005B5CBB" w:rsidRPr="007D0FD9" w:rsidRDefault="00EA532F" w:rsidP="00D43CF5">
      <w:pPr>
        <w:spacing w:after="0" w:line="360" w:lineRule="auto"/>
        <w:contextualSpacing/>
        <w:jc w:val="both"/>
        <w:rPr>
          <w:rFonts w:ascii="Times New Roman" w:hAnsi="Times New Roman" w:cs="Times New Roman"/>
          <w:b/>
          <w:bCs/>
          <w:sz w:val="24"/>
        </w:rPr>
      </w:pPr>
      <w:r>
        <w:rPr>
          <w:rFonts w:ascii="Times New Roman" w:hAnsi="Times New Roman" w:cs="Times New Roman"/>
          <w:b/>
          <w:bCs/>
          <w:sz w:val="24"/>
        </w:rPr>
        <w:t>Referi</w:t>
      </w:r>
      <w:r w:rsidR="005B5CBB" w:rsidRPr="007D0FD9">
        <w:rPr>
          <w:rFonts w:ascii="Times New Roman" w:hAnsi="Times New Roman" w:cs="Times New Roman"/>
          <w:b/>
          <w:bCs/>
          <w:sz w:val="24"/>
        </w:rPr>
        <w:t>n</w:t>
      </w:r>
      <w:r>
        <w:rPr>
          <w:rFonts w:ascii="Times New Roman" w:hAnsi="Times New Roman" w:cs="Times New Roman"/>
          <w:b/>
          <w:bCs/>
          <w:sz w:val="24"/>
        </w:rPr>
        <w:t>țe</w:t>
      </w:r>
    </w:p>
    <w:p w14:paraId="79F4BF15" w14:textId="377BEF99" w:rsidR="006A55AA" w:rsidRPr="007D0FD9" w:rsidRDefault="006A55AA" w:rsidP="005B5CBB">
      <w:pPr>
        <w:spacing w:after="0" w:line="360" w:lineRule="auto"/>
        <w:contextualSpacing/>
        <w:jc w:val="both"/>
        <w:rPr>
          <w:rFonts w:ascii="Times New Roman" w:hAnsi="Times New Roman" w:cs="Times New Roman"/>
          <w:bCs/>
          <w:sz w:val="24"/>
        </w:rPr>
      </w:pPr>
    </w:p>
    <w:p w14:paraId="563FD9A5" w14:textId="183E404E" w:rsidR="006A55AA" w:rsidRPr="007D0FD9" w:rsidRDefault="006A55AA" w:rsidP="006A55AA">
      <w:pPr>
        <w:pStyle w:val="ListParagraph"/>
        <w:numPr>
          <w:ilvl w:val="0"/>
          <w:numId w:val="19"/>
        </w:numPr>
        <w:spacing w:after="0" w:line="360" w:lineRule="auto"/>
        <w:rPr>
          <w:rFonts w:ascii="Times New Roman" w:hAnsi="Times New Roman" w:cs="Times New Roman"/>
          <w:bCs/>
          <w:sz w:val="24"/>
        </w:rPr>
      </w:pPr>
      <w:proofErr w:type="spellStart"/>
      <w:r w:rsidRPr="007D0FD9">
        <w:rPr>
          <w:rFonts w:ascii="Times New Roman" w:hAnsi="Times New Roman" w:cs="Times New Roman"/>
          <w:bCs/>
          <w:sz w:val="24"/>
        </w:rPr>
        <w:t>About</w:t>
      </w:r>
      <w:proofErr w:type="spellEnd"/>
      <w:r w:rsidRPr="007D0FD9">
        <w:rPr>
          <w:rFonts w:ascii="Times New Roman" w:hAnsi="Times New Roman" w:cs="Times New Roman"/>
          <w:bCs/>
          <w:sz w:val="24"/>
        </w:rPr>
        <w:t xml:space="preserve"> Company, Daimler AG, 2020 &lt;https://www.daimler.com/company/&gt;</w:t>
      </w:r>
    </w:p>
    <w:p w14:paraId="06B1B3B9" w14:textId="77777777" w:rsidR="00E32AD1" w:rsidRPr="007D0FD9" w:rsidRDefault="005B5CBB" w:rsidP="006A55AA">
      <w:pPr>
        <w:pStyle w:val="ListParagraph"/>
        <w:numPr>
          <w:ilvl w:val="0"/>
          <w:numId w:val="19"/>
        </w:numPr>
        <w:spacing w:after="0" w:line="360" w:lineRule="auto"/>
        <w:rPr>
          <w:rFonts w:ascii="Times New Roman" w:hAnsi="Times New Roman" w:cs="Times New Roman"/>
          <w:bCs/>
          <w:sz w:val="24"/>
        </w:rPr>
      </w:pPr>
      <w:proofErr w:type="spellStart"/>
      <w:r w:rsidRPr="007D0FD9">
        <w:rPr>
          <w:rFonts w:ascii="Times New Roman" w:hAnsi="Times New Roman" w:cs="Times New Roman"/>
          <w:bCs/>
          <w:sz w:val="24"/>
        </w:rPr>
        <w:t>Annual</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Reports</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including</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combined</w:t>
      </w:r>
      <w:proofErr w:type="spellEnd"/>
      <w:r w:rsidRPr="007D0FD9">
        <w:rPr>
          <w:rFonts w:ascii="Times New Roman" w:hAnsi="Times New Roman" w:cs="Times New Roman"/>
          <w:bCs/>
          <w:sz w:val="24"/>
        </w:rPr>
        <w:t xml:space="preserve"> Management Report, Daimler </w:t>
      </w:r>
      <w:r w:rsidR="006A55AA" w:rsidRPr="007D0FD9">
        <w:rPr>
          <w:rFonts w:ascii="Times New Roman" w:hAnsi="Times New Roman" w:cs="Times New Roman"/>
          <w:bCs/>
          <w:sz w:val="24"/>
        </w:rPr>
        <w:t xml:space="preserve">AG, 2017, 2018, </w:t>
      </w:r>
      <w:r w:rsidRPr="007D0FD9">
        <w:rPr>
          <w:rFonts w:ascii="Times New Roman" w:hAnsi="Times New Roman" w:cs="Times New Roman"/>
          <w:bCs/>
          <w:sz w:val="24"/>
        </w:rPr>
        <w:t>2019.</w:t>
      </w:r>
    </w:p>
    <w:p w14:paraId="65C65A67" w14:textId="7BAD9B4E" w:rsidR="005B5CBB" w:rsidRPr="007D0FD9" w:rsidRDefault="005B5CBB" w:rsidP="00551303">
      <w:pPr>
        <w:pStyle w:val="ListParagraph"/>
        <w:spacing w:after="0" w:line="360" w:lineRule="auto"/>
        <w:rPr>
          <w:rFonts w:ascii="Times New Roman" w:hAnsi="Times New Roman" w:cs="Times New Roman"/>
          <w:bCs/>
          <w:sz w:val="24"/>
        </w:rPr>
      </w:pPr>
      <w:r w:rsidRPr="007D0FD9">
        <w:rPr>
          <w:rFonts w:ascii="Times New Roman" w:hAnsi="Times New Roman" w:cs="Times New Roman"/>
          <w:bCs/>
          <w:sz w:val="24"/>
        </w:rPr>
        <w:t xml:space="preserve">&lt;https://www.daimler.com/investors/reports-news/annual-reports/archive-ar.html&gt; </w:t>
      </w:r>
    </w:p>
    <w:p w14:paraId="487731FD" w14:textId="6A0AE935" w:rsidR="003A4E8F" w:rsidRPr="007D0FD9" w:rsidRDefault="005B5CBB" w:rsidP="003A4E8F">
      <w:pPr>
        <w:pStyle w:val="ListParagraph"/>
        <w:numPr>
          <w:ilvl w:val="0"/>
          <w:numId w:val="19"/>
        </w:numPr>
        <w:spacing w:after="0" w:line="360" w:lineRule="auto"/>
        <w:jc w:val="both"/>
        <w:rPr>
          <w:rFonts w:ascii="Times New Roman" w:hAnsi="Times New Roman" w:cs="Times New Roman"/>
          <w:bCs/>
          <w:sz w:val="24"/>
        </w:rPr>
      </w:pPr>
      <w:r w:rsidRPr="007D0FD9">
        <w:rPr>
          <w:rFonts w:ascii="Times New Roman" w:hAnsi="Times New Roman" w:cs="Times New Roman"/>
          <w:bCs/>
          <w:sz w:val="24"/>
        </w:rPr>
        <w:t xml:space="preserve">Becker, Helmut. </w:t>
      </w:r>
      <w:proofErr w:type="spellStart"/>
      <w:r w:rsidRPr="007D0FD9">
        <w:rPr>
          <w:rFonts w:ascii="Times New Roman" w:hAnsi="Times New Roman" w:cs="Times New Roman"/>
          <w:bCs/>
          <w:sz w:val="24"/>
        </w:rPr>
        <w:t>High</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Noon</w:t>
      </w:r>
      <w:proofErr w:type="spellEnd"/>
      <w:r w:rsidRPr="007D0FD9">
        <w:rPr>
          <w:rFonts w:ascii="Times New Roman" w:hAnsi="Times New Roman" w:cs="Times New Roman"/>
          <w:bCs/>
          <w:sz w:val="24"/>
        </w:rPr>
        <w:t xml:space="preserve"> in </w:t>
      </w:r>
      <w:proofErr w:type="spellStart"/>
      <w:r w:rsidRPr="007D0FD9">
        <w:rPr>
          <w:rFonts w:ascii="Times New Roman" w:hAnsi="Times New Roman" w:cs="Times New Roman"/>
          <w:bCs/>
          <w:sz w:val="24"/>
        </w:rPr>
        <w:t>the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Automotive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Illdustry</w:t>
      </w:r>
      <w:proofErr w:type="spellEnd"/>
      <w:r w:rsidRPr="007D0FD9">
        <w:rPr>
          <w:rFonts w:ascii="Times New Roman" w:hAnsi="Times New Roman" w:cs="Times New Roman"/>
          <w:bCs/>
          <w:sz w:val="24"/>
        </w:rPr>
        <w:t xml:space="preserve">. Berlin. Springer. 2006. </w:t>
      </w:r>
    </w:p>
    <w:p w14:paraId="769962CB" w14:textId="6F2B1AA5" w:rsidR="005B5CBB" w:rsidRPr="007D0FD9" w:rsidRDefault="003A4E8F" w:rsidP="005B5CBB">
      <w:pPr>
        <w:pStyle w:val="ListParagraph"/>
        <w:numPr>
          <w:ilvl w:val="0"/>
          <w:numId w:val="19"/>
        </w:numPr>
        <w:spacing w:after="0" w:line="360" w:lineRule="auto"/>
        <w:jc w:val="both"/>
        <w:rPr>
          <w:rFonts w:ascii="Times New Roman" w:hAnsi="Times New Roman" w:cs="Times New Roman"/>
          <w:bCs/>
          <w:sz w:val="24"/>
        </w:rPr>
      </w:pPr>
      <w:proofErr w:type="spellStart"/>
      <w:r w:rsidRPr="007D0FD9">
        <w:rPr>
          <w:rFonts w:ascii="Times New Roman" w:hAnsi="Times New Roman" w:cs="Times New Roman"/>
          <w:bCs/>
          <w:sz w:val="24"/>
        </w:rPr>
        <w:t>Claessens</w:t>
      </w:r>
      <w:proofErr w:type="spellEnd"/>
      <w:r w:rsidRPr="007D0FD9">
        <w:rPr>
          <w:rFonts w:ascii="Times New Roman" w:hAnsi="Times New Roman" w:cs="Times New Roman"/>
          <w:bCs/>
          <w:sz w:val="24"/>
        </w:rPr>
        <w:t xml:space="preserve">, S. (2003), </w:t>
      </w:r>
      <w:proofErr w:type="spellStart"/>
      <w:r w:rsidRPr="007D0FD9">
        <w:rPr>
          <w:rFonts w:ascii="Times New Roman" w:hAnsi="Times New Roman" w:cs="Times New Roman"/>
          <w:bCs/>
          <w:sz w:val="24"/>
        </w:rPr>
        <w:t>Corporate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governance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and</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development</w:t>
      </w:r>
      <w:proofErr w:type="spellEnd"/>
      <w:r w:rsidRPr="007D0FD9">
        <w:rPr>
          <w:rFonts w:ascii="Times New Roman" w:hAnsi="Times New Roman" w:cs="Times New Roman"/>
          <w:bCs/>
          <w:sz w:val="24"/>
        </w:rPr>
        <w:t xml:space="preserve">, Global </w:t>
      </w:r>
      <w:proofErr w:type="spellStart"/>
      <w:r w:rsidRPr="007D0FD9">
        <w:rPr>
          <w:rFonts w:ascii="Times New Roman" w:hAnsi="Times New Roman" w:cs="Times New Roman"/>
          <w:bCs/>
          <w:sz w:val="24"/>
        </w:rPr>
        <w:t>Corporate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Governance</w:t>
      </w:r>
      <w:proofErr w:type="spellEnd"/>
      <w:r w:rsidRPr="007D0FD9">
        <w:rPr>
          <w:rFonts w:ascii="Times New Roman" w:hAnsi="Times New Roman" w:cs="Times New Roman"/>
          <w:bCs/>
          <w:sz w:val="24"/>
        </w:rPr>
        <w:t xml:space="preserve"> Forum, World Bank, Washington, D.C.</w:t>
      </w:r>
    </w:p>
    <w:p w14:paraId="5B0B4F5D" w14:textId="77777777" w:rsidR="00E32AD1" w:rsidRPr="007D0FD9" w:rsidRDefault="005B5CBB" w:rsidP="006A55AA">
      <w:pPr>
        <w:pStyle w:val="ListParagraph"/>
        <w:numPr>
          <w:ilvl w:val="0"/>
          <w:numId w:val="19"/>
        </w:numPr>
        <w:spacing w:after="0" w:line="360" w:lineRule="auto"/>
        <w:jc w:val="both"/>
        <w:rPr>
          <w:rFonts w:ascii="Times New Roman" w:hAnsi="Times New Roman" w:cs="Times New Roman"/>
          <w:bCs/>
          <w:sz w:val="24"/>
        </w:rPr>
      </w:pPr>
      <w:proofErr w:type="spellStart"/>
      <w:r w:rsidRPr="007D0FD9">
        <w:rPr>
          <w:rFonts w:ascii="Times New Roman" w:hAnsi="Times New Roman" w:cs="Times New Roman"/>
          <w:bCs/>
          <w:sz w:val="24"/>
        </w:rPr>
        <w:t>Dankbaar</w:t>
      </w:r>
      <w:proofErr w:type="spellEnd"/>
      <w:r w:rsidRPr="007D0FD9">
        <w:rPr>
          <w:rFonts w:ascii="Times New Roman" w:hAnsi="Times New Roman" w:cs="Times New Roman"/>
          <w:bCs/>
          <w:sz w:val="24"/>
        </w:rPr>
        <w:t xml:space="preserve">, Ben. "Scale </w:t>
      </w:r>
      <w:proofErr w:type="spellStart"/>
      <w:r w:rsidRPr="007D0FD9">
        <w:rPr>
          <w:rFonts w:ascii="Times New Roman" w:hAnsi="Times New Roman" w:cs="Times New Roman"/>
          <w:bCs/>
          <w:sz w:val="24"/>
        </w:rPr>
        <w:t>and</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Scope</w:t>
      </w:r>
      <w:proofErr w:type="spellEnd"/>
      <w:r w:rsidRPr="007D0FD9">
        <w:rPr>
          <w:rFonts w:ascii="Times New Roman" w:hAnsi="Times New Roman" w:cs="Times New Roman"/>
          <w:bCs/>
          <w:sz w:val="24"/>
        </w:rPr>
        <w:t xml:space="preserve">: Strategic </w:t>
      </w:r>
      <w:proofErr w:type="spellStart"/>
      <w:r w:rsidRPr="007D0FD9">
        <w:rPr>
          <w:rFonts w:ascii="Times New Roman" w:hAnsi="Times New Roman" w:cs="Times New Roman"/>
          <w:bCs/>
          <w:sz w:val="24"/>
        </w:rPr>
        <w:t>Choices</w:t>
      </w:r>
      <w:proofErr w:type="spellEnd"/>
      <w:r w:rsidRPr="007D0FD9">
        <w:rPr>
          <w:rFonts w:ascii="Times New Roman" w:hAnsi="Times New Roman" w:cs="Times New Roman"/>
          <w:bCs/>
          <w:sz w:val="24"/>
        </w:rPr>
        <w:t xml:space="preserve"> in </w:t>
      </w:r>
      <w:proofErr w:type="spellStart"/>
      <w:r w:rsidRPr="007D0FD9">
        <w:rPr>
          <w:rFonts w:ascii="Times New Roman" w:hAnsi="Times New Roman" w:cs="Times New Roman"/>
          <w:bCs/>
          <w:sz w:val="24"/>
        </w:rPr>
        <w:t>the</w:t>
      </w:r>
      <w:proofErr w:type="spellEnd"/>
      <w:r w:rsidRPr="007D0FD9">
        <w:rPr>
          <w:rFonts w:ascii="Times New Roman" w:hAnsi="Times New Roman" w:cs="Times New Roman"/>
          <w:bCs/>
          <w:sz w:val="24"/>
        </w:rPr>
        <w:t xml:space="preserve"> Ge</w:t>
      </w:r>
      <w:r w:rsidR="00E32AD1" w:rsidRPr="007D0FD9">
        <w:rPr>
          <w:rFonts w:ascii="Times New Roman" w:hAnsi="Times New Roman" w:cs="Times New Roman"/>
          <w:bCs/>
          <w:sz w:val="24"/>
        </w:rPr>
        <w:t xml:space="preserve">rman </w:t>
      </w:r>
      <w:proofErr w:type="spellStart"/>
      <w:r w:rsidR="00E32AD1" w:rsidRPr="007D0FD9">
        <w:rPr>
          <w:rFonts w:ascii="Times New Roman" w:hAnsi="Times New Roman" w:cs="Times New Roman"/>
          <w:bCs/>
          <w:sz w:val="24"/>
        </w:rPr>
        <w:t>Passenger</w:t>
      </w:r>
      <w:proofErr w:type="spellEnd"/>
      <w:r w:rsidR="00E32AD1" w:rsidRPr="007D0FD9">
        <w:rPr>
          <w:rFonts w:ascii="Times New Roman" w:hAnsi="Times New Roman" w:cs="Times New Roman"/>
          <w:bCs/>
          <w:sz w:val="24"/>
        </w:rPr>
        <w:t xml:space="preserve"> Car Industry." </w:t>
      </w:r>
    </w:p>
    <w:p w14:paraId="6C6283C4" w14:textId="55C4D40D" w:rsidR="005B5CBB" w:rsidRPr="007D0FD9" w:rsidRDefault="00E32AD1" w:rsidP="00551303">
      <w:pPr>
        <w:pStyle w:val="ListParagraph"/>
        <w:spacing w:after="0" w:line="360" w:lineRule="auto"/>
        <w:jc w:val="both"/>
        <w:rPr>
          <w:rFonts w:ascii="Times New Roman" w:hAnsi="Times New Roman" w:cs="Times New Roman"/>
          <w:bCs/>
          <w:sz w:val="24"/>
        </w:rPr>
      </w:pPr>
      <w:r w:rsidRPr="007D0FD9">
        <w:rPr>
          <w:rFonts w:ascii="Times New Roman" w:hAnsi="Times New Roman" w:cs="Times New Roman"/>
          <w:bCs/>
          <w:sz w:val="24"/>
        </w:rPr>
        <w:t xml:space="preserve">&lt; </w:t>
      </w:r>
      <w:r w:rsidR="005B5CBB" w:rsidRPr="007D0FD9">
        <w:rPr>
          <w:rFonts w:ascii="Times New Roman" w:hAnsi="Times New Roman" w:cs="Times New Roman"/>
          <w:bCs/>
          <w:sz w:val="24"/>
        </w:rPr>
        <w:t xml:space="preserve">http://www.univ-evry.fr/ </w:t>
      </w:r>
      <w:proofErr w:type="spellStart"/>
      <w:r w:rsidR="005B5CBB" w:rsidRPr="007D0FD9">
        <w:rPr>
          <w:rFonts w:ascii="Times New Roman" w:hAnsi="Times New Roman" w:cs="Times New Roman"/>
          <w:bCs/>
          <w:sz w:val="24"/>
        </w:rPr>
        <w:t>Iabos</w:t>
      </w:r>
      <w:proofErr w:type="spellEnd"/>
      <w:r w:rsidR="005B5CBB" w:rsidRPr="007D0FD9">
        <w:rPr>
          <w:rFonts w:ascii="Times New Roman" w:hAnsi="Times New Roman" w:cs="Times New Roman"/>
          <w:bCs/>
          <w:sz w:val="24"/>
        </w:rPr>
        <w:t>/</w:t>
      </w:r>
      <w:proofErr w:type="spellStart"/>
      <w:r w:rsidR="005B5CBB" w:rsidRPr="007D0FD9">
        <w:rPr>
          <w:rFonts w:ascii="Times New Roman" w:hAnsi="Times New Roman" w:cs="Times New Roman"/>
          <w:bCs/>
          <w:sz w:val="24"/>
        </w:rPr>
        <w:t>gerpisa</w:t>
      </w:r>
      <w:proofErr w:type="spellEnd"/>
      <w:r w:rsidR="005B5CBB" w:rsidRPr="007D0FD9">
        <w:rPr>
          <w:rFonts w:ascii="Times New Roman" w:hAnsi="Times New Roman" w:cs="Times New Roman"/>
          <w:bCs/>
          <w:sz w:val="24"/>
        </w:rPr>
        <w:t xml:space="preserve">/ </w:t>
      </w:r>
      <w:proofErr w:type="spellStart"/>
      <w:r w:rsidR="005B5CBB" w:rsidRPr="007D0FD9">
        <w:rPr>
          <w:rFonts w:ascii="Times New Roman" w:hAnsi="Times New Roman" w:cs="Times New Roman"/>
          <w:bCs/>
          <w:sz w:val="24"/>
        </w:rPr>
        <w:t>rencontre</w:t>
      </w:r>
      <w:proofErr w:type="spellEnd"/>
      <w:r w:rsidR="005B5CBB" w:rsidRPr="007D0FD9">
        <w:rPr>
          <w:rFonts w:ascii="Times New Roman" w:hAnsi="Times New Roman" w:cs="Times New Roman"/>
          <w:bCs/>
          <w:sz w:val="24"/>
        </w:rPr>
        <w:t>/ S 19Dankbaar.pdf&gt;</w:t>
      </w:r>
    </w:p>
    <w:p w14:paraId="1BFF9EFB" w14:textId="488D460B" w:rsidR="00551303" w:rsidRPr="007D0FD9" w:rsidRDefault="00E64CA1" w:rsidP="00551303">
      <w:pPr>
        <w:pStyle w:val="ListParagraph"/>
        <w:numPr>
          <w:ilvl w:val="0"/>
          <w:numId w:val="19"/>
        </w:numPr>
        <w:spacing w:after="0" w:line="360" w:lineRule="auto"/>
        <w:jc w:val="both"/>
        <w:rPr>
          <w:rFonts w:ascii="Times New Roman" w:hAnsi="Times New Roman" w:cs="Times New Roman"/>
          <w:bCs/>
          <w:sz w:val="24"/>
        </w:rPr>
      </w:pPr>
      <w:r w:rsidRPr="007D0FD9">
        <w:rPr>
          <w:rFonts w:ascii="Times New Roman" w:hAnsi="Times New Roman" w:cs="Times New Roman"/>
          <w:bCs/>
          <w:sz w:val="24"/>
        </w:rPr>
        <w:t xml:space="preserve">Directive 2014/95/EU of The European </w:t>
      </w:r>
      <w:proofErr w:type="spellStart"/>
      <w:r w:rsidRPr="007D0FD9">
        <w:rPr>
          <w:rFonts w:ascii="Times New Roman" w:hAnsi="Times New Roman" w:cs="Times New Roman"/>
          <w:bCs/>
          <w:sz w:val="24"/>
        </w:rPr>
        <w:t>Parliament</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and</w:t>
      </w:r>
      <w:proofErr w:type="spellEnd"/>
      <w:r w:rsidRPr="007D0FD9">
        <w:rPr>
          <w:rFonts w:ascii="Times New Roman" w:hAnsi="Times New Roman" w:cs="Times New Roman"/>
          <w:bCs/>
          <w:sz w:val="24"/>
        </w:rPr>
        <w:t xml:space="preserve"> of </w:t>
      </w:r>
      <w:proofErr w:type="spellStart"/>
      <w:r w:rsidRPr="007D0FD9">
        <w:rPr>
          <w:rFonts w:ascii="Times New Roman" w:hAnsi="Times New Roman" w:cs="Times New Roman"/>
          <w:bCs/>
          <w:sz w:val="24"/>
        </w:rPr>
        <w:t>the</w:t>
      </w:r>
      <w:proofErr w:type="spellEnd"/>
      <w:r w:rsidRPr="007D0FD9">
        <w:rPr>
          <w:rFonts w:ascii="Times New Roman" w:hAnsi="Times New Roman" w:cs="Times New Roman"/>
          <w:bCs/>
          <w:sz w:val="24"/>
        </w:rPr>
        <w:t xml:space="preserve"> Council of 22 </w:t>
      </w:r>
      <w:proofErr w:type="spellStart"/>
      <w:r w:rsidRPr="007D0FD9">
        <w:rPr>
          <w:rFonts w:ascii="Times New Roman" w:hAnsi="Times New Roman" w:cs="Times New Roman"/>
          <w:bCs/>
          <w:sz w:val="24"/>
        </w:rPr>
        <w:t>October</w:t>
      </w:r>
      <w:proofErr w:type="spellEnd"/>
      <w:r w:rsidRPr="007D0FD9">
        <w:rPr>
          <w:rFonts w:ascii="Times New Roman" w:hAnsi="Times New Roman" w:cs="Times New Roman"/>
          <w:bCs/>
          <w:sz w:val="24"/>
        </w:rPr>
        <w:t xml:space="preserve"> 2014- </w:t>
      </w:r>
      <w:proofErr w:type="spellStart"/>
      <w:r w:rsidRPr="007D0FD9">
        <w:rPr>
          <w:rFonts w:ascii="Times New Roman" w:hAnsi="Times New Roman" w:cs="Times New Roman"/>
          <w:bCs/>
          <w:sz w:val="24"/>
        </w:rPr>
        <w:t>Disclosure</w:t>
      </w:r>
      <w:proofErr w:type="spellEnd"/>
      <w:r w:rsidRPr="007D0FD9">
        <w:rPr>
          <w:rFonts w:ascii="Times New Roman" w:hAnsi="Times New Roman" w:cs="Times New Roman"/>
          <w:bCs/>
          <w:sz w:val="24"/>
        </w:rPr>
        <w:t xml:space="preserve"> of non-</w:t>
      </w:r>
      <w:proofErr w:type="spellStart"/>
      <w:r w:rsidRPr="007D0FD9">
        <w:rPr>
          <w:rFonts w:ascii="Times New Roman" w:hAnsi="Times New Roman" w:cs="Times New Roman"/>
          <w:bCs/>
          <w:sz w:val="24"/>
        </w:rPr>
        <w:t>financial</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and</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diversity</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information</w:t>
      </w:r>
      <w:proofErr w:type="spellEnd"/>
    </w:p>
    <w:p w14:paraId="4BD5793F" w14:textId="60381657" w:rsidR="00551303" w:rsidRPr="007D0FD9" w:rsidRDefault="00551303" w:rsidP="00551303">
      <w:pPr>
        <w:pStyle w:val="ListParagraph"/>
        <w:numPr>
          <w:ilvl w:val="0"/>
          <w:numId w:val="19"/>
        </w:numPr>
        <w:spacing w:after="0" w:line="360" w:lineRule="auto"/>
        <w:jc w:val="both"/>
        <w:rPr>
          <w:rFonts w:ascii="Times New Roman" w:hAnsi="Times New Roman" w:cs="Times New Roman"/>
          <w:bCs/>
          <w:sz w:val="24"/>
        </w:rPr>
      </w:pPr>
      <w:proofErr w:type="spellStart"/>
      <w:r w:rsidRPr="007D0FD9">
        <w:rPr>
          <w:rFonts w:ascii="Times New Roman" w:hAnsi="Times New Roman" w:cs="Times New Roman"/>
          <w:bCs/>
          <w:sz w:val="24"/>
        </w:rPr>
        <w:t>Fohlin</w:t>
      </w:r>
      <w:proofErr w:type="spellEnd"/>
      <w:r w:rsidRPr="007D0FD9">
        <w:rPr>
          <w:rFonts w:ascii="Times New Roman" w:hAnsi="Times New Roman" w:cs="Times New Roman"/>
          <w:bCs/>
          <w:sz w:val="24"/>
        </w:rPr>
        <w:t xml:space="preserve"> C., The </w:t>
      </w:r>
      <w:proofErr w:type="spellStart"/>
      <w:r w:rsidRPr="007D0FD9">
        <w:rPr>
          <w:rFonts w:ascii="Times New Roman" w:hAnsi="Times New Roman" w:cs="Times New Roman"/>
          <w:bCs/>
          <w:sz w:val="24"/>
        </w:rPr>
        <w:t>history</w:t>
      </w:r>
      <w:proofErr w:type="spellEnd"/>
      <w:r w:rsidRPr="007D0FD9">
        <w:rPr>
          <w:rFonts w:ascii="Times New Roman" w:hAnsi="Times New Roman" w:cs="Times New Roman"/>
          <w:bCs/>
          <w:sz w:val="24"/>
        </w:rPr>
        <w:t xml:space="preserve"> of </w:t>
      </w:r>
      <w:proofErr w:type="spellStart"/>
      <w:r w:rsidRPr="007D0FD9">
        <w:rPr>
          <w:rFonts w:ascii="Times New Roman" w:hAnsi="Times New Roman" w:cs="Times New Roman"/>
          <w:bCs/>
          <w:sz w:val="24"/>
        </w:rPr>
        <w:t>corporate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ownership</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and</w:t>
      </w:r>
      <w:proofErr w:type="spellEnd"/>
      <w:r w:rsidRPr="007D0FD9">
        <w:rPr>
          <w:rFonts w:ascii="Times New Roman" w:hAnsi="Times New Roman" w:cs="Times New Roman"/>
          <w:bCs/>
          <w:sz w:val="24"/>
        </w:rPr>
        <w:t xml:space="preserve"> control in </w:t>
      </w:r>
      <w:proofErr w:type="spellStart"/>
      <w:r w:rsidRPr="007D0FD9">
        <w:rPr>
          <w:rFonts w:ascii="Times New Roman" w:hAnsi="Times New Roman" w:cs="Times New Roman"/>
          <w:bCs/>
          <w:sz w:val="24"/>
        </w:rPr>
        <w:t>Germany</w:t>
      </w:r>
      <w:proofErr w:type="spellEnd"/>
      <w:r w:rsidRPr="007D0FD9">
        <w:rPr>
          <w:rFonts w:ascii="Times New Roman" w:hAnsi="Times New Roman" w:cs="Times New Roman"/>
          <w:bCs/>
          <w:sz w:val="24"/>
        </w:rPr>
        <w:t xml:space="preserve">, In: R.K. </w:t>
      </w:r>
      <w:proofErr w:type="spellStart"/>
      <w:r w:rsidRPr="007D0FD9">
        <w:rPr>
          <w:rFonts w:ascii="Times New Roman" w:hAnsi="Times New Roman" w:cs="Times New Roman"/>
          <w:bCs/>
          <w:sz w:val="24"/>
        </w:rPr>
        <w:t>Morck</w:t>
      </w:r>
      <w:proofErr w:type="spellEnd"/>
      <w:r w:rsidRPr="007D0FD9">
        <w:rPr>
          <w:rFonts w:ascii="Times New Roman" w:hAnsi="Times New Roman" w:cs="Times New Roman"/>
          <w:bCs/>
          <w:sz w:val="24"/>
        </w:rPr>
        <w:t xml:space="preserve">, ed., A </w:t>
      </w:r>
      <w:proofErr w:type="spellStart"/>
      <w:r w:rsidRPr="007D0FD9">
        <w:rPr>
          <w:rFonts w:ascii="Times New Roman" w:hAnsi="Times New Roman" w:cs="Times New Roman"/>
          <w:bCs/>
          <w:sz w:val="24"/>
        </w:rPr>
        <w:t>History</w:t>
      </w:r>
      <w:proofErr w:type="spellEnd"/>
      <w:r w:rsidRPr="007D0FD9">
        <w:rPr>
          <w:rFonts w:ascii="Times New Roman" w:hAnsi="Times New Roman" w:cs="Times New Roman"/>
          <w:bCs/>
          <w:sz w:val="24"/>
        </w:rPr>
        <w:t xml:space="preserve"> of </w:t>
      </w:r>
      <w:proofErr w:type="spellStart"/>
      <w:r w:rsidRPr="007D0FD9">
        <w:rPr>
          <w:rFonts w:ascii="Times New Roman" w:hAnsi="Times New Roman" w:cs="Times New Roman"/>
          <w:bCs/>
          <w:sz w:val="24"/>
        </w:rPr>
        <w:t>Corporate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Governance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around</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the</w:t>
      </w:r>
      <w:proofErr w:type="spellEnd"/>
      <w:r w:rsidRPr="007D0FD9">
        <w:rPr>
          <w:rFonts w:ascii="Times New Roman" w:hAnsi="Times New Roman" w:cs="Times New Roman"/>
          <w:bCs/>
          <w:sz w:val="24"/>
        </w:rPr>
        <w:t xml:space="preserve"> World: </w:t>
      </w:r>
      <w:proofErr w:type="spellStart"/>
      <w:r w:rsidRPr="007D0FD9">
        <w:rPr>
          <w:rFonts w:ascii="Times New Roman" w:hAnsi="Times New Roman" w:cs="Times New Roman"/>
          <w:bCs/>
          <w:sz w:val="24"/>
        </w:rPr>
        <w:t>Family</w:t>
      </w:r>
      <w:proofErr w:type="spellEnd"/>
      <w:r w:rsidRPr="007D0FD9">
        <w:rPr>
          <w:rFonts w:ascii="Times New Roman" w:hAnsi="Times New Roman" w:cs="Times New Roman"/>
          <w:bCs/>
          <w:sz w:val="24"/>
        </w:rPr>
        <w:t xml:space="preserve"> Business </w:t>
      </w:r>
      <w:proofErr w:type="spellStart"/>
      <w:r w:rsidRPr="007D0FD9">
        <w:rPr>
          <w:rFonts w:ascii="Times New Roman" w:hAnsi="Times New Roman" w:cs="Times New Roman"/>
          <w:bCs/>
          <w:sz w:val="24"/>
        </w:rPr>
        <w:t>Groups</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to</w:t>
      </w:r>
      <w:proofErr w:type="spellEnd"/>
      <w:r w:rsidRPr="007D0FD9">
        <w:rPr>
          <w:rFonts w:ascii="Times New Roman" w:hAnsi="Times New Roman" w:cs="Times New Roman"/>
          <w:bCs/>
          <w:sz w:val="24"/>
        </w:rPr>
        <w:t xml:space="preserve"> Professional </w:t>
      </w:r>
      <w:proofErr w:type="spellStart"/>
      <w:r w:rsidRPr="007D0FD9">
        <w:rPr>
          <w:rFonts w:ascii="Times New Roman" w:hAnsi="Times New Roman" w:cs="Times New Roman"/>
          <w:bCs/>
          <w:sz w:val="24"/>
        </w:rPr>
        <w:t>Managers</w:t>
      </w:r>
      <w:proofErr w:type="spellEnd"/>
      <w:r w:rsidRPr="007D0FD9">
        <w:rPr>
          <w:rFonts w:ascii="Times New Roman" w:hAnsi="Times New Roman" w:cs="Times New Roman"/>
          <w:bCs/>
          <w:sz w:val="24"/>
        </w:rPr>
        <w:t>, Chicago (2005).</w:t>
      </w:r>
    </w:p>
    <w:p w14:paraId="1CC4D056" w14:textId="164505C9" w:rsidR="00551303" w:rsidRPr="007D0FD9" w:rsidRDefault="00551303" w:rsidP="00551303">
      <w:pPr>
        <w:pStyle w:val="ListParagraph"/>
        <w:numPr>
          <w:ilvl w:val="0"/>
          <w:numId w:val="19"/>
        </w:numPr>
        <w:spacing w:after="0" w:line="360" w:lineRule="auto"/>
        <w:jc w:val="both"/>
        <w:rPr>
          <w:rFonts w:ascii="Times New Roman" w:hAnsi="Times New Roman" w:cs="Times New Roman"/>
          <w:bCs/>
          <w:sz w:val="24"/>
        </w:rPr>
      </w:pPr>
      <w:proofErr w:type="spellStart"/>
      <w:r w:rsidRPr="007D0FD9">
        <w:rPr>
          <w:rFonts w:ascii="Times New Roman" w:hAnsi="Times New Roman" w:cs="Times New Roman"/>
          <w:bCs/>
          <w:sz w:val="24"/>
        </w:rPr>
        <w:t>Franks</w:t>
      </w:r>
      <w:proofErr w:type="spellEnd"/>
      <w:r w:rsidRPr="007D0FD9">
        <w:rPr>
          <w:rFonts w:ascii="Times New Roman" w:hAnsi="Times New Roman" w:cs="Times New Roman"/>
          <w:bCs/>
          <w:sz w:val="24"/>
        </w:rPr>
        <w:t xml:space="preserve"> J./Mayer C./Wagner H. F., The </w:t>
      </w:r>
      <w:proofErr w:type="spellStart"/>
      <w:r w:rsidRPr="007D0FD9">
        <w:rPr>
          <w:rFonts w:ascii="Times New Roman" w:hAnsi="Times New Roman" w:cs="Times New Roman"/>
          <w:bCs/>
          <w:sz w:val="24"/>
        </w:rPr>
        <w:t>origins</w:t>
      </w:r>
      <w:proofErr w:type="spellEnd"/>
      <w:r w:rsidRPr="007D0FD9">
        <w:rPr>
          <w:rFonts w:ascii="Times New Roman" w:hAnsi="Times New Roman" w:cs="Times New Roman"/>
          <w:bCs/>
          <w:sz w:val="24"/>
        </w:rPr>
        <w:t xml:space="preserve"> of </w:t>
      </w:r>
      <w:proofErr w:type="spellStart"/>
      <w:r w:rsidRPr="007D0FD9">
        <w:rPr>
          <w:rFonts w:ascii="Times New Roman" w:hAnsi="Times New Roman" w:cs="Times New Roman"/>
          <w:bCs/>
          <w:sz w:val="24"/>
        </w:rPr>
        <w:t>the</w:t>
      </w:r>
      <w:proofErr w:type="spellEnd"/>
      <w:r w:rsidRPr="007D0FD9">
        <w:rPr>
          <w:rFonts w:ascii="Times New Roman" w:hAnsi="Times New Roman" w:cs="Times New Roman"/>
          <w:bCs/>
          <w:sz w:val="24"/>
        </w:rPr>
        <w:t xml:space="preserve"> German </w:t>
      </w:r>
      <w:proofErr w:type="spellStart"/>
      <w:r w:rsidRPr="007D0FD9">
        <w:rPr>
          <w:rFonts w:ascii="Times New Roman" w:hAnsi="Times New Roman" w:cs="Times New Roman"/>
          <w:bCs/>
          <w:sz w:val="24"/>
        </w:rPr>
        <w:t>corporation</w:t>
      </w:r>
      <w:proofErr w:type="spellEnd"/>
      <w:r w:rsidRPr="007D0FD9">
        <w:rPr>
          <w:rFonts w:ascii="Times New Roman" w:hAnsi="Times New Roman" w:cs="Times New Roman"/>
          <w:bCs/>
          <w:sz w:val="24"/>
        </w:rPr>
        <w:t xml:space="preserve"> – </w:t>
      </w:r>
      <w:proofErr w:type="spellStart"/>
      <w:r w:rsidRPr="007D0FD9">
        <w:rPr>
          <w:rFonts w:ascii="Times New Roman" w:hAnsi="Times New Roman" w:cs="Times New Roman"/>
          <w:bCs/>
          <w:sz w:val="24"/>
        </w:rPr>
        <w:t>Finance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ownership</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and</w:t>
      </w:r>
      <w:proofErr w:type="spellEnd"/>
      <w:r w:rsidRPr="007D0FD9">
        <w:rPr>
          <w:rFonts w:ascii="Times New Roman" w:hAnsi="Times New Roman" w:cs="Times New Roman"/>
          <w:bCs/>
          <w:sz w:val="24"/>
        </w:rPr>
        <w:t xml:space="preserve"> control, Review of </w:t>
      </w:r>
      <w:proofErr w:type="spellStart"/>
      <w:r w:rsidRPr="007D0FD9">
        <w:rPr>
          <w:rFonts w:ascii="Times New Roman" w:hAnsi="Times New Roman" w:cs="Times New Roman"/>
          <w:bCs/>
          <w:sz w:val="24"/>
        </w:rPr>
        <w:t>Finance</w:t>
      </w:r>
      <w:proofErr w:type="spellEnd"/>
      <w:r w:rsidRPr="007D0FD9">
        <w:rPr>
          <w:rFonts w:ascii="Times New Roman" w:hAnsi="Times New Roman" w:cs="Times New Roman"/>
          <w:bCs/>
          <w:sz w:val="24"/>
        </w:rPr>
        <w:t xml:space="preserve"> 10 (2005) 1-49.</w:t>
      </w:r>
    </w:p>
    <w:p w14:paraId="70FBB2DA" w14:textId="28B0C120" w:rsidR="00551303" w:rsidRPr="007D0FD9" w:rsidRDefault="00551303" w:rsidP="00551303">
      <w:pPr>
        <w:pStyle w:val="ListParagraph"/>
        <w:numPr>
          <w:ilvl w:val="0"/>
          <w:numId w:val="19"/>
        </w:numPr>
        <w:spacing w:after="0" w:line="360" w:lineRule="auto"/>
        <w:jc w:val="both"/>
        <w:rPr>
          <w:rFonts w:ascii="Times New Roman" w:hAnsi="Times New Roman" w:cs="Times New Roman"/>
          <w:bCs/>
          <w:sz w:val="24"/>
        </w:rPr>
      </w:pPr>
      <w:r w:rsidRPr="007D0FD9">
        <w:rPr>
          <w:rFonts w:ascii="Times New Roman" w:hAnsi="Times New Roman" w:cs="Times New Roman"/>
          <w:bCs/>
          <w:sz w:val="24"/>
        </w:rPr>
        <w:t xml:space="preserve">Kaplan S.N., Top </w:t>
      </w:r>
      <w:proofErr w:type="spellStart"/>
      <w:r w:rsidRPr="007D0FD9">
        <w:rPr>
          <w:rFonts w:ascii="Times New Roman" w:hAnsi="Times New Roman" w:cs="Times New Roman"/>
          <w:bCs/>
          <w:sz w:val="24"/>
        </w:rPr>
        <w:t>executives</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turnover</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and</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firm</w:t>
      </w:r>
      <w:proofErr w:type="spellEnd"/>
      <w:r w:rsidRPr="007D0FD9">
        <w:rPr>
          <w:rFonts w:ascii="Times New Roman" w:hAnsi="Times New Roman" w:cs="Times New Roman"/>
          <w:bCs/>
          <w:sz w:val="24"/>
        </w:rPr>
        <w:t xml:space="preserve"> performance in </w:t>
      </w:r>
      <w:proofErr w:type="spellStart"/>
      <w:r w:rsidRPr="007D0FD9">
        <w:rPr>
          <w:rFonts w:ascii="Times New Roman" w:hAnsi="Times New Roman" w:cs="Times New Roman"/>
          <w:bCs/>
          <w:sz w:val="24"/>
        </w:rPr>
        <w:t>Germany</w:t>
      </w:r>
      <w:proofErr w:type="spellEnd"/>
      <w:r w:rsidRPr="007D0FD9">
        <w:rPr>
          <w:rFonts w:ascii="Times New Roman" w:hAnsi="Times New Roman" w:cs="Times New Roman"/>
          <w:bCs/>
          <w:sz w:val="24"/>
        </w:rPr>
        <w:t xml:space="preserve">, Journal of Law, </w:t>
      </w:r>
      <w:proofErr w:type="spellStart"/>
      <w:r w:rsidRPr="007D0FD9">
        <w:rPr>
          <w:rFonts w:ascii="Times New Roman" w:hAnsi="Times New Roman" w:cs="Times New Roman"/>
          <w:bCs/>
          <w:sz w:val="24"/>
        </w:rPr>
        <w:t>Economics</w:t>
      </w:r>
      <w:proofErr w:type="spellEnd"/>
      <w:r w:rsidRPr="007D0FD9">
        <w:rPr>
          <w:rFonts w:ascii="Times New Roman" w:hAnsi="Times New Roman" w:cs="Times New Roman"/>
          <w:bCs/>
          <w:sz w:val="24"/>
        </w:rPr>
        <w:t xml:space="preserve">, &amp; </w:t>
      </w:r>
      <w:proofErr w:type="spellStart"/>
      <w:r w:rsidRPr="007D0FD9">
        <w:rPr>
          <w:rFonts w:ascii="Times New Roman" w:hAnsi="Times New Roman" w:cs="Times New Roman"/>
          <w:bCs/>
          <w:sz w:val="24"/>
        </w:rPr>
        <w:t>Organization</w:t>
      </w:r>
      <w:proofErr w:type="spellEnd"/>
      <w:r w:rsidRPr="007D0FD9">
        <w:rPr>
          <w:rFonts w:ascii="Times New Roman" w:hAnsi="Times New Roman" w:cs="Times New Roman"/>
          <w:bCs/>
          <w:sz w:val="24"/>
        </w:rPr>
        <w:t xml:space="preserve"> 10 (2015) 142-159.</w:t>
      </w:r>
    </w:p>
    <w:p w14:paraId="58549318" w14:textId="77777777" w:rsidR="00551303" w:rsidRPr="007D0FD9" w:rsidRDefault="00551303" w:rsidP="00551303">
      <w:pPr>
        <w:pStyle w:val="ListParagraph"/>
        <w:numPr>
          <w:ilvl w:val="0"/>
          <w:numId w:val="19"/>
        </w:numPr>
        <w:spacing w:after="0" w:line="360" w:lineRule="auto"/>
        <w:jc w:val="both"/>
        <w:rPr>
          <w:rFonts w:ascii="Times New Roman" w:hAnsi="Times New Roman" w:cs="Times New Roman"/>
          <w:bCs/>
          <w:sz w:val="24"/>
        </w:rPr>
      </w:pPr>
      <w:r w:rsidRPr="007D0FD9">
        <w:rPr>
          <w:rFonts w:ascii="Times New Roman" w:hAnsi="Times New Roman" w:cs="Times New Roman"/>
          <w:bCs/>
          <w:sz w:val="24"/>
        </w:rPr>
        <w:t>Kohl C.G.R./</w:t>
      </w:r>
      <w:proofErr w:type="spellStart"/>
      <w:r w:rsidRPr="007D0FD9">
        <w:rPr>
          <w:rFonts w:ascii="Times New Roman" w:hAnsi="Times New Roman" w:cs="Times New Roman"/>
          <w:bCs/>
          <w:sz w:val="24"/>
        </w:rPr>
        <w:t>Rapp</w:t>
      </w:r>
      <w:proofErr w:type="spellEnd"/>
      <w:r w:rsidRPr="007D0FD9">
        <w:rPr>
          <w:rFonts w:ascii="Times New Roman" w:hAnsi="Times New Roman" w:cs="Times New Roman"/>
          <w:bCs/>
          <w:sz w:val="24"/>
        </w:rPr>
        <w:t xml:space="preserve"> M.S., </w:t>
      </w:r>
      <w:proofErr w:type="spellStart"/>
      <w:r w:rsidRPr="007D0FD9">
        <w:rPr>
          <w:rFonts w:ascii="Times New Roman" w:hAnsi="Times New Roman" w:cs="Times New Roman"/>
          <w:bCs/>
          <w:sz w:val="24"/>
        </w:rPr>
        <w:t>Family</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firms</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and</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best</w:t>
      </w:r>
      <w:proofErr w:type="spellEnd"/>
      <w:r w:rsidRPr="007D0FD9">
        <w:rPr>
          <w:rFonts w:ascii="Times New Roman" w:hAnsi="Times New Roman" w:cs="Times New Roman"/>
          <w:bCs/>
          <w:sz w:val="24"/>
        </w:rPr>
        <w:t xml:space="preserve">-practice </w:t>
      </w:r>
      <w:proofErr w:type="spellStart"/>
      <w:r w:rsidRPr="007D0FD9">
        <w:rPr>
          <w:rFonts w:ascii="Times New Roman" w:hAnsi="Times New Roman" w:cs="Times New Roman"/>
          <w:bCs/>
          <w:sz w:val="24"/>
        </w:rPr>
        <w:t>rules</w:t>
      </w:r>
      <w:proofErr w:type="spellEnd"/>
      <w:r w:rsidRPr="007D0FD9">
        <w:rPr>
          <w:rFonts w:ascii="Times New Roman" w:hAnsi="Times New Roman" w:cs="Times New Roman"/>
          <w:bCs/>
          <w:sz w:val="24"/>
        </w:rPr>
        <w:t xml:space="preserve"> of </w:t>
      </w:r>
      <w:proofErr w:type="spellStart"/>
      <w:r w:rsidRPr="007D0FD9">
        <w:rPr>
          <w:rFonts w:ascii="Times New Roman" w:hAnsi="Times New Roman" w:cs="Times New Roman"/>
          <w:bCs/>
          <w:sz w:val="24"/>
        </w:rPr>
        <w:t>corporate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governance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Evidence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from</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the</w:t>
      </w:r>
      <w:proofErr w:type="spellEnd"/>
      <w:r w:rsidRPr="007D0FD9">
        <w:rPr>
          <w:rFonts w:ascii="Times New Roman" w:hAnsi="Times New Roman" w:cs="Times New Roman"/>
          <w:bCs/>
          <w:sz w:val="24"/>
        </w:rPr>
        <w:t xml:space="preserve"> German </w:t>
      </w:r>
      <w:proofErr w:type="spellStart"/>
      <w:r w:rsidRPr="007D0FD9">
        <w:rPr>
          <w:rFonts w:ascii="Times New Roman" w:hAnsi="Times New Roman" w:cs="Times New Roman"/>
          <w:bCs/>
          <w:sz w:val="24"/>
        </w:rPr>
        <w:t>corporate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governance</w:t>
      </w:r>
      <w:proofErr w:type="spellEnd"/>
      <w:r w:rsidRPr="007D0FD9">
        <w:rPr>
          <w:rFonts w:ascii="Times New Roman" w:hAnsi="Times New Roman" w:cs="Times New Roman"/>
          <w:bCs/>
          <w:sz w:val="24"/>
        </w:rPr>
        <w:t xml:space="preserve"> code, </w:t>
      </w:r>
      <w:proofErr w:type="spellStart"/>
      <w:r w:rsidRPr="007D0FD9">
        <w:rPr>
          <w:rFonts w:ascii="Times New Roman" w:hAnsi="Times New Roman" w:cs="Times New Roman"/>
          <w:bCs/>
          <w:sz w:val="24"/>
        </w:rPr>
        <w:t>Working</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paper</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Universität</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Marburg</w:t>
      </w:r>
      <w:proofErr w:type="spellEnd"/>
      <w:r w:rsidRPr="007D0FD9">
        <w:rPr>
          <w:rFonts w:ascii="Times New Roman" w:hAnsi="Times New Roman" w:cs="Times New Roman"/>
          <w:bCs/>
          <w:sz w:val="24"/>
        </w:rPr>
        <w:t xml:space="preserve"> (2014).  </w:t>
      </w:r>
    </w:p>
    <w:p w14:paraId="3F9BF342" w14:textId="77777777" w:rsidR="00551303" w:rsidRPr="007D0FD9" w:rsidRDefault="00551303" w:rsidP="00551303">
      <w:pPr>
        <w:pStyle w:val="ListParagraph"/>
        <w:numPr>
          <w:ilvl w:val="0"/>
          <w:numId w:val="19"/>
        </w:numPr>
        <w:spacing w:after="0" w:line="360" w:lineRule="auto"/>
        <w:jc w:val="both"/>
        <w:rPr>
          <w:rFonts w:ascii="Times New Roman" w:hAnsi="Times New Roman" w:cs="Times New Roman"/>
          <w:bCs/>
          <w:sz w:val="24"/>
        </w:rPr>
      </w:pPr>
      <w:r w:rsidRPr="007D0FD9">
        <w:rPr>
          <w:rFonts w:ascii="Times New Roman" w:hAnsi="Times New Roman" w:cs="Times New Roman"/>
          <w:bCs/>
          <w:sz w:val="24"/>
        </w:rPr>
        <w:t xml:space="preserve">La Porta R./Lopez de </w:t>
      </w:r>
      <w:proofErr w:type="spellStart"/>
      <w:r w:rsidRPr="007D0FD9">
        <w:rPr>
          <w:rFonts w:ascii="Times New Roman" w:hAnsi="Times New Roman" w:cs="Times New Roman"/>
          <w:bCs/>
          <w:sz w:val="24"/>
        </w:rPr>
        <w:t>Silanes</w:t>
      </w:r>
      <w:proofErr w:type="spellEnd"/>
      <w:r w:rsidRPr="007D0FD9">
        <w:rPr>
          <w:rFonts w:ascii="Times New Roman" w:hAnsi="Times New Roman" w:cs="Times New Roman"/>
          <w:bCs/>
          <w:sz w:val="24"/>
        </w:rPr>
        <w:t xml:space="preserve"> F./</w:t>
      </w:r>
      <w:proofErr w:type="spellStart"/>
      <w:r w:rsidRPr="007D0FD9">
        <w:rPr>
          <w:rFonts w:ascii="Times New Roman" w:hAnsi="Times New Roman" w:cs="Times New Roman"/>
          <w:bCs/>
          <w:sz w:val="24"/>
        </w:rPr>
        <w:t>Shleifer</w:t>
      </w:r>
      <w:proofErr w:type="spellEnd"/>
      <w:r w:rsidRPr="007D0FD9">
        <w:rPr>
          <w:rFonts w:ascii="Times New Roman" w:hAnsi="Times New Roman" w:cs="Times New Roman"/>
          <w:bCs/>
          <w:sz w:val="24"/>
        </w:rPr>
        <w:t xml:space="preserve"> A./</w:t>
      </w:r>
      <w:proofErr w:type="spellStart"/>
      <w:r w:rsidRPr="007D0FD9">
        <w:rPr>
          <w:rFonts w:ascii="Times New Roman" w:hAnsi="Times New Roman" w:cs="Times New Roman"/>
          <w:bCs/>
          <w:sz w:val="24"/>
        </w:rPr>
        <w:t>Vishny</w:t>
      </w:r>
      <w:proofErr w:type="spellEnd"/>
      <w:r w:rsidRPr="007D0FD9">
        <w:rPr>
          <w:rFonts w:ascii="Times New Roman" w:hAnsi="Times New Roman" w:cs="Times New Roman"/>
          <w:bCs/>
          <w:sz w:val="24"/>
        </w:rPr>
        <w:t xml:space="preserve"> R.V., Law </w:t>
      </w:r>
      <w:proofErr w:type="spellStart"/>
      <w:r w:rsidRPr="007D0FD9">
        <w:rPr>
          <w:rFonts w:ascii="Times New Roman" w:hAnsi="Times New Roman" w:cs="Times New Roman"/>
          <w:bCs/>
          <w:sz w:val="24"/>
        </w:rPr>
        <w:t>and</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Finance</w:t>
      </w:r>
      <w:proofErr w:type="spellEnd"/>
      <w:r w:rsidRPr="007D0FD9">
        <w:rPr>
          <w:rFonts w:ascii="Times New Roman" w:hAnsi="Times New Roman" w:cs="Times New Roman"/>
          <w:bCs/>
          <w:sz w:val="24"/>
        </w:rPr>
        <w:t xml:space="preserve">, Journal of Political </w:t>
      </w:r>
      <w:proofErr w:type="spellStart"/>
      <w:r w:rsidRPr="007D0FD9">
        <w:rPr>
          <w:rFonts w:ascii="Times New Roman" w:hAnsi="Times New Roman" w:cs="Times New Roman"/>
          <w:bCs/>
          <w:sz w:val="24"/>
        </w:rPr>
        <w:t>Economy</w:t>
      </w:r>
      <w:proofErr w:type="spellEnd"/>
      <w:r w:rsidRPr="007D0FD9">
        <w:rPr>
          <w:rFonts w:ascii="Times New Roman" w:hAnsi="Times New Roman" w:cs="Times New Roman"/>
          <w:bCs/>
          <w:sz w:val="24"/>
        </w:rPr>
        <w:t xml:space="preserve"> 106 (1998) 1113-1155. </w:t>
      </w:r>
    </w:p>
    <w:p w14:paraId="1FEDB787" w14:textId="751500E0" w:rsidR="00551303" w:rsidRPr="007D0FD9" w:rsidRDefault="00551303" w:rsidP="00551303">
      <w:pPr>
        <w:pStyle w:val="ListParagraph"/>
        <w:numPr>
          <w:ilvl w:val="0"/>
          <w:numId w:val="19"/>
        </w:numPr>
        <w:spacing w:after="0" w:line="360" w:lineRule="auto"/>
        <w:jc w:val="both"/>
        <w:rPr>
          <w:rFonts w:ascii="Times New Roman" w:hAnsi="Times New Roman" w:cs="Times New Roman"/>
          <w:bCs/>
          <w:sz w:val="24"/>
        </w:rPr>
      </w:pPr>
      <w:proofErr w:type="spellStart"/>
      <w:r w:rsidRPr="007D0FD9">
        <w:rPr>
          <w:rFonts w:ascii="Times New Roman" w:hAnsi="Times New Roman" w:cs="Times New Roman"/>
          <w:bCs/>
          <w:sz w:val="24"/>
        </w:rPr>
        <w:lastRenderedPageBreak/>
        <w:t>Martynova</w:t>
      </w:r>
      <w:proofErr w:type="spellEnd"/>
      <w:r w:rsidRPr="007D0FD9">
        <w:rPr>
          <w:rFonts w:ascii="Times New Roman" w:hAnsi="Times New Roman" w:cs="Times New Roman"/>
          <w:bCs/>
          <w:sz w:val="24"/>
        </w:rPr>
        <w:t xml:space="preserve"> M./</w:t>
      </w:r>
      <w:proofErr w:type="spellStart"/>
      <w:r w:rsidRPr="007D0FD9">
        <w:rPr>
          <w:rFonts w:ascii="Times New Roman" w:hAnsi="Times New Roman" w:cs="Times New Roman"/>
          <w:bCs/>
          <w:sz w:val="24"/>
        </w:rPr>
        <w:t>Renneboog</w:t>
      </w:r>
      <w:proofErr w:type="spellEnd"/>
      <w:r w:rsidRPr="007D0FD9">
        <w:rPr>
          <w:rFonts w:ascii="Times New Roman" w:hAnsi="Times New Roman" w:cs="Times New Roman"/>
          <w:bCs/>
          <w:sz w:val="24"/>
        </w:rPr>
        <w:t xml:space="preserve"> L., </w:t>
      </w:r>
      <w:proofErr w:type="spellStart"/>
      <w:r w:rsidRPr="007D0FD9">
        <w:rPr>
          <w:rFonts w:ascii="Times New Roman" w:hAnsi="Times New Roman" w:cs="Times New Roman"/>
          <w:bCs/>
          <w:sz w:val="24"/>
        </w:rPr>
        <w:t>Evidence</w:t>
      </w:r>
      <w:proofErr w:type="spellEnd"/>
      <w:r w:rsidRPr="007D0FD9">
        <w:rPr>
          <w:rFonts w:ascii="Times New Roman" w:hAnsi="Times New Roman" w:cs="Times New Roman"/>
          <w:bCs/>
          <w:sz w:val="24"/>
        </w:rPr>
        <w:t xml:space="preserve"> on </w:t>
      </w:r>
      <w:proofErr w:type="spellStart"/>
      <w:r w:rsidRPr="007D0FD9">
        <w:rPr>
          <w:rFonts w:ascii="Times New Roman" w:hAnsi="Times New Roman" w:cs="Times New Roman"/>
          <w:bCs/>
          <w:sz w:val="24"/>
        </w:rPr>
        <w:t>the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international</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evolution</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and</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convergence</w:t>
      </w:r>
      <w:proofErr w:type="spellEnd"/>
      <w:r w:rsidRPr="007D0FD9">
        <w:rPr>
          <w:rFonts w:ascii="Times New Roman" w:hAnsi="Times New Roman" w:cs="Times New Roman"/>
          <w:bCs/>
          <w:sz w:val="24"/>
        </w:rPr>
        <w:t xml:space="preserve"> of </w:t>
      </w:r>
      <w:proofErr w:type="spellStart"/>
      <w:r w:rsidRPr="007D0FD9">
        <w:rPr>
          <w:rFonts w:ascii="Times New Roman" w:hAnsi="Times New Roman" w:cs="Times New Roman"/>
          <w:bCs/>
          <w:sz w:val="24"/>
        </w:rPr>
        <w:t>corporate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governance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regulations</w:t>
      </w:r>
      <w:proofErr w:type="spellEnd"/>
      <w:r w:rsidRPr="007D0FD9">
        <w:rPr>
          <w:rFonts w:ascii="Times New Roman" w:hAnsi="Times New Roman" w:cs="Times New Roman"/>
          <w:bCs/>
          <w:sz w:val="24"/>
        </w:rPr>
        <w:t xml:space="preserve">, Journal of </w:t>
      </w:r>
      <w:proofErr w:type="spellStart"/>
      <w:r w:rsidRPr="007D0FD9">
        <w:rPr>
          <w:rFonts w:ascii="Times New Roman" w:hAnsi="Times New Roman" w:cs="Times New Roman"/>
          <w:bCs/>
          <w:sz w:val="24"/>
        </w:rPr>
        <w:t>Corporate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Finance</w:t>
      </w:r>
      <w:proofErr w:type="spellEnd"/>
      <w:r w:rsidRPr="007D0FD9">
        <w:rPr>
          <w:rFonts w:ascii="Times New Roman" w:hAnsi="Times New Roman" w:cs="Times New Roman"/>
          <w:bCs/>
          <w:sz w:val="24"/>
        </w:rPr>
        <w:t xml:space="preserve"> 17 (2011) 1531–1557.</w:t>
      </w:r>
    </w:p>
    <w:p w14:paraId="49F84736" w14:textId="77777777" w:rsidR="00551303" w:rsidRPr="007D0FD9" w:rsidRDefault="00551303" w:rsidP="00551303">
      <w:pPr>
        <w:pStyle w:val="ListParagraph"/>
        <w:numPr>
          <w:ilvl w:val="0"/>
          <w:numId w:val="19"/>
        </w:numPr>
        <w:spacing w:after="0" w:line="360" w:lineRule="auto"/>
        <w:jc w:val="both"/>
        <w:rPr>
          <w:rFonts w:ascii="Times New Roman" w:hAnsi="Times New Roman" w:cs="Times New Roman"/>
          <w:bCs/>
          <w:sz w:val="24"/>
        </w:rPr>
      </w:pPr>
      <w:proofErr w:type="spellStart"/>
      <w:r w:rsidRPr="007D0FD9">
        <w:rPr>
          <w:rFonts w:ascii="Times New Roman" w:hAnsi="Times New Roman" w:cs="Times New Roman"/>
          <w:bCs/>
          <w:sz w:val="24"/>
        </w:rPr>
        <w:t>Ringe</w:t>
      </w:r>
      <w:proofErr w:type="spellEnd"/>
      <w:r w:rsidRPr="007D0FD9">
        <w:rPr>
          <w:rFonts w:ascii="Times New Roman" w:hAnsi="Times New Roman" w:cs="Times New Roman"/>
          <w:bCs/>
          <w:sz w:val="24"/>
        </w:rPr>
        <w:t xml:space="preserve"> W.-G., </w:t>
      </w:r>
      <w:proofErr w:type="spellStart"/>
      <w:r w:rsidRPr="007D0FD9">
        <w:rPr>
          <w:rFonts w:ascii="Times New Roman" w:hAnsi="Times New Roman" w:cs="Times New Roman"/>
          <w:bCs/>
          <w:sz w:val="24"/>
        </w:rPr>
        <w:t>Changing</w:t>
      </w:r>
      <w:proofErr w:type="spellEnd"/>
      <w:r w:rsidRPr="007D0FD9">
        <w:rPr>
          <w:rFonts w:ascii="Times New Roman" w:hAnsi="Times New Roman" w:cs="Times New Roman"/>
          <w:bCs/>
          <w:sz w:val="24"/>
        </w:rPr>
        <w:t xml:space="preserve"> Law </w:t>
      </w:r>
      <w:proofErr w:type="spellStart"/>
      <w:r w:rsidRPr="007D0FD9">
        <w:rPr>
          <w:rFonts w:ascii="Times New Roman" w:hAnsi="Times New Roman" w:cs="Times New Roman"/>
          <w:bCs/>
          <w:sz w:val="24"/>
        </w:rPr>
        <w:t>and</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Ownership</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Patterns</w:t>
      </w:r>
      <w:proofErr w:type="spellEnd"/>
      <w:r w:rsidRPr="007D0FD9">
        <w:rPr>
          <w:rFonts w:ascii="Times New Roman" w:hAnsi="Times New Roman" w:cs="Times New Roman"/>
          <w:bCs/>
          <w:sz w:val="24"/>
        </w:rPr>
        <w:t xml:space="preserve"> in </w:t>
      </w:r>
      <w:proofErr w:type="spellStart"/>
      <w:r w:rsidRPr="007D0FD9">
        <w:rPr>
          <w:rFonts w:ascii="Times New Roman" w:hAnsi="Times New Roman" w:cs="Times New Roman"/>
          <w:bCs/>
          <w:sz w:val="24"/>
        </w:rPr>
        <w:t>Germany</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Corporate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Governance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and</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the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Erosion</w:t>
      </w:r>
      <w:proofErr w:type="spellEnd"/>
      <w:r w:rsidRPr="007D0FD9">
        <w:rPr>
          <w:rFonts w:ascii="Times New Roman" w:hAnsi="Times New Roman" w:cs="Times New Roman"/>
          <w:bCs/>
          <w:sz w:val="24"/>
        </w:rPr>
        <w:t xml:space="preserve"> of </w:t>
      </w:r>
      <w:proofErr w:type="spellStart"/>
      <w:r w:rsidRPr="007D0FD9">
        <w:rPr>
          <w:rFonts w:ascii="Times New Roman" w:hAnsi="Times New Roman" w:cs="Times New Roman"/>
          <w:bCs/>
          <w:sz w:val="24"/>
        </w:rPr>
        <w:t>Deutschland</w:t>
      </w:r>
      <w:proofErr w:type="spellEnd"/>
      <w:r w:rsidRPr="007D0FD9">
        <w:rPr>
          <w:rFonts w:ascii="Times New Roman" w:hAnsi="Times New Roman" w:cs="Times New Roman"/>
          <w:bCs/>
          <w:sz w:val="24"/>
        </w:rPr>
        <w:t xml:space="preserve"> AG, American Journal of Comparative Law 63 (2015) 493-538. </w:t>
      </w:r>
    </w:p>
    <w:p w14:paraId="41CF91CD" w14:textId="54D0D1A9" w:rsidR="00551303" w:rsidRPr="007D0FD9" w:rsidRDefault="00551303" w:rsidP="00551303">
      <w:pPr>
        <w:pStyle w:val="ListParagraph"/>
        <w:numPr>
          <w:ilvl w:val="0"/>
          <w:numId w:val="19"/>
        </w:numPr>
        <w:spacing w:after="0" w:line="360" w:lineRule="auto"/>
        <w:jc w:val="both"/>
        <w:rPr>
          <w:rFonts w:ascii="Times New Roman" w:hAnsi="Times New Roman" w:cs="Times New Roman"/>
          <w:bCs/>
          <w:sz w:val="24"/>
        </w:rPr>
      </w:pPr>
      <w:r w:rsidRPr="007D0FD9">
        <w:rPr>
          <w:rFonts w:ascii="Times New Roman" w:hAnsi="Times New Roman" w:cs="Times New Roman"/>
          <w:bCs/>
          <w:sz w:val="24"/>
        </w:rPr>
        <w:t xml:space="preserve">Roth M., </w:t>
      </w:r>
      <w:proofErr w:type="spellStart"/>
      <w:r w:rsidRPr="007D0FD9">
        <w:rPr>
          <w:rFonts w:ascii="Times New Roman" w:hAnsi="Times New Roman" w:cs="Times New Roman"/>
          <w:bCs/>
          <w:sz w:val="24"/>
        </w:rPr>
        <w:t>Corporate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boards</w:t>
      </w:r>
      <w:proofErr w:type="spellEnd"/>
      <w:r w:rsidRPr="007D0FD9">
        <w:rPr>
          <w:rFonts w:ascii="Times New Roman" w:hAnsi="Times New Roman" w:cs="Times New Roman"/>
          <w:bCs/>
          <w:sz w:val="24"/>
        </w:rPr>
        <w:t xml:space="preserve"> in </w:t>
      </w:r>
      <w:proofErr w:type="spellStart"/>
      <w:r w:rsidRPr="007D0FD9">
        <w:rPr>
          <w:rFonts w:ascii="Times New Roman" w:hAnsi="Times New Roman" w:cs="Times New Roman"/>
          <w:bCs/>
          <w:sz w:val="24"/>
        </w:rPr>
        <w:t>Germany</w:t>
      </w:r>
      <w:proofErr w:type="spellEnd"/>
      <w:r w:rsidRPr="007D0FD9">
        <w:rPr>
          <w:rFonts w:ascii="Times New Roman" w:hAnsi="Times New Roman" w:cs="Times New Roman"/>
          <w:bCs/>
          <w:sz w:val="24"/>
        </w:rPr>
        <w:t xml:space="preserve">. In: P. Davies, K.J. </w:t>
      </w:r>
      <w:proofErr w:type="spellStart"/>
      <w:r w:rsidRPr="007D0FD9">
        <w:rPr>
          <w:rFonts w:ascii="Times New Roman" w:hAnsi="Times New Roman" w:cs="Times New Roman"/>
          <w:bCs/>
          <w:sz w:val="24"/>
        </w:rPr>
        <w:t>Hopt</w:t>
      </w:r>
      <w:proofErr w:type="spellEnd"/>
      <w:r w:rsidRPr="007D0FD9">
        <w:rPr>
          <w:rFonts w:ascii="Times New Roman" w:hAnsi="Times New Roman" w:cs="Times New Roman"/>
          <w:bCs/>
          <w:sz w:val="24"/>
        </w:rPr>
        <w:t xml:space="preserve">, R.G </w:t>
      </w:r>
      <w:proofErr w:type="spellStart"/>
      <w:r w:rsidRPr="007D0FD9">
        <w:rPr>
          <w:rFonts w:ascii="Times New Roman" w:hAnsi="Times New Roman" w:cs="Times New Roman"/>
          <w:bCs/>
          <w:sz w:val="24"/>
        </w:rPr>
        <w:t>Nowak</w:t>
      </w:r>
      <w:proofErr w:type="spellEnd"/>
      <w:r w:rsidRPr="007D0FD9">
        <w:rPr>
          <w:rFonts w:ascii="Times New Roman" w:hAnsi="Times New Roman" w:cs="Times New Roman"/>
          <w:bCs/>
          <w:sz w:val="24"/>
        </w:rPr>
        <w:t xml:space="preserve">, G. van </w:t>
      </w:r>
      <w:proofErr w:type="spellStart"/>
      <w:r w:rsidRPr="007D0FD9">
        <w:rPr>
          <w:rFonts w:ascii="Times New Roman" w:hAnsi="Times New Roman" w:cs="Times New Roman"/>
          <w:bCs/>
          <w:sz w:val="24"/>
        </w:rPr>
        <w:t>Solinge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eds</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Corporate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boards</w:t>
      </w:r>
      <w:proofErr w:type="spellEnd"/>
      <w:r w:rsidRPr="007D0FD9">
        <w:rPr>
          <w:rFonts w:ascii="Times New Roman" w:hAnsi="Times New Roman" w:cs="Times New Roman"/>
          <w:bCs/>
          <w:sz w:val="24"/>
        </w:rPr>
        <w:t xml:space="preserve"> in </w:t>
      </w:r>
      <w:proofErr w:type="spellStart"/>
      <w:r w:rsidRPr="007D0FD9">
        <w:rPr>
          <w:rFonts w:ascii="Times New Roman" w:hAnsi="Times New Roman" w:cs="Times New Roman"/>
          <w:bCs/>
          <w:sz w:val="24"/>
        </w:rPr>
        <w:t>law</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and</w:t>
      </w:r>
      <w:proofErr w:type="spellEnd"/>
      <w:r w:rsidRPr="007D0FD9">
        <w:rPr>
          <w:rFonts w:ascii="Times New Roman" w:hAnsi="Times New Roman" w:cs="Times New Roman"/>
          <w:bCs/>
          <w:sz w:val="24"/>
        </w:rPr>
        <w:t xml:space="preserve"> practice. A comparative </w:t>
      </w:r>
      <w:proofErr w:type="spellStart"/>
      <w:r w:rsidRPr="007D0FD9">
        <w:rPr>
          <w:rFonts w:ascii="Times New Roman" w:hAnsi="Times New Roman" w:cs="Times New Roman"/>
          <w:bCs/>
          <w:sz w:val="24"/>
        </w:rPr>
        <w:t>analysis</w:t>
      </w:r>
      <w:proofErr w:type="spellEnd"/>
      <w:r w:rsidRPr="007D0FD9">
        <w:rPr>
          <w:rFonts w:ascii="Times New Roman" w:hAnsi="Times New Roman" w:cs="Times New Roman"/>
          <w:bCs/>
          <w:sz w:val="24"/>
        </w:rPr>
        <w:t xml:space="preserve"> in Europe, Oxford 2013, p. 253-365.</w:t>
      </w:r>
    </w:p>
    <w:p w14:paraId="6CA99383" w14:textId="20E9DF6B" w:rsidR="00CE0BA8" w:rsidRPr="007D0FD9" w:rsidRDefault="005B5CBB" w:rsidP="005B5CBB">
      <w:pPr>
        <w:pStyle w:val="ListParagraph"/>
        <w:numPr>
          <w:ilvl w:val="0"/>
          <w:numId w:val="19"/>
        </w:numPr>
        <w:spacing w:after="0" w:line="360" w:lineRule="auto"/>
        <w:jc w:val="both"/>
        <w:rPr>
          <w:rFonts w:ascii="Times New Roman" w:hAnsi="Times New Roman" w:cs="Times New Roman"/>
          <w:bCs/>
          <w:sz w:val="24"/>
        </w:rPr>
      </w:pPr>
      <w:proofErr w:type="spellStart"/>
      <w:r w:rsidRPr="007D0FD9">
        <w:rPr>
          <w:rFonts w:ascii="Times New Roman" w:hAnsi="Times New Roman" w:cs="Times New Roman"/>
          <w:bCs/>
          <w:sz w:val="24"/>
        </w:rPr>
        <w:t>Organisation</w:t>
      </w:r>
      <w:proofErr w:type="spellEnd"/>
      <w:r w:rsidRPr="007D0FD9">
        <w:rPr>
          <w:rFonts w:ascii="Times New Roman" w:hAnsi="Times New Roman" w:cs="Times New Roman"/>
          <w:bCs/>
          <w:sz w:val="24"/>
        </w:rPr>
        <w:t xml:space="preserve"> for Economic C</w:t>
      </w:r>
      <w:r w:rsidR="00675438" w:rsidRPr="007D0FD9">
        <w:rPr>
          <w:rFonts w:ascii="Times New Roman" w:hAnsi="Times New Roman" w:cs="Times New Roman"/>
          <w:bCs/>
          <w:sz w:val="24"/>
        </w:rPr>
        <w:t xml:space="preserve">ooperation </w:t>
      </w:r>
      <w:proofErr w:type="spellStart"/>
      <w:r w:rsidR="00675438" w:rsidRPr="007D0FD9">
        <w:rPr>
          <w:rFonts w:ascii="Times New Roman" w:hAnsi="Times New Roman" w:cs="Times New Roman"/>
          <w:bCs/>
          <w:sz w:val="24"/>
        </w:rPr>
        <w:t>and</w:t>
      </w:r>
      <w:proofErr w:type="spellEnd"/>
      <w:r w:rsidR="00675438" w:rsidRPr="007D0FD9">
        <w:rPr>
          <w:rFonts w:ascii="Times New Roman" w:hAnsi="Times New Roman" w:cs="Times New Roman"/>
          <w:bCs/>
          <w:sz w:val="24"/>
        </w:rPr>
        <w:t xml:space="preserve"> </w:t>
      </w:r>
      <w:proofErr w:type="spellStart"/>
      <w:r w:rsidR="00675438" w:rsidRPr="007D0FD9">
        <w:rPr>
          <w:rFonts w:ascii="Times New Roman" w:hAnsi="Times New Roman" w:cs="Times New Roman"/>
          <w:bCs/>
          <w:sz w:val="24"/>
        </w:rPr>
        <w:t>Development</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Principles</w:t>
      </w:r>
      <w:proofErr w:type="spellEnd"/>
      <w:r w:rsidRPr="007D0FD9">
        <w:rPr>
          <w:rFonts w:ascii="Times New Roman" w:hAnsi="Times New Roman" w:cs="Times New Roman"/>
          <w:bCs/>
          <w:sz w:val="24"/>
        </w:rPr>
        <w:t xml:space="preserve"> of </w:t>
      </w:r>
      <w:proofErr w:type="spellStart"/>
      <w:r w:rsidRPr="007D0FD9">
        <w:rPr>
          <w:rFonts w:ascii="Times New Roman" w:hAnsi="Times New Roman" w:cs="Times New Roman"/>
          <w:bCs/>
          <w:sz w:val="24"/>
        </w:rPr>
        <w:t>Corp</w:t>
      </w:r>
      <w:r w:rsidR="00675438" w:rsidRPr="007D0FD9">
        <w:rPr>
          <w:rFonts w:ascii="Times New Roman" w:hAnsi="Times New Roman" w:cs="Times New Roman"/>
          <w:bCs/>
          <w:sz w:val="24"/>
        </w:rPr>
        <w:t>orate</w:t>
      </w:r>
      <w:proofErr w:type="spellEnd"/>
      <w:r w:rsidR="00675438" w:rsidRPr="007D0FD9">
        <w:rPr>
          <w:rFonts w:ascii="Times New Roman" w:hAnsi="Times New Roman" w:cs="Times New Roman"/>
          <w:bCs/>
          <w:sz w:val="24"/>
        </w:rPr>
        <w:t xml:space="preserve"> </w:t>
      </w:r>
      <w:proofErr w:type="spellStart"/>
      <w:r w:rsidR="00675438" w:rsidRPr="007D0FD9">
        <w:rPr>
          <w:rFonts w:ascii="Times New Roman" w:hAnsi="Times New Roman" w:cs="Times New Roman"/>
          <w:bCs/>
          <w:sz w:val="24"/>
        </w:rPr>
        <w:t>Governance</w:t>
      </w:r>
      <w:proofErr w:type="spellEnd"/>
      <w:r w:rsidR="00675438" w:rsidRPr="007D0FD9">
        <w:rPr>
          <w:rFonts w:ascii="Times New Roman" w:hAnsi="Times New Roman" w:cs="Times New Roman"/>
          <w:bCs/>
          <w:sz w:val="24"/>
        </w:rPr>
        <w:t>. Paris: OECD, 2004 &lt; http://www.oecd.org/corporate&gt;</w:t>
      </w:r>
    </w:p>
    <w:p w14:paraId="52DACD50" w14:textId="75C6FBA0" w:rsidR="007B4B5C" w:rsidRPr="007D0FD9" w:rsidRDefault="00CE0BA8" w:rsidP="002D698D">
      <w:pPr>
        <w:pStyle w:val="ListParagraph"/>
        <w:numPr>
          <w:ilvl w:val="0"/>
          <w:numId w:val="19"/>
        </w:numPr>
        <w:spacing w:after="0" w:line="360" w:lineRule="auto"/>
        <w:jc w:val="both"/>
        <w:rPr>
          <w:rFonts w:ascii="Times New Roman" w:hAnsi="Times New Roman" w:cs="Times New Roman"/>
          <w:bCs/>
          <w:sz w:val="24"/>
        </w:rPr>
      </w:pPr>
      <w:r w:rsidRPr="007D0FD9">
        <w:rPr>
          <w:rFonts w:ascii="Times New Roman" w:hAnsi="Times New Roman" w:cs="Times New Roman"/>
          <w:bCs/>
          <w:sz w:val="24"/>
        </w:rPr>
        <w:t xml:space="preserve">The </w:t>
      </w:r>
      <w:proofErr w:type="spellStart"/>
      <w:r w:rsidRPr="007D0FD9">
        <w:rPr>
          <w:rFonts w:ascii="Times New Roman" w:hAnsi="Times New Roman" w:cs="Times New Roman"/>
          <w:bCs/>
          <w:sz w:val="24"/>
        </w:rPr>
        <w:t>Deutscher</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Corporate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Governance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Kodex</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the</w:t>
      </w:r>
      <w:proofErr w:type="spellEnd"/>
      <w:r w:rsidRPr="007D0FD9">
        <w:rPr>
          <w:rFonts w:ascii="Times New Roman" w:hAnsi="Times New Roman" w:cs="Times New Roman"/>
          <w:bCs/>
          <w:sz w:val="24"/>
        </w:rPr>
        <w:t xml:space="preserve"> German </w:t>
      </w:r>
      <w:proofErr w:type="spellStart"/>
      <w:r w:rsidRPr="007D0FD9">
        <w:rPr>
          <w:rFonts w:ascii="Times New Roman" w:hAnsi="Times New Roman" w:cs="Times New Roman"/>
          <w:bCs/>
          <w:sz w:val="24"/>
        </w:rPr>
        <w:t>corporate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governance</w:t>
      </w:r>
      <w:proofErr w:type="spellEnd"/>
      <w:r w:rsidRPr="007D0FD9">
        <w:rPr>
          <w:rFonts w:ascii="Times New Roman" w:hAnsi="Times New Roman" w:cs="Times New Roman"/>
          <w:bCs/>
          <w:sz w:val="24"/>
        </w:rPr>
        <w:t xml:space="preserve"> code (</w:t>
      </w:r>
      <w:proofErr w:type="spellStart"/>
      <w:r w:rsidRPr="007D0FD9">
        <w:rPr>
          <w:rFonts w:ascii="Times New Roman" w:hAnsi="Times New Roman" w:cs="Times New Roman"/>
          <w:bCs/>
          <w:sz w:val="24"/>
        </w:rPr>
        <w:t>the</w:t>
      </w:r>
      <w:proofErr w:type="spellEnd"/>
      <w:r w:rsidRPr="007D0FD9">
        <w:rPr>
          <w:rFonts w:ascii="Times New Roman" w:hAnsi="Times New Roman" w:cs="Times New Roman"/>
          <w:bCs/>
          <w:sz w:val="24"/>
        </w:rPr>
        <w:t xml:space="preserve"> Code). </w:t>
      </w:r>
      <w:r w:rsidR="007B4B5C" w:rsidRPr="007D0FD9">
        <w:rPr>
          <w:rFonts w:ascii="Times New Roman" w:hAnsi="Times New Roman" w:cs="Times New Roman"/>
          <w:bCs/>
          <w:sz w:val="24"/>
        </w:rPr>
        <w:t>&lt;https://www.dcgk.de/en/code.html&gt;</w:t>
      </w:r>
    </w:p>
    <w:p w14:paraId="01EBAAFA" w14:textId="06208410" w:rsidR="005B5CBB" w:rsidRPr="007D0FD9" w:rsidRDefault="007B4B5C" w:rsidP="002D698D">
      <w:pPr>
        <w:pStyle w:val="ListParagraph"/>
        <w:numPr>
          <w:ilvl w:val="0"/>
          <w:numId w:val="19"/>
        </w:numPr>
        <w:spacing w:after="0" w:line="360" w:lineRule="auto"/>
        <w:jc w:val="both"/>
        <w:rPr>
          <w:rFonts w:ascii="Times New Roman" w:hAnsi="Times New Roman" w:cs="Times New Roman"/>
          <w:bCs/>
          <w:sz w:val="24"/>
        </w:rPr>
      </w:pPr>
      <w:proofErr w:type="spellStart"/>
      <w:r w:rsidRPr="007D0FD9">
        <w:rPr>
          <w:rFonts w:ascii="Times New Roman" w:hAnsi="Times New Roman" w:cs="Times New Roman"/>
          <w:bCs/>
          <w:sz w:val="24"/>
        </w:rPr>
        <w:t>Wenger</w:t>
      </w:r>
      <w:proofErr w:type="spellEnd"/>
      <w:r w:rsidRPr="007D0FD9">
        <w:rPr>
          <w:rFonts w:ascii="Times New Roman" w:hAnsi="Times New Roman" w:cs="Times New Roman"/>
          <w:bCs/>
          <w:sz w:val="24"/>
        </w:rPr>
        <w:t xml:space="preserve"> E./</w:t>
      </w:r>
      <w:proofErr w:type="spellStart"/>
      <w:r w:rsidRPr="007D0FD9">
        <w:rPr>
          <w:rFonts w:ascii="Times New Roman" w:hAnsi="Times New Roman" w:cs="Times New Roman"/>
          <w:bCs/>
          <w:sz w:val="24"/>
        </w:rPr>
        <w:t>Kaserer</w:t>
      </w:r>
      <w:proofErr w:type="spellEnd"/>
      <w:r w:rsidRPr="007D0FD9">
        <w:rPr>
          <w:rFonts w:ascii="Times New Roman" w:hAnsi="Times New Roman" w:cs="Times New Roman"/>
          <w:bCs/>
          <w:sz w:val="24"/>
        </w:rPr>
        <w:t xml:space="preserve"> C., The German </w:t>
      </w:r>
      <w:proofErr w:type="spellStart"/>
      <w:r w:rsidRPr="007D0FD9">
        <w:rPr>
          <w:rFonts w:ascii="Times New Roman" w:hAnsi="Times New Roman" w:cs="Times New Roman"/>
          <w:bCs/>
          <w:sz w:val="24"/>
        </w:rPr>
        <w:t>system</w:t>
      </w:r>
      <w:proofErr w:type="spellEnd"/>
      <w:r w:rsidRPr="007D0FD9">
        <w:rPr>
          <w:rFonts w:ascii="Times New Roman" w:hAnsi="Times New Roman" w:cs="Times New Roman"/>
          <w:bCs/>
          <w:sz w:val="24"/>
        </w:rPr>
        <w:t xml:space="preserve"> of </w:t>
      </w:r>
      <w:proofErr w:type="spellStart"/>
      <w:r w:rsidRPr="007D0FD9">
        <w:rPr>
          <w:rFonts w:ascii="Times New Roman" w:hAnsi="Times New Roman" w:cs="Times New Roman"/>
          <w:bCs/>
          <w:sz w:val="24"/>
        </w:rPr>
        <w:t>corporate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governance</w:t>
      </w:r>
      <w:proofErr w:type="spellEnd"/>
      <w:r w:rsidRPr="007D0FD9">
        <w:rPr>
          <w:rFonts w:ascii="Times New Roman" w:hAnsi="Times New Roman" w:cs="Times New Roman"/>
          <w:bCs/>
          <w:sz w:val="24"/>
        </w:rPr>
        <w:t xml:space="preserve"> -- A model </w:t>
      </w:r>
      <w:proofErr w:type="spellStart"/>
      <w:r w:rsidRPr="007D0FD9">
        <w:rPr>
          <w:rFonts w:ascii="Times New Roman" w:hAnsi="Times New Roman" w:cs="Times New Roman"/>
          <w:bCs/>
          <w:sz w:val="24"/>
        </w:rPr>
        <w:t>which</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should</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not</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be</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imitated</w:t>
      </w:r>
      <w:proofErr w:type="spellEnd"/>
      <w:r w:rsidRPr="007D0FD9">
        <w:rPr>
          <w:rFonts w:ascii="Times New Roman" w:hAnsi="Times New Roman" w:cs="Times New Roman"/>
          <w:bCs/>
          <w:sz w:val="24"/>
        </w:rPr>
        <w:t xml:space="preserve">. In: S.W. Black, M. </w:t>
      </w:r>
      <w:proofErr w:type="spellStart"/>
      <w:r w:rsidRPr="007D0FD9">
        <w:rPr>
          <w:rFonts w:ascii="Times New Roman" w:hAnsi="Times New Roman" w:cs="Times New Roman"/>
          <w:bCs/>
          <w:sz w:val="24"/>
        </w:rPr>
        <w:t>Moersch</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eds</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Competition</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and</w:t>
      </w:r>
      <w:proofErr w:type="spellEnd"/>
      <w:r w:rsidRPr="007D0FD9">
        <w:rPr>
          <w:rFonts w:ascii="Times New Roman" w:hAnsi="Times New Roman" w:cs="Times New Roman"/>
          <w:bCs/>
          <w:sz w:val="24"/>
        </w:rPr>
        <w:t xml:space="preserve"> </w:t>
      </w:r>
      <w:proofErr w:type="spellStart"/>
      <w:r w:rsidRPr="007D0FD9">
        <w:rPr>
          <w:rFonts w:ascii="Times New Roman" w:hAnsi="Times New Roman" w:cs="Times New Roman"/>
          <w:bCs/>
          <w:sz w:val="24"/>
        </w:rPr>
        <w:t>Convergence</w:t>
      </w:r>
      <w:proofErr w:type="spellEnd"/>
      <w:r w:rsidRPr="007D0FD9">
        <w:rPr>
          <w:rFonts w:ascii="Times New Roman" w:hAnsi="Times New Roman" w:cs="Times New Roman"/>
          <w:bCs/>
          <w:sz w:val="24"/>
        </w:rPr>
        <w:t xml:space="preserve"> in Financial </w:t>
      </w:r>
      <w:proofErr w:type="spellStart"/>
      <w:r w:rsidRPr="007D0FD9">
        <w:rPr>
          <w:rFonts w:ascii="Times New Roman" w:hAnsi="Times New Roman" w:cs="Times New Roman"/>
          <w:bCs/>
          <w:sz w:val="24"/>
        </w:rPr>
        <w:t>Markets</w:t>
      </w:r>
      <w:proofErr w:type="spellEnd"/>
      <w:r w:rsidRPr="007D0FD9">
        <w:rPr>
          <w:rFonts w:ascii="Times New Roman" w:hAnsi="Times New Roman" w:cs="Times New Roman"/>
          <w:bCs/>
          <w:sz w:val="24"/>
        </w:rPr>
        <w:t xml:space="preserve"> -- The German </w:t>
      </w:r>
      <w:proofErr w:type="spellStart"/>
      <w:r w:rsidRPr="007D0FD9">
        <w:rPr>
          <w:rFonts w:ascii="Times New Roman" w:hAnsi="Times New Roman" w:cs="Times New Roman"/>
          <w:bCs/>
          <w:sz w:val="24"/>
        </w:rPr>
        <w:t>and</w:t>
      </w:r>
      <w:proofErr w:type="spellEnd"/>
      <w:r w:rsidRPr="007D0FD9">
        <w:rPr>
          <w:rFonts w:ascii="Times New Roman" w:hAnsi="Times New Roman" w:cs="Times New Roman"/>
          <w:bCs/>
          <w:sz w:val="24"/>
        </w:rPr>
        <w:t xml:space="preserve"> Anglo-American </w:t>
      </w:r>
      <w:proofErr w:type="spellStart"/>
      <w:r w:rsidRPr="007D0FD9">
        <w:rPr>
          <w:rFonts w:ascii="Times New Roman" w:hAnsi="Times New Roman" w:cs="Times New Roman"/>
          <w:bCs/>
          <w:sz w:val="24"/>
        </w:rPr>
        <w:t>Models</w:t>
      </w:r>
      <w:proofErr w:type="spellEnd"/>
      <w:r w:rsidRPr="007D0FD9">
        <w:rPr>
          <w:rFonts w:ascii="Times New Roman" w:hAnsi="Times New Roman" w:cs="Times New Roman"/>
          <w:bCs/>
          <w:sz w:val="24"/>
        </w:rPr>
        <w:t>, Amsterdam 1998, p. 41-78.</w:t>
      </w:r>
    </w:p>
    <w:sectPr w:rsidR="005B5CBB" w:rsidRPr="007D0FD9" w:rsidSect="009C67AC">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BB9D2" w14:textId="77777777" w:rsidR="00CD7109" w:rsidRDefault="00CD7109" w:rsidP="00CC60E0">
      <w:pPr>
        <w:spacing w:after="0" w:line="240" w:lineRule="auto"/>
      </w:pPr>
      <w:r>
        <w:separator/>
      </w:r>
    </w:p>
  </w:endnote>
  <w:endnote w:type="continuationSeparator" w:id="0">
    <w:p w14:paraId="42A10052" w14:textId="77777777" w:rsidR="00CD7109" w:rsidRDefault="00CD7109" w:rsidP="00CC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585489"/>
      <w:docPartObj>
        <w:docPartGallery w:val="Page Numbers (Bottom of Page)"/>
        <w:docPartUnique/>
      </w:docPartObj>
    </w:sdtPr>
    <w:sdtEndPr/>
    <w:sdtContent>
      <w:p w14:paraId="14174809" w14:textId="694D5EF0" w:rsidR="00CC60E0" w:rsidRDefault="00CC60E0">
        <w:pPr>
          <w:pStyle w:val="Footer"/>
          <w:jc w:val="center"/>
        </w:pPr>
        <w:r>
          <w:fldChar w:fldCharType="begin"/>
        </w:r>
        <w:r>
          <w:instrText>PAGE   \* MERGEFORMAT</w:instrText>
        </w:r>
        <w:r>
          <w:fldChar w:fldCharType="separate"/>
        </w:r>
        <w:r w:rsidR="00E34F3E">
          <w:rPr>
            <w:noProof/>
          </w:rPr>
          <w:t>1</w:t>
        </w:r>
        <w:r>
          <w:fldChar w:fldCharType="end"/>
        </w:r>
      </w:p>
    </w:sdtContent>
  </w:sdt>
  <w:p w14:paraId="5C333784" w14:textId="77777777" w:rsidR="00CC60E0" w:rsidRDefault="00CC6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885E0" w14:textId="77777777" w:rsidR="00CD7109" w:rsidRDefault="00CD7109" w:rsidP="00CC60E0">
      <w:pPr>
        <w:spacing w:after="0" w:line="240" w:lineRule="auto"/>
      </w:pPr>
      <w:r>
        <w:separator/>
      </w:r>
    </w:p>
  </w:footnote>
  <w:footnote w:type="continuationSeparator" w:id="0">
    <w:p w14:paraId="26D9CB9E" w14:textId="77777777" w:rsidR="00CD7109" w:rsidRDefault="00CD7109" w:rsidP="00CC6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9FC"/>
    <w:multiLevelType w:val="hybridMultilevel"/>
    <w:tmpl w:val="DF66DF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621E2B"/>
    <w:multiLevelType w:val="hybridMultilevel"/>
    <w:tmpl w:val="2E5CDD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CC049F0"/>
    <w:multiLevelType w:val="hybridMultilevel"/>
    <w:tmpl w:val="5CC46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727F7"/>
    <w:multiLevelType w:val="hybridMultilevel"/>
    <w:tmpl w:val="8362A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839BC"/>
    <w:multiLevelType w:val="hybridMultilevel"/>
    <w:tmpl w:val="2B56EC42"/>
    <w:lvl w:ilvl="0" w:tplc="134A8634">
      <w:numFmt w:val="bullet"/>
      <w:lvlText w:val="-"/>
      <w:lvlJc w:val="left"/>
      <w:pPr>
        <w:ind w:left="1271" w:hanging="360"/>
      </w:pPr>
      <w:rPr>
        <w:rFonts w:ascii="Times New Roman" w:eastAsia="Times New Roman" w:hAnsi="Times New Roman" w:cs="Times New Roman"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5" w15:restartNumberingAfterBreak="0">
    <w:nsid w:val="19D36E98"/>
    <w:multiLevelType w:val="hybridMultilevel"/>
    <w:tmpl w:val="F06E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B4FA4"/>
    <w:multiLevelType w:val="hybridMultilevel"/>
    <w:tmpl w:val="E836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F5EDE"/>
    <w:multiLevelType w:val="multilevel"/>
    <w:tmpl w:val="6DE0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3C03A3"/>
    <w:multiLevelType w:val="multilevel"/>
    <w:tmpl w:val="48A099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964F91"/>
    <w:multiLevelType w:val="multilevel"/>
    <w:tmpl w:val="88F4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F96534"/>
    <w:multiLevelType w:val="multilevel"/>
    <w:tmpl w:val="A84AA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D91929"/>
    <w:multiLevelType w:val="hybridMultilevel"/>
    <w:tmpl w:val="EC1A3824"/>
    <w:lvl w:ilvl="0" w:tplc="436AC2D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769465A"/>
    <w:multiLevelType w:val="hybridMultilevel"/>
    <w:tmpl w:val="5C04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B7AE0"/>
    <w:multiLevelType w:val="multilevel"/>
    <w:tmpl w:val="6B4A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F837B0"/>
    <w:multiLevelType w:val="hybridMultilevel"/>
    <w:tmpl w:val="31DC1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BB2E17"/>
    <w:multiLevelType w:val="hybridMultilevel"/>
    <w:tmpl w:val="A61608C4"/>
    <w:lvl w:ilvl="0" w:tplc="12AA7E2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 w15:restartNumberingAfterBreak="0">
    <w:nsid w:val="625366A4"/>
    <w:multiLevelType w:val="hybridMultilevel"/>
    <w:tmpl w:val="C33EA16E"/>
    <w:lvl w:ilvl="0" w:tplc="A900E91E">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3947BA2"/>
    <w:multiLevelType w:val="hybridMultilevel"/>
    <w:tmpl w:val="8DA6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12A1B"/>
    <w:multiLevelType w:val="hybridMultilevel"/>
    <w:tmpl w:val="373C6786"/>
    <w:lvl w:ilvl="0" w:tplc="134A863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7980667A"/>
    <w:multiLevelType w:val="hybridMultilevel"/>
    <w:tmpl w:val="B9A48208"/>
    <w:lvl w:ilvl="0" w:tplc="08561C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3"/>
  </w:num>
  <w:num w:numId="2">
    <w:abstractNumId w:val="9"/>
  </w:num>
  <w:num w:numId="3">
    <w:abstractNumId w:val="7"/>
  </w:num>
  <w:num w:numId="4">
    <w:abstractNumId w:val="8"/>
  </w:num>
  <w:num w:numId="5">
    <w:abstractNumId w:val="15"/>
  </w:num>
  <w:num w:numId="6">
    <w:abstractNumId w:val="10"/>
  </w:num>
  <w:num w:numId="7">
    <w:abstractNumId w:val="5"/>
  </w:num>
  <w:num w:numId="8">
    <w:abstractNumId w:val="19"/>
  </w:num>
  <w:num w:numId="9">
    <w:abstractNumId w:val="1"/>
  </w:num>
  <w:num w:numId="10">
    <w:abstractNumId w:val="0"/>
  </w:num>
  <w:num w:numId="11">
    <w:abstractNumId w:val="16"/>
  </w:num>
  <w:num w:numId="12">
    <w:abstractNumId w:val="11"/>
  </w:num>
  <w:num w:numId="13">
    <w:abstractNumId w:val="18"/>
  </w:num>
  <w:num w:numId="14">
    <w:abstractNumId w:val="4"/>
  </w:num>
  <w:num w:numId="15">
    <w:abstractNumId w:val="2"/>
  </w:num>
  <w:num w:numId="16">
    <w:abstractNumId w:val="14"/>
  </w:num>
  <w:num w:numId="17">
    <w:abstractNumId w:val="12"/>
  </w:num>
  <w:num w:numId="18">
    <w:abstractNumId w:val="6"/>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A6"/>
    <w:rsid w:val="00001FB7"/>
    <w:rsid w:val="0000612B"/>
    <w:rsid w:val="0001041F"/>
    <w:rsid w:val="000110BD"/>
    <w:rsid w:val="00033DDF"/>
    <w:rsid w:val="0004017C"/>
    <w:rsid w:val="000643B5"/>
    <w:rsid w:val="000725DE"/>
    <w:rsid w:val="00084548"/>
    <w:rsid w:val="00086946"/>
    <w:rsid w:val="00092331"/>
    <w:rsid w:val="000E17AB"/>
    <w:rsid w:val="000F3797"/>
    <w:rsid w:val="000F5707"/>
    <w:rsid w:val="000F767F"/>
    <w:rsid w:val="00107B3F"/>
    <w:rsid w:val="00112F00"/>
    <w:rsid w:val="001170F2"/>
    <w:rsid w:val="00143481"/>
    <w:rsid w:val="001544D1"/>
    <w:rsid w:val="001872C4"/>
    <w:rsid w:val="001A0AFF"/>
    <w:rsid w:val="001B70EC"/>
    <w:rsid w:val="001C10A3"/>
    <w:rsid w:val="001D2055"/>
    <w:rsid w:val="001D54A9"/>
    <w:rsid w:val="001E5BC0"/>
    <w:rsid w:val="001F6E7E"/>
    <w:rsid w:val="00213ADC"/>
    <w:rsid w:val="002142AF"/>
    <w:rsid w:val="00227875"/>
    <w:rsid w:val="00234EBF"/>
    <w:rsid w:val="00243BAD"/>
    <w:rsid w:val="00253FD2"/>
    <w:rsid w:val="00260CF7"/>
    <w:rsid w:val="00266C37"/>
    <w:rsid w:val="002B3902"/>
    <w:rsid w:val="002D2756"/>
    <w:rsid w:val="002D4457"/>
    <w:rsid w:val="002D5D4B"/>
    <w:rsid w:val="002E5ED3"/>
    <w:rsid w:val="002F7795"/>
    <w:rsid w:val="00306C0A"/>
    <w:rsid w:val="00320625"/>
    <w:rsid w:val="00325E3D"/>
    <w:rsid w:val="00327E28"/>
    <w:rsid w:val="00336388"/>
    <w:rsid w:val="003456BB"/>
    <w:rsid w:val="00347C8A"/>
    <w:rsid w:val="003540CE"/>
    <w:rsid w:val="003617DA"/>
    <w:rsid w:val="00367756"/>
    <w:rsid w:val="00384C79"/>
    <w:rsid w:val="00385667"/>
    <w:rsid w:val="00386C0D"/>
    <w:rsid w:val="0039164C"/>
    <w:rsid w:val="003A4E8F"/>
    <w:rsid w:val="003B49C6"/>
    <w:rsid w:val="003C0726"/>
    <w:rsid w:val="003C12C9"/>
    <w:rsid w:val="003C4A9C"/>
    <w:rsid w:val="003D2BD6"/>
    <w:rsid w:val="003F0187"/>
    <w:rsid w:val="003F15F2"/>
    <w:rsid w:val="00415C82"/>
    <w:rsid w:val="00421D3E"/>
    <w:rsid w:val="00423D7C"/>
    <w:rsid w:val="00437D7A"/>
    <w:rsid w:val="004762A3"/>
    <w:rsid w:val="0049151B"/>
    <w:rsid w:val="004B3476"/>
    <w:rsid w:val="004B75A6"/>
    <w:rsid w:val="004C42C3"/>
    <w:rsid w:val="004E3EC1"/>
    <w:rsid w:val="004F7A96"/>
    <w:rsid w:val="005021A7"/>
    <w:rsid w:val="0050425F"/>
    <w:rsid w:val="005224BB"/>
    <w:rsid w:val="0053588B"/>
    <w:rsid w:val="00551303"/>
    <w:rsid w:val="00572525"/>
    <w:rsid w:val="00577679"/>
    <w:rsid w:val="005A2928"/>
    <w:rsid w:val="005B5699"/>
    <w:rsid w:val="005B5CBB"/>
    <w:rsid w:val="005D3DE8"/>
    <w:rsid w:val="005D4FF0"/>
    <w:rsid w:val="005E3E87"/>
    <w:rsid w:val="00611351"/>
    <w:rsid w:val="00617850"/>
    <w:rsid w:val="00620163"/>
    <w:rsid w:val="006203A0"/>
    <w:rsid w:val="006409EF"/>
    <w:rsid w:val="00645D66"/>
    <w:rsid w:val="00672898"/>
    <w:rsid w:val="00675438"/>
    <w:rsid w:val="00677A55"/>
    <w:rsid w:val="0068103D"/>
    <w:rsid w:val="0068598A"/>
    <w:rsid w:val="006A55AA"/>
    <w:rsid w:val="006B63C3"/>
    <w:rsid w:val="006F2C90"/>
    <w:rsid w:val="007167A4"/>
    <w:rsid w:val="00740BA3"/>
    <w:rsid w:val="007815BE"/>
    <w:rsid w:val="007A3B39"/>
    <w:rsid w:val="007B4B5C"/>
    <w:rsid w:val="007C6EE3"/>
    <w:rsid w:val="007D044D"/>
    <w:rsid w:val="007D0FD9"/>
    <w:rsid w:val="00821BC2"/>
    <w:rsid w:val="008366FE"/>
    <w:rsid w:val="00857E4D"/>
    <w:rsid w:val="0086663E"/>
    <w:rsid w:val="00874C85"/>
    <w:rsid w:val="00893707"/>
    <w:rsid w:val="008C6889"/>
    <w:rsid w:val="008E2378"/>
    <w:rsid w:val="008E4B2F"/>
    <w:rsid w:val="008E565D"/>
    <w:rsid w:val="008F4221"/>
    <w:rsid w:val="00902964"/>
    <w:rsid w:val="009257EE"/>
    <w:rsid w:val="00933BC4"/>
    <w:rsid w:val="00955E9E"/>
    <w:rsid w:val="00965A49"/>
    <w:rsid w:val="00980A6C"/>
    <w:rsid w:val="00983DC6"/>
    <w:rsid w:val="00992052"/>
    <w:rsid w:val="009A2CBB"/>
    <w:rsid w:val="009B45C0"/>
    <w:rsid w:val="009C67AC"/>
    <w:rsid w:val="009D4F12"/>
    <w:rsid w:val="00A20504"/>
    <w:rsid w:val="00A207CC"/>
    <w:rsid w:val="00A54638"/>
    <w:rsid w:val="00A76E75"/>
    <w:rsid w:val="00AA51F5"/>
    <w:rsid w:val="00AB4A81"/>
    <w:rsid w:val="00AE0EDF"/>
    <w:rsid w:val="00AF370E"/>
    <w:rsid w:val="00AF7C04"/>
    <w:rsid w:val="00B050E8"/>
    <w:rsid w:val="00B33CCF"/>
    <w:rsid w:val="00B5035D"/>
    <w:rsid w:val="00B56685"/>
    <w:rsid w:val="00B6726E"/>
    <w:rsid w:val="00B80B92"/>
    <w:rsid w:val="00B83773"/>
    <w:rsid w:val="00B91ACD"/>
    <w:rsid w:val="00BA0CE5"/>
    <w:rsid w:val="00BA3601"/>
    <w:rsid w:val="00BA50A5"/>
    <w:rsid w:val="00BB7FDE"/>
    <w:rsid w:val="00BE3B34"/>
    <w:rsid w:val="00BE6A3A"/>
    <w:rsid w:val="00BF47BC"/>
    <w:rsid w:val="00C0592E"/>
    <w:rsid w:val="00C062C9"/>
    <w:rsid w:val="00C349B4"/>
    <w:rsid w:val="00C56285"/>
    <w:rsid w:val="00C615F6"/>
    <w:rsid w:val="00C729CE"/>
    <w:rsid w:val="00C93459"/>
    <w:rsid w:val="00C958BF"/>
    <w:rsid w:val="00CA5873"/>
    <w:rsid w:val="00CB178C"/>
    <w:rsid w:val="00CB7338"/>
    <w:rsid w:val="00CC0784"/>
    <w:rsid w:val="00CC60E0"/>
    <w:rsid w:val="00CD0279"/>
    <w:rsid w:val="00CD5EEC"/>
    <w:rsid w:val="00CD7109"/>
    <w:rsid w:val="00CE0673"/>
    <w:rsid w:val="00CE0BA8"/>
    <w:rsid w:val="00CE3DCF"/>
    <w:rsid w:val="00CF3F18"/>
    <w:rsid w:val="00D0685A"/>
    <w:rsid w:val="00D13707"/>
    <w:rsid w:val="00D3567A"/>
    <w:rsid w:val="00D42DDB"/>
    <w:rsid w:val="00D43CF5"/>
    <w:rsid w:val="00D66793"/>
    <w:rsid w:val="00D81CC4"/>
    <w:rsid w:val="00D85377"/>
    <w:rsid w:val="00DB484D"/>
    <w:rsid w:val="00DC1563"/>
    <w:rsid w:val="00DC4940"/>
    <w:rsid w:val="00DC6195"/>
    <w:rsid w:val="00DD2985"/>
    <w:rsid w:val="00DD2DAA"/>
    <w:rsid w:val="00E023AC"/>
    <w:rsid w:val="00E14629"/>
    <w:rsid w:val="00E2105D"/>
    <w:rsid w:val="00E32AD1"/>
    <w:rsid w:val="00E3438A"/>
    <w:rsid w:val="00E34F3E"/>
    <w:rsid w:val="00E501D5"/>
    <w:rsid w:val="00E5556E"/>
    <w:rsid w:val="00E57102"/>
    <w:rsid w:val="00E64CA1"/>
    <w:rsid w:val="00E73B35"/>
    <w:rsid w:val="00E7710A"/>
    <w:rsid w:val="00E8419F"/>
    <w:rsid w:val="00E87814"/>
    <w:rsid w:val="00E90585"/>
    <w:rsid w:val="00EA0AA2"/>
    <w:rsid w:val="00EA532F"/>
    <w:rsid w:val="00EA7EDE"/>
    <w:rsid w:val="00EC7812"/>
    <w:rsid w:val="00ED34F7"/>
    <w:rsid w:val="00EE52C2"/>
    <w:rsid w:val="00EF41A5"/>
    <w:rsid w:val="00F174A5"/>
    <w:rsid w:val="00F264A2"/>
    <w:rsid w:val="00F271F9"/>
    <w:rsid w:val="00F37967"/>
    <w:rsid w:val="00F533AB"/>
    <w:rsid w:val="00F8534E"/>
    <w:rsid w:val="00FD7E79"/>
    <w:rsid w:val="00FE4C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5849"/>
  <w15:docId w15:val="{93C4098C-A30E-4F60-8E1E-AFAF15DF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0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60E0"/>
  </w:style>
  <w:style w:type="paragraph" w:styleId="Footer">
    <w:name w:val="footer"/>
    <w:basedOn w:val="Normal"/>
    <w:link w:val="FooterChar"/>
    <w:uiPriority w:val="99"/>
    <w:unhideWhenUsed/>
    <w:rsid w:val="00CC60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60E0"/>
  </w:style>
  <w:style w:type="paragraph" w:styleId="FootnoteText">
    <w:name w:val="footnote text"/>
    <w:basedOn w:val="Normal"/>
    <w:link w:val="FootnoteTextChar"/>
    <w:uiPriority w:val="99"/>
    <w:semiHidden/>
    <w:unhideWhenUsed/>
    <w:rsid w:val="005D3D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3DE8"/>
    <w:rPr>
      <w:sz w:val="20"/>
      <w:szCs w:val="20"/>
    </w:rPr>
  </w:style>
  <w:style w:type="character" w:styleId="FootnoteReference">
    <w:name w:val="footnote reference"/>
    <w:basedOn w:val="DefaultParagraphFont"/>
    <w:uiPriority w:val="99"/>
    <w:semiHidden/>
    <w:unhideWhenUsed/>
    <w:rsid w:val="005D3DE8"/>
    <w:rPr>
      <w:vertAlign w:val="superscript"/>
    </w:rPr>
  </w:style>
  <w:style w:type="paragraph" w:styleId="ListParagraph">
    <w:name w:val="List Paragraph"/>
    <w:basedOn w:val="Normal"/>
    <w:uiPriority w:val="34"/>
    <w:qFormat/>
    <w:rsid w:val="00BA0CE5"/>
    <w:pPr>
      <w:ind w:left="720"/>
      <w:contextualSpacing/>
    </w:pPr>
  </w:style>
  <w:style w:type="character" w:styleId="Hyperlink">
    <w:name w:val="Hyperlink"/>
    <w:basedOn w:val="DefaultParagraphFont"/>
    <w:uiPriority w:val="99"/>
    <w:unhideWhenUsed/>
    <w:rsid w:val="00084548"/>
    <w:rPr>
      <w:color w:val="0000FF" w:themeColor="hyperlink"/>
      <w:u w:val="single"/>
    </w:rPr>
  </w:style>
  <w:style w:type="paragraph" w:customStyle="1" w:styleId="DefaultText">
    <w:name w:val="Default Text"/>
    <w:basedOn w:val="Normal"/>
    <w:link w:val="DefaultTextChar"/>
    <w:rsid w:val="00EE52C2"/>
    <w:pPr>
      <w:widowControl w:val="0"/>
      <w:suppressAutoHyphens/>
      <w:spacing w:after="100" w:afterAutospacing="1" w:line="240" w:lineRule="auto"/>
      <w:jc w:val="both"/>
    </w:pPr>
    <w:rPr>
      <w:rFonts w:ascii="Times New Roman" w:eastAsia="Times New Roman" w:hAnsi="Times New Roman" w:cs="Times New Roman"/>
      <w:color w:val="000000"/>
      <w:sz w:val="24"/>
      <w:szCs w:val="24"/>
    </w:rPr>
  </w:style>
  <w:style w:type="character" w:customStyle="1" w:styleId="DefaultTextChar">
    <w:name w:val="Default Text Char"/>
    <w:link w:val="DefaultText"/>
    <w:locked/>
    <w:rsid w:val="00EE52C2"/>
    <w:rPr>
      <w:rFonts w:ascii="Times New Roman" w:eastAsia="Times New Roman" w:hAnsi="Times New Roman" w:cs="Times New Roman"/>
      <w:color w:val="000000"/>
      <w:sz w:val="24"/>
      <w:szCs w:val="24"/>
    </w:rPr>
  </w:style>
  <w:style w:type="paragraph" w:customStyle="1" w:styleId="Norm">
    <w:name w:val="Normâ"/>
    <w:basedOn w:val="Normal"/>
    <w:rsid w:val="00EE52C2"/>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uiPriority w:val="99"/>
    <w:semiHidden/>
    <w:unhideWhenUsed/>
    <w:rsid w:val="004E3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EC1"/>
    <w:rPr>
      <w:rFonts w:ascii="Tahoma" w:hAnsi="Tahoma" w:cs="Tahoma"/>
      <w:sz w:val="16"/>
      <w:szCs w:val="16"/>
    </w:rPr>
  </w:style>
  <w:style w:type="character" w:styleId="FollowedHyperlink">
    <w:name w:val="FollowedHyperlink"/>
    <w:basedOn w:val="DefaultParagraphFont"/>
    <w:uiPriority w:val="99"/>
    <w:semiHidden/>
    <w:unhideWhenUsed/>
    <w:rsid w:val="00CE0B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82805">
      <w:bodyDiv w:val="1"/>
      <w:marLeft w:val="0"/>
      <w:marRight w:val="0"/>
      <w:marTop w:val="0"/>
      <w:marBottom w:val="0"/>
      <w:divBdr>
        <w:top w:val="none" w:sz="0" w:space="0" w:color="auto"/>
        <w:left w:val="none" w:sz="0" w:space="0" w:color="auto"/>
        <w:bottom w:val="none" w:sz="0" w:space="0" w:color="auto"/>
        <w:right w:val="none" w:sz="0" w:space="0" w:color="auto"/>
      </w:divBdr>
      <w:divsChild>
        <w:div w:id="342971548">
          <w:marLeft w:val="0"/>
          <w:marRight w:val="0"/>
          <w:marTop w:val="0"/>
          <w:marBottom w:val="0"/>
          <w:divBdr>
            <w:top w:val="none" w:sz="0" w:space="0" w:color="D1D1D1"/>
            <w:left w:val="none" w:sz="0" w:space="0" w:color="D1D1D1"/>
            <w:bottom w:val="none" w:sz="0" w:space="0" w:color="D1D1D1"/>
            <w:right w:val="none" w:sz="0" w:space="0" w:color="D1D1D1"/>
          </w:divBdr>
        </w:div>
      </w:divsChild>
    </w:div>
    <w:div w:id="595947069">
      <w:bodyDiv w:val="1"/>
      <w:marLeft w:val="0"/>
      <w:marRight w:val="0"/>
      <w:marTop w:val="0"/>
      <w:marBottom w:val="0"/>
      <w:divBdr>
        <w:top w:val="none" w:sz="0" w:space="0" w:color="auto"/>
        <w:left w:val="none" w:sz="0" w:space="0" w:color="auto"/>
        <w:bottom w:val="none" w:sz="0" w:space="0" w:color="auto"/>
        <w:right w:val="none" w:sz="0" w:space="0" w:color="auto"/>
      </w:divBdr>
    </w:div>
    <w:div w:id="606155821">
      <w:bodyDiv w:val="1"/>
      <w:marLeft w:val="0"/>
      <w:marRight w:val="0"/>
      <w:marTop w:val="0"/>
      <w:marBottom w:val="0"/>
      <w:divBdr>
        <w:top w:val="none" w:sz="0" w:space="0" w:color="auto"/>
        <w:left w:val="none" w:sz="0" w:space="0" w:color="auto"/>
        <w:bottom w:val="none" w:sz="0" w:space="0" w:color="auto"/>
        <w:right w:val="none" w:sz="0" w:space="0" w:color="auto"/>
      </w:divBdr>
      <w:divsChild>
        <w:div w:id="639925581">
          <w:marLeft w:val="0"/>
          <w:marRight w:val="0"/>
          <w:marTop w:val="0"/>
          <w:marBottom w:val="495"/>
          <w:divBdr>
            <w:top w:val="none" w:sz="0" w:space="0" w:color="auto"/>
            <w:left w:val="none" w:sz="0" w:space="0" w:color="auto"/>
            <w:bottom w:val="none" w:sz="0" w:space="0" w:color="auto"/>
            <w:right w:val="none" w:sz="0" w:space="0" w:color="auto"/>
          </w:divBdr>
          <w:divsChild>
            <w:div w:id="6829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6685">
      <w:bodyDiv w:val="1"/>
      <w:marLeft w:val="0"/>
      <w:marRight w:val="0"/>
      <w:marTop w:val="0"/>
      <w:marBottom w:val="0"/>
      <w:divBdr>
        <w:top w:val="none" w:sz="0" w:space="0" w:color="auto"/>
        <w:left w:val="none" w:sz="0" w:space="0" w:color="auto"/>
        <w:bottom w:val="none" w:sz="0" w:space="0" w:color="auto"/>
        <w:right w:val="none" w:sz="0" w:space="0" w:color="auto"/>
      </w:divBdr>
    </w:div>
    <w:div w:id="1455173518">
      <w:bodyDiv w:val="1"/>
      <w:marLeft w:val="0"/>
      <w:marRight w:val="0"/>
      <w:marTop w:val="0"/>
      <w:marBottom w:val="0"/>
      <w:divBdr>
        <w:top w:val="none" w:sz="0" w:space="0" w:color="auto"/>
        <w:left w:val="none" w:sz="0" w:space="0" w:color="auto"/>
        <w:bottom w:val="none" w:sz="0" w:space="0" w:color="auto"/>
        <w:right w:val="none" w:sz="0" w:space="0" w:color="auto"/>
      </w:divBdr>
    </w:div>
    <w:div w:id="1475874146">
      <w:bodyDiv w:val="1"/>
      <w:marLeft w:val="0"/>
      <w:marRight w:val="0"/>
      <w:marTop w:val="0"/>
      <w:marBottom w:val="0"/>
      <w:divBdr>
        <w:top w:val="none" w:sz="0" w:space="0" w:color="auto"/>
        <w:left w:val="none" w:sz="0" w:space="0" w:color="auto"/>
        <w:bottom w:val="none" w:sz="0" w:space="0" w:color="auto"/>
        <w:right w:val="none" w:sz="0" w:space="0" w:color="auto"/>
      </w:divBdr>
    </w:div>
    <w:div w:id="208576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6FE36-93DB-4D64-B48A-9C33BD72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2841</Words>
  <Characters>16199</Characters>
  <Application>Microsoft Office Word</Application>
  <DocSecurity>0</DocSecurity>
  <Lines>134</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Cetina Marius</dc:creator>
  <cp:lastModifiedBy>Lupu, Aurel Constantin (944)</cp:lastModifiedBy>
  <cp:revision>37</cp:revision>
  <cp:lastPrinted>2020-04-22T17:02:00Z</cp:lastPrinted>
  <dcterms:created xsi:type="dcterms:W3CDTF">2020-04-22T16:18:00Z</dcterms:created>
  <dcterms:modified xsi:type="dcterms:W3CDTF">2020-05-25T20:04:00Z</dcterms:modified>
</cp:coreProperties>
</file>