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CCC84" w14:textId="293339F8" w:rsidR="009D4F12" w:rsidRDefault="00E34F3E" w:rsidP="00E34F3E">
      <w:pPr>
        <w:spacing w:after="0" w:line="360" w:lineRule="auto"/>
        <w:contextualSpacing/>
        <w:rPr>
          <w:rFonts w:ascii="Times New Roman" w:hAnsi="Times New Roman" w:cs="Times New Roman"/>
          <w:bCs/>
          <w:i/>
          <w:sz w:val="24"/>
        </w:rPr>
      </w:pPr>
      <w:r w:rsidRPr="00E34F3E">
        <w:rPr>
          <w:rFonts w:ascii="Times New Roman" w:hAnsi="Times New Roman" w:cs="Times New Roman"/>
          <w:bCs/>
          <w:i/>
          <w:sz w:val="24"/>
        </w:rPr>
        <w:t>EVOLUȚIA GUVERNANȚEI CORPORATIVE ÎN INDUSTRIA AUTO. STUDIU DE CAZ DAIMLER AG</w:t>
      </w:r>
    </w:p>
    <w:p w14:paraId="2D43AA19" w14:textId="77777777" w:rsidR="00E34F3E" w:rsidRPr="007D0FD9" w:rsidRDefault="00E34F3E" w:rsidP="00E34F3E">
      <w:pPr>
        <w:spacing w:after="0" w:line="360" w:lineRule="auto"/>
        <w:contextualSpacing/>
        <w:rPr>
          <w:rFonts w:ascii="Times New Roman" w:eastAsia="Times New Roman" w:hAnsi="Times New Roman" w:cs="Times New Roman"/>
          <w:b/>
          <w:bCs/>
          <w:color w:val="000000"/>
          <w:sz w:val="24"/>
          <w:szCs w:val="24"/>
        </w:rPr>
      </w:pPr>
      <w:bookmarkStart w:id="0" w:name="_GoBack"/>
      <w:bookmarkEnd w:id="0"/>
    </w:p>
    <w:p w14:paraId="383EE847" w14:textId="77777777" w:rsidR="00B83773" w:rsidRPr="007D0FD9" w:rsidRDefault="00B83773" w:rsidP="00620163">
      <w:pPr>
        <w:spacing w:after="0" w:line="360" w:lineRule="auto"/>
        <w:contextualSpacing/>
        <w:rPr>
          <w:rFonts w:ascii="Times New Roman" w:hAnsi="Times New Roman" w:cs="Times New Roman"/>
          <w:b/>
          <w:bCs/>
          <w:sz w:val="24"/>
          <w:szCs w:val="24"/>
        </w:rPr>
      </w:pPr>
      <w:r w:rsidRPr="007D0FD9">
        <w:rPr>
          <w:rFonts w:ascii="Times New Roman" w:hAnsi="Times New Roman" w:cs="Times New Roman"/>
          <w:b/>
          <w:bCs/>
          <w:sz w:val="24"/>
          <w:szCs w:val="24"/>
        </w:rPr>
        <w:t>Abstract</w:t>
      </w:r>
    </w:p>
    <w:p w14:paraId="3A947363" w14:textId="77777777" w:rsidR="007D0FD9" w:rsidRPr="007D0FD9" w:rsidRDefault="007D0FD9" w:rsidP="007D0FD9">
      <w:pPr>
        <w:spacing w:after="0" w:line="240" w:lineRule="auto"/>
        <w:contextualSpacing/>
        <w:jc w:val="both"/>
        <w:rPr>
          <w:rFonts w:ascii="Times New Roman" w:hAnsi="Times New Roman" w:cs="Times New Roman"/>
          <w:bCs/>
          <w:i/>
          <w:sz w:val="20"/>
          <w:szCs w:val="20"/>
        </w:rPr>
      </w:pPr>
      <w:r w:rsidRPr="007D0FD9">
        <w:rPr>
          <w:rFonts w:ascii="Times New Roman" w:hAnsi="Times New Roman" w:cs="Times New Roman"/>
          <w:bCs/>
          <w:i/>
          <w:sz w:val="20"/>
          <w:szCs w:val="20"/>
        </w:rPr>
        <w:t>Scopul lucrării este de a examina evoluția guvernanței corporative în industria auto.</w:t>
      </w:r>
    </w:p>
    <w:p w14:paraId="6C1B6BB6" w14:textId="77777777" w:rsidR="007D0FD9" w:rsidRPr="007D0FD9" w:rsidRDefault="007D0FD9" w:rsidP="007D0FD9">
      <w:pPr>
        <w:spacing w:after="0" w:line="240" w:lineRule="auto"/>
        <w:contextualSpacing/>
        <w:jc w:val="both"/>
        <w:rPr>
          <w:rFonts w:ascii="Times New Roman" w:hAnsi="Times New Roman" w:cs="Times New Roman"/>
          <w:bCs/>
          <w:i/>
          <w:sz w:val="20"/>
          <w:szCs w:val="20"/>
        </w:rPr>
      </w:pPr>
      <w:r w:rsidRPr="007D0FD9">
        <w:rPr>
          <w:rFonts w:ascii="Times New Roman" w:hAnsi="Times New Roman" w:cs="Times New Roman"/>
          <w:bCs/>
          <w:i/>
          <w:sz w:val="20"/>
          <w:szCs w:val="20"/>
        </w:rPr>
        <w:t xml:space="preserve">Guvernanța corporativă este vitală, deoarece influențează creșterea piețelor financiare și joacă un rol central în performanța corporativă, formarea capitalului și maximizarea valorii acționarilor, precum și în protecția drepturilor investitorilor. Guvernanța corporativă oferă o mai mare asigurare că există un sistem de control eficient în cadrul unei entități, asigurând astfel că activitatea este condusă în interesul acționarilor și al părților interesate. Cazul de studiu este aplicat grupului Daimler, care este unul dintre cei mai mari producători de automobile </w:t>
      </w:r>
      <w:proofErr w:type="spellStart"/>
      <w:r w:rsidRPr="007D0FD9">
        <w:rPr>
          <w:rFonts w:ascii="Times New Roman" w:hAnsi="Times New Roman" w:cs="Times New Roman"/>
          <w:bCs/>
          <w:i/>
          <w:sz w:val="20"/>
          <w:szCs w:val="20"/>
        </w:rPr>
        <w:t>premium</w:t>
      </w:r>
      <w:proofErr w:type="spellEnd"/>
      <w:r w:rsidRPr="007D0FD9">
        <w:rPr>
          <w:rFonts w:ascii="Times New Roman" w:hAnsi="Times New Roman" w:cs="Times New Roman"/>
          <w:bCs/>
          <w:i/>
          <w:sz w:val="20"/>
          <w:szCs w:val="20"/>
        </w:rPr>
        <w:t xml:space="preserve"> și cel mai mare producător mondial de vehicule comerciale cu o anvergură globală. Am identificat că Daimler, ca și alte companii germane, respectă Codul de guvernanță corporativă germană. Prezintă în principal reglementări legale esențiale pentru gestionarea și supravegherea companiilor listate din Germania și conține, sub formă de recomandări și sugestii, standarde recunoscute la nivel internațional și național pentru o guvernare corporativă bună și responsabilă.</w:t>
      </w:r>
    </w:p>
    <w:p w14:paraId="69BEEEF0" w14:textId="2D9B8381" w:rsidR="007D0FD9" w:rsidRPr="007D0FD9" w:rsidRDefault="007D0FD9" w:rsidP="007D0FD9">
      <w:pPr>
        <w:spacing w:after="0" w:line="240" w:lineRule="auto"/>
        <w:contextualSpacing/>
        <w:jc w:val="both"/>
        <w:rPr>
          <w:rFonts w:ascii="Times New Roman" w:hAnsi="Times New Roman" w:cs="Times New Roman"/>
          <w:bCs/>
          <w:i/>
          <w:sz w:val="20"/>
          <w:szCs w:val="20"/>
        </w:rPr>
      </w:pPr>
      <w:r w:rsidRPr="007D0FD9">
        <w:rPr>
          <w:rFonts w:ascii="Times New Roman" w:hAnsi="Times New Roman" w:cs="Times New Roman"/>
          <w:bCs/>
          <w:i/>
          <w:sz w:val="20"/>
          <w:szCs w:val="20"/>
        </w:rPr>
        <w:t>Lucrarea începe cu principiile guvernanței corporative. Acesta descrie pe scurt aspectele principale legate de modul de aplicare a guvernanței corporative în Germania, care stabilește sfera problemelor pe care le discută lucrarea. Prin revizuirea literaturii de specialitate, lucrarea prezintă motivul pentru care guvernanța corporativă poate conta pentru dezvoltarea durabilă în sectorul auto.</w:t>
      </w:r>
    </w:p>
    <w:p w14:paraId="259F910E" w14:textId="08139787" w:rsidR="00857E4D" w:rsidRPr="007D0FD9" w:rsidRDefault="00857E4D" w:rsidP="007167A4">
      <w:pPr>
        <w:spacing w:after="0" w:line="360" w:lineRule="auto"/>
        <w:contextualSpacing/>
        <w:jc w:val="both"/>
        <w:rPr>
          <w:rFonts w:ascii="Times New Roman" w:hAnsi="Times New Roman" w:cs="Times New Roman"/>
          <w:bCs/>
          <w:i/>
          <w:sz w:val="24"/>
          <w:szCs w:val="24"/>
        </w:rPr>
      </w:pPr>
    </w:p>
    <w:p w14:paraId="758C9CA0" w14:textId="7D1C2F88" w:rsidR="00BE6A3A" w:rsidRPr="007D0FD9" w:rsidRDefault="007D0FD9" w:rsidP="007167A4">
      <w:pPr>
        <w:spacing w:after="0" w:line="360" w:lineRule="auto"/>
        <w:contextualSpacing/>
        <w:jc w:val="both"/>
        <w:rPr>
          <w:rFonts w:ascii="Times New Roman" w:hAnsi="Times New Roman" w:cs="Times New Roman"/>
          <w:bCs/>
          <w:i/>
        </w:rPr>
      </w:pPr>
      <w:r w:rsidRPr="007D0FD9">
        <w:rPr>
          <w:rFonts w:ascii="Times New Roman" w:hAnsi="Times New Roman" w:cs="Times New Roman"/>
          <w:i/>
          <w:iCs/>
          <w:color w:val="000000"/>
        </w:rPr>
        <w:t>Cuvinte cheie</w:t>
      </w:r>
      <w:r w:rsidR="00BE6A3A" w:rsidRPr="007D0FD9">
        <w:rPr>
          <w:rFonts w:ascii="Times New Roman" w:hAnsi="Times New Roman" w:cs="Times New Roman"/>
          <w:i/>
          <w:iCs/>
          <w:color w:val="000000"/>
        </w:rPr>
        <w:t>:</w:t>
      </w:r>
      <w:r w:rsidR="00BE6A3A" w:rsidRPr="007D0FD9">
        <w:rPr>
          <w:rFonts w:ascii="Arial" w:hAnsi="Arial" w:cs="Arial"/>
          <w:color w:val="000000"/>
          <w:shd w:val="clear" w:color="auto" w:fill="FFFFFF"/>
        </w:rPr>
        <w:t xml:space="preserve"> </w:t>
      </w:r>
      <w:r w:rsidRPr="007D0FD9">
        <w:rPr>
          <w:rFonts w:ascii="Times New Roman" w:hAnsi="Times New Roman" w:cs="Times New Roman"/>
          <w:bCs/>
          <w:i/>
        </w:rPr>
        <w:t>Evoluția guvernanței corporative, Daimler, Codul guvernanței corporative germane</w:t>
      </w:r>
    </w:p>
    <w:p w14:paraId="01C27EBA" w14:textId="4CECBCC0" w:rsidR="00D43CF5" w:rsidRPr="007D0FD9" w:rsidRDefault="00D43CF5" w:rsidP="007167A4">
      <w:pPr>
        <w:spacing w:after="0" w:line="360" w:lineRule="auto"/>
        <w:contextualSpacing/>
        <w:jc w:val="both"/>
        <w:rPr>
          <w:rFonts w:ascii="Times New Roman" w:hAnsi="Times New Roman" w:cs="Times New Roman"/>
          <w:bCs/>
          <w:i/>
        </w:rPr>
      </w:pPr>
    </w:p>
    <w:p w14:paraId="5ED99E7B" w14:textId="24779DA2" w:rsidR="006409EF" w:rsidRPr="007D0FD9" w:rsidRDefault="007D0FD9" w:rsidP="00D43CF5">
      <w:pPr>
        <w:spacing w:after="0" w:line="360" w:lineRule="auto"/>
        <w:contextualSpacing/>
        <w:jc w:val="both"/>
        <w:rPr>
          <w:rFonts w:ascii="Times New Roman" w:hAnsi="Times New Roman" w:cs="Times New Roman"/>
          <w:b/>
          <w:sz w:val="24"/>
        </w:rPr>
      </w:pPr>
      <w:r w:rsidRPr="007D0FD9">
        <w:rPr>
          <w:rFonts w:ascii="Times New Roman" w:hAnsi="Times New Roman" w:cs="Times New Roman"/>
          <w:b/>
          <w:sz w:val="24"/>
        </w:rPr>
        <w:t>Introducere</w:t>
      </w:r>
    </w:p>
    <w:p w14:paraId="267A7F67" w14:textId="7E791524" w:rsidR="007D0FD9" w:rsidRPr="007D0FD9" w:rsidRDefault="005B5CBB"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ab/>
      </w:r>
      <w:r w:rsidR="007D0FD9">
        <w:rPr>
          <w:rFonts w:ascii="Times New Roman" w:hAnsi="Times New Roman" w:cs="Times New Roman"/>
          <w:bCs/>
          <w:sz w:val="24"/>
        </w:rPr>
        <w:t>I</w:t>
      </w:r>
      <w:r w:rsidR="007D0FD9" w:rsidRPr="007D0FD9">
        <w:rPr>
          <w:rFonts w:ascii="Times New Roman" w:hAnsi="Times New Roman" w:cs="Times New Roman"/>
          <w:bCs/>
          <w:sz w:val="24"/>
        </w:rPr>
        <w:t>nstitutul Auditorilor Interni (IIA) definește guvernanța corporativă ca un set de proceduri utilizate de reprezentanții părților interesate ale companiei pentru a oferi o imagine de ansamblu asupra procedurilor de control al riscurilor și managementului. Monitorizarea riscurilor organizaționale și asigurarea faptului că aceste controale reduc riscurile contribuie în mod direct la realizarea și menținerea valorii organizației.</w:t>
      </w:r>
    </w:p>
    <w:p w14:paraId="44766451" w14:textId="06A5B651" w:rsidR="007D0FD9" w:rsidRPr="007D0FD9" w:rsidRDefault="00001FB7"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Principiile principale care reprezintă o bază puternică pentru guvernanța corporativă sunt corectitudinea, responsabilitatea, responsabilitatea și transparența. O companie, care aplică aceste principii de bază, va putea atrage investitori, al căror sprijin poate ajuta la finanțarea creșterii ulterioare.</w:t>
      </w:r>
    </w:p>
    <w:p w14:paraId="0CF33F5C" w14:textId="6D95ED52"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Un principiu important al bunei guvernări corporative este acela că ar trebui să protejeze drepturile acționarilor. În al doilea rând, întreprinderea corporativă ar trebui să asigure un tratament echitabil tuturor părților interesate, inclusiv acționarilor minoritari și acționarilor străini.</w:t>
      </w:r>
    </w:p>
    <w:p w14:paraId="6AD26E48" w14:textId="77777777"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Conform principiului răspunderii, sistemul de guvernanță corporativă, astfel cum este format de consiliul de administrație, trebuie să asigure monitorizarea eficientă a managementului de către consiliu și, mai presus de toate, responsabilitatea Consiliului și a conducerii de vârf față de acționari și alți acționari pentru orice tranzacții făcute și activități productive efectuat de companie.</w:t>
      </w:r>
    </w:p>
    <w:p w14:paraId="25DDB366" w14:textId="11380B4E" w:rsidR="007D0FD9" w:rsidRPr="007D0FD9" w:rsidRDefault="00001FB7"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Răspunderea</w:t>
      </w:r>
      <w:r w:rsidR="007D0FD9" w:rsidRPr="007D0FD9">
        <w:rPr>
          <w:rFonts w:ascii="Times New Roman" w:hAnsi="Times New Roman" w:cs="Times New Roman"/>
          <w:bCs/>
          <w:sz w:val="24"/>
        </w:rPr>
        <w:t xml:space="preserve"> merge mână în mână cu responsabilitatea. Consiliul de administrație ar trebui să răspundă acționarilor pentru modul în care compania și-a îndeplinit responsabilitățile.</w:t>
      </w:r>
    </w:p>
    <w:p w14:paraId="3F6F2421" w14:textId="76D66E01" w:rsidR="00645D66" w:rsidRPr="007D0FD9" w:rsidRDefault="007D0FD9" w:rsidP="00306C0A">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lastRenderedPageBreak/>
        <w:t>Principiul transparenței corporative necesită divulgarea în timp util și exactă a informațiilor de către o companie corporativă cu privire la toate aspectele referitoare la corporație, inclusiv situația financiară, performanța și dreptul de proprietate.</w:t>
      </w:r>
    </w:p>
    <w:p w14:paraId="562EC033" w14:textId="1EDE9F23" w:rsidR="006409EF" w:rsidRPr="007D0FD9" w:rsidRDefault="007D0FD9" w:rsidP="00D43CF5">
      <w:pPr>
        <w:spacing w:after="0" w:line="360" w:lineRule="auto"/>
        <w:contextualSpacing/>
        <w:jc w:val="both"/>
        <w:rPr>
          <w:rFonts w:ascii="Times New Roman" w:hAnsi="Times New Roman" w:cs="Times New Roman"/>
          <w:b/>
          <w:sz w:val="24"/>
        </w:rPr>
      </w:pPr>
      <w:r>
        <w:rPr>
          <w:rFonts w:ascii="Times New Roman" w:hAnsi="Times New Roman" w:cs="Times New Roman"/>
          <w:b/>
          <w:sz w:val="24"/>
        </w:rPr>
        <w:t>Guvernanța corporativă în Germania</w:t>
      </w:r>
      <w:r w:rsidR="00F8534E" w:rsidRPr="007D0FD9">
        <w:rPr>
          <w:rFonts w:ascii="Times New Roman" w:hAnsi="Times New Roman" w:cs="Times New Roman"/>
          <w:b/>
          <w:sz w:val="24"/>
        </w:rPr>
        <w:tab/>
      </w:r>
    </w:p>
    <w:p w14:paraId="225FAC5F" w14:textId="77777777" w:rsidR="007D0FD9" w:rsidRPr="007D0FD9" w:rsidRDefault="00645D66"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ab/>
      </w:r>
      <w:r w:rsidR="007D0FD9" w:rsidRPr="007D0FD9">
        <w:rPr>
          <w:rFonts w:ascii="Times New Roman" w:hAnsi="Times New Roman" w:cs="Times New Roman"/>
          <w:bCs/>
          <w:sz w:val="24"/>
        </w:rPr>
        <w:t>Principiile guvernanței corporative diferă, de asemenea, de la o țară la alta. Majoritatea țărilor își stabilesc propriile standarde și principii pe baza caracteristicilor lor culturale. Cu toate acestea, guvernanța corporativă depinde și de tipul industriei. În multe companii, este esențial să se înființeze un departament pentru guvernanța corporativă, deoarece sistemul și măsurile asociate implică, de asemenea, un efort considerabil. Companiile germane urmează Codul de guvernanță corporativă germană pentru raportare.</w:t>
      </w:r>
    </w:p>
    <w:p w14:paraId="4B64829E" w14:textId="0C9C426C" w:rsidR="007D0FD9" w:rsidRPr="007D0FD9" w:rsidRDefault="00E7710A"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Codul de guvernanță corporativă germană conține principii, recomandări și sugestii pentru consiliul de administrație și consiliul de supraveghere care sunt destinate să se asigure că compania este administrată în interesul său. Codul evidențiază obligația consiliilor de administrație și a consiliilor de supraveghere - în conformitate cu principiile economiei de piață socială - de a ține seama de interesele acționarilor, de forța de muncă ale întreprinderii și de celelalte grupuri aferente întreprinderii (părțile interesate) de a asigura existența continuă a întreprinderii și crearea ei de valoare durabilă (interesul superior al întreprinderii).</w:t>
      </w:r>
    </w:p>
    <w:p w14:paraId="69F3B386" w14:textId="4E1550E1" w:rsidR="007D0FD9" w:rsidRPr="007D0FD9" w:rsidRDefault="00E7710A"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Prin acțiunile lor, compania și organele sale de conducere trebuie să fie conștiente de rolul întreprinderii în comunitate și de responsabilitatea acesteia față de societate. Factorii sociali și de mediu influențează succesul întreprinderii. În interesul întreprinderii, Consiliul de administrație și Consiliul de supraveghere se asigură că impactul potențial al acestor factori asupra strategiei corporative și a deciziilor de operare este identificat și abordat.</w:t>
      </w:r>
    </w:p>
    <w:p w14:paraId="453B0A80" w14:textId="075DA691" w:rsidR="007D0FD9" w:rsidRPr="007D0FD9" w:rsidRDefault="00E7710A"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Obiectivul Codului este de a face sistemul de guvernare corporativă germană dual transparent și inteligibil. Codul include principii, recomandări și sugestii care reglementează gestionarea și monitorizarea companiilor listate din Germania, care sunt acceptate la nivel național și internațional ca standarde de guvernare bună și responsabilă. Acesta își propune să promoveze încrederea în gestionarea și supravegherea companiilor listate din Germania de către investitori, clienți, angajați și public.</w:t>
      </w:r>
    </w:p>
    <w:p w14:paraId="67A0E35F" w14:textId="6C1F3696" w:rsidR="007D0FD9" w:rsidRDefault="00E7710A"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 xml:space="preserve">Codul este structurat pe capitole care conțin în total 25 de principii. Pentru fiecare principiu, există puține recomandări. Companiile se pot îndepărta de </w:t>
      </w:r>
      <w:r>
        <w:rPr>
          <w:rFonts w:ascii="Times New Roman" w:hAnsi="Times New Roman" w:cs="Times New Roman"/>
          <w:bCs/>
          <w:sz w:val="24"/>
        </w:rPr>
        <w:t xml:space="preserve">la </w:t>
      </w:r>
      <w:r w:rsidR="007D0FD9" w:rsidRPr="007D0FD9">
        <w:rPr>
          <w:rFonts w:ascii="Times New Roman" w:hAnsi="Times New Roman" w:cs="Times New Roman"/>
          <w:bCs/>
          <w:sz w:val="24"/>
        </w:rPr>
        <w:t>recomandări, dar, în acest caz, sunt obligate să dezvăluie și să explice în fiecare an („respectă sau explică”); recomandările sunt indicate în text folosind cuvântul „trebuie”. Codul conține, de asemenea, sugestii care sunt adăugate la sfârșitul fiecărui capit</w:t>
      </w:r>
      <w:r>
        <w:rPr>
          <w:rFonts w:ascii="Times New Roman" w:hAnsi="Times New Roman" w:cs="Times New Roman"/>
          <w:bCs/>
          <w:sz w:val="24"/>
        </w:rPr>
        <w:t xml:space="preserve">ol și de la care companiile se pot îndepărta </w:t>
      </w:r>
      <w:r w:rsidR="007D0FD9" w:rsidRPr="007D0FD9">
        <w:rPr>
          <w:rFonts w:ascii="Times New Roman" w:hAnsi="Times New Roman" w:cs="Times New Roman"/>
          <w:bCs/>
          <w:sz w:val="24"/>
        </w:rPr>
        <w:t xml:space="preserve">fără </w:t>
      </w:r>
      <w:r>
        <w:rPr>
          <w:rFonts w:ascii="Times New Roman" w:hAnsi="Times New Roman" w:cs="Times New Roman"/>
          <w:bCs/>
          <w:sz w:val="24"/>
        </w:rPr>
        <w:t>explicații</w:t>
      </w:r>
      <w:r w:rsidR="007D0FD9" w:rsidRPr="007D0FD9">
        <w:rPr>
          <w:rFonts w:ascii="Times New Roman" w:hAnsi="Times New Roman" w:cs="Times New Roman"/>
          <w:bCs/>
          <w:sz w:val="24"/>
        </w:rPr>
        <w:t>; sugestiile sunt indicate în text folosind cuvântul „ar trebui”.</w:t>
      </w:r>
    </w:p>
    <w:p w14:paraId="4305969A" w14:textId="77777777" w:rsidR="007D0FD9" w:rsidRDefault="007D0FD9" w:rsidP="007D0FD9">
      <w:pPr>
        <w:spacing w:after="0" w:line="360" w:lineRule="auto"/>
        <w:contextualSpacing/>
        <w:jc w:val="both"/>
        <w:rPr>
          <w:rFonts w:ascii="Times New Roman" w:hAnsi="Times New Roman" w:cs="Times New Roman"/>
          <w:bCs/>
          <w:sz w:val="24"/>
        </w:rPr>
      </w:pPr>
    </w:p>
    <w:p w14:paraId="21FCF7A9" w14:textId="77777777" w:rsidR="007D0FD9" w:rsidRDefault="007D0FD9" w:rsidP="00D43CF5">
      <w:pPr>
        <w:spacing w:after="0" w:line="360" w:lineRule="auto"/>
        <w:contextualSpacing/>
        <w:jc w:val="both"/>
        <w:rPr>
          <w:rFonts w:ascii="Times New Roman" w:hAnsi="Times New Roman" w:cs="Times New Roman"/>
          <w:b/>
          <w:sz w:val="24"/>
        </w:rPr>
      </w:pPr>
      <w:r>
        <w:rPr>
          <w:rFonts w:ascii="Times New Roman" w:hAnsi="Times New Roman" w:cs="Times New Roman"/>
          <w:b/>
          <w:sz w:val="24"/>
        </w:rPr>
        <w:lastRenderedPageBreak/>
        <w:t>Guvernanța corporativă în industria auto</w:t>
      </w:r>
    </w:p>
    <w:p w14:paraId="1FBD9FE5" w14:textId="7C3230AA" w:rsidR="007D0FD9" w:rsidRPr="007D0FD9" w:rsidRDefault="007D0FD9"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Pr="007D0FD9">
        <w:rPr>
          <w:rFonts w:ascii="Times New Roman" w:hAnsi="Times New Roman" w:cs="Times New Roman"/>
          <w:bCs/>
          <w:sz w:val="24"/>
        </w:rPr>
        <w:t>Industria auto germană este industria cheie în economia germană. Este de o importanță eminentă pentru creșterea și prosperitatea Germaniei ca locație de afaceri. Este indispensabil pentru garantarea unui nivel ridicat de venit și pentru protejarea unui volum mare de angajare. Se estimează că unul din șapte locuri de muncă germane depinde de industria auto. (Becker, 2006)</w:t>
      </w:r>
    </w:p>
    <w:p w14:paraId="48ABCE8F" w14:textId="77777777"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 xml:space="preserve">Germania este un stat federal format din diferite state sau „țări”. Multe aspecte ale vieții sociale și economice sunt descentralizate în Germania și sunt responsabilitatea acestor guverne de stat. Marile companii auto germane sunt Daimler, BMW, Audi, Porsche, Opel și Ford </w:t>
      </w:r>
      <w:proofErr w:type="spellStart"/>
      <w:r w:rsidRPr="007D0FD9">
        <w:rPr>
          <w:rFonts w:ascii="Times New Roman" w:hAnsi="Times New Roman" w:cs="Times New Roman"/>
          <w:bCs/>
          <w:sz w:val="24"/>
        </w:rPr>
        <w:t>Werke</w:t>
      </w:r>
      <w:proofErr w:type="spellEnd"/>
      <w:r w:rsidRPr="007D0FD9">
        <w:rPr>
          <w:rFonts w:ascii="Times New Roman" w:hAnsi="Times New Roman" w:cs="Times New Roman"/>
          <w:bCs/>
          <w:sz w:val="24"/>
        </w:rPr>
        <w:t>.</w:t>
      </w:r>
    </w:p>
    <w:p w14:paraId="34D2C910" w14:textId="59B778F0" w:rsidR="007D0FD9" w:rsidRDefault="007D0FD9"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Pr="007D0FD9">
        <w:rPr>
          <w:rFonts w:ascii="Times New Roman" w:hAnsi="Times New Roman" w:cs="Times New Roman"/>
          <w:bCs/>
          <w:sz w:val="24"/>
        </w:rPr>
        <w:t>Companiile auto care alcătuiesc industria auto germană au legături regionale puternice cu statele germane în care au fost înființate și în care își păstrează sediul. Prin urmare, fiecare dintre companiile auto germane trebuie să se ocupe cu propriul său guvern regional, precum și cu guvernul național german. Datorită acestor legături regionale puternice, fiecare companie se poate baza pe propriul guvern de stat pentru a ajuta la reprezentarea intereselor sale și la nivel național. (</w:t>
      </w:r>
      <w:proofErr w:type="spellStart"/>
      <w:r w:rsidRPr="007D0FD9">
        <w:rPr>
          <w:rFonts w:ascii="Times New Roman" w:hAnsi="Times New Roman" w:cs="Times New Roman"/>
          <w:bCs/>
          <w:sz w:val="24"/>
        </w:rPr>
        <w:t>Dankbaar</w:t>
      </w:r>
      <w:proofErr w:type="spellEnd"/>
      <w:r w:rsidRPr="007D0FD9">
        <w:rPr>
          <w:rFonts w:ascii="Times New Roman" w:hAnsi="Times New Roman" w:cs="Times New Roman"/>
          <w:bCs/>
          <w:sz w:val="24"/>
        </w:rPr>
        <w:t>, 2019).</w:t>
      </w:r>
    </w:p>
    <w:p w14:paraId="7D0F7F7A" w14:textId="33E008AB" w:rsidR="00E2105D" w:rsidRPr="007D0FD9" w:rsidRDefault="007D0FD9" w:rsidP="007D0FD9">
      <w:pPr>
        <w:spacing w:after="0" w:line="360" w:lineRule="auto"/>
        <w:contextualSpacing/>
        <w:jc w:val="both"/>
        <w:rPr>
          <w:rFonts w:ascii="Times New Roman" w:hAnsi="Times New Roman" w:cs="Times New Roman"/>
          <w:b/>
          <w:sz w:val="24"/>
        </w:rPr>
      </w:pPr>
      <w:r>
        <w:rPr>
          <w:rFonts w:ascii="Times New Roman" w:hAnsi="Times New Roman" w:cs="Times New Roman"/>
          <w:b/>
          <w:sz w:val="24"/>
        </w:rPr>
        <w:t xml:space="preserve">Guvernanța corporativă </w:t>
      </w:r>
      <w:r w:rsidR="00E2105D" w:rsidRPr="007D0FD9">
        <w:rPr>
          <w:rFonts w:ascii="Times New Roman" w:hAnsi="Times New Roman" w:cs="Times New Roman"/>
          <w:b/>
          <w:sz w:val="24"/>
        </w:rPr>
        <w:t xml:space="preserve">– </w:t>
      </w:r>
      <w:r>
        <w:rPr>
          <w:rFonts w:ascii="Times New Roman" w:hAnsi="Times New Roman" w:cs="Times New Roman"/>
          <w:b/>
          <w:sz w:val="24"/>
        </w:rPr>
        <w:t xml:space="preserve">Grupul </w:t>
      </w:r>
      <w:r w:rsidR="00E2105D" w:rsidRPr="007D0FD9">
        <w:rPr>
          <w:rFonts w:ascii="Times New Roman" w:hAnsi="Times New Roman" w:cs="Times New Roman"/>
          <w:b/>
          <w:sz w:val="24"/>
        </w:rPr>
        <w:t xml:space="preserve">Daimler – </w:t>
      </w:r>
      <w:r>
        <w:rPr>
          <w:rFonts w:ascii="Times New Roman" w:hAnsi="Times New Roman" w:cs="Times New Roman"/>
          <w:b/>
          <w:sz w:val="24"/>
        </w:rPr>
        <w:t>analiză calitativă</w:t>
      </w:r>
      <w:r w:rsidR="00E2105D" w:rsidRPr="007D0FD9">
        <w:rPr>
          <w:rFonts w:ascii="Times New Roman" w:hAnsi="Times New Roman" w:cs="Times New Roman"/>
          <w:b/>
          <w:sz w:val="24"/>
        </w:rPr>
        <w:t xml:space="preserve"> </w:t>
      </w:r>
    </w:p>
    <w:p w14:paraId="60FA37BA" w14:textId="77777777" w:rsidR="007D0FD9" w:rsidRPr="007D0FD9" w:rsidRDefault="00CE0BA8"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ab/>
      </w:r>
      <w:r w:rsidR="007D0FD9" w:rsidRPr="007D0FD9">
        <w:rPr>
          <w:rFonts w:ascii="Times New Roman" w:hAnsi="Times New Roman" w:cs="Times New Roman"/>
          <w:bCs/>
          <w:sz w:val="24"/>
        </w:rPr>
        <w:t xml:space="preserve">Grupul Daimler este unul dintre cei mai mari producători de mașini </w:t>
      </w:r>
      <w:proofErr w:type="spellStart"/>
      <w:r w:rsidR="007D0FD9" w:rsidRPr="007D0FD9">
        <w:rPr>
          <w:rFonts w:ascii="Times New Roman" w:hAnsi="Times New Roman" w:cs="Times New Roman"/>
          <w:bCs/>
          <w:sz w:val="24"/>
        </w:rPr>
        <w:t>premium</w:t>
      </w:r>
      <w:proofErr w:type="spellEnd"/>
      <w:r w:rsidR="007D0FD9" w:rsidRPr="007D0FD9">
        <w:rPr>
          <w:rFonts w:ascii="Times New Roman" w:hAnsi="Times New Roman" w:cs="Times New Roman"/>
          <w:bCs/>
          <w:sz w:val="24"/>
        </w:rPr>
        <w:t xml:space="preserve"> și cel mai mare producător mondial de vehicule comerciale cu o anvergură globală. Oferă finanțare, leasing, gestionarea flotei, asigurări și servicii inovatoare de mobilitate. (Daimler AG, 2020);</w:t>
      </w:r>
    </w:p>
    <w:p w14:paraId="7A38D440" w14:textId="77777777"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Analizând rapoartele anuale publicate pe pagina web oficială a Daimler începând cu 1979, am identificat că detaliile despre guvernanța corporativă sunt publicate în rapoartele anuale începând cu 2003.</w:t>
      </w:r>
    </w:p>
    <w:p w14:paraId="71339ADA" w14:textId="112E8BB5" w:rsidR="007D0FD9" w:rsidRPr="007D0FD9" w:rsidRDefault="00FE4CF4"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Am decis să analizez rapoartele anuale din ultimii trei ani 2017, 2018 și 2019 pentru a vedea evoluția în ceea ce privește raportarea de la un an la altul, iar entitatea respectă Codul de guvernanță corporativă germană.</w:t>
      </w:r>
    </w:p>
    <w:p w14:paraId="6F06F671" w14:textId="1B328A1E" w:rsidR="007D0FD9" w:rsidRDefault="00FE4CF4"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Așa cum am menționat anterior, Consiliul de administrație și consiliul de supraveghere al unei societăți pe acțiuni listate din Germania vor declara anual că recomandările Comisiei guvernamentale a Codului de guvernanță corporativă din Germania, publicate de Ministerul Federal al Justiției și Protecției Consumatorilor în secțiunea oficială a Federației Gazeta, au fost și sunt respectate sau, dacă nu, care recomandări nu au fost sau nu sunt aplicate și de ce. Declarația publicată de Daimler poate fi găsită pe pagina lor web oficială într-o secțiune distinctă denumită „Guvernanță corporativă”. Aici găsiți informații despre componența Consiliului de administrație, a Consiliului de supraveghere, a tranzacțiilor managerilor, a declarației, a rapoartelor și a conformității.</w:t>
      </w:r>
    </w:p>
    <w:p w14:paraId="6153EA91" w14:textId="30B02039" w:rsidR="007D0FD9" w:rsidRPr="007D0FD9" w:rsidRDefault="00E57102"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ab/>
        <w:t xml:space="preserve"> </w:t>
      </w:r>
      <w:r w:rsidR="007D0FD9" w:rsidRPr="007D0FD9">
        <w:rPr>
          <w:rFonts w:ascii="Times New Roman" w:hAnsi="Times New Roman" w:cs="Times New Roman"/>
          <w:bCs/>
          <w:sz w:val="24"/>
        </w:rPr>
        <w:t>Daimler îndeplinește recomandările Codului de guvernanță corporativă germană publicat în secțiunea oficială a Gazetei Federale Germane la 24 aprilie 2017 în versiunea de cod din 7 februarie 2017, cu exc</w:t>
      </w:r>
      <w:r w:rsidR="00FE4CF4">
        <w:rPr>
          <w:rFonts w:ascii="Times New Roman" w:hAnsi="Times New Roman" w:cs="Times New Roman"/>
          <w:bCs/>
          <w:sz w:val="24"/>
        </w:rPr>
        <w:t>epția clauzei 3.8 Alineatul 3 (A</w:t>
      </w:r>
      <w:r w:rsidR="007D0FD9" w:rsidRPr="007D0FD9">
        <w:rPr>
          <w:rFonts w:ascii="Times New Roman" w:hAnsi="Times New Roman" w:cs="Times New Roman"/>
          <w:bCs/>
          <w:sz w:val="24"/>
        </w:rPr>
        <w:t xml:space="preserve">sigurarea deductibilă </w:t>
      </w:r>
      <w:r w:rsidR="00FE4CF4" w:rsidRPr="007D0FD9">
        <w:rPr>
          <w:rFonts w:ascii="Times New Roman" w:hAnsi="Times New Roman" w:cs="Times New Roman"/>
          <w:bCs/>
          <w:sz w:val="24"/>
        </w:rPr>
        <w:t xml:space="preserve">D&amp;O </w:t>
      </w:r>
      <w:r w:rsidR="007D0FD9" w:rsidRPr="007D0FD9">
        <w:rPr>
          <w:rFonts w:ascii="Times New Roman" w:hAnsi="Times New Roman" w:cs="Times New Roman"/>
          <w:bCs/>
          <w:sz w:val="24"/>
        </w:rPr>
        <w:t>pentru Consiliul</w:t>
      </w:r>
      <w:r w:rsidR="00FE4CF4">
        <w:rPr>
          <w:rFonts w:ascii="Times New Roman" w:hAnsi="Times New Roman" w:cs="Times New Roman"/>
          <w:bCs/>
          <w:sz w:val="24"/>
        </w:rPr>
        <w:t xml:space="preserve"> de </w:t>
      </w:r>
      <w:r w:rsidR="00FE4CF4">
        <w:rPr>
          <w:rFonts w:ascii="Times New Roman" w:hAnsi="Times New Roman" w:cs="Times New Roman"/>
          <w:bCs/>
          <w:sz w:val="24"/>
        </w:rPr>
        <w:lastRenderedPageBreak/>
        <w:t>supraveghere</w:t>
      </w:r>
      <w:r w:rsidR="007D0FD9" w:rsidRPr="007D0FD9">
        <w:rPr>
          <w:rFonts w:ascii="Times New Roman" w:hAnsi="Times New Roman" w:cs="Times New Roman"/>
          <w:bCs/>
          <w:sz w:val="24"/>
        </w:rPr>
        <w:t>) și clauza 5.4.5 Paragraful 1 Sentința 2 (numărul maxim de mandate ale consiliului de supraveghere pentru membrii consiliului de administrație al unei companii listate) și va continua să respecte recomandările cu abaterile menționate anterior. Am identificat că excepția clauzei 3.8 Paragraful 3 (</w:t>
      </w:r>
      <w:r w:rsidR="00FE4CF4">
        <w:rPr>
          <w:rFonts w:ascii="Times New Roman" w:hAnsi="Times New Roman" w:cs="Times New Roman"/>
          <w:bCs/>
          <w:sz w:val="24"/>
        </w:rPr>
        <w:t>A</w:t>
      </w:r>
      <w:r w:rsidR="00FE4CF4" w:rsidRPr="007D0FD9">
        <w:rPr>
          <w:rFonts w:ascii="Times New Roman" w:hAnsi="Times New Roman" w:cs="Times New Roman"/>
          <w:bCs/>
          <w:sz w:val="24"/>
        </w:rPr>
        <w:t>sigurarea deductibilă D&amp;O pentru Consiliul</w:t>
      </w:r>
      <w:r w:rsidR="00FE4CF4">
        <w:rPr>
          <w:rFonts w:ascii="Times New Roman" w:hAnsi="Times New Roman" w:cs="Times New Roman"/>
          <w:bCs/>
          <w:sz w:val="24"/>
        </w:rPr>
        <w:t xml:space="preserve"> de supraveghere</w:t>
      </w:r>
      <w:r w:rsidR="007D0FD9" w:rsidRPr="007D0FD9">
        <w:rPr>
          <w:rFonts w:ascii="Times New Roman" w:hAnsi="Times New Roman" w:cs="Times New Roman"/>
          <w:bCs/>
          <w:sz w:val="24"/>
        </w:rPr>
        <w:t>) este păstrat</w:t>
      </w:r>
      <w:r w:rsidR="00FE4CF4">
        <w:rPr>
          <w:rFonts w:ascii="Times New Roman" w:hAnsi="Times New Roman" w:cs="Times New Roman"/>
          <w:bCs/>
          <w:sz w:val="24"/>
        </w:rPr>
        <w:t>ă</w:t>
      </w:r>
      <w:r w:rsidR="007D0FD9" w:rsidRPr="007D0FD9">
        <w:rPr>
          <w:rFonts w:ascii="Times New Roman" w:hAnsi="Times New Roman" w:cs="Times New Roman"/>
          <w:bCs/>
          <w:sz w:val="24"/>
        </w:rPr>
        <w:t xml:space="preserve"> în rapoart</w:t>
      </w:r>
      <w:r w:rsidR="00FE4CF4">
        <w:rPr>
          <w:rFonts w:ascii="Times New Roman" w:hAnsi="Times New Roman" w:cs="Times New Roman"/>
          <w:bCs/>
          <w:sz w:val="24"/>
        </w:rPr>
        <w:t>ele anuale din ultimii trei ani cu</w:t>
      </w:r>
      <w:r w:rsidR="007D0FD9" w:rsidRPr="007D0FD9">
        <w:rPr>
          <w:rFonts w:ascii="Times New Roman" w:hAnsi="Times New Roman" w:cs="Times New Roman"/>
          <w:bCs/>
          <w:sz w:val="24"/>
        </w:rPr>
        <w:t xml:space="preserve"> excepția clauzei 5.4.5 Paragraful 1 teza 2 (numărul maxim de mandate ale consiliului de supraveghere) pentru membrii Consiliului de administrație al unei companii listate)</w:t>
      </w:r>
      <w:r w:rsidR="00FE4CF4">
        <w:rPr>
          <w:rFonts w:ascii="Times New Roman" w:hAnsi="Times New Roman" w:cs="Times New Roman"/>
          <w:bCs/>
          <w:sz w:val="24"/>
        </w:rPr>
        <w:t xml:space="preserve"> care</w:t>
      </w:r>
      <w:r w:rsidR="007D0FD9" w:rsidRPr="007D0FD9">
        <w:rPr>
          <w:rFonts w:ascii="Times New Roman" w:hAnsi="Times New Roman" w:cs="Times New Roman"/>
          <w:bCs/>
          <w:sz w:val="24"/>
        </w:rPr>
        <w:t xml:space="preserve"> a apărut începând cu anul 2019, nu este prezent</w:t>
      </w:r>
      <w:r w:rsidR="00FE4CF4">
        <w:rPr>
          <w:rFonts w:ascii="Times New Roman" w:hAnsi="Times New Roman" w:cs="Times New Roman"/>
          <w:bCs/>
          <w:sz w:val="24"/>
        </w:rPr>
        <w:t>ă</w:t>
      </w:r>
      <w:r w:rsidR="007D0FD9" w:rsidRPr="007D0FD9">
        <w:rPr>
          <w:rFonts w:ascii="Times New Roman" w:hAnsi="Times New Roman" w:cs="Times New Roman"/>
          <w:bCs/>
          <w:sz w:val="24"/>
        </w:rPr>
        <w:t xml:space="preserve"> în 2017 sau în 2018.</w:t>
      </w:r>
    </w:p>
    <w:p w14:paraId="3F4937DE" w14:textId="39CE1703" w:rsidR="007D0FD9" w:rsidRDefault="00FE4CF4" w:rsidP="00437D7A">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Ca și în anii precedenți, asigurarea de răspundere a administratorilor și a ofițerilor (asigurare D&amp;O) conține, de asemenea, o prevedere deductibilă pentru membrii Consiliului de Supraveghere, ceea ce este potrivit în opinia Daimler AG. Cu to</w:t>
      </w:r>
      <w:r>
        <w:rPr>
          <w:rFonts w:ascii="Times New Roman" w:hAnsi="Times New Roman" w:cs="Times New Roman"/>
          <w:bCs/>
          <w:sz w:val="24"/>
        </w:rPr>
        <w:t>ate acestea, această deductibilitate</w:t>
      </w:r>
      <w:r w:rsidR="007D0FD9" w:rsidRPr="007D0FD9">
        <w:rPr>
          <w:rFonts w:ascii="Times New Roman" w:hAnsi="Times New Roman" w:cs="Times New Roman"/>
          <w:bCs/>
          <w:sz w:val="24"/>
        </w:rPr>
        <w:t xml:space="preserve"> nu corespunde cu deductibilitatea legal necesară pentru membrii Consiliului de administrație, în cuantum de cel puțin 10% din daune până la cel puțin una și jumătate din remunerația anuală fixă. Întrucât structura de remunerare a consiliului de supraveghere este limitată la o remunerație fixă ​​legată de funcție fără componente de bonus de performanță, stabilirea unei deductibile pentru membrii consiliului de supraveghere în sumă de 1,5 ori remunerația anuală fixă ​​ar avea un impact economic disproporționat în comparație cu membrii din Consiliul de administrație, a cărui compensare constă în component</w:t>
      </w:r>
      <w:r w:rsidR="00437D7A">
        <w:rPr>
          <w:rFonts w:ascii="Times New Roman" w:hAnsi="Times New Roman" w:cs="Times New Roman"/>
          <w:bCs/>
          <w:sz w:val="24"/>
        </w:rPr>
        <w:t>e bonus și de performanță fixe.</w:t>
      </w:r>
    </w:p>
    <w:p w14:paraId="4DE487A2" w14:textId="39DCC422" w:rsidR="00437D7A" w:rsidRPr="00437D7A" w:rsidRDefault="00437D7A" w:rsidP="00437D7A">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Pr="00437D7A">
        <w:rPr>
          <w:rFonts w:ascii="Times New Roman" w:hAnsi="Times New Roman" w:cs="Times New Roman"/>
          <w:bCs/>
          <w:sz w:val="24"/>
        </w:rPr>
        <w:t xml:space="preserve">Conform recomandării din clauza 5.4.5 Paragraful 1 Propoziția 2- Numărul maxim de mandate ale consiliului de supraveghere pentru membrii consiliului de administrație al unei companii listate, membrii consiliului de administrație al unei societăți listate nu vor accepta mai mult de un total de trei </w:t>
      </w:r>
      <w:r>
        <w:rPr>
          <w:rFonts w:ascii="Times New Roman" w:hAnsi="Times New Roman" w:cs="Times New Roman"/>
          <w:bCs/>
          <w:sz w:val="24"/>
        </w:rPr>
        <w:t>m</w:t>
      </w:r>
      <w:r w:rsidRPr="00437D7A">
        <w:rPr>
          <w:rFonts w:ascii="Times New Roman" w:hAnsi="Times New Roman" w:cs="Times New Roman"/>
          <w:bCs/>
          <w:sz w:val="24"/>
        </w:rPr>
        <w:t xml:space="preserve">andate ale consiliului de supraveghere </w:t>
      </w:r>
      <w:r>
        <w:rPr>
          <w:rFonts w:ascii="Times New Roman" w:hAnsi="Times New Roman" w:cs="Times New Roman"/>
          <w:bCs/>
          <w:sz w:val="24"/>
        </w:rPr>
        <w:t xml:space="preserve">sau </w:t>
      </w:r>
      <w:r w:rsidRPr="00437D7A">
        <w:rPr>
          <w:rFonts w:ascii="Times New Roman" w:hAnsi="Times New Roman" w:cs="Times New Roman"/>
          <w:bCs/>
          <w:sz w:val="24"/>
        </w:rPr>
        <w:t>ale consiliului de administrație în cadrul companiilor listate în grupuri sau în organele de supraveghere ale entităților non-grup care îndeplinesc cerințe similare</w:t>
      </w:r>
      <w:r>
        <w:rPr>
          <w:rFonts w:ascii="Times New Roman" w:hAnsi="Times New Roman" w:cs="Times New Roman"/>
          <w:bCs/>
          <w:sz w:val="24"/>
        </w:rPr>
        <w:t>.</w:t>
      </w:r>
      <w:r w:rsidRPr="00437D7A">
        <w:rPr>
          <w:rFonts w:ascii="Times New Roman" w:hAnsi="Times New Roman" w:cs="Times New Roman"/>
          <w:bCs/>
          <w:sz w:val="24"/>
        </w:rPr>
        <w:t xml:space="preserve"> Dacă numărul de mandate deținute de membrii comisiilor de administrație ale companiilor listate pare totuși adecvat, totuși, trebuie evaluat mai adecvat de la caz la caz decât de o limită superioară rigidă. Volumul individual de muncă preconizat pentru un membru al consiliului de administrație ca urmare a numărului total de mandate deținute nu crește neapărat proporțional cu numărul acestora.</w:t>
      </w:r>
    </w:p>
    <w:p w14:paraId="647A8FAC" w14:textId="5C6591CF" w:rsidR="00437D7A" w:rsidRPr="007D0FD9" w:rsidRDefault="00437D7A" w:rsidP="00437D7A">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Pr="00437D7A">
        <w:rPr>
          <w:rFonts w:ascii="Times New Roman" w:hAnsi="Times New Roman" w:cs="Times New Roman"/>
          <w:bCs/>
          <w:sz w:val="24"/>
        </w:rPr>
        <w:t>Pentru a obține un succes de afaceri pe termen lung și, astfel, durabil, pe această bază, obiectivul Daimler este să se asigure că toate activitățile sunt în armonie cu mediul și cu societatea. Daimler a definit cele mai importante principii din Codul de integritate, care servește ca un cadru de referință pentru toți angajații de la Daimler și Grup și îi sprijină în luarea deciziilor corecte chiar și î</w:t>
      </w:r>
      <w:r>
        <w:rPr>
          <w:rFonts w:ascii="Times New Roman" w:hAnsi="Times New Roman" w:cs="Times New Roman"/>
          <w:bCs/>
          <w:sz w:val="24"/>
        </w:rPr>
        <w:t>n situații de afaceri dificile.</w:t>
      </w:r>
    </w:p>
    <w:p w14:paraId="1394CB58" w14:textId="59DF5AB3" w:rsidR="007D0FD9" w:rsidRDefault="00437D7A"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 xml:space="preserve">Daimler își pregătește situațiile financiare consolidate și rapoartele financiare interimare în conformitate cu Standardele Internaționale de Raportare Financiară (IFRS), astfel cum au fost adoptate de Uniunea Europeană. Situațiile financiare anuale ale Daimler AG sunt întocmite în </w:t>
      </w:r>
      <w:r w:rsidR="007D0FD9" w:rsidRPr="007D0FD9">
        <w:rPr>
          <w:rFonts w:ascii="Times New Roman" w:hAnsi="Times New Roman" w:cs="Times New Roman"/>
          <w:bCs/>
          <w:sz w:val="24"/>
        </w:rPr>
        <w:lastRenderedPageBreak/>
        <w:t>conformitate cu standardele contabile ale Codului comercial german (HGB). Daimler pregătește atât rapoarte financiare semestriale, cât și trimestriale. Auditorii externi audită situațiile financiare anuale ale companiei și situațiile financiare consolidate ale Daimler AG; auditorii externi examinează rapoartele financiare interimare. Situațiile financiare consolidate și rapoartele de administrare a Grupului sunt accesibile publicului pe site-ul web al companiei în termen de 90 de zile de la sfârșitul anului de raportare; rapoartele financiare interimare sunt accesibile publicului în aceeași manieră în termen de 45 de zile de la sfârșitul perioadei de raportare.</w:t>
      </w:r>
    </w:p>
    <w:p w14:paraId="6049A95A" w14:textId="5856918C" w:rsidR="003617DA" w:rsidRDefault="008C6889" w:rsidP="00D43CF5">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ab/>
      </w:r>
      <w:r w:rsidR="007D0FD9" w:rsidRPr="007D0FD9">
        <w:rPr>
          <w:rFonts w:ascii="Times New Roman" w:hAnsi="Times New Roman" w:cs="Times New Roman"/>
          <w:bCs/>
          <w:sz w:val="24"/>
        </w:rPr>
        <w:t xml:space="preserve">Daimler este obligată prin </w:t>
      </w:r>
      <w:r w:rsidR="00437D7A" w:rsidRPr="00437D7A">
        <w:rPr>
          <w:rFonts w:ascii="Times New Roman" w:hAnsi="Times New Roman" w:cs="Times New Roman"/>
          <w:bCs/>
          <w:sz w:val="24"/>
        </w:rPr>
        <w:t xml:space="preserve">Legea privind societățile pe acțiuni </w:t>
      </w:r>
      <w:r w:rsidR="00437D7A">
        <w:rPr>
          <w:rFonts w:ascii="Times New Roman" w:hAnsi="Times New Roman" w:cs="Times New Roman"/>
          <w:bCs/>
          <w:sz w:val="24"/>
        </w:rPr>
        <w:t>din Germania</w:t>
      </w:r>
      <w:r w:rsidR="00437D7A" w:rsidRPr="00437D7A">
        <w:rPr>
          <w:rFonts w:ascii="Times New Roman" w:hAnsi="Times New Roman" w:cs="Times New Roman"/>
          <w:bCs/>
          <w:sz w:val="24"/>
        </w:rPr>
        <w:t xml:space="preserve"> </w:t>
      </w:r>
      <w:r w:rsidR="007D0FD9" w:rsidRPr="007D0FD9">
        <w:rPr>
          <w:rFonts w:ascii="Times New Roman" w:hAnsi="Times New Roman" w:cs="Times New Roman"/>
          <w:bCs/>
          <w:sz w:val="24"/>
        </w:rPr>
        <w:t>(</w:t>
      </w:r>
      <w:proofErr w:type="spellStart"/>
      <w:r w:rsidR="007D0FD9" w:rsidRPr="007D0FD9">
        <w:rPr>
          <w:rFonts w:ascii="Times New Roman" w:hAnsi="Times New Roman" w:cs="Times New Roman"/>
          <w:bCs/>
          <w:sz w:val="24"/>
        </w:rPr>
        <w:t>AktG</w:t>
      </w:r>
      <w:proofErr w:type="spellEnd"/>
      <w:r w:rsidR="007D0FD9" w:rsidRPr="007D0FD9">
        <w:rPr>
          <w:rFonts w:ascii="Times New Roman" w:hAnsi="Times New Roman" w:cs="Times New Roman"/>
          <w:bCs/>
          <w:sz w:val="24"/>
        </w:rPr>
        <w:t>) să aplice un sistem de administrare duală, cu separare strictă personală și funcțională între Consiliul de administrație și Consiliul de supraveghere (consiliul cu două niveluri). În consecință, Consiliul de administrație administrează compania în timp ce Consiliul de supraveghere monitorizează și consiliază Consiliul de administrație.</w:t>
      </w:r>
    </w:p>
    <w:p w14:paraId="5B86799F" w14:textId="6A72BF3B" w:rsidR="00E2105D" w:rsidRPr="007D0FD9" w:rsidRDefault="007D0FD9" w:rsidP="00D43CF5">
      <w:pPr>
        <w:spacing w:after="0" w:line="360" w:lineRule="auto"/>
        <w:contextualSpacing/>
        <w:jc w:val="both"/>
        <w:rPr>
          <w:rFonts w:ascii="Times New Roman" w:hAnsi="Times New Roman" w:cs="Times New Roman"/>
          <w:b/>
          <w:sz w:val="24"/>
        </w:rPr>
      </w:pPr>
      <w:r w:rsidRPr="007D0FD9">
        <w:rPr>
          <w:rFonts w:ascii="Times New Roman" w:hAnsi="Times New Roman" w:cs="Times New Roman"/>
          <w:b/>
          <w:sz w:val="24"/>
        </w:rPr>
        <w:t>Concluzie și direcție de cercetare ulterioară</w:t>
      </w:r>
      <w:r w:rsidR="00E501D5" w:rsidRPr="007D0FD9">
        <w:rPr>
          <w:rFonts w:ascii="Times New Roman" w:hAnsi="Times New Roman" w:cs="Times New Roman"/>
          <w:b/>
          <w:sz w:val="24"/>
        </w:rPr>
        <w:tab/>
      </w:r>
    </w:p>
    <w:p w14:paraId="2F8D250C" w14:textId="77777777"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În conformitate cu legislația germană privind participarea egală a femeilor și a bărbaților în funcții de conducere atât în ​​sectorul privat, cât și în sectorul public, consiliile de supraveghere ale companiilor listate sau ale companiilor supuse sistemului de codificare a Germaniei trebuie să stabilească o țintă pentru proporția de femei pe care le Consiliul de Administrație. Consiliul de administrație al unei astfel de companii trebuie să stabilească o țintă pentru proporția de femei la cele două niveluri de conducere sub cea a consiliului de administrație. Dacă proporțiile femeilor în momentul în care aceste ținte sunt stabilite de consiliul de administrație și consiliul de supraveghere sunt sub 30%, țintele pot să nu fie mai mici decât proporțiile deja atinse. În același timp în care sunt stabilite obiectivele, comisiile trebuie să stabilească perioade pentru realizarea lor, care nu pot depăși cinci ani.</w:t>
      </w:r>
    </w:p>
    <w:p w14:paraId="54D30883" w14:textId="77777777"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Deoarece se anunță că noul Cod al guvernanței corporative germane va fi realizat în acest an, auditorii au recomandat Consiliului de Supraveghere să revizuiască profilurile de cerințe generale pentru compoziția proprie și componența Consiliului de administrație.</w:t>
      </w:r>
    </w:p>
    <w:p w14:paraId="3EFA6A8C" w14:textId="77777777"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Modificările semnificative ale Codului guvernanței corporative germane în comparație cu versiunea din 7 februarie 2017 se referă în special la următoarele:</w:t>
      </w:r>
    </w:p>
    <w:p w14:paraId="27D65859" w14:textId="542807C1" w:rsidR="007D0FD9" w:rsidRPr="00EA532F" w:rsidRDefault="007D0FD9" w:rsidP="00EA532F">
      <w:pPr>
        <w:pStyle w:val="ListParagraph"/>
        <w:numPr>
          <w:ilvl w:val="0"/>
          <w:numId w:val="20"/>
        </w:numPr>
        <w:spacing w:after="0" w:line="360" w:lineRule="auto"/>
        <w:jc w:val="both"/>
        <w:rPr>
          <w:rFonts w:ascii="Times New Roman" w:hAnsi="Times New Roman" w:cs="Times New Roman"/>
          <w:bCs/>
          <w:sz w:val="24"/>
        </w:rPr>
      </w:pPr>
      <w:r w:rsidRPr="00EA532F">
        <w:rPr>
          <w:rFonts w:ascii="Times New Roman" w:hAnsi="Times New Roman" w:cs="Times New Roman"/>
          <w:bCs/>
          <w:sz w:val="24"/>
        </w:rPr>
        <w:t>Introducerea de principii pentru informarea cu privire la cerințele legale materiale privind guvernanța responsabilă;</w:t>
      </w:r>
    </w:p>
    <w:p w14:paraId="65081FDA" w14:textId="0D285A55" w:rsidR="007D0FD9" w:rsidRPr="00EA532F" w:rsidRDefault="007D0FD9" w:rsidP="00EA532F">
      <w:pPr>
        <w:pStyle w:val="ListParagraph"/>
        <w:numPr>
          <w:ilvl w:val="0"/>
          <w:numId w:val="20"/>
        </w:numPr>
        <w:spacing w:after="0" w:line="360" w:lineRule="auto"/>
        <w:jc w:val="both"/>
        <w:rPr>
          <w:rFonts w:ascii="Times New Roman" w:hAnsi="Times New Roman" w:cs="Times New Roman"/>
          <w:bCs/>
          <w:sz w:val="24"/>
        </w:rPr>
      </w:pPr>
      <w:r w:rsidRPr="00EA532F">
        <w:rPr>
          <w:rFonts w:ascii="Times New Roman" w:hAnsi="Times New Roman" w:cs="Times New Roman"/>
          <w:bCs/>
          <w:sz w:val="24"/>
        </w:rPr>
        <w:t>Precizarea cerinței de independență cu privire la reprezentanții acționarilor din Consiliul de supraveghere, care este un obiectiv pentru Comisia guvernamentală;</w:t>
      </w:r>
    </w:p>
    <w:p w14:paraId="03BAE004" w14:textId="75E392ED" w:rsidR="007D0FD9" w:rsidRPr="00EA532F" w:rsidRDefault="007D0FD9" w:rsidP="00EA532F">
      <w:pPr>
        <w:pStyle w:val="ListParagraph"/>
        <w:numPr>
          <w:ilvl w:val="0"/>
          <w:numId w:val="20"/>
        </w:numPr>
        <w:spacing w:after="0" w:line="360" w:lineRule="auto"/>
        <w:jc w:val="both"/>
        <w:rPr>
          <w:rFonts w:ascii="Times New Roman" w:hAnsi="Times New Roman" w:cs="Times New Roman"/>
          <w:bCs/>
          <w:sz w:val="24"/>
        </w:rPr>
      </w:pPr>
      <w:r w:rsidRPr="00EA532F">
        <w:rPr>
          <w:rFonts w:ascii="Times New Roman" w:hAnsi="Times New Roman" w:cs="Times New Roman"/>
          <w:bCs/>
          <w:sz w:val="24"/>
        </w:rPr>
        <w:t xml:space="preserve">Un catalog de criterii care să ofere îndrumări pentru situația în care un reprezentant al acționarilor în Consiliul de Supraveghere nu mai poate fi considerat independent. Un alt accent este pus pe retratarea recomandărilor privind remunerația consiliului de administrație. </w:t>
      </w:r>
      <w:r w:rsidRPr="00EA532F">
        <w:rPr>
          <w:rFonts w:ascii="Times New Roman" w:hAnsi="Times New Roman" w:cs="Times New Roman"/>
          <w:bCs/>
          <w:sz w:val="24"/>
        </w:rPr>
        <w:lastRenderedPageBreak/>
        <w:t>Noile recomandări reflectă cele mai bune practici internaționale și îndeplinesc standardele Legii la a doua directivă privind drepturile acționarilor (ARUG II).</w:t>
      </w:r>
    </w:p>
    <w:p w14:paraId="3330A98F" w14:textId="3FE5D0E7" w:rsidR="007D0FD9" w:rsidRPr="00EA532F" w:rsidRDefault="007D0FD9" w:rsidP="00EA532F">
      <w:pPr>
        <w:pStyle w:val="ListParagraph"/>
        <w:numPr>
          <w:ilvl w:val="0"/>
          <w:numId w:val="20"/>
        </w:numPr>
        <w:spacing w:after="0" w:line="360" w:lineRule="auto"/>
        <w:jc w:val="both"/>
        <w:rPr>
          <w:rFonts w:ascii="Times New Roman" w:hAnsi="Times New Roman" w:cs="Times New Roman"/>
          <w:bCs/>
          <w:sz w:val="24"/>
        </w:rPr>
      </w:pPr>
      <w:r w:rsidRPr="00EA532F">
        <w:rPr>
          <w:rFonts w:ascii="Times New Roman" w:hAnsi="Times New Roman" w:cs="Times New Roman"/>
          <w:bCs/>
          <w:sz w:val="24"/>
        </w:rPr>
        <w:t>În cele din urmă, raportarea guvernanței corporative este simplificată plasându-l exclusiv în Declarația de guvernanță corporativă.</w:t>
      </w:r>
    </w:p>
    <w:p w14:paraId="6CE59DF3" w14:textId="77777777" w:rsidR="007D0FD9" w:rsidRPr="007D0FD9" w:rsidRDefault="007D0FD9" w:rsidP="007D0FD9">
      <w:pPr>
        <w:spacing w:after="0" w:line="360" w:lineRule="auto"/>
        <w:contextualSpacing/>
        <w:jc w:val="both"/>
        <w:rPr>
          <w:rFonts w:ascii="Times New Roman" w:hAnsi="Times New Roman" w:cs="Times New Roman"/>
          <w:bCs/>
          <w:sz w:val="24"/>
        </w:rPr>
      </w:pPr>
      <w:r w:rsidRPr="007D0FD9">
        <w:rPr>
          <w:rFonts w:ascii="Times New Roman" w:hAnsi="Times New Roman" w:cs="Times New Roman"/>
          <w:bCs/>
          <w:sz w:val="24"/>
        </w:rPr>
        <w:t>Guvernanța corporativă germană, la fel ca toate sistemele de guvernanță corporativă, s-a implicat într-un mod propriu unic din cauza evoluțiilor istorice, politice, sociale și economice distincte.</w:t>
      </w:r>
    </w:p>
    <w:p w14:paraId="6BAD4C68" w14:textId="2BBA19AD" w:rsidR="00551303" w:rsidRDefault="00EA532F" w:rsidP="007D0FD9">
      <w:pPr>
        <w:spacing w:after="0" w:line="360" w:lineRule="auto"/>
        <w:contextualSpacing/>
        <w:jc w:val="both"/>
        <w:rPr>
          <w:rFonts w:ascii="Times New Roman" w:hAnsi="Times New Roman" w:cs="Times New Roman"/>
          <w:bCs/>
          <w:sz w:val="24"/>
        </w:rPr>
      </w:pPr>
      <w:r>
        <w:rPr>
          <w:rFonts w:ascii="Times New Roman" w:hAnsi="Times New Roman" w:cs="Times New Roman"/>
          <w:bCs/>
          <w:sz w:val="24"/>
        </w:rPr>
        <w:tab/>
      </w:r>
      <w:r w:rsidR="007D0FD9" w:rsidRPr="007D0FD9">
        <w:rPr>
          <w:rFonts w:ascii="Times New Roman" w:hAnsi="Times New Roman" w:cs="Times New Roman"/>
          <w:bCs/>
          <w:sz w:val="24"/>
        </w:rPr>
        <w:t>Desfășurarea activității Daimler se bazează pe standarde la nivelul întregului grup care depășesc cerințele legislației relevante și ale Codului guvernanței corporative germane. Aceste standarde se bazează pe patru valori corporative integritate, respect, pasiune și disciplină și reprezintă un factor cheie în succesul industriei auto din Germania.</w:t>
      </w:r>
    </w:p>
    <w:p w14:paraId="1D77C403" w14:textId="77777777" w:rsidR="00EA532F" w:rsidRPr="007D0FD9" w:rsidRDefault="00EA532F" w:rsidP="007D0FD9">
      <w:pPr>
        <w:spacing w:after="0" w:line="360" w:lineRule="auto"/>
        <w:contextualSpacing/>
        <w:jc w:val="both"/>
        <w:rPr>
          <w:rFonts w:ascii="Times New Roman" w:hAnsi="Times New Roman" w:cs="Times New Roman"/>
          <w:bCs/>
          <w:sz w:val="24"/>
        </w:rPr>
      </w:pPr>
    </w:p>
    <w:p w14:paraId="2459E0D8" w14:textId="3EE05260" w:rsidR="005B5CBB" w:rsidRPr="007D0FD9" w:rsidRDefault="00EA532F" w:rsidP="00D43CF5">
      <w:pPr>
        <w:spacing w:after="0" w:line="360" w:lineRule="auto"/>
        <w:contextualSpacing/>
        <w:jc w:val="both"/>
        <w:rPr>
          <w:rFonts w:ascii="Times New Roman" w:hAnsi="Times New Roman" w:cs="Times New Roman"/>
          <w:b/>
          <w:bCs/>
          <w:sz w:val="24"/>
        </w:rPr>
      </w:pPr>
      <w:r>
        <w:rPr>
          <w:rFonts w:ascii="Times New Roman" w:hAnsi="Times New Roman" w:cs="Times New Roman"/>
          <w:b/>
          <w:bCs/>
          <w:sz w:val="24"/>
        </w:rPr>
        <w:t>Referi</w:t>
      </w:r>
      <w:r w:rsidR="005B5CBB" w:rsidRPr="007D0FD9">
        <w:rPr>
          <w:rFonts w:ascii="Times New Roman" w:hAnsi="Times New Roman" w:cs="Times New Roman"/>
          <w:b/>
          <w:bCs/>
          <w:sz w:val="24"/>
        </w:rPr>
        <w:t>n</w:t>
      </w:r>
      <w:r>
        <w:rPr>
          <w:rFonts w:ascii="Times New Roman" w:hAnsi="Times New Roman" w:cs="Times New Roman"/>
          <w:b/>
          <w:bCs/>
          <w:sz w:val="24"/>
        </w:rPr>
        <w:t>țe</w:t>
      </w:r>
    </w:p>
    <w:p w14:paraId="79F4BF15" w14:textId="377BEF99" w:rsidR="006A55AA" w:rsidRPr="007D0FD9" w:rsidRDefault="006A55AA" w:rsidP="005B5CBB">
      <w:pPr>
        <w:spacing w:after="0" w:line="360" w:lineRule="auto"/>
        <w:contextualSpacing/>
        <w:jc w:val="both"/>
        <w:rPr>
          <w:rFonts w:ascii="Times New Roman" w:hAnsi="Times New Roman" w:cs="Times New Roman"/>
          <w:bCs/>
          <w:sz w:val="24"/>
        </w:rPr>
      </w:pPr>
    </w:p>
    <w:p w14:paraId="563FD9A5" w14:textId="183E404E" w:rsidR="006A55AA" w:rsidRPr="007D0FD9" w:rsidRDefault="006A55AA" w:rsidP="006A55AA">
      <w:pPr>
        <w:pStyle w:val="ListParagraph"/>
        <w:numPr>
          <w:ilvl w:val="0"/>
          <w:numId w:val="19"/>
        </w:numPr>
        <w:spacing w:after="0" w:line="360" w:lineRule="auto"/>
        <w:rPr>
          <w:rFonts w:ascii="Times New Roman" w:hAnsi="Times New Roman" w:cs="Times New Roman"/>
          <w:bCs/>
          <w:sz w:val="24"/>
        </w:rPr>
      </w:pPr>
      <w:proofErr w:type="spellStart"/>
      <w:r w:rsidRPr="007D0FD9">
        <w:rPr>
          <w:rFonts w:ascii="Times New Roman" w:hAnsi="Times New Roman" w:cs="Times New Roman"/>
          <w:bCs/>
          <w:sz w:val="24"/>
        </w:rPr>
        <w:t>About</w:t>
      </w:r>
      <w:proofErr w:type="spellEnd"/>
      <w:r w:rsidRPr="007D0FD9">
        <w:rPr>
          <w:rFonts w:ascii="Times New Roman" w:hAnsi="Times New Roman" w:cs="Times New Roman"/>
          <w:bCs/>
          <w:sz w:val="24"/>
        </w:rPr>
        <w:t xml:space="preserve"> Company, Daimler AG, 2020 &lt;https://www.daimler.com/company/&gt;</w:t>
      </w:r>
    </w:p>
    <w:p w14:paraId="06B1B3B9" w14:textId="77777777" w:rsidR="00E32AD1" w:rsidRPr="007D0FD9" w:rsidRDefault="005B5CBB" w:rsidP="006A55AA">
      <w:pPr>
        <w:pStyle w:val="ListParagraph"/>
        <w:numPr>
          <w:ilvl w:val="0"/>
          <w:numId w:val="19"/>
        </w:numPr>
        <w:spacing w:after="0" w:line="360" w:lineRule="auto"/>
        <w:rPr>
          <w:rFonts w:ascii="Times New Roman" w:hAnsi="Times New Roman" w:cs="Times New Roman"/>
          <w:bCs/>
          <w:sz w:val="24"/>
        </w:rPr>
      </w:pPr>
      <w:proofErr w:type="spellStart"/>
      <w:r w:rsidRPr="007D0FD9">
        <w:rPr>
          <w:rFonts w:ascii="Times New Roman" w:hAnsi="Times New Roman" w:cs="Times New Roman"/>
          <w:bCs/>
          <w:sz w:val="24"/>
        </w:rPr>
        <w:t>Annual</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Reports</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including</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combined</w:t>
      </w:r>
      <w:proofErr w:type="spellEnd"/>
      <w:r w:rsidRPr="007D0FD9">
        <w:rPr>
          <w:rFonts w:ascii="Times New Roman" w:hAnsi="Times New Roman" w:cs="Times New Roman"/>
          <w:bCs/>
          <w:sz w:val="24"/>
        </w:rPr>
        <w:t xml:space="preserve"> Management Report, Daimler </w:t>
      </w:r>
      <w:r w:rsidR="006A55AA" w:rsidRPr="007D0FD9">
        <w:rPr>
          <w:rFonts w:ascii="Times New Roman" w:hAnsi="Times New Roman" w:cs="Times New Roman"/>
          <w:bCs/>
          <w:sz w:val="24"/>
        </w:rPr>
        <w:t xml:space="preserve">AG, 2017, 2018, </w:t>
      </w:r>
      <w:r w:rsidRPr="007D0FD9">
        <w:rPr>
          <w:rFonts w:ascii="Times New Roman" w:hAnsi="Times New Roman" w:cs="Times New Roman"/>
          <w:bCs/>
          <w:sz w:val="24"/>
        </w:rPr>
        <w:t>2019.</w:t>
      </w:r>
    </w:p>
    <w:p w14:paraId="65C65A67" w14:textId="7BAD9B4E" w:rsidR="005B5CBB" w:rsidRPr="007D0FD9" w:rsidRDefault="005B5CBB" w:rsidP="00551303">
      <w:pPr>
        <w:pStyle w:val="ListParagraph"/>
        <w:spacing w:after="0" w:line="360" w:lineRule="auto"/>
        <w:rPr>
          <w:rFonts w:ascii="Times New Roman" w:hAnsi="Times New Roman" w:cs="Times New Roman"/>
          <w:bCs/>
          <w:sz w:val="24"/>
        </w:rPr>
      </w:pPr>
      <w:r w:rsidRPr="007D0FD9">
        <w:rPr>
          <w:rFonts w:ascii="Times New Roman" w:hAnsi="Times New Roman" w:cs="Times New Roman"/>
          <w:bCs/>
          <w:sz w:val="24"/>
        </w:rPr>
        <w:t xml:space="preserve">&lt;https://www.daimler.com/investors/reports-news/annual-reports/archive-ar.html&gt; </w:t>
      </w:r>
    </w:p>
    <w:p w14:paraId="487731FD" w14:textId="6A0AE935" w:rsidR="003A4E8F" w:rsidRPr="007D0FD9" w:rsidRDefault="005B5CBB" w:rsidP="003A4E8F">
      <w:pPr>
        <w:pStyle w:val="ListParagraph"/>
        <w:numPr>
          <w:ilvl w:val="0"/>
          <w:numId w:val="19"/>
        </w:numPr>
        <w:spacing w:after="0" w:line="360" w:lineRule="auto"/>
        <w:jc w:val="both"/>
        <w:rPr>
          <w:rFonts w:ascii="Times New Roman" w:hAnsi="Times New Roman" w:cs="Times New Roman"/>
          <w:bCs/>
          <w:sz w:val="24"/>
        </w:rPr>
      </w:pPr>
      <w:r w:rsidRPr="007D0FD9">
        <w:rPr>
          <w:rFonts w:ascii="Times New Roman" w:hAnsi="Times New Roman" w:cs="Times New Roman"/>
          <w:bCs/>
          <w:sz w:val="24"/>
        </w:rPr>
        <w:t xml:space="preserve">Becker, Helmut. </w:t>
      </w:r>
      <w:proofErr w:type="spellStart"/>
      <w:r w:rsidRPr="007D0FD9">
        <w:rPr>
          <w:rFonts w:ascii="Times New Roman" w:hAnsi="Times New Roman" w:cs="Times New Roman"/>
          <w:bCs/>
          <w:sz w:val="24"/>
        </w:rPr>
        <w:t>High</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Noon</w:t>
      </w:r>
      <w:proofErr w:type="spellEnd"/>
      <w:r w:rsidRPr="007D0FD9">
        <w:rPr>
          <w:rFonts w:ascii="Times New Roman" w:hAnsi="Times New Roman" w:cs="Times New Roman"/>
          <w:bCs/>
          <w:sz w:val="24"/>
        </w:rPr>
        <w:t xml:space="preserve"> in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Automotive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Illdustry</w:t>
      </w:r>
      <w:proofErr w:type="spellEnd"/>
      <w:r w:rsidRPr="007D0FD9">
        <w:rPr>
          <w:rFonts w:ascii="Times New Roman" w:hAnsi="Times New Roman" w:cs="Times New Roman"/>
          <w:bCs/>
          <w:sz w:val="24"/>
        </w:rPr>
        <w:t xml:space="preserve">. Berlin. Springer. 2006. </w:t>
      </w:r>
    </w:p>
    <w:p w14:paraId="769962CB" w14:textId="6F2B1AA5" w:rsidR="005B5CBB" w:rsidRPr="007D0FD9" w:rsidRDefault="003A4E8F" w:rsidP="005B5CBB">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t>Claessens</w:t>
      </w:r>
      <w:proofErr w:type="spellEnd"/>
      <w:r w:rsidRPr="007D0FD9">
        <w:rPr>
          <w:rFonts w:ascii="Times New Roman" w:hAnsi="Times New Roman" w:cs="Times New Roman"/>
          <w:bCs/>
          <w:sz w:val="24"/>
        </w:rPr>
        <w:t xml:space="preserve">, S. (2003),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development</w:t>
      </w:r>
      <w:proofErr w:type="spellEnd"/>
      <w:r w:rsidRPr="007D0FD9">
        <w:rPr>
          <w:rFonts w:ascii="Times New Roman" w:hAnsi="Times New Roman" w:cs="Times New Roman"/>
          <w:bCs/>
          <w:sz w:val="24"/>
        </w:rPr>
        <w:t xml:space="preserve">, Global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Forum, World Bank, Washington, D.C.</w:t>
      </w:r>
    </w:p>
    <w:p w14:paraId="5B0B4F5D" w14:textId="77777777" w:rsidR="00E32AD1" w:rsidRPr="007D0FD9" w:rsidRDefault="005B5CBB" w:rsidP="006A55AA">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t>Dankbaar</w:t>
      </w:r>
      <w:proofErr w:type="spellEnd"/>
      <w:r w:rsidRPr="007D0FD9">
        <w:rPr>
          <w:rFonts w:ascii="Times New Roman" w:hAnsi="Times New Roman" w:cs="Times New Roman"/>
          <w:bCs/>
          <w:sz w:val="24"/>
        </w:rPr>
        <w:t xml:space="preserve">, Ben. "Scale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Scope</w:t>
      </w:r>
      <w:proofErr w:type="spellEnd"/>
      <w:r w:rsidRPr="007D0FD9">
        <w:rPr>
          <w:rFonts w:ascii="Times New Roman" w:hAnsi="Times New Roman" w:cs="Times New Roman"/>
          <w:bCs/>
          <w:sz w:val="24"/>
        </w:rPr>
        <w:t xml:space="preserve">: Strategic </w:t>
      </w:r>
      <w:proofErr w:type="spellStart"/>
      <w:r w:rsidRPr="007D0FD9">
        <w:rPr>
          <w:rFonts w:ascii="Times New Roman" w:hAnsi="Times New Roman" w:cs="Times New Roman"/>
          <w:bCs/>
          <w:sz w:val="24"/>
        </w:rPr>
        <w:t>Choices</w:t>
      </w:r>
      <w:proofErr w:type="spellEnd"/>
      <w:r w:rsidRPr="007D0FD9">
        <w:rPr>
          <w:rFonts w:ascii="Times New Roman" w:hAnsi="Times New Roman" w:cs="Times New Roman"/>
          <w:bCs/>
          <w:sz w:val="24"/>
        </w:rPr>
        <w:t xml:space="preserve"> in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Ge</w:t>
      </w:r>
      <w:r w:rsidR="00E32AD1" w:rsidRPr="007D0FD9">
        <w:rPr>
          <w:rFonts w:ascii="Times New Roman" w:hAnsi="Times New Roman" w:cs="Times New Roman"/>
          <w:bCs/>
          <w:sz w:val="24"/>
        </w:rPr>
        <w:t xml:space="preserve">rman </w:t>
      </w:r>
      <w:proofErr w:type="spellStart"/>
      <w:r w:rsidR="00E32AD1" w:rsidRPr="007D0FD9">
        <w:rPr>
          <w:rFonts w:ascii="Times New Roman" w:hAnsi="Times New Roman" w:cs="Times New Roman"/>
          <w:bCs/>
          <w:sz w:val="24"/>
        </w:rPr>
        <w:t>Passenger</w:t>
      </w:r>
      <w:proofErr w:type="spellEnd"/>
      <w:r w:rsidR="00E32AD1" w:rsidRPr="007D0FD9">
        <w:rPr>
          <w:rFonts w:ascii="Times New Roman" w:hAnsi="Times New Roman" w:cs="Times New Roman"/>
          <w:bCs/>
          <w:sz w:val="24"/>
        </w:rPr>
        <w:t xml:space="preserve"> Car Industry." </w:t>
      </w:r>
    </w:p>
    <w:p w14:paraId="6C6283C4" w14:textId="55C4D40D" w:rsidR="005B5CBB" w:rsidRPr="007D0FD9" w:rsidRDefault="00E32AD1" w:rsidP="00551303">
      <w:pPr>
        <w:pStyle w:val="ListParagraph"/>
        <w:spacing w:after="0" w:line="360" w:lineRule="auto"/>
        <w:jc w:val="both"/>
        <w:rPr>
          <w:rFonts w:ascii="Times New Roman" w:hAnsi="Times New Roman" w:cs="Times New Roman"/>
          <w:bCs/>
          <w:sz w:val="24"/>
        </w:rPr>
      </w:pPr>
      <w:r w:rsidRPr="007D0FD9">
        <w:rPr>
          <w:rFonts w:ascii="Times New Roman" w:hAnsi="Times New Roman" w:cs="Times New Roman"/>
          <w:bCs/>
          <w:sz w:val="24"/>
        </w:rPr>
        <w:t xml:space="preserve">&lt; </w:t>
      </w:r>
      <w:r w:rsidR="005B5CBB" w:rsidRPr="007D0FD9">
        <w:rPr>
          <w:rFonts w:ascii="Times New Roman" w:hAnsi="Times New Roman" w:cs="Times New Roman"/>
          <w:bCs/>
          <w:sz w:val="24"/>
        </w:rPr>
        <w:t xml:space="preserve">http://www.univ-evry.fr/ </w:t>
      </w:r>
      <w:proofErr w:type="spellStart"/>
      <w:r w:rsidR="005B5CBB" w:rsidRPr="007D0FD9">
        <w:rPr>
          <w:rFonts w:ascii="Times New Roman" w:hAnsi="Times New Roman" w:cs="Times New Roman"/>
          <w:bCs/>
          <w:sz w:val="24"/>
        </w:rPr>
        <w:t>Iabos</w:t>
      </w:r>
      <w:proofErr w:type="spellEnd"/>
      <w:r w:rsidR="005B5CBB" w:rsidRPr="007D0FD9">
        <w:rPr>
          <w:rFonts w:ascii="Times New Roman" w:hAnsi="Times New Roman" w:cs="Times New Roman"/>
          <w:bCs/>
          <w:sz w:val="24"/>
        </w:rPr>
        <w:t>/</w:t>
      </w:r>
      <w:proofErr w:type="spellStart"/>
      <w:r w:rsidR="005B5CBB" w:rsidRPr="007D0FD9">
        <w:rPr>
          <w:rFonts w:ascii="Times New Roman" w:hAnsi="Times New Roman" w:cs="Times New Roman"/>
          <w:bCs/>
          <w:sz w:val="24"/>
        </w:rPr>
        <w:t>gerpisa</w:t>
      </w:r>
      <w:proofErr w:type="spellEnd"/>
      <w:r w:rsidR="005B5CBB" w:rsidRPr="007D0FD9">
        <w:rPr>
          <w:rFonts w:ascii="Times New Roman" w:hAnsi="Times New Roman" w:cs="Times New Roman"/>
          <w:bCs/>
          <w:sz w:val="24"/>
        </w:rPr>
        <w:t xml:space="preserve">/ </w:t>
      </w:r>
      <w:proofErr w:type="spellStart"/>
      <w:r w:rsidR="005B5CBB" w:rsidRPr="007D0FD9">
        <w:rPr>
          <w:rFonts w:ascii="Times New Roman" w:hAnsi="Times New Roman" w:cs="Times New Roman"/>
          <w:bCs/>
          <w:sz w:val="24"/>
        </w:rPr>
        <w:t>rencontre</w:t>
      </w:r>
      <w:proofErr w:type="spellEnd"/>
      <w:r w:rsidR="005B5CBB" w:rsidRPr="007D0FD9">
        <w:rPr>
          <w:rFonts w:ascii="Times New Roman" w:hAnsi="Times New Roman" w:cs="Times New Roman"/>
          <w:bCs/>
          <w:sz w:val="24"/>
        </w:rPr>
        <w:t>/ S 19Dankbaar.pdf&gt;</w:t>
      </w:r>
    </w:p>
    <w:p w14:paraId="1BFF9EFB" w14:textId="488D460B" w:rsidR="00551303" w:rsidRPr="007D0FD9" w:rsidRDefault="00E64CA1" w:rsidP="00551303">
      <w:pPr>
        <w:pStyle w:val="ListParagraph"/>
        <w:numPr>
          <w:ilvl w:val="0"/>
          <w:numId w:val="19"/>
        </w:numPr>
        <w:spacing w:after="0" w:line="360" w:lineRule="auto"/>
        <w:jc w:val="both"/>
        <w:rPr>
          <w:rFonts w:ascii="Times New Roman" w:hAnsi="Times New Roman" w:cs="Times New Roman"/>
          <w:bCs/>
          <w:sz w:val="24"/>
        </w:rPr>
      </w:pPr>
      <w:r w:rsidRPr="007D0FD9">
        <w:rPr>
          <w:rFonts w:ascii="Times New Roman" w:hAnsi="Times New Roman" w:cs="Times New Roman"/>
          <w:bCs/>
          <w:sz w:val="24"/>
        </w:rPr>
        <w:t xml:space="preserve">Directive 2014/95/EU of The European </w:t>
      </w:r>
      <w:proofErr w:type="spellStart"/>
      <w:r w:rsidRPr="007D0FD9">
        <w:rPr>
          <w:rFonts w:ascii="Times New Roman" w:hAnsi="Times New Roman" w:cs="Times New Roman"/>
          <w:bCs/>
          <w:sz w:val="24"/>
        </w:rPr>
        <w:t>Parliament</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Council of 22 </w:t>
      </w:r>
      <w:proofErr w:type="spellStart"/>
      <w:r w:rsidRPr="007D0FD9">
        <w:rPr>
          <w:rFonts w:ascii="Times New Roman" w:hAnsi="Times New Roman" w:cs="Times New Roman"/>
          <w:bCs/>
          <w:sz w:val="24"/>
        </w:rPr>
        <w:t>October</w:t>
      </w:r>
      <w:proofErr w:type="spellEnd"/>
      <w:r w:rsidRPr="007D0FD9">
        <w:rPr>
          <w:rFonts w:ascii="Times New Roman" w:hAnsi="Times New Roman" w:cs="Times New Roman"/>
          <w:bCs/>
          <w:sz w:val="24"/>
        </w:rPr>
        <w:t xml:space="preserve"> 2014- </w:t>
      </w:r>
      <w:proofErr w:type="spellStart"/>
      <w:r w:rsidRPr="007D0FD9">
        <w:rPr>
          <w:rFonts w:ascii="Times New Roman" w:hAnsi="Times New Roman" w:cs="Times New Roman"/>
          <w:bCs/>
          <w:sz w:val="24"/>
        </w:rPr>
        <w:t>Disclosure</w:t>
      </w:r>
      <w:proofErr w:type="spellEnd"/>
      <w:r w:rsidRPr="007D0FD9">
        <w:rPr>
          <w:rFonts w:ascii="Times New Roman" w:hAnsi="Times New Roman" w:cs="Times New Roman"/>
          <w:bCs/>
          <w:sz w:val="24"/>
        </w:rPr>
        <w:t xml:space="preserve"> of non-</w:t>
      </w:r>
      <w:proofErr w:type="spellStart"/>
      <w:r w:rsidRPr="007D0FD9">
        <w:rPr>
          <w:rFonts w:ascii="Times New Roman" w:hAnsi="Times New Roman" w:cs="Times New Roman"/>
          <w:bCs/>
          <w:sz w:val="24"/>
        </w:rPr>
        <w:t>financial</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diversity</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information</w:t>
      </w:r>
      <w:proofErr w:type="spellEnd"/>
    </w:p>
    <w:p w14:paraId="4BD5793F" w14:textId="60381657"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t>Fohlin</w:t>
      </w:r>
      <w:proofErr w:type="spellEnd"/>
      <w:r w:rsidRPr="007D0FD9">
        <w:rPr>
          <w:rFonts w:ascii="Times New Roman" w:hAnsi="Times New Roman" w:cs="Times New Roman"/>
          <w:bCs/>
          <w:sz w:val="24"/>
        </w:rPr>
        <w:t xml:space="preserve"> C., The </w:t>
      </w:r>
      <w:proofErr w:type="spellStart"/>
      <w:r w:rsidRPr="007D0FD9">
        <w:rPr>
          <w:rFonts w:ascii="Times New Roman" w:hAnsi="Times New Roman" w:cs="Times New Roman"/>
          <w:bCs/>
          <w:sz w:val="24"/>
        </w:rPr>
        <w:t>history</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ownership</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control in </w:t>
      </w:r>
      <w:proofErr w:type="spellStart"/>
      <w:r w:rsidRPr="007D0FD9">
        <w:rPr>
          <w:rFonts w:ascii="Times New Roman" w:hAnsi="Times New Roman" w:cs="Times New Roman"/>
          <w:bCs/>
          <w:sz w:val="24"/>
        </w:rPr>
        <w:t>Germany</w:t>
      </w:r>
      <w:proofErr w:type="spellEnd"/>
      <w:r w:rsidRPr="007D0FD9">
        <w:rPr>
          <w:rFonts w:ascii="Times New Roman" w:hAnsi="Times New Roman" w:cs="Times New Roman"/>
          <w:bCs/>
          <w:sz w:val="24"/>
        </w:rPr>
        <w:t xml:space="preserve">, In: R.K. </w:t>
      </w:r>
      <w:proofErr w:type="spellStart"/>
      <w:r w:rsidRPr="007D0FD9">
        <w:rPr>
          <w:rFonts w:ascii="Times New Roman" w:hAnsi="Times New Roman" w:cs="Times New Roman"/>
          <w:bCs/>
          <w:sz w:val="24"/>
        </w:rPr>
        <w:t>Morck</w:t>
      </w:r>
      <w:proofErr w:type="spellEnd"/>
      <w:r w:rsidRPr="007D0FD9">
        <w:rPr>
          <w:rFonts w:ascii="Times New Roman" w:hAnsi="Times New Roman" w:cs="Times New Roman"/>
          <w:bCs/>
          <w:sz w:val="24"/>
        </w:rPr>
        <w:t xml:space="preserve">, ed., A </w:t>
      </w:r>
      <w:proofErr w:type="spellStart"/>
      <w:r w:rsidRPr="007D0FD9">
        <w:rPr>
          <w:rFonts w:ascii="Times New Roman" w:hAnsi="Times New Roman" w:cs="Times New Roman"/>
          <w:bCs/>
          <w:sz w:val="24"/>
        </w:rPr>
        <w:t>History</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around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World: </w:t>
      </w:r>
      <w:proofErr w:type="spellStart"/>
      <w:r w:rsidRPr="007D0FD9">
        <w:rPr>
          <w:rFonts w:ascii="Times New Roman" w:hAnsi="Times New Roman" w:cs="Times New Roman"/>
          <w:bCs/>
          <w:sz w:val="24"/>
        </w:rPr>
        <w:t>Family</w:t>
      </w:r>
      <w:proofErr w:type="spellEnd"/>
      <w:r w:rsidRPr="007D0FD9">
        <w:rPr>
          <w:rFonts w:ascii="Times New Roman" w:hAnsi="Times New Roman" w:cs="Times New Roman"/>
          <w:bCs/>
          <w:sz w:val="24"/>
        </w:rPr>
        <w:t xml:space="preserve"> Business </w:t>
      </w:r>
      <w:proofErr w:type="spellStart"/>
      <w:r w:rsidRPr="007D0FD9">
        <w:rPr>
          <w:rFonts w:ascii="Times New Roman" w:hAnsi="Times New Roman" w:cs="Times New Roman"/>
          <w:bCs/>
          <w:sz w:val="24"/>
        </w:rPr>
        <w:t>Groups</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to</w:t>
      </w:r>
      <w:proofErr w:type="spellEnd"/>
      <w:r w:rsidRPr="007D0FD9">
        <w:rPr>
          <w:rFonts w:ascii="Times New Roman" w:hAnsi="Times New Roman" w:cs="Times New Roman"/>
          <w:bCs/>
          <w:sz w:val="24"/>
        </w:rPr>
        <w:t xml:space="preserve"> Professional </w:t>
      </w:r>
      <w:proofErr w:type="spellStart"/>
      <w:r w:rsidRPr="007D0FD9">
        <w:rPr>
          <w:rFonts w:ascii="Times New Roman" w:hAnsi="Times New Roman" w:cs="Times New Roman"/>
          <w:bCs/>
          <w:sz w:val="24"/>
        </w:rPr>
        <w:t>Managers</w:t>
      </w:r>
      <w:proofErr w:type="spellEnd"/>
      <w:r w:rsidRPr="007D0FD9">
        <w:rPr>
          <w:rFonts w:ascii="Times New Roman" w:hAnsi="Times New Roman" w:cs="Times New Roman"/>
          <w:bCs/>
          <w:sz w:val="24"/>
        </w:rPr>
        <w:t>, Chicago (2005).</w:t>
      </w:r>
    </w:p>
    <w:p w14:paraId="1CC4D056" w14:textId="164505C9"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t>Franks</w:t>
      </w:r>
      <w:proofErr w:type="spellEnd"/>
      <w:r w:rsidRPr="007D0FD9">
        <w:rPr>
          <w:rFonts w:ascii="Times New Roman" w:hAnsi="Times New Roman" w:cs="Times New Roman"/>
          <w:bCs/>
          <w:sz w:val="24"/>
        </w:rPr>
        <w:t xml:space="preserve"> J./Mayer C./Wagner H. F., The </w:t>
      </w:r>
      <w:proofErr w:type="spellStart"/>
      <w:r w:rsidRPr="007D0FD9">
        <w:rPr>
          <w:rFonts w:ascii="Times New Roman" w:hAnsi="Times New Roman" w:cs="Times New Roman"/>
          <w:bCs/>
          <w:sz w:val="24"/>
        </w:rPr>
        <w:t>origins</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German </w:t>
      </w:r>
      <w:proofErr w:type="spellStart"/>
      <w:r w:rsidRPr="007D0FD9">
        <w:rPr>
          <w:rFonts w:ascii="Times New Roman" w:hAnsi="Times New Roman" w:cs="Times New Roman"/>
          <w:bCs/>
          <w:sz w:val="24"/>
        </w:rPr>
        <w:t>corporation</w:t>
      </w:r>
      <w:proofErr w:type="spellEnd"/>
      <w:r w:rsidRPr="007D0FD9">
        <w:rPr>
          <w:rFonts w:ascii="Times New Roman" w:hAnsi="Times New Roman" w:cs="Times New Roman"/>
          <w:bCs/>
          <w:sz w:val="24"/>
        </w:rPr>
        <w:t xml:space="preserve"> – </w:t>
      </w:r>
      <w:proofErr w:type="spellStart"/>
      <w:r w:rsidRPr="007D0FD9">
        <w:rPr>
          <w:rFonts w:ascii="Times New Roman" w:hAnsi="Times New Roman" w:cs="Times New Roman"/>
          <w:bCs/>
          <w:sz w:val="24"/>
        </w:rPr>
        <w:t>Finance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ownership</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control, Review of </w:t>
      </w:r>
      <w:proofErr w:type="spellStart"/>
      <w:r w:rsidRPr="007D0FD9">
        <w:rPr>
          <w:rFonts w:ascii="Times New Roman" w:hAnsi="Times New Roman" w:cs="Times New Roman"/>
          <w:bCs/>
          <w:sz w:val="24"/>
        </w:rPr>
        <w:t>Finance</w:t>
      </w:r>
      <w:proofErr w:type="spellEnd"/>
      <w:r w:rsidRPr="007D0FD9">
        <w:rPr>
          <w:rFonts w:ascii="Times New Roman" w:hAnsi="Times New Roman" w:cs="Times New Roman"/>
          <w:bCs/>
          <w:sz w:val="24"/>
        </w:rPr>
        <w:t xml:space="preserve"> 10 (2005) 1-49.</w:t>
      </w:r>
    </w:p>
    <w:p w14:paraId="70FBB2DA" w14:textId="28B0C120"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r w:rsidRPr="007D0FD9">
        <w:rPr>
          <w:rFonts w:ascii="Times New Roman" w:hAnsi="Times New Roman" w:cs="Times New Roman"/>
          <w:bCs/>
          <w:sz w:val="24"/>
        </w:rPr>
        <w:t xml:space="preserve">Kaplan S.N., Top </w:t>
      </w:r>
      <w:proofErr w:type="spellStart"/>
      <w:r w:rsidRPr="007D0FD9">
        <w:rPr>
          <w:rFonts w:ascii="Times New Roman" w:hAnsi="Times New Roman" w:cs="Times New Roman"/>
          <w:bCs/>
          <w:sz w:val="24"/>
        </w:rPr>
        <w:t>executives</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turnover</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firm</w:t>
      </w:r>
      <w:proofErr w:type="spellEnd"/>
      <w:r w:rsidRPr="007D0FD9">
        <w:rPr>
          <w:rFonts w:ascii="Times New Roman" w:hAnsi="Times New Roman" w:cs="Times New Roman"/>
          <w:bCs/>
          <w:sz w:val="24"/>
        </w:rPr>
        <w:t xml:space="preserve"> performance in </w:t>
      </w:r>
      <w:proofErr w:type="spellStart"/>
      <w:r w:rsidRPr="007D0FD9">
        <w:rPr>
          <w:rFonts w:ascii="Times New Roman" w:hAnsi="Times New Roman" w:cs="Times New Roman"/>
          <w:bCs/>
          <w:sz w:val="24"/>
        </w:rPr>
        <w:t>Germany</w:t>
      </w:r>
      <w:proofErr w:type="spellEnd"/>
      <w:r w:rsidRPr="007D0FD9">
        <w:rPr>
          <w:rFonts w:ascii="Times New Roman" w:hAnsi="Times New Roman" w:cs="Times New Roman"/>
          <w:bCs/>
          <w:sz w:val="24"/>
        </w:rPr>
        <w:t xml:space="preserve">, Journal of Law, </w:t>
      </w:r>
      <w:proofErr w:type="spellStart"/>
      <w:r w:rsidRPr="007D0FD9">
        <w:rPr>
          <w:rFonts w:ascii="Times New Roman" w:hAnsi="Times New Roman" w:cs="Times New Roman"/>
          <w:bCs/>
          <w:sz w:val="24"/>
        </w:rPr>
        <w:t>Economics</w:t>
      </w:r>
      <w:proofErr w:type="spellEnd"/>
      <w:r w:rsidRPr="007D0FD9">
        <w:rPr>
          <w:rFonts w:ascii="Times New Roman" w:hAnsi="Times New Roman" w:cs="Times New Roman"/>
          <w:bCs/>
          <w:sz w:val="24"/>
        </w:rPr>
        <w:t xml:space="preserve">, &amp; </w:t>
      </w:r>
      <w:proofErr w:type="spellStart"/>
      <w:r w:rsidRPr="007D0FD9">
        <w:rPr>
          <w:rFonts w:ascii="Times New Roman" w:hAnsi="Times New Roman" w:cs="Times New Roman"/>
          <w:bCs/>
          <w:sz w:val="24"/>
        </w:rPr>
        <w:t>Organization</w:t>
      </w:r>
      <w:proofErr w:type="spellEnd"/>
      <w:r w:rsidRPr="007D0FD9">
        <w:rPr>
          <w:rFonts w:ascii="Times New Roman" w:hAnsi="Times New Roman" w:cs="Times New Roman"/>
          <w:bCs/>
          <w:sz w:val="24"/>
        </w:rPr>
        <w:t xml:space="preserve"> 10 (2015) 142-159.</w:t>
      </w:r>
    </w:p>
    <w:p w14:paraId="58549318" w14:textId="77777777"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r w:rsidRPr="007D0FD9">
        <w:rPr>
          <w:rFonts w:ascii="Times New Roman" w:hAnsi="Times New Roman" w:cs="Times New Roman"/>
          <w:bCs/>
          <w:sz w:val="24"/>
        </w:rPr>
        <w:t>Kohl C.G.R./</w:t>
      </w:r>
      <w:proofErr w:type="spellStart"/>
      <w:r w:rsidRPr="007D0FD9">
        <w:rPr>
          <w:rFonts w:ascii="Times New Roman" w:hAnsi="Times New Roman" w:cs="Times New Roman"/>
          <w:bCs/>
          <w:sz w:val="24"/>
        </w:rPr>
        <w:t>Rapp</w:t>
      </w:r>
      <w:proofErr w:type="spellEnd"/>
      <w:r w:rsidRPr="007D0FD9">
        <w:rPr>
          <w:rFonts w:ascii="Times New Roman" w:hAnsi="Times New Roman" w:cs="Times New Roman"/>
          <w:bCs/>
          <w:sz w:val="24"/>
        </w:rPr>
        <w:t xml:space="preserve"> M.S., </w:t>
      </w:r>
      <w:proofErr w:type="spellStart"/>
      <w:r w:rsidRPr="007D0FD9">
        <w:rPr>
          <w:rFonts w:ascii="Times New Roman" w:hAnsi="Times New Roman" w:cs="Times New Roman"/>
          <w:bCs/>
          <w:sz w:val="24"/>
        </w:rPr>
        <w:t>Family</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firms</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best</w:t>
      </w:r>
      <w:proofErr w:type="spellEnd"/>
      <w:r w:rsidRPr="007D0FD9">
        <w:rPr>
          <w:rFonts w:ascii="Times New Roman" w:hAnsi="Times New Roman" w:cs="Times New Roman"/>
          <w:bCs/>
          <w:sz w:val="24"/>
        </w:rPr>
        <w:t xml:space="preserve">-practice </w:t>
      </w:r>
      <w:proofErr w:type="spellStart"/>
      <w:r w:rsidRPr="007D0FD9">
        <w:rPr>
          <w:rFonts w:ascii="Times New Roman" w:hAnsi="Times New Roman" w:cs="Times New Roman"/>
          <w:bCs/>
          <w:sz w:val="24"/>
        </w:rPr>
        <w:t>rules</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Evidence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from</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German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code, </w:t>
      </w:r>
      <w:proofErr w:type="spellStart"/>
      <w:r w:rsidRPr="007D0FD9">
        <w:rPr>
          <w:rFonts w:ascii="Times New Roman" w:hAnsi="Times New Roman" w:cs="Times New Roman"/>
          <w:bCs/>
          <w:sz w:val="24"/>
        </w:rPr>
        <w:t>Working</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paper</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Universität</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Marburg</w:t>
      </w:r>
      <w:proofErr w:type="spellEnd"/>
      <w:r w:rsidRPr="007D0FD9">
        <w:rPr>
          <w:rFonts w:ascii="Times New Roman" w:hAnsi="Times New Roman" w:cs="Times New Roman"/>
          <w:bCs/>
          <w:sz w:val="24"/>
        </w:rPr>
        <w:t xml:space="preserve"> (2014).  </w:t>
      </w:r>
    </w:p>
    <w:p w14:paraId="3F9BF342" w14:textId="77777777"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r w:rsidRPr="007D0FD9">
        <w:rPr>
          <w:rFonts w:ascii="Times New Roman" w:hAnsi="Times New Roman" w:cs="Times New Roman"/>
          <w:bCs/>
          <w:sz w:val="24"/>
        </w:rPr>
        <w:t xml:space="preserve">La Porta R./Lopez de </w:t>
      </w:r>
      <w:proofErr w:type="spellStart"/>
      <w:r w:rsidRPr="007D0FD9">
        <w:rPr>
          <w:rFonts w:ascii="Times New Roman" w:hAnsi="Times New Roman" w:cs="Times New Roman"/>
          <w:bCs/>
          <w:sz w:val="24"/>
        </w:rPr>
        <w:t>Silanes</w:t>
      </w:r>
      <w:proofErr w:type="spellEnd"/>
      <w:r w:rsidRPr="007D0FD9">
        <w:rPr>
          <w:rFonts w:ascii="Times New Roman" w:hAnsi="Times New Roman" w:cs="Times New Roman"/>
          <w:bCs/>
          <w:sz w:val="24"/>
        </w:rPr>
        <w:t xml:space="preserve"> F./</w:t>
      </w:r>
      <w:proofErr w:type="spellStart"/>
      <w:r w:rsidRPr="007D0FD9">
        <w:rPr>
          <w:rFonts w:ascii="Times New Roman" w:hAnsi="Times New Roman" w:cs="Times New Roman"/>
          <w:bCs/>
          <w:sz w:val="24"/>
        </w:rPr>
        <w:t>Shleifer</w:t>
      </w:r>
      <w:proofErr w:type="spellEnd"/>
      <w:r w:rsidRPr="007D0FD9">
        <w:rPr>
          <w:rFonts w:ascii="Times New Roman" w:hAnsi="Times New Roman" w:cs="Times New Roman"/>
          <w:bCs/>
          <w:sz w:val="24"/>
        </w:rPr>
        <w:t xml:space="preserve"> A./</w:t>
      </w:r>
      <w:proofErr w:type="spellStart"/>
      <w:r w:rsidRPr="007D0FD9">
        <w:rPr>
          <w:rFonts w:ascii="Times New Roman" w:hAnsi="Times New Roman" w:cs="Times New Roman"/>
          <w:bCs/>
          <w:sz w:val="24"/>
        </w:rPr>
        <w:t>Vishny</w:t>
      </w:r>
      <w:proofErr w:type="spellEnd"/>
      <w:r w:rsidRPr="007D0FD9">
        <w:rPr>
          <w:rFonts w:ascii="Times New Roman" w:hAnsi="Times New Roman" w:cs="Times New Roman"/>
          <w:bCs/>
          <w:sz w:val="24"/>
        </w:rPr>
        <w:t xml:space="preserve"> R.V., Law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Finance</w:t>
      </w:r>
      <w:proofErr w:type="spellEnd"/>
      <w:r w:rsidRPr="007D0FD9">
        <w:rPr>
          <w:rFonts w:ascii="Times New Roman" w:hAnsi="Times New Roman" w:cs="Times New Roman"/>
          <w:bCs/>
          <w:sz w:val="24"/>
        </w:rPr>
        <w:t xml:space="preserve">, Journal of Political </w:t>
      </w:r>
      <w:proofErr w:type="spellStart"/>
      <w:r w:rsidRPr="007D0FD9">
        <w:rPr>
          <w:rFonts w:ascii="Times New Roman" w:hAnsi="Times New Roman" w:cs="Times New Roman"/>
          <w:bCs/>
          <w:sz w:val="24"/>
        </w:rPr>
        <w:t>Economy</w:t>
      </w:r>
      <w:proofErr w:type="spellEnd"/>
      <w:r w:rsidRPr="007D0FD9">
        <w:rPr>
          <w:rFonts w:ascii="Times New Roman" w:hAnsi="Times New Roman" w:cs="Times New Roman"/>
          <w:bCs/>
          <w:sz w:val="24"/>
        </w:rPr>
        <w:t xml:space="preserve"> 106 (1998) 1113-1155. </w:t>
      </w:r>
    </w:p>
    <w:p w14:paraId="1FEDB787" w14:textId="751500E0"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lastRenderedPageBreak/>
        <w:t>Martynova</w:t>
      </w:r>
      <w:proofErr w:type="spellEnd"/>
      <w:r w:rsidRPr="007D0FD9">
        <w:rPr>
          <w:rFonts w:ascii="Times New Roman" w:hAnsi="Times New Roman" w:cs="Times New Roman"/>
          <w:bCs/>
          <w:sz w:val="24"/>
        </w:rPr>
        <w:t xml:space="preserve"> M./</w:t>
      </w:r>
      <w:proofErr w:type="spellStart"/>
      <w:r w:rsidRPr="007D0FD9">
        <w:rPr>
          <w:rFonts w:ascii="Times New Roman" w:hAnsi="Times New Roman" w:cs="Times New Roman"/>
          <w:bCs/>
          <w:sz w:val="24"/>
        </w:rPr>
        <w:t>Renneboog</w:t>
      </w:r>
      <w:proofErr w:type="spellEnd"/>
      <w:r w:rsidRPr="007D0FD9">
        <w:rPr>
          <w:rFonts w:ascii="Times New Roman" w:hAnsi="Times New Roman" w:cs="Times New Roman"/>
          <w:bCs/>
          <w:sz w:val="24"/>
        </w:rPr>
        <w:t xml:space="preserve"> L., </w:t>
      </w:r>
      <w:proofErr w:type="spellStart"/>
      <w:r w:rsidRPr="007D0FD9">
        <w:rPr>
          <w:rFonts w:ascii="Times New Roman" w:hAnsi="Times New Roman" w:cs="Times New Roman"/>
          <w:bCs/>
          <w:sz w:val="24"/>
        </w:rPr>
        <w:t>Evidence</w:t>
      </w:r>
      <w:proofErr w:type="spellEnd"/>
      <w:r w:rsidRPr="007D0FD9">
        <w:rPr>
          <w:rFonts w:ascii="Times New Roman" w:hAnsi="Times New Roman" w:cs="Times New Roman"/>
          <w:bCs/>
          <w:sz w:val="24"/>
        </w:rPr>
        <w:t xml:space="preserve"> on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international</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evolution</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convergence</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regulations</w:t>
      </w:r>
      <w:proofErr w:type="spellEnd"/>
      <w:r w:rsidRPr="007D0FD9">
        <w:rPr>
          <w:rFonts w:ascii="Times New Roman" w:hAnsi="Times New Roman" w:cs="Times New Roman"/>
          <w:bCs/>
          <w:sz w:val="24"/>
        </w:rPr>
        <w:t xml:space="preserve">, Journal of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Finance</w:t>
      </w:r>
      <w:proofErr w:type="spellEnd"/>
      <w:r w:rsidRPr="007D0FD9">
        <w:rPr>
          <w:rFonts w:ascii="Times New Roman" w:hAnsi="Times New Roman" w:cs="Times New Roman"/>
          <w:bCs/>
          <w:sz w:val="24"/>
        </w:rPr>
        <w:t xml:space="preserve"> 17 (2011) 1531–1557.</w:t>
      </w:r>
    </w:p>
    <w:p w14:paraId="49F84736" w14:textId="77777777"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t>Ringe</w:t>
      </w:r>
      <w:proofErr w:type="spellEnd"/>
      <w:r w:rsidRPr="007D0FD9">
        <w:rPr>
          <w:rFonts w:ascii="Times New Roman" w:hAnsi="Times New Roman" w:cs="Times New Roman"/>
          <w:bCs/>
          <w:sz w:val="24"/>
        </w:rPr>
        <w:t xml:space="preserve"> W.-G., </w:t>
      </w:r>
      <w:proofErr w:type="spellStart"/>
      <w:r w:rsidRPr="007D0FD9">
        <w:rPr>
          <w:rFonts w:ascii="Times New Roman" w:hAnsi="Times New Roman" w:cs="Times New Roman"/>
          <w:bCs/>
          <w:sz w:val="24"/>
        </w:rPr>
        <w:t>Changing</w:t>
      </w:r>
      <w:proofErr w:type="spellEnd"/>
      <w:r w:rsidRPr="007D0FD9">
        <w:rPr>
          <w:rFonts w:ascii="Times New Roman" w:hAnsi="Times New Roman" w:cs="Times New Roman"/>
          <w:bCs/>
          <w:sz w:val="24"/>
        </w:rPr>
        <w:t xml:space="preserve"> Law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Ownership</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Patterns</w:t>
      </w:r>
      <w:proofErr w:type="spellEnd"/>
      <w:r w:rsidRPr="007D0FD9">
        <w:rPr>
          <w:rFonts w:ascii="Times New Roman" w:hAnsi="Times New Roman" w:cs="Times New Roman"/>
          <w:bCs/>
          <w:sz w:val="24"/>
        </w:rPr>
        <w:t xml:space="preserve"> in </w:t>
      </w:r>
      <w:proofErr w:type="spellStart"/>
      <w:r w:rsidRPr="007D0FD9">
        <w:rPr>
          <w:rFonts w:ascii="Times New Roman" w:hAnsi="Times New Roman" w:cs="Times New Roman"/>
          <w:bCs/>
          <w:sz w:val="24"/>
        </w:rPr>
        <w:t>Germany</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Erosion</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Deutschland</w:t>
      </w:r>
      <w:proofErr w:type="spellEnd"/>
      <w:r w:rsidRPr="007D0FD9">
        <w:rPr>
          <w:rFonts w:ascii="Times New Roman" w:hAnsi="Times New Roman" w:cs="Times New Roman"/>
          <w:bCs/>
          <w:sz w:val="24"/>
        </w:rPr>
        <w:t xml:space="preserve"> AG, American Journal of Comparative Law 63 (2015) 493-538. </w:t>
      </w:r>
    </w:p>
    <w:p w14:paraId="41CF91CD" w14:textId="54D0D1A9" w:rsidR="00551303" w:rsidRPr="007D0FD9" w:rsidRDefault="00551303" w:rsidP="00551303">
      <w:pPr>
        <w:pStyle w:val="ListParagraph"/>
        <w:numPr>
          <w:ilvl w:val="0"/>
          <w:numId w:val="19"/>
        </w:numPr>
        <w:spacing w:after="0" w:line="360" w:lineRule="auto"/>
        <w:jc w:val="both"/>
        <w:rPr>
          <w:rFonts w:ascii="Times New Roman" w:hAnsi="Times New Roman" w:cs="Times New Roman"/>
          <w:bCs/>
          <w:sz w:val="24"/>
        </w:rPr>
      </w:pPr>
      <w:r w:rsidRPr="007D0FD9">
        <w:rPr>
          <w:rFonts w:ascii="Times New Roman" w:hAnsi="Times New Roman" w:cs="Times New Roman"/>
          <w:bCs/>
          <w:sz w:val="24"/>
        </w:rPr>
        <w:t xml:space="preserve">Roth M.,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boards</w:t>
      </w:r>
      <w:proofErr w:type="spellEnd"/>
      <w:r w:rsidRPr="007D0FD9">
        <w:rPr>
          <w:rFonts w:ascii="Times New Roman" w:hAnsi="Times New Roman" w:cs="Times New Roman"/>
          <w:bCs/>
          <w:sz w:val="24"/>
        </w:rPr>
        <w:t xml:space="preserve"> in </w:t>
      </w:r>
      <w:proofErr w:type="spellStart"/>
      <w:r w:rsidRPr="007D0FD9">
        <w:rPr>
          <w:rFonts w:ascii="Times New Roman" w:hAnsi="Times New Roman" w:cs="Times New Roman"/>
          <w:bCs/>
          <w:sz w:val="24"/>
        </w:rPr>
        <w:t>Germany</w:t>
      </w:r>
      <w:proofErr w:type="spellEnd"/>
      <w:r w:rsidRPr="007D0FD9">
        <w:rPr>
          <w:rFonts w:ascii="Times New Roman" w:hAnsi="Times New Roman" w:cs="Times New Roman"/>
          <w:bCs/>
          <w:sz w:val="24"/>
        </w:rPr>
        <w:t xml:space="preserve">. In: P. Davies, K.J. </w:t>
      </w:r>
      <w:proofErr w:type="spellStart"/>
      <w:r w:rsidRPr="007D0FD9">
        <w:rPr>
          <w:rFonts w:ascii="Times New Roman" w:hAnsi="Times New Roman" w:cs="Times New Roman"/>
          <w:bCs/>
          <w:sz w:val="24"/>
        </w:rPr>
        <w:t>Hopt</w:t>
      </w:r>
      <w:proofErr w:type="spellEnd"/>
      <w:r w:rsidRPr="007D0FD9">
        <w:rPr>
          <w:rFonts w:ascii="Times New Roman" w:hAnsi="Times New Roman" w:cs="Times New Roman"/>
          <w:bCs/>
          <w:sz w:val="24"/>
        </w:rPr>
        <w:t xml:space="preserve">, R.G </w:t>
      </w:r>
      <w:proofErr w:type="spellStart"/>
      <w:r w:rsidRPr="007D0FD9">
        <w:rPr>
          <w:rFonts w:ascii="Times New Roman" w:hAnsi="Times New Roman" w:cs="Times New Roman"/>
          <w:bCs/>
          <w:sz w:val="24"/>
        </w:rPr>
        <w:t>Nowak</w:t>
      </w:r>
      <w:proofErr w:type="spellEnd"/>
      <w:r w:rsidRPr="007D0FD9">
        <w:rPr>
          <w:rFonts w:ascii="Times New Roman" w:hAnsi="Times New Roman" w:cs="Times New Roman"/>
          <w:bCs/>
          <w:sz w:val="24"/>
        </w:rPr>
        <w:t xml:space="preserve">, G. van </w:t>
      </w:r>
      <w:proofErr w:type="spellStart"/>
      <w:r w:rsidRPr="007D0FD9">
        <w:rPr>
          <w:rFonts w:ascii="Times New Roman" w:hAnsi="Times New Roman" w:cs="Times New Roman"/>
          <w:bCs/>
          <w:sz w:val="24"/>
        </w:rPr>
        <w:t>Solinge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eds</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boards</w:t>
      </w:r>
      <w:proofErr w:type="spellEnd"/>
      <w:r w:rsidRPr="007D0FD9">
        <w:rPr>
          <w:rFonts w:ascii="Times New Roman" w:hAnsi="Times New Roman" w:cs="Times New Roman"/>
          <w:bCs/>
          <w:sz w:val="24"/>
        </w:rPr>
        <w:t xml:space="preserve"> in </w:t>
      </w:r>
      <w:proofErr w:type="spellStart"/>
      <w:r w:rsidRPr="007D0FD9">
        <w:rPr>
          <w:rFonts w:ascii="Times New Roman" w:hAnsi="Times New Roman" w:cs="Times New Roman"/>
          <w:bCs/>
          <w:sz w:val="24"/>
        </w:rPr>
        <w:t>law</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practice. A comparative </w:t>
      </w:r>
      <w:proofErr w:type="spellStart"/>
      <w:r w:rsidRPr="007D0FD9">
        <w:rPr>
          <w:rFonts w:ascii="Times New Roman" w:hAnsi="Times New Roman" w:cs="Times New Roman"/>
          <w:bCs/>
          <w:sz w:val="24"/>
        </w:rPr>
        <w:t>analysis</w:t>
      </w:r>
      <w:proofErr w:type="spellEnd"/>
      <w:r w:rsidRPr="007D0FD9">
        <w:rPr>
          <w:rFonts w:ascii="Times New Roman" w:hAnsi="Times New Roman" w:cs="Times New Roman"/>
          <w:bCs/>
          <w:sz w:val="24"/>
        </w:rPr>
        <w:t xml:space="preserve"> in Europe, Oxford 2013, p. 253-365.</w:t>
      </w:r>
    </w:p>
    <w:p w14:paraId="6CA99383" w14:textId="20E9DF6B" w:rsidR="00CE0BA8" w:rsidRPr="007D0FD9" w:rsidRDefault="005B5CBB" w:rsidP="005B5CBB">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t>Organisation</w:t>
      </w:r>
      <w:proofErr w:type="spellEnd"/>
      <w:r w:rsidRPr="007D0FD9">
        <w:rPr>
          <w:rFonts w:ascii="Times New Roman" w:hAnsi="Times New Roman" w:cs="Times New Roman"/>
          <w:bCs/>
          <w:sz w:val="24"/>
        </w:rPr>
        <w:t xml:space="preserve"> for Economic C</w:t>
      </w:r>
      <w:r w:rsidR="00675438" w:rsidRPr="007D0FD9">
        <w:rPr>
          <w:rFonts w:ascii="Times New Roman" w:hAnsi="Times New Roman" w:cs="Times New Roman"/>
          <w:bCs/>
          <w:sz w:val="24"/>
        </w:rPr>
        <w:t xml:space="preserve">ooperation </w:t>
      </w:r>
      <w:proofErr w:type="spellStart"/>
      <w:r w:rsidR="00675438" w:rsidRPr="007D0FD9">
        <w:rPr>
          <w:rFonts w:ascii="Times New Roman" w:hAnsi="Times New Roman" w:cs="Times New Roman"/>
          <w:bCs/>
          <w:sz w:val="24"/>
        </w:rPr>
        <w:t>and</w:t>
      </w:r>
      <w:proofErr w:type="spellEnd"/>
      <w:r w:rsidR="00675438" w:rsidRPr="007D0FD9">
        <w:rPr>
          <w:rFonts w:ascii="Times New Roman" w:hAnsi="Times New Roman" w:cs="Times New Roman"/>
          <w:bCs/>
          <w:sz w:val="24"/>
        </w:rPr>
        <w:t xml:space="preserve"> </w:t>
      </w:r>
      <w:proofErr w:type="spellStart"/>
      <w:r w:rsidR="00675438" w:rsidRPr="007D0FD9">
        <w:rPr>
          <w:rFonts w:ascii="Times New Roman" w:hAnsi="Times New Roman" w:cs="Times New Roman"/>
          <w:bCs/>
          <w:sz w:val="24"/>
        </w:rPr>
        <w:t>Development</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Principles</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Corp</w:t>
      </w:r>
      <w:r w:rsidR="00675438" w:rsidRPr="007D0FD9">
        <w:rPr>
          <w:rFonts w:ascii="Times New Roman" w:hAnsi="Times New Roman" w:cs="Times New Roman"/>
          <w:bCs/>
          <w:sz w:val="24"/>
        </w:rPr>
        <w:t>orate</w:t>
      </w:r>
      <w:proofErr w:type="spellEnd"/>
      <w:r w:rsidR="00675438" w:rsidRPr="007D0FD9">
        <w:rPr>
          <w:rFonts w:ascii="Times New Roman" w:hAnsi="Times New Roman" w:cs="Times New Roman"/>
          <w:bCs/>
          <w:sz w:val="24"/>
        </w:rPr>
        <w:t xml:space="preserve"> </w:t>
      </w:r>
      <w:proofErr w:type="spellStart"/>
      <w:r w:rsidR="00675438" w:rsidRPr="007D0FD9">
        <w:rPr>
          <w:rFonts w:ascii="Times New Roman" w:hAnsi="Times New Roman" w:cs="Times New Roman"/>
          <w:bCs/>
          <w:sz w:val="24"/>
        </w:rPr>
        <w:t>Governance</w:t>
      </w:r>
      <w:proofErr w:type="spellEnd"/>
      <w:r w:rsidR="00675438" w:rsidRPr="007D0FD9">
        <w:rPr>
          <w:rFonts w:ascii="Times New Roman" w:hAnsi="Times New Roman" w:cs="Times New Roman"/>
          <w:bCs/>
          <w:sz w:val="24"/>
        </w:rPr>
        <w:t>. Paris: OECD, 2004 &lt; http://www.oecd.org/corporate&gt;</w:t>
      </w:r>
    </w:p>
    <w:p w14:paraId="52DACD50" w14:textId="75C6FBA0" w:rsidR="007B4B5C" w:rsidRPr="007D0FD9" w:rsidRDefault="00CE0BA8" w:rsidP="002D698D">
      <w:pPr>
        <w:pStyle w:val="ListParagraph"/>
        <w:numPr>
          <w:ilvl w:val="0"/>
          <w:numId w:val="19"/>
        </w:numPr>
        <w:spacing w:after="0" w:line="360" w:lineRule="auto"/>
        <w:jc w:val="both"/>
        <w:rPr>
          <w:rFonts w:ascii="Times New Roman" w:hAnsi="Times New Roman" w:cs="Times New Roman"/>
          <w:bCs/>
          <w:sz w:val="24"/>
        </w:rPr>
      </w:pPr>
      <w:r w:rsidRPr="007D0FD9">
        <w:rPr>
          <w:rFonts w:ascii="Times New Roman" w:hAnsi="Times New Roman" w:cs="Times New Roman"/>
          <w:bCs/>
          <w:sz w:val="24"/>
        </w:rPr>
        <w:t xml:space="preserve">The </w:t>
      </w:r>
      <w:proofErr w:type="spellStart"/>
      <w:r w:rsidRPr="007D0FD9">
        <w:rPr>
          <w:rFonts w:ascii="Times New Roman" w:hAnsi="Times New Roman" w:cs="Times New Roman"/>
          <w:bCs/>
          <w:sz w:val="24"/>
        </w:rPr>
        <w:t>Deutscher</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Kodex</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German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code (</w:t>
      </w:r>
      <w:proofErr w:type="spellStart"/>
      <w:r w:rsidRPr="007D0FD9">
        <w:rPr>
          <w:rFonts w:ascii="Times New Roman" w:hAnsi="Times New Roman" w:cs="Times New Roman"/>
          <w:bCs/>
          <w:sz w:val="24"/>
        </w:rPr>
        <w:t>the</w:t>
      </w:r>
      <w:proofErr w:type="spellEnd"/>
      <w:r w:rsidRPr="007D0FD9">
        <w:rPr>
          <w:rFonts w:ascii="Times New Roman" w:hAnsi="Times New Roman" w:cs="Times New Roman"/>
          <w:bCs/>
          <w:sz w:val="24"/>
        </w:rPr>
        <w:t xml:space="preserve"> Code). </w:t>
      </w:r>
      <w:r w:rsidR="007B4B5C" w:rsidRPr="007D0FD9">
        <w:rPr>
          <w:rFonts w:ascii="Times New Roman" w:hAnsi="Times New Roman" w:cs="Times New Roman"/>
          <w:bCs/>
          <w:sz w:val="24"/>
        </w:rPr>
        <w:t>&lt;https://www.dcgk.de/en/code.html&gt;</w:t>
      </w:r>
    </w:p>
    <w:p w14:paraId="01EBAAFA" w14:textId="06208410" w:rsidR="005B5CBB" w:rsidRPr="007D0FD9" w:rsidRDefault="007B4B5C" w:rsidP="002D698D">
      <w:pPr>
        <w:pStyle w:val="ListParagraph"/>
        <w:numPr>
          <w:ilvl w:val="0"/>
          <w:numId w:val="19"/>
        </w:numPr>
        <w:spacing w:after="0" w:line="360" w:lineRule="auto"/>
        <w:jc w:val="both"/>
        <w:rPr>
          <w:rFonts w:ascii="Times New Roman" w:hAnsi="Times New Roman" w:cs="Times New Roman"/>
          <w:bCs/>
          <w:sz w:val="24"/>
        </w:rPr>
      </w:pPr>
      <w:proofErr w:type="spellStart"/>
      <w:r w:rsidRPr="007D0FD9">
        <w:rPr>
          <w:rFonts w:ascii="Times New Roman" w:hAnsi="Times New Roman" w:cs="Times New Roman"/>
          <w:bCs/>
          <w:sz w:val="24"/>
        </w:rPr>
        <w:t>Wenger</w:t>
      </w:r>
      <w:proofErr w:type="spellEnd"/>
      <w:r w:rsidRPr="007D0FD9">
        <w:rPr>
          <w:rFonts w:ascii="Times New Roman" w:hAnsi="Times New Roman" w:cs="Times New Roman"/>
          <w:bCs/>
          <w:sz w:val="24"/>
        </w:rPr>
        <w:t xml:space="preserve"> E./</w:t>
      </w:r>
      <w:proofErr w:type="spellStart"/>
      <w:r w:rsidRPr="007D0FD9">
        <w:rPr>
          <w:rFonts w:ascii="Times New Roman" w:hAnsi="Times New Roman" w:cs="Times New Roman"/>
          <w:bCs/>
          <w:sz w:val="24"/>
        </w:rPr>
        <w:t>Kaserer</w:t>
      </w:r>
      <w:proofErr w:type="spellEnd"/>
      <w:r w:rsidRPr="007D0FD9">
        <w:rPr>
          <w:rFonts w:ascii="Times New Roman" w:hAnsi="Times New Roman" w:cs="Times New Roman"/>
          <w:bCs/>
          <w:sz w:val="24"/>
        </w:rPr>
        <w:t xml:space="preserve"> C., The German </w:t>
      </w:r>
      <w:proofErr w:type="spellStart"/>
      <w:r w:rsidRPr="007D0FD9">
        <w:rPr>
          <w:rFonts w:ascii="Times New Roman" w:hAnsi="Times New Roman" w:cs="Times New Roman"/>
          <w:bCs/>
          <w:sz w:val="24"/>
        </w:rPr>
        <w:t>system</w:t>
      </w:r>
      <w:proofErr w:type="spellEnd"/>
      <w:r w:rsidRPr="007D0FD9">
        <w:rPr>
          <w:rFonts w:ascii="Times New Roman" w:hAnsi="Times New Roman" w:cs="Times New Roman"/>
          <w:bCs/>
          <w:sz w:val="24"/>
        </w:rPr>
        <w:t xml:space="preserve"> of </w:t>
      </w:r>
      <w:proofErr w:type="spellStart"/>
      <w:r w:rsidRPr="007D0FD9">
        <w:rPr>
          <w:rFonts w:ascii="Times New Roman" w:hAnsi="Times New Roman" w:cs="Times New Roman"/>
          <w:bCs/>
          <w:sz w:val="24"/>
        </w:rPr>
        <w:t>corporate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governance</w:t>
      </w:r>
      <w:proofErr w:type="spellEnd"/>
      <w:r w:rsidRPr="007D0FD9">
        <w:rPr>
          <w:rFonts w:ascii="Times New Roman" w:hAnsi="Times New Roman" w:cs="Times New Roman"/>
          <w:bCs/>
          <w:sz w:val="24"/>
        </w:rPr>
        <w:t xml:space="preserve"> -- A model </w:t>
      </w:r>
      <w:proofErr w:type="spellStart"/>
      <w:r w:rsidRPr="007D0FD9">
        <w:rPr>
          <w:rFonts w:ascii="Times New Roman" w:hAnsi="Times New Roman" w:cs="Times New Roman"/>
          <w:bCs/>
          <w:sz w:val="24"/>
        </w:rPr>
        <w:t>which</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should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not</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be</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imitated</w:t>
      </w:r>
      <w:proofErr w:type="spellEnd"/>
      <w:r w:rsidRPr="007D0FD9">
        <w:rPr>
          <w:rFonts w:ascii="Times New Roman" w:hAnsi="Times New Roman" w:cs="Times New Roman"/>
          <w:bCs/>
          <w:sz w:val="24"/>
        </w:rPr>
        <w:t xml:space="preserve">. In: S.W. Black, M. </w:t>
      </w:r>
      <w:proofErr w:type="spellStart"/>
      <w:r w:rsidRPr="007D0FD9">
        <w:rPr>
          <w:rFonts w:ascii="Times New Roman" w:hAnsi="Times New Roman" w:cs="Times New Roman"/>
          <w:bCs/>
          <w:sz w:val="24"/>
        </w:rPr>
        <w:t>Moersch</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eds</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Competition</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w:t>
      </w:r>
      <w:proofErr w:type="spellStart"/>
      <w:r w:rsidRPr="007D0FD9">
        <w:rPr>
          <w:rFonts w:ascii="Times New Roman" w:hAnsi="Times New Roman" w:cs="Times New Roman"/>
          <w:bCs/>
          <w:sz w:val="24"/>
        </w:rPr>
        <w:t>Convergence</w:t>
      </w:r>
      <w:proofErr w:type="spellEnd"/>
      <w:r w:rsidRPr="007D0FD9">
        <w:rPr>
          <w:rFonts w:ascii="Times New Roman" w:hAnsi="Times New Roman" w:cs="Times New Roman"/>
          <w:bCs/>
          <w:sz w:val="24"/>
        </w:rPr>
        <w:t xml:space="preserve"> in Financial </w:t>
      </w:r>
      <w:proofErr w:type="spellStart"/>
      <w:r w:rsidRPr="007D0FD9">
        <w:rPr>
          <w:rFonts w:ascii="Times New Roman" w:hAnsi="Times New Roman" w:cs="Times New Roman"/>
          <w:bCs/>
          <w:sz w:val="24"/>
        </w:rPr>
        <w:t>Markets</w:t>
      </w:r>
      <w:proofErr w:type="spellEnd"/>
      <w:r w:rsidRPr="007D0FD9">
        <w:rPr>
          <w:rFonts w:ascii="Times New Roman" w:hAnsi="Times New Roman" w:cs="Times New Roman"/>
          <w:bCs/>
          <w:sz w:val="24"/>
        </w:rPr>
        <w:t xml:space="preserve"> -- The German </w:t>
      </w:r>
      <w:proofErr w:type="spellStart"/>
      <w:r w:rsidRPr="007D0FD9">
        <w:rPr>
          <w:rFonts w:ascii="Times New Roman" w:hAnsi="Times New Roman" w:cs="Times New Roman"/>
          <w:bCs/>
          <w:sz w:val="24"/>
        </w:rPr>
        <w:t>and</w:t>
      </w:r>
      <w:proofErr w:type="spellEnd"/>
      <w:r w:rsidRPr="007D0FD9">
        <w:rPr>
          <w:rFonts w:ascii="Times New Roman" w:hAnsi="Times New Roman" w:cs="Times New Roman"/>
          <w:bCs/>
          <w:sz w:val="24"/>
        </w:rPr>
        <w:t xml:space="preserve"> Anglo-American </w:t>
      </w:r>
      <w:proofErr w:type="spellStart"/>
      <w:r w:rsidRPr="007D0FD9">
        <w:rPr>
          <w:rFonts w:ascii="Times New Roman" w:hAnsi="Times New Roman" w:cs="Times New Roman"/>
          <w:bCs/>
          <w:sz w:val="24"/>
        </w:rPr>
        <w:t>Models</w:t>
      </w:r>
      <w:proofErr w:type="spellEnd"/>
      <w:r w:rsidRPr="007D0FD9">
        <w:rPr>
          <w:rFonts w:ascii="Times New Roman" w:hAnsi="Times New Roman" w:cs="Times New Roman"/>
          <w:bCs/>
          <w:sz w:val="24"/>
        </w:rPr>
        <w:t>, Amsterdam 1998, p. 41-78.</w:t>
      </w:r>
    </w:p>
    <w:sectPr w:rsidR="005B5CBB" w:rsidRPr="007D0FD9" w:rsidSect="009C67AC">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BB9D2" w14:textId="77777777" w:rsidR="00CD7109" w:rsidRDefault="00CD7109" w:rsidP="00CC60E0">
      <w:pPr>
        <w:spacing w:after="0" w:line="240" w:lineRule="auto"/>
      </w:pPr>
      <w:r>
        <w:separator/>
      </w:r>
    </w:p>
  </w:endnote>
  <w:endnote w:type="continuationSeparator" w:id="0">
    <w:p w14:paraId="42A10052" w14:textId="77777777" w:rsidR="00CD7109" w:rsidRDefault="00CD7109" w:rsidP="00CC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585489"/>
      <w:docPartObj>
        <w:docPartGallery w:val="Page Numbers (Bottom of Page)"/>
        <w:docPartUnique/>
      </w:docPartObj>
    </w:sdtPr>
    <w:sdtEndPr/>
    <w:sdtContent>
      <w:p w14:paraId="14174809" w14:textId="694D5EF0" w:rsidR="00CC60E0" w:rsidRDefault="00CC60E0">
        <w:pPr>
          <w:pStyle w:val="Footer"/>
          <w:jc w:val="center"/>
        </w:pPr>
        <w:r>
          <w:fldChar w:fldCharType="begin"/>
        </w:r>
        <w:r>
          <w:instrText>PAGE   \* MERGEFORMAT</w:instrText>
        </w:r>
        <w:r>
          <w:fldChar w:fldCharType="separate"/>
        </w:r>
        <w:r w:rsidR="00E34F3E">
          <w:rPr>
            <w:noProof/>
          </w:rPr>
          <w:t>1</w:t>
        </w:r>
        <w:r>
          <w:fldChar w:fldCharType="end"/>
        </w:r>
      </w:p>
    </w:sdtContent>
  </w:sdt>
  <w:p w14:paraId="5C333784" w14:textId="77777777" w:rsidR="00CC60E0" w:rsidRDefault="00CC6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885E0" w14:textId="77777777" w:rsidR="00CD7109" w:rsidRDefault="00CD7109" w:rsidP="00CC60E0">
      <w:pPr>
        <w:spacing w:after="0" w:line="240" w:lineRule="auto"/>
      </w:pPr>
      <w:r>
        <w:separator/>
      </w:r>
    </w:p>
  </w:footnote>
  <w:footnote w:type="continuationSeparator" w:id="0">
    <w:p w14:paraId="26D9CB9E" w14:textId="77777777" w:rsidR="00CD7109" w:rsidRDefault="00CD7109" w:rsidP="00CC6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9FC"/>
    <w:multiLevelType w:val="hybridMultilevel"/>
    <w:tmpl w:val="DF66DF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621E2B"/>
    <w:multiLevelType w:val="hybridMultilevel"/>
    <w:tmpl w:val="2E5CDD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CC049F0"/>
    <w:multiLevelType w:val="hybridMultilevel"/>
    <w:tmpl w:val="5CC4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727F7"/>
    <w:multiLevelType w:val="hybridMultilevel"/>
    <w:tmpl w:val="8362A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839BC"/>
    <w:multiLevelType w:val="hybridMultilevel"/>
    <w:tmpl w:val="2B56EC42"/>
    <w:lvl w:ilvl="0" w:tplc="134A8634">
      <w:numFmt w:val="bullet"/>
      <w:lvlText w:val="-"/>
      <w:lvlJc w:val="left"/>
      <w:pPr>
        <w:ind w:left="1271" w:hanging="360"/>
      </w:pPr>
      <w:rPr>
        <w:rFonts w:ascii="Times New Roman" w:eastAsia="Times New Roman" w:hAnsi="Times New Roman" w:cs="Times New Roman"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5" w15:restartNumberingAfterBreak="0">
    <w:nsid w:val="19D36E98"/>
    <w:multiLevelType w:val="hybridMultilevel"/>
    <w:tmpl w:val="F06E4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B4FA4"/>
    <w:multiLevelType w:val="hybridMultilevel"/>
    <w:tmpl w:val="E836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F5EDE"/>
    <w:multiLevelType w:val="multilevel"/>
    <w:tmpl w:val="6DE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C03A3"/>
    <w:multiLevelType w:val="multilevel"/>
    <w:tmpl w:val="48A099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964F91"/>
    <w:multiLevelType w:val="multilevel"/>
    <w:tmpl w:val="88F4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F96534"/>
    <w:multiLevelType w:val="multilevel"/>
    <w:tmpl w:val="A84AA5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D91929"/>
    <w:multiLevelType w:val="hybridMultilevel"/>
    <w:tmpl w:val="EC1A3824"/>
    <w:lvl w:ilvl="0" w:tplc="436AC2D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769465A"/>
    <w:multiLevelType w:val="hybridMultilevel"/>
    <w:tmpl w:val="5C04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BB7AE0"/>
    <w:multiLevelType w:val="multilevel"/>
    <w:tmpl w:val="6B4A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F837B0"/>
    <w:multiLevelType w:val="hybridMultilevel"/>
    <w:tmpl w:val="31DC1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BB2E17"/>
    <w:multiLevelType w:val="hybridMultilevel"/>
    <w:tmpl w:val="A61608C4"/>
    <w:lvl w:ilvl="0" w:tplc="12AA7E2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625366A4"/>
    <w:multiLevelType w:val="hybridMultilevel"/>
    <w:tmpl w:val="C33EA16E"/>
    <w:lvl w:ilvl="0" w:tplc="A900E91E">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3947BA2"/>
    <w:multiLevelType w:val="hybridMultilevel"/>
    <w:tmpl w:val="8DA6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12A1B"/>
    <w:multiLevelType w:val="hybridMultilevel"/>
    <w:tmpl w:val="373C6786"/>
    <w:lvl w:ilvl="0" w:tplc="134A8634">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15:restartNumberingAfterBreak="0">
    <w:nsid w:val="7980667A"/>
    <w:multiLevelType w:val="hybridMultilevel"/>
    <w:tmpl w:val="B9A48208"/>
    <w:lvl w:ilvl="0" w:tplc="08561C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3"/>
  </w:num>
  <w:num w:numId="2">
    <w:abstractNumId w:val="9"/>
  </w:num>
  <w:num w:numId="3">
    <w:abstractNumId w:val="7"/>
  </w:num>
  <w:num w:numId="4">
    <w:abstractNumId w:val="8"/>
  </w:num>
  <w:num w:numId="5">
    <w:abstractNumId w:val="15"/>
  </w:num>
  <w:num w:numId="6">
    <w:abstractNumId w:val="10"/>
  </w:num>
  <w:num w:numId="7">
    <w:abstractNumId w:val="5"/>
  </w:num>
  <w:num w:numId="8">
    <w:abstractNumId w:val="19"/>
  </w:num>
  <w:num w:numId="9">
    <w:abstractNumId w:val="1"/>
  </w:num>
  <w:num w:numId="10">
    <w:abstractNumId w:val="0"/>
  </w:num>
  <w:num w:numId="11">
    <w:abstractNumId w:val="16"/>
  </w:num>
  <w:num w:numId="12">
    <w:abstractNumId w:val="11"/>
  </w:num>
  <w:num w:numId="13">
    <w:abstractNumId w:val="18"/>
  </w:num>
  <w:num w:numId="14">
    <w:abstractNumId w:val="4"/>
  </w:num>
  <w:num w:numId="15">
    <w:abstractNumId w:val="2"/>
  </w:num>
  <w:num w:numId="16">
    <w:abstractNumId w:val="14"/>
  </w:num>
  <w:num w:numId="17">
    <w:abstractNumId w:val="12"/>
  </w:num>
  <w:num w:numId="18">
    <w:abstractNumId w:val="6"/>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5A6"/>
    <w:rsid w:val="00001FB7"/>
    <w:rsid w:val="0000612B"/>
    <w:rsid w:val="0001041F"/>
    <w:rsid w:val="000110BD"/>
    <w:rsid w:val="00033DDF"/>
    <w:rsid w:val="0004017C"/>
    <w:rsid w:val="000643B5"/>
    <w:rsid w:val="000725DE"/>
    <w:rsid w:val="00084548"/>
    <w:rsid w:val="00086946"/>
    <w:rsid w:val="00092331"/>
    <w:rsid w:val="000E17AB"/>
    <w:rsid w:val="000F3797"/>
    <w:rsid w:val="000F5707"/>
    <w:rsid w:val="000F767F"/>
    <w:rsid w:val="00107B3F"/>
    <w:rsid w:val="00112F00"/>
    <w:rsid w:val="001170F2"/>
    <w:rsid w:val="00143481"/>
    <w:rsid w:val="001544D1"/>
    <w:rsid w:val="001872C4"/>
    <w:rsid w:val="001A0AFF"/>
    <w:rsid w:val="001B70EC"/>
    <w:rsid w:val="001C10A3"/>
    <w:rsid w:val="001D2055"/>
    <w:rsid w:val="001D54A9"/>
    <w:rsid w:val="001E5BC0"/>
    <w:rsid w:val="001F6E7E"/>
    <w:rsid w:val="00213ADC"/>
    <w:rsid w:val="002142AF"/>
    <w:rsid w:val="00227875"/>
    <w:rsid w:val="00234EBF"/>
    <w:rsid w:val="00243BAD"/>
    <w:rsid w:val="00253FD2"/>
    <w:rsid w:val="00260CF7"/>
    <w:rsid w:val="00266C37"/>
    <w:rsid w:val="002B3902"/>
    <w:rsid w:val="002D2756"/>
    <w:rsid w:val="002D4457"/>
    <w:rsid w:val="002D5D4B"/>
    <w:rsid w:val="002E5ED3"/>
    <w:rsid w:val="002F7795"/>
    <w:rsid w:val="00306C0A"/>
    <w:rsid w:val="00320625"/>
    <w:rsid w:val="00325E3D"/>
    <w:rsid w:val="00327E28"/>
    <w:rsid w:val="00336388"/>
    <w:rsid w:val="003456BB"/>
    <w:rsid w:val="00347C8A"/>
    <w:rsid w:val="003540CE"/>
    <w:rsid w:val="003617DA"/>
    <w:rsid w:val="00367756"/>
    <w:rsid w:val="00384C79"/>
    <w:rsid w:val="00385667"/>
    <w:rsid w:val="00386C0D"/>
    <w:rsid w:val="0039164C"/>
    <w:rsid w:val="003A4E8F"/>
    <w:rsid w:val="003B49C6"/>
    <w:rsid w:val="003C0726"/>
    <w:rsid w:val="003C12C9"/>
    <w:rsid w:val="003C4A9C"/>
    <w:rsid w:val="003D2BD6"/>
    <w:rsid w:val="003F0187"/>
    <w:rsid w:val="003F15F2"/>
    <w:rsid w:val="00415C82"/>
    <w:rsid w:val="00421D3E"/>
    <w:rsid w:val="00423D7C"/>
    <w:rsid w:val="00437D7A"/>
    <w:rsid w:val="004762A3"/>
    <w:rsid w:val="0049151B"/>
    <w:rsid w:val="004B3476"/>
    <w:rsid w:val="004B75A6"/>
    <w:rsid w:val="004C42C3"/>
    <w:rsid w:val="004E3EC1"/>
    <w:rsid w:val="004F7A96"/>
    <w:rsid w:val="005021A7"/>
    <w:rsid w:val="0050425F"/>
    <w:rsid w:val="005224BB"/>
    <w:rsid w:val="0053588B"/>
    <w:rsid w:val="00551303"/>
    <w:rsid w:val="00572525"/>
    <w:rsid w:val="00577679"/>
    <w:rsid w:val="005A2928"/>
    <w:rsid w:val="005B5699"/>
    <w:rsid w:val="005B5CBB"/>
    <w:rsid w:val="005D3DE8"/>
    <w:rsid w:val="005D4FF0"/>
    <w:rsid w:val="005E3E87"/>
    <w:rsid w:val="00611351"/>
    <w:rsid w:val="00617850"/>
    <w:rsid w:val="00620163"/>
    <w:rsid w:val="006203A0"/>
    <w:rsid w:val="006409EF"/>
    <w:rsid w:val="00645D66"/>
    <w:rsid w:val="00672898"/>
    <w:rsid w:val="00675438"/>
    <w:rsid w:val="00677A55"/>
    <w:rsid w:val="0068103D"/>
    <w:rsid w:val="0068598A"/>
    <w:rsid w:val="006A55AA"/>
    <w:rsid w:val="006B63C3"/>
    <w:rsid w:val="006F2C90"/>
    <w:rsid w:val="007167A4"/>
    <w:rsid w:val="00740BA3"/>
    <w:rsid w:val="007815BE"/>
    <w:rsid w:val="007A3B39"/>
    <w:rsid w:val="007B4B5C"/>
    <w:rsid w:val="007C6EE3"/>
    <w:rsid w:val="007D044D"/>
    <w:rsid w:val="007D0FD9"/>
    <w:rsid w:val="00821BC2"/>
    <w:rsid w:val="008366FE"/>
    <w:rsid w:val="00857E4D"/>
    <w:rsid w:val="0086663E"/>
    <w:rsid w:val="00874C85"/>
    <w:rsid w:val="00893707"/>
    <w:rsid w:val="008C6889"/>
    <w:rsid w:val="008E2378"/>
    <w:rsid w:val="008E4B2F"/>
    <w:rsid w:val="008E565D"/>
    <w:rsid w:val="008F4221"/>
    <w:rsid w:val="00902964"/>
    <w:rsid w:val="009257EE"/>
    <w:rsid w:val="00933BC4"/>
    <w:rsid w:val="00955E9E"/>
    <w:rsid w:val="00965A49"/>
    <w:rsid w:val="00980A6C"/>
    <w:rsid w:val="00983DC6"/>
    <w:rsid w:val="00992052"/>
    <w:rsid w:val="009A2CBB"/>
    <w:rsid w:val="009B45C0"/>
    <w:rsid w:val="009C67AC"/>
    <w:rsid w:val="009D4F12"/>
    <w:rsid w:val="00A20504"/>
    <w:rsid w:val="00A207CC"/>
    <w:rsid w:val="00A54638"/>
    <w:rsid w:val="00A76E75"/>
    <w:rsid w:val="00AA51F5"/>
    <w:rsid w:val="00AB4A81"/>
    <w:rsid w:val="00AE0EDF"/>
    <w:rsid w:val="00AF370E"/>
    <w:rsid w:val="00AF7C04"/>
    <w:rsid w:val="00B050E8"/>
    <w:rsid w:val="00B33CCF"/>
    <w:rsid w:val="00B5035D"/>
    <w:rsid w:val="00B56685"/>
    <w:rsid w:val="00B6726E"/>
    <w:rsid w:val="00B80B92"/>
    <w:rsid w:val="00B83773"/>
    <w:rsid w:val="00B91ACD"/>
    <w:rsid w:val="00BA0CE5"/>
    <w:rsid w:val="00BA3601"/>
    <w:rsid w:val="00BA50A5"/>
    <w:rsid w:val="00BB7FDE"/>
    <w:rsid w:val="00BE3B34"/>
    <w:rsid w:val="00BE6A3A"/>
    <w:rsid w:val="00BF47BC"/>
    <w:rsid w:val="00C0592E"/>
    <w:rsid w:val="00C062C9"/>
    <w:rsid w:val="00C349B4"/>
    <w:rsid w:val="00C56285"/>
    <w:rsid w:val="00C615F6"/>
    <w:rsid w:val="00C729CE"/>
    <w:rsid w:val="00C93459"/>
    <w:rsid w:val="00C958BF"/>
    <w:rsid w:val="00CA5873"/>
    <w:rsid w:val="00CB178C"/>
    <w:rsid w:val="00CB7338"/>
    <w:rsid w:val="00CC0784"/>
    <w:rsid w:val="00CC60E0"/>
    <w:rsid w:val="00CD0279"/>
    <w:rsid w:val="00CD5EEC"/>
    <w:rsid w:val="00CD7109"/>
    <w:rsid w:val="00CE0673"/>
    <w:rsid w:val="00CE0BA8"/>
    <w:rsid w:val="00CE3DCF"/>
    <w:rsid w:val="00CF3F18"/>
    <w:rsid w:val="00D0685A"/>
    <w:rsid w:val="00D13707"/>
    <w:rsid w:val="00D3567A"/>
    <w:rsid w:val="00D42DDB"/>
    <w:rsid w:val="00D43CF5"/>
    <w:rsid w:val="00D66793"/>
    <w:rsid w:val="00D81CC4"/>
    <w:rsid w:val="00D85377"/>
    <w:rsid w:val="00DB484D"/>
    <w:rsid w:val="00DC1563"/>
    <w:rsid w:val="00DC4940"/>
    <w:rsid w:val="00DC6195"/>
    <w:rsid w:val="00DD2985"/>
    <w:rsid w:val="00DD2DAA"/>
    <w:rsid w:val="00E023AC"/>
    <w:rsid w:val="00E14629"/>
    <w:rsid w:val="00E2105D"/>
    <w:rsid w:val="00E32AD1"/>
    <w:rsid w:val="00E3438A"/>
    <w:rsid w:val="00E34F3E"/>
    <w:rsid w:val="00E501D5"/>
    <w:rsid w:val="00E5556E"/>
    <w:rsid w:val="00E57102"/>
    <w:rsid w:val="00E64CA1"/>
    <w:rsid w:val="00E73B35"/>
    <w:rsid w:val="00E7710A"/>
    <w:rsid w:val="00E8419F"/>
    <w:rsid w:val="00E87814"/>
    <w:rsid w:val="00E90585"/>
    <w:rsid w:val="00EA0AA2"/>
    <w:rsid w:val="00EA532F"/>
    <w:rsid w:val="00EA7EDE"/>
    <w:rsid w:val="00EC7812"/>
    <w:rsid w:val="00ED34F7"/>
    <w:rsid w:val="00EE52C2"/>
    <w:rsid w:val="00EF41A5"/>
    <w:rsid w:val="00F174A5"/>
    <w:rsid w:val="00F264A2"/>
    <w:rsid w:val="00F271F9"/>
    <w:rsid w:val="00F37967"/>
    <w:rsid w:val="00F533AB"/>
    <w:rsid w:val="00F8534E"/>
    <w:rsid w:val="00FD7E79"/>
    <w:rsid w:val="00FE4C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5849"/>
  <w15:docId w15:val="{93C4098C-A30E-4F60-8E1E-AFAF15DF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60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60E0"/>
  </w:style>
  <w:style w:type="paragraph" w:styleId="Footer">
    <w:name w:val="footer"/>
    <w:basedOn w:val="Normal"/>
    <w:link w:val="FooterChar"/>
    <w:uiPriority w:val="99"/>
    <w:unhideWhenUsed/>
    <w:rsid w:val="00CC60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60E0"/>
  </w:style>
  <w:style w:type="paragraph" w:styleId="FootnoteText">
    <w:name w:val="footnote text"/>
    <w:basedOn w:val="Normal"/>
    <w:link w:val="FootnoteTextChar"/>
    <w:uiPriority w:val="99"/>
    <w:semiHidden/>
    <w:unhideWhenUsed/>
    <w:rsid w:val="005D3D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3DE8"/>
    <w:rPr>
      <w:sz w:val="20"/>
      <w:szCs w:val="20"/>
    </w:rPr>
  </w:style>
  <w:style w:type="character" w:styleId="FootnoteReference">
    <w:name w:val="footnote reference"/>
    <w:basedOn w:val="DefaultParagraphFont"/>
    <w:uiPriority w:val="99"/>
    <w:semiHidden/>
    <w:unhideWhenUsed/>
    <w:rsid w:val="005D3DE8"/>
    <w:rPr>
      <w:vertAlign w:val="superscript"/>
    </w:rPr>
  </w:style>
  <w:style w:type="paragraph" w:styleId="ListParagraph">
    <w:name w:val="List Paragraph"/>
    <w:basedOn w:val="Normal"/>
    <w:uiPriority w:val="34"/>
    <w:qFormat/>
    <w:rsid w:val="00BA0CE5"/>
    <w:pPr>
      <w:ind w:left="720"/>
      <w:contextualSpacing/>
    </w:pPr>
  </w:style>
  <w:style w:type="character" w:styleId="Hyperlink">
    <w:name w:val="Hyperlink"/>
    <w:basedOn w:val="DefaultParagraphFont"/>
    <w:uiPriority w:val="99"/>
    <w:unhideWhenUsed/>
    <w:rsid w:val="00084548"/>
    <w:rPr>
      <w:color w:val="0000FF" w:themeColor="hyperlink"/>
      <w:u w:val="single"/>
    </w:rPr>
  </w:style>
  <w:style w:type="paragraph" w:customStyle="1" w:styleId="DefaultText">
    <w:name w:val="Default Text"/>
    <w:basedOn w:val="Normal"/>
    <w:link w:val="DefaultTextChar"/>
    <w:rsid w:val="00EE52C2"/>
    <w:pPr>
      <w:widowControl w:val="0"/>
      <w:suppressAutoHyphens/>
      <w:spacing w:after="100" w:afterAutospacing="1" w:line="240" w:lineRule="auto"/>
      <w:jc w:val="both"/>
    </w:pPr>
    <w:rPr>
      <w:rFonts w:ascii="Times New Roman" w:eastAsia="Times New Roman" w:hAnsi="Times New Roman" w:cs="Times New Roman"/>
      <w:color w:val="000000"/>
      <w:sz w:val="24"/>
      <w:szCs w:val="24"/>
    </w:rPr>
  </w:style>
  <w:style w:type="character" w:customStyle="1" w:styleId="DefaultTextChar">
    <w:name w:val="Default Text Char"/>
    <w:link w:val="DefaultText"/>
    <w:locked/>
    <w:rsid w:val="00EE52C2"/>
    <w:rPr>
      <w:rFonts w:ascii="Times New Roman" w:eastAsia="Times New Roman" w:hAnsi="Times New Roman" w:cs="Times New Roman"/>
      <w:color w:val="000000"/>
      <w:sz w:val="24"/>
      <w:szCs w:val="24"/>
    </w:rPr>
  </w:style>
  <w:style w:type="paragraph" w:customStyle="1" w:styleId="Norm">
    <w:name w:val="Normâ"/>
    <w:basedOn w:val="Normal"/>
    <w:rsid w:val="00EE52C2"/>
    <w:pPr>
      <w:spacing w:after="0" w:line="240" w:lineRule="auto"/>
    </w:pPr>
    <w:rPr>
      <w:rFonts w:ascii="Times New Roman" w:eastAsia="Times New Roman" w:hAnsi="Times New Roman" w:cs="Times New Roman"/>
      <w:sz w:val="24"/>
      <w:szCs w:val="24"/>
      <w:lang w:val="pl-PL" w:eastAsia="pl-PL"/>
    </w:rPr>
  </w:style>
  <w:style w:type="paragraph" w:styleId="BalloonText">
    <w:name w:val="Balloon Text"/>
    <w:basedOn w:val="Normal"/>
    <w:link w:val="BalloonTextChar"/>
    <w:uiPriority w:val="99"/>
    <w:semiHidden/>
    <w:unhideWhenUsed/>
    <w:rsid w:val="004E3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EC1"/>
    <w:rPr>
      <w:rFonts w:ascii="Tahoma" w:hAnsi="Tahoma" w:cs="Tahoma"/>
      <w:sz w:val="16"/>
      <w:szCs w:val="16"/>
    </w:rPr>
  </w:style>
  <w:style w:type="character" w:styleId="FollowedHyperlink">
    <w:name w:val="FollowedHyperlink"/>
    <w:basedOn w:val="DefaultParagraphFont"/>
    <w:uiPriority w:val="99"/>
    <w:semiHidden/>
    <w:unhideWhenUsed/>
    <w:rsid w:val="00CE0B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82805">
      <w:bodyDiv w:val="1"/>
      <w:marLeft w:val="0"/>
      <w:marRight w:val="0"/>
      <w:marTop w:val="0"/>
      <w:marBottom w:val="0"/>
      <w:divBdr>
        <w:top w:val="none" w:sz="0" w:space="0" w:color="auto"/>
        <w:left w:val="none" w:sz="0" w:space="0" w:color="auto"/>
        <w:bottom w:val="none" w:sz="0" w:space="0" w:color="auto"/>
        <w:right w:val="none" w:sz="0" w:space="0" w:color="auto"/>
      </w:divBdr>
      <w:divsChild>
        <w:div w:id="342971548">
          <w:marLeft w:val="0"/>
          <w:marRight w:val="0"/>
          <w:marTop w:val="0"/>
          <w:marBottom w:val="0"/>
          <w:divBdr>
            <w:top w:val="none" w:sz="0" w:space="0" w:color="D1D1D1"/>
            <w:left w:val="none" w:sz="0" w:space="0" w:color="D1D1D1"/>
            <w:bottom w:val="none" w:sz="0" w:space="0" w:color="D1D1D1"/>
            <w:right w:val="none" w:sz="0" w:space="0" w:color="D1D1D1"/>
          </w:divBdr>
        </w:div>
      </w:divsChild>
    </w:div>
    <w:div w:id="595947069">
      <w:bodyDiv w:val="1"/>
      <w:marLeft w:val="0"/>
      <w:marRight w:val="0"/>
      <w:marTop w:val="0"/>
      <w:marBottom w:val="0"/>
      <w:divBdr>
        <w:top w:val="none" w:sz="0" w:space="0" w:color="auto"/>
        <w:left w:val="none" w:sz="0" w:space="0" w:color="auto"/>
        <w:bottom w:val="none" w:sz="0" w:space="0" w:color="auto"/>
        <w:right w:val="none" w:sz="0" w:space="0" w:color="auto"/>
      </w:divBdr>
    </w:div>
    <w:div w:id="606155821">
      <w:bodyDiv w:val="1"/>
      <w:marLeft w:val="0"/>
      <w:marRight w:val="0"/>
      <w:marTop w:val="0"/>
      <w:marBottom w:val="0"/>
      <w:divBdr>
        <w:top w:val="none" w:sz="0" w:space="0" w:color="auto"/>
        <w:left w:val="none" w:sz="0" w:space="0" w:color="auto"/>
        <w:bottom w:val="none" w:sz="0" w:space="0" w:color="auto"/>
        <w:right w:val="none" w:sz="0" w:space="0" w:color="auto"/>
      </w:divBdr>
      <w:divsChild>
        <w:div w:id="639925581">
          <w:marLeft w:val="0"/>
          <w:marRight w:val="0"/>
          <w:marTop w:val="0"/>
          <w:marBottom w:val="495"/>
          <w:divBdr>
            <w:top w:val="none" w:sz="0" w:space="0" w:color="auto"/>
            <w:left w:val="none" w:sz="0" w:space="0" w:color="auto"/>
            <w:bottom w:val="none" w:sz="0" w:space="0" w:color="auto"/>
            <w:right w:val="none" w:sz="0" w:space="0" w:color="auto"/>
          </w:divBdr>
          <w:divsChild>
            <w:div w:id="68297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16685">
      <w:bodyDiv w:val="1"/>
      <w:marLeft w:val="0"/>
      <w:marRight w:val="0"/>
      <w:marTop w:val="0"/>
      <w:marBottom w:val="0"/>
      <w:divBdr>
        <w:top w:val="none" w:sz="0" w:space="0" w:color="auto"/>
        <w:left w:val="none" w:sz="0" w:space="0" w:color="auto"/>
        <w:bottom w:val="none" w:sz="0" w:space="0" w:color="auto"/>
        <w:right w:val="none" w:sz="0" w:space="0" w:color="auto"/>
      </w:divBdr>
    </w:div>
    <w:div w:id="1455173518">
      <w:bodyDiv w:val="1"/>
      <w:marLeft w:val="0"/>
      <w:marRight w:val="0"/>
      <w:marTop w:val="0"/>
      <w:marBottom w:val="0"/>
      <w:divBdr>
        <w:top w:val="none" w:sz="0" w:space="0" w:color="auto"/>
        <w:left w:val="none" w:sz="0" w:space="0" w:color="auto"/>
        <w:bottom w:val="none" w:sz="0" w:space="0" w:color="auto"/>
        <w:right w:val="none" w:sz="0" w:space="0" w:color="auto"/>
      </w:divBdr>
    </w:div>
    <w:div w:id="1475874146">
      <w:bodyDiv w:val="1"/>
      <w:marLeft w:val="0"/>
      <w:marRight w:val="0"/>
      <w:marTop w:val="0"/>
      <w:marBottom w:val="0"/>
      <w:divBdr>
        <w:top w:val="none" w:sz="0" w:space="0" w:color="auto"/>
        <w:left w:val="none" w:sz="0" w:space="0" w:color="auto"/>
        <w:bottom w:val="none" w:sz="0" w:space="0" w:color="auto"/>
        <w:right w:val="none" w:sz="0" w:space="0" w:color="auto"/>
      </w:divBdr>
    </w:div>
    <w:div w:id="208576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6FE36-93DB-4D64-B48A-9C33BD72D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2841</Words>
  <Characters>16199</Characters>
  <Application>Microsoft Office Word</Application>
  <DocSecurity>0</DocSecurity>
  <Lines>134</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Cetina Marius</dc:creator>
  <cp:lastModifiedBy>Lupu, Aurel Constantin (944)</cp:lastModifiedBy>
  <cp:revision>37</cp:revision>
  <cp:lastPrinted>2020-04-22T17:02:00Z</cp:lastPrinted>
  <dcterms:created xsi:type="dcterms:W3CDTF">2020-04-22T16:18:00Z</dcterms:created>
  <dcterms:modified xsi:type="dcterms:W3CDTF">2020-05-25T20:04:00Z</dcterms:modified>
</cp:coreProperties>
</file>