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A26" w:rsidRPr="00D15A26" w:rsidRDefault="00D15A26" w:rsidP="00D15A26">
      <w:pPr>
        <w:spacing w:after="0" w:line="240" w:lineRule="auto"/>
        <w:ind w:firstLine="426"/>
        <w:jc w:val="center"/>
        <w:rPr>
          <w:rFonts w:ascii="Times New Roman" w:eastAsia="Times New Roman" w:hAnsi="Times New Roman" w:cs="Times New Roman"/>
          <w:b/>
          <w:sz w:val="28"/>
          <w:szCs w:val="28"/>
        </w:rPr>
      </w:pPr>
      <w:r w:rsidRPr="00D15A26">
        <w:rPr>
          <w:rFonts w:ascii="Times New Roman" w:eastAsia="Times New Roman" w:hAnsi="Times New Roman" w:cs="Times New Roman"/>
          <w:b/>
          <w:sz w:val="28"/>
          <w:szCs w:val="28"/>
        </w:rPr>
        <w:t>FACTORII DE INFLUENȚĂ A PREȚULUI LOCUINȚELOR DIN ROMÂNIA</w:t>
      </w:r>
    </w:p>
    <w:p w:rsidR="00D15A26" w:rsidRPr="00D15A26" w:rsidRDefault="00D15A26" w:rsidP="00D15A26">
      <w:pPr>
        <w:spacing w:after="0" w:line="240" w:lineRule="auto"/>
        <w:ind w:firstLine="426"/>
        <w:jc w:val="center"/>
        <w:rPr>
          <w:rFonts w:ascii="Times New Roman" w:eastAsia="Times New Roman" w:hAnsi="Times New Roman" w:cs="Times New Roman"/>
          <w:b/>
          <w:sz w:val="28"/>
          <w:szCs w:val="28"/>
        </w:rPr>
      </w:pPr>
    </w:p>
    <w:p w:rsidR="00D15A26" w:rsidRPr="00D15A26" w:rsidRDefault="00D15A26" w:rsidP="00D15A26">
      <w:pPr>
        <w:spacing w:after="0" w:line="240" w:lineRule="auto"/>
        <w:jc w:val="center"/>
        <w:rPr>
          <w:rFonts w:ascii="Times New Roman" w:eastAsia="Times New Roman" w:hAnsi="Times New Roman" w:cs="Times New Roman"/>
          <w:b/>
          <w:bCs/>
          <w:color w:val="444444"/>
          <w:sz w:val="24"/>
          <w:szCs w:val="24"/>
          <w:bdr w:val="none" w:sz="0" w:space="0" w:color="auto" w:frame="1"/>
          <w:shd w:val="clear" w:color="auto" w:fill="FFFFFF"/>
          <w:lang w:val="en-US"/>
        </w:rPr>
      </w:pPr>
      <w:bookmarkStart w:id="0" w:name="_GoBack"/>
      <w:bookmarkEnd w:id="0"/>
    </w:p>
    <w:p w:rsidR="00D15A26" w:rsidRPr="00D15A26" w:rsidRDefault="00D15A26" w:rsidP="00D15A26">
      <w:pPr>
        <w:spacing w:after="0" w:line="240" w:lineRule="auto"/>
        <w:jc w:val="both"/>
        <w:rPr>
          <w:rFonts w:ascii="Times New Roman" w:eastAsia="Times New Roman" w:hAnsi="Times New Roman" w:cs="Times New Roman"/>
          <w:b/>
          <w:bCs/>
          <w:i/>
          <w:sz w:val="20"/>
          <w:szCs w:val="20"/>
          <w:lang w:val="en-US"/>
        </w:rPr>
      </w:pPr>
      <w:r w:rsidRPr="00D15A26">
        <w:rPr>
          <w:rFonts w:ascii="Times New Roman" w:eastAsia="Times New Roman" w:hAnsi="Times New Roman" w:cs="Times New Roman"/>
          <w:b/>
          <w:bCs/>
          <w:i/>
          <w:sz w:val="20"/>
          <w:szCs w:val="20"/>
          <w:lang w:val="en-US"/>
        </w:rPr>
        <w:t>Abstract:</w:t>
      </w:r>
    </w:p>
    <w:p w:rsidR="00D15A26" w:rsidRPr="00D15A26" w:rsidRDefault="00D15A26" w:rsidP="00D15A26">
      <w:pPr>
        <w:tabs>
          <w:tab w:val="left" w:pos="270"/>
        </w:tabs>
        <w:spacing w:after="0" w:line="240" w:lineRule="auto"/>
        <w:jc w:val="both"/>
        <w:rPr>
          <w:rFonts w:ascii="Times New Roman" w:eastAsia="Times New Roman" w:hAnsi="Times New Roman" w:cs="Times New Roman"/>
          <w:i/>
          <w:iCs/>
          <w:sz w:val="20"/>
          <w:szCs w:val="20"/>
          <w:lang w:eastAsia="ro-RO"/>
        </w:rPr>
      </w:pPr>
      <w:r w:rsidRPr="00D15A26">
        <w:rPr>
          <w:rFonts w:ascii="Times New Roman" w:eastAsia="Times New Roman" w:hAnsi="Times New Roman" w:cs="Times New Roman"/>
          <w:i/>
          <w:sz w:val="20"/>
          <w:szCs w:val="20"/>
          <w:lang w:val="en-US"/>
        </w:rPr>
        <w:t>Lucrarea își propune să arate cum este influențat prețul locuințelor de</w:t>
      </w:r>
      <w:r w:rsidRPr="00D15A26">
        <w:rPr>
          <w:rFonts w:ascii="Times New Roman" w:eastAsia="Times New Roman" w:hAnsi="Times New Roman" w:cs="Times New Roman"/>
          <w:i/>
          <w:kern w:val="32"/>
          <w:sz w:val="20"/>
          <w:szCs w:val="20"/>
          <w:lang w:eastAsia="ro-RO"/>
        </w:rPr>
        <w:t xml:space="preserve"> volumul creditului acordat populației pentru procurarea de locuințe și de mărimea venitului populației.</w:t>
      </w:r>
      <w:r w:rsidRPr="00D15A26">
        <w:rPr>
          <w:rFonts w:ascii="Times New Roman" w:eastAsia="Times New Roman" w:hAnsi="Times New Roman" w:cs="Times New Roman"/>
          <w:bCs/>
          <w:i/>
          <w:kern w:val="32"/>
          <w:sz w:val="20"/>
          <w:szCs w:val="20"/>
          <w:lang w:eastAsia="ro-RO"/>
        </w:rPr>
        <w:t xml:space="preserve"> </w:t>
      </w:r>
      <w:r w:rsidRPr="00D15A26">
        <w:rPr>
          <w:rFonts w:ascii="Times New Roman" w:hAnsi="Times New Roman" w:cs="Times New Roman"/>
          <w:i/>
          <w:sz w:val="20"/>
          <w:szCs w:val="20"/>
        </w:rPr>
        <w:t>Cu ajutorul programului informatic SPSS,</w:t>
      </w:r>
      <w:r w:rsidRPr="00D15A26">
        <w:rPr>
          <w:rFonts w:ascii="Times New Roman" w:eastAsia="Times New Roman" w:hAnsi="Times New Roman" w:cs="Times New Roman"/>
          <w:bCs/>
          <w:i/>
          <w:kern w:val="32"/>
          <w:sz w:val="20"/>
          <w:szCs w:val="20"/>
          <w:lang w:eastAsia="ro-RO"/>
        </w:rPr>
        <w:t xml:space="preserve"> se creează un model statistic ce va cuantifica dimensiunea impactului factorilor arătați mai sus asupra prețului locuințelor. Pentru realizarea modelului statistic s</w:t>
      </w:r>
      <w:r w:rsidRPr="00D15A26">
        <w:rPr>
          <w:rFonts w:ascii="Times New Roman" w:eastAsia="Times New Roman" w:hAnsi="Times New Roman" w:cs="Times New Roman"/>
          <w:b/>
          <w:bCs/>
          <w:i/>
          <w:kern w:val="32"/>
          <w:sz w:val="20"/>
          <w:szCs w:val="20"/>
          <w:lang w:eastAsia="ro-RO"/>
        </w:rPr>
        <w:t>-</w:t>
      </w:r>
      <w:r w:rsidRPr="00D15A26">
        <w:rPr>
          <w:rFonts w:ascii="Times New Roman" w:eastAsia="Times New Roman" w:hAnsi="Times New Roman" w:cs="Times New Roman"/>
          <w:bCs/>
          <w:i/>
          <w:kern w:val="32"/>
          <w:sz w:val="20"/>
          <w:szCs w:val="20"/>
          <w:lang w:eastAsia="ro-RO"/>
        </w:rPr>
        <w:t xml:space="preserve">a creat o bază de date. </w:t>
      </w:r>
      <w:r w:rsidRPr="00D15A26">
        <w:rPr>
          <w:rFonts w:ascii="Times New Roman" w:eastAsia="Times New Roman" w:hAnsi="Times New Roman" w:cs="Times New Roman"/>
          <w:i/>
          <w:sz w:val="20"/>
          <w:szCs w:val="20"/>
          <w:lang w:eastAsia="ro-RO"/>
        </w:rPr>
        <w:t>Datele au fost colectate din baza de date interactivă a BNR, de pe site</w:t>
      </w:r>
      <w:r w:rsidRPr="00D15A26">
        <w:rPr>
          <w:rFonts w:ascii="Times New Roman" w:eastAsia="Times New Roman" w:hAnsi="Times New Roman" w:cs="Times New Roman"/>
          <w:bCs/>
          <w:i/>
          <w:sz w:val="20"/>
          <w:szCs w:val="20"/>
          <w:lang w:eastAsia="ro-RO"/>
        </w:rPr>
        <w:t>-</w:t>
      </w:r>
      <w:r w:rsidRPr="00D15A26">
        <w:rPr>
          <w:rFonts w:ascii="Times New Roman" w:eastAsia="Times New Roman" w:hAnsi="Times New Roman" w:cs="Times New Roman"/>
          <w:i/>
          <w:sz w:val="20"/>
          <w:szCs w:val="20"/>
          <w:lang w:eastAsia="ro-RO"/>
        </w:rPr>
        <w:t xml:space="preserve">ul INS, secțiunea baze de date statistice, folosindu-se și informațiile furnizate de către </w:t>
      </w:r>
      <w:hyperlink r:id="rId8" w:history="1">
        <w:r w:rsidRPr="00D15A26">
          <w:rPr>
            <w:rFonts w:ascii="Times New Roman" w:eastAsia="Times New Roman" w:hAnsi="Times New Roman" w:cs="Times New Roman"/>
            <w:i/>
            <w:sz w:val="20"/>
            <w:szCs w:val="20"/>
            <w:lang w:eastAsia="ro-RO"/>
          </w:rPr>
          <w:t>www.imobiliare.ro</w:t>
        </w:r>
      </w:hyperlink>
      <w:r w:rsidRPr="00D15A26">
        <w:rPr>
          <w:rFonts w:ascii="Times New Roman" w:eastAsia="Times New Roman" w:hAnsi="Times New Roman" w:cs="Times New Roman"/>
          <w:i/>
          <w:sz w:val="20"/>
          <w:szCs w:val="20"/>
          <w:lang w:eastAsia="ro-RO"/>
        </w:rPr>
        <w:t>.</w:t>
      </w:r>
      <w:r w:rsidRPr="00D15A26">
        <w:rPr>
          <w:rFonts w:ascii="Times New Roman" w:eastAsia="Times New Roman" w:hAnsi="Times New Roman" w:cs="Times New Roman"/>
          <w:bCs/>
          <w:i/>
          <w:kern w:val="32"/>
          <w:sz w:val="20"/>
          <w:szCs w:val="20"/>
          <w:lang w:eastAsia="ro-RO"/>
        </w:rPr>
        <w:t xml:space="preserve">Deoarece datele utilizate </w:t>
      </w:r>
      <w:r w:rsidRPr="00D15A26">
        <w:rPr>
          <w:rFonts w:ascii="Times New Roman" w:eastAsia="Times New Roman" w:hAnsi="Times New Roman" w:cs="Times New Roman"/>
          <w:i/>
          <w:sz w:val="20"/>
          <w:szCs w:val="20"/>
          <w:lang w:eastAsia="ro-RO"/>
        </w:rPr>
        <w:t>aveau ordin de mărime diferit, s</w:t>
      </w:r>
      <w:r w:rsidRPr="00D15A26">
        <w:rPr>
          <w:rFonts w:ascii="Times New Roman" w:eastAsia="Times New Roman" w:hAnsi="Times New Roman" w:cs="Times New Roman"/>
          <w:bCs/>
          <w:i/>
          <w:sz w:val="20"/>
          <w:szCs w:val="20"/>
          <w:lang w:eastAsia="ro-RO"/>
        </w:rPr>
        <w:t>-</w:t>
      </w:r>
      <w:r w:rsidRPr="00D15A26">
        <w:rPr>
          <w:rFonts w:ascii="Times New Roman" w:eastAsia="Times New Roman" w:hAnsi="Times New Roman" w:cs="Times New Roman"/>
          <w:i/>
          <w:sz w:val="20"/>
          <w:szCs w:val="20"/>
          <w:lang w:eastAsia="ro-RO"/>
        </w:rPr>
        <w:t>au transformat prin logaritmare.Variabilele independente au fost decalate față de variabila dependentă cu 6 luni. În concluzie, p</w:t>
      </w:r>
      <w:r w:rsidRPr="00D15A26">
        <w:rPr>
          <w:rFonts w:ascii="Times New Roman" w:eastAsia="Times New Roman" w:hAnsi="Times New Roman" w:cs="Times New Roman"/>
          <w:i/>
          <w:iCs/>
          <w:sz w:val="20"/>
          <w:szCs w:val="20"/>
          <w:lang w:eastAsia="ro-RO"/>
        </w:rPr>
        <w:t>rețul locuințelor este influențat de către mărimea venitului populației și, conform rezultatelor obținute, acesta este cel mai puternic factor de influență.Și volumul creditului acordat gospodăriei populației pentru locuințe influențează prețul bunurilor pe piața imobiliară,influență destul de redusă.</w:t>
      </w:r>
    </w:p>
    <w:p w:rsidR="00D15A26" w:rsidRPr="00D15A26" w:rsidRDefault="00D15A26" w:rsidP="00D15A26">
      <w:pPr>
        <w:tabs>
          <w:tab w:val="left" w:pos="270"/>
        </w:tabs>
        <w:spacing w:after="0" w:line="240" w:lineRule="auto"/>
        <w:jc w:val="both"/>
        <w:rPr>
          <w:rFonts w:ascii="Times New Roman" w:eastAsia="Times New Roman" w:hAnsi="Times New Roman" w:cs="Times New Roman"/>
          <w:i/>
          <w:iCs/>
          <w:sz w:val="20"/>
          <w:szCs w:val="20"/>
          <w:lang w:eastAsia="ro-RO"/>
        </w:rPr>
      </w:pPr>
    </w:p>
    <w:p w:rsidR="00D15A26" w:rsidRPr="00D15A26" w:rsidRDefault="00D15A26" w:rsidP="00D15A26">
      <w:pPr>
        <w:tabs>
          <w:tab w:val="left" w:pos="270"/>
        </w:tabs>
        <w:spacing w:after="0" w:line="240" w:lineRule="auto"/>
        <w:jc w:val="both"/>
        <w:rPr>
          <w:rFonts w:ascii="Times New Roman" w:eastAsia="Times New Roman" w:hAnsi="Times New Roman" w:cs="Times New Roman"/>
          <w:i/>
          <w:iCs/>
          <w:sz w:val="20"/>
          <w:szCs w:val="20"/>
          <w:lang w:eastAsia="ro-RO"/>
        </w:rPr>
      </w:pPr>
      <w:r w:rsidRPr="00D15A26">
        <w:rPr>
          <w:rFonts w:ascii="Times New Roman" w:eastAsia="Times New Roman" w:hAnsi="Times New Roman" w:cs="Times New Roman"/>
          <w:b/>
          <w:i/>
          <w:iCs/>
          <w:sz w:val="20"/>
          <w:szCs w:val="20"/>
          <w:lang w:val="en-GB"/>
        </w:rPr>
        <w:t xml:space="preserve">Keywords: </w:t>
      </w:r>
      <w:r w:rsidRPr="00D15A26">
        <w:rPr>
          <w:rFonts w:ascii="Times New Roman" w:eastAsia="Times New Roman" w:hAnsi="Times New Roman" w:cs="Times New Roman"/>
          <w:bCs/>
          <w:i/>
          <w:iCs/>
          <w:sz w:val="20"/>
          <w:szCs w:val="20"/>
          <w:lang w:val="en-GB"/>
        </w:rPr>
        <w:t>prețul locuințelor, venitul populației, credit imobiliar, piața imobiliară,</w:t>
      </w:r>
      <w:r w:rsidRPr="00D15A26">
        <w:rPr>
          <w:rFonts w:ascii="Times New Roman" w:eastAsia="Times New Roman" w:hAnsi="Times New Roman" w:cs="Times New Roman"/>
          <w:i/>
          <w:iCs/>
          <w:sz w:val="20"/>
          <w:szCs w:val="20"/>
          <w:lang w:val="en-GB"/>
        </w:rPr>
        <w:t xml:space="preserve"> pi</w:t>
      </w:r>
      <w:r w:rsidRPr="00D15A26">
        <w:rPr>
          <w:rFonts w:ascii="Times New Roman" w:eastAsia="Times New Roman" w:hAnsi="Times New Roman" w:cs="Times New Roman"/>
          <w:i/>
          <w:iCs/>
          <w:sz w:val="20"/>
          <w:szCs w:val="20"/>
        </w:rPr>
        <w:t>ața rezidențială</w:t>
      </w:r>
    </w:p>
    <w:p w:rsidR="00D15A26" w:rsidRPr="00D15A26" w:rsidRDefault="00D15A26" w:rsidP="00D15A26">
      <w:pPr>
        <w:keepNext/>
        <w:tabs>
          <w:tab w:val="left" w:pos="270"/>
        </w:tabs>
        <w:spacing w:before="60" w:after="60" w:line="240" w:lineRule="auto"/>
        <w:jc w:val="both"/>
        <w:rPr>
          <w:rFonts w:ascii="Times New Roman" w:eastAsia="Times New Roman" w:hAnsi="Times New Roman" w:cs="Times New Roman"/>
          <w:i/>
          <w:iCs/>
          <w:sz w:val="20"/>
          <w:szCs w:val="20"/>
        </w:rPr>
      </w:pPr>
      <w:r w:rsidRPr="00D15A26">
        <w:rPr>
          <w:rFonts w:ascii="Times New Roman" w:eastAsia="Times New Roman" w:hAnsi="Times New Roman" w:cs="Times New Roman"/>
          <w:b/>
          <w:bCs/>
          <w:i/>
          <w:iCs/>
          <w:sz w:val="20"/>
          <w:szCs w:val="20"/>
          <w:lang w:val="en-GB"/>
        </w:rPr>
        <w:t>JEL Classification</w:t>
      </w:r>
      <w:r w:rsidRPr="00D15A26">
        <w:rPr>
          <w:rFonts w:ascii="Times New Roman" w:eastAsia="Times New Roman" w:hAnsi="Times New Roman" w:cs="Times New Roman"/>
          <w:b/>
          <w:bCs/>
          <w:i/>
          <w:iCs/>
          <w:sz w:val="20"/>
          <w:szCs w:val="20"/>
        </w:rPr>
        <w:t xml:space="preserve">: </w:t>
      </w:r>
      <w:r w:rsidRPr="00D15A26">
        <w:rPr>
          <w:rFonts w:ascii="Times New Roman" w:eastAsia="Times New Roman" w:hAnsi="Times New Roman" w:cs="Times New Roman"/>
          <w:i/>
          <w:iCs/>
          <w:sz w:val="20"/>
          <w:szCs w:val="20"/>
        </w:rPr>
        <w:t>G00,G21,G51,G59</w:t>
      </w:r>
    </w:p>
    <w:p w:rsidR="00D15A26" w:rsidRPr="00D15A26" w:rsidRDefault="00D15A26" w:rsidP="00D15A26">
      <w:pPr>
        <w:keepNext/>
        <w:tabs>
          <w:tab w:val="left" w:pos="270"/>
        </w:tabs>
        <w:spacing w:before="120" w:after="120" w:line="240" w:lineRule="auto"/>
        <w:jc w:val="both"/>
        <w:rPr>
          <w:rFonts w:ascii="Times New Roman" w:eastAsia="Times New Roman" w:hAnsi="Times New Roman" w:cs="Times New Roman"/>
          <w:b/>
          <w:bCs/>
          <w:sz w:val="24"/>
          <w:szCs w:val="24"/>
          <w:lang w:val="en-GB"/>
        </w:rPr>
      </w:pPr>
      <w:r w:rsidRPr="00D15A26">
        <w:rPr>
          <w:rFonts w:ascii="Times New Roman" w:eastAsia="Times New Roman" w:hAnsi="Times New Roman" w:cs="Times New Roman"/>
          <w:b/>
          <w:bCs/>
          <w:sz w:val="24"/>
          <w:szCs w:val="24"/>
          <w:lang w:val="en-GB"/>
        </w:rPr>
        <w:t>1.</w:t>
      </w:r>
      <w:r w:rsidRPr="00D15A26">
        <w:rPr>
          <w:rFonts w:ascii="Times New Roman" w:eastAsia="Times New Roman" w:hAnsi="Times New Roman" w:cs="Times New Roman"/>
          <w:b/>
          <w:bCs/>
          <w:sz w:val="24"/>
          <w:szCs w:val="24"/>
          <w:lang w:val="en-GB"/>
        </w:rPr>
        <w:tab/>
        <w:t>Introduction</w:t>
      </w:r>
    </w:p>
    <w:p w:rsidR="00D15A26" w:rsidRPr="00D15A26" w:rsidRDefault="00D15A26" w:rsidP="00D15A26">
      <w:pPr>
        <w:keepNext/>
        <w:tabs>
          <w:tab w:val="left" w:pos="270"/>
        </w:tabs>
        <w:spacing w:after="0" w:line="240" w:lineRule="auto"/>
        <w:jc w:val="both"/>
        <w:rPr>
          <w:rFonts w:ascii="Times New Roman" w:eastAsia="Times New Roman" w:hAnsi="Times New Roman" w:cs="Times New Roman"/>
          <w:noProof/>
          <w:sz w:val="24"/>
          <w:szCs w:val="24"/>
          <w:lang w:val="en-US" w:eastAsia="ro-RO"/>
        </w:rPr>
      </w:pPr>
      <w:r w:rsidRPr="00D15A26">
        <w:rPr>
          <w:rFonts w:ascii="Times New Roman" w:eastAsia="Times New Roman" w:hAnsi="Times New Roman" w:cs="Times New Roman"/>
          <w:sz w:val="24"/>
          <w:szCs w:val="24"/>
          <w:lang w:val="en-GB"/>
        </w:rPr>
        <w:tab/>
      </w:r>
      <w:r w:rsidRPr="00D15A26">
        <w:rPr>
          <w:rFonts w:ascii="Times New Roman" w:eastAsia="Times New Roman" w:hAnsi="Times New Roman" w:cs="Times New Roman"/>
          <w:sz w:val="24"/>
          <w:szCs w:val="24"/>
          <w:lang w:val="en-GB"/>
        </w:rPr>
        <w:tab/>
      </w:r>
      <w:r w:rsidRPr="00D15A26">
        <w:rPr>
          <w:rFonts w:ascii="Times New Roman" w:eastAsia="Times New Roman" w:hAnsi="Times New Roman" w:cs="Times New Roman"/>
          <w:bCs/>
          <w:kern w:val="32"/>
          <w:sz w:val="24"/>
          <w:szCs w:val="32"/>
          <w:lang w:eastAsia="ro-RO"/>
        </w:rPr>
        <w:t>Pornind de la ideea că nevoia de a poseda o locuință este un element indispensabil vieții de zi cu zi, vom studia factorii care influențează prețul acesteia pe piața imobiliară.</w:t>
      </w:r>
    </w:p>
    <w:p w:rsidR="00D15A26" w:rsidRPr="00D15A26" w:rsidRDefault="00D15A26" w:rsidP="00D15A26">
      <w:pPr>
        <w:spacing w:after="0" w:line="240" w:lineRule="auto"/>
        <w:ind w:firstLine="426"/>
        <w:jc w:val="both"/>
        <w:rPr>
          <w:rFonts w:ascii="Times New Roman" w:eastAsia="Times New Roman" w:hAnsi="Times New Roman" w:cs="Times New Roman"/>
          <w:bCs/>
          <w:kern w:val="32"/>
          <w:sz w:val="24"/>
          <w:szCs w:val="32"/>
          <w:lang w:eastAsia="ro-RO"/>
        </w:rPr>
      </w:pPr>
      <w:r w:rsidRPr="00D15A26">
        <w:rPr>
          <w:rFonts w:ascii="Times New Roman" w:eastAsia="Times New Roman" w:hAnsi="Times New Roman" w:cs="Times New Roman"/>
          <w:bCs/>
          <w:kern w:val="32"/>
          <w:sz w:val="24"/>
          <w:szCs w:val="32"/>
          <w:lang w:eastAsia="ro-RO"/>
        </w:rPr>
        <w:tab/>
        <w:t>Scopul</w:t>
      </w:r>
      <w:r w:rsidRPr="00D15A26">
        <w:rPr>
          <w:rFonts w:ascii="Times New Roman" w:eastAsia="Times New Roman" w:hAnsi="Times New Roman" w:cs="Times New Roman"/>
          <w:bCs/>
          <w:i/>
          <w:kern w:val="32"/>
          <w:sz w:val="24"/>
          <w:szCs w:val="32"/>
          <w:lang w:eastAsia="ro-RO"/>
        </w:rPr>
        <w:t xml:space="preserve"> </w:t>
      </w:r>
      <w:r w:rsidRPr="00D15A26">
        <w:rPr>
          <w:rFonts w:ascii="Times New Roman" w:eastAsia="Times New Roman" w:hAnsi="Times New Roman" w:cs="Times New Roman"/>
          <w:bCs/>
          <w:kern w:val="32"/>
          <w:sz w:val="24"/>
          <w:szCs w:val="32"/>
          <w:lang w:eastAsia="ro-RO"/>
        </w:rPr>
        <w:t>cercetării este studierea influenței a doi factori majori în economie, creditele acordate gospodăriilor populației pentru cumpărarea/construcția de locuințe și veniturile populației, asupra mecanismului formării prețului în sectorul imobiliar rezidențial.</w:t>
      </w:r>
    </w:p>
    <w:p w:rsidR="00D15A26" w:rsidRPr="00D15A26" w:rsidRDefault="00D15A26" w:rsidP="00D15A26">
      <w:pPr>
        <w:spacing w:after="0" w:line="240" w:lineRule="auto"/>
        <w:ind w:firstLine="426"/>
        <w:jc w:val="both"/>
        <w:rPr>
          <w:rFonts w:ascii="Times New Roman" w:eastAsia="Times New Roman" w:hAnsi="Times New Roman" w:cs="Times New Roman"/>
          <w:bCs/>
          <w:kern w:val="32"/>
          <w:sz w:val="24"/>
          <w:szCs w:val="32"/>
          <w:lang w:eastAsia="ro-RO"/>
        </w:rPr>
      </w:pPr>
      <w:r w:rsidRPr="00D15A26">
        <w:rPr>
          <w:rFonts w:ascii="Times New Roman" w:eastAsia="Times New Roman" w:hAnsi="Times New Roman" w:cs="Times New Roman"/>
          <w:bCs/>
          <w:kern w:val="32"/>
          <w:sz w:val="24"/>
          <w:szCs w:val="32"/>
          <w:lang w:eastAsia="ro-RO"/>
        </w:rPr>
        <w:tab/>
        <w:t>Ipoteza propusă a fi demonstrată pornește de la două afirmații care pot fi prezentate în felul următor:</w:t>
      </w:r>
    </w:p>
    <w:p w:rsidR="00D15A26" w:rsidRPr="00D15A26" w:rsidRDefault="00D15A26" w:rsidP="00D15A26">
      <w:pPr>
        <w:tabs>
          <w:tab w:val="left" w:pos="0"/>
        </w:tabs>
        <w:spacing w:after="0" w:line="240" w:lineRule="auto"/>
        <w:jc w:val="both"/>
        <w:rPr>
          <w:rFonts w:ascii="Times New Roman" w:eastAsia="Times New Roman" w:hAnsi="Times New Roman" w:cs="Times New Roman"/>
          <w:bCs/>
          <w:kern w:val="32"/>
          <w:sz w:val="24"/>
          <w:szCs w:val="32"/>
          <w:lang w:eastAsia="ro-RO"/>
        </w:rPr>
      </w:pPr>
      <w:r w:rsidRPr="00D15A26">
        <w:rPr>
          <w:rFonts w:ascii="Times New Roman" w:eastAsia="Times New Roman" w:hAnsi="Times New Roman" w:cs="Times New Roman"/>
          <w:bCs/>
          <w:kern w:val="32"/>
          <w:sz w:val="24"/>
          <w:szCs w:val="32"/>
          <w:lang w:eastAsia="ro-RO"/>
        </w:rPr>
        <w:t>1.</w:t>
      </w:r>
      <w:r w:rsidRPr="00D15A26">
        <w:rPr>
          <w:rFonts w:ascii="Times New Roman" w:eastAsia="Times New Roman" w:hAnsi="Times New Roman" w:cs="Times New Roman"/>
          <w:b/>
          <w:bCs/>
          <w:kern w:val="32"/>
          <w:sz w:val="24"/>
          <w:szCs w:val="32"/>
          <w:lang w:eastAsia="ro-RO"/>
        </w:rPr>
        <w:t xml:space="preserve"> </w:t>
      </w:r>
      <w:r w:rsidRPr="00D15A26">
        <w:rPr>
          <w:rFonts w:ascii="Times New Roman" w:eastAsia="Times New Roman" w:hAnsi="Times New Roman" w:cs="Times New Roman"/>
          <w:bCs/>
          <w:kern w:val="32"/>
          <w:sz w:val="24"/>
          <w:szCs w:val="32"/>
          <w:lang w:eastAsia="ro-RO"/>
        </w:rPr>
        <w:t>prețul locuințelor este influențat de componenta cererii (componenta cererii a fost considerată volumul creditului acordat populației pentru procurarea de locuințe);</w:t>
      </w:r>
    </w:p>
    <w:p w:rsidR="00D15A26" w:rsidRPr="00D15A26" w:rsidRDefault="00D15A26" w:rsidP="00D15A26">
      <w:pPr>
        <w:tabs>
          <w:tab w:val="left" w:pos="0"/>
        </w:tabs>
        <w:spacing w:after="0" w:line="240" w:lineRule="auto"/>
        <w:jc w:val="both"/>
        <w:rPr>
          <w:rFonts w:ascii="Times New Roman" w:eastAsia="Times New Roman" w:hAnsi="Times New Roman" w:cs="Times New Roman"/>
          <w:bCs/>
          <w:kern w:val="32"/>
          <w:sz w:val="24"/>
          <w:szCs w:val="32"/>
          <w:lang w:eastAsia="ro-RO"/>
        </w:rPr>
      </w:pPr>
      <w:r w:rsidRPr="00D15A26">
        <w:rPr>
          <w:rFonts w:ascii="Times New Roman" w:eastAsia="Times New Roman" w:hAnsi="Times New Roman" w:cs="Times New Roman"/>
          <w:bCs/>
          <w:kern w:val="32"/>
          <w:sz w:val="24"/>
          <w:szCs w:val="32"/>
          <w:lang w:eastAsia="ro-RO"/>
        </w:rPr>
        <w:t>2.</w:t>
      </w:r>
      <w:r w:rsidRPr="00D15A26">
        <w:rPr>
          <w:rFonts w:ascii="Times New Roman" w:eastAsia="Times New Roman" w:hAnsi="Times New Roman" w:cs="Times New Roman"/>
          <w:b/>
          <w:bCs/>
          <w:kern w:val="32"/>
          <w:sz w:val="24"/>
          <w:szCs w:val="32"/>
          <w:lang w:eastAsia="ro-RO"/>
        </w:rPr>
        <w:t xml:space="preserve"> </w:t>
      </w:r>
      <w:r w:rsidRPr="00D15A26">
        <w:rPr>
          <w:rFonts w:ascii="Times New Roman" w:eastAsia="Times New Roman" w:hAnsi="Times New Roman" w:cs="Times New Roman"/>
          <w:bCs/>
          <w:kern w:val="32"/>
          <w:sz w:val="24"/>
          <w:szCs w:val="32"/>
          <w:lang w:eastAsia="ro-RO"/>
        </w:rPr>
        <w:t>prețul locuințelor este influențat de mărimea venitului populației.</w:t>
      </w:r>
    </w:p>
    <w:p w:rsidR="00D15A26" w:rsidRPr="00D15A26" w:rsidRDefault="00D15A26" w:rsidP="00D15A26">
      <w:pPr>
        <w:spacing w:after="0" w:line="240" w:lineRule="auto"/>
        <w:ind w:firstLine="426"/>
        <w:jc w:val="both"/>
        <w:rPr>
          <w:rFonts w:ascii="Times New Roman" w:eastAsia="Times New Roman" w:hAnsi="Times New Roman" w:cs="Times New Roman"/>
          <w:bCs/>
          <w:kern w:val="32"/>
          <w:sz w:val="24"/>
          <w:szCs w:val="32"/>
          <w:lang w:eastAsia="ro-RO"/>
        </w:rPr>
      </w:pPr>
      <w:r w:rsidRPr="00D15A26">
        <w:rPr>
          <w:rFonts w:ascii="Times New Roman" w:eastAsia="Times New Roman" w:hAnsi="Times New Roman" w:cs="Times New Roman"/>
          <w:bCs/>
          <w:kern w:val="32"/>
          <w:sz w:val="24"/>
          <w:szCs w:val="32"/>
          <w:lang w:eastAsia="ro-RO"/>
        </w:rPr>
        <w:tab/>
        <w:t>Cercetarea se concretizează prin crearea unui model statistic ce va cuantifica dimensiunea impactului factorilor arătați mai sus asupra prețului locuințelor.</w:t>
      </w:r>
    </w:p>
    <w:p w:rsidR="00D15A26" w:rsidRPr="00D15A26" w:rsidRDefault="00D15A26" w:rsidP="00D15A26">
      <w:pPr>
        <w:spacing w:after="0" w:line="240" w:lineRule="auto"/>
        <w:ind w:firstLine="426"/>
        <w:jc w:val="both"/>
        <w:rPr>
          <w:rFonts w:ascii="Times New Roman" w:eastAsia="Times New Roman" w:hAnsi="Times New Roman" w:cs="Times New Roman"/>
          <w:bCs/>
          <w:kern w:val="32"/>
          <w:sz w:val="24"/>
          <w:szCs w:val="32"/>
          <w:lang w:eastAsia="ro-RO"/>
        </w:rPr>
      </w:pPr>
      <w:r w:rsidRPr="00D15A26">
        <w:rPr>
          <w:rFonts w:ascii="Times New Roman" w:eastAsia="Times New Roman" w:hAnsi="Times New Roman" w:cs="Times New Roman"/>
          <w:bCs/>
          <w:kern w:val="32"/>
          <w:sz w:val="24"/>
          <w:szCs w:val="32"/>
          <w:lang w:eastAsia="ro-RO"/>
        </w:rPr>
        <w:tab/>
        <w:t xml:space="preserve">Prima ipoteză are următorul raționament: creditele ipotecare/imobiliare finanțează procurarea unei locuințe, ceea ce înseamnă că odată cu creșterea creditării în domeniul locativ, crește și cererea, oferta nereușind să răspundă nevoilor consumatorilor în aceeași măsură, ceea ce determină creșterea prețurilor.În România sectorul bancar este aproape singura  sursă de finanțare ale sectorului imobiliar, datorită lipsei căilor alternative de finanțare. </w:t>
      </w:r>
    </w:p>
    <w:p w:rsidR="00D15A26" w:rsidRPr="00D15A26" w:rsidRDefault="00D15A26" w:rsidP="00D15A26">
      <w:pPr>
        <w:spacing w:after="0" w:line="240" w:lineRule="auto"/>
        <w:ind w:firstLine="426"/>
        <w:jc w:val="both"/>
        <w:rPr>
          <w:rFonts w:ascii="Times New Roman" w:eastAsia="Times New Roman" w:hAnsi="Times New Roman" w:cs="Times New Roman"/>
          <w:bCs/>
          <w:kern w:val="32"/>
          <w:sz w:val="24"/>
          <w:szCs w:val="32"/>
          <w:lang w:eastAsia="ro-RO"/>
        </w:rPr>
      </w:pPr>
      <w:r w:rsidRPr="00D15A26">
        <w:rPr>
          <w:rFonts w:ascii="Times New Roman" w:eastAsia="Times New Roman" w:hAnsi="Times New Roman" w:cs="Times New Roman"/>
          <w:bCs/>
          <w:kern w:val="32"/>
          <w:sz w:val="24"/>
          <w:szCs w:val="32"/>
          <w:lang w:eastAsia="ro-RO"/>
        </w:rPr>
        <w:tab/>
        <w:t xml:space="preserve">A doua ipoteză, se referă la faptul că prețul locuințelor este influențat de creșterea venitului populației, și se fundamentează pe ideea că cei ce doresc să achiziționeze o locuință vor avea posibilitatea și vor fi dispuși să ofere și să accepte un preț mai mare pentru locuința posibil de achiziționat. </w:t>
      </w:r>
    </w:p>
    <w:p w:rsidR="00D15A26" w:rsidRPr="00D15A26" w:rsidRDefault="00D15A26" w:rsidP="00D15A26">
      <w:pPr>
        <w:spacing w:after="0" w:line="240" w:lineRule="auto"/>
        <w:ind w:firstLine="426"/>
        <w:jc w:val="both"/>
        <w:rPr>
          <w:rFonts w:ascii="Times New Roman" w:eastAsia="Times New Roman" w:hAnsi="Times New Roman" w:cs="Times New Roman"/>
          <w:bCs/>
          <w:kern w:val="32"/>
          <w:sz w:val="24"/>
          <w:szCs w:val="32"/>
          <w:lang w:eastAsia="ro-RO"/>
        </w:rPr>
      </w:pPr>
      <w:r w:rsidRPr="00D15A26">
        <w:rPr>
          <w:rFonts w:ascii="Times New Roman" w:eastAsia="Times New Roman" w:hAnsi="Times New Roman" w:cs="Times New Roman"/>
          <w:bCs/>
          <w:kern w:val="32"/>
          <w:sz w:val="24"/>
          <w:szCs w:val="32"/>
          <w:lang w:eastAsia="ro-RO"/>
        </w:rPr>
        <w:tab/>
        <w:t>Obiectivele lucrării sunt:</w:t>
      </w:r>
    </w:p>
    <w:p w:rsidR="00D15A26" w:rsidRPr="00D15A26" w:rsidRDefault="00D15A26" w:rsidP="00D15A26">
      <w:pPr>
        <w:numPr>
          <w:ilvl w:val="0"/>
          <w:numId w:val="36"/>
        </w:numPr>
        <w:tabs>
          <w:tab w:val="left" w:pos="180"/>
        </w:tabs>
        <w:spacing w:after="0" w:line="240" w:lineRule="auto"/>
        <w:contextualSpacing/>
        <w:jc w:val="both"/>
        <w:rPr>
          <w:rFonts w:ascii="Times New Roman" w:eastAsia="Times New Roman" w:hAnsi="Times New Roman" w:cs="Times New Roman"/>
          <w:bCs/>
          <w:kern w:val="32"/>
          <w:sz w:val="24"/>
          <w:szCs w:val="32"/>
          <w:lang w:eastAsia="ro-RO"/>
        </w:rPr>
      </w:pPr>
      <w:r w:rsidRPr="00D15A26">
        <w:rPr>
          <w:rFonts w:ascii="Times New Roman" w:eastAsia="Times New Roman" w:hAnsi="Times New Roman" w:cs="Times New Roman"/>
          <w:bCs/>
          <w:kern w:val="32"/>
          <w:sz w:val="24"/>
          <w:szCs w:val="32"/>
          <w:lang w:eastAsia="ro-RO"/>
        </w:rPr>
        <w:t>Prezentarea pieței imobiliare românești și a evoluției acesteia;</w:t>
      </w:r>
    </w:p>
    <w:p w:rsidR="00D15A26" w:rsidRPr="00D15A26" w:rsidRDefault="00D15A26" w:rsidP="00D15A26">
      <w:pPr>
        <w:numPr>
          <w:ilvl w:val="0"/>
          <w:numId w:val="36"/>
        </w:numPr>
        <w:tabs>
          <w:tab w:val="left" w:pos="180"/>
        </w:tabs>
        <w:spacing w:after="0" w:line="240" w:lineRule="auto"/>
        <w:contextualSpacing/>
        <w:jc w:val="both"/>
        <w:rPr>
          <w:rFonts w:ascii="Times New Roman" w:eastAsia="Times New Roman" w:hAnsi="Times New Roman" w:cs="Times New Roman"/>
          <w:bCs/>
          <w:kern w:val="32"/>
          <w:sz w:val="24"/>
          <w:szCs w:val="32"/>
          <w:lang w:eastAsia="ro-RO"/>
        </w:rPr>
      </w:pPr>
      <w:r w:rsidRPr="00D15A26">
        <w:rPr>
          <w:rFonts w:ascii="Times New Roman" w:eastAsia="Times New Roman" w:hAnsi="Times New Roman" w:cs="Times New Roman"/>
          <w:bCs/>
          <w:kern w:val="32"/>
          <w:sz w:val="24"/>
          <w:szCs w:val="32"/>
          <w:lang w:eastAsia="ro-RO"/>
        </w:rPr>
        <w:t>Prezentarea evoluției creditului ipotecar în România;</w:t>
      </w:r>
    </w:p>
    <w:p w:rsidR="00D15A26" w:rsidRPr="00D15A26" w:rsidRDefault="00D15A26" w:rsidP="00D15A26">
      <w:pPr>
        <w:numPr>
          <w:ilvl w:val="0"/>
          <w:numId w:val="36"/>
        </w:numPr>
        <w:tabs>
          <w:tab w:val="left" w:pos="180"/>
        </w:tabs>
        <w:spacing w:after="0" w:line="240" w:lineRule="auto"/>
        <w:contextualSpacing/>
        <w:jc w:val="both"/>
        <w:rPr>
          <w:rFonts w:ascii="Times New Roman" w:eastAsia="Times New Roman" w:hAnsi="Times New Roman" w:cs="Times New Roman"/>
          <w:bCs/>
          <w:kern w:val="32"/>
          <w:sz w:val="24"/>
          <w:szCs w:val="32"/>
          <w:lang w:eastAsia="ro-RO"/>
        </w:rPr>
      </w:pPr>
      <w:r w:rsidRPr="00D15A26">
        <w:rPr>
          <w:rFonts w:ascii="Times New Roman" w:eastAsia="Times New Roman" w:hAnsi="Times New Roman" w:cs="Times New Roman"/>
          <w:bCs/>
          <w:kern w:val="32"/>
          <w:sz w:val="24"/>
          <w:szCs w:val="32"/>
          <w:lang w:eastAsia="ro-RO"/>
        </w:rPr>
        <w:t>Analiza rezultatelor modelului statistic și interpretarea acestora.</w:t>
      </w:r>
    </w:p>
    <w:p w:rsidR="00D15A26" w:rsidRPr="00D15A26" w:rsidRDefault="00D15A26" w:rsidP="00D15A26">
      <w:pPr>
        <w:spacing w:after="0" w:line="240" w:lineRule="auto"/>
        <w:ind w:firstLine="426"/>
        <w:jc w:val="both"/>
        <w:rPr>
          <w:rFonts w:ascii="Times New Roman" w:eastAsia="Times New Roman" w:hAnsi="Times New Roman" w:cs="Times New Roman"/>
          <w:bCs/>
          <w:kern w:val="32"/>
          <w:sz w:val="24"/>
          <w:szCs w:val="32"/>
          <w:lang w:eastAsia="ro-RO"/>
        </w:rPr>
      </w:pPr>
      <w:r w:rsidRPr="00D15A26">
        <w:rPr>
          <w:rFonts w:ascii="Times New Roman" w:eastAsia="Times New Roman" w:hAnsi="Times New Roman" w:cs="Times New Roman"/>
          <w:bCs/>
          <w:kern w:val="32"/>
          <w:sz w:val="24"/>
          <w:szCs w:val="32"/>
          <w:lang w:eastAsia="ro-RO"/>
        </w:rPr>
        <w:tab/>
        <w:t>Importanța  cercetării</w:t>
      </w:r>
      <w:r w:rsidRPr="00D15A26">
        <w:rPr>
          <w:rFonts w:ascii="Times New Roman" w:eastAsia="Times New Roman" w:hAnsi="Times New Roman" w:cs="Times New Roman"/>
          <w:bCs/>
          <w:i/>
          <w:kern w:val="32"/>
          <w:sz w:val="24"/>
          <w:szCs w:val="32"/>
          <w:lang w:eastAsia="ro-RO"/>
        </w:rPr>
        <w:t xml:space="preserve"> </w:t>
      </w:r>
      <w:r w:rsidRPr="00D15A26">
        <w:rPr>
          <w:rFonts w:ascii="Times New Roman" w:eastAsia="Times New Roman" w:hAnsi="Times New Roman" w:cs="Times New Roman"/>
          <w:bCs/>
          <w:kern w:val="32"/>
          <w:sz w:val="24"/>
          <w:szCs w:val="32"/>
          <w:lang w:eastAsia="ro-RO"/>
        </w:rPr>
        <w:t xml:space="preserve">decurge din faptul că achiziția unei locuințe, sectorul imobiliar din orice țară, sunt factori importanți în dezvoltarea economică, fiind zone ale economiei foarte sensibile la evoluția economică. </w:t>
      </w:r>
    </w:p>
    <w:p w:rsidR="00D15A26" w:rsidRPr="00D15A26" w:rsidRDefault="00D15A26" w:rsidP="00D15A26">
      <w:pPr>
        <w:spacing w:after="0" w:line="240" w:lineRule="auto"/>
        <w:ind w:firstLine="426"/>
        <w:jc w:val="both"/>
        <w:rPr>
          <w:rFonts w:ascii="Times New Roman" w:eastAsia="Times New Roman" w:hAnsi="Times New Roman" w:cs="Times New Roman"/>
          <w:bCs/>
          <w:kern w:val="32"/>
          <w:sz w:val="24"/>
          <w:szCs w:val="32"/>
          <w:lang w:eastAsia="ro-RO"/>
        </w:rPr>
      </w:pPr>
      <w:r w:rsidRPr="00D15A26">
        <w:rPr>
          <w:rFonts w:ascii="Times New Roman" w:eastAsia="Times New Roman" w:hAnsi="Times New Roman" w:cs="Times New Roman"/>
          <w:bCs/>
          <w:kern w:val="32"/>
          <w:sz w:val="24"/>
          <w:szCs w:val="32"/>
          <w:lang w:eastAsia="ro-RO"/>
        </w:rPr>
        <w:tab/>
        <w:t>În al doilea capitol, denumit „</w:t>
      </w:r>
      <w:r w:rsidRPr="00D15A26">
        <w:rPr>
          <w:rFonts w:ascii="Times New Roman" w:eastAsia="Times New Roman" w:hAnsi="Times New Roman" w:cs="Times New Roman"/>
          <w:bCs/>
          <w:i/>
          <w:kern w:val="32"/>
          <w:sz w:val="24"/>
          <w:szCs w:val="32"/>
          <w:lang w:eastAsia="ro-RO"/>
        </w:rPr>
        <w:t>Piața imobiliară în România</w:t>
      </w:r>
      <w:r w:rsidRPr="00D15A26">
        <w:rPr>
          <w:rFonts w:ascii="Times New Roman" w:eastAsia="Times New Roman" w:hAnsi="Times New Roman" w:cs="Times New Roman"/>
          <w:bCs/>
          <w:kern w:val="32"/>
          <w:sz w:val="24"/>
          <w:szCs w:val="32"/>
          <w:lang w:eastAsia="ro-RO"/>
        </w:rPr>
        <w:t>” este descrisă și caracterizată această piață, structurată pe cele 2 componente ale sale: piața imbiliară rezidențială și piața imobiliară comercială, cât și evoluția acesteia în perioada anilor 2014</w:t>
      </w:r>
      <w:r w:rsidRPr="00D15A26">
        <w:rPr>
          <w:rFonts w:ascii="Times New Roman" w:eastAsia="Times New Roman" w:hAnsi="Times New Roman" w:cs="Times New Roman"/>
          <w:b/>
          <w:bCs/>
          <w:kern w:val="32"/>
          <w:sz w:val="24"/>
          <w:szCs w:val="32"/>
          <w:lang w:eastAsia="ro-RO"/>
        </w:rPr>
        <w:t>-</w:t>
      </w:r>
      <w:r w:rsidRPr="00D15A26">
        <w:rPr>
          <w:rFonts w:ascii="Times New Roman" w:eastAsia="Times New Roman" w:hAnsi="Times New Roman" w:cs="Times New Roman"/>
          <w:bCs/>
          <w:kern w:val="32"/>
          <w:sz w:val="24"/>
          <w:szCs w:val="32"/>
          <w:lang w:eastAsia="ro-RO"/>
        </w:rPr>
        <w:t>2019.</w:t>
      </w:r>
    </w:p>
    <w:p w:rsidR="00D15A26" w:rsidRPr="00D15A26" w:rsidRDefault="00D15A26" w:rsidP="00D15A26">
      <w:pPr>
        <w:spacing w:after="0" w:line="240" w:lineRule="auto"/>
        <w:ind w:firstLine="708"/>
        <w:jc w:val="both"/>
        <w:rPr>
          <w:rFonts w:ascii="Times New Roman" w:eastAsia="Times New Roman" w:hAnsi="Times New Roman" w:cs="Times New Roman"/>
          <w:bCs/>
          <w:kern w:val="32"/>
          <w:sz w:val="24"/>
          <w:szCs w:val="32"/>
          <w:lang w:eastAsia="ro-RO"/>
        </w:rPr>
      </w:pPr>
      <w:r w:rsidRPr="00D15A26">
        <w:rPr>
          <w:rFonts w:ascii="Times New Roman" w:eastAsia="Times New Roman" w:hAnsi="Times New Roman" w:cs="Times New Roman"/>
          <w:bCs/>
          <w:kern w:val="32"/>
          <w:sz w:val="24"/>
          <w:szCs w:val="32"/>
          <w:lang w:eastAsia="ro-RO"/>
        </w:rPr>
        <w:t>În al treilea capitol, întitulat „</w:t>
      </w:r>
      <w:r w:rsidRPr="00D15A26">
        <w:rPr>
          <w:rFonts w:ascii="Times New Roman" w:eastAsia="Times New Roman" w:hAnsi="Times New Roman" w:cs="Times New Roman"/>
          <w:i/>
          <w:sz w:val="24"/>
          <w:szCs w:val="24"/>
          <w:lang w:eastAsia="ro-RO"/>
        </w:rPr>
        <w:t>Creditul imobiliar în România</w:t>
      </w:r>
      <w:r w:rsidRPr="00D15A26">
        <w:rPr>
          <w:rFonts w:ascii="Times New Roman" w:eastAsia="Times New Roman" w:hAnsi="Times New Roman" w:cs="Times New Roman"/>
          <w:bCs/>
          <w:kern w:val="32"/>
          <w:sz w:val="24"/>
          <w:szCs w:val="32"/>
          <w:lang w:eastAsia="ro-RO"/>
        </w:rPr>
        <w:t>” s</w:t>
      </w:r>
      <w:r w:rsidRPr="00D15A26">
        <w:rPr>
          <w:rFonts w:ascii="Times New Roman" w:eastAsia="Times New Roman" w:hAnsi="Times New Roman" w:cs="Times New Roman"/>
          <w:b/>
          <w:bCs/>
          <w:kern w:val="32"/>
          <w:sz w:val="24"/>
          <w:szCs w:val="32"/>
          <w:lang w:eastAsia="ro-RO"/>
        </w:rPr>
        <w:t>-</w:t>
      </w:r>
      <w:r w:rsidRPr="00D15A26">
        <w:rPr>
          <w:rFonts w:ascii="Times New Roman" w:eastAsia="Times New Roman" w:hAnsi="Times New Roman" w:cs="Times New Roman"/>
          <w:bCs/>
          <w:kern w:val="32"/>
          <w:sz w:val="24"/>
          <w:szCs w:val="32"/>
          <w:lang w:eastAsia="ro-RO"/>
        </w:rPr>
        <w:t>a analizat evoluția creditului pentru constucția și modernizarea locuințelor în perioada anilor 2014</w:t>
      </w:r>
      <w:r w:rsidRPr="00D15A26">
        <w:rPr>
          <w:rFonts w:ascii="Times New Roman" w:eastAsia="Times New Roman" w:hAnsi="Times New Roman" w:cs="Times New Roman"/>
          <w:b/>
          <w:bCs/>
          <w:kern w:val="32"/>
          <w:sz w:val="24"/>
          <w:szCs w:val="32"/>
          <w:lang w:eastAsia="ro-RO"/>
        </w:rPr>
        <w:t>-</w:t>
      </w:r>
      <w:r w:rsidRPr="00D15A26">
        <w:rPr>
          <w:rFonts w:ascii="Times New Roman" w:eastAsia="Times New Roman" w:hAnsi="Times New Roman" w:cs="Times New Roman"/>
          <w:bCs/>
          <w:kern w:val="32"/>
          <w:sz w:val="24"/>
          <w:szCs w:val="32"/>
          <w:lang w:eastAsia="ro-RO"/>
        </w:rPr>
        <w:t>2019. Aici se regăsesc informații cu referire la rolul și tendințele pe care</w:t>
      </w:r>
      <w:r w:rsidRPr="00D15A26">
        <w:rPr>
          <w:rFonts w:ascii="Times New Roman" w:eastAsia="Times New Roman" w:hAnsi="Times New Roman" w:cs="Times New Roman"/>
          <w:b/>
          <w:bCs/>
          <w:kern w:val="32"/>
          <w:sz w:val="24"/>
          <w:szCs w:val="32"/>
          <w:lang w:eastAsia="ro-RO"/>
        </w:rPr>
        <w:t xml:space="preserve"> </w:t>
      </w:r>
      <w:r w:rsidRPr="00D15A26">
        <w:rPr>
          <w:rFonts w:ascii="Times New Roman" w:eastAsia="Times New Roman" w:hAnsi="Times New Roman" w:cs="Times New Roman"/>
          <w:bCs/>
          <w:kern w:val="32"/>
          <w:sz w:val="24"/>
          <w:szCs w:val="32"/>
          <w:lang w:eastAsia="ro-RO"/>
        </w:rPr>
        <w:t>îl are creditul ipotecar în economia românească.</w:t>
      </w:r>
    </w:p>
    <w:p w:rsidR="00D15A26" w:rsidRPr="00D15A26" w:rsidRDefault="00D15A26" w:rsidP="00D15A26">
      <w:pPr>
        <w:spacing w:after="0" w:line="240" w:lineRule="auto"/>
        <w:ind w:firstLine="708"/>
        <w:jc w:val="both"/>
        <w:rPr>
          <w:rFonts w:ascii="Times New Roman" w:eastAsia="Times New Roman" w:hAnsi="Times New Roman" w:cs="Times New Roman"/>
          <w:bCs/>
          <w:kern w:val="32"/>
          <w:sz w:val="24"/>
          <w:szCs w:val="32"/>
          <w:lang w:eastAsia="ro-RO"/>
        </w:rPr>
      </w:pPr>
      <w:r w:rsidRPr="00D15A26">
        <w:rPr>
          <w:rFonts w:ascii="Times New Roman" w:hAnsi="Times New Roman" w:cs="Times New Roman"/>
          <w:bCs/>
          <w:kern w:val="32"/>
          <w:sz w:val="24"/>
          <w:szCs w:val="32"/>
        </w:rPr>
        <w:lastRenderedPageBreak/>
        <w:t>În capitolul 4, întitulat „</w:t>
      </w:r>
      <w:r w:rsidRPr="00D15A26">
        <w:rPr>
          <w:rFonts w:ascii="Times New Roman" w:hAnsi="Times New Roman" w:cs="Times New Roman"/>
          <w:bCs/>
          <w:i/>
          <w:iCs/>
          <w:sz w:val="24"/>
          <w:szCs w:val="24"/>
        </w:rPr>
        <w:t>Database – Analysis and results</w:t>
      </w:r>
      <w:r w:rsidRPr="00D15A26">
        <w:rPr>
          <w:rFonts w:ascii="Times New Roman" w:hAnsi="Times New Roman" w:cs="Times New Roman"/>
          <w:bCs/>
          <w:kern w:val="32"/>
          <w:sz w:val="24"/>
          <w:szCs w:val="32"/>
        </w:rPr>
        <w:t>”, sunt concentrate informațiile anterior prezentate, acestea fiind baza teoretică pentru studiul efectuat. Pornind de la ideea conturată în capitolele anterioare, s-a  realizat un model statistic care a demonstrat veridicitatea ipotezei propuse.</w:t>
      </w:r>
    </w:p>
    <w:p w:rsidR="00D15A26" w:rsidRPr="00D15A26" w:rsidRDefault="00D15A26" w:rsidP="00D15A26">
      <w:pPr>
        <w:spacing w:after="0" w:line="240" w:lineRule="auto"/>
        <w:ind w:firstLine="426"/>
        <w:jc w:val="both"/>
        <w:rPr>
          <w:rFonts w:ascii="Times New Roman" w:eastAsia="Times New Roman" w:hAnsi="Times New Roman" w:cs="Times New Roman"/>
          <w:bCs/>
          <w:kern w:val="32"/>
          <w:sz w:val="24"/>
          <w:szCs w:val="32"/>
          <w:lang w:eastAsia="ro-RO"/>
        </w:rPr>
      </w:pPr>
      <w:r w:rsidRPr="00D15A26">
        <w:rPr>
          <w:rFonts w:ascii="Times New Roman" w:eastAsia="Times New Roman" w:hAnsi="Times New Roman" w:cs="Times New Roman"/>
          <w:bCs/>
          <w:kern w:val="32"/>
          <w:sz w:val="24"/>
          <w:szCs w:val="32"/>
          <w:lang w:eastAsia="ro-RO"/>
        </w:rPr>
        <w:tab/>
        <w:t>Pentru realizarea modelului statistic s</w:t>
      </w:r>
      <w:r w:rsidRPr="00D15A26">
        <w:rPr>
          <w:rFonts w:ascii="Times New Roman" w:eastAsia="Times New Roman" w:hAnsi="Times New Roman" w:cs="Times New Roman"/>
          <w:b/>
          <w:bCs/>
          <w:kern w:val="32"/>
          <w:sz w:val="24"/>
          <w:szCs w:val="32"/>
          <w:lang w:eastAsia="ro-RO"/>
        </w:rPr>
        <w:t>-</w:t>
      </w:r>
      <w:r w:rsidRPr="00D15A26">
        <w:rPr>
          <w:rFonts w:ascii="Times New Roman" w:eastAsia="Times New Roman" w:hAnsi="Times New Roman" w:cs="Times New Roman"/>
          <w:bCs/>
          <w:kern w:val="32"/>
          <w:sz w:val="24"/>
          <w:szCs w:val="32"/>
          <w:lang w:eastAsia="ro-RO"/>
        </w:rPr>
        <w:t xml:space="preserve">a creat o bază de date, prezentată în Anexă.  Întrucât datele utilizate </w:t>
      </w:r>
      <w:r w:rsidRPr="00D15A26">
        <w:rPr>
          <w:rFonts w:ascii="Times New Roman" w:eastAsia="Times New Roman" w:hAnsi="Times New Roman" w:cs="Times New Roman"/>
          <w:sz w:val="24"/>
          <w:szCs w:val="24"/>
          <w:lang w:eastAsia="ro-RO"/>
        </w:rPr>
        <w:t>aveau ordin de mărimi diferit (sute, mii, miliarde), s</w:t>
      </w:r>
      <w:r w:rsidRPr="00D15A26">
        <w:rPr>
          <w:rFonts w:ascii="Times New Roman" w:eastAsia="Times New Roman" w:hAnsi="Times New Roman" w:cs="Times New Roman"/>
          <w:bCs/>
          <w:sz w:val="24"/>
          <w:szCs w:val="24"/>
          <w:lang w:eastAsia="ro-RO"/>
        </w:rPr>
        <w:t>-</w:t>
      </w:r>
      <w:r w:rsidRPr="00D15A26">
        <w:rPr>
          <w:rFonts w:ascii="Times New Roman" w:eastAsia="Times New Roman" w:hAnsi="Times New Roman" w:cs="Times New Roman"/>
          <w:sz w:val="24"/>
          <w:szCs w:val="24"/>
          <w:lang w:eastAsia="ro-RO"/>
        </w:rPr>
        <w:t>a ajuns la concluzia că cea mai bună soluție pentru analiza lor, este transformarea acestora prin logaritmare.</w:t>
      </w:r>
    </w:p>
    <w:p w:rsidR="00D15A26" w:rsidRPr="00D15A26" w:rsidRDefault="00D15A26" w:rsidP="00D15A26">
      <w:pPr>
        <w:spacing w:after="0" w:line="240" w:lineRule="auto"/>
        <w:ind w:firstLine="432"/>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ab/>
        <w:t xml:space="preserve">După ce au fost efectuate mai multe prelucrări a datelor, cel mai relevant model statistic construit este acela în care variabilele independente trebuie să fie decalate față de variabila dependentă cu 6 luni. </w:t>
      </w:r>
    </w:p>
    <w:p w:rsidR="00D15A26" w:rsidRPr="00D15A26" w:rsidRDefault="00D15A26" w:rsidP="00D15A26">
      <w:pPr>
        <w:keepNext/>
        <w:keepLines/>
        <w:spacing w:before="120" w:after="120" w:line="240" w:lineRule="auto"/>
        <w:rPr>
          <w:rFonts w:ascii="Times New Roman" w:eastAsia="Times New Roman" w:hAnsi="Times New Roman" w:cs="Times New Roman"/>
          <w:b/>
          <w:kern w:val="32"/>
          <w:sz w:val="24"/>
          <w:szCs w:val="24"/>
          <w:lang w:eastAsia="ro-RO"/>
        </w:rPr>
      </w:pPr>
      <w:r w:rsidRPr="00D15A26">
        <w:rPr>
          <w:rFonts w:ascii="Times New Roman" w:eastAsia="Times New Roman" w:hAnsi="Times New Roman" w:cs="Times New Roman"/>
          <w:b/>
          <w:bCs/>
          <w:iCs/>
          <w:sz w:val="24"/>
          <w:szCs w:val="24"/>
          <w:lang w:eastAsia="ro-RO"/>
        </w:rPr>
        <w:t>2.</w:t>
      </w:r>
      <w:bookmarkStart w:id="1" w:name="_Toc41330437"/>
      <w:r w:rsidRPr="00D15A26">
        <w:rPr>
          <w:rFonts w:ascii="Times New Roman" w:eastAsia="Times New Roman" w:hAnsi="Times New Roman" w:cs="Times New Roman"/>
          <w:b/>
          <w:kern w:val="32"/>
          <w:sz w:val="24"/>
          <w:szCs w:val="24"/>
          <w:lang w:eastAsia="ro-RO"/>
        </w:rPr>
        <w:t xml:space="preserve"> Piața imobiliară în România</w:t>
      </w:r>
      <w:bookmarkEnd w:id="1"/>
    </w:p>
    <w:p w:rsidR="00D15A26" w:rsidRPr="00D15A26" w:rsidRDefault="00D15A26" w:rsidP="00D15A26">
      <w:pPr>
        <w:spacing w:after="0" w:line="240" w:lineRule="auto"/>
        <w:ind w:firstLine="432"/>
        <w:jc w:val="both"/>
        <w:rPr>
          <w:rFonts w:ascii="Times New Roman" w:eastAsia="Times New Roman" w:hAnsi="Times New Roman" w:cs="Times New Roman"/>
          <w:color w:val="000000"/>
          <w:sz w:val="24"/>
          <w:szCs w:val="27"/>
          <w:lang w:eastAsia="ro-RO"/>
        </w:rPr>
      </w:pPr>
      <w:bookmarkStart w:id="2" w:name="_Toc510079203"/>
      <w:r w:rsidRPr="00D15A26">
        <w:rPr>
          <w:rFonts w:ascii="Times New Roman" w:eastAsia="Times New Roman" w:hAnsi="Times New Roman" w:cs="Times New Roman"/>
          <w:color w:val="000000"/>
          <w:sz w:val="24"/>
          <w:szCs w:val="27"/>
          <w:lang w:eastAsia="ro-RO"/>
        </w:rPr>
        <w:tab/>
        <w:t xml:space="preserve">Piața imobiliară, sectorul construcțiilor de locuințe,  reprezintă un segment important în economia oricărei țări. </w:t>
      </w:r>
    </w:p>
    <w:p w:rsidR="00D15A26" w:rsidRPr="00D15A26" w:rsidRDefault="00D15A26" w:rsidP="00D15A26">
      <w:pPr>
        <w:spacing w:after="0" w:line="240" w:lineRule="auto"/>
        <w:ind w:firstLine="432"/>
        <w:jc w:val="both"/>
        <w:rPr>
          <w:rFonts w:ascii="Times New Roman" w:eastAsia="Times New Roman" w:hAnsi="Times New Roman" w:cs="Times New Roman"/>
          <w:iCs/>
          <w:color w:val="000000"/>
          <w:sz w:val="24"/>
          <w:szCs w:val="27"/>
          <w:lang w:eastAsia="ro-RO"/>
        </w:rPr>
      </w:pPr>
      <w:r w:rsidRPr="00D15A26">
        <w:rPr>
          <w:rFonts w:ascii="Times New Roman" w:eastAsia="Times New Roman" w:hAnsi="Times New Roman" w:cs="Times New Roman"/>
          <w:color w:val="000000"/>
          <w:sz w:val="24"/>
          <w:szCs w:val="27"/>
          <w:lang w:eastAsia="ro-RO"/>
        </w:rPr>
        <w:tab/>
        <w:t xml:space="preserve">Noțiunea de piață imobiliară poate fi definită ca </w:t>
      </w:r>
      <w:r w:rsidRPr="00D15A26">
        <w:rPr>
          <w:rFonts w:ascii="Times New Roman" w:eastAsia="Times New Roman" w:hAnsi="Times New Roman" w:cs="Times New Roman"/>
          <w:i/>
          <w:color w:val="000000"/>
          <w:sz w:val="24"/>
          <w:szCs w:val="27"/>
          <w:lang w:eastAsia="ro-RO"/>
        </w:rPr>
        <w:t>„totalitatea tranzacţiilor care implică drepturi de proprietate sau de folosinţă asupra terenurilor şi clădirilor. Tranzacţia imobiliară înseamnă transferul permanent sau temporar al unui drept de la o parte la cealaltă în schimbul unei recompense care, de obicei, este o sumă de bani.</w:t>
      </w:r>
      <w:r w:rsidRPr="00D15A26">
        <w:rPr>
          <w:rFonts w:ascii="Times New Roman" w:eastAsia="Times New Roman" w:hAnsi="Times New Roman" w:cs="Times New Roman"/>
          <w:iCs/>
          <w:color w:val="000000"/>
          <w:sz w:val="24"/>
          <w:szCs w:val="27"/>
          <w:lang w:eastAsia="ro-RO"/>
        </w:rPr>
        <w:t>[1]</w:t>
      </w:r>
    </w:p>
    <w:p w:rsidR="00D15A26" w:rsidRPr="00D15A26" w:rsidRDefault="00D15A26" w:rsidP="00D15A26">
      <w:pPr>
        <w:spacing w:after="0" w:line="240" w:lineRule="auto"/>
        <w:ind w:firstLine="432"/>
        <w:jc w:val="both"/>
        <w:rPr>
          <w:rFonts w:ascii="Times New Roman" w:eastAsia="Times New Roman" w:hAnsi="Times New Roman" w:cs="Times New Roman"/>
          <w:color w:val="000000"/>
          <w:sz w:val="24"/>
          <w:szCs w:val="27"/>
          <w:lang w:eastAsia="ro-RO"/>
        </w:rPr>
      </w:pPr>
      <w:r w:rsidRPr="00D15A26">
        <w:rPr>
          <w:rFonts w:ascii="Times New Roman" w:eastAsia="Times New Roman" w:hAnsi="Times New Roman" w:cs="Times New Roman"/>
          <w:color w:val="000000"/>
          <w:sz w:val="24"/>
          <w:szCs w:val="27"/>
          <w:lang w:eastAsia="ro-RO"/>
        </w:rPr>
        <w:tab/>
        <w:t>Caracteristicile acestei piețe sunt prezentate mai jos:</w:t>
      </w:r>
    </w:p>
    <w:p w:rsidR="00D15A26" w:rsidRPr="00D15A26" w:rsidRDefault="00D15A26" w:rsidP="00D15A26">
      <w:pPr>
        <w:keepNext/>
        <w:spacing w:after="0" w:line="240" w:lineRule="auto"/>
        <w:jc w:val="center"/>
        <w:rPr>
          <w:rFonts w:ascii="Times New Roman" w:eastAsia="Times New Roman" w:hAnsi="Times New Roman" w:cs="Times New Roman"/>
          <w:b/>
          <w:bCs/>
          <w:sz w:val="20"/>
          <w:szCs w:val="18"/>
          <w:lang w:eastAsia="ro-RO"/>
        </w:rPr>
      </w:pPr>
      <w:bookmarkStart w:id="3" w:name="_Toc41335685"/>
      <w:bookmarkStart w:id="4" w:name="_Toc41760457"/>
      <w:r w:rsidRPr="00D15A26">
        <w:rPr>
          <w:rFonts w:ascii="Times New Roman" w:eastAsia="Times New Roman" w:hAnsi="Times New Roman" w:cs="Times New Roman"/>
          <w:b/>
          <w:bCs/>
          <w:sz w:val="20"/>
          <w:szCs w:val="18"/>
          <w:lang w:eastAsia="ro-RO"/>
        </w:rPr>
        <w:t>Table no.1 Caracteristicile pieței imobiliare în anul 2019</w:t>
      </w:r>
      <w:bookmarkEnd w:id="3"/>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565"/>
        <w:gridCol w:w="1573"/>
        <w:gridCol w:w="1803"/>
        <w:gridCol w:w="1530"/>
        <w:gridCol w:w="1530"/>
      </w:tblGrid>
      <w:tr w:rsidR="00D15A26" w:rsidRPr="00D15A26" w:rsidTr="007B67D2">
        <w:trPr>
          <w:trHeight w:val="252"/>
          <w:jc w:val="center"/>
        </w:trPr>
        <w:tc>
          <w:tcPr>
            <w:tcW w:w="1461" w:type="dxa"/>
            <w:vMerge w:val="restart"/>
            <w:shd w:val="clear" w:color="auto" w:fill="C6D9F1" w:themeFill="text2"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color w:val="000000"/>
                <w:sz w:val="20"/>
                <w:szCs w:val="20"/>
                <w:lang w:eastAsia="ro-RO"/>
              </w:rPr>
            </w:pPr>
            <w:r w:rsidRPr="00D15A26">
              <w:rPr>
                <w:rFonts w:ascii="Times New Roman" w:eastAsia="Times New Roman" w:hAnsi="Times New Roman" w:cs="Times New Roman"/>
                <w:b/>
                <w:color w:val="000000"/>
                <w:sz w:val="20"/>
                <w:szCs w:val="20"/>
                <w:lang w:eastAsia="ro-RO"/>
              </w:rPr>
              <w:t>Locuințe</w:t>
            </w:r>
          </w:p>
          <w:p w:rsidR="00D15A26" w:rsidRPr="00D15A26" w:rsidRDefault="00D15A26" w:rsidP="00D15A26">
            <w:pPr>
              <w:spacing w:after="0" w:line="240" w:lineRule="auto"/>
              <w:jc w:val="center"/>
              <w:rPr>
                <w:rFonts w:ascii="Times New Roman" w:eastAsia="Times New Roman" w:hAnsi="Times New Roman" w:cs="Times New Roman"/>
                <w:b/>
                <w:color w:val="000000"/>
                <w:sz w:val="20"/>
                <w:szCs w:val="20"/>
                <w:lang w:eastAsia="ro-RO"/>
              </w:rPr>
            </w:pPr>
            <w:r w:rsidRPr="00D15A26">
              <w:rPr>
                <w:rFonts w:ascii="Times New Roman" w:eastAsia="Times New Roman" w:hAnsi="Times New Roman" w:cs="Times New Roman"/>
                <w:b/>
                <w:color w:val="000000"/>
                <w:sz w:val="20"/>
                <w:szCs w:val="20"/>
                <w:lang w:eastAsia="ro-RO"/>
              </w:rPr>
              <w:t>-număr-</w:t>
            </w:r>
          </w:p>
        </w:tc>
        <w:tc>
          <w:tcPr>
            <w:tcW w:w="1565" w:type="dxa"/>
            <w:vMerge w:val="restart"/>
            <w:shd w:val="clear" w:color="auto" w:fill="C6D9F1" w:themeFill="text2"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color w:val="000000"/>
                <w:sz w:val="20"/>
                <w:szCs w:val="20"/>
                <w:lang w:eastAsia="ro-RO"/>
              </w:rPr>
            </w:pPr>
            <w:r w:rsidRPr="00D15A26">
              <w:rPr>
                <w:rFonts w:ascii="Times New Roman" w:eastAsia="Times New Roman" w:hAnsi="Times New Roman" w:cs="Times New Roman"/>
                <w:b/>
                <w:color w:val="000000"/>
                <w:sz w:val="20"/>
                <w:szCs w:val="20"/>
                <w:lang w:eastAsia="ro-RO"/>
              </w:rPr>
              <w:t>Camere</w:t>
            </w:r>
          </w:p>
          <w:p w:rsidR="00D15A26" w:rsidRPr="00D15A26" w:rsidRDefault="00D15A26" w:rsidP="00D15A26">
            <w:pPr>
              <w:spacing w:after="0" w:line="240" w:lineRule="auto"/>
              <w:jc w:val="center"/>
              <w:rPr>
                <w:rFonts w:ascii="Times New Roman" w:eastAsia="Times New Roman" w:hAnsi="Times New Roman" w:cs="Times New Roman"/>
                <w:b/>
                <w:color w:val="000000"/>
                <w:sz w:val="20"/>
                <w:szCs w:val="20"/>
                <w:lang w:eastAsia="ro-RO"/>
              </w:rPr>
            </w:pPr>
            <w:r w:rsidRPr="00D15A26">
              <w:rPr>
                <w:rFonts w:ascii="Times New Roman" w:eastAsia="Times New Roman" w:hAnsi="Times New Roman" w:cs="Times New Roman"/>
                <w:b/>
                <w:color w:val="000000"/>
                <w:sz w:val="20"/>
                <w:szCs w:val="20"/>
                <w:lang w:eastAsia="ro-RO"/>
              </w:rPr>
              <w:t>-număr-</w:t>
            </w:r>
          </w:p>
        </w:tc>
        <w:tc>
          <w:tcPr>
            <w:tcW w:w="1573" w:type="dxa"/>
            <w:vMerge w:val="restart"/>
            <w:shd w:val="clear" w:color="auto" w:fill="C6D9F1" w:themeFill="text2"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color w:val="000000"/>
                <w:sz w:val="20"/>
                <w:szCs w:val="20"/>
                <w:lang w:eastAsia="ro-RO"/>
              </w:rPr>
            </w:pPr>
            <w:r w:rsidRPr="00D15A26">
              <w:rPr>
                <w:rFonts w:ascii="Times New Roman" w:eastAsia="Times New Roman" w:hAnsi="Times New Roman" w:cs="Times New Roman"/>
                <w:b/>
                <w:color w:val="000000"/>
                <w:sz w:val="20"/>
                <w:szCs w:val="20"/>
                <w:lang w:eastAsia="ro-RO"/>
              </w:rPr>
              <w:t>Suprafața</w:t>
            </w:r>
          </w:p>
          <w:p w:rsidR="00D15A26" w:rsidRPr="00D15A26" w:rsidRDefault="00D15A26" w:rsidP="00D15A26">
            <w:pPr>
              <w:spacing w:after="0" w:line="240" w:lineRule="auto"/>
              <w:jc w:val="center"/>
              <w:rPr>
                <w:rFonts w:ascii="Times New Roman" w:eastAsia="Times New Roman" w:hAnsi="Times New Roman" w:cs="Times New Roman"/>
                <w:b/>
                <w:color w:val="000000"/>
                <w:sz w:val="20"/>
                <w:szCs w:val="20"/>
                <w:lang w:eastAsia="ro-RO"/>
              </w:rPr>
            </w:pPr>
            <w:r w:rsidRPr="00D15A26">
              <w:rPr>
                <w:rFonts w:ascii="Times New Roman" w:eastAsia="Times New Roman" w:hAnsi="Times New Roman" w:cs="Times New Roman"/>
                <w:b/>
                <w:color w:val="000000"/>
                <w:sz w:val="20"/>
                <w:szCs w:val="20"/>
                <w:lang w:eastAsia="ro-RO"/>
              </w:rPr>
              <w:t>-m</w:t>
            </w:r>
            <w:r w:rsidRPr="00D15A26">
              <w:rPr>
                <w:rFonts w:ascii="Times New Roman" w:eastAsia="Times New Roman" w:hAnsi="Times New Roman" w:cs="Times New Roman"/>
                <w:b/>
                <w:color w:val="000000"/>
                <w:sz w:val="20"/>
                <w:szCs w:val="20"/>
                <w:vertAlign w:val="superscript"/>
                <w:lang w:eastAsia="ro-RO"/>
              </w:rPr>
              <w:t>2</w:t>
            </w:r>
            <w:r w:rsidRPr="00D15A26">
              <w:rPr>
                <w:rFonts w:ascii="Times New Roman" w:eastAsia="Times New Roman" w:hAnsi="Times New Roman" w:cs="Times New Roman"/>
                <w:b/>
                <w:color w:val="000000"/>
                <w:sz w:val="20"/>
                <w:szCs w:val="20"/>
                <w:lang w:eastAsia="ro-RO"/>
              </w:rPr>
              <w:t>-</w:t>
            </w:r>
          </w:p>
        </w:tc>
        <w:tc>
          <w:tcPr>
            <w:tcW w:w="1803" w:type="dxa"/>
            <w:vMerge w:val="restart"/>
            <w:shd w:val="clear" w:color="auto" w:fill="C6D9F1" w:themeFill="text2"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color w:val="000000"/>
                <w:sz w:val="20"/>
                <w:szCs w:val="20"/>
                <w:lang w:eastAsia="ro-RO"/>
              </w:rPr>
            </w:pPr>
            <w:r w:rsidRPr="00D15A26">
              <w:rPr>
                <w:rFonts w:ascii="Times New Roman" w:eastAsia="Times New Roman" w:hAnsi="Times New Roman" w:cs="Times New Roman"/>
                <w:b/>
                <w:color w:val="000000"/>
                <w:sz w:val="20"/>
                <w:szCs w:val="20"/>
                <w:lang w:eastAsia="ro-RO"/>
              </w:rPr>
              <w:t>Camere/locuință</w:t>
            </w:r>
          </w:p>
        </w:tc>
        <w:tc>
          <w:tcPr>
            <w:tcW w:w="3060" w:type="dxa"/>
            <w:gridSpan w:val="2"/>
            <w:shd w:val="clear" w:color="auto" w:fill="C6D9F1" w:themeFill="text2"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color w:val="000000"/>
                <w:sz w:val="20"/>
                <w:szCs w:val="20"/>
                <w:lang w:eastAsia="ro-RO"/>
              </w:rPr>
            </w:pPr>
            <w:r w:rsidRPr="00D15A26">
              <w:rPr>
                <w:rFonts w:ascii="Times New Roman" w:eastAsia="Times New Roman" w:hAnsi="Times New Roman" w:cs="Times New Roman"/>
                <w:b/>
                <w:color w:val="000000"/>
                <w:sz w:val="20"/>
                <w:szCs w:val="20"/>
                <w:lang w:eastAsia="ro-RO"/>
              </w:rPr>
              <w:t>Suprafața locuibilă</w:t>
            </w:r>
          </w:p>
        </w:tc>
      </w:tr>
      <w:tr w:rsidR="00D15A26" w:rsidRPr="00D15A26" w:rsidTr="007B67D2">
        <w:trPr>
          <w:trHeight w:val="510"/>
          <w:jc w:val="center"/>
        </w:trPr>
        <w:tc>
          <w:tcPr>
            <w:tcW w:w="1461" w:type="dxa"/>
            <w:vMerge/>
            <w:shd w:val="clear" w:color="auto" w:fill="C6D9F1" w:themeFill="text2"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color w:val="000000"/>
                <w:sz w:val="20"/>
                <w:szCs w:val="20"/>
                <w:lang w:eastAsia="ro-RO"/>
              </w:rPr>
            </w:pPr>
          </w:p>
        </w:tc>
        <w:tc>
          <w:tcPr>
            <w:tcW w:w="1565" w:type="dxa"/>
            <w:vMerge/>
            <w:shd w:val="clear" w:color="auto" w:fill="C6D9F1" w:themeFill="text2"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color w:val="000000"/>
                <w:sz w:val="20"/>
                <w:szCs w:val="20"/>
                <w:lang w:eastAsia="ro-RO"/>
              </w:rPr>
            </w:pPr>
          </w:p>
        </w:tc>
        <w:tc>
          <w:tcPr>
            <w:tcW w:w="1573" w:type="dxa"/>
            <w:vMerge/>
            <w:shd w:val="clear" w:color="auto" w:fill="C6D9F1" w:themeFill="text2"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color w:val="000000"/>
                <w:sz w:val="20"/>
                <w:szCs w:val="20"/>
                <w:lang w:eastAsia="ro-RO"/>
              </w:rPr>
            </w:pPr>
          </w:p>
        </w:tc>
        <w:tc>
          <w:tcPr>
            <w:tcW w:w="1803" w:type="dxa"/>
            <w:vMerge/>
            <w:shd w:val="clear" w:color="auto" w:fill="C6D9F1" w:themeFill="text2"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color w:val="000000"/>
                <w:sz w:val="20"/>
                <w:szCs w:val="20"/>
                <w:lang w:eastAsia="ro-RO"/>
              </w:rPr>
            </w:pPr>
          </w:p>
        </w:tc>
        <w:tc>
          <w:tcPr>
            <w:tcW w:w="1530" w:type="dxa"/>
            <w:shd w:val="clear" w:color="auto" w:fill="C6D9F1" w:themeFill="text2"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color w:val="000000"/>
                <w:sz w:val="20"/>
                <w:szCs w:val="20"/>
                <w:lang w:eastAsia="ro-RO"/>
              </w:rPr>
            </w:pPr>
            <w:r w:rsidRPr="00D15A26">
              <w:rPr>
                <w:rFonts w:ascii="Times New Roman" w:eastAsia="Times New Roman" w:hAnsi="Times New Roman" w:cs="Times New Roman"/>
                <w:b/>
                <w:color w:val="000000"/>
                <w:sz w:val="20"/>
                <w:szCs w:val="20"/>
                <w:lang w:eastAsia="ro-RO"/>
              </w:rPr>
              <w:t>Pe o cameră</w:t>
            </w:r>
          </w:p>
          <w:p w:rsidR="00D15A26" w:rsidRPr="00D15A26" w:rsidRDefault="00D15A26" w:rsidP="00D15A26">
            <w:pPr>
              <w:spacing w:after="0" w:line="240" w:lineRule="auto"/>
              <w:jc w:val="center"/>
              <w:rPr>
                <w:rFonts w:ascii="Times New Roman" w:eastAsia="Times New Roman" w:hAnsi="Times New Roman" w:cs="Times New Roman"/>
                <w:b/>
                <w:color w:val="000000"/>
                <w:sz w:val="20"/>
                <w:szCs w:val="20"/>
                <w:lang w:eastAsia="ro-RO"/>
              </w:rPr>
            </w:pPr>
            <w:r w:rsidRPr="00D15A26">
              <w:rPr>
                <w:rFonts w:ascii="Times New Roman" w:eastAsia="Times New Roman" w:hAnsi="Times New Roman" w:cs="Times New Roman"/>
                <w:b/>
                <w:color w:val="000000"/>
                <w:sz w:val="20"/>
                <w:szCs w:val="20"/>
                <w:lang w:eastAsia="ro-RO"/>
              </w:rPr>
              <w:t>-m</w:t>
            </w:r>
            <w:r w:rsidRPr="00D15A26">
              <w:rPr>
                <w:rFonts w:ascii="Times New Roman" w:eastAsia="Times New Roman" w:hAnsi="Times New Roman" w:cs="Times New Roman"/>
                <w:b/>
                <w:color w:val="000000"/>
                <w:sz w:val="20"/>
                <w:szCs w:val="20"/>
                <w:vertAlign w:val="superscript"/>
                <w:lang w:eastAsia="ro-RO"/>
              </w:rPr>
              <w:t>2</w:t>
            </w:r>
            <w:r w:rsidRPr="00D15A26">
              <w:rPr>
                <w:rFonts w:ascii="Times New Roman" w:eastAsia="Times New Roman" w:hAnsi="Times New Roman" w:cs="Times New Roman"/>
                <w:b/>
                <w:color w:val="000000"/>
                <w:sz w:val="20"/>
                <w:szCs w:val="20"/>
                <w:lang w:eastAsia="ro-RO"/>
              </w:rPr>
              <w:t>-</w:t>
            </w:r>
          </w:p>
        </w:tc>
        <w:tc>
          <w:tcPr>
            <w:tcW w:w="1530" w:type="dxa"/>
            <w:shd w:val="clear" w:color="auto" w:fill="C6D9F1" w:themeFill="text2"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color w:val="000000"/>
                <w:sz w:val="20"/>
                <w:szCs w:val="20"/>
                <w:lang w:eastAsia="ro-RO"/>
              </w:rPr>
            </w:pPr>
            <w:r w:rsidRPr="00D15A26">
              <w:rPr>
                <w:rFonts w:ascii="Times New Roman" w:eastAsia="Times New Roman" w:hAnsi="Times New Roman" w:cs="Times New Roman"/>
                <w:b/>
                <w:color w:val="000000"/>
                <w:sz w:val="20"/>
                <w:szCs w:val="20"/>
                <w:lang w:eastAsia="ro-RO"/>
              </w:rPr>
              <w:t>Pe o locuință</w:t>
            </w:r>
          </w:p>
          <w:p w:rsidR="00D15A26" w:rsidRPr="00D15A26" w:rsidRDefault="00D15A26" w:rsidP="00D15A26">
            <w:pPr>
              <w:spacing w:after="0" w:line="240" w:lineRule="auto"/>
              <w:jc w:val="center"/>
              <w:rPr>
                <w:rFonts w:ascii="Times New Roman" w:eastAsia="Times New Roman" w:hAnsi="Times New Roman" w:cs="Times New Roman"/>
                <w:b/>
                <w:color w:val="000000"/>
                <w:sz w:val="20"/>
                <w:szCs w:val="20"/>
                <w:lang w:eastAsia="ro-RO"/>
              </w:rPr>
            </w:pPr>
            <w:r w:rsidRPr="00D15A26">
              <w:rPr>
                <w:rFonts w:ascii="Times New Roman" w:eastAsia="Times New Roman" w:hAnsi="Times New Roman" w:cs="Times New Roman"/>
                <w:b/>
                <w:color w:val="000000"/>
                <w:sz w:val="20"/>
                <w:szCs w:val="20"/>
                <w:lang w:eastAsia="ro-RO"/>
              </w:rPr>
              <w:t>-m</w:t>
            </w:r>
            <w:r w:rsidRPr="00D15A26">
              <w:rPr>
                <w:rFonts w:ascii="Times New Roman" w:eastAsia="Times New Roman" w:hAnsi="Times New Roman" w:cs="Times New Roman"/>
                <w:b/>
                <w:color w:val="000000"/>
                <w:sz w:val="20"/>
                <w:szCs w:val="20"/>
                <w:vertAlign w:val="superscript"/>
                <w:lang w:eastAsia="ro-RO"/>
              </w:rPr>
              <w:t>2</w:t>
            </w:r>
            <w:r w:rsidRPr="00D15A26">
              <w:rPr>
                <w:rFonts w:ascii="Times New Roman" w:eastAsia="Times New Roman" w:hAnsi="Times New Roman" w:cs="Times New Roman"/>
                <w:b/>
                <w:color w:val="000000"/>
                <w:sz w:val="20"/>
                <w:szCs w:val="20"/>
                <w:lang w:eastAsia="ro-RO"/>
              </w:rPr>
              <w:t>-</w:t>
            </w:r>
          </w:p>
        </w:tc>
      </w:tr>
      <w:tr w:rsidR="00D15A26" w:rsidRPr="00D15A26" w:rsidTr="007B67D2">
        <w:trPr>
          <w:trHeight w:val="334"/>
          <w:jc w:val="center"/>
        </w:trPr>
        <w:tc>
          <w:tcPr>
            <w:tcW w:w="1461" w:type="dxa"/>
            <w:vAlign w:val="center"/>
          </w:tcPr>
          <w:p w:rsidR="00D15A26" w:rsidRPr="00D15A26" w:rsidRDefault="00D15A26" w:rsidP="00D15A26">
            <w:pPr>
              <w:spacing w:after="0" w:line="240" w:lineRule="auto"/>
              <w:jc w:val="center"/>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sz w:val="20"/>
                <w:szCs w:val="20"/>
                <w:lang w:eastAsia="ro-RO"/>
              </w:rPr>
              <w:t>9.092.963</w:t>
            </w:r>
          </w:p>
        </w:tc>
        <w:tc>
          <w:tcPr>
            <w:tcW w:w="1565" w:type="dxa"/>
            <w:vAlign w:val="center"/>
          </w:tcPr>
          <w:p w:rsidR="00D15A26" w:rsidRPr="00D15A26" w:rsidRDefault="00D15A26" w:rsidP="00D15A26">
            <w:pPr>
              <w:spacing w:after="0" w:line="240" w:lineRule="auto"/>
              <w:jc w:val="center"/>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sz w:val="20"/>
                <w:szCs w:val="20"/>
                <w:lang w:eastAsia="ro-RO"/>
              </w:rPr>
              <w:t>24.858.411</w:t>
            </w:r>
          </w:p>
        </w:tc>
        <w:tc>
          <w:tcPr>
            <w:tcW w:w="1573" w:type="dxa"/>
            <w:vAlign w:val="center"/>
          </w:tcPr>
          <w:p w:rsidR="00D15A26" w:rsidRPr="00D15A26" w:rsidRDefault="00D15A26" w:rsidP="00D15A26">
            <w:pPr>
              <w:spacing w:after="0" w:line="240" w:lineRule="auto"/>
              <w:jc w:val="center"/>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sz w:val="20"/>
                <w:szCs w:val="20"/>
                <w:lang w:eastAsia="ro-RO"/>
              </w:rPr>
              <w:t>434.017.196</w:t>
            </w:r>
          </w:p>
        </w:tc>
        <w:tc>
          <w:tcPr>
            <w:tcW w:w="1803" w:type="dxa"/>
            <w:vAlign w:val="center"/>
          </w:tcPr>
          <w:p w:rsidR="00D15A26" w:rsidRPr="00D15A26" w:rsidRDefault="00D15A26" w:rsidP="00D15A26">
            <w:pPr>
              <w:spacing w:after="0" w:line="240" w:lineRule="auto"/>
              <w:jc w:val="center"/>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sz w:val="20"/>
                <w:szCs w:val="20"/>
                <w:lang w:eastAsia="ro-RO"/>
              </w:rPr>
              <w:t>2,7</w:t>
            </w:r>
          </w:p>
        </w:tc>
        <w:tc>
          <w:tcPr>
            <w:tcW w:w="1530" w:type="dxa"/>
            <w:vAlign w:val="center"/>
          </w:tcPr>
          <w:p w:rsidR="00D15A26" w:rsidRPr="00D15A26" w:rsidRDefault="00D15A26" w:rsidP="00D15A26">
            <w:pPr>
              <w:spacing w:after="0" w:line="240" w:lineRule="auto"/>
              <w:jc w:val="center"/>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sz w:val="20"/>
                <w:szCs w:val="20"/>
                <w:lang w:eastAsia="ro-RO"/>
              </w:rPr>
              <w:t>17,5</w:t>
            </w:r>
          </w:p>
        </w:tc>
        <w:tc>
          <w:tcPr>
            <w:tcW w:w="1530" w:type="dxa"/>
            <w:vAlign w:val="center"/>
          </w:tcPr>
          <w:p w:rsidR="00D15A26" w:rsidRPr="00D15A26" w:rsidRDefault="00D15A26" w:rsidP="00D15A26">
            <w:pPr>
              <w:spacing w:after="0" w:line="240" w:lineRule="auto"/>
              <w:jc w:val="center"/>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sz w:val="20"/>
                <w:szCs w:val="20"/>
                <w:lang w:eastAsia="ro-RO"/>
              </w:rPr>
              <w:t>47,7</w:t>
            </w:r>
          </w:p>
        </w:tc>
      </w:tr>
    </w:tbl>
    <w:p w:rsidR="00D15A26" w:rsidRPr="00D15A26" w:rsidRDefault="00D15A26" w:rsidP="00D15A26">
      <w:pPr>
        <w:spacing w:after="0" w:line="240" w:lineRule="auto"/>
        <w:jc w:val="center"/>
        <w:rPr>
          <w:rFonts w:ascii="Times New Roman" w:eastAsia="Times New Roman" w:hAnsi="Times New Roman" w:cs="Times New Roman"/>
          <w:b/>
          <w:color w:val="000000"/>
          <w:sz w:val="20"/>
          <w:szCs w:val="27"/>
          <w:lang w:eastAsia="ro-RO"/>
        </w:rPr>
      </w:pPr>
      <w:r w:rsidRPr="00D15A26">
        <w:rPr>
          <w:rFonts w:ascii="Times New Roman" w:eastAsia="Times New Roman" w:hAnsi="Times New Roman" w:cs="Times New Roman"/>
          <w:color w:val="000000"/>
          <w:sz w:val="20"/>
          <w:szCs w:val="27"/>
          <w:lang w:eastAsia="ro-RO"/>
        </w:rPr>
        <w:t xml:space="preserve">Sursa: INS, Fondul de locuințe 2018 </w:t>
      </w:r>
    </w:p>
    <w:p w:rsidR="00D15A26" w:rsidRPr="00D15A26" w:rsidRDefault="00D15A26" w:rsidP="00D15A26">
      <w:pPr>
        <w:spacing w:after="0" w:line="240" w:lineRule="auto"/>
        <w:ind w:firstLine="426"/>
        <w:jc w:val="both"/>
        <w:rPr>
          <w:rFonts w:ascii="Times New Roman" w:eastAsia="Times New Roman" w:hAnsi="Times New Roman" w:cs="Times New Roman"/>
          <w:color w:val="000000"/>
          <w:sz w:val="32"/>
          <w:szCs w:val="27"/>
          <w:lang w:eastAsia="ro-RO"/>
        </w:rPr>
      </w:pPr>
      <w:r w:rsidRPr="00D15A26">
        <w:rPr>
          <w:rFonts w:ascii="Times New Roman" w:eastAsia="Times New Roman" w:hAnsi="Times New Roman" w:cs="Times New Roman"/>
          <w:color w:val="000000"/>
          <w:sz w:val="24"/>
          <w:szCs w:val="27"/>
          <w:lang w:eastAsia="ro-RO"/>
        </w:rPr>
        <w:tab/>
        <w:t>Caracteristicile calitative</w:t>
      </w:r>
      <w:r w:rsidRPr="00D15A26">
        <w:rPr>
          <w:rFonts w:ascii="Times New Roman" w:eastAsia="Times New Roman" w:hAnsi="Times New Roman" w:cs="Times New Roman"/>
          <w:i/>
          <w:color w:val="000000"/>
          <w:sz w:val="24"/>
          <w:szCs w:val="27"/>
          <w:lang w:eastAsia="ro-RO"/>
        </w:rPr>
        <w:t xml:space="preserve"> </w:t>
      </w:r>
      <w:r w:rsidRPr="00D15A26">
        <w:rPr>
          <w:rFonts w:ascii="Times New Roman" w:eastAsia="Times New Roman" w:hAnsi="Times New Roman" w:cs="Times New Roman"/>
          <w:color w:val="000000"/>
          <w:sz w:val="24"/>
          <w:szCs w:val="27"/>
          <w:lang w:eastAsia="ro-RO"/>
        </w:rPr>
        <w:t>sunt următoarele:</w:t>
      </w:r>
    </w:p>
    <w:p w:rsidR="00D15A26" w:rsidRPr="00D15A26" w:rsidRDefault="00D15A26" w:rsidP="00D15A26">
      <w:pPr>
        <w:numPr>
          <w:ilvl w:val="0"/>
          <w:numId w:val="12"/>
        </w:numPr>
        <w:tabs>
          <w:tab w:val="left" w:pos="284"/>
        </w:tabs>
        <w:spacing w:after="0" w:line="240" w:lineRule="auto"/>
        <w:jc w:val="both"/>
        <w:rPr>
          <w:rFonts w:ascii="Times New Roman" w:eastAsia="Times New Roman" w:hAnsi="Times New Roman" w:cs="Times New Roman"/>
          <w:color w:val="000000"/>
          <w:sz w:val="24"/>
          <w:szCs w:val="27"/>
          <w:lang w:eastAsia="ro-RO"/>
        </w:rPr>
      </w:pPr>
      <w:r w:rsidRPr="00D15A26">
        <w:rPr>
          <w:rFonts w:ascii="Times New Roman" w:eastAsia="Times New Roman" w:hAnsi="Times New Roman" w:cs="Times New Roman"/>
          <w:color w:val="000000"/>
          <w:sz w:val="24"/>
          <w:szCs w:val="27"/>
          <w:lang w:eastAsia="ro-RO"/>
        </w:rPr>
        <w:t>piața este alcătuită preponderent din locuințe construite în perioada dinainte de anul 1989;</w:t>
      </w:r>
    </w:p>
    <w:p w:rsidR="00D15A26" w:rsidRPr="00D15A26" w:rsidRDefault="00D15A26" w:rsidP="00D15A26">
      <w:pPr>
        <w:numPr>
          <w:ilvl w:val="0"/>
          <w:numId w:val="12"/>
        </w:numPr>
        <w:tabs>
          <w:tab w:val="left" w:pos="270"/>
        </w:tabs>
        <w:spacing w:after="0" w:line="240" w:lineRule="auto"/>
        <w:jc w:val="both"/>
        <w:rPr>
          <w:rFonts w:ascii="Times New Roman" w:eastAsia="Times New Roman" w:hAnsi="Times New Roman" w:cs="Times New Roman"/>
          <w:color w:val="000000"/>
          <w:sz w:val="24"/>
          <w:szCs w:val="27"/>
          <w:lang w:eastAsia="ro-RO"/>
        </w:rPr>
      </w:pPr>
      <w:r w:rsidRPr="00D15A26">
        <w:rPr>
          <w:rFonts w:ascii="Times New Roman" w:eastAsia="Times New Roman" w:hAnsi="Times New Roman" w:cs="Times New Roman"/>
          <w:color w:val="000000"/>
          <w:sz w:val="24"/>
          <w:szCs w:val="27"/>
          <w:lang w:eastAsia="ro-RO"/>
        </w:rPr>
        <w:t>participanții pe piață sunt, în proporție de 95,7%, proprietari ai unui spațiu locativ;</w:t>
      </w:r>
    </w:p>
    <w:p w:rsidR="00D15A26" w:rsidRPr="00D15A26" w:rsidRDefault="00D15A26" w:rsidP="00D15A26">
      <w:pPr>
        <w:numPr>
          <w:ilvl w:val="0"/>
          <w:numId w:val="12"/>
        </w:numPr>
        <w:tabs>
          <w:tab w:val="left" w:pos="270"/>
        </w:tabs>
        <w:spacing w:after="0" w:line="240" w:lineRule="auto"/>
        <w:jc w:val="both"/>
        <w:rPr>
          <w:rFonts w:ascii="Times New Roman" w:eastAsia="Times New Roman" w:hAnsi="Times New Roman" w:cs="Times New Roman"/>
          <w:color w:val="000000"/>
          <w:sz w:val="24"/>
          <w:szCs w:val="27"/>
          <w:lang w:eastAsia="ro-RO"/>
        </w:rPr>
      </w:pPr>
      <w:r w:rsidRPr="00D15A26">
        <w:rPr>
          <w:rFonts w:ascii="Times New Roman" w:eastAsia="Times New Roman" w:hAnsi="Times New Roman" w:cs="Times New Roman"/>
          <w:color w:val="000000"/>
          <w:sz w:val="24"/>
          <w:szCs w:val="27"/>
          <w:lang w:eastAsia="ro-RO"/>
        </w:rPr>
        <w:t>sursa principală de finanțare a pieței este creditul bancar.</w:t>
      </w:r>
    </w:p>
    <w:p w:rsidR="00D15A26" w:rsidRPr="00D15A26" w:rsidRDefault="00D15A26" w:rsidP="00D15A26">
      <w:pPr>
        <w:spacing w:after="0" w:line="240" w:lineRule="auto"/>
        <w:ind w:firstLine="426"/>
        <w:jc w:val="both"/>
        <w:rPr>
          <w:rFonts w:ascii="Times New Roman" w:eastAsia="Times New Roman" w:hAnsi="Times New Roman" w:cs="Times New Roman"/>
          <w:color w:val="000000"/>
          <w:sz w:val="24"/>
          <w:szCs w:val="27"/>
          <w:lang w:eastAsia="ro-RO"/>
        </w:rPr>
      </w:pPr>
      <w:r w:rsidRPr="00D15A26">
        <w:rPr>
          <w:rFonts w:ascii="Times New Roman" w:eastAsia="Times New Roman" w:hAnsi="Times New Roman" w:cs="Times New Roman"/>
          <w:color w:val="000000"/>
          <w:sz w:val="24"/>
          <w:szCs w:val="27"/>
          <w:lang w:eastAsia="ro-RO"/>
        </w:rPr>
        <w:tab/>
        <w:t>Piața imobiliară este singura piață din România care nu are o autoritate distinctă de supraveghere și reglementare, spre deosebire de alte piețe, cum ar fi: piața bancară, piața asigurărilor sau piața de capital.</w:t>
      </w:r>
    </w:p>
    <w:p w:rsidR="00D15A26" w:rsidRPr="00D15A26" w:rsidRDefault="00D15A26" w:rsidP="00D15A26">
      <w:pPr>
        <w:spacing w:after="0" w:line="240" w:lineRule="auto"/>
        <w:ind w:firstLine="426"/>
        <w:jc w:val="both"/>
        <w:rPr>
          <w:rFonts w:ascii="Times New Roman" w:eastAsia="Times New Roman" w:hAnsi="Times New Roman" w:cs="Times New Roman"/>
          <w:i/>
          <w:color w:val="000000"/>
          <w:sz w:val="24"/>
          <w:szCs w:val="27"/>
          <w:lang w:eastAsia="ro-RO"/>
        </w:rPr>
      </w:pPr>
      <w:r w:rsidRPr="00D15A26">
        <w:rPr>
          <w:rFonts w:ascii="Times New Roman" w:eastAsia="Times New Roman" w:hAnsi="Times New Roman" w:cs="Times New Roman"/>
          <w:color w:val="000000"/>
          <w:sz w:val="24"/>
          <w:szCs w:val="27"/>
          <w:lang w:eastAsia="ro-RO"/>
        </w:rPr>
        <w:tab/>
        <w:t xml:space="preserve">Conform datelor furnizate de INS, piața imobiliară a României cuprinde, la sfârșitul anului 2019 un număr de 9.092.963 locuințe, în creştere cu 61.646 locuinţe (+0,7%), faţă de 2018, mediul urban deținând o pondere de 55% din total. </w:t>
      </w:r>
      <w:r w:rsidRPr="00D15A26">
        <w:rPr>
          <w:rFonts w:ascii="Times New Roman" w:eastAsia="Times New Roman" w:hAnsi="Times New Roman" w:cs="Times New Roman"/>
          <w:sz w:val="24"/>
          <w:szCs w:val="24"/>
          <w:lang w:eastAsia="ro-RO"/>
        </w:rPr>
        <w:t>Creșterea medie anuală a fondului de locuințe în perioada 2014</w:t>
      </w:r>
      <w:r w:rsidRPr="00D15A26">
        <w:rPr>
          <w:rFonts w:ascii="Times New Roman" w:eastAsia="Times New Roman" w:hAnsi="Times New Roman" w:cs="Times New Roman"/>
          <w:b/>
          <w:sz w:val="24"/>
          <w:szCs w:val="24"/>
          <w:lang w:eastAsia="ro-RO"/>
        </w:rPr>
        <w:t>-</w:t>
      </w:r>
      <w:r w:rsidRPr="00D15A26">
        <w:rPr>
          <w:rFonts w:ascii="Times New Roman" w:eastAsia="Times New Roman" w:hAnsi="Times New Roman" w:cs="Times New Roman"/>
          <w:sz w:val="24"/>
          <w:szCs w:val="24"/>
          <w:lang w:eastAsia="ro-RO"/>
        </w:rPr>
        <w:t>2019 a fost de 57.000 locuințe pe an.</w:t>
      </w:r>
    </w:p>
    <w:p w:rsidR="00D15A26" w:rsidRPr="00D15A26" w:rsidRDefault="00D15A26" w:rsidP="00D15A26">
      <w:pPr>
        <w:spacing w:after="0" w:line="240" w:lineRule="auto"/>
        <w:ind w:firstLine="432"/>
        <w:jc w:val="both"/>
        <w:rPr>
          <w:rFonts w:ascii="Times New Roman" w:eastAsia="Times New Roman" w:hAnsi="Times New Roman" w:cs="Times New Roman"/>
          <w:color w:val="000000"/>
          <w:sz w:val="24"/>
          <w:szCs w:val="27"/>
          <w:lang w:eastAsia="ro-RO"/>
        </w:rPr>
      </w:pPr>
      <w:r w:rsidRPr="00D15A26">
        <w:rPr>
          <w:rFonts w:ascii="Times New Roman" w:eastAsia="Times New Roman" w:hAnsi="Times New Roman" w:cs="Times New Roman"/>
          <w:sz w:val="24"/>
          <w:szCs w:val="24"/>
          <w:lang w:eastAsia="ro-RO"/>
        </w:rPr>
        <w:tab/>
      </w:r>
      <w:r w:rsidRPr="00D15A26">
        <w:rPr>
          <w:rFonts w:ascii="Times New Roman" w:eastAsia="Times New Roman" w:hAnsi="Times New Roman" w:cs="Times New Roman"/>
          <w:color w:val="000000"/>
          <w:sz w:val="24"/>
          <w:szCs w:val="27"/>
          <w:lang w:eastAsia="ro-RO"/>
        </w:rPr>
        <w:t xml:space="preserve">Populația României la începutul anului 2019 este de 19.414.458 de locuitori. Dacă vom raporta numărul populației la numărul locuințelor existente, rezultă că la fiecare 2 cetățeni îi revin câte o locuință. </w:t>
      </w:r>
    </w:p>
    <w:p w:rsidR="00D15A26" w:rsidRPr="00D15A26" w:rsidRDefault="00D15A26" w:rsidP="00D15A26">
      <w:pPr>
        <w:spacing w:after="0" w:line="240" w:lineRule="auto"/>
        <w:ind w:firstLine="432"/>
        <w:jc w:val="both"/>
        <w:rPr>
          <w:rFonts w:ascii="Times New Roman" w:eastAsia="Times New Roman" w:hAnsi="Times New Roman" w:cs="Times New Roman"/>
          <w:color w:val="000000"/>
          <w:sz w:val="24"/>
          <w:szCs w:val="27"/>
          <w:lang w:eastAsia="ro-RO"/>
        </w:rPr>
      </w:pPr>
      <w:r w:rsidRPr="00D15A26">
        <w:rPr>
          <w:rFonts w:ascii="Times New Roman" w:eastAsia="Times New Roman" w:hAnsi="Times New Roman" w:cs="Times New Roman"/>
          <w:color w:val="000000"/>
          <w:sz w:val="24"/>
          <w:szCs w:val="27"/>
          <w:lang w:eastAsia="ro-RO"/>
        </w:rPr>
        <w:tab/>
        <w:t xml:space="preserve">Realitatea arată că, deși condițiile de trai se îmbunătățesc de la an la an, marea majoritate a locuințelor au fost construite în perioada socialistă, ceea ce denotă faptul că fondul de locuințe este unul învechit. </w:t>
      </w:r>
    </w:p>
    <w:p w:rsidR="00D15A26" w:rsidRPr="00D15A26" w:rsidRDefault="00D15A26" w:rsidP="00D15A26">
      <w:pPr>
        <w:spacing w:after="0" w:line="240" w:lineRule="auto"/>
        <w:ind w:firstLine="426"/>
        <w:jc w:val="both"/>
        <w:rPr>
          <w:rFonts w:ascii="Times New Roman" w:eastAsia="Times New Roman" w:hAnsi="Times New Roman" w:cs="Times New Roman"/>
          <w:color w:val="000000"/>
          <w:sz w:val="24"/>
          <w:szCs w:val="27"/>
          <w:lang w:val="en-US" w:eastAsia="ro-RO"/>
        </w:rPr>
      </w:pPr>
      <w:r w:rsidRPr="00D15A26">
        <w:rPr>
          <w:rFonts w:ascii="Times New Roman" w:eastAsia="Times New Roman" w:hAnsi="Times New Roman" w:cs="Times New Roman"/>
          <w:sz w:val="24"/>
          <w:szCs w:val="24"/>
          <w:lang w:eastAsia="ro-RO"/>
        </w:rPr>
        <w:tab/>
      </w:r>
      <w:r w:rsidRPr="00D15A26">
        <w:rPr>
          <w:rFonts w:ascii="Times New Roman" w:eastAsia="Times New Roman" w:hAnsi="Times New Roman" w:cs="Times New Roman"/>
          <w:color w:val="000000"/>
          <w:sz w:val="24"/>
          <w:szCs w:val="27"/>
          <w:lang w:eastAsia="ro-RO"/>
        </w:rPr>
        <w:t>Odată cu anul 2008, investițiile în acest sector s</w:t>
      </w:r>
      <w:r w:rsidRPr="00D15A26">
        <w:rPr>
          <w:rFonts w:ascii="Times New Roman" w:eastAsia="Times New Roman" w:hAnsi="Times New Roman" w:cs="Times New Roman"/>
          <w:bCs/>
          <w:color w:val="000000"/>
          <w:sz w:val="24"/>
          <w:szCs w:val="27"/>
          <w:lang w:eastAsia="ro-RO"/>
        </w:rPr>
        <w:t>-</w:t>
      </w:r>
      <w:r w:rsidRPr="00D15A26">
        <w:rPr>
          <w:rFonts w:ascii="Times New Roman" w:eastAsia="Times New Roman" w:hAnsi="Times New Roman" w:cs="Times New Roman"/>
          <w:color w:val="000000"/>
          <w:sz w:val="24"/>
          <w:szCs w:val="27"/>
          <w:lang w:eastAsia="ro-RO"/>
        </w:rPr>
        <w:t xml:space="preserve">au micșorat brusc, iar efectul a fost reducerea numărului de locuințe finalizate în cursul anilor următori. </w:t>
      </w:r>
      <w:r w:rsidRPr="00D15A26">
        <w:rPr>
          <w:rFonts w:ascii="Times New Roman" w:eastAsia="Times New Roman" w:hAnsi="Times New Roman" w:cs="Times New Roman"/>
          <w:color w:val="000000"/>
          <w:sz w:val="24"/>
          <w:szCs w:val="27"/>
          <w:lang w:val="en-US" w:eastAsia="ro-RO"/>
        </w:rPr>
        <w:t>Acest fapt ne sugerează următoarele concluzii:</w:t>
      </w:r>
    </w:p>
    <w:p w:rsidR="00D15A26" w:rsidRPr="00D15A26" w:rsidRDefault="00D15A26" w:rsidP="00D15A26">
      <w:pPr>
        <w:numPr>
          <w:ilvl w:val="0"/>
          <w:numId w:val="2"/>
        </w:numPr>
        <w:tabs>
          <w:tab w:val="left" w:pos="180"/>
        </w:tabs>
        <w:spacing w:after="0" w:line="240" w:lineRule="auto"/>
        <w:jc w:val="both"/>
        <w:rPr>
          <w:rFonts w:ascii="Times New Roman" w:eastAsia="Times New Roman" w:hAnsi="Times New Roman" w:cs="Times New Roman"/>
          <w:color w:val="000000"/>
          <w:sz w:val="24"/>
          <w:szCs w:val="27"/>
          <w:lang w:val="en-US" w:eastAsia="ro-RO"/>
        </w:rPr>
      </w:pPr>
      <w:r w:rsidRPr="00D15A26">
        <w:rPr>
          <w:rFonts w:ascii="Times New Roman" w:eastAsia="Times New Roman" w:hAnsi="Times New Roman" w:cs="Times New Roman"/>
          <w:color w:val="000000"/>
          <w:sz w:val="24"/>
          <w:szCs w:val="27"/>
          <w:lang w:val="en-US" w:eastAsia="ro-RO"/>
        </w:rPr>
        <w:t>efectele crizei au afectat profund piața imobiliară, nefiind suficienți nici 11 ani pentru ca aceasta să revină, cel puțin, la nivelul pe care l</w:t>
      </w:r>
      <w:r w:rsidRPr="00D15A26">
        <w:rPr>
          <w:rFonts w:ascii="Times New Roman" w:eastAsia="Times New Roman" w:hAnsi="Times New Roman" w:cs="Times New Roman"/>
          <w:b/>
          <w:color w:val="000000"/>
          <w:sz w:val="24"/>
          <w:szCs w:val="27"/>
          <w:lang w:val="en-US" w:eastAsia="ro-RO"/>
        </w:rPr>
        <w:t>-</w:t>
      </w:r>
      <w:r w:rsidRPr="00D15A26">
        <w:rPr>
          <w:rFonts w:ascii="Times New Roman" w:eastAsia="Times New Roman" w:hAnsi="Times New Roman" w:cs="Times New Roman"/>
          <w:color w:val="000000"/>
          <w:sz w:val="24"/>
          <w:szCs w:val="27"/>
          <w:lang w:val="en-US" w:eastAsia="ro-RO"/>
        </w:rPr>
        <w:t>a cunoscut în anul 2008;</w:t>
      </w:r>
    </w:p>
    <w:p w:rsidR="00D15A26" w:rsidRPr="00D15A26" w:rsidRDefault="00D15A26" w:rsidP="00D15A26">
      <w:pPr>
        <w:numPr>
          <w:ilvl w:val="0"/>
          <w:numId w:val="2"/>
        </w:numPr>
        <w:tabs>
          <w:tab w:val="left" w:pos="180"/>
        </w:tabs>
        <w:spacing w:after="0" w:line="240" w:lineRule="auto"/>
        <w:jc w:val="both"/>
        <w:rPr>
          <w:rFonts w:ascii="Times New Roman" w:eastAsia="Times New Roman" w:hAnsi="Times New Roman" w:cs="Times New Roman"/>
          <w:color w:val="000000"/>
          <w:sz w:val="24"/>
          <w:szCs w:val="27"/>
          <w:lang w:val="en-US" w:eastAsia="ro-RO"/>
        </w:rPr>
      </w:pPr>
      <w:r w:rsidRPr="00D15A26">
        <w:rPr>
          <w:rFonts w:ascii="Times New Roman" w:eastAsia="Times New Roman" w:hAnsi="Times New Roman" w:cs="Times New Roman"/>
          <w:color w:val="000000"/>
          <w:sz w:val="24"/>
          <w:szCs w:val="27"/>
          <w:lang w:val="en-US" w:eastAsia="ro-RO"/>
        </w:rPr>
        <w:t xml:space="preserve"> numărul autorizațiilor emise în perioada de dinaintea crizei denotă faptul că potențialul cererii este cu mult mai mare decât cel înregistrat în 2019.</w:t>
      </w:r>
      <w:r w:rsidRPr="00D15A26">
        <w:rPr>
          <w:rFonts w:ascii="Times New Roman" w:eastAsia="Times New Roman" w:hAnsi="Times New Roman" w:cs="Times New Roman"/>
          <w:b/>
          <w:bCs/>
          <w:iCs/>
          <w:sz w:val="24"/>
          <w:szCs w:val="28"/>
          <w:lang w:eastAsia="ro-RO"/>
        </w:rPr>
        <w:t xml:space="preserve"> </w:t>
      </w:r>
    </w:p>
    <w:p w:rsidR="00D15A26" w:rsidRPr="00D15A26" w:rsidRDefault="00D15A26" w:rsidP="00D15A26">
      <w:pPr>
        <w:spacing w:after="0" w:line="240" w:lineRule="auto"/>
        <w:ind w:firstLine="426"/>
        <w:jc w:val="both"/>
        <w:rPr>
          <w:rFonts w:ascii="Times New Roman" w:eastAsia="Times New Roman" w:hAnsi="Times New Roman" w:cs="Times New Roman"/>
          <w:color w:val="000000"/>
          <w:sz w:val="24"/>
          <w:szCs w:val="27"/>
          <w:lang w:eastAsia="ro-RO"/>
        </w:rPr>
      </w:pPr>
      <w:r w:rsidRPr="00D15A26">
        <w:rPr>
          <w:rFonts w:ascii="Times New Roman" w:eastAsia="Times New Roman" w:hAnsi="Times New Roman" w:cs="Times New Roman"/>
          <w:color w:val="000000"/>
          <w:sz w:val="24"/>
          <w:szCs w:val="27"/>
          <w:lang w:eastAsia="ro-RO"/>
        </w:rPr>
        <w:t>Dinamica evoluției autorizațiilor este prezentată în graficul următor:</w:t>
      </w:r>
    </w:p>
    <w:p w:rsidR="00D15A26" w:rsidRPr="00D15A26" w:rsidRDefault="00D15A26" w:rsidP="00D15A26">
      <w:pPr>
        <w:spacing w:after="0" w:line="240" w:lineRule="auto"/>
        <w:jc w:val="center"/>
        <w:rPr>
          <w:rFonts w:ascii="Times New Roman" w:eastAsia="Times New Roman" w:hAnsi="Times New Roman" w:cs="Times New Roman"/>
          <w:lang w:eastAsia="ro-RO"/>
        </w:rPr>
      </w:pPr>
      <w:r w:rsidRPr="00D15A26">
        <w:rPr>
          <w:rFonts w:ascii="Times New Roman" w:eastAsia="Times New Roman" w:hAnsi="Times New Roman" w:cs="Times New Roman"/>
          <w:noProof/>
          <w:lang w:eastAsia="ro-RO"/>
        </w:rPr>
        <w:lastRenderedPageBreak/>
        <w:drawing>
          <wp:inline distT="0" distB="0" distL="0" distR="0" wp14:anchorId="0DA81FA9" wp14:editId="05D3490D">
            <wp:extent cx="5788324" cy="1639019"/>
            <wp:effectExtent l="0" t="0" r="3175" b="0"/>
            <wp:docPr id="1" name="Diagramă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bookmarkStart w:id="5" w:name="_Toc41335433"/>
      <w:bookmarkStart w:id="6" w:name="_Toc41335573"/>
      <w:bookmarkStart w:id="7" w:name="_Toc41335633"/>
      <w:bookmarkStart w:id="8" w:name="_Toc41335750"/>
      <w:bookmarkStart w:id="9" w:name="_Toc41335791"/>
      <w:bookmarkStart w:id="10" w:name="_Toc41397976"/>
      <w:r w:rsidRPr="00D15A26">
        <w:rPr>
          <w:rFonts w:ascii="Times New Roman" w:eastAsia="Times New Roman" w:hAnsi="Times New Roman" w:cs="Times New Roman"/>
          <w:sz w:val="20"/>
          <w:szCs w:val="20"/>
          <w:lang w:eastAsia="ro-RO"/>
        </w:rPr>
        <w:t xml:space="preserve">Sursa: elaborat  pe baza datelor furnizate de INS, </w:t>
      </w:r>
      <w:hyperlink r:id="rId10" w:history="1">
        <w:r w:rsidRPr="00D15A26">
          <w:rPr>
            <w:rFonts w:ascii="Times New Roman" w:eastAsia="Times New Roman" w:hAnsi="Times New Roman" w:cs="Times New Roman"/>
            <w:color w:val="0000FF" w:themeColor="hyperlink"/>
            <w:sz w:val="20"/>
            <w:szCs w:val="20"/>
            <w:u w:val="single"/>
            <w:lang w:eastAsia="ro-RO"/>
          </w:rPr>
          <w:t>www.insse.ro</w:t>
        </w:r>
      </w:hyperlink>
      <w:r w:rsidRPr="00D15A26">
        <w:rPr>
          <w:rFonts w:ascii="Times New Roman" w:eastAsia="Times New Roman" w:hAnsi="Times New Roman" w:cs="Times New Roman"/>
          <w:sz w:val="20"/>
          <w:szCs w:val="20"/>
          <w:lang w:eastAsia="ro-RO"/>
        </w:rPr>
        <w:t xml:space="preserve"> accesat la 20.05.2020</w:t>
      </w:r>
    </w:p>
    <w:p w:rsidR="00D15A26" w:rsidRPr="00D15A26" w:rsidRDefault="00D15A26" w:rsidP="00D15A26">
      <w:pPr>
        <w:spacing w:after="0" w:line="240" w:lineRule="auto"/>
        <w:jc w:val="center"/>
        <w:rPr>
          <w:rFonts w:ascii="Times New Roman" w:eastAsia="Times New Roman" w:hAnsi="Times New Roman" w:cs="Times New Roman"/>
          <w:b/>
          <w:bCs/>
          <w:sz w:val="24"/>
          <w:lang w:eastAsia="ro-RO"/>
        </w:rPr>
      </w:pPr>
      <w:bookmarkStart w:id="11" w:name="_Hlk51758773"/>
      <w:bookmarkStart w:id="12" w:name="_Toc41760437"/>
      <w:r w:rsidRPr="00D15A26">
        <w:rPr>
          <w:rFonts w:ascii="Times New Roman" w:eastAsia="Times New Roman" w:hAnsi="Times New Roman" w:cs="Times New Roman"/>
          <w:b/>
          <w:bCs/>
          <w:sz w:val="20"/>
          <w:szCs w:val="18"/>
          <w:lang w:eastAsia="ro-RO"/>
        </w:rPr>
        <w:t xml:space="preserve">Chart no.1 </w:t>
      </w:r>
      <w:bookmarkEnd w:id="11"/>
      <w:r w:rsidRPr="00D15A26">
        <w:rPr>
          <w:rFonts w:ascii="Times New Roman" w:eastAsia="Times New Roman" w:hAnsi="Times New Roman" w:cs="Times New Roman"/>
          <w:b/>
          <w:bCs/>
          <w:sz w:val="20"/>
          <w:szCs w:val="18"/>
          <w:lang w:eastAsia="ro-RO"/>
        </w:rPr>
        <w:t>Autorizații de construire eliberate pentru clădiri rezidențiale</w:t>
      </w:r>
      <w:bookmarkStart w:id="13" w:name="_Toc41330439"/>
      <w:bookmarkEnd w:id="5"/>
      <w:bookmarkEnd w:id="6"/>
      <w:bookmarkEnd w:id="7"/>
      <w:bookmarkEnd w:id="8"/>
      <w:bookmarkEnd w:id="9"/>
      <w:bookmarkEnd w:id="10"/>
      <w:bookmarkEnd w:id="12"/>
    </w:p>
    <w:bookmarkEnd w:id="13"/>
    <w:p w:rsidR="00D15A26" w:rsidRPr="00D15A26" w:rsidRDefault="00D15A26" w:rsidP="00D15A26">
      <w:pPr>
        <w:spacing w:after="0" w:line="240" w:lineRule="auto"/>
        <w:ind w:firstLine="426"/>
        <w:jc w:val="both"/>
        <w:rPr>
          <w:rFonts w:ascii="Times New Roman" w:eastAsia="Times New Roman" w:hAnsi="Times New Roman" w:cs="Times New Roman"/>
          <w:bCs/>
          <w:iCs/>
          <w:sz w:val="24"/>
          <w:szCs w:val="28"/>
          <w:lang w:eastAsia="ro-RO"/>
        </w:rPr>
      </w:pPr>
      <w:r w:rsidRPr="00D15A26">
        <w:rPr>
          <w:rFonts w:ascii="Times New Roman" w:eastAsia="Times New Roman" w:hAnsi="Times New Roman" w:cs="Times New Roman"/>
          <w:bCs/>
          <w:iCs/>
          <w:sz w:val="24"/>
          <w:szCs w:val="28"/>
          <w:lang w:eastAsia="ro-RO"/>
        </w:rPr>
        <w:tab/>
        <w:t>Piața imobiliară este alcătuită din două componente principale: piața imobiliară rezidențială și piața imobiliară comercială.</w:t>
      </w:r>
    </w:p>
    <w:p w:rsidR="00D15A26" w:rsidRPr="00D15A26" w:rsidRDefault="00D15A26" w:rsidP="00D15A26">
      <w:pPr>
        <w:spacing w:after="0" w:line="240" w:lineRule="auto"/>
        <w:ind w:firstLine="426"/>
        <w:jc w:val="both"/>
        <w:rPr>
          <w:rFonts w:ascii="Times New Roman" w:eastAsia="Times New Roman" w:hAnsi="Times New Roman" w:cs="Times New Roman"/>
          <w:sz w:val="24"/>
          <w:lang w:eastAsia="ro-RO"/>
        </w:rPr>
      </w:pPr>
      <w:r w:rsidRPr="00D15A26">
        <w:rPr>
          <w:rFonts w:ascii="Times New Roman" w:eastAsia="Times New Roman" w:hAnsi="Times New Roman" w:cs="Times New Roman"/>
          <w:sz w:val="24"/>
          <w:lang w:eastAsia="ro-RO"/>
        </w:rPr>
        <w:tab/>
        <w:t>În cadrul pieței imobiliare, piața rezidențială joacă rolul principal această categorie dând direcție evoluției pieței imobiliare.</w:t>
      </w:r>
    </w:p>
    <w:p w:rsidR="00D15A26" w:rsidRPr="00D15A26" w:rsidRDefault="00D15A26" w:rsidP="00D15A26">
      <w:pPr>
        <w:spacing w:after="0" w:line="240" w:lineRule="auto"/>
        <w:ind w:firstLine="432"/>
        <w:jc w:val="both"/>
        <w:rPr>
          <w:rFonts w:ascii="Times New Roman" w:eastAsia="Times New Roman" w:hAnsi="Times New Roman" w:cs="Times New Roman"/>
          <w:i/>
          <w:sz w:val="24"/>
          <w:lang w:eastAsia="ro-RO"/>
        </w:rPr>
      </w:pPr>
      <w:r w:rsidRPr="00D15A26">
        <w:rPr>
          <w:rFonts w:ascii="Times New Roman" w:eastAsia="Times New Roman" w:hAnsi="Times New Roman" w:cs="Times New Roman"/>
          <w:sz w:val="24"/>
          <w:lang w:eastAsia="ro-RO"/>
        </w:rPr>
        <w:tab/>
        <w:t>Conform publicației periodice a INS „</w:t>
      </w:r>
      <w:r w:rsidRPr="00D15A26">
        <w:rPr>
          <w:rFonts w:ascii="Times New Roman" w:eastAsia="Times New Roman" w:hAnsi="Times New Roman" w:cs="Times New Roman"/>
          <w:i/>
          <w:sz w:val="24"/>
          <w:lang w:eastAsia="ro-RO"/>
        </w:rPr>
        <w:t>Fondul de locuințe</w:t>
      </w:r>
      <w:r w:rsidRPr="00D15A26">
        <w:rPr>
          <w:rFonts w:ascii="Times New Roman" w:eastAsia="Times New Roman" w:hAnsi="Times New Roman" w:cs="Times New Roman"/>
          <w:sz w:val="24"/>
          <w:lang w:eastAsia="ro-RO"/>
        </w:rPr>
        <w:t>”, soldul fondului de locuințe în România pentru perioada 2014-2019 este prezentat în tabelul următor</w:t>
      </w:r>
      <w:r w:rsidRPr="00D15A26">
        <w:rPr>
          <w:rFonts w:ascii="Times New Roman" w:eastAsia="Times New Roman" w:hAnsi="Times New Roman" w:cs="Times New Roman"/>
          <w:i/>
          <w:sz w:val="24"/>
          <w:lang w:eastAsia="ro-RO"/>
        </w:rPr>
        <w:t>.</w:t>
      </w:r>
    </w:p>
    <w:p w:rsidR="00D15A26" w:rsidRPr="00D15A26" w:rsidRDefault="00D15A26" w:rsidP="00D15A26">
      <w:pPr>
        <w:spacing w:after="0" w:line="240" w:lineRule="auto"/>
        <w:jc w:val="center"/>
        <w:rPr>
          <w:rFonts w:ascii="Times New Roman" w:eastAsia="Times New Roman" w:hAnsi="Times New Roman" w:cs="Times New Roman"/>
          <w:b/>
          <w:bCs/>
          <w:sz w:val="20"/>
          <w:szCs w:val="18"/>
          <w:lang w:eastAsia="ro-RO"/>
        </w:rPr>
      </w:pPr>
      <w:bookmarkStart w:id="14" w:name="_Toc41335686"/>
      <w:bookmarkStart w:id="15" w:name="_Toc41760458"/>
      <w:r w:rsidRPr="00D15A26">
        <w:rPr>
          <w:rFonts w:ascii="Times New Roman" w:eastAsia="Times New Roman" w:hAnsi="Times New Roman" w:cs="Times New Roman"/>
          <w:b/>
          <w:bCs/>
          <w:sz w:val="20"/>
          <w:szCs w:val="18"/>
          <w:lang w:eastAsia="ro-RO"/>
        </w:rPr>
        <w:t>Table no.2 Evoluția fondului de locuințe a României în perioada 2014-201</w:t>
      </w:r>
      <w:bookmarkEnd w:id="14"/>
      <w:r w:rsidRPr="00D15A26">
        <w:rPr>
          <w:rFonts w:ascii="Times New Roman" w:eastAsia="Times New Roman" w:hAnsi="Times New Roman" w:cs="Times New Roman"/>
          <w:b/>
          <w:bCs/>
          <w:sz w:val="20"/>
          <w:szCs w:val="18"/>
          <w:lang w:eastAsia="ro-RO"/>
        </w:rPr>
        <w:t>9</w:t>
      </w:r>
      <w:bookmarkEnd w:id="15"/>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1103"/>
        <w:gridCol w:w="1094"/>
        <w:gridCol w:w="1093"/>
        <w:gridCol w:w="1093"/>
        <w:gridCol w:w="1093"/>
        <w:gridCol w:w="1094"/>
      </w:tblGrid>
      <w:tr w:rsidR="00D15A26" w:rsidRPr="00D15A26" w:rsidTr="007B67D2">
        <w:trPr>
          <w:trHeight w:val="283"/>
          <w:jc w:val="center"/>
        </w:trPr>
        <w:tc>
          <w:tcPr>
            <w:tcW w:w="2970"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sz w:val="20"/>
                <w:lang w:eastAsia="ro-RO"/>
              </w:rPr>
            </w:pPr>
            <w:r w:rsidRPr="00D15A26">
              <w:rPr>
                <w:rFonts w:ascii="Times New Roman" w:eastAsia="Times New Roman" w:hAnsi="Times New Roman" w:cs="Times New Roman"/>
                <w:b/>
                <w:sz w:val="20"/>
                <w:lang w:eastAsia="ro-RO"/>
              </w:rPr>
              <w:t>Indicator</w:t>
            </w:r>
          </w:p>
        </w:tc>
        <w:tc>
          <w:tcPr>
            <w:tcW w:w="1103"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sz w:val="20"/>
                <w:lang w:eastAsia="ro-RO"/>
              </w:rPr>
            </w:pPr>
            <w:r w:rsidRPr="00D15A26">
              <w:rPr>
                <w:rFonts w:ascii="Times New Roman" w:eastAsia="Times New Roman" w:hAnsi="Times New Roman" w:cs="Times New Roman"/>
                <w:b/>
                <w:sz w:val="20"/>
                <w:lang w:eastAsia="ro-RO"/>
              </w:rPr>
              <w:t>2014</w:t>
            </w:r>
          </w:p>
        </w:tc>
        <w:tc>
          <w:tcPr>
            <w:tcW w:w="1094"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sz w:val="20"/>
                <w:lang w:eastAsia="ro-RO"/>
              </w:rPr>
            </w:pPr>
            <w:r w:rsidRPr="00D15A26">
              <w:rPr>
                <w:rFonts w:ascii="Times New Roman" w:eastAsia="Times New Roman" w:hAnsi="Times New Roman" w:cs="Times New Roman"/>
                <w:b/>
                <w:sz w:val="20"/>
                <w:lang w:eastAsia="ro-RO"/>
              </w:rPr>
              <w:t>2015</w:t>
            </w:r>
          </w:p>
        </w:tc>
        <w:tc>
          <w:tcPr>
            <w:tcW w:w="1093"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sz w:val="20"/>
                <w:lang w:eastAsia="ro-RO"/>
              </w:rPr>
            </w:pPr>
            <w:r w:rsidRPr="00D15A26">
              <w:rPr>
                <w:rFonts w:ascii="Times New Roman" w:eastAsia="Times New Roman" w:hAnsi="Times New Roman" w:cs="Times New Roman"/>
                <w:b/>
                <w:sz w:val="20"/>
                <w:lang w:eastAsia="ro-RO"/>
              </w:rPr>
              <w:t>2016</w:t>
            </w:r>
          </w:p>
        </w:tc>
        <w:tc>
          <w:tcPr>
            <w:tcW w:w="1093"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sz w:val="20"/>
                <w:lang w:eastAsia="ro-RO"/>
              </w:rPr>
            </w:pPr>
            <w:r w:rsidRPr="00D15A26">
              <w:rPr>
                <w:rFonts w:ascii="Times New Roman" w:eastAsia="Times New Roman" w:hAnsi="Times New Roman" w:cs="Times New Roman"/>
                <w:b/>
                <w:sz w:val="20"/>
                <w:lang w:eastAsia="ro-RO"/>
              </w:rPr>
              <w:t>2017</w:t>
            </w:r>
          </w:p>
        </w:tc>
        <w:tc>
          <w:tcPr>
            <w:tcW w:w="1093"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sz w:val="20"/>
                <w:lang w:eastAsia="ro-RO"/>
              </w:rPr>
            </w:pPr>
            <w:r w:rsidRPr="00D15A26">
              <w:rPr>
                <w:rFonts w:ascii="Times New Roman" w:eastAsia="Times New Roman" w:hAnsi="Times New Roman" w:cs="Times New Roman"/>
                <w:b/>
                <w:sz w:val="20"/>
                <w:lang w:eastAsia="ro-RO"/>
              </w:rPr>
              <w:t>2018</w:t>
            </w:r>
          </w:p>
        </w:tc>
        <w:tc>
          <w:tcPr>
            <w:tcW w:w="1094"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sz w:val="20"/>
                <w:lang w:eastAsia="ro-RO"/>
              </w:rPr>
            </w:pPr>
            <w:r w:rsidRPr="00D15A26">
              <w:rPr>
                <w:rFonts w:ascii="Times New Roman" w:eastAsia="Times New Roman" w:hAnsi="Times New Roman" w:cs="Times New Roman"/>
                <w:b/>
                <w:sz w:val="20"/>
                <w:lang w:eastAsia="ro-RO"/>
              </w:rPr>
              <w:t>2019</w:t>
            </w:r>
          </w:p>
        </w:tc>
      </w:tr>
      <w:tr w:rsidR="00D15A26" w:rsidRPr="00D15A26" w:rsidTr="007B67D2">
        <w:trPr>
          <w:jc w:val="center"/>
        </w:trPr>
        <w:tc>
          <w:tcPr>
            <w:tcW w:w="2970" w:type="dxa"/>
            <w:vAlign w:val="center"/>
          </w:tcPr>
          <w:p w:rsidR="00D15A26" w:rsidRPr="00D15A26" w:rsidRDefault="00D15A26" w:rsidP="00D15A26">
            <w:pPr>
              <w:spacing w:after="0" w:line="240" w:lineRule="auto"/>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Existent la începutul anului</w:t>
            </w:r>
          </w:p>
        </w:tc>
        <w:tc>
          <w:tcPr>
            <w:tcW w:w="1103"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8.799.832</w:t>
            </w:r>
          </w:p>
        </w:tc>
        <w:tc>
          <w:tcPr>
            <w:tcW w:w="1094"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8.840.595</w:t>
            </w:r>
          </w:p>
        </w:tc>
        <w:tc>
          <w:tcPr>
            <w:tcW w:w="1093"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8.882.090</w:t>
            </w:r>
          </w:p>
        </w:tc>
        <w:tc>
          <w:tcPr>
            <w:tcW w:w="1093"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8.929.167</w:t>
            </w:r>
          </w:p>
        </w:tc>
        <w:tc>
          <w:tcPr>
            <w:tcW w:w="1093"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8.976.794</w:t>
            </w:r>
          </w:p>
        </w:tc>
        <w:tc>
          <w:tcPr>
            <w:tcW w:w="1094"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9.031.317</w:t>
            </w:r>
          </w:p>
        </w:tc>
      </w:tr>
      <w:tr w:rsidR="00D15A26" w:rsidRPr="00D15A26" w:rsidTr="007B67D2">
        <w:trPr>
          <w:jc w:val="center"/>
        </w:trPr>
        <w:tc>
          <w:tcPr>
            <w:tcW w:w="2970" w:type="dxa"/>
            <w:vAlign w:val="center"/>
          </w:tcPr>
          <w:p w:rsidR="00D15A26" w:rsidRPr="00D15A26" w:rsidRDefault="00D15A26" w:rsidP="00D15A26">
            <w:pPr>
              <w:spacing w:after="0" w:line="240" w:lineRule="auto"/>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Intrări:</w:t>
            </w:r>
          </w:p>
        </w:tc>
        <w:tc>
          <w:tcPr>
            <w:tcW w:w="1103"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w:t>
            </w:r>
          </w:p>
        </w:tc>
        <w:tc>
          <w:tcPr>
            <w:tcW w:w="1094"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47.252</w:t>
            </w:r>
          </w:p>
        </w:tc>
        <w:tc>
          <w:tcPr>
            <w:tcW w:w="1093"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52.560</w:t>
            </w:r>
          </w:p>
        </w:tc>
        <w:tc>
          <w:tcPr>
            <w:tcW w:w="1093"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54.748</w:t>
            </w:r>
          </w:p>
        </w:tc>
        <w:tc>
          <w:tcPr>
            <w:tcW w:w="1093"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60.839</w:t>
            </w:r>
          </w:p>
        </w:tc>
        <w:tc>
          <w:tcPr>
            <w:tcW w:w="1094"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68.515</w:t>
            </w:r>
          </w:p>
        </w:tc>
      </w:tr>
      <w:tr w:rsidR="00D15A26" w:rsidRPr="00D15A26" w:rsidTr="007B67D2">
        <w:trPr>
          <w:jc w:val="center"/>
        </w:trPr>
        <w:tc>
          <w:tcPr>
            <w:tcW w:w="2970" w:type="dxa"/>
            <w:shd w:val="clear" w:color="auto" w:fill="DBE5F1" w:themeFill="accent1" w:themeFillTint="33"/>
            <w:vAlign w:val="center"/>
          </w:tcPr>
          <w:p w:rsidR="00D15A26" w:rsidRPr="00D15A26" w:rsidRDefault="00D15A26" w:rsidP="00D15A26">
            <w:pPr>
              <w:numPr>
                <w:ilvl w:val="0"/>
                <w:numId w:val="4"/>
              </w:numPr>
              <w:spacing w:after="0" w:line="240" w:lineRule="auto"/>
              <w:contextualSpacing/>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-construcţii noi şi adăugiri la cele existente</w:t>
            </w:r>
          </w:p>
        </w:tc>
        <w:tc>
          <w:tcPr>
            <w:tcW w:w="1103"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44.984</w:t>
            </w:r>
          </w:p>
        </w:tc>
        <w:tc>
          <w:tcPr>
            <w:tcW w:w="1094"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46.984</w:t>
            </w:r>
          </w:p>
        </w:tc>
        <w:tc>
          <w:tcPr>
            <w:tcW w:w="1093"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52.206</w:t>
            </w:r>
          </w:p>
        </w:tc>
        <w:tc>
          <w:tcPr>
            <w:tcW w:w="1093"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53.347</w:t>
            </w:r>
          </w:p>
        </w:tc>
        <w:tc>
          <w:tcPr>
            <w:tcW w:w="1093"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59.713</w:t>
            </w:r>
          </w:p>
        </w:tc>
        <w:tc>
          <w:tcPr>
            <w:tcW w:w="1094"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67.488</w:t>
            </w:r>
          </w:p>
        </w:tc>
      </w:tr>
      <w:tr w:rsidR="00D15A26" w:rsidRPr="00D15A26" w:rsidTr="007B67D2">
        <w:trPr>
          <w:jc w:val="center"/>
        </w:trPr>
        <w:tc>
          <w:tcPr>
            <w:tcW w:w="2970" w:type="dxa"/>
            <w:vAlign w:val="center"/>
          </w:tcPr>
          <w:p w:rsidR="00D15A26" w:rsidRPr="00D15A26" w:rsidRDefault="00D15A26" w:rsidP="00D15A26">
            <w:pPr>
              <w:numPr>
                <w:ilvl w:val="0"/>
                <w:numId w:val="4"/>
              </w:numPr>
              <w:spacing w:after="0" w:line="240" w:lineRule="auto"/>
              <w:contextualSpacing/>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-schimbare din spaţii cu altă destinaţie</w:t>
            </w:r>
          </w:p>
        </w:tc>
        <w:tc>
          <w:tcPr>
            <w:tcW w:w="1103"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w:t>
            </w:r>
          </w:p>
        </w:tc>
        <w:tc>
          <w:tcPr>
            <w:tcW w:w="1094"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268</w:t>
            </w:r>
          </w:p>
        </w:tc>
        <w:tc>
          <w:tcPr>
            <w:tcW w:w="1093"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354</w:t>
            </w:r>
          </w:p>
        </w:tc>
        <w:tc>
          <w:tcPr>
            <w:tcW w:w="1093"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1.401</w:t>
            </w:r>
          </w:p>
        </w:tc>
        <w:tc>
          <w:tcPr>
            <w:tcW w:w="1093"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1.126</w:t>
            </w:r>
          </w:p>
        </w:tc>
        <w:tc>
          <w:tcPr>
            <w:tcW w:w="1094"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1.027</w:t>
            </w:r>
          </w:p>
        </w:tc>
      </w:tr>
      <w:tr w:rsidR="00D15A26" w:rsidRPr="00D15A26" w:rsidTr="007B67D2">
        <w:trPr>
          <w:jc w:val="center"/>
        </w:trPr>
        <w:tc>
          <w:tcPr>
            <w:tcW w:w="2970" w:type="dxa"/>
            <w:shd w:val="clear" w:color="auto" w:fill="DBE5F1" w:themeFill="accent1" w:themeFillTint="33"/>
            <w:vAlign w:val="center"/>
          </w:tcPr>
          <w:p w:rsidR="00D15A26" w:rsidRPr="00D15A26" w:rsidRDefault="00D15A26" w:rsidP="00D15A26">
            <w:pPr>
              <w:spacing w:after="0" w:line="240" w:lineRule="auto"/>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Existent la sfârşitul anului</w:t>
            </w:r>
          </w:p>
        </w:tc>
        <w:tc>
          <w:tcPr>
            <w:tcW w:w="1103"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8.840.595</w:t>
            </w:r>
          </w:p>
        </w:tc>
        <w:tc>
          <w:tcPr>
            <w:tcW w:w="1094"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8.882.090</w:t>
            </w:r>
          </w:p>
        </w:tc>
        <w:tc>
          <w:tcPr>
            <w:tcW w:w="1093"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8.929.167</w:t>
            </w:r>
          </w:p>
        </w:tc>
        <w:tc>
          <w:tcPr>
            <w:tcW w:w="1093"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8.976.794</w:t>
            </w:r>
          </w:p>
        </w:tc>
        <w:tc>
          <w:tcPr>
            <w:tcW w:w="1093"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9.031.317</w:t>
            </w:r>
          </w:p>
        </w:tc>
        <w:tc>
          <w:tcPr>
            <w:tcW w:w="1094"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9.092.963</w:t>
            </w:r>
          </w:p>
        </w:tc>
      </w:tr>
      <w:tr w:rsidR="00D15A26" w:rsidRPr="00D15A26" w:rsidTr="007B67D2">
        <w:trPr>
          <w:jc w:val="center"/>
        </w:trPr>
        <w:tc>
          <w:tcPr>
            <w:tcW w:w="2970" w:type="dxa"/>
            <w:vAlign w:val="center"/>
          </w:tcPr>
          <w:p w:rsidR="00D15A26" w:rsidRPr="00D15A26" w:rsidRDefault="00D15A26" w:rsidP="00D15A26">
            <w:pPr>
              <w:spacing w:after="0" w:line="240" w:lineRule="auto"/>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Locuinţe din fonduri proprii (inclusiv credite) ale PF</w:t>
            </w:r>
          </w:p>
        </w:tc>
        <w:tc>
          <w:tcPr>
            <w:tcW w:w="1103"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w:t>
            </w:r>
          </w:p>
        </w:tc>
        <w:tc>
          <w:tcPr>
            <w:tcW w:w="1094"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44.100</w:t>
            </w:r>
          </w:p>
        </w:tc>
        <w:tc>
          <w:tcPr>
            <w:tcW w:w="1093"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49.404</w:t>
            </w:r>
          </w:p>
        </w:tc>
        <w:tc>
          <w:tcPr>
            <w:tcW w:w="1093"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48.790</w:t>
            </w:r>
          </w:p>
        </w:tc>
        <w:tc>
          <w:tcPr>
            <w:tcW w:w="1093"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51.237</w:t>
            </w:r>
          </w:p>
        </w:tc>
        <w:tc>
          <w:tcPr>
            <w:tcW w:w="1094"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lang w:eastAsia="ro-RO"/>
              </w:rPr>
            </w:pPr>
            <w:r w:rsidRPr="00D15A26">
              <w:rPr>
                <w:rFonts w:ascii="Times New Roman" w:eastAsia="Times New Roman" w:hAnsi="Times New Roman" w:cs="Times New Roman"/>
                <w:sz w:val="20"/>
                <w:lang w:eastAsia="ro-RO"/>
              </w:rPr>
              <w:t>56.017</w:t>
            </w:r>
          </w:p>
        </w:tc>
      </w:tr>
    </w:tbl>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 xml:space="preserve">Sursa: Fondul de locuințe anii 2015 – 2019, </w:t>
      </w:r>
      <w:hyperlink r:id="rId11" w:history="1">
        <w:r w:rsidRPr="00D15A26">
          <w:rPr>
            <w:rFonts w:ascii="Times New Roman" w:eastAsia="Times New Roman" w:hAnsi="Times New Roman" w:cs="Times New Roman"/>
            <w:sz w:val="20"/>
            <w:szCs w:val="20"/>
            <w:lang w:eastAsia="ro-RO"/>
          </w:rPr>
          <w:t>www.insse.ro</w:t>
        </w:r>
      </w:hyperlink>
      <w:r w:rsidRPr="00D15A26">
        <w:rPr>
          <w:rFonts w:ascii="Times New Roman" w:eastAsia="Times New Roman" w:hAnsi="Times New Roman" w:cs="Times New Roman"/>
          <w:sz w:val="20"/>
          <w:szCs w:val="20"/>
          <w:lang w:eastAsia="ro-RO"/>
        </w:rPr>
        <w:t xml:space="preserve"> accesat la 20.05.2020</w:t>
      </w:r>
    </w:p>
    <w:bookmarkEnd w:id="2"/>
    <w:p w:rsidR="00D15A26" w:rsidRPr="00D15A26" w:rsidRDefault="00D15A26" w:rsidP="00D15A26">
      <w:pPr>
        <w:spacing w:after="0" w:line="240" w:lineRule="auto"/>
        <w:ind w:firstLine="426"/>
        <w:jc w:val="both"/>
        <w:rPr>
          <w:rFonts w:ascii="Times New Roman" w:eastAsia="Times New Roman" w:hAnsi="Times New Roman" w:cs="Times New Roman"/>
          <w:sz w:val="24"/>
          <w:lang w:eastAsia="ro-RO"/>
        </w:rPr>
      </w:pPr>
      <w:r w:rsidRPr="00D15A26">
        <w:rPr>
          <w:rFonts w:ascii="Times New Roman" w:eastAsia="Times New Roman" w:hAnsi="Times New Roman" w:cs="Times New Roman"/>
          <w:sz w:val="24"/>
          <w:lang w:eastAsia="ro-RO"/>
        </w:rPr>
        <w:tab/>
        <w:t>Începând cu anul 2014, an de când economia și</w:t>
      </w:r>
      <w:r w:rsidRPr="00D15A26">
        <w:rPr>
          <w:rFonts w:ascii="Times New Roman" w:eastAsia="Times New Roman" w:hAnsi="Times New Roman" w:cs="Times New Roman"/>
          <w:bCs/>
          <w:sz w:val="24"/>
          <w:lang w:eastAsia="ro-RO"/>
        </w:rPr>
        <w:t>-</w:t>
      </w:r>
      <w:r w:rsidRPr="00D15A26">
        <w:rPr>
          <w:rFonts w:ascii="Times New Roman" w:eastAsia="Times New Roman" w:hAnsi="Times New Roman" w:cs="Times New Roman"/>
          <w:sz w:val="24"/>
          <w:lang w:eastAsia="ro-RO"/>
        </w:rPr>
        <w:t>a revenit de la șocul produs de criză, s-a conturat o tendință ascendentă a prețurile proprietăților rezidențiale. În anul 2016, prețul proprietăților imobiliare rezidențiale continuă tendința ascendentă, înregistrând o creștere anuală  de 7,3%.</w:t>
      </w:r>
      <w:r w:rsidRPr="00D15A26">
        <w:rPr>
          <w:rFonts w:ascii="Times New Roman" w:eastAsia="Times New Roman" w:hAnsi="Times New Roman" w:cs="Times New Roman"/>
          <w:sz w:val="24"/>
          <w:szCs w:val="24"/>
          <w:lang w:eastAsia="ro-RO"/>
        </w:rPr>
        <w:t xml:space="preserve"> </w:t>
      </w:r>
    </w:p>
    <w:p w:rsidR="00D15A26" w:rsidRPr="00D15A26" w:rsidRDefault="00D15A26" w:rsidP="00D15A26">
      <w:pPr>
        <w:spacing w:after="0" w:line="240" w:lineRule="auto"/>
        <w:ind w:firstLine="426"/>
        <w:jc w:val="both"/>
        <w:rPr>
          <w:rFonts w:ascii="Times New Roman" w:eastAsia="Times New Roman" w:hAnsi="Times New Roman" w:cs="Times New Roman"/>
          <w:iCs/>
          <w:sz w:val="24"/>
          <w:lang w:eastAsia="ro-RO"/>
        </w:rPr>
      </w:pPr>
      <w:r w:rsidRPr="00D15A26">
        <w:rPr>
          <w:rFonts w:ascii="Times New Roman" w:eastAsia="Times New Roman" w:hAnsi="Times New Roman" w:cs="Times New Roman"/>
          <w:sz w:val="24"/>
          <w:lang w:eastAsia="ro-RO"/>
        </w:rPr>
        <w:tab/>
        <w:t xml:space="preserve">În anul 2018, evoluția prețurilor este similară anilor precedenți </w:t>
      </w:r>
      <w:r w:rsidRPr="00D15A26">
        <w:rPr>
          <w:rFonts w:ascii="Times New Roman" w:eastAsia="Times New Roman" w:hAnsi="Times New Roman" w:cs="Times New Roman"/>
          <w:i/>
          <w:sz w:val="24"/>
          <w:lang w:eastAsia="ro-RO"/>
        </w:rPr>
        <w:t>„însă cu un ritm de creștere considerabil diminuat la nivel național (2,7 la sută creștere medie anuală în termeni reali la iunie 2018, comparativ cu aceeași perioadă a anului precedent).”</w:t>
      </w:r>
      <w:r w:rsidRPr="00D15A26">
        <w:rPr>
          <w:rFonts w:ascii="Times New Roman" w:eastAsia="Times New Roman" w:hAnsi="Times New Roman" w:cs="Times New Roman"/>
          <w:iCs/>
          <w:sz w:val="24"/>
          <w:lang w:eastAsia="ro-RO"/>
        </w:rPr>
        <w:t>[2]</w:t>
      </w:r>
    </w:p>
    <w:p w:rsidR="00D15A26" w:rsidRPr="00D15A26" w:rsidRDefault="00D15A26" w:rsidP="00D15A26">
      <w:pPr>
        <w:spacing w:after="0" w:line="240" w:lineRule="auto"/>
        <w:ind w:firstLine="426"/>
        <w:jc w:val="both"/>
        <w:rPr>
          <w:rFonts w:ascii="Times New Roman" w:eastAsia="Times New Roman" w:hAnsi="Times New Roman" w:cs="Times New Roman"/>
          <w:iCs/>
          <w:sz w:val="24"/>
          <w:lang w:eastAsia="ro-RO"/>
        </w:rPr>
      </w:pPr>
      <w:r w:rsidRPr="00D15A26">
        <w:rPr>
          <w:rFonts w:ascii="Times New Roman" w:eastAsia="Times New Roman" w:hAnsi="Times New Roman" w:cs="Times New Roman"/>
          <w:sz w:val="24"/>
          <w:lang w:eastAsia="ro-RO"/>
        </w:rPr>
        <w:tab/>
        <w:t xml:space="preserve">În anul 2019, prețurile de pe piața imobiliară rezidențială, pentru prima dată începând cu 2014, a înregistrat </w:t>
      </w:r>
      <w:r w:rsidRPr="00D15A26">
        <w:rPr>
          <w:rFonts w:ascii="Times New Roman" w:eastAsia="Times New Roman" w:hAnsi="Times New Roman" w:cs="Times New Roman"/>
          <w:iCs/>
          <w:sz w:val="24"/>
          <w:lang w:eastAsia="ro-RO"/>
        </w:rPr>
        <w:t>o rată medie anuală reală negativă, respectiv -0,3%. În plus, numărul tranzacțiilor a consemnat în iunie 2019 o scădere de 29% în termeni anuali.</w:t>
      </w:r>
    </w:p>
    <w:p w:rsidR="00D15A26" w:rsidRPr="00D15A26" w:rsidRDefault="00D15A26" w:rsidP="00D15A26">
      <w:pPr>
        <w:spacing w:after="0" w:line="240" w:lineRule="auto"/>
        <w:ind w:firstLine="426"/>
        <w:jc w:val="both"/>
        <w:rPr>
          <w:rFonts w:ascii="Times New Roman" w:eastAsia="Times New Roman" w:hAnsi="Times New Roman" w:cs="Times New Roman"/>
          <w:sz w:val="24"/>
          <w:lang w:eastAsia="ro-RO"/>
        </w:rPr>
      </w:pPr>
      <w:r w:rsidRPr="00D15A26">
        <w:rPr>
          <w:rFonts w:ascii="Times New Roman" w:eastAsia="Times New Roman" w:hAnsi="Times New Roman" w:cs="Times New Roman"/>
          <w:sz w:val="24"/>
          <w:lang w:eastAsia="ro-RO"/>
        </w:rPr>
        <w:tab/>
        <w:t>În anul 2020, se prognoza o continuare a tendinței anului precedent. Însă din cauza imprevizibilității situației mondiale în legătură cu noua pandemie COVID</w:t>
      </w:r>
      <w:r w:rsidRPr="00D15A26">
        <w:rPr>
          <w:rFonts w:ascii="Times New Roman" w:eastAsia="Times New Roman" w:hAnsi="Times New Roman" w:cs="Times New Roman"/>
          <w:b/>
          <w:sz w:val="24"/>
          <w:lang w:eastAsia="ro-RO"/>
        </w:rPr>
        <w:t>-</w:t>
      </w:r>
      <w:r w:rsidRPr="00D15A26">
        <w:rPr>
          <w:rFonts w:ascii="Times New Roman" w:eastAsia="Times New Roman" w:hAnsi="Times New Roman" w:cs="Times New Roman"/>
          <w:sz w:val="24"/>
          <w:lang w:eastAsia="ro-RO"/>
        </w:rPr>
        <w:t>19, nu este posibil de anticipat evoluția prețurilor.</w:t>
      </w:r>
    </w:p>
    <w:p w:rsidR="00D15A26" w:rsidRPr="00D15A26" w:rsidRDefault="00D15A26" w:rsidP="00D15A26">
      <w:pPr>
        <w:spacing w:after="0" w:line="240" w:lineRule="auto"/>
        <w:ind w:firstLine="426"/>
        <w:jc w:val="both"/>
        <w:rPr>
          <w:rFonts w:ascii="Times New Roman" w:eastAsia="Times New Roman" w:hAnsi="Times New Roman" w:cs="Times New Roman"/>
          <w:sz w:val="24"/>
          <w:lang w:eastAsia="ro-RO"/>
        </w:rPr>
      </w:pPr>
      <w:r w:rsidRPr="00D15A26">
        <w:rPr>
          <w:rFonts w:ascii="Times New Roman" w:eastAsia="Times New Roman" w:hAnsi="Times New Roman" w:cs="Times New Roman"/>
          <w:sz w:val="24"/>
          <w:lang w:eastAsia="ro-RO"/>
        </w:rPr>
        <w:tab/>
        <w:t>În graficul următor este prezentată evoluția prețurilor pe piața imobiliară rezidențială:</w:t>
      </w:r>
    </w:p>
    <w:p w:rsidR="00D15A26" w:rsidRPr="00D15A26" w:rsidRDefault="00D15A26" w:rsidP="00D15A26">
      <w:pPr>
        <w:keepNext/>
        <w:spacing w:after="0" w:line="240" w:lineRule="auto"/>
        <w:ind w:firstLine="426"/>
        <w:jc w:val="both"/>
        <w:rPr>
          <w:rFonts w:ascii="Times New Roman" w:eastAsia="Times New Roman" w:hAnsi="Times New Roman" w:cs="Times New Roman"/>
          <w:noProof/>
          <w:sz w:val="24"/>
          <w:lang w:eastAsia="ro-RO"/>
        </w:rPr>
      </w:pPr>
    </w:p>
    <w:p w:rsidR="00D15A26" w:rsidRPr="00D15A26" w:rsidRDefault="00D15A26" w:rsidP="00D15A26">
      <w:pPr>
        <w:keepNext/>
        <w:spacing w:after="0" w:line="240" w:lineRule="auto"/>
        <w:jc w:val="center"/>
        <w:rPr>
          <w:rFonts w:ascii="Times New Roman" w:eastAsia="Times New Roman" w:hAnsi="Times New Roman" w:cs="Times New Roman"/>
          <w:lang w:eastAsia="ro-RO"/>
        </w:rPr>
      </w:pPr>
      <w:r w:rsidRPr="00D15A26">
        <w:rPr>
          <w:rFonts w:ascii="Times New Roman" w:eastAsia="Times New Roman" w:hAnsi="Times New Roman" w:cs="Times New Roman"/>
          <w:noProof/>
          <w:sz w:val="24"/>
          <w:lang w:eastAsia="ro-RO"/>
        </w:rPr>
        <w:drawing>
          <wp:inline distT="0" distB="0" distL="0" distR="0" wp14:anchorId="659E713C" wp14:editId="0A6AF619">
            <wp:extent cx="4028818" cy="985785"/>
            <wp:effectExtent l="0" t="0" r="0" b="5080"/>
            <wp:docPr id="2" name="I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4EF1C.tmp"/>
                    <pic:cNvPicPr/>
                  </pic:nvPicPr>
                  <pic:blipFill rotWithShape="1">
                    <a:blip r:embed="rId12">
                      <a:extLst>
                        <a:ext uri="{BEBA8EAE-BF5A-486C-A8C5-ECC9F3942E4B}">
                          <a14:imgProps xmlns:a14="http://schemas.microsoft.com/office/drawing/2010/main">
                            <a14:imgLayer r:embed="rId13">
                              <a14:imgEffect>
                                <a14:saturation sat="400000"/>
                              </a14:imgEffect>
                            </a14:imgLayer>
                          </a14:imgProps>
                        </a:ext>
                        <a:ext uri="{28A0092B-C50C-407E-A947-70E740481C1C}">
                          <a14:useLocalDpi xmlns:a14="http://schemas.microsoft.com/office/drawing/2010/main" val="0"/>
                        </a:ext>
                      </a:extLst>
                    </a:blip>
                    <a:srcRect b="17131"/>
                    <a:stretch/>
                  </pic:blipFill>
                  <pic:spPr bwMode="auto">
                    <a:xfrm>
                      <a:off x="0" y="0"/>
                      <a:ext cx="4132179" cy="1011076"/>
                    </a:xfrm>
                    <a:prstGeom prst="rect">
                      <a:avLst/>
                    </a:prstGeom>
                    <a:ln>
                      <a:noFill/>
                    </a:ln>
                    <a:extLst>
                      <a:ext uri="{53640926-AAD7-44D8-BBD7-CCE9431645EC}">
                        <a14:shadowObscured xmlns:a14="http://schemas.microsoft.com/office/drawing/2010/main"/>
                      </a:ext>
                    </a:extLst>
                  </pic:spPr>
                </pic:pic>
              </a:graphicData>
            </a:graphic>
          </wp:inline>
        </w:drawing>
      </w:r>
    </w:p>
    <w:p w:rsidR="00D15A26" w:rsidRPr="00D15A26" w:rsidRDefault="00D15A26" w:rsidP="00D15A26">
      <w:pPr>
        <w:spacing w:after="0" w:line="240" w:lineRule="auto"/>
        <w:jc w:val="center"/>
        <w:rPr>
          <w:rFonts w:ascii="Times New Roman" w:eastAsia="Times New Roman" w:hAnsi="Times New Roman" w:cs="Times New Roman"/>
          <w:bCs/>
          <w:sz w:val="20"/>
          <w:szCs w:val="20"/>
          <w:lang w:eastAsia="ro-RO"/>
        </w:rPr>
      </w:pPr>
      <w:bookmarkStart w:id="16" w:name="_Toc41335436"/>
      <w:bookmarkStart w:id="17" w:name="_Toc41335576"/>
      <w:bookmarkStart w:id="18" w:name="_Toc41335636"/>
      <w:bookmarkStart w:id="19" w:name="_Toc41335753"/>
      <w:bookmarkStart w:id="20" w:name="_Toc41335794"/>
      <w:bookmarkStart w:id="21" w:name="_Toc41397979"/>
      <w:r w:rsidRPr="00D15A26">
        <w:rPr>
          <w:rFonts w:ascii="Times New Roman" w:eastAsia="Times New Roman" w:hAnsi="Times New Roman" w:cs="Times New Roman"/>
          <w:bCs/>
          <w:sz w:val="20"/>
          <w:szCs w:val="20"/>
          <w:lang w:eastAsia="ro-RO"/>
        </w:rPr>
        <w:t xml:space="preserve">Sursa: </w:t>
      </w:r>
      <w:hyperlink r:id="rId14" w:history="1">
        <w:r w:rsidRPr="00D15A26">
          <w:rPr>
            <w:rFonts w:ascii="Times New Roman" w:eastAsia="Times New Roman" w:hAnsi="Times New Roman" w:cs="Times New Roman"/>
            <w:bCs/>
            <w:sz w:val="20"/>
            <w:szCs w:val="20"/>
            <w:lang w:eastAsia="ro-RO"/>
          </w:rPr>
          <w:t>https://www.imobiliare.ro/indicele-imobiliare-ro</w:t>
        </w:r>
      </w:hyperlink>
      <w:bookmarkStart w:id="22" w:name="_Toc41760440"/>
      <w:r w:rsidRPr="00D15A26">
        <w:rPr>
          <w:rFonts w:ascii="Times New Roman" w:eastAsia="Times New Roman" w:hAnsi="Times New Roman" w:cs="Times New Roman"/>
          <w:bCs/>
          <w:sz w:val="20"/>
          <w:szCs w:val="20"/>
          <w:lang w:eastAsia="ro-RO"/>
        </w:rPr>
        <w:t xml:space="preserve"> accesat 20.04.2020</w:t>
      </w:r>
    </w:p>
    <w:p w:rsidR="00D15A26" w:rsidRPr="00D15A26" w:rsidRDefault="00D15A26" w:rsidP="00D15A26">
      <w:pPr>
        <w:spacing w:after="0" w:line="240" w:lineRule="auto"/>
        <w:jc w:val="center"/>
        <w:rPr>
          <w:rFonts w:ascii="Times New Roman" w:eastAsia="Times New Roman" w:hAnsi="Times New Roman" w:cs="Times New Roman"/>
          <w:b/>
          <w:bCs/>
          <w:sz w:val="20"/>
          <w:szCs w:val="20"/>
          <w:lang w:eastAsia="ro-RO"/>
        </w:rPr>
      </w:pPr>
      <w:r w:rsidRPr="00D15A26">
        <w:rPr>
          <w:rFonts w:ascii="Times New Roman" w:eastAsia="Times New Roman" w:hAnsi="Times New Roman" w:cs="Times New Roman"/>
          <w:b/>
          <w:bCs/>
          <w:sz w:val="20"/>
          <w:szCs w:val="20"/>
          <w:lang w:eastAsia="ro-RO"/>
        </w:rPr>
        <w:t xml:space="preserve"> </w:t>
      </w:r>
      <w:r w:rsidRPr="00D15A26">
        <w:rPr>
          <w:rFonts w:ascii="Times New Roman" w:eastAsia="Times New Roman" w:hAnsi="Times New Roman" w:cs="Times New Roman"/>
          <w:b/>
          <w:bCs/>
          <w:sz w:val="20"/>
          <w:szCs w:val="18"/>
          <w:lang w:eastAsia="ro-RO"/>
        </w:rPr>
        <w:t>Chart no.2</w:t>
      </w:r>
      <w:r w:rsidRPr="00D15A26">
        <w:rPr>
          <w:rFonts w:ascii="Times New Roman" w:eastAsia="Times New Roman" w:hAnsi="Times New Roman" w:cs="Times New Roman"/>
          <w:b/>
          <w:bCs/>
          <w:sz w:val="20"/>
          <w:szCs w:val="20"/>
          <w:lang w:eastAsia="ro-RO"/>
        </w:rPr>
        <w:t xml:space="preserve"> Evoluția prețurilor pe piața imobiliară rezidențială</w:t>
      </w:r>
      <w:bookmarkEnd w:id="16"/>
      <w:bookmarkEnd w:id="17"/>
      <w:bookmarkEnd w:id="18"/>
      <w:bookmarkEnd w:id="19"/>
      <w:bookmarkEnd w:id="20"/>
      <w:bookmarkEnd w:id="21"/>
      <w:bookmarkEnd w:id="22"/>
    </w:p>
    <w:p w:rsidR="00D15A26" w:rsidRPr="00D15A26" w:rsidRDefault="00D15A26" w:rsidP="00D15A26">
      <w:pPr>
        <w:spacing w:after="0" w:line="240" w:lineRule="auto"/>
        <w:ind w:firstLine="426"/>
        <w:jc w:val="both"/>
        <w:rPr>
          <w:rFonts w:ascii="Times New Roman" w:eastAsia="Times New Roman" w:hAnsi="Times New Roman" w:cs="Times New Roman"/>
          <w:color w:val="000000"/>
          <w:sz w:val="24"/>
          <w:szCs w:val="27"/>
          <w:lang w:eastAsia="ro-RO"/>
        </w:rPr>
      </w:pPr>
      <w:r w:rsidRPr="00D15A26">
        <w:rPr>
          <w:rFonts w:ascii="Times New Roman" w:eastAsia="Times New Roman" w:hAnsi="Times New Roman" w:cs="Times New Roman"/>
          <w:color w:val="000000"/>
          <w:sz w:val="24"/>
          <w:szCs w:val="27"/>
          <w:lang w:eastAsia="ro-RO"/>
        </w:rPr>
        <w:lastRenderedPageBreak/>
        <w:t xml:space="preserve">Odată cu descentralizarea economiei, perioadă în care finanțarea construcției de locuințe a fost preponderent din fonduri publice, începând cu anul 1994 (conform INS) sursa principală de finanțare sectorului imobiliar a reprezentat preponderent fondurile private. </w:t>
      </w:r>
    </w:p>
    <w:p w:rsidR="00D15A26" w:rsidRPr="00D15A26" w:rsidRDefault="00D15A26" w:rsidP="00D15A26">
      <w:pPr>
        <w:spacing w:after="0" w:line="240" w:lineRule="auto"/>
        <w:ind w:firstLine="426"/>
        <w:jc w:val="both"/>
        <w:rPr>
          <w:rFonts w:ascii="Times New Roman" w:eastAsia="Times New Roman" w:hAnsi="Times New Roman" w:cs="Times New Roman"/>
          <w:color w:val="000000"/>
          <w:sz w:val="24"/>
          <w:szCs w:val="27"/>
          <w:lang w:eastAsia="ro-RO"/>
        </w:rPr>
      </w:pPr>
      <w:r w:rsidRPr="00D15A26">
        <w:rPr>
          <w:rFonts w:ascii="Times New Roman" w:eastAsia="Times New Roman" w:hAnsi="Times New Roman" w:cs="Times New Roman"/>
          <w:color w:val="000000"/>
          <w:sz w:val="24"/>
          <w:szCs w:val="27"/>
          <w:lang w:eastAsia="ro-RO"/>
        </w:rPr>
        <w:t>În graficul următor</w:t>
      </w:r>
      <w:r w:rsidRPr="00D15A26">
        <w:rPr>
          <w:rFonts w:ascii="Times New Roman" w:eastAsia="Times New Roman" w:hAnsi="Times New Roman" w:cs="Times New Roman"/>
          <w:i/>
          <w:color w:val="000000"/>
          <w:sz w:val="24"/>
          <w:szCs w:val="27"/>
          <w:lang w:eastAsia="ro-RO"/>
        </w:rPr>
        <w:t xml:space="preserve"> </w:t>
      </w:r>
      <w:r w:rsidRPr="00D15A26">
        <w:rPr>
          <w:rFonts w:ascii="Times New Roman" w:eastAsia="Times New Roman" w:hAnsi="Times New Roman" w:cs="Times New Roman"/>
          <w:color w:val="000000"/>
          <w:sz w:val="24"/>
          <w:szCs w:val="27"/>
          <w:lang w:eastAsia="ro-RO"/>
        </w:rPr>
        <w:t xml:space="preserve">este prezentată structura finanțării, în funcție de sectorul de la care provine finanțarea, pentru perioada 2013-2018. </w:t>
      </w:r>
    </w:p>
    <w:p w:rsidR="00D15A26" w:rsidRPr="00D15A26" w:rsidRDefault="00D15A26" w:rsidP="00D15A26">
      <w:pPr>
        <w:spacing w:after="0" w:line="240" w:lineRule="auto"/>
        <w:ind w:firstLine="426"/>
        <w:jc w:val="right"/>
        <w:rPr>
          <w:rFonts w:ascii="Times New Roman" w:eastAsia="Times New Roman" w:hAnsi="Times New Roman" w:cs="Times New Roman"/>
          <w:color w:val="000000"/>
          <w:sz w:val="20"/>
          <w:szCs w:val="27"/>
          <w:lang w:eastAsia="ro-RO"/>
        </w:rPr>
      </w:pPr>
      <w:r w:rsidRPr="00D15A26">
        <w:rPr>
          <w:rFonts w:ascii="Times New Roman" w:eastAsia="Times New Roman" w:hAnsi="Times New Roman" w:cs="Times New Roman"/>
          <w:sz w:val="20"/>
          <w:szCs w:val="24"/>
          <w:lang w:eastAsia="ro-RO"/>
        </w:rPr>
        <w:t xml:space="preserve">- număr locuințe (mii) - </w:t>
      </w:r>
    </w:p>
    <w:p w:rsidR="00D15A26" w:rsidRPr="00D15A26" w:rsidRDefault="00D15A26" w:rsidP="00D15A26">
      <w:pPr>
        <w:spacing w:after="0" w:line="240" w:lineRule="auto"/>
        <w:jc w:val="center"/>
        <w:rPr>
          <w:rFonts w:ascii="Times New Roman" w:eastAsia="Times New Roman" w:hAnsi="Times New Roman" w:cs="Times New Roman"/>
          <w:sz w:val="24"/>
          <w:szCs w:val="24"/>
          <w:lang w:eastAsia="ro-RO"/>
        </w:rPr>
      </w:pPr>
      <w:r w:rsidRPr="00D15A26">
        <w:rPr>
          <w:rFonts w:ascii="Times New Roman" w:eastAsia="Times New Roman" w:hAnsi="Times New Roman" w:cs="Times New Roman"/>
          <w:noProof/>
          <w:color w:val="000000"/>
          <w:sz w:val="24"/>
          <w:szCs w:val="27"/>
          <w:lang w:eastAsia="ro-RO"/>
        </w:rPr>
        <w:drawing>
          <wp:inline distT="0" distB="0" distL="0" distR="0" wp14:anchorId="12663DD5" wp14:editId="775EDB09">
            <wp:extent cx="4404960" cy="1828800"/>
            <wp:effectExtent l="0" t="0" r="0" b="0"/>
            <wp:docPr id="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4FEA6.tmp"/>
                    <pic:cNvPicPr/>
                  </pic:nvPicPr>
                  <pic:blipFill>
                    <a:blip r:embed="rId15">
                      <a:extLst>
                        <a:ext uri="{28A0092B-C50C-407E-A947-70E740481C1C}">
                          <a14:useLocalDpi xmlns:a14="http://schemas.microsoft.com/office/drawing/2010/main" val="0"/>
                        </a:ext>
                      </a:extLst>
                    </a:blip>
                    <a:stretch>
                      <a:fillRect/>
                    </a:stretch>
                  </pic:blipFill>
                  <pic:spPr>
                    <a:xfrm>
                      <a:off x="0" y="0"/>
                      <a:ext cx="4431114" cy="1839658"/>
                    </a:xfrm>
                    <a:prstGeom prst="rect">
                      <a:avLst/>
                    </a:prstGeom>
                  </pic:spPr>
                </pic:pic>
              </a:graphicData>
            </a:graphic>
          </wp:inline>
        </w:drawing>
      </w:r>
    </w:p>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bookmarkStart w:id="23" w:name="_Toc41335424"/>
      <w:bookmarkStart w:id="24" w:name="_Toc41335564"/>
      <w:bookmarkStart w:id="25" w:name="_Toc41335624"/>
      <w:bookmarkStart w:id="26" w:name="_Toc41335741"/>
      <w:bookmarkStart w:id="27" w:name="_Toc41335782"/>
      <w:bookmarkStart w:id="28" w:name="_Toc41397967"/>
      <w:r w:rsidRPr="00D15A26">
        <w:rPr>
          <w:rFonts w:ascii="Times New Roman" w:eastAsia="Times New Roman" w:hAnsi="Times New Roman" w:cs="Times New Roman"/>
          <w:sz w:val="20"/>
          <w:szCs w:val="20"/>
          <w:lang w:eastAsia="ro-RO"/>
        </w:rPr>
        <w:t>Sursa: Anuarul statistic al României 2019, pag. 240</w:t>
      </w:r>
    </w:p>
    <w:p w:rsidR="00D15A26" w:rsidRPr="00D15A26" w:rsidRDefault="00D15A26" w:rsidP="00D15A26">
      <w:pPr>
        <w:spacing w:after="0" w:line="240" w:lineRule="auto"/>
        <w:jc w:val="center"/>
        <w:rPr>
          <w:rFonts w:ascii="Times New Roman" w:eastAsia="Times New Roman" w:hAnsi="Times New Roman" w:cs="Times New Roman"/>
          <w:b/>
          <w:sz w:val="20"/>
          <w:szCs w:val="20"/>
          <w:lang w:eastAsia="ro-RO"/>
        </w:rPr>
      </w:pPr>
      <w:bookmarkStart w:id="29" w:name="_Toc41760428"/>
      <w:r w:rsidRPr="00D15A26">
        <w:rPr>
          <w:rFonts w:ascii="Times New Roman" w:eastAsia="Times New Roman" w:hAnsi="Times New Roman" w:cs="Times New Roman"/>
          <w:b/>
          <w:bCs/>
          <w:sz w:val="20"/>
          <w:szCs w:val="18"/>
          <w:lang w:eastAsia="ro-RO"/>
        </w:rPr>
        <w:t>Chart no.3</w:t>
      </w:r>
      <w:r w:rsidRPr="00D15A26">
        <w:rPr>
          <w:rFonts w:ascii="Times New Roman" w:eastAsia="Times New Roman" w:hAnsi="Times New Roman" w:cs="Times New Roman"/>
          <w:b/>
          <w:sz w:val="20"/>
          <w:szCs w:val="20"/>
          <w:lang w:eastAsia="ro-RO"/>
        </w:rPr>
        <w:t xml:space="preserve">  Locuințe terminate, pe surse de finanțare</w:t>
      </w:r>
      <w:bookmarkEnd w:id="23"/>
      <w:bookmarkEnd w:id="24"/>
      <w:bookmarkEnd w:id="25"/>
      <w:bookmarkEnd w:id="26"/>
      <w:bookmarkEnd w:id="27"/>
      <w:bookmarkEnd w:id="28"/>
      <w:bookmarkEnd w:id="29"/>
    </w:p>
    <w:p w:rsidR="00D15A26" w:rsidRPr="00D15A26" w:rsidRDefault="00D15A26" w:rsidP="00D15A26">
      <w:pPr>
        <w:spacing w:after="0" w:line="240" w:lineRule="auto"/>
        <w:jc w:val="center"/>
        <w:rPr>
          <w:rFonts w:ascii="Times New Roman" w:eastAsia="Times New Roman" w:hAnsi="Times New Roman" w:cs="Times New Roman"/>
          <w:b/>
          <w:sz w:val="20"/>
          <w:szCs w:val="20"/>
          <w:lang w:eastAsia="ro-RO"/>
        </w:rPr>
      </w:pPr>
    </w:p>
    <w:p w:rsidR="00D15A26" w:rsidRPr="00D15A26" w:rsidRDefault="00D15A26" w:rsidP="00D15A26">
      <w:pPr>
        <w:spacing w:after="0" w:line="240" w:lineRule="auto"/>
        <w:ind w:firstLine="432"/>
        <w:jc w:val="both"/>
        <w:rPr>
          <w:rFonts w:ascii="Times New Roman" w:eastAsia="Times New Roman" w:hAnsi="Times New Roman" w:cs="Times New Roman"/>
          <w:color w:val="000000"/>
          <w:sz w:val="24"/>
          <w:szCs w:val="27"/>
          <w:lang w:eastAsia="ro-RO"/>
        </w:rPr>
      </w:pPr>
      <w:r w:rsidRPr="00D15A26">
        <w:rPr>
          <w:rFonts w:ascii="Times New Roman" w:eastAsia="Times New Roman" w:hAnsi="Times New Roman" w:cs="Times New Roman"/>
          <w:color w:val="000000"/>
          <w:sz w:val="24"/>
          <w:szCs w:val="27"/>
          <w:lang w:eastAsia="ro-RO"/>
        </w:rPr>
        <w:t>Conform datelor furnizate de INS, fondurile private (constând din credite bancare și sursele proprii ale populației) au o pondere de 96,65% din totalul fondurilor alocate construirii noilor clădiri în anul 2018, în tip ce fondurile publice au o pondere de doar 3,35%.</w:t>
      </w:r>
    </w:p>
    <w:p w:rsidR="00D15A26" w:rsidRPr="00D15A26" w:rsidRDefault="00D15A26" w:rsidP="00D15A26">
      <w:pPr>
        <w:spacing w:after="0" w:line="240" w:lineRule="auto"/>
        <w:ind w:firstLine="432"/>
        <w:jc w:val="both"/>
        <w:rPr>
          <w:rFonts w:ascii="Times New Roman" w:eastAsia="Times New Roman" w:hAnsi="Times New Roman" w:cs="Times New Roman"/>
          <w:i/>
          <w:color w:val="000000"/>
          <w:sz w:val="24"/>
          <w:szCs w:val="27"/>
          <w:lang w:eastAsia="ro-RO"/>
        </w:rPr>
      </w:pPr>
      <w:r w:rsidRPr="00D15A26">
        <w:rPr>
          <w:rFonts w:ascii="Times New Roman" w:eastAsia="Times New Roman" w:hAnsi="Times New Roman" w:cs="Times New Roman"/>
          <w:color w:val="000000"/>
          <w:sz w:val="24"/>
          <w:szCs w:val="27"/>
          <w:lang w:eastAsia="ro-RO"/>
        </w:rPr>
        <w:t xml:space="preserve">Tendința de a fi proprietarul unui spațiu locativ a intrat în comportamentul consumerist al populației, fiind o nevoie preponderent psihologică determinată de lipsa cunoștințelor necesare pentru efectuarea unei gestiuni corecte a resurselor financiare, precum și a unei puternice amprente lăsate de </w:t>
      </w:r>
      <w:r w:rsidRPr="00D15A26">
        <w:rPr>
          <w:rFonts w:ascii="Times New Roman" w:eastAsia="Times New Roman" w:hAnsi="Times New Roman" w:cs="Times New Roman"/>
          <w:sz w:val="24"/>
          <w:szCs w:val="27"/>
          <w:lang w:eastAsia="ro-RO"/>
        </w:rPr>
        <w:t>economia centralizată.</w:t>
      </w:r>
      <w:r w:rsidRPr="00D15A26">
        <w:rPr>
          <w:rFonts w:ascii="Times New Roman" w:eastAsia="Times New Roman" w:hAnsi="Times New Roman" w:cs="Times New Roman"/>
          <w:color w:val="000000"/>
          <w:sz w:val="24"/>
          <w:szCs w:val="27"/>
          <w:lang w:eastAsia="ro-RO"/>
        </w:rPr>
        <w:t xml:space="preserve"> Această idee este susținută și de statisticile provenite din țările dezvoltate ale Europei,statistici sintetizate în tabelul următor </w:t>
      </w:r>
      <w:r w:rsidRPr="00D15A26">
        <w:rPr>
          <w:rFonts w:ascii="Times New Roman" w:eastAsia="Times New Roman" w:hAnsi="Times New Roman" w:cs="Times New Roman"/>
          <w:i/>
          <w:color w:val="000000"/>
          <w:sz w:val="24"/>
          <w:szCs w:val="27"/>
          <w:lang w:eastAsia="ro-RO"/>
        </w:rPr>
        <w:t>.</w:t>
      </w:r>
      <w:bookmarkStart w:id="30" w:name="_Toc41335425"/>
      <w:bookmarkStart w:id="31" w:name="_Toc41335565"/>
      <w:bookmarkStart w:id="32" w:name="_Toc41335625"/>
      <w:bookmarkStart w:id="33" w:name="_Toc41335742"/>
      <w:bookmarkStart w:id="34" w:name="_Toc41335783"/>
      <w:bookmarkStart w:id="35" w:name="_Toc41397968"/>
    </w:p>
    <w:bookmarkEnd w:id="30"/>
    <w:bookmarkEnd w:id="31"/>
    <w:bookmarkEnd w:id="32"/>
    <w:bookmarkEnd w:id="33"/>
    <w:bookmarkEnd w:id="34"/>
    <w:bookmarkEnd w:id="35"/>
    <w:p w:rsidR="00D15A26" w:rsidRPr="00D15A26" w:rsidRDefault="00D15A26" w:rsidP="00D15A26">
      <w:pPr>
        <w:spacing w:after="0" w:line="240" w:lineRule="auto"/>
        <w:ind w:firstLine="426"/>
        <w:jc w:val="both"/>
        <w:rPr>
          <w:rFonts w:ascii="Times New Roman" w:eastAsia="Times New Roman" w:hAnsi="Times New Roman" w:cs="Times New Roman"/>
          <w:iCs/>
          <w:sz w:val="24"/>
          <w:szCs w:val="28"/>
          <w:lang w:eastAsia="ro-RO"/>
        </w:rPr>
      </w:pPr>
      <w:r w:rsidRPr="00D15A26">
        <w:rPr>
          <w:rFonts w:ascii="Times New Roman" w:eastAsia="Times New Roman" w:hAnsi="Times New Roman" w:cs="Times New Roman"/>
          <w:iCs/>
          <w:sz w:val="24"/>
          <w:szCs w:val="28"/>
          <w:lang w:eastAsia="ro-RO"/>
        </w:rPr>
        <w:t xml:space="preserve">După cum se poate observă, în țările dezvoltate precum Germania, Suedia, Danemarca, situația distribuției populației în funcție de statutul titlului de proprietate pentru anul 2017 este următoarea: populația rezidentă care închiriază o locuință are o pondere importantă – Germania (48,6%), Suedia (34,8%), Danemarca (37,8%); populația în posesia căreia se află o locuință achiziționată în baza unui credit ipotercar - Suedia (52,2%) și Danemarca (47,8%), iar diferența – din sursele proprii – Suedia  (13%) și Danemarca (14,4%). </w:t>
      </w:r>
    </w:p>
    <w:p w:rsidR="00D15A26" w:rsidRPr="00D15A26" w:rsidRDefault="00D15A26" w:rsidP="00D15A26">
      <w:pPr>
        <w:spacing w:after="0" w:line="240" w:lineRule="auto"/>
        <w:ind w:firstLine="426"/>
        <w:jc w:val="both"/>
        <w:rPr>
          <w:rFonts w:ascii="Times New Roman" w:eastAsia="Times New Roman" w:hAnsi="Times New Roman" w:cs="Times New Roman"/>
          <w:iCs/>
          <w:sz w:val="24"/>
          <w:szCs w:val="28"/>
          <w:lang w:eastAsia="ro-RO"/>
        </w:rPr>
      </w:pPr>
      <w:r w:rsidRPr="00D15A26">
        <w:rPr>
          <w:rFonts w:ascii="Times New Roman" w:eastAsia="Times New Roman" w:hAnsi="Times New Roman" w:cs="Times New Roman"/>
          <w:iCs/>
          <w:sz w:val="24"/>
          <w:szCs w:val="28"/>
          <w:lang w:eastAsia="ro-RO"/>
        </w:rPr>
        <w:t>În cazul Germaniei - raportul dintre populația care a achiziționat locuința cu ajutorul unui credit ipotecar și cei care au achiziționat-o neapelând la credite este 1/1 (25,7%).</w:t>
      </w:r>
    </w:p>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bookmarkStart w:id="36" w:name="_Toc41335679"/>
      <w:bookmarkStart w:id="37" w:name="_Toc41760451"/>
      <w:r w:rsidRPr="00D15A26">
        <w:rPr>
          <w:rFonts w:ascii="Times New Roman" w:eastAsia="Times New Roman" w:hAnsi="Times New Roman" w:cs="Times New Roman"/>
          <w:b/>
          <w:bCs/>
          <w:sz w:val="20"/>
          <w:szCs w:val="18"/>
          <w:lang w:eastAsia="ro-RO"/>
        </w:rPr>
        <w:t xml:space="preserve"> Table no. 3 Distribuția populației în funcție de statutul titlului de proprietate, 2017</w:t>
      </w:r>
      <w:bookmarkEnd w:id="36"/>
      <w:r w:rsidRPr="00D15A26">
        <w:rPr>
          <w:rFonts w:ascii="Times New Roman" w:eastAsia="Times New Roman" w:hAnsi="Times New Roman" w:cs="Times New Roman"/>
          <w:b/>
          <w:bCs/>
          <w:sz w:val="20"/>
          <w:szCs w:val="18"/>
          <w:lang w:eastAsia="ro-RO"/>
        </w:rPr>
        <w:t xml:space="preserve">                        </w:t>
      </w:r>
      <w:r w:rsidRPr="00D15A26">
        <w:rPr>
          <w:rFonts w:ascii="Times New Roman" w:eastAsia="Times New Roman" w:hAnsi="Times New Roman" w:cs="Times New Roman"/>
          <w:sz w:val="20"/>
          <w:szCs w:val="18"/>
          <w:lang w:eastAsia="ro-RO"/>
        </w:rPr>
        <w:t>- % -</w:t>
      </w:r>
      <w:bookmarkEnd w:id="37"/>
    </w:p>
    <w:tbl>
      <w:tblPr>
        <w:tblW w:w="0" w:type="auto"/>
        <w:jc w:val="center"/>
        <w:tblLook w:val="04A0" w:firstRow="1" w:lastRow="0" w:firstColumn="1" w:lastColumn="0" w:noHBand="0" w:noVBand="1"/>
      </w:tblPr>
      <w:tblGrid>
        <w:gridCol w:w="1350"/>
        <w:gridCol w:w="2174"/>
        <w:gridCol w:w="2745"/>
        <w:gridCol w:w="1626"/>
        <w:gridCol w:w="1951"/>
      </w:tblGrid>
      <w:tr w:rsidR="00D15A26" w:rsidRPr="00D15A26" w:rsidTr="007B67D2">
        <w:trPr>
          <w:trHeight w:val="780"/>
          <w:jc w:val="center"/>
        </w:trPr>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D15A26" w:rsidRPr="00D15A26" w:rsidRDefault="00D15A26" w:rsidP="00D15A26">
            <w:pPr>
              <w:spacing w:after="0" w:line="240" w:lineRule="auto"/>
              <w:jc w:val="center"/>
              <w:rPr>
                <w:rFonts w:ascii="Times New Roman" w:eastAsia="Times New Roman" w:hAnsi="Times New Roman" w:cs="Times New Roman"/>
                <w:b/>
                <w:sz w:val="20"/>
                <w:szCs w:val="18"/>
                <w:lang w:eastAsia="ro-RO"/>
              </w:rPr>
            </w:pPr>
            <w:r w:rsidRPr="00D15A26">
              <w:rPr>
                <w:rFonts w:ascii="Times New Roman" w:eastAsia="Times New Roman" w:hAnsi="Times New Roman" w:cs="Times New Roman"/>
                <w:b/>
                <w:sz w:val="20"/>
                <w:szCs w:val="18"/>
                <w:lang w:eastAsia="ro-RO"/>
              </w:rPr>
              <w:t>Țări</w:t>
            </w:r>
          </w:p>
        </w:tc>
        <w:tc>
          <w:tcPr>
            <w:tcW w:w="217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D15A26" w:rsidRPr="00D15A26" w:rsidRDefault="00D15A26" w:rsidP="00D15A26">
            <w:pPr>
              <w:spacing w:after="0" w:line="240" w:lineRule="auto"/>
              <w:jc w:val="center"/>
              <w:rPr>
                <w:rFonts w:ascii="Times New Roman" w:eastAsia="Times New Roman" w:hAnsi="Times New Roman" w:cs="Times New Roman"/>
                <w:b/>
                <w:sz w:val="20"/>
                <w:szCs w:val="18"/>
                <w:lang w:eastAsia="ro-RO"/>
              </w:rPr>
            </w:pPr>
            <w:r w:rsidRPr="00D15A26">
              <w:rPr>
                <w:rFonts w:ascii="Times New Roman" w:eastAsia="Times New Roman" w:hAnsi="Times New Roman" w:cs="Times New Roman"/>
                <w:b/>
                <w:sz w:val="20"/>
                <w:szCs w:val="18"/>
                <w:lang w:eastAsia="ro-RO"/>
              </w:rPr>
              <w:t>Proprietar, cu credit ipotecar sau credit pentru locuință</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D15A26" w:rsidRPr="00D15A26" w:rsidRDefault="00D15A26" w:rsidP="00D15A26">
            <w:pPr>
              <w:spacing w:after="0" w:line="240" w:lineRule="auto"/>
              <w:jc w:val="center"/>
              <w:rPr>
                <w:rFonts w:ascii="Times New Roman" w:eastAsia="Times New Roman" w:hAnsi="Times New Roman" w:cs="Times New Roman"/>
                <w:b/>
                <w:sz w:val="20"/>
                <w:szCs w:val="18"/>
                <w:lang w:eastAsia="ro-RO"/>
              </w:rPr>
            </w:pPr>
            <w:r w:rsidRPr="00D15A26">
              <w:rPr>
                <w:rFonts w:ascii="Times New Roman" w:eastAsia="Times New Roman" w:hAnsi="Times New Roman" w:cs="Times New Roman"/>
                <w:b/>
                <w:sz w:val="20"/>
                <w:szCs w:val="18"/>
                <w:lang w:eastAsia="ro-RO"/>
              </w:rPr>
              <w:t>Proprietar, fără credit ipotecar sau credit pentru locuință</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D15A26" w:rsidRPr="00D15A26" w:rsidRDefault="00D15A26" w:rsidP="00D15A26">
            <w:pPr>
              <w:spacing w:after="0" w:line="240" w:lineRule="auto"/>
              <w:jc w:val="center"/>
              <w:rPr>
                <w:rFonts w:ascii="Times New Roman" w:eastAsia="Times New Roman" w:hAnsi="Times New Roman" w:cs="Times New Roman"/>
                <w:b/>
                <w:sz w:val="20"/>
                <w:szCs w:val="18"/>
                <w:lang w:eastAsia="ro-RO"/>
              </w:rPr>
            </w:pPr>
            <w:r w:rsidRPr="00D15A26">
              <w:rPr>
                <w:rFonts w:ascii="Times New Roman" w:eastAsia="Times New Roman" w:hAnsi="Times New Roman" w:cs="Times New Roman"/>
                <w:b/>
                <w:sz w:val="20"/>
                <w:szCs w:val="18"/>
                <w:lang w:eastAsia="ro-RO"/>
              </w:rPr>
              <w:t>Chiriaș, chirie la prețul pieței</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D15A26" w:rsidRPr="00D15A26" w:rsidRDefault="00D15A26" w:rsidP="00D15A26">
            <w:pPr>
              <w:spacing w:after="0" w:line="240" w:lineRule="auto"/>
              <w:jc w:val="center"/>
              <w:rPr>
                <w:rFonts w:ascii="Times New Roman" w:eastAsia="Times New Roman" w:hAnsi="Times New Roman" w:cs="Times New Roman"/>
                <w:b/>
                <w:sz w:val="20"/>
                <w:szCs w:val="18"/>
                <w:lang w:eastAsia="ro-RO"/>
              </w:rPr>
            </w:pPr>
            <w:r w:rsidRPr="00D15A26">
              <w:rPr>
                <w:rFonts w:ascii="Times New Roman" w:eastAsia="Times New Roman" w:hAnsi="Times New Roman" w:cs="Times New Roman"/>
                <w:b/>
                <w:sz w:val="20"/>
                <w:szCs w:val="18"/>
                <w:lang w:eastAsia="ro-RO"/>
              </w:rPr>
              <w:t>Chiriaș, chirie la preț redus sau gratuit</w:t>
            </w:r>
          </w:p>
        </w:tc>
      </w:tr>
      <w:tr w:rsidR="00D15A26" w:rsidRPr="00D15A26" w:rsidTr="007B67D2">
        <w:trPr>
          <w:trHeight w:val="251"/>
          <w:jc w:val="center"/>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r w:rsidRPr="00D15A26">
              <w:rPr>
                <w:rFonts w:ascii="Times New Roman" w:eastAsia="Times New Roman" w:hAnsi="Times New Roman" w:cs="Times New Roman"/>
                <w:sz w:val="20"/>
                <w:szCs w:val="18"/>
                <w:lang w:eastAsia="ro-RO"/>
              </w:rPr>
              <w:t>Suedia</w:t>
            </w:r>
          </w:p>
        </w:tc>
        <w:tc>
          <w:tcPr>
            <w:tcW w:w="2174"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r w:rsidRPr="00D15A26">
              <w:rPr>
                <w:rFonts w:ascii="Times New Roman" w:eastAsia="Times New Roman" w:hAnsi="Times New Roman" w:cs="Times New Roman"/>
                <w:sz w:val="20"/>
                <w:szCs w:val="18"/>
                <w:lang w:eastAsia="ro-RO"/>
              </w:rPr>
              <w:t>52,2</w:t>
            </w:r>
          </w:p>
        </w:tc>
        <w:tc>
          <w:tcPr>
            <w:tcW w:w="0" w:type="auto"/>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r w:rsidRPr="00D15A26">
              <w:rPr>
                <w:rFonts w:ascii="Times New Roman" w:eastAsia="Times New Roman" w:hAnsi="Times New Roman" w:cs="Times New Roman"/>
                <w:sz w:val="20"/>
                <w:szCs w:val="18"/>
                <w:lang w:eastAsia="ro-RO"/>
              </w:rPr>
              <w:t>13,0</w:t>
            </w:r>
          </w:p>
        </w:tc>
        <w:tc>
          <w:tcPr>
            <w:tcW w:w="0" w:type="auto"/>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r w:rsidRPr="00D15A26">
              <w:rPr>
                <w:rFonts w:ascii="Times New Roman" w:eastAsia="Times New Roman" w:hAnsi="Times New Roman" w:cs="Times New Roman"/>
                <w:sz w:val="20"/>
                <w:szCs w:val="18"/>
                <w:lang w:eastAsia="ro-RO"/>
              </w:rPr>
              <w:t>34,0</w:t>
            </w:r>
          </w:p>
        </w:tc>
        <w:tc>
          <w:tcPr>
            <w:tcW w:w="0" w:type="auto"/>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r w:rsidRPr="00D15A26">
              <w:rPr>
                <w:rFonts w:ascii="Times New Roman" w:eastAsia="Times New Roman" w:hAnsi="Times New Roman" w:cs="Times New Roman"/>
                <w:sz w:val="20"/>
                <w:szCs w:val="18"/>
                <w:lang w:eastAsia="ro-RO"/>
              </w:rPr>
              <w:t>0,8</w:t>
            </w:r>
          </w:p>
        </w:tc>
      </w:tr>
      <w:tr w:rsidR="00D15A26" w:rsidRPr="00D15A26" w:rsidTr="007B67D2">
        <w:trPr>
          <w:trHeight w:val="251"/>
          <w:jc w:val="center"/>
        </w:trPr>
        <w:tc>
          <w:tcPr>
            <w:tcW w:w="135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r w:rsidRPr="00D15A26">
              <w:rPr>
                <w:rFonts w:ascii="Times New Roman" w:eastAsia="Times New Roman" w:hAnsi="Times New Roman" w:cs="Times New Roman"/>
                <w:sz w:val="20"/>
                <w:szCs w:val="18"/>
                <w:lang w:eastAsia="ro-RO"/>
              </w:rPr>
              <w:t>Danemarca</w:t>
            </w:r>
          </w:p>
        </w:tc>
        <w:tc>
          <w:tcPr>
            <w:tcW w:w="2174" w:type="dxa"/>
            <w:tcBorders>
              <w:top w:val="nil"/>
              <w:left w:val="nil"/>
              <w:bottom w:val="single" w:sz="4" w:space="0" w:color="auto"/>
              <w:right w:val="single" w:sz="4" w:space="0" w:color="auto"/>
            </w:tcBorders>
            <w:shd w:val="clear" w:color="auto" w:fill="DBE5F1" w:themeFill="accent1" w:themeFillTint="33"/>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r w:rsidRPr="00D15A26">
              <w:rPr>
                <w:rFonts w:ascii="Times New Roman" w:eastAsia="Times New Roman" w:hAnsi="Times New Roman" w:cs="Times New Roman"/>
                <w:sz w:val="20"/>
                <w:szCs w:val="18"/>
                <w:lang w:eastAsia="ro-RO"/>
              </w:rPr>
              <w:t>47,8</w:t>
            </w:r>
          </w:p>
        </w:tc>
        <w:tc>
          <w:tcPr>
            <w:tcW w:w="0" w:type="auto"/>
            <w:tcBorders>
              <w:top w:val="nil"/>
              <w:left w:val="nil"/>
              <w:bottom w:val="single" w:sz="4" w:space="0" w:color="auto"/>
              <w:right w:val="single" w:sz="4" w:space="0" w:color="auto"/>
            </w:tcBorders>
            <w:shd w:val="clear" w:color="auto" w:fill="DBE5F1" w:themeFill="accent1" w:themeFillTint="33"/>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r w:rsidRPr="00D15A26">
              <w:rPr>
                <w:rFonts w:ascii="Times New Roman" w:eastAsia="Times New Roman" w:hAnsi="Times New Roman" w:cs="Times New Roman"/>
                <w:sz w:val="20"/>
                <w:szCs w:val="18"/>
                <w:lang w:eastAsia="ro-RO"/>
              </w:rPr>
              <w:t>14,4</w:t>
            </w:r>
          </w:p>
        </w:tc>
        <w:tc>
          <w:tcPr>
            <w:tcW w:w="0" w:type="auto"/>
            <w:tcBorders>
              <w:top w:val="nil"/>
              <w:left w:val="nil"/>
              <w:bottom w:val="single" w:sz="4" w:space="0" w:color="auto"/>
              <w:right w:val="single" w:sz="4" w:space="0" w:color="auto"/>
            </w:tcBorders>
            <w:shd w:val="clear" w:color="auto" w:fill="DBE5F1" w:themeFill="accent1" w:themeFillTint="33"/>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r w:rsidRPr="00D15A26">
              <w:rPr>
                <w:rFonts w:ascii="Times New Roman" w:eastAsia="Times New Roman" w:hAnsi="Times New Roman" w:cs="Times New Roman"/>
                <w:sz w:val="20"/>
                <w:szCs w:val="18"/>
                <w:lang w:eastAsia="ro-RO"/>
              </w:rPr>
              <w:t>37,7</w:t>
            </w:r>
          </w:p>
        </w:tc>
        <w:tc>
          <w:tcPr>
            <w:tcW w:w="0" w:type="auto"/>
            <w:tcBorders>
              <w:top w:val="nil"/>
              <w:left w:val="nil"/>
              <w:bottom w:val="single" w:sz="4" w:space="0" w:color="auto"/>
              <w:right w:val="single" w:sz="4" w:space="0" w:color="auto"/>
            </w:tcBorders>
            <w:shd w:val="clear" w:color="auto" w:fill="DBE5F1" w:themeFill="accent1" w:themeFillTint="33"/>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r w:rsidRPr="00D15A26">
              <w:rPr>
                <w:rFonts w:ascii="Times New Roman" w:eastAsia="Times New Roman" w:hAnsi="Times New Roman" w:cs="Times New Roman"/>
                <w:sz w:val="20"/>
                <w:szCs w:val="18"/>
                <w:lang w:eastAsia="ro-RO"/>
              </w:rPr>
              <w:t>0,1</w:t>
            </w:r>
          </w:p>
        </w:tc>
      </w:tr>
      <w:tr w:rsidR="00D15A26" w:rsidRPr="00D15A26" w:rsidTr="007B67D2">
        <w:trPr>
          <w:trHeight w:val="251"/>
          <w:jc w:val="center"/>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r w:rsidRPr="00D15A26">
              <w:rPr>
                <w:rFonts w:ascii="Times New Roman" w:eastAsia="Times New Roman" w:hAnsi="Times New Roman" w:cs="Times New Roman"/>
                <w:sz w:val="20"/>
                <w:szCs w:val="18"/>
                <w:lang w:eastAsia="ro-RO"/>
              </w:rPr>
              <w:t>Germania</w:t>
            </w:r>
          </w:p>
        </w:tc>
        <w:tc>
          <w:tcPr>
            <w:tcW w:w="2174"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r w:rsidRPr="00D15A26">
              <w:rPr>
                <w:rFonts w:ascii="Times New Roman" w:eastAsia="Times New Roman" w:hAnsi="Times New Roman" w:cs="Times New Roman"/>
                <w:sz w:val="20"/>
                <w:szCs w:val="18"/>
                <w:lang w:eastAsia="ro-RO"/>
              </w:rPr>
              <w:t>25,7</w:t>
            </w:r>
          </w:p>
        </w:tc>
        <w:tc>
          <w:tcPr>
            <w:tcW w:w="0" w:type="auto"/>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r w:rsidRPr="00D15A26">
              <w:rPr>
                <w:rFonts w:ascii="Times New Roman" w:eastAsia="Times New Roman" w:hAnsi="Times New Roman" w:cs="Times New Roman"/>
                <w:sz w:val="20"/>
                <w:szCs w:val="18"/>
                <w:lang w:eastAsia="ro-RO"/>
              </w:rPr>
              <w:t>25,7</w:t>
            </w:r>
          </w:p>
        </w:tc>
        <w:tc>
          <w:tcPr>
            <w:tcW w:w="0" w:type="auto"/>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r w:rsidRPr="00D15A26">
              <w:rPr>
                <w:rFonts w:ascii="Times New Roman" w:eastAsia="Times New Roman" w:hAnsi="Times New Roman" w:cs="Times New Roman"/>
                <w:sz w:val="20"/>
                <w:szCs w:val="18"/>
                <w:lang w:eastAsia="ro-RO"/>
              </w:rPr>
              <w:t>40,0</w:t>
            </w:r>
          </w:p>
        </w:tc>
        <w:tc>
          <w:tcPr>
            <w:tcW w:w="0" w:type="auto"/>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r w:rsidRPr="00D15A26">
              <w:rPr>
                <w:rFonts w:ascii="Times New Roman" w:eastAsia="Times New Roman" w:hAnsi="Times New Roman" w:cs="Times New Roman"/>
                <w:sz w:val="20"/>
                <w:szCs w:val="18"/>
                <w:lang w:eastAsia="ro-RO"/>
              </w:rPr>
              <w:t>8,6</w:t>
            </w:r>
          </w:p>
        </w:tc>
      </w:tr>
      <w:tr w:rsidR="00D15A26" w:rsidRPr="00D15A26" w:rsidTr="007B67D2">
        <w:trPr>
          <w:trHeight w:val="251"/>
          <w:jc w:val="center"/>
        </w:trPr>
        <w:tc>
          <w:tcPr>
            <w:tcW w:w="135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r w:rsidRPr="00D15A26">
              <w:rPr>
                <w:rFonts w:ascii="Times New Roman" w:eastAsia="Times New Roman" w:hAnsi="Times New Roman" w:cs="Times New Roman"/>
                <w:sz w:val="20"/>
                <w:szCs w:val="18"/>
                <w:lang w:eastAsia="ro-RO"/>
              </w:rPr>
              <w:t>Romania</w:t>
            </w:r>
          </w:p>
        </w:tc>
        <w:tc>
          <w:tcPr>
            <w:tcW w:w="2174" w:type="dxa"/>
            <w:tcBorders>
              <w:top w:val="nil"/>
              <w:left w:val="nil"/>
              <w:bottom w:val="single" w:sz="4" w:space="0" w:color="auto"/>
              <w:right w:val="single" w:sz="4" w:space="0" w:color="auto"/>
            </w:tcBorders>
            <w:shd w:val="clear" w:color="auto" w:fill="DBE5F1" w:themeFill="accent1" w:themeFillTint="33"/>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r w:rsidRPr="00D15A26">
              <w:rPr>
                <w:rFonts w:ascii="Times New Roman" w:eastAsia="Times New Roman" w:hAnsi="Times New Roman" w:cs="Times New Roman"/>
                <w:sz w:val="20"/>
                <w:szCs w:val="18"/>
                <w:lang w:eastAsia="ro-RO"/>
              </w:rPr>
              <w:t>1,1</w:t>
            </w:r>
          </w:p>
        </w:tc>
        <w:tc>
          <w:tcPr>
            <w:tcW w:w="0" w:type="auto"/>
            <w:tcBorders>
              <w:top w:val="nil"/>
              <w:left w:val="nil"/>
              <w:bottom w:val="single" w:sz="4" w:space="0" w:color="auto"/>
              <w:right w:val="single" w:sz="4" w:space="0" w:color="auto"/>
            </w:tcBorders>
            <w:shd w:val="clear" w:color="auto" w:fill="DBE5F1" w:themeFill="accent1" w:themeFillTint="33"/>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r w:rsidRPr="00D15A26">
              <w:rPr>
                <w:rFonts w:ascii="Times New Roman" w:eastAsia="Times New Roman" w:hAnsi="Times New Roman" w:cs="Times New Roman"/>
                <w:sz w:val="20"/>
                <w:szCs w:val="18"/>
                <w:lang w:eastAsia="ro-RO"/>
              </w:rPr>
              <w:t>95,7</w:t>
            </w:r>
          </w:p>
        </w:tc>
        <w:tc>
          <w:tcPr>
            <w:tcW w:w="0" w:type="auto"/>
            <w:tcBorders>
              <w:top w:val="nil"/>
              <w:left w:val="nil"/>
              <w:bottom w:val="single" w:sz="4" w:space="0" w:color="auto"/>
              <w:right w:val="single" w:sz="4" w:space="0" w:color="auto"/>
            </w:tcBorders>
            <w:shd w:val="clear" w:color="auto" w:fill="DBE5F1" w:themeFill="accent1" w:themeFillTint="33"/>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r w:rsidRPr="00D15A26">
              <w:rPr>
                <w:rFonts w:ascii="Times New Roman" w:eastAsia="Times New Roman" w:hAnsi="Times New Roman" w:cs="Times New Roman"/>
                <w:sz w:val="20"/>
                <w:szCs w:val="18"/>
                <w:lang w:eastAsia="ro-RO"/>
              </w:rPr>
              <w:t>1,0</w:t>
            </w:r>
          </w:p>
        </w:tc>
        <w:tc>
          <w:tcPr>
            <w:tcW w:w="0" w:type="auto"/>
            <w:tcBorders>
              <w:top w:val="nil"/>
              <w:left w:val="nil"/>
              <w:bottom w:val="single" w:sz="4" w:space="0" w:color="auto"/>
              <w:right w:val="single" w:sz="4" w:space="0" w:color="auto"/>
            </w:tcBorders>
            <w:shd w:val="clear" w:color="auto" w:fill="DBE5F1" w:themeFill="accent1" w:themeFillTint="33"/>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r w:rsidRPr="00D15A26">
              <w:rPr>
                <w:rFonts w:ascii="Times New Roman" w:eastAsia="Times New Roman" w:hAnsi="Times New Roman" w:cs="Times New Roman"/>
                <w:sz w:val="20"/>
                <w:szCs w:val="18"/>
                <w:lang w:eastAsia="ro-RO"/>
              </w:rPr>
              <w:t>2,2</w:t>
            </w:r>
          </w:p>
        </w:tc>
      </w:tr>
    </w:tbl>
    <w:p w:rsidR="00D15A26" w:rsidRPr="00D15A26" w:rsidRDefault="00D15A26" w:rsidP="00D15A26">
      <w:pPr>
        <w:spacing w:after="0" w:line="240" w:lineRule="auto"/>
        <w:jc w:val="center"/>
        <w:rPr>
          <w:rFonts w:ascii="Times New Roman" w:eastAsia="Times New Roman" w:hAnsi="Times New Roman" w:cs="Times New Roman"/>
          <w:bCs/>
          <w:iCs/>
          <w:sz w:val="20"/>
          <w:szCs w:val="20"/>
          <w:lang w:eastAsia="ro-RO"/>
        </w:rPr>
      </w:pPr>
      <w:r w:rsidRPr="00D15A26">
        <w:rPr>
          <w:rFonts w:ascii="Times New Roman" w:eastAsia="Times New Roman" w:hAnsi="Times New Roman" w:cs="Times New Roman"/>
          <w:bCs/>
          <w:iCs/>
          <w:sz w:val="20"/>
          <w:szCs w:val="20"/>
          <w:lang w:eastAsia="ro-RO"/>
        </w:rPr>
        <w:t xml:space="preserve">Sursa: </w:t>
      </w:r>
      <w:hyperlink r:id="rId16" w:anchor="Tenure_status" w:history="1">
        <w:r w:rsidRPr="00D15A26">
          <w:rPr>
            <w:rFonts w:ascii="Times New Roman" w:eastAsia="Times New Roman" w:hAnsi="Times New Roman" w:cs="Times New Roman"/>
            <w:sz w:val="20"/>
            <w:szCs w:val="20"/>
            <w:lang w:eastAsia="ro-RO"/>
          </w:rPr>
          <w:t>https://ec.europa.eu/eurostat/statistics-explained/index.php/Housing_statistics#Tenure_status</w:t>
        </w:r>
      </w:hyperlink>
      <w:r w:rsidRPr="00D15A26">
        <w:rPr>
          <w:rFonts w:ascii="Times New Roman" w:eastAsia="Times New Roman" w:hAnsi="Times New Roman" w:cs="Times New Roman"/>
          <w:sz w:val="20"/>
          <w:szCs w:val="20"/>
          <w:lang w:eastAsia="ro-RO"/>
        </w:rPr>
        <w:t xml:space="preserve"> accesat la 12.02.2020</w:t>
      </w:r>
    </w:p>
    <w:p w:rsidR="00D15A26" w:rsidRPr="00D15A26" w:rsidRDefault="00D15A26" w:rsidP="00D15A26">
      <w:pPr>
        <w:spacing w:after="0" w:line="240" w:lineRule="auto"/>
        <w:ind w:firstLine="426"/>
        <w:jc w:val="both"/>
        <w:rPr>
          <w:rFonts w:ascii="Times New Roman" w:eastAsia="Times New Roman" w:hAnsi="Times New Roman" w:cs="Times New Roman"/>
          <w:bCs/>
          <w:iCs/>
          <w:sz w:val="24"/>
          <w:szCs w:val="28"/>
          <w:lang w:eastAsia="ro-RO"/>
        </w:rPr>
      </w:pPr>
      <w:r w:rsidRPr="00D15A26">
        <w:rPr>
          <w:rFonts w:ascii="Times New Roman" w:eastAsia="Times New Roman" w:hAnsi="Times New Roman" w:cs="Times New Roman"/>
          <w:bCs/>
          <w:iCs/>
          <w:sz w:val="24"/>
          <w:szCs w:val="28"/>
          <w:lang w:eastAsia="ro-RO"/>
        </w:rPr>
        <w:t>În România însă, 95,7 % din populație deține o locuință fără credit ipotecar, 3,2% se află în chirie și doar 1,1% deține o locuință procurată prin intermediul unui credit ipotecar.</w:t>
      </w:r>
    </w:p>
    <w:p w:rsidR="00D15A26" w:rsidRPr="00D15A26" w:rsidRDefault="00D15A26" w:rsidP="00D15A26">
      <w:pPr>
        <w:spacing w:after="0" w:line="240" w:lineRule="auto"/>
        <w:ind w:firstLine="426"/>
        <w:jc w:val="both"/>
        <w:rPr>
          <w:rFonts w:ascii="Times New Roman" w:eastAsia="Times New Roman" w:hAnsi="Times New Roman" w:cs="Times New Roman"/>
          <w:bCs/>
          <w:iCs/>
          <w:sz w:val="24"/>
          <w:szCs w:val="28"/>
          <w:lang w:eastAsia="ro-RO"/>
        </w:rPr>
      </w:pPr>
      <w:r w:rsidRPr="00D15A26">
        <w:rPr>
          <w:rFonts w:ascii="Times New Roman" w:eastAsia="Times New Roman" w:hAnsi="Times New Roman" w:cs="Times New Roman"/>
          <w:bCs/>
          <w:iCs/>
          <w:sz w:val="24"/>
          <w:szCs w:val="28"/>
          <w:lang w:eastAsia="ro-RO"/>
        </w:rPr>
        <w:t xml:space="preserve">Aceste cifre indică clar modelul de viață spre care se orientează populația. În România această tendiță se materializează în ideea de a deține o proprietate, ceea ce favorizează în sens pozitiv dezvoltarea creditului ipotecar. </w:t>
      </w:r>
    </w:p>
    <w:p w:rsidR="00D15A26" w:rsidRPr="00D15A26" w:rsidRDefault="00D15A26" w:rsidP="00D15A26">
      <w:pPr>
        <w:spacing w:after="0" w:line="240" w:lineRule="auto"/>
        <w:ind w:firstLine="426"/>
        <w:jc w:val="both"/>
        <w:rPr>
          <w:rFonts w:ascii="Times New Roman" w:eastAsia="Times New Roman" w:hAnsi="Times New Roman" w:cs="Times New Roman"/>
          <w:bCs/>
          <w:iCs/>
          <w:sz w:val="24"/>
          <w:szCs w:val="28"/>
          <w:lang w:eastAsia="ro-RO"/>
        </w:rPr>
      </w:pPr>
      <w:r w:rsidRPr="00D15A26">
        <w:rPr>
          <w:rFonts w:ascii="Times New Roman" w:eastAsia="Times New Roman" w:hAnsi="Times New Roman" w:cs="Times New Roman"/>
          <w:bCs/>
          <w:iCs/>
          <w:sz w:val="24"/>
          <w:szCs w:val="28"/>
          <w:lang w:eastAsia="ro-RO"/>
        </w:rPr>
        <w:t>În țările dezvoltate, tendința este de a închiria locuința, întrucât costul achiziției uneia este destul de mare, iar dacă totuși populația se decide la achiziția unei locuințe, în cele mai multe cazuri, apelează la creditele ipotecare, fiind o soluție rapidă și accesibilă.</w:t>
      </w:r>
    </w:p>
    <w:p w:rsidR="00D15A26" w:rsidRPr="00D15A26" w:rsidRDefault="00D15A26" w:rsidP="00D15A26">
      <w:pPr>
        <w:spacing w:after="0" w:line="240" w:lineRule="auto"/>
        <w:ind w:firstLine="426"/>
        <w:jc w:val="both"/>
        <w:rPr>
          <w:rFonts w:ascii="Times New Roman" w:eastAsia="Times New Roman" w:hAnsi="Times New Roman" w:cs="Times New Roman"/>
          <w:sz w:val="24"/>
          <w:lang w:eastAsia="ro-RO"/>
        </w:rPr>
      </w:pPr>
      <w:r w:rsidRPr="00D15A26">
        <w:rPr>
          <w:rFonts w:ascii="Times New Roman" w:eastAsia="Times New Roman" w:hAnsi="Times New Roman" w:cs="Times New Roman"/>
          <w:sz w:val="24"/>
          <w:lang w:eastAsia="ro-RO"/>
        </w:rPr>
        <w:lastRenderedPageBreak/>
        <w:t xml:space="preserve">Prin urmare, sectorul imobiliar românesc este una din ramurile principale spre care băncile preferă să-și direcționeze disponibilitățile. </w:t>
      </w:r>
    </w:p>
    <w:p w:rsidR="00D15A26" w:rsidRPr="00D15A26" w:rsidRDefault="00D15A26" w:rsidP="00D15A26">
      <w:pPr>
        <w:spacing w:before="120" w:after="120" w:line="240" w:lineRule="auto"/>
        <w:jc w:val="both"/>
        <w:rPr>
          <w:rFonts w:ascii="Times New Roman" w:eastAsia="Times New Roman" w:hAnsi="Times New Roman" w:cs="Times New Roman"/>
          <w:b/>
          <w:bCs/>
          <w:iCs/>
          <w:sz w:val="28"/>
          <w:szCs w:val="28"/>
          <w:lang w:eastAsia="ro-RO"/>
        </w:rPr>
      </w:pPr>
      <w:r w:rsidRPr="00D15A26">
        <w:rPr>
          <w:rFonts w:ascii="Times New Roman" w:eastAsia="Times New Roman" w:hAnsi="Times New Roman" w:cs="Times New Roman"/>
          <w:b/>
          <w:bCs/>
          <w:iCs/>
          <w:sz w:val="24"/>
          <w:szCs w:val="24"/>
          <w:lang w:eastAsia="ro-RO"/>
        </w:rPr>
        <w:t>3.</w:t>
      </w:r>
      <w:r w:rsidRPr="00D15A26">
        <w:rPr>
          <w:rFonts w:ascii="Times New Roman" w:eastAsia="Times New Roman" w:hAnsi="Times New Roman" w:cs="Times New Roman"/>
          <w:b/>
          <w:bCs/>
          <w:iCs/>
          <w:sz w:val="28"/>
          <w:szCs w:val="28"/>
          <w:lang w:eastAsia="ro-RO"/>
        </w:rPr>
        <w:t xml:space="preserve"> </w:t>
      </w:r>
      <w:bookmarkStart w:id="38" w:name="_Hlk51499913"/>
      <w:r w:rsidRPr="00D15A26">
        <w:rPr>
          <w:rFonts w:ascii="Times New Roman" w:eastAsia="Times New Roman" w:hAnsi="Times New Roman" w:cs="Times New Roman"/>
          <w:b/>
          <w:bCs/>
          <w:iCs/>
          <w:sz w:val="24"/>
          <w:szCs w:val="24"/>
          <w:lang w:eastAsia="ro-RO"/>
        </w:rPr>
        <w:t>Piața creditului imobiliar în România</w:t>
      </w:r>
      <w:bookmarkEnd w:id="38"/>
    </w:p>
    <w:p w:rsidR="00D15A26" w:rsidRPr="00D15A26" w:rsidRDefault="00D15A26" w:rsidP="00D15A26">
      <w:pPr>
        <w:spacing w:after="0" w:line="240" w:lineRule="auto"/>
        <w:ind w:firstLine="426"/>
        <w:jc w:val="both"/>
        <w:rPr>
          <w:rFonts w:ascii="Times New Roman" w:eastAsia="Times New Roman" w:hAnsi="Times New Roman" w:cs="Times New Roman"/>
          <w:iCs/>
          <w:sz w:val="24"/>
          <w:szCs w:val="28"/>
          <w:lang w:eastAsia="ro-RO"/>
        </w:rPr>
      </w:pPr>
      <w:r w:rsidRPr="00D15A26">
        <w:rPr>
          <w:rFonts w:ascii="Times New Roman" w:eastAsia="Times New Roman" w:hAnsi="Times New Roman" w:cs="Times New Roman"/>
          <w:bCs/>
          <w:iCs/>
          <w:sz w:val="24"/>
          <w:szCs w:val="28"/>
          <w:lang w:eastAsia="ro-RO"/>
        </w:rPr>
        <w:tab/>
        <w:t xml:space="preserve">Creditul imobiliar este parte componentă importantă a creditului acordat gospodăriilor populației care la rândul său reprezintă un segment important al creditării bancare, având un volum de 81,2 md lei, ceea ce reprezintă 57,7% din totalul creditelor acordate gospodăriilor populației în anul 2019. </w:t>
      </w:r>
      <w:r w:rsidRPr="00D15A26">
        <w:rPr>
          <w:rFonts w:ascii="Times New Roman" w:eastAsia="Times New Roman" w:hAnsi="Times New Roman" w:cs="Times New Roman"/>
          <w:bCs/>
          <w:iCs/>
          <w:sz w:val="24"/>
          <w:szCs w:val="28"/>
          <w:lang w:eastAsia="ro-RO"/>
        </w:rPr>
        <w:tab/>
        <w:t xml:space="preserve"> </w:t>
      </w:r>
    </w:p>
    <w:p w:rsidR="00D15A26" w:rsidRPr="00D15A26" w:rsidRDefault="00D15A26" w:rsidP="00D15A26">
      <w:pPr>
        <w:spacing w:after="0" w:line="240" w:lineRule="auto"/>
        <w:ind w:firstLine="426"/>
        <w:jc w:val="both"/>
        <w:rPr>
          <w:rFonts w:ascii="Times New Roman" w:eastAsia="Times New Roman" w:hAnsi="Times New Roman" w:cs="Times New Roman"/>
          <w:bCs/>
          <w:iCs/>
          <w:sz w:val="24"/>
          <w:szCs w:val="28"/>
          <w:lang w:eastAsia="ro-RO"/>
        </w:rPr>
      </w:pPr>
      <w:r w:rsidRPr="00D15A26">
        <w:rPr>
          <w:rFonts w:ascii="Times New Roman" w:eastAsia="Times New Roman" w:hAnsi="Times New Roman" w:cs="Times New Roman"/>
          <w:bCs/>
          <w:iCs/>
          <w:sz w:val="24"/>
          <w:szCs w:val="28"/>
          <w:lang w:eastAsia="ro-RO"/>
        </w:rPr>
        <w:tab/>
        <w:t>Din momentul apariției și dezvoltării creditării segmentului locativ, împrumuturile cu această destinație a fost cunoscut sub diferite denumiri, două dintre cele mai răspândite sunt creditul ipotecar și creditul imobiliar.</w:t>
      </w:r>
    </w:p>
    <w:p w:rsidR="00D15A26" w:rsidRPr="00D15A26" w:rsidRDefault="00D15A26" w:rsidP="00D15A26">
      <w:pPr>
        <w:spacing w:after="0" w:line="240" w:lineRule="auto"/>
        <w:ind w:firstLine="426"/>
        <w:jc w:val="both"/>
        <w:rPr>
          <w:rFonts w:ascii="Times New Roman" w:eastAsia="Times New Roman" w:hAnsi="Times New Roman" w:cs="Times New Roman"/>
          <w:color w:val="000000"/>
          <w:sz w:val="24"/>
          <w:szCs w:val="27"/>
          <w:lang w:eastAsia="ro-RO"/>
        </w:rPr>
      </w:pPr>
      <w:r w:rsidRPr="00D15A26">
        <w:rPr>
          <w:rFonts w:ascii="Times New Roman" w:eastAsia="Times New Roman" w:hAnsi="Times New Roman" w:cs="Times New Roman"/>
          <w:color w:val="000000"/>
          <w:sz w:val="24"/>
          <w:szCs w:val="27"/>
          <w:lang w:eastAsia="ro-RO"/>
        </w:rPr>
        <w:tab/>
        <w:t>Definirea creditelor ipotecare și imobiliare au fost și continuă să fie un subiect de controverse  pentru specialiștii din domeniu, în special din cauza lipsei unei legislații care să facă exact distincția dintre un credit ipotecar și un credit imobiliar.</w:t>
      </w:r>
    </w:p>
    <w:p w:rsidR="00D15A26" w:rsidRPr="00D15A26" w:rsidRDefault="00D15A26" w:rsidP="00D15A26">
      <w:pPr>
        <w:autoSpaceDE w:val="0"/>
        <w:autoSpaceDN w:val="0"/>
        <w:adjustRightInd w:val="0"/>
        <w:spacing w:after="0" w:line="240" w:lineRule="auto"/>
        <w:jc w:val="both"/>
        <w:rPr>
          <w:rFonts w:ascii="Times New Roman" w:hAnsi="Times New Roman" w:cs="Times New Roman"/>
          <w:iCs/>
          <w:sz w:val="24"/>
          <w:szCs w:val="24"/>
          <w:lang w:val="en-US"/>
        </w:rPr>
      </w:pPr>
      <w:r w:rsidRPr="00D15A26">
        <w:rPr>
          <w:rFonts w:ascii="Times New Roman" w:eastAsia="Times New Roman" w:hAnsi="Times New Roman" w:cs="Times New Roman"/>
          <w:color w:val="000000"/>
          <w:sz w:val="24"/>
          <w:szCs w:val="27"/>
          <w:lang w:eastAsia="ro-RO"/>
        </w:rPr>
        <w:tab/>
        <w:t xml:space="preserve">O definiție a creditului </w:t>
      </w:r>
      <w:r w:rsidRPr="00D15A26">
        <w:rPr>
          <w:rFonts w:ascii="Times New Roman" w:hAnsi="Times New Roman" w:cs="Times New Roman"/>
          <w:sz w:val="24"/>
          <w:szCs w:val="24"/>
          <w:lang w:val="en-US"/>
        </w:rPr>
        <w:t>pentru investiţii imobiliare</w:t>
      </w:r>
      <w:r w:rsidRPr="00D15A26">
        <w:rPr>
          <w:rFonts w:ascii="Times New Roman" w:eastAsia="Times New Roman" w:hAnsi="Times New Roman" w:cs="Times New Roman"/>
          <w:color w:val="000000"/>
          <w:sz w:val="24"/>
          <w:szCs w:val="27"/>
          <w:lang w:eastAsia="ro-RO"/>
        </w:rPr>
        <w:t xml:space="preserve"> se regăsește în Regulamentul BNR nr. 17/2012 care  îl definește ca </w:t>
      </w:r>
      <w:r w:rsidRPr="00D15A26">
        <w:rPr>
          <w:rFonts w:ascii="Times New Roman" w:eastAsia="Times New Roman" w:hAnsi="Times New Roman" w:cs="Times New Roman"/>
          <w:i/>
          <w:color w:val="000000"/>
          <w:sz w:val="24"/>
          <w:szCs w:val="27"/>
          <w:lang w:eastAsia="ro-RO"/>
        </w:rPr>
        <w:t>„</w:t>
      </w:r>
      <w:r w:rsidRPr="00D15A26">
        <w:rPr>
          <w:rFonts w:ascii="Times New Roman" w:hAnsi="Times New Roman" w:cs="Times New Roman"/>
          <w:i/>
          <w:iCs/>
          <w:sz w:val="24"/>
          <w:szCs w:val="24"/>
          <w:lang w:val="en-US"/>
        </w:rPr>
        <w:t>orice credit acordat unei persoane fizice care îndeplineşte cumulativ următoarele condiţii: (i) este garantat cu ipotecă imobiliară şi (ii) este acordat în scopul dobândirii ori menţinerii drepturilor de proprietate asupra unui teren şi/sau unei construcţii, realizate sau care urmează să se realizeze, ori în scopul reabilitării, modernizării, consolidării sau extinderii unei construcţii ori pentru viabilizarea unui teren sau exclusiv în scopul rambursării unui credit pentru investiţii imobiliare. Pentru scopul prezentului regulament finanţările de tip leasing financiar imobiliar acordate persoanelor fizice sunt asimilate creditului pentru investiţii imobiliare.</w:t>
      </w:r>
      <w:r w:rsidRPr="00D15A26">
        <w:rPr>
          <w:rFonts w:ascii="Times New Roman" w:eastAsia="Times New Roman" w:hAnsi="Times New Roman" w:cs="Times New Roman"/>
          <w:i/>
          <w:color w:val="000000"/>
          <w:sz w:val="24"/>
          <w:szCs w:val="27"/>
          <w:lang w:eastAsia="ro-RO"/>
        </w:rPr>
        <w:t>”</w:t>
      </w:r>
      <w:r w:rsidRPr="00D15A26">
        <w:rPr>
          <w:rFonts w:ascii="Times New Roman" w:eastAsia="Times New Roman" w:hAnsi="Times New Roman" w:cs="Times New Roman"/>
          <w:iCs/>
          <w:color w:val="000000"/>
          <w:sz w:val="24"/>
          <w:szCs w:val="27"/>
          <w:lang w:eastAsia="ro-RO"/>
        </w:rPr>
        <w:t>[3]</w:t>
      </w:r>
    </w:p>
    <w:p w:rsidR="00D15A26" w:rsidRPr="00D15A26" w:rsidRDefault="00D15A26" w:rsidP="00D15A26">
      <w:pPr>
        <w:spacing w:after="0" w:line="240" w:lineRule="auto"/>
        <w:ind w:firstLine="426"/>
        <w:jc w:val="both"/>
        <w:rPr>
          <w:rFonts w:ascii="Times New Roman" w:eastAsia="Times New Roman" w:hAnsi="Times New Roman" w:cs="Times New Roman"/>
          <w:iCs/>
          <w:color w:val="000000"/>
          <w:sz w:val="24"/>
          <w:szCs w:val="27"/>
          <w:lang w:eastAsia="ro-RO"/>
        </w:rPr>
      </w:pPr>
      <w:r w:rsidRPr="00D15A26">
        <w:rPr>
          <w:rFonts w:ascii="Times New Roman" w:eastAsia="Times New Roman" w:hAnsi="Times New Roman" w:cs="Times New Roman"/>
          <w:color w:val="000000"/>
          <w:sz w:val="24"/>
          <w:szCs w:val="27"/>
          <w:lang w:eastAsia="ro-RO"/>
        </w:rPr>
        <w:tab/>
        <w:t xml:space="preserve">În literatura de specialitate, creditele imobiliare </w:t>
      </w:r>
      <w:r w:rsidRPr="00D15A26">
        <w:rPr>
          <w:rFonts w:ascii="Times New Roman" w:eastAsia="Times New Roman" w:hAnsi="Times New Roman" w:cs="Times New Roman"/>
          <w:i/>
          <w:color w:val="000000"/>
          <w:sz w:val="24"/>
          <w:szCs w:val="27"/>
          <w:lang w:eastAsia="ro-RO"/>
        </w:rPr>
        <w:t>„reprezintă acea categorie de credite acordate de către o bancă clientelei sale, de regulă pe termen mediu sau lung, pentru achiziții, amenajări sau reparații de bunuri imobiliare cu destinație de locuință, efectuate fie de investitori, fie de promotori.”</w:t>
      </w:r>
      <w:r w:rsidRPr="00D15A26">
        <w:rPr>
          <w:rFonts w:ascii="Times New Roman" w:eastAsia="Times New Roman" w:hAnsi="Times New Roman" w:cs="Times New Roman"/>
          <w:iCs/>
          <w:color w:val="000000"/>
          <w:sz w:val="24"/>
          <w:szCs w:val="27"/>
          <w:lang w:eastAsia="ro-RO"/>
        </w:rPr>
        <w:t>[4]</w:t>
      </w:r>
    </w:p>
    <w:p w:rsidR="00D15A26" w:rsidRPr="00D15A26" w:rsidRDefault="00D15A26" w:rsidP="00D15A26">
      <w:pPr>
        <w:spacing w:after="0" w:line="240" w:lineRule="auto"/>
        <w:ind w:firstLine="426"/>
        <w:jc w:val="both"/>
        <w:rPr>
          <w:rFonts w:ascii="Times New Roman" w:eastAsia="Times New Roman" w:hAnsi="Times New Roman" w:cs="Times New Roman"/>
          <w:i/>
          <w:color w:val="000000"/>
          <w:sz w:val="24"/>
          <w:szCs w:val="27"/>
          <w:lang w:eastAsia="ro-RO"/>
        </w:rPr>
      </w:pPr>
      <w:r w:rsidRPr="00D15A26">
        <w:rPr>
          <w:rFonts w:ascii="Times New Roman" w:eastAsia="Times New Roman" w:hAnsi="Times New Roman" w:cs="Times New Roman"/>
          <w:color w:val="000000"/>
          <w:sz w:val="24"/>
          <w:szCs w:val="27"/>
          <w:lang w:eastAsia="ro-RO"/>
        </w:rPr>
        <w:tab/>
        <w:t xml:space="preserve">În schimb, o definiție pentru creditul ipotecar se regăsește în Legea nr. 190/1999 privind creditul ipotecar pentru investiții imobiliare.Definiția este </w:t>
      </w:r>
      <w:r w:rsidRPr="00D15A26">
        <w:rPr>
          <w:rFonts w:ascii="Times New Roman" w:eastAsia="Times New Roman" w:hAnsi="Times New Roman" w:cs="Times New Roman"/>
          <w:i/>
          <w:color w:val="000000"/>
          <w:sz w:val="24"/>
          <w:szCs w:val="27"/>
          <w:lang w:eastAsia="ro-RO"/>
        </w:rPr>
        <w:t>„creditul acordat cu îndeplinirea cumulativă a următoarelor condiţii:</w:t>
      </w:r>
    </w:p>
    <w:p w:rsidR="00D15A26" w:rsidRPr="00D15A26" w:rsidRDefault="00D15A26" w:rsidP="00D15A26">
      <w:pPr>
        <w:spacing w:after="0" w:line="240" w:lineRule="auto"/>
        <w:jc w:val="both"/>
        <w:rPr>
          <w:rFonts w:ascii="Times New Roman" w:eastAsia="Times New Roman" w:hAnsi="Times New Roman" w:cs="Times New Roman"/>
          <w:i/>
          <w:color w:val="000000"/>
          <w:sz w:val="24"/>
          <w:szCs w:val="27"/>
          <w:lang w:eastAsia="ro-RO"/>
        </w:rPr>
      </w:pPr>
      <w:r w:rsidRPr="00D15A26">
        <w:rPr>
          <w:rFonts w:ascii="Times New Roman" w:eastAsia="Times New Roman" w:hAnsi="Times New Roman" w:cs="Times New Roman"/>
          <w:i/>
          <w:color w:val="000000"/>
          <w:sz w:val="24"/>
          <w:szCs w:val="27"/>
          <w:lang w:eastAsia="ro-RO"/>
        </w:rPr>
        <w:t>1. este acordat în scopul efectuării de investiţii imobiliare cu destinaţie locativă sau cu altă destinaţie decât cea locativă ori în scopul rambursării unui credit ipotecar pentru investiţii imobiliare contractat anterior;</w:t>
      </w:r>
    </w:p>
    <w:p w:rsidR="00D15A26" w:rsidRPr="00D15A26" w:rsidRDefault="00D15A26" w:rsidP="00D15A26">
      <w:pPr>
        <w:spacing w:after="0" w:line="240" w:lineRule="auto"/>
        <w:jc w:val="both"/>
        <w:rPr>
          <w:rFonts w:ascii="Times New Roman" w:eastAsia="Times New Roman" w:hAnsi="Times New Roman" w:cs="Times New Roman"/>
          <w:i/>
          <w:color w:val="000000"/>
          <w:sz w:val="24"/>
          <w:szCs w:val="27"/>
          <w:lang w:eastAsia="ro-RO"/>
        </w:rPr>
      </w:pPr>
      <w:r w:rsidRPr="00D15A26">
        <w:rPr>
          <w:rFonts w:ascii="Times New Roman" w:eastAsia="Times New Roman" w:hAnsi="Times New Roman" w:cs="Times New Roman"/>
          <w:i/>
          <w:color w:val="000000"/>
          <w:sz w:val="24"/>
          <w:szCs w:val="27"/>
          <w:lang w:eastAsia="ro-RO"/>
        </w:rPr>
        <w:t>2. acordarea creditului este garantată cel puţin cu ipoteca asupra imobilului care face obiectul investiţiei imobiliare pentru finanţarea căreia se acordă creditul, respectiv cu ipoteca asupra imobilului obiect al investiţiei imobiliare pentru finanţarea căreia a fost anterior acordat un credit ipotecar pentru investiţii imobiliare, a cărui rambursare urmează a fi astfel finanţată.”</w:t>
      </w:r>
      <w:r w:rsidRPr="00D15A26">
        <w:rPr>
          <w:rFonts w:ascii="Times New Roman" w:eastAsia="Times New Roman" w:hAnsi="Times New Roman" w:cs="Times New Roman"/>
          <w:iCs/>
          <w:color w:val="000000"/>
          <w:sz w:val="24"/>
          <w:szCs w:val="27"/>
          <w:lang w:eastAsia="ro-RO"/>
        </w:rPr>
        <w:t>[5]</w:t>
      </w:r>
    </w:p>
    <w:p w:rsidR="00D15A26" w:rsidRPr="00D15A26" w:rsidRDefault="00D15A26" w:rsidP="00D15A26">
      <w:pPr>
        <w:widowControl w:val="0"/>
        <w:spacing w:after="0" w:line="240" w:lineRule="auto"/>
        <w:ind w:firstLine="708"/>
        <w:jc w:val="both"/>
        <w:rPr>
          <w:rFonts w:ascii="Times New Roman" w:eastAsia="Times New Roman" w:hAnsi="Times New Roman" w:cs="Times New Roman"/>
          <w:sz w:val="24"/>
          <w:szCs w:val="24"/>
        </w:rPr>
      </w:pPr>
      <w:r w:rsidRPr="00D15A26">
        <w:rPr>
          <w:rFonts w:ascii="Times New Roman" w:eastAsia="Times New Roman" w:hAnsi="Times New Roman" w:cs="Times New Roman"/>
          <w:sz w:val="24"/>
          <w:szCs w:val="24"/>
        </w:rPr>
        <w:t>Principalele precizări ale legii și a acestei definiții se referă la: faptul că împrumutul ipotecar  va fi garantat cu ipoteci imobiliare asupra imobilului şi terenului pentru care se acordă creditul, pe când în cazul creditului imobiliar pot exista ipoteci și pe alte imobile și, în scopul atragerii fondurilor necesare pentru acordarea de credite ipotecare, instituţiile financiare autorizate pot emite obligaţiuni în baza portofoliului de creanţe ipotecare deţinut, pe când în cazul creditului imobiliar acest lucru nu este prevăzut.</w:t>
      </w:r>
    </w:p>
    <w:p w:rsidR="00D15A26" w:rsidRPr="00D15A26" w:rsidRDefault="00D15A26" w:rsidP="00D15A26">
      <w:pPr>
        <w:widowControl w:val="0"/>
        <w:spacing w:after="0" w:line="240" w:lineRule="auto"/>
        <w:ind w:firstLine="708"/>
        <w:jc w:val="both"/>
        <w:rPr>
          <w:rFonts w:ascii="Times New Roman" w:eastAsia="Times New Roman" w:hAnsi="Times New Roman" w:cs="Times New Roman"/>
          <w:sz w:val="24"/>
          <w:szCs w:val="24"/>
        </w:rPr>
      </w:pPr>
      <w:r w:rsidRPr="00D15A26">
        <w:rPr>
          <w:rFonts w:ascii="Times New Roman" w:eastAsia="Times New Roman" w:hAnsi="Times New Roman" w:cs="Times New Roman"/>
          <w:color w:val="000000"/>
          <w:sz w:val="24"/>
          <w:szCs w:val="27"/>
          <w:lang w:eastAsia="ro-RO"/>
        </w:rPr>
        <w:t>Creditul ipotecar și creditul imobiliar sunt deseori confundate, deoarece aceste două tipuri de împrumuturi au mult trăsături comune, cum ar fi:scopul pentru care este acordat, necesitatea garantării creditului (ipoteca),volumul creditului acordat care se determină în ambele cazuri în funcție de venitul debitorului.</w:t>
      </w:r>
    </w:p>
    <w:p w:rsidR="00D15A26" w:rsidRPr="00D15A26" w:rsidRDefault="00D15A26" w:rsidP="00D15A26">
      <w:pPr>
        <w:spacing w:after="0" w:line="240" w:lineRule="auto"/>
        <w:ind w:firstLine="426"/>
        <w:jc w:val="both"/>
        <w:rPr>
          <w:rFonts w:ascii="Times New Roman" w:eastAsia="Times New Roman" w:hAnsi="Times New Roman" w:cs="Times New Roman"/>
          <w:color w:val="000000"/>
          <w:sz w:val="24"/>
          <w:szCs w:val="27"/>
          <w:lang w:eastAsia="ro-RO"/>
        </w:rPr>
      </w:pPr>
      <w:r w:rsidRPr="00D15A26">
        <w:rPr>
          <w:rFonts w:ascii="Times New Roman" w:eastAsia="Times New Roman" w:hAnsi="Times New Roman" w:cs="Times New Roman"/>
          <w:color w:val="000000"/>
          <w:sz w:val="24"/>
          <w:szCs w:val="27"/>
          <w:lang w:eastAsia="ro-RO"/>
        </w:rPr>
        <w:tab/>
        <w:t xml:space="preserve">În oferta bancară din România, creditele ipotecare sunt incluse în categoria creditelor imobiliare și sunt cunoscute sub denumirea de </w:t>
      </w:r>
      <w:r w:rsidRPr="00D15A26">
        <w:rPr>
          <w:rFonts w:ascii="Times New Roman" w:eastAsia="Times New Roman" w:hAnsi="Times New Roman" w:cs="Times New Roman"/>
          <w:i/>
          <w:color w:val="000000"/>
          <w:sz w:val="24"/>
          <w:szCs w:val="27"/>
          <w:lang w:eastAsia="ro-RO"/>
        </w:rPr>
        <w:t>„Credite pentru construirea, achiziționarea sau modernizarea locuințelor și caselor de vacanță.”</w:t>
      </w:r>
    </w:p>
    <w:p w:rsidR="00D15A26" w:rsidRPr="00D15A26" w:rsidRDefault="00D15A26" w:rsidP="00D15A26">
      <w:pPr>
        <w:spacing w:after="0" w:line="240" w:lineRule="auto"/>
        <w:ind w:firstLine="432"/>
        <w:jc w:val="both"/>
        <w:rPr>
          <w:rFonts w:ascii="Times New Roman" w:eastAsia="Times New Roman" w:hAnsi="Times New Roman" w:cs="Times New Roman"/>
          <w:color w:val="000000"/>
          <w:sz w:val="24"/>
          <w:szCs w:val="27"/>
          <w:lang w:eastAsia="ro-RO"/>
        </w:rPr>
      </w:pPr>
      <w:r w:rsidRPr="00D15A26">
        <w:rPr>
          <w:rFonts w:ascii="Times New Roman" w:eastAsia="Times New Roman" w:hAnsi="Times New Roman" w:cs="Times New Roman"/>
          <w:color w:val="000000"/>
          <w:sz w:val="24"/>
          <w:szCs w:val="27"/>
          <w:lang w:eastAsia="ro-RO"/>
        </w:rPr>
        <w:lastRenderedPageBreak/>
        <w:tab/>
        <w:t xml:space="preserve">Până la finele anului 2019, cererea de credite a fost în creștere, unii dintre factorii stimulatori ai acestei tendințe fiind sporirea veniturilor populației, stabilitatea prețurilor, stabilitatea economiei și previziunile optimiste cu privire la evoluția economică în viitor. </w:t>
      </w:r>
    </w:p>
    <w:p w:rsidR="00D15A26" w:rsidRPr="00D15A26" w:rsidRDefault="00D15A26" w:rsidP="00D15A26">
      <w:pPr>
        <w:spacing w:after="0" w:line="240" w:lineRule="auto"/>
        <w:ind w:firstLine="426"/>
        <w:jc w:val="both"/>
        <w:rPr>
          <w:rFonts w:ascii="Times New Roman" w:eastAsia="Times New Roman" w:hAnsi="Times New Roman" w:cs="Times New Roman"/>
          <w:iCs/>
          <w:sz w:val="24"/>
          <w:szCs w:val="24"/>
          <w:lang w:eastAsia="ro-RO"/>
        </w:rPr>
      </w:pPr>
      <w:r w:rsidRPr="00D15A26">
        <w:rPr>
          <w:rFonts w:ascii="Times New Roman" w:eastAsia="Times New Roman" w:hAnsi="Times New Roman" w:cs="Times New Roman"/>
          <w:sz w:val="24"/>
          <w:lang w:eastAsia="ro-RO"/>
        </w:rPr>
        <w:tab/>
        <w:t>Iată de ce BNR supraveghează atent evoluția creditării acestui sector, în special nivelul</w:t>
      </w:r>
      <w:r w:rsidRPr="00D15A26">
        <w:rPr>
          <w:rFonts w:ascii="Times New Roman" w:eastAsia="Times New Roman" w:hAnsi="Times New Roman" w:cs="Times New Roman"/>
          <w:sz w:val="24"/>
          <w:szCs w:val="20"/>
          <w:lang w:eastAsia="ro-RO"/>
        </w:rPr>
        <w:t xml:space="preserve"> expunerii sectorului bancar față de piața imobiliară. În acest sens, BNR arăta că </w:t>
      </w:r>
      <w:r w:rsidRPr="00D15A26">
        <w:rPr>
          <w:rFonts w:ascii="Times New Roman" w:eastAsia="Times New Roman" w:hAnsi="Times New Roman" w:cs="Times New Roman"/>
          <w:sz w:val="24"/>
          <w:szCs w:val="24"/>
          <w:lang w:eastAsia="ro-RO"/>
        </w:rPr>
        <w:t xml:space="preserve">în anul 2019, expunerea înregistrează </w:t>
      </w:r>
      <w:r w:rsidRPr="00D15A26">
        <w:rPr>
          <w:rFonts w:ascii="Times New Roman" w:eastAsia="Times New Roman" w:hAnsi="Times New Roman" w:cs="Times New Roman"/>
          <w:i/>
          <w:sz w:val="24"/>
          <w:szCs w:val="24"/>
          <w:lang w:eastAsia="ro-RO"/>
        </w:rPr>
        <w:t>„o valoare de aproape 91 miliarde lei (+6 la sută comparativ cu aceeași perioadă a anului anterior) și a reprezentat 67 la sută din volumul expunerilor totale la nivelul sectorului.”</w:t>
      </w:r>
      <w:r w:rsidRPr="00D15A26">
        <w:rPr>
          <w:rFonts w:ascii="Times New Roman" w:eastAsia="Times New Roman" w:hAnsi="Times New Roman" w:cs="Times New Roman"/>
          <w:iCs/>
          <w:sz w:val="24"/>
          <w:szCs w:val="24"/>
          <w:lang w:eastAsia="ro-RO"/>
        </w:rPr>
        <w:t>[6]</w:t>
      </w:r>
    </w:p>
    <w:p w:rsidR="00D15A26" w:rsidRPr="00D15A26" w:rsidRDefault="00D15A26" w:rsidP="00D15A26">
      <w:pPr>
        <w:spacing w:after="0" w:line="240" w:lineRule="auto"/>
        <w:ind w:firstLine="426"/>
        <w:jc w:val="both"/>
        <w:rPr>
          <w:rFonts w:ascii="Times New Roman" w:eastAsia="Times New Roman" w:hAnsi="Times New Roman" w:cs="Times New Roman"/>
          <w:bCs/>
          <w:iCs/>
          <w:sz w:val="24"/>
          <w:szCs w:val="28"/>
          <w:lang w:eastAsia="ro-RO"/>
        </w:rPr>
      </w:pPr>
      <w:r w:rsidRPr="00D15A26">
        <w:rPr>
          <w:rFonts w:ascii="Times New Roman" w:eastAsia="Times New Roman" w:hAnsi="Times New Roman" w:cs="Times New Roman"/>
          <w:bCs/>
          <w:iCs/>
          <w:sz w:val="24"/>
          <w:szCs w:val="28"/>
          <w:lang w:eastAsia="ro-RO"/>
        </w:rPr>
        <w:tab/>
        <w:t>În perioada anilor 2014</w:t>
      </w:r>
      <w:r w:rsidRPr="00D15A26">
        <w:rPr>
          <w:rFonts w:ascii="Times New Roman" w:eastAsia="Times New Roman" w:hAnsi="Times New Roman" w:cs="Times New Roman"/>
          <w:b/>
          <w:bCs/>
          <w:iCs/>
          <w:sz w:val="24"/>
          <w:szCs w:val="28"/>
          <w:lang w:eastAsia="ro-RO"/>
        </w:rPr>
        <w:t>-</w:t>
      </w:r>
      <w:r w:rsidRPr="00D15A26">
        <w:rPr>
          <w:rFonts w:ascii="Times New Roman" w:eastAsia="Times New Roman" w:hAnsi="Times New Roman" w:cs="Times New Roman"/>
          <w:bCs/>
          <w:iCs/>
          <w:sz w:val="24"/>
          <w:szCs w:val="28"/>
          <w:lang w:eastAsia="ro-RO"/>
        </w:rPr>
        <w:t>2019 creditarea în domeniul imobiliar a avut o tendință ascendentă, fenomen datorat în mare parte programului guvernamental „</w:t>
      </w:r>
      <w:r w:rsidRPr="00D15A26">
        <w:rPr>
          <w:rFonts w:ascii="Times New Roman" w:eastAsia="Times New Roman" w:hAnsi="Times New Roman" w:cs="Times New Roman"/>
          <w:bCs/>
          <w:i/>
          <w:iCs/>
          <w:sz w:val="24"/>
          <w:szCs w:val="28"/>
          <w:lang w:eastAsia="ro-RO"/>
        </w:rPr>
        <w:t>Prima Casă</w:t>
      </w:r>
      <w:r w:rsidRPr="00D15A26">
        <w:rPr>
          <w:rFonts w:ascii="Times New Roman" w:eastAsia="Times New Roman" w:hAnsi="Times New Roman" w:cs="Times New Roman"/>
          <w:bCs/>
          <w:iCs/>
          <w:sz w:val="24"/>
          <w:szCs w:val="28"/>
          <w:lang w:eastAsia="ro-RO"/>
        </w:rPr>
        <w:t>”. Acest program a avut un rol de catalizator al creditării în domeniul locativ. Putem observa două caracteristici importante ale  creditului acordat gospodăriilor populației:</w:t>
      </w:r>
    </w:p>
    <w:p w:rsidR="00D15A26" w:rsidRPr="00D15A26" w:rsidRDefault="00D15A26" w:rsidP="00D15A26">
      <w:pPr>
        <w:spacing w:after="0" w:line="240" w:lineRule="auto"/>
        <w:jc w:val="both"/>
        <w:rPr>
          <w:rFonts w:ascii="Times New Roman" w:eastAsia="Times New Roman" w:hAnsi="Times New Roman" w:cs="Times New Roman"/>
          <w:bCs/>
          <w:sz w:val="24"/>
          <w:szCs w:val="28"/>
          <w:lang w:eastAsia="ro-RO"/>
        </w:rPr>
      </w:pPr>
      <w:r w:rsidRPr="00D15A26">
        <w:rPr>
          <w:rFonts w:ascii="Times New Roman" w:eastAsia="Times New Roman" w:hAnsi="Times New Roman" w:cs="Times New Roman"/>
          <w:bCs/>
          <w:iCs/>
          <w:sz w:val="24"/>
          <w:szCs w:val="28"/>
          <w:lang w:eastAsia="ro-RO"/>
        </w:rPr>
        <w:t>1. creditele imobiliare acordate în lei au o pondere mai mare decât cele acordate în valută, începând cu anul 2014:„</w:t>
      </w:r>
      <w:r w:rsidRPr="00D15A26">
        <w:rPr>
          <w:rFonts w:ascii="Times New Roman" w:eastAsia="Times New Roman" w:hAnsi="Times New Roman" w:cs="Times New Roman"/>
          <w:bCs/>
          <w:i/>
          <w:iCs/>
          <w:sz w:val="24"/>
          <w:szCs w:val="28"/>
          <w:lang w:eastAsia="ro-RO"/>
        </w:rPr>
        <w:t>creditele pentru locuințe în lei au dobândit astfel în anul 2018, în premieră, cea mai ridicată pondere în totalul împrumuturilor acordate populației”</w:t>
      </w:r>
      <w:r w:rsidRPr="00D15A26">
        <w:rPr>
          <w:rFonts w:ascii="Times New Roman" w:eastAsia="Times New Roman" w:hAnsi="Times New Roman" w:cs="Times New Roman"/>
          <w:bCs/>
          <w:sz w:val="24"/>
          <w:szCs w:val="28"/>
          <w:lang w:eastAsia="ro-RO"/>
        </w:rPr>
        <w:t>[7]</w:t>
      </w:r>
    </w:p>
    <w:p w:rsidR="00D15A26" w:rsidRPr="00D15A26" w:rsidRDefault="00D15A26" w:rsidP="00D15A26">
      <w:pPr>
        <w:spacing w:after="0" w:line="240" w:lineRule="auto"/>
        <w:jc w:val="both"/>
        <w:rPr>
          <w:rFonts w:ascii="Times New Roman" w:eastAsia="Times New Roman" w:hAnsi="Times New Roman" w:cs="Times New Roman"/>
          <w:bCs/>
          <w:iCs/>
          <w:sz w:val="24"/>
          <w:szCs w:val="28"/>
          <w:lang w:eastAsia="ro-RO"/>
        </w:rPr>
      </w:pPr>
      <w:r w:rsidRPr="00D15A26">
        <w:rPr>
          <w:rFonts w:ascii="Times New Roman" w:eastAsia="Times New Roman" w:hAnsi="Times New Roman" w:cs="Times New Roman"/>
          <w:bCs/>
          <w:iCs/>
          <w:sz w:val="24"/>
          <w:szCs w:val="28"/>
          <w:lang w:eastAsia="ro-RO"/>
        </w:rPr>
        <w:t>2. creditele pentru locuințe au ajuns să dețină, la finele anului 2019, după cum a fost arătat  mai sus, cea mai mare pondere în totalul creditelor acordare gospodăriilor populației.</w:t>
      </w:r>
    </w:p>
    <w:p w:rsidR="00D15A26" w:rsidRPr="00D15A26" w:rsidRDefault="00D15A26" w:rsidP="00D15A26">
      <w:pPr>
        <w:spacing w:after="0" w:line="240" w:lineRule="auto"/>
        <w:jc w:val="center"/>
        <w:rPr>
          <w:rFonts w:ascii="Times New Roman" w:eastAsia="Times New Roman" w:hAnsi="Times New Roman" w:cs="Times New Roman"/>
          <w:sz w:val="20"/>
          <w:szCs w:val="18"/>
          <w:lang w:eastAsia="ro-RO"/>
        </w:rPr>
      </w:pPr>
      <w:bookmarkStart w:id="39" w:name="_Toc41335680"/>
      <w:bookmarkStart w:id="40" w:name="_Toc41760452"/>
      <w:r w:rsidRPr="00D15A26">
        <w:rPr>
          <w:rFonts w:ascii="Times New Roman" w:eastAsia="Times New Roman" w:hAnsi="Times New Roman" w:cs="Times New Roman"/>
          <w:b/>
          <w:bCs/>
          <w:sz w:val="20"/>
          <w:szCs w:val="18"/>
          <w:lang w:eastAsia="ro-RO"/>
        </w:rPr>
        <w:t>Table no.4 Volumul creditelor acordate gospodăriei populației în  anii 2014 și 201</w:t>
      </w:r>
      <w:bookmarkEnd w:id="39"/>
      <w:r w:rsidRPr="00D15A26">
        <w:rPr>
          <w:rFonts w:ascii="Times New Roman" w:eastAsia="Times New Roman" w:hAnsi="Times New Roman" w:cs="Times New Roman"/>
          <w:b/>
          <w:bCs/>
          <w:sz w:val="20"/>
          <w:szCs w:val="18"/>
          <w:lang w:eastAsia="ro-RO"/>
        </w:rPr>
        <w:t xml:space="preserve">9 </w:t>
      </w:r>
      <w:r w:rsidRPr="00D15A26">
        <w:rPr>
          <w:rFonts w:ascii="Times New Roman" w:eastAsia="Times New Roman" w:hAnsi="Times New Roman" w:cs="Times New Roman"/>
          <w:sz w:val="20"/>
          <w:szCs w:val="18"/>
          <w:lang w:eastAsia="ro-RO"/>
        </w:rPr>
        <w:t>–mil.lei-</w:t>
      </w:r>
      <w:bookmarkEnd w:id="40"/>
    </w:p>
    <w:tbl>
      <w:tblPr>
        <w:tblW w:w="7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0"/>
        <w:gridCol w:w="1912"/>
        <w:gridCol w:w="1847"/>
      </w:tblGrid>
      <w:tr w:rsidR="00D15A26" w:rsidRPr="00D15A26" w:rsidTr="007B67D2">
        <w:trPr>
          <w:trHeight w:val="319"/>
          <w:jc w:val="center"/>
        </w:trPr>
        <w:tc>
          <w:tcPr>
            <w:tcW w:w="3880" w:type="dxa"/>
            <w:shd w:val="clear" w:color="auto" w:fill="8DB3E2" w:themeFill="text2" w:themeFillTint="66"/>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Tipul creditului</w:t>
            </w:r>
          </w:p>
        </w:tc>
        <w:tc>
          <w:tcPr>
            <w:tcW w:w="1912" w:type="dxa"/>
            <w:shd w:val="clear" w:color="auto" w:fill="8DB3E2" w:themeFill="text2" w:themeFillTint="66"/>
            <w:noWrap/>
            <w:vAlign w:val="center"/>
            <w:hideMark/>
          </w:tcPr>
          <w:p w:rsidR="00D15A26" w:rsidRPr="00D15A26" w:rsidRDefault="00D15A26" w:rsidP="00D15A26">
            <w:pPr>
              <w:spacing w:after="0" w:line="240" w:lineRule="auto"/>
              <w:jc w:val="center"/>
              <w:rPr>
                <w:rFonts w:ascii="Times New Roman" w:eastAsia="Times New Roman" w:hAnsi="Times New Roman" w:cs="Times New Roman"/>
                <w:b/>
                <w:sz w:val="20"/>
                <w:szCs w:val="20"/>
                <w:lang w:eastAsia="ro-RO"/>
              </w:rPr>
            </w:pPr>
            <w:r w:rsidRPr="00D15A26">
              <w:rPr>
                <w:rFonts w:ascii="Times New Roman" w:eastAsia="Times New Roman" w:hAnsi="Times New Roman" w:cs="Times New Roman"/>
                <w:b/>
                <w:sz w:val="20"/>
                <w:szCs w:val="20"/>
                <w:lang w:eastAsia="ro-RO"/>
              </w:rPr>
              <w:t>2014</w:t>
            </w:r>
          </w:p>
        </w:tc>
        <w:tc>
          <w:tcPr>
            <w:tcW w:w="1847" w:type="dxa"/>
            <w:shd w:val="clear" w:color="auto" w:fill="8DB3E2" w:themeFill="text2" w:themeFillTint="66"/>
            <w:vAlign w:val="center"/>
          </w:tcPr>
          <w:p w:rsidR="00D15A26" w:rsidRPr="00D15A26" w:rsidRDefault="00D15A26" w:rsidP="00D15A26">
            <w:pPr>
              <w:spacing w:after="0" w:line="240" w:lineRule="auto"/>
              <w:jc w:val="center"/>
              <w:rPr>
                <w:rFonts w:ascii="Times New Roman" w:eastAsia="Times New Roman" w:hAnsi="Times New Roman" w:cs="Times New Roman"/>
                <w:b/>
                <w:sz w:val="20"/>
                <w:szCs w:val="20"/>
                <w:lang w:eastAsia="ro-RO"/>
              </w:rPr>
            </w:pPr>
            <w:r w:rsidRPr="00D15A26">
              <w:rPr>
                <w:rFonts w:ascii="Times New Roman" w:eastAsia="Times New Roman" w:hAnsi="Times New Roman" w:cs="Times New Roman"/>
                <w:b/>
                <w:sz w:val="20"/>
                <w:szCs w:val="20"/>
                <w:lang w:eastAsia="ro-RO"/>
              </w:rPr>
              <w:t>2019</w:t>
            </w:r>
          </w:p>
        </w:tc>
      </w:tr>
      <w:tr w:rsidR="00D15A26" w:rsidRPr="00D15A26" w:rsidTr="007B67D2">
        <w:trPr>
          <w:trHeight w:val="319"/>
          <w:jc w:val="center"/>
        </w:trPr>
        <w:tc>
          <w:tcPr>
            <w:tcW w:w="3880" w:type="dxa"/>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Credite acordate pentru consum</w:t>
            </w:r>
          </w:p>
        </w:tc>
        <w:tc>
          <w:tcPr>
            <w:tcW w:w="1912" w:type="dxa"/>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61.793,1</w:t>
            </w:r>
          </w:p>
        </w:tc>
        <w:tc>
          <w:tcPr>
            <w:tcW w:w="1847"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60.086,1</w:t>
            </w:r>
          </w:p>
        </w:tc>
      </w:tr>
      <w:tr w:rsidR="00D15A26" w:rsidRPr="00D15A26" w:rsidTr="007B67D2">
        <w:trPr>
          <w:trHeight w:val="319"/>
          <w:jc w:val="center"/>
        </w:trPr>
        <w:tc>
          <w:tcPr>
            <w:tcW w:w="3880" w:type="dxa"/>
            <w:shd w:val="clear" w:color="auto" w:fill="C6D9F1" w:themeFill="text2" w:themeFillTint="33"/>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Credite acordate pentru locuințe</w:t>
            </w:r>
          </w:p>
        </w:tc>
        <w:tc>
          <w:tcPr>
            <w:tcW w:w="1912" w:type="dxa"/>
            <w:shd w:val="clear" w:color="auto" w:fill="C6D9F1" w:themeFill="text2" w:themeFillTint="33"/>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50.677,7</w:t>
            </w:r>
          </w:p>
        </w:tc>
        <w:tc>
          <w:tcPr>
            <w:tcW w:w="1847" w:type="dxa"/>
            <w:shd w:val="clear" w:color="auto" w:fill="C6D9F1" w:themeFill="text2" w:themeFillTint="33"/>
            <w:vAlign w:val="center"/>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81.175,0</w:t>
            </w:r>
          </w:p>
        </w:tc>
      </w:tr>
      <w:tr w:rsidR="00D15A26" w:rsidRPr="00D15A26" w:rsidTr="007B67D2">
        <w:trPr>
          <w:trHeight w:val="319"/>
          <w:jc w:val="center"/>
        </w:trPr>
        <w:tc>
          <w:tcPr>
            <w:tcW w:w="3880" w:type="dxa"/>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Credite acordate pentru alte scopuri</w:t>
            </w:r>
          </w:p>
        </w:tc>
        <w:tc>
          <w:tcPr>
            <w:tcW w:w="1912" w:type="dxa"/>
            <w:noWrap/>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8.735,3</w:t>
            </w:r>
          </w:p>
        </w:tc>
        <w:tc>
          <w:tcPr>
            <w:tcW w:w="1847"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1.797,3</w:t>
            </w:r>
          </w:p>
        </w:tc>
      </w:tr>
      <w:tr w:rsidR="00D15A26" w:rsidRPr="00D15A26" w:rsidTr="007B67D2">
        <w:trPr>
          <w:trHeight w:val="319"/>
          <w:jc w:val="center"/>
        </w:trPr>
        <w:tc>
          <w:tcPr>
            <w:tcW w:w="3880" w:type="dxa"/>
            <w:shd w:val="clear" w:color="auto" w:fill="C6D9F1" w:themeFill="text2" w:themeFillTint="33"/>
            <w:noWrap/>
            <w:vAlign w:val="center"/>
            <w:hideMark/>
          </w:tcPr>
          <w:p w:rsidR="00D15A26" w:rsidRPr="00D15A26" w:rsidRDefault="00D15A26" w:rsidP="00D15A26">
            <w:pPr>
              <w:spacing w:after="0" w:line="240" w:lineRule="auto"/>
              <w:jc w:val="center"/>
              <w:rPr>
                <w:rFonts w:ascii="Times New Roman" w:eastAsia="Times New Roman" w:hAnsi="Times New Roman" w:cs="Times New Roman"/>
                <w:b/>
                <w:sz w:val="20"/>
                <w:szCs w:val="20"/>
                <w:lang w:eastAsia="ro-RO"/>
              </w:rPr>
            </w:pPr>
            <w:r w:rsidRPr="00D15A26">
              <w:rPr>
                <w:rFonts w:ascii="Times New Roman" w:eastAsia="Times New Roman" w:hAnsi="Times New Roman" w:cs="Times New Roman"/>
                <w:b/>
                <w:sz w:val="20"/>
                <w:szCs w:val="20"/>
                <w:lang w:eastAsia="ro-RO"/>
              </w:rPr>
              <w:t>Total credite acordate</w:t>
            </w:r>
          </w:p>
        </w:tc>
        <w:tc>
          <w:tcPr>
            <w:tcW w:w="1912" w:type="dxa"/>
            <w:shd w:val="clear" w:color="auto" w:fill="C6D9F1" w:themeFill="text2" w:themeFillTint="33"/>
            <w:noWrap/>
            <w:vAlign w:val="center"/>
            <w:hideMark/>
          </w:tcPr>
          <w:p w:rsidR="00D15A26" w:rsidRPr="00D15A26" w:rsidRDefault="00D15A26" w:rsidP="00D15A26">
            <w:pPr>
              <w:spacing w:after="0" w:line="240" w:lineRule="auto"/>
              <w:jc w:val="center"/>
              <w:rPr>
                <w:rFonts w:ascii="Times New Roman" w:eastAsia="Times New Roman" w:hAnsi="Times New Roman" w:cs="Times New Roman"/>
                <w:b/>
                <w:sz w:val="20"/>
                <w:szCs w:val="20"/>
                <w:lang w:eastAsia="ro-RO"/>
              </w:rPr>
            </w:pPr>
            <w:r w:rsidRPr="00D15A26">
              <w:rPr>
                <w:rFonts w:ascii="Times New Roman" w:eastAsia="Times New Roman" w:hAnsi="Times New Roman" w:cs="Times New Roman"/>
                <w:b/>
                <w:sz w:val="20"/>
                <w:szCs w:val="20"/>
                <w:lang w:eastAsia="ro-RO"/>
              </w:rPr>
              <w:t>121.206,1</w:t>
            </w:r>
          </w:p>
        </w:tc>
        <w:tc>
          <w:tcPr>
            <w:tcW w:w="1847" w:type="dxa"/>
            <w:shd w:val="clear" w:color="auto" w:fill="C6D9F1" w:themeFill="text2"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sz w:val="20"/>
                <w:szCs w:val="20"/>
                <w:lang w:eastAsia="ro-RO"/>
              </w:rPr>
            </w:pPr>
            <w:r w:rsidRPr="00D15A26">
              <w:rPr>
                <w:rFonts w:ascii="Times New Roman" w:eastAsia="Times New Roman" w:hAnsi="Times New Roman" w:cs="Times New Roman"/>
                <w:b/>
                <w:sz w:val="20"/>
                <w:szCs w:val="20"/>
                <w:lang w:eastAsia="ro-RO"/>
              </w:rPr>
              <w:t>143.058,5</w:t>
            </w:r>
          </w:p>
        </w:tc>
      </w:tr>
    </w:tbl>
    <w:p w:rsidR="00D15A26" w:rsidRPr="00D15A26" w:rsidRDefault="00D15A26" w:rsidP="00D15A26">
      <w:pPr>
        <w:spacing w:after="0" w:line="240" w:lineRule="auto"/>
        <w:jc w:val="center"/>
        <w:rPr>
          <w:rFonts w:ascii="Times New Roman" w:eastAsia="Times New Roman" w:hAnsi="Times New Roman" w:cs="Times New Roman"/>
          <w:color w:val="000000"/>
          <w:sz w:val="20"/>
          <w:szCs w:val="27"/>
          <w:lang w:val="en-US" w:eastAsia="ro-RO"/>
        </w:rPr>
      </w:pPr>
      <w:r w:rsidRPr="00D15A26">
        <w:rPr>
          <w:rFonts w:ascii="Times New Roman" w:eastAsia="Times New Roman" w:hAnsi="Times New Roman" w:cs="Times New Roman"/>
          <w:color w:val="000000"/>
          <w:sz w:val="20"/>
          <w:szCs w:val="27"/>
          <w:lang w:val="en-US" w:eastAsia="ro-RO"/>
        </w:rPr>
        <w:t>Sursa:BNR</w:t>
      </w:r>
      <w:r w:rsidRPr="00D15A26">
        <w:rPr>
          <w:rFonts w:ascii="Times New Roman" w:eastAsia="Times New Roman" w:hAnsi="Times New Roman" w:cs="Times New Roman"/>
          <w:sz w:val="20"/>
          <w:szCs w:val="20"/>
          <w:lang w:eastAsia="ro-RO"/>
        </w:rPr>
        <w:t>,baza de date interactivă</w:t>
      </w:r>
    </w:p>
    <w:p w:rsidR="00D15A26" w:rsidRPr="00D15A26" w:rsidRDefault="00D15A26" w:rsidP="00D15A26">
      <w:pPr>
        <w:spacing w:after="0" w:line="240" w:lineRule="auto"/>
        <w:ind w:firstLine="426"/>
        <w:jc w:val="both"/>
        <w:rPr>
          <w:rFonts w:ascii="Times New Roman" w:eastAsia="Times New Roman" w:hAnsi="Times New Roman" w:cs="Times New Roman"/>
          <w:color w:val="000000"/>
          <w:sz w:val="24"/>
          <w:szCs w:val="24"/>
          <w:lang w:val="en-US" w:eastAsia="ro-RO"/>
        </w:rPr>
      </w:pPr>
      <w:r w:rsidRPr="00D15A26">
        <w:rPr>
          <w:rFonts w:ascii="Times New Roman" w:eastAsia="Times New Roman" w:hAnsi="Times New Roman" w:cs="Times New Roman"/>
          <w:color w:val="000000"/>
          <w:sz w:val="24"/>
          <w:szCs w:val="24"/>
          <w:lang w:val="en-US" w:eastAsia="ro-RO"/>
        </w:rPr>
        <w:t>În graficul următor  este prezentată evoluția creditului destinat locuințelor, începând cu anul 2014.</w:t>
      </w:r>
    </w:p>
    <w:p w:rsidR="00D15A26" w:rsidRPr="00D15A26" w:rsidRDefault="00D15A26" w:rsidP="00D15A26">
      <w:pPr>
        <w:spacing w:after="0" w:line="240" w:lineRule="auto"/>
        <w:jc w:val="center"/>
        <w:rPr>
          <w:rFonts w:ascii="Times New Roman" w:eastAsia="Times New Roman" w:hAnsi="Times New Roman" w:cs="Times New Roman"/>
          <w:sz w:val="24"/>
          <w:szCs w:val="24"/>
          <w:lang w:eastAsia="ro-RO"/>
        </w:rPr>
      </w:pPr>
      <w:r w:rsidRPr="00D15A26">
        <w:rPr>
          <w:rFonts w:ascii="Times New Roman" w:eastAsia="Times New Roman" w:hAnsi="Times New Roman" w:cs="Times New Roman"/>
          <w:noProof/>
          <w:sz w:val="24"/>
          <w:szCs w:val="24"/>
          <w:lang w:eastAsia="ro-RO"/>
        </w:rPr>
        <w:drawing>
          <wp:inline distT="0" distB="0" distL="0" distR="0" wp14:anchorId="6817DE61" wp14:editId="76BB0C4C">
            <wp:extent cx="5874385" cy="1648639"/>
            <wp:effectExtent l="0" t="0" r="12065" b="8890"/>
            <wp:docPr id="4" name="Diagramă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Start w:id="41" w:name="_Toc41335428"/>
      <w:bookmarkStart w:id="42" w:name="_Toc41335568"/>
      <w:bookmarkStart w:id="43" w:name="_Toc41335628"/>
      <w:bookmarkStart w:id="44" w:name="_Toc41335745"/>
      <w:bookmarkStart w:id="45" w:name="_Toc41335786"/>
      <w:bookmarkStart w:id="46" w:name="_Toc41397971"/>
    </w:p>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Sursa: BNR,baza de date interactivă</w:t>
      </w:r>
    </w:p>
    <w:p w:rsidR="00D15A26" w:rsidRPr="00D15A26" w:rsidRDefault="00D15A26" w:rsidP="00D15A26">
      <w:pPr>
        <w:spacing w:after="0" w:line="240" w:lineRule="auto"/>
        <w:jc w:val="center"/>
        <w:rPr>
          <w:rFonts w:ascii="Times New Roman" w:eastAsia="Times New Roman" w:hAnsi="Times New Roman" w:cs="Times New Roman"/>
          <w:b/>
          <w:bCs/>
          <w:sz w:val="20"/>
          <w:szCs w:val="20"/>
          <w:lang w:eastAsia="ro-RO"/>
        </w:rPr>
      </w:pPr>
      <w:bookmarkStart w:id="47" w:name="_Toc41760432"/>
      <w:r w:rsidRPr="00D15A26">
        <w:rPr>
          <w:rFonts w:ascii="Times New Roman" w:eastAsia="Times New Roman" w:hAnsi="Times New Roman" w:cs="Times New Roman"/>
          <w:b/>
          <w:bCs/>
          <w:sz w:val="20"/>
          <w:szCs w:val="18"/>
          <w:lang w:eastAsia="ro-RO"/>
        </w:rPr>
        <w:t xml:space="preserve">Chart no.4 </w:t>
      </w:r>
      <w:r w:rsidRPr="00D15A26">
        <w:rPr>
          <w:rFonts w:ascii="Times New Roman" w:eastAsia="Times New Roman" w:hAnsi="Times New Roman" w:cs="Times New Roman"/>
          <w:b/>
          <w:bCs/>
          <w:sz w:val="20"/>
          <w:szCs w:val="20"/>
          <w:lang w:eastAsia="ro-RO"/>
        </w:rPr>
        <w:t xml:space="preserve"> Evoluția creditului pentru locuințe în perioada 2014-2019</w:t>
      </w:r>
      <w:bookmarkEnd w:id="41"/>
      <w:bookmarkEnd w:id="42"/>
      <w:bookmarkEnd w:id="43"/>
      <w:bookmarkEnd w:id="44"/>
      <w:bookmarkEnd w:id="45"/>
      <w:bookmarkEnd w:id="46"/>
      <w:bookmarkEnd w:id="47"/>
    </w:p>
    <w:p w:rsidR="00D15A26" w:rsidRPr="00D15A26" w:rsidRDefault="00D15A26" w:rsidP="00D15A26">
      <w:pPr>
        <w:spacing w:after="0" w:line="240" w:lineRule="auto"/>
        <w:ind w:firstLine="432"/>
        <w:jc w:val="both"/>
        <w:rPr>
          <w:rFonts w:ascii="Times New Roman" w:eastAsia="Times New Roman" w:hAnsi="Times New Roman" w:cs="Times New Roman"/>
          <w:i/>
          <w:color w:val="000000"/>
          <w:sz w:val="24"/>
          <w:szCs w:val="27"/>
          <w:lang w:val="en-US" w:eastAsia="ro-RO"/>
        </w:rPr>
      </w:pPr>
      <w:r w:rsidRPr="00D15A26">
        <w:rPr>
          <w:rFonts w:ascii="Times New Roman" w:eastAsia="Times New Roman" w:hAnsi="Times New Roman" w:cs="Times New Roman"/>
          <w:color w:val="000000"/>
          <w:sz w:val="24"/>
          <w:szCs w:val="27"/>
          <w:lang w:val="en-US" w:eastAsia="ro-RO"/>
        </w:rPr>
        <w:t>Începând cu anul 2014, creditul pentru locuințe a înregistrat o:</w:t>
      </w:r>
      <w:r w:rsidRPr="00D15A26">
        <w:rPr>
          <w:rFonts w:ascii="Times New Roman" w:eastAsia="Times New Roman" w:hAnsi="Times New Roman" w:cs="Times New Roman"/>
          <w:i/>
          <w:color w:val="000000"/>
          <w:sz w:val="24"/>
          <w:szCs w:val="27"/>
          <w:lang w:val="en-US" w:eastAsia="ro-RO"/>
        </w:rPr>
        <w:t>„creștere reală de circa 170 la sută, dublul ritmului înregistrat în decembrie 2013.”</w:t>
      </w:r>
      <w:r w:rsidRPr="00D15A26">
        <w:rPr>
          <w:rFonts w:ascii="Times New Roman" w:eastAsia="Times New Roman" w:hAnsi="Times New Roman" w:cs="Times New Roman"/>
          <w:iCs/>
          <w:color w:val="000000"/>
          <w:sz w:val="24"/>
          <w:szCs w:val="27"/>
          <w:lang w:val="en-US" w:eastAsia="ro-RO"/>
        </w:rPr>
        <w:t>[8]</w:t>
      </w:r>
      <w:r w:rsidRPr="00D15A26">
        <w:rPr>
          <w:rFonts w:ascii="Times New Roman" w:eastAsia="Times New Roman" w:hAnsi="Times New Roman" w:cs="Times New Roman"/>
          <w:i/>
          <w:color w:val="000000"/>
          <w:sz w:val="24"/>
          <w:szCs w:val="27"/>
          <w:lang w:val="en-US" w:eastAsia="ro-RO"/>
        </w:rPr>
        <w:t xml:space="preserve"> </w:t>
      </w:r>
    </w:p>
    <w:p w:rsidR="00D15A26" w:rsidRPr="00D15A26" w:rsidRDefault="00D15A26" w:rsidP="00D15A26">
      <w:pPr>
        <w:spacing w:after="0" w:line="240" w:lineRule="auto"/>
        <w:ind w:firstLine="432"/>
        <w:jc w:val="both"/>
        <w:rPr>
          <w:rFonts w:ascii="Times New Roman" w:eastAsia="Times New Roman" w:hAnsi="Times New Roman" w:cs="Times New Roman"/>
          <w:color w:val="000000"/>
          <w:sz w:val="24"/>
          <w:szCs w:val="27"/>
          <w:lang w:val="en-US" w:eastAsia="ro-RO"/>
        </w:rPr>
      </w:pPr>
      <w:r w:rsidRPr="00D15A26">
        <w:rPr>
          <w:rFonts w:ascii="Times New Roman" w:eastAsia="Times New Roman" w:hAnsi="Times New Roman" w:cs="Times New Roman"/>
          <w:color w:val="000000"/>
          <w:sz w:val="24"/>
          <w:szCs w:val="27"/>
          <w:lang w:val="en-US" w:eastAsia="ro-RO"/>
        </w:rPr>
        <w:t>Valorile mici ale ratelor medii anuale ale dobânzilor la creditele pentru locuințe au avut ca efect menținerea unei creșteri constante a creditării.Tendința descendentă a evoluției ratei dobânzii de politică monetară, în combinație cu programul „</w:t>
      </w:r>
      <w:r w:rsidRPr="00D15A26">
        <w:rPr>
          <w:rFonts w:ascii="Times New Roman" w:eastAsia="Times New Roman" w:hAnsi="Times New Roman" w:cs="Times New Roman"/>
          <w:i/>
          <w:color w:val="000000"/>
          <w:sz w:val="24"/>
          <w:szCs w:val="27"/>
          <w:lang w:val="en-US" w:eastAsia="ro-RO"/>
        </w:rPr>
        <w:t>Prima Casă</w:t>
      </w:r>
      <w:r w:rsidRPr="00D15A26">
        <w:rPr>
          <w:rFonts w:ascii="Times New Roman" w:eastAsia="Times New Roman" w:hAnsi="Times New Roman" w:cs="Times New Roman"/>
          <w:color w:val="000000"/>
          <w:sz w:val="24"/>
          <w:szCs w:val="27"/>
          <w:lang w:val="en-US" w:eastAsia="ro-RO"/>
        </w:rPr>
        <w:t xml:space="preserve">” a reușit să creeze populației un acces mai ușor la creditare. </w:t>
      </w:r>
    </w:p>
    <w:p w:rsidR="00D15A26" w:rsidRPr="00D15A26" w:rsidRDefault="00D15A26" w:rsidP="00D15A26">
      <w:pPr>
        <w:keepLines/>
        <w:numPr>
          <w:ilvl w:val="0"/>
          <w:numId w:val="46"/>
        </w:numPr>
        <w:spacing w:before="120" w:after="120" w:line="240" w:lineRule="auto"/>
        <w:ind w:left="270" w:hanging="270"/>
        <w:contextualSpacing/>
        <w:rPr>
          <w:rFonts w:ascii="Times New Roman" w:eastAsia="Times New Roman" w:hAnsi="Times New Roman" w:cs="Times New Roman"/>
          <w:b/>
          <w:kern w:val="32"/>
          <w:sz w:val="24"/>
          <w:szCs w:val="24"/>
          <w:lang w:eastAsia="ro-RO"/>
        </w:rPr>
      </w:pPr>
      <w:bookmarkStart w:id="48" w:name="_Toc41330441"/>
      <w:bookmarkStart w:id="49" w:name="_Toc510079207"/>
      <w:r w:rsidRPr="00D15A26">
        <w:rPr>
          <w:rFonts w:ascii="Times New Roman" w:eastAsia="Times New Roman" w:hAnsi="Times New Roman" w:cs="Times New Roman"/>
          <w:b/>
          <w:sz w:val="24"/>
          <w:szCs w:val="24"/>
          <w:lang w:eastAsia="ro-RO"/>
        </w:rPr>
        <w:t>Database – Analysis and results</w:t>
      </w:r>
      <w:r w:rsidRPr="00D15A26">
        <w:rPr>
          <w:rFonts w:ascii="Times New Roman" w:eastAsia="Times New Roman" w:hAnsi="Times New Roman" w:cs="Times New Roman"/>
          <w:b/>
          <w:kern w:val="32"/>
          <w:sz w:val="24"/>
          <w:szCs w:val="24"/>
          <w:lang w:eastAsia="ro-RO"/>
        </w:rPr>
        <w:t xml:space="preserve"> </w:t>
      </w:r>
      <w:bookmarkEnd w:id="48"/>
    </w:p>
    <w:bookmarkEnd w:id="49"/>
    <w:p w:rsidR="00D15A26" w:rsidRPr="00D15A26" w:rsidRDefault="00D15A26" w:rsidP="00D15A26">
      <w:pPr>
        <w:spacing w:after="0" w:line="240" w:lineRule="auto"/>
        <w:ind w:firstLine="426"/>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ab/>
        <w:t>Așadar, au fost selectați 2 factori majori, care în opinia noastră influențează prețul locuințelor pe piața imobiliară:</w:t>
      </w:r>
    </w:p>
    <w:p w:rsidR="00D15A26" w:rsidRPr="00D15A26" w:rsidRDefault="00D15A26" w:rsidP="00D15A26">
      <w:pPr>
        <w:numPr>
          <w:ilvl w:val="0"/>
          <w:numId w:val="32"/>
        </w:numPr>
        <w:tabs>
          <w:tab w:val="left" w:pos="180"/>
          <w:tab w:val="left" w:pos="450"/>
        </w:tabs>
        <w:spacing w:after="0" w:line="240" w:lineRule="auto"/>
        <w:contextualSpacing/>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creditele acordate gospodăriilor populaţiei pentru locuinţe și</w:t>
      </w:r>
    </w:p>
    <w:p w:rsidR="00D15A26" w:rsidRPr="00D15A26" w:rsidRDefault="00D15A26" w:rsidP="00D15A26">
      <w:pPr>
        <w:numPr>
          <w:ilvl w:val="0"/>
          <w:numId w:val="32"/>
        </w:numPr>
        <w:tabs>
          <w:tab w:val="left" w:pos="180"/>
          <w:tab w:val="left" w:pos="450"/>
        </w:tabs>
        <w:spacing w:after="0" w:line="240" w:lineRule="auto"/>
        <w:contextualSpacing/>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veniturile populației.</w:t>
      </w:r>
    </w:p>
    <w:p w:rsidR="00D15A26" w:rsidRPr="00D15A26" w:rsidRDefault="00D15A26" w:rsidP="00D15A26">
      <w:pPr>
        <w:spacing w:after="0" w:line="240" w:lineRule="auto"/>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ab/>
        <w:t>Pentru a putea evalua separat fiecare factor și efectul său asupra dinamicii prețurilor locuințelor, a fost propusă o ipoteză alcătuită din două părți:</w:t>
      </w:r>
    </w:p>
    <w:p w:rsidR="00D15A26" w:rsidRPr="00D15A26" w:rsidRDefault="00D15A26" w:rsidP="00D15A26">
      <w:pPr>
        <w:numPr>
          <w:ilvl w:val="0"/>
          <w:numId w:val="26"/>
        </w:numPr>
        <w:tabs>
          <w:tab w:val="left" w:pos="180"/>
          <w:tab w:val="left" w:pos="360"/>
        </w:tabs>
        <w:spacing w:after="0" w:line="240" w:lineRule="auto"/>
        <w:contextualSpacing/>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lastRenderedPageBreak/>
        <w:t xml:space="preserve"> prețul locuințelor este influențat de componenta cererii (componentă a cererii a fost considerat volumul creditului acordat populației pentru procurarea de locuințe);</w:t>
      </w:r>
    </w:p>
    <w:p w:rsidR="00D15A26" w:rsidRPr="00D15A26" w:rsidRDefault="00D15A26" w:rsidP="00D15A26">
      <w:pPr>
        <w:numPr>
          <w:ilvl w:val="0"/>
          <w:numId w:val="26"/>
        </w:numPr>
        <w:tabs>
          <w:tab w:val="left" w:pos="180"/>
          <w:tab w:val="left" w:pos="360"/>
        </w:tabs>
        <w:spacing w:after="0" w:line="240" w:lineRule="auto"/>
        <w:contextualSpacing/>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 xml:space="preserve"> prețul locuințelor este influențat de mărimea venitului populației.</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ab/>
        <w:t xml:space="preserve">După cum am arătat anterior, evoluția creditării pe piața imobiliară a avut o dinamică crescătoare pentru perioada 2014-2019, ceea ce reprezintă un argument care demonstrează ipoteza propusă, luând în considerare că și prețurile pe piața imobiliară au avut, de asemenea, un trend crescător. </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ab/>
        <w:t xml:space="preserve">Prin urmare, odată cu sporirea volumului creditului pentru locuințe, s-a modificat și volumul tranzacțiilor efectuate pe piața imobiliară. </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ab/>
        <w:t xml:space="preserve">Conform datelor Agenției Naționale de Cadastru și Publicitate Imobiliară (ANCPI), la începutul anului 2014, 18,31% din totalul vânzărilor efectuate pe piața imobiliară au constituit ipoteci. La sfârșitul anului 2019, structura operațiunilor efectuate pe piața imobiliară a suferit modificări, astfel încât ponderea ipotecilor a ajuns la 61,75%. </w:t>
      </w:r>
    </w:p>
    <w:p w:rsidR="00D15A26" w:rsidRPr="00D15A26" w:rsidRDefault="00D15A26" w:rsidP="00D15A26">
      <w:pPr>
        <w:spacing w:after="0" w:line="240" w:lineRule="auto"/>
        <w:ind w:firstLine="426"/>
        <w:jc w:val="both"/>
        <w:rPr>
          <w:rFonts w:ascii="Times New Roman" w:eastAsia="Times New Roman" w:hAnsi="Times New Roman" w:cs="Times New Roman"/>
          <w:bCs/>
          <w:sz w:val="24"/>
          <w:szCs w:val="18"/>
          <w:lang w:val="en-US" w:eastAsia="ro-RO"/>
        </w:rPr>
      </w:pPr>
      <w:r w:rsidRPr="00D15A26">
        <w:rPr>
          <w:rFonts w:ascii="Times New Roman" w:eastAsia="Times New Roman" w:hAnsi="Times New Roman" w:cs="Times New Roman"/>
          <w:sz w:val="24"/>
          <w:szCs w:val="20"/>
          <w:lang w:eastAsia="ro-RO"/>
        </w:rPr>
        <w:tab/>
      </w:r>
      <w:r w:rsidRPr="00D15A26">
        <w:rPr>
          <w:rFonts w:ascii="Times New Roman" w:eastAsia="Times New Roman" w:hAnsi="Times New Roman" w:cs="Times New Roman"/>
          <w:bCs/>
          <w:sz w:val="24"/>
          <w:szCs w:val="18"/>
          <w:lang w:val="en-US" w:eastAsia="ro-RO"/>
        </w:rPr>
        <w:t>În tabelul următor sunt prezentate tranzacțiile efectuate pe piața imobiliară în perioada anilor 2014-2019. Se observă că unul din momentele importante a fost în anul 2017, deoarece începând cu acest an, ponderea ipotecilor în total tranzacții a început să crească.</w:t>
      </w:r>
    </w:p>
    <w:p w:rsidR="00D15A26" w:rsidRPr="00D15A26" w:rsidRDefault="00D15A26" w:rsidP="00D15A26">
      <w:pPr>
        <w:keepNext/>
        <w:spacing w:after="0" w:line="240" w:lineRule="auto"/>
        <w:jc w:val="center"/>
        <w:rPr>
          <w:rFonts w:ascii="Times New Roman" w:eastAsia="Times New Roman" w:hAnsi="Times New Roman" w:cs="Times New Roman"/>
          <w:b/>
          <w:bCs/>
          <w:sz w:val="20"/>
          <w:szCs w:val="18"/>
          <w:lang w:val="en-US" w:eastAsia="ro-RO"/>
        </w:rPr>
      </w:pPr>
      <w:bookmarkStart w:id="50" w:name="_Toc41335688"/>
      <w:bookmarkStart w:id="51" w:name="_Toc41760460"/>
      <w:r w:rsidRPr="00D15A26">
        <w:rPr>
          <w:rFonts w:ascii="Times New Roman" w:eastAsia="Times New Roman" w:hAnsi="Times New Roman" w:cs="Times New Roman"/>
          <w:b/>
          <w:bCs/>
          <w:sz w:val="20"/>
          <w:szCs w:val="18"/>
          <w:lang w:eastAsia="ro-RO"/>
        </w:rPr>
        <w:t>Table no.5  Tranzacțiile efectuate pe piața imobiliară în perioada 2014-2019</w:t>
      </w:r>
      <w:bookmarkEnd w:id="50"/>
      <w:bookmarkEnd w:id="51"/>
    </w:p>
    <w:tbl>
      <w:tblPr>
        <w:tblW w:w="0" w:type="auto"/>
        <w:jc w:val="center"/>
        <w:tblLook w:val="04A0" w:firstRow="1" w:lastRow="0" w:firstColumn="1" w:lastColumn="0" w:noHBand="0" w:noVBand="1"/>
      </w:tblPr>
      <w:tblGrid>
        <w:gridCol w:w="1833"/>
        <w:gridCol w:w="1833"/>
        <w:gridCol w:w="1833"/>
        <w:gridCol w:w="1833"/>
      </w:tblGrid>
      <w:tr w:rsidR="00D15A26" w:rsidRPr="00D15A26" w:rsidTr="007B67D2">
        <w:trPr>
          <w:trHeight w:val="340"/>
          <w:jc w:val="center"/>
        </w:trPr>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D15A26" w:rsidRPr="00D15A26" w:rsidRDefault="00D15A26" w:rsidP="00D15A26">
            <w:pPr>
              <w:spacing w:after="0" w:line="240" w:lineRule="auto"/>
              <w:jc w:val="center"/>
              <w:rPr>
                <w:rFonts w:ascii="Times New Roman" w:eastAsia="Times New Roman" w:hAnsi="Times New Roman" w:cs="Times New Roman"/>
                <w:b/>
                <w:bCs/>
                <w:sz w:val="20"/>
                <w:szCs w:val="20"/>
                <w:lang w:eastAsia="ro-RO"/>
              </w:rPr>
            </w:pPr>
            <w:r w:rsidRPr="00D15A26">
              <w:rPr>
                <w:rFonts w:ascii="Times New Roman" w:eastAsia="Times New Roman" w:hAnsi="Times New Roman" w:cs="Times New Roman"/>
                <w:b/>
                <w:bCs/>
                <w:sz w:val="20"/>
                <w:szCs w:val="20"/>
                <w:lang w:eastAsia="ro-RO"/>
              </w:rPr>
              <w:t>Total an</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D15A26" w:rsidRPr="00D15A26" w:rsidRDefault="00D15A26" w:rsidP="00D15A26">
            <w:pPr>
              <w:spacing w:after="0" w:line="240" w:lineRule="auto"/>
              <w:jc w:val="center"/>
              <w:rPr>
                <w:rFonts w:ascii="Times New Roman" w:eastAsia="Times New Roman" w:hAnsi="Times New Roman" w:cs="Times New Roman"/>
                <w:b/>
                <w:bCs/>
                <w:sz w:val="20"/>
                <w:szCs w:val="20"/>
                <w:lang w:eastAsia="ro-RO"/>
              </w:rPr>
            </w:pPr>
            <w:r w:rsidRPr="00D15A26">
              <w:rPr>
                <w:rFonts w:ascii="Times New Roman" w:eastAsia="Times New Roman" w:hAnsi="Times New Roman" w:cs="Times New Roman"/>
                <w:b/>
                <w:bCs/>
                <w:sz w:val="20"/>
                <w:szCs w:val="20"/>
                <w:lang w:eastAsia="ro-RO"/>
              </w:rPr>
              <w:t>Vânzări (tranzacții)</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D15A26" w:rsidRPr="00D15A26" w:rsidRDefault="00D15A26" w:rsidP="00D15A26">
            <w:pPr>
              <w:spacing w:after="0" w:line="240" w:lineRule="auto"/>
              <w:jc w:val="center"/>
              <w:rPr>
                <w:rFonts w:ascii="Times New Roman" w:eastAsia="Times New Roman" w:hAnsi="Times New Roman" w:cs="Times New Roman"/>
                <w:b/>
                <w:bCs/>
                <w:sz w:val="20"/>
                <w:szCs w:val="20"/>
                <w:lang w:eastAsia="ro-RO"/>
              </w:rPr>
            </w:pPr>
            <w:r w:rsidRPr="00D15A26">
              <w:rPr>
                <w:rFonts w:ascii="Times New Roman" w:eastAsia="Times New Roman" w:hAnsi="Times New Roman" w:cs="Times New Roman"/>
                <w:b/>
                <w:bCs/>
                <w:sz w:val="20"/>
                <w:szCs w:val="20"/>
                <w:lang w:eastAsia="ro-RO"/>
              </w:rPr>
              <w:t>Ipoteci</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D15A26" w:rsidRPr="00D15A26" w:rsidRDefault="00D15A26" w:rsidP="00D15A26">
            <w:pPr>
              <w:spacing w:after="0" w:line="240" w:lineRule="auto"/>
              <w:jc w:val="center"/>
              <w:rPr>
                <w:rFonts w:ascii="Times New Roman" w:eastAsia="Times New Roman" w:hAnsi="Times New Roman" w:cs="Times New Roman"/>
                <w:b/>
                <w:bCs/>
                <w:sz w:val="20"/>
                <w:szCs w:val="20"/>
                <w:lang w:eastAsia="ro-RO"/>
              </w:rPr>
            </w:pPr>
            <w:r w:rsidRPr="00D15A26">
              <w:rPr>
                <w:rFonts w:ascii="Times New Roman" w:eastAsia="Times New Roman" w:hAnsi="Times New Roman" w:cs="Times New Roman"/>
                <w:b/>
                <w:bCs/>
                <w:sz w:val="20"/>
                <w:szCs w:val="20"/>
                <w:lang w:eastAsia="ro-RO"/>
              </w:rPr>
              <w:t>Ponderea ipotecilor în total vânzări (%)</w:t>
            </w:r>
          </w:p>
        </w:tc>
      </w:tr>
      <w:tr w:rsidR="00D15A26" w:rsidRPr="00D15A26" w:rsidTr="007B67D2">
        <w:trPr>
          <w:trHeight w:val="251"/>
          <w:jc w:val="center"/>
        </w:trPr>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2014</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824.951</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151.050</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20"/>
                <w:lang w:eastAsia="ro-RO"/>
              </w:rPr>
            </w:pPr>
            <w:r w:rsidRPr="00D15A26">
              <w:rPr>
                <w:rFonts w:ascii="Times New Roman" w:eastAsia="Times New Roman" w:hAnsi="Times New Roman" w:cs="Times New Roman"/>
                <w:color w:val="000000"/>
                <w:sz w:val="20"/>
                <w:lang w:eastAsia="ro-RO"/>
              </w:rPr>
              <w:t>18,31</w:t>
            </w:r>
          </w:p>
        </w:tc>
      </w:tr>
      <w:tr w:rsidR="00D15A26" w:rsidRPr="00D15A26" w:rsidTr="007B67D2">
        <w:trPr>
          <w:trHeight w:val="260"/>
          <w:jc w:val="center"/>
        </w:trPr>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2015</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890.168</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185.381</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20"/>
                <w:lang w:eastAsia="ro-RO"/>
              </w:rPr>
            </w:pPr>
            <w:r w:rsidRPr="00D15A26">
              <w:rPr>
                <w:rFonts w:ascii="Times New Roman" w:eastAsia="Times New Roman" w:hAnsi="Times New Roman" w:cs="Times New Roman"/>
                <w:color w:val="000000"/>
                <w:sz w:val="20"/>
                <w:lang w:eastAsia="ro-RO"/>
              </w:rPr>
              <w:t>20,83</w:t>
            </w:r>
          </w:p>
        </w:tc>
      </w:tr>
      <w:tr w:rsidR="00D15A26" w:rsidRPr="00D15A26" w:rsidTr="007B67D2">
        <w:trPr>
          <w:trHeight w:val="260"/>
          <w:jc w:val="center"/>
        </w:trPr>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2016</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20"/>
                <w:lang w:eastAsia="ro-RO"/>
              </w:rPr>
            </w:pPr>
            <w:r w:rsidRPr="00D15A26">
              <w:rPr>
                <w:rFonts w:ascii="Times New Roman" w:eastAsia="Times New Roman" w:hAnsi="Times New Roman" w:cs="Times New Roman"/>
                <w:color w:val="000000"/>
                <w:sz w:val="20"/>
                <w:lang w:eastAsia="ro-RO"/>
              </w:rPr>
              <w:t>831.254</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20"/>
                <w:lang w:eastAsia="ro-RO"/>
              </w:rPr>
            </w:pPr>
            <w:r w:rsidRPr="00D15A26">
              <w:rPr>
                <w:rFonts w:ascii="Times New Roman" w:eastAsia="Times New Roman" w:hAnsi="Times New Roman" w:cs="Times New Roman"/>
                <w:color w:val="000000"/>
                <w:sz w:val="20"/>
                <w:lang w:eastAsia="ro-RO"/>
              </w:rPr>
              <w:t>203.808</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20"/>
                <w:lang w:eastAsia="ro-RO"/>
              </w:rPr>
            </w:pPr>
            <w:r w:rsidRPr="00D15A26">
              <w:rPr>
                <w:rFonts w:ascii="Times New Roman" w:eastAsia="Times New Roman" w:hAnsi="Times New Roman" w:cs="Times New Roman"/>
                <w:color w:val="000000"/>
                <w:sz w:val="20"/>
                <w:lang w:eastAsia="ro-RO"/>
              </w:rPr>
              <w:t>24,52</w:t>
            </w:r>
          </w:p>
        </w:tc>
      </w:tr>
      <w:tr w:rsidR="00D15A26" w:rsidRPr="00D15A26" w:rsidTr="007B67D2">
        <w:trPr>
          <w:trHeight w:val="260"/>
          <w:jc w:val="center"/>
        </w:trPr>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2017</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627.802</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254.405</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20"/>
                <w:lang w:eastAsia="ro-RO"/>
              </w:rPr>
            </w:pPr>
            <w:r w:rsidRPr="00D15A26">
              <w:rPr>
                <w:rFonts w:ascii="Times New Roman" w:eastAsia="Times New Roman" w:hAnsi="Times New Roman" w:cs="Times New Roman"/>
                <w:color w:val="000000"/>
                <w:sz w:val="20"/>
                <w:lang w:eastAsia="ro-RO"/>
              </w:rPr>
              <w:t>40,52</w:t>
            </w:r>
          </w:p>
        </w:tc>
      </w:tr>
      <w:tr w:rsidR="00D15A26" w:rsidRPr="00D15A26" w:rsidTr="007B67D2">
        <w:trPr>
          <w:trHeight w:val="260"/>
          <w:jc w:val="center"/>
        </w:trPr>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2018</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563.501</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282.285</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20"/>
                <w:lang w:eastAsia="ro-RO"/>
              </w:rPr>
            </w:pPr>
            <w:r w:rsidRPr="00D15A26">
              <w:rPr>
                <w:rFonts w:ascii="Times New Roman" w:eastAsia="Times New Roman" w:hAnsi="Times New Roman" w:cs="Times New Roman"/>
                <w:color w:val="000000"/>
                <w:sz w:val="20"/>
                <w:lang w:eastAsia="ro-RO"/>
              </w:rPr>
              <w:t>50,09</w:t>
            </w:r>
          </w:p>
        </w:tc>
      </w:tr>
      <w:tr w:rsidR="00D15A26" w:rsidRPr="00D15A26" w:rsidTr="007B67D2">
        <w:trPr>
          <w:trHeight w:val="260"/>
          <w:jc w:val="center"/>
        </w:trPr>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2019</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540.180</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333.561</w:t>
            </w:r>
          </w:p>
        </w:tc>
        <w:tc>
          <w:tcPr>
            <w:tcW w:w="18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20"/>
                <w:lang w:eastAsia="ro-RO"/>
              </w:rPr>
            </w:pPr>
            <w:r w:rsidRPr="00D15A26">
              <w:rPr>
                <w:rFonts w:ascii="Times New Roman" w:eastAsia="Times New Roman" w:hAnsi="Times New Roman" w:cs="Times New Roman"/>
                <w:color w:val="000000"/>
                <w:sz w:val="20"/>
                <w:lang w:eastAsia="ro-RO"/>
              </w:rPr>
              <w:t>61,75</w:t>
            </w:r>
          </w:p>
        </w:tc>
      </w:tr>
    </w:tbl>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 xml:space="preserve">Sursa: </w:t>
      </w:r>
      <w:hyperlink r:id="rId18" w:history="1">
        <w:r w:rsidRPr="00D15A26">
          <w:rPr>
            <w:rFonts w:ascii="Times New Roman" w:eastAsia="Times New Roman" w:hAnsi="Times New Roman" w:cs="Times New Roman"/>
            <w:color w:val="0000FF"/>
            <w:sz w:val="20"/>
            <w:szCs w:val="20"/>
            <w:u w:val="single"/>
            <w:lang w:eastAsia="ro-RO"/>
          </w:rPr>
          <w:t>http://www.ancpi.ro/index.php/presa-3/statistici</w:t>
        </w:r>
      </w:hyperlink>
      <w:r w:rsidRPr="00D15A26">
        <w:rPr>
          <w:rFonts w:ascii="Times New Roman" w:eastAsia="Times New Roman" w:hAnsi="Times New Roman" w:cs="Times New Roman"/>
          <w:color w:val="0000FF"/>
          <w:sz w:val="20"/>
          <w:szCs w:val="20"/>
          <w:u w:val="single"/>
          <w:lang w:eastAsia="ro-RO"/>
        </w:rPr>
        <w:t>,</w:t>
      </w:r>
      <w:r w:rsidRPr="00D15A26">
        <w:rPr>
          <w:rFonts w:ascii="Times New Roman" w:eastAsia="Times New Roman" w:hAnsi="Times New Roman" w:cs="Times New Roman"/>
          <w:sz w:val="20"/>
          <w:szCs w:val="20"/>
          <w:lang w:eastAsia="ro-RO"/>
        </w:rPr>
        <w:t xml:space="preserve"> calcule proprii</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ab/>
        <w:t>Această modificare în structura tranzacțiilor denotă faptul că populația optează, din ce în ce mai mult, pentru o ipotecă.Prin urmare, ipotecile joacă un rol în formarea prețului locuințelor, fiind punctul de intersecție al sectorului bancar cu cel imobiliar.</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În graficul următor este prezentată evoluția în paralel a creditelor acordate pentru locuințe și a numărului de ipoteci constituite, în perioada 2014</w:t>
      </w:r>
      <w:r w:rsidRPr="00D15A26">
        <w:rPr>
          <w:rFonts w:ascii="Times New Roman" w:eastAsia="Times New Roman" w:hAnsi="Times New Roman" w:cs="Times New Roman"/>
          <w:b/>
          <w:sz w:val="24"/>
          <w:szCs w:val="20"/>
          <w:lang w:eastAsia="ro-RO"/>
        </w:rPr>
        <w:t>-</w:t>
      </w:r>
      <w:r w:rsidRPr="00D15A26">
        <w:rPr>
          <w:rFonts w:ascii="Times New Roman" w:eastAsia="Times New Roman" w:hAnsi="Times New Roman" w:cs="Times New Roman"/>
          <w:sz w:val="24"/>
          <w:szCs w:val="20"/>
          <w:lang w:eastAsia="ro-RO"/>
        </w:rPr>
        <w:t xml:space="preserve">2019. </w:t>
      </w:r>
    </w:p>
    <w:p w:rsidR="00D15A26" w:rsidRPr="00D15A26" w:rsidRDefault="00D15A26" w:rsidP="00D15A26">
      <w:pPr>
        <w:keepNext/>
        <w:spacing w:after="0" w:line="240" w:lineRule="auto"/>
        <w:jc w:val="center"/>
        <w:rPr>
          <w:rFonts w:ascii="Times New Roman" w:eastAsia="Times New Roman" w:hAnsi="Times New Roman" w:cs="Times New Roman"/>
          <w:lang w:val="en-US" w:eastAsia="ro-RO"/>
        </w:rPr>
      </w:pPr>
      <w:r w:rsidRPr="00D15A26">
        <w:rPr>
          <w:rFonts w:ascii="Times New Roman" w:eastAsia="Times New Roman" w:hAnsi="Times New Roman" w:cs="Times New Roman"/>
          <w:noProof/>
          <w:color w:val="000000" w:themeColor="text1"/>
          <w:lang w:eastAsia="ro-RO"/>
        </w:rPr>
        <w:drawing>
          <wp:inline distT="0" distB="0" distL="0" distR="0" wp14:anchorId="53F401D9" wp14:editId="52F7B24E">
            <wp:extent cx="5876925" cy="2134733"/>
            <wp:effectExtent l="0" t="0" r="9525" b="18415"/>
            <wp:docPr id="6" name="Diagramă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Start w:id="52" w:name="_Toc41335439"/>
      <w:bookmarkStart w:id="53" w:name="_Toc41335579"/>
      <w:bookmarkStart w:id="54" w:name="_Toc41335639"/>
      <w:bookmarkStart w:id="55" w:name="_Toc41335756"/>
      <w:bookmarkStart w:id="56" w:name="_Toc41335797"/>
      <w:bookmarkStart w:id="57" w:name="_Toc41397982"/>
    </w:p>
    <w:p w:rsidR="00D15A26" w:rsidRPr="00D15A26" w:rsidRDefault="00D15A26" w:rsidP="00D15A26">
      <w:pPr>
        <w:spacing w:after="0" w:line="240" w:lineRule="auto"/>
        <w:jc w:val="center"/>
        <w:rPr>
          <w:rFonts w:ascii="Times New Roman" w:eastAsia="Times New Roman" w:hAnsi="Times New Roman" w:cs="Times New Roman"/>
          <w:b/>
          <w:bCs/>
          <w:sz w:val="24"/>
          <w:szCs w:val="20"/>
          <w:lang w:eastAsia="ro-RO"/>
        </w:rPr>
      </w:pPr>
      <w:bookmarkStart w:id="58" w:name="_Toc41760443"/>
      <w:r w:rsidRPr="00D15A26">
        <w:rPr>
          <w:rFonts w:ascii="Times New Roman" w:eastAsia="Times New Roman" w:hAnsi="Times New Roman" w:cs="Times New Roman"/>
          <w:b/>
          <w:bCs/>
          <w:sz w:val="20"/>
          <w:szCs w:val="18"/>
          <w:lang w:eastAsia="ro-RO"/>
        </w:rPr>
        <w:t xml:space="preserve">Chart no.5 </w:t>
      </w:r>
      <w:r w:rsidRPr="00D15A26">
        <w:rPr>
          <w:rFonts w:ascii="Times New Roman" w:eastAsia="Times New Roman" w:hAnsi="Times New Roman" w:cs="Times New Roman"/>
          <w:b/>
          <w:bCs/>
          <w:sz w:val="20"/>
          <w:szCs w:val="18"/>
          <w:lang w:val="en-US" w:eastAsia="ro-RO"/>
        </w:rPr>
        <w:t xml:space="preserve"> </w:t>
      </w:r>
      <w:r w:rsidRPr="00D15A26">
        <w:rPr>
          <w:rFonts w:ascii="Times New Roman" w:eastAsia="Times New Roman" w:hAnsi="Times New Roman" w:cs="Times New Roman"/>
          <w:b/>
          <w:bCs/>
          <w:sz w:val="20"/>
          <w:szCs w:val="18"/>
          <w:lang w:eastAsia="ro-RO"/>
        </w:rPr>
        <w:t xml:space="preserve"> Evoluția ipotecilor și a creditelor pentru locuințe</w:t>
      </w:r>
      <w:bookmarkStart w:id="59" w:name="_Toc41330443"/>
      <w:bookmarkEnd w:id="52"/>
      <w:bookmarkEnd w:id="53"/>
      <w:bookmarkEnd w:id="54"/>
      <w:bookmarkEnd w:id="55"/>
      <w:bookmarkEnd w:id="56"/>
      <w:bookmarkEnd w:id="57"/>
      <w:bookmarkEnd w:id="58"/>
    </w:p>
    <w:bookmarkEnd w:id="59"/>
    <w:p w:rsidR="00D15A26" w:rsidRPr="00D15A26" w:rsidRDefault="00D15A26" w:rsidP="00D15A26">
      <w:pPr>
        <w:spacing w:after="0" w:line="240" w:lineRule="auto"/>
        <w:ind w:firstLine="426"/>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ab/>
        <w:t>Înainte de a prezenta relația dintre veniturile populației și prețul locuințelor, este important de clarificat fenomenul de accesibilitate</w:t>
      </w:r>
      <w:r w:rsidRPr="00D15A26">
        <w:rPr>
          <w:rFonts w:ascii="Times New Roman" w:eastAsia="Times New Roman" w:hAnsi="Times New Roman" w:cs="Times New Roman"/>
          <w:i/>
          <w:sz w:val="24"/>
          <w:szCs w:val="20"/>
          <w:lang w:eastAsia="ro-RO"/>
        </w:rPr>
        <w:t>.</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ab/>
        <w:t>Accesibilitatea reprezintă capacitatea de a suporta un cost de către un beneficiar. Pentru sectorul imobiliar, o locuință accesibilă este aceea a cărei cost este suportabil pentru beneficiar.Accesibilitatea poate fi calculată după două metode:</w:t>
      </w:r>
    </w:p>
    <w:p w:rsidR="00D15A26" w:rsidRPr="00D15A26" w:rsidRDefault="00D15A26" w:rsidP="00D15A26">
      <w:pPr>
        <w:numPr>
          <w:ilvl w:val="0"/>
          <w:numId w:val="28"/>
        </w:numPr>
        <w:tabs>
          <w:tab w:val="left" w:pos="270"/>
        </w:tabs>
        <w:spacing w:after="0" w:line="240" w:lineRule="auto"/>
        <w:contextualSpacing/>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ca raport dintre prețul mediu al locuinței și venitul mediu al familiei;</w:t>
      </w:r>
    </w:p>
    <w:p w:rsidR="00D15A26" w:rsidRPr="00D15A26" w:rsidRDefault="00D15A26" w:rsidP="00D15A26">
      <w:pPr>
        <w:numPr>
          <w:ilvl w:val="0"/>
          <w:numId w:val="28"/>
        </w:numPr>
        <w:tabs>
          <w:tab w:val="left" w:pos="270"/>
        </w:tabs>
        <w:spacing w:after="0" w:line="240" w:lineRule="auto"/>
        <w:contextualSpacing/>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 xml:space="preserve">ca pondere a resurselor distribuite pentru finanțarea cheltuielilor cu locuința în totalul veniturilor unei familii. </w:t>
      </w:r>
    </w:p>
    <w:p w:rsidR="00D15A26" w:rsidRPr="00D15A26" w:rsidRDefault="00D15A26" w:rsidP="00D15A26">
      <w:pPr>
        <w:tabs>
          <w:tab w:val="left" w:pos="180"/>
        </w:tabs>
        <w:spacing w:after="0" w:line="240" w:lineRule="auto"/>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lastRenderedPageBreak/>
        <w:tab/>
      </w:r>
      <w:r w:rsidRPr="00D15A26">
        <w:rPr>
          <w:rFonts w:ascii="Times New Roman" w:eastAsia="Times New Roman" w:hAnsi="Times New Roman" w:cs="Times New Roman"/>
          <w:sz w:val="24"/>
          <w:szCs w:val="20"/>
          <w:lang w:eastAsia="ro-RO"/>
        </w:rPr>
        <w:tab/>
        <w:t>În România, accesibilitatea se determină ca pondere a cheltuielilor efectuate pentru locuință în total venituri ale familiei. Nivelul de referință al accesibilității pentru sectorul imobiliar a fost de 40% din veniturile obținute.</w:t>
      </w:r>
    </w:p>
    <w:p w:rsidR="00D15A26" w:rsidRPr="00D15A26" w:rsidRDefault="00D15A26" w:rsidP="00D15A26">
      <w:pPr>
        <w:spacing w:after="0" w:line="240" w:lineRule="auto"/>
        <w:jc w:val="both"/>
        <w:rPr>
          <w:rFonts w:ascii="Times New Roman" w:eastAsia="Times New Roman" w:hAnsi="Times New Roman" w:cs="Times New Roman"/>
          <w:i/>
          <w:sz w:val="24"/>
          <w:szCs w:val="20"/>
          <w:lang w:eastAsia="ro-RO"/>
        </w:rPr>
      </w:pPr>
      <w:r w:rsidRPr="00D15A26">
        <w:rPr>
          <w:rFonts w:ascii="Times New Roman" w:eastAsia="Times New Roman" w:hAnsi="Times New Roman" w:cs="Times New Roman"/>
          <w:sz w:val="24"/>
          <w:szCs w:val="20"/>
          <w:lang w:eastAsia="ro-RO"/>
        </w:rPr>
        <w:tab/>
        <w:t>În perioada 2014-2019, procentul populației care depășește limita de 40% este prezentată în tabelul următor:</w:t>
      </w:r>
    </w:p>
    <w:p w:rsidR="00D15A26" w:rsidRPr="00D15A26" w:rsidRDefault="00D15A26" w:rsidP="00D15A26">
      <w:pPr>
        <w:spacing w:after="0" w:line="240" w:lineRule="auto"/>
        <w:ind w:firstLine="432"/>
        <w:jc w:val="center"/>
        <w:rPr>
          <w:rFonts w:ascii="Times New Roman" w:eastAsia="Times New Roman" w:hAnsi="Times New Roman" w:cs="Times New Roman"/>
          <w:szCs w:val="20"/>
          <w:lang w:eastAsia="ro-RO"/>
        </w:rPr>
      </w:pPr>
      <w:bookmarkStart w:id="60" w:name="_Toc41335689"/>
      <w:bookmarkStart w:id="61" w:name="_Toc41760461"/>
      <w:r w:rsidRPr="00D15A26">
        <w:rPr>
          <w:rFonts w:ascii="Times New Roman" w:eastAsia="Times New Roman" w:hAnsi="Times New Roman" w:cs="Times New Roman"/>
          <w:b/>
          <w:bCs/>
          <w:sz w:val="20"/>
          <w:szCs w:val="18"/>
          <w:lang w:eastAsia="ro-RO"/>
        </w:rPr>
        <w:t>Table no.6</w:t>
      </w:r>
      <w:r w:rsidRPr="00D15A26">
        <w:rPr>
          <w:rFonts w:ascii="Times New Roman" w:eastAsia="Times New Roman" w:hAnsi="Times New Roman" w:cs="Times New Roman"/>
          <w:b/>
          <w:sz w:val="20"/>
          <w:lang w:eastAsia="ro-RO"/>
        </w:rPr>
        <w:t xml:space="preserve"> Ponderea persoanelor a căror cheltuieli pentru locuințe depășește 40% din venituri</w:t>
      </w:r>
      <w:bookmarkEnd w:id="60"/>
      <w:r w:rsidRPr="00D15A26">
        <w:rPr>
          <w:rFonts w:ascii="Times New Roman" w:eastAsia="Times New Roman" w:hAnsi="Times New Roman" w:cs="Times New Roman"/>
          <w:b/>
          <w:sz w:val="20"/>
          <w:lang w:eastAsia="ro-RO"/>
        </w:rPr>
        <w:t xml:space="preserve"> </w:t>
      </w:r>
      <w:r w:rsidRPr="00D15A26">
        <w:rPr>
          <w:rFonts w:ascii="Times New Roman" w:eastAsia="Times New Roman" w:hAnsi="Times New Roman" w:cs="Times New Roman"/>
          <w:b/>
          <w:szCs w:val="20"/>
          <w:lang w:eastAsia="ro-RO"/>
        </w:rPr>
        <w:t>-</w:t>
      </w:r>
      <w:r w:rsidRPr="00D15A26">
        <w:rPr>
          <w:rFonts w:ascii="Times New Roman" w:eastAsia="Times New Roman" w:hAnsi="Times New Roman" w:cs="Times New Roman"/>
          <w:szCs w:val="20"/>
          <w:lang w:eastAsia="ro-RO"/>
        </w:rPr>
        <w:t>%</w:t>
      </w:r>
      <w:r w:rsidRPr="00D15A26">
        <w:rPr>
          <w:rFonts w:ascii="Times New Roman" w:eastAsia="Times New Roman" w:hAnsi="Times New Roman" w:cs="Times New Roman"/>
          <w:b/>
          <w:szCs w:val="20"/>
          <w:lang w:eastAsia="ro-RO"/>
        </w:rPr>
        <w:t>-</w:t>
      </w:r>
      <w:bookmarkEnd w:id="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251"/>
        <w:gridCol w:w="1251"/>
        <w:gridCol w:w="1251"/>
        <w:gridCol w:w="1251"/>
        <w:gridCol w:w="1251"/>
        <w:gridCol w:w="1252"/>
      </w:tblGrid>
      <w:tr w:rsidR="00D15A26" w:rsidRPr="00D15A26" w:rsidTr="007B67D2">
        <w:trPr>
          <w:trHeight w:val="298"/>
          <w:jc w:val="center"/>
        </w:trPr>
        <w:tc>
          <w:tcPr>
            <w:tcW w:w="1251"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bCs/>
                <w:sz w:val="20"/>
                <w:szCs w:val="20"/>
                <w:lang w:eastAsia="ro-RO"/>
              </w:rPr>
            </w:pPr>
            <w:r w:rsidRPr="00D15A26">
              <w:rPr>
                <w:rFonts w:ascii="Times New Roman" w:eastAsia="Times New Roman" w:hAnsi="Times New Roman" w:cs="Times New Roman"/>
                <w:b/>
                <w:bCs/>
                <w:sz w:val="20"/>
                <w:szCs w:val="20"/>
                <w:lang w:eastAsia="ro-RO"/>
              </w:rPr>
              <w:t>Explicații</w:t>
            </w:r>
          </w:p>
        </w:tc>
        <w:tc>
          <w:tcPr>
            <w:tcW w:w="1251"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bCs/>
                <w:sz w:val="20"/>
                <w:szCs w:val="20"/>
                <w:lang w:eastAsia="ro-RO"/>
              </w:rPr>
            </w:pPr>
            <w:r w:rsidRPr="00D15A26">
              <w:rPr>
                <w:rFonts w:ascii="Times New Roman" w:eastAsia="Times New Roman" w:hAnsi="Times New Roman" w:cs="Times New Roman"/>
                <w:b/>
                <w:bCs/>
                <w:sz w:val="20"/>
                <w:szCs w:val="20"/>
                <w:lang w:eastAsia="ro-RO"/>
              </w:rPr>
              <w:t>2014</w:t>
            </w:r>
          </w:p>
        </w:tc>
        <w:tc>
          <w:tcPr>
            <w:tcW w:w="1251"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bCs/>
                <w:sz w:val="20"/>
                <w:szCs w:val="20"/>
                <w:lang w:eastAsia="ro-RO"/>
              </w:rPr>
            </w:pPr>
            <w:r w:rsidRPr="00D15A26">
              <w:rPr>
                <w:rFonts w:ascii="Times New Roman" w:eastAsia="Times New Roman" w:hAnsi="Times New Roman" w:cs="Times New Roman"/>
                <w:b/>
                <w:bCs/>
                <w:sz w:val="20"/>
                <w:szCs w:val="20"/>
                <w:lang w:eastAsia="ro-RO"/>
              </w:rPr>
              <w:t>2015</w:t>
            </w:r>
          </w:p>
        </w:tc>
        <w:tc>
          <w:tcPr>
            <w:tcW w:w="1251"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bCs/>
                <w:sz w:val="20"/>
                <w:szCs w:val="20"/>
                <w:lang w:eastAsia="ro-RO"/>
              </w:rPr>
            </w:pPr>
            <w:r w:rsidRPr="00D15A26">
              <w:rPr>
                <w:rFonts w:ascii="Times New Roman" w:eastAsia="Times New Roman" w:hAnsi="Times New Roman" w:cs="Times New Roman"/>
                <w:b/>
                <w:bCs/>
                <w:sz w:val="20"/>
                <w:szCs w:val="20"/>
                <w:lang w:eastAsia="ro-RO"/>
              </w:rPr>
              <w:t>2016</w:t>
            </w:r>
          </w:p>
        </w:tc>
        <w:tc>
          <w:tcPr>
            <w:tcW w:w="1251"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bCs/>
                <w:sz w:val="20"/>
                <w:szCs w:val="20"/>
                <w:lang w:eastAsia="ro-RO"/>
              </w:rPr>
            </w:pPr>
            <w:r w:rsidRPr="00D15A26">
              <w:rPr>
                <w:rFonts w:ascii="Times New Roman" w:eastAsia="Times New Roman" w:hAnsi="Times New Roman" w:cs="Times New Roman"/>
                <w:b/>
                <w:bCs/>
                <w:sz w:val="20"/>
                <w:szCs w:val="20"/>
                <w:lang w:eastAsia="ro-RO"/>
              </w:rPr>
              <w:t>2017</w:t>
            </w:r>
          </w:p>
        </w:tc>
        <w:tc>
          <w:tcPr>
            <w:tcW w:w="1251"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bCs/>
                <w:sz w:val="20"/>
                <w:szCs w:val="20"/>
                <w:lang w:eastAsia="ro-RO"/>
              </w:rPr>
            </w:pPr>
            <w:r w:rsidRPr="00D15A26">
              <w:rPr>
                <w:rFonts w:ascii="Times New Roman" w:eastAsia="Times New Roman" w:hAnsi="Times New Roman" w:cs="Times New Roman"/>
                <w:b/>
                <w:bCs/>
                <w:sz w:val="20"/>
                <w:szCs w:val="20"/>
                <w:lang w:eastAsia="ro-RO"/>
              </w:rPr>
              <w:t>2018</w:t>
            </w:r>
          </w:p>
        </w:tc>
        <w:tc>
          <w:tcPr>
            <w:tcW w:w="1252" w:type="dxa"/>
            <w:shd w:val="clear" w:color="auto" w:fill="DBE5F1" w:themeFill="accent1" w:themeFillTint="33"/>
            <w:vAlign w:val="center"/>
          </w:tcPr>
          <w:p w:rsidR="00D15A26" w:rsidRPr="00D15A26" w:rsidRDefault="00D15A26" w:rsidP="00D15A26">
            <w:pPr>
              <w:spacing w:after="0" w:line="240" w:lineRule="auto"/>
              <w:jc w:val="center"/>
              <w:rPr>
                <w:rFonts w:ascii="Times New Roman" w:eastAsia="Times New Roman" w:hAnsi="Times New Roman" w:cs="Times New Roman"/>
                <w:b/>
                <w:bCs/>
                <w:sz w:val="20"/>
                <w:szCs w:val="20"/>
                <w:lang w:eastAsia="ro-RO"/>
              </w:rPr>
            </w:pPr>
            <w:r w:rsidRPr="00D15A26">
              <w:rPr>
                <w:rFonts w:ascii="Times New Roman" w:eastAsia="Times New Roman" w:hAnsi="Times New Roman" w:cs="Times New Roman"/>
                <w:b/>
                <w:bCs/>
                <w:sz w:val="20"/>
                <w:szCs w:val="20"/>
                <w:lang w:eastAsia="ro-RO"/>
              </w:rPr>
              <w:t>2019</w:t>
            </w:r>
          </w:p>
        </w:tc>
      </w:tr>
      <w:tr w:rsidR="00D15A26" w:rsidRPr="00D15A26" w:rsidTr="007B67D2">
        <w:trPr>
          <w:trHeight w:val="308"/>
          <w:jc w:val="center"/>
        </w:trPr>
        <w:tc>
          <w:tcPr>
            <w:tcW w:w="1251"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România</w:t>
            </w:r>
          </w:p>
        </w:tc>
        <w:tc>
          <w:tcPr>
            <w:tcW w:w="1251"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16,2</w:t>
            </w:r>
          </w:p>
        </w:tc>
        <w:tc>
          <w:tcPr>
            <w:tcW w:w="1251"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15,9</w:t>
            </w:r>
          </w:p>
        </w:tc>
        <w:tc>
          <w:tcPr>
            <w:tcW w:w="1251"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14,4</w:t>
            </w:r>
          </w:p>
        </w:tc>
        <w:tc>
          <w:tcPr>
            <w:tcW w:w="1251"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12,3</w:t>
            </w:r>
          </w:p>
        </w:tc>
        <w:tc>
          <w:tcPr>
            <w:tcW w:w="1251"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10,3</w:t>
            </w:r>
          </w:p>
        </w:tc>
        <w:tc>
          <w:tcPr>
            <w:tcW w:w="1252" w:type="dxa"/>
            <w:vAlign w:val="center"/>
          </w:tcPr>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r w:rsidRPr="00D15A26">
              <w:rPr>
                <w:rFonts w:ascii="Times New Roman" w:eastAsia="Times New Roman" w:hAnsi="Times New Roman" w:cs="Times New Roman"/>
                <w:sz w:val="20"/>
                <w:szCs w:val="20"/>
                <w:lang w:eastAsia="ro-RO"/>
              </w:rPr>
              <w:t>8,6</w:t>
            </w:r>
          </w:p>
        </w:tc>
      </w:tr>
    </w:tbl>
    <w:p w:rsidR="00D15A26" w:rsidRPr="00D15A26" w:rsidRDefault="00D15A26" w:rsidP="00D15A26">
      <w:pPr>
        <w:tabs>
          <w:tab w:val="left" w:pos="360"/>
        </w:tabs>
        <w:spacing w:after="0" w:line="240" w:lineRule="auto"/>
        <w:contextualSpacing/>
        <w:jc w:val="center"/>
        <w:rPr>
          <w:rFonts w:ascii="Times New Roman" w:eastAsia="Times New Roman" w:hAnsi="Times New Roman" w:cs="Times New Roman"/>
          <w:bCs/>
          <w:iCs/>
          <w:sz w:val="20"/>
          <w:szCs w:val="20"/>
          <w:lang w:eastAsia="ro-RO"/>
        </w:rPr>
      </w:pPr>
      <w:r w:rsidRPr="00D15A26">
        <w:rPr>
          <w:rFonts w:ascii="Times New Roman" w:eastAsia="Times New Roman" w:hAnsi="Times New Roman" w:cs="Times New Roman"/>
          <w:sz w:val="20"/>
          <w:szCs w:val="20"/>
          <w:lang w:eastAsia="ro-RO"/>
        </w:rPr>
        <w:t>Sursa: Eurostat,</w:t>
      </w:r>
      <w:r w:rsidRPr="00D15A26">
        <w:rPr>
          <w:rFonts w:ascii="Times New Roman" w:hAnsi="Times New Roman" w:cs="Times New Roman"/>
          <w:sz w:val="20"/>
          <w:szCs w:val="20"/>
        </w:rPr>
        <w:t xml:space="preserve"> </w:t>
      </w:r>
      <w:hyperlink r:id="rId20" w:history="1">
        <w:r w:rsidRPr="00D15A26">
          <w:rPr>
            <w:rFonts w:ascii="Times New Roman" w:eastAsia="Times New Roman" w:hAnsi="Times New Roman" w:cs="Times New Roman"/>
            <w:bCs/>
            <w:iCs/>
            <w:sz w:val="20"/>
            <w:szCs w:val="20"/>
            <w:lang w:eastAsia="ro-RO"/>
          </w:rPr>
          <w:t>www.ec.europa.eu/eurostat</w:t>
        </w:r>
      </w:hyperlink>
    </w:p>
    <w:p w:rsidR="00D15A26" w:rsidRPr="00D15A26" w:rsidRDefault="00D15A26" w:rsidP="00D15A26">
      <w:pPr>
        <w:spacing w:after="0" w:line="240" w:lineRule="auto"/>
        <w:ind w:firstLine="426"/>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Datele prezentate în tabelul de mai sus indică faptul că ponderea persoanelor ce întâlnesc dificultăți în finanțarea locuințelor s-a redus de la 16,2% (în 2014) până la 8,6% (în 2019). Acest rezultat arată o îmbunătățire a condițiilor de viață pe fondul majorării veniturilor totale și posibilități mai facile de a accesa un credit imobiliar.</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Veniturile populației sunt, incontestabil, cel mai important factor ce influențeză prețul locuințelor.</w:t>
      </w:r>
    </w:p>
    <w:p w:rsidR="00D15A26" w:rsidRPr="00D15A26" w:rsidRDefault="00D15A26" w:rsidP="00D15A26">
      <w:pPr>
        <w:spacing w:after="0" w:line="240" w:lineRule="auto"/>
        <w:ind w:firstLine="432"/>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Întrucât valoarea unei astfel de tranzacții este destul de mare, pe piața imobiliară se înregistrează un număr mic de tranzacții, comparativ cu alte piețe, ceea ce face ca decizia de procurare a unui bun de folosință îndelungată să fie un proces de lungă durată.</w:t>
      </w:r>
    </w:p>
    <w:p w:rsidR="00D15A26" w:rsidRPr="00D15A26" w:rsidRDefault="00D15A26" w:rsidP="00D15A26">
      <w:pPr>
        <w:spacing w:after="0" w:line="240" w:lineRule="auto"/>
        <w:ind w:firstLine="432"/>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Dacă analizăm cum au evoluat veniturile populației pe parcursul anilor 2014</w:t>
      </w:r>
      <w:r w:rsidRPr="00D15A26">
        <w:rPr>
          <w:rFonts w:ascii="Times New Roman" w:eastAsia="Times New Roman" w:hAnsi="Times New Roman" w:cs="Times New Roman"/>
          <w:b/>
          <w:sz w:val="24"/>
          <w:szCs w:val="20"/>
          <w:lang w:eastAsia="ro-RO"/>
        </w:rPr>
        <w:t>-</w:t>
      </w:r>
      <w:r w:rsidRPr="00D15A26">
        <w:rPr>
          <w:rFonts w:ascii="Times New Roman" w:eastAsia="Times New Roman" w:hAnsi="Times New Roman" w:cs="Times New Roman"/>
          <w:sz w:val="24"/>
          <w:szCs w:val="20"/>
          <w:lang w:eastAsia="ro-RO"/>
        </w:rPr>
        <w:t>2019, e bine să ne raportăm la salariul mediu net lunar, deoarece acest indicator arată valoarea medie pe care o persoană a obținut</w:t>
      </w:r>
      <w:r w:rsidRPr="00D15A26">
        <w:rPr>
          <w:rFonts w:ascii="Times New Roman" w:eastAsia="Times New Roman" w:hAnsi="Times New Roman" w:cs="Times New Roman"/>
          <w:bCs/>
          <w:sz w:val="24"/>
          <w:szCs w:val="20"/>
          <w:lang w:eastAsia="ro-RO"/>
        </w:rPr>
        <w:t>-</w:t>
      </w:r>
      <w:r w:rsidRPr="00D15A26">
        <w:rPr>
          <w:rFonts w:ascii="Times New Roman" w:eastAsia="Times New Roman" w:hAnsi="Times New Roman" w:cs="Times New Roman"/>
          <w:sz w:val="24"/>
          <w:szCs w:val="20"/>
          <w:lang w:eastAsia="ro-RO"/>
        </w:rPr>
        <w:t>o lunar, după ce i-au fost reținute toate datoriile față de stat. Această evoluție poate fi studiată în graficul următor:</w:t>
      </w:r>
    </w:p>
    <w:p w:rsidR="00D15A26" w:rsidRPr="00D15A26" w:rsidRDefault="00D15A26" w:rsidP="00D15A26">
      <w:pPr>
        <w:keepNext/>
        <w:spacing w:after="0" w:line="240" w:lineRule="auto"/>
        <w:jc w:val="center"/>
        <w:rPr>
          <w:rFonts w:ascii="Times New Roman" w:eastAsia="Times New Roman" w:hAnsi="Times New Roman" w:cs="Times New Roman"/>
          <w:lang w:eastAsia="ro-RO"/>
        </w:rPr>
      </w:pPr>
      <w:r w:rsidRPr="00D15A26">
        <w:rPr>
          <w:rFonts w:ascii="Times New Roman" w:eastAsia="Times New Roman" w:hAnsi="Times New Roman" w:cs="Times New Roman"/>
          <w:noProof/>
          <w:lang w:eastAsia="ro-RO"/>
        </w:rPr>
        <w:drawing>
          <wp:inline distT="0" distB="0" distL="0" distR="0" wp14:anchorId="64C0212C" wp14:editId="39C57CB0">
            <wp:extent cx="5934710" cy="1699628"/>
            <wp:effectExtent l="0" t="0" r="8890" b="15240"/>
            <wp:docPr id="7" name="Diagramă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bookmarkStart w:id="62" w:name="_Toc41335440"/>
      <w:bookmarkStart w:id="63" w:name="_Toc41335580"/>
      <w:bookmarkStart w:id="64" w:name="_Toc41335640"/>
      <w:bookmarkStart w:id="65" w:name="_Toc41335757"/>
      <w:bookmarkStart w:id="66" w:name="_Toc41335798"/>
      <w:bookmarkStart w:id="67" w:name="_Toc41397983"/>
      <w:r w:rsidRPr="00D15A26">
        <w:rPr>
          <w:rFonts w:ascii="Times New Roman" w:eastAsia="Times New Roman" w:hAnsi="Times New Roman" w:cs="Times New Roman"/>
          <w:sz w:val="20"/>
          <w:szCs w:val="20"/>
          <w:lang w:eastAsia="ro-RO"/>
        </w:rPr>
        <w:t>Sursa: elaborat pe baza datelor furnizate de INS,</w:t>
      </w:r>
      <w:r w:rsidRPr="00D15A26">
        <w:rPr>
          <w:rFonts w:ascii="Times New Roman" w:hAnsi="Times New Roman" w:cs="Times New Roman"/>
          <w:i/>
          <w:iCs/>
        </w:rPr>
        <w:t xml:space="preserve"> </w:t>
      </w:r>
      <w:hyperlink r:id="rId22" w:history="1">
        <w:r w:rsidRPr="00D15A26">
          <w:rPr>
            <w:rFonts w:ascii="Times New Roman" w:hAnsi="Times New Roman" w:cs="Times New Roman"/>
            <w:i/>
            <w:iCs/>
            <w:color w:val="0000FF" w:themeColor="hyperlink"/>
            <w:u w:val="single"/>
          </w:rPr>
          <w:t>http://statistici.insse.ro:8077/</w:t>
        </w:r>
      </w:hyperlink>
    </w:p>
    <w:p w:rsidR="00D15A26" w:rsidRPr="00D15A26" w:rsidRDefault="00D15A26" w:rsidP="00D15A26">
      <w:pPr>
        <w:spacing w:after="0" w:line="240" w:lineRule="auto"/>
        <w:jc w:val="center"/>
        <w:rPr>
          <w:rFonts w:ascii="Times New Roman" w:eastAsia="Times New Roman" w:hAnsi="Times New Roman" w:cs="Times New Roman"/>
          <w:b/>
          <w:bCs/>
          <w:sz w:val="20"/>
          <w:szCs w:val="20"/>
          <w:lang w:eastAsia="ro-RO"/>
        </w:rPr>
      </w:pPr>
      <w:bookmarkStart w:id="68" w:name="_Toc41760444"/>
      <w:r w:rsidRPr="00D15A26">
        <w:rPr>
          <w:rFonts w:ascii="Times New Roman" w:eastAsia="Times New Roman" w:hAnsi="Times New Roman" w:cs="Times New Roman"/>
          <w:b/>
          <w:bCs/>
          <w:sz w:val="20"/>
          <w:szCs w:val="18"/>
          <w:lang w:eastAsia="ro-RO"/>
        </w:rPr>
        <w:t>Chart no.5</w:t>
      </w:r>
      <w:r w:rsidRPr="00D15A26">
        <w:rPr>
          <w:rFonts w:ascii="Times New Roman" w:eastAsia="Times New Roman" w:hAnsi="Times New Roman" w:cs="Times New Roman"/>
          <w:b/>
          <w:bCs/>
          <w:sz w:val="20"/>
          <w:szCs w:val="20"/>
          <w:lang w:eastAsia="ro-RO"/>
        </w:rPr>
        <w:t xml:space="preserve">  Evoluția salariului mediu net lunar în perioada 2014-2019</w:t>
      </w:r>
      <w:bookmarkEnd w:id="62"/>
      <w:bookmarkEnd w:id="63"/>
      <w:bookmarkEnd w:id="64"/>
      <w:bookmarkEnd w:id="65"/>
      <w:bookmarkEnd w:id="66"/>
      <w:bookmarkEnd w:id="67"/>
      <w:bookmarkEnd w:id="68"/>
    </w:p>
    <w:p w:rsidR="00D15A26" w:rsidRPr="00D15A26" w:rsidRDefault="00D15A26" w:rsidP="00D15A26">
      <w:pPr>
        <w:spacing w:after="0" w:line="240" w:lineRule="auto"/>
        <w:ind w:firstLine="426"/>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La începutul anului 2014, valoarea salariului mediu net lunar a fost de 1.625 lei, iar la finele anului 2019, a ajuns să fie 3.340 lei. Prin urmare, în timp de 6 ani, salariul mediu net a ajuns să se dubleze, ceea ce inevitabil a condus la sporirea consumului pe fondul unui mediu economic stabil. Acest fapt a generat creșterea prețurilor în economie, inclusiv prețurile pentru bunurile imobile.</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 xml:space="preserve">Indicele de preț al locuințelor surprinde modificările de preț ale tuturor proprietăților rezidențiale achiziționate de către populație, atât noi, cât și existente, independent de utilizarea finală și de proprietarii precedenți. Locuințele construite în regie proprie sunt excluse. </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 xml:space="preserve">Indicile prețurilor locuințelor cuantifică modificarea prețurilor locuințelor rezidențiale față de o dată referință (în cazul nostru, data de referință este anul 2015).În graficul de mai jos </w:t>
      </w:r>
      <w:r w:rsidRPr="00D15A26">
        <w:rPr>
          <w:rFonts w:ascii="Times New Roman" w:eastAsia="Times New Roman" w:hAnsi="Times New Roman" w:cs="Times New Roman"/>
          <w:i/>
          <w:sz w:val="24"/>
          <w:szCs w:val="24"/>
          <w:lang w:eastAsia="ro-RO"/>
        </w:rPr>
        <w:t xml:space="preserve"> </w:t>
      </w:r>
      <w:r w:rsidRPr="00D15A26">
        <w:rPr>
          <w:rFonts w:ascii="Times New Roman" w:eastAsia="Times New Roman" w:hAnsi="Times New Roman" w:cs="Times New Roman"/>
          <w:sz w:val="24"/>
          <w:szCs w:val="24"/>
          <w:lang w:eastAsia="ro-RO"/>
        </w:rPr>
        <w:t>este surprinsă evoluția acestui indice, începând cu anul 2014 și până în 2019.</w:t>
      </w:r>
    </w:p>
    <w:p w:rsidR="00D15A26" w:rsidRPr="00D15A26" w:rsidRDefault="00D15A26" w:rsidP="00D15A26">
      <w:pPr>
        <w:keepNext/>
        <w:spacing w:after="0" w:line="240" w:lineRule="auto"/>
        <w:jc w:val="center"/>
        <w:rPr>
          <w:rFonts w:ascii="Times New Roman" w:eastAsia="Times New Roman" w:hAnsi="Times New Roman" w:cs="Times New Roman"/>
          <w:lang w:eastAsia="ro-RO"/>
        </w:rPr>
      </w:pPr>
      <w:r w:rsidRPr="00D15A26">
        <w:rPr>
          <w:rFonts w:ascii="Times New Roman" w:eastAsia="Times New Roman" w:hAnsi="Times New Roman" w:cs="Times New Roman"/>
          <w:noProof/>
          <w:lang w:eastAsia="ro-RO"/>
        </w:rPr>
        <w:drawing>
          <wp:inline distT="0" distB="0" distL="0" distR="0" wp14:anchorId="0ED56718" wp14:editId="2BE0C0A3">
            <wp:extent cx="5882640" cy="1373300"/>
            <wp:effectExtent l="0" t="0" r="3810" b="17780"/>
            <wp:docPr id="8" name="Diagramă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15A26" w:rsidRPr="00D15A26" w:rsidRDefault="00D15A26" w:rsidP="00D15A26">
      <w:pPr>
        <w:spacing w:after="0" w:line="240" w:lineRule="auto"/>
        <w:jc w:val="center"/>
        <w:rPr>
          <w:rFonts w:ascii="Times New Roman" w:eastAsia="Times New Roman" w:hAnsi="Times New Roman" w:cs="Times New Roman"/>
          <w:sz w:val="20"/>
          <w:szCs w:val="20"/>
          <w:lang w:eastAsia="ro-RO"/>
        </w:rPr>
      </w:pPr>
      <w:bookmarkStart w:id="69" w:name="_Toc41335441"/>
      <w:bookmarkStart w:id="70" w:name="_Toc41335581"/>
      <w:bookmarkStart w:id="71" w:name="_Toc41335641"/>
      <w:bookmarkStart w:id="72" w:name="_Toc41335758"/>
      <w:bookmarkStart w:id="73" w:name="_Toc41335799"/>
      <w:bookmarkStart w:id="74" w:name="_Toc41397984"/>
      <w:r w:rsidRPr="00D15A26">
        <w:rPr>
          <w:rFonts w:ascii="Times New Roman" w:eastAsia="Times New Roman" w:hAnsi="Times New Roman" w:cs="Times New Roman"/>
          <w:sz w:val="20"/>
          <w:szCs w:val="20"/>
          <w:lang w:eastAsia="ro-RO"/>
        </w:rPr>
        <w:t>Sursa: elaborat pe baza datelor preluate după Eurostat, Eurostat,</w:t>
      </w:r>
      <w:r w:rsidRPr="00D15A26">
        <w:rPr>
          <w:rFonts w:ascii="Times New Roman" w:hAnsi="Times New Roman" w:cs="Times New Roman"/>
          <w:sz w:val="20"/>
          <w:szCs w:val="20"/>
        </w:rPr>
        <w:t xml:space="preserve"> </w:t>
      </w:r>
      <w:hyperlink r:id="rId24" w:history="1">
        <w:r w:rsidRPr="00D15A26">
          <w:rPr>
            <w:rFonts w:ascii="Times New Roman" w:eastAsia="Times New Roman" w:hAnsi="Times New Roman" w:cs="Times New Roman"/>
            <w:bCs/>
            <w:iCs/>
            <w:sz w:val="20"/>
            <w:szCs w:val="20"/>
            <w:lang w:eastAsia="ro-RO"/>
          </w:rPr>
          <w:t>www.ec.europa.eu/eurostat</w:t>
        </w:r>
      </w:hyperlink>
    </w:p>
    <w:p w:rsidR="00D15A26" w:rsidRPr="00D15A26" w:rsidRDefault="00D15A26" w:rsidP="00D15A26">
      <w:pPr>
        <w:spacing w:after="0" w:line="240" w:lineRule="auto"/>
        <w:jc w:val="center"/>
        <w:rPr>
          <w:rFonts w:ascii="Times New Roman" w:eastAsia="Times New Roman" w:hAnsi="Times New Roman" w:cs="Times New Roman"/>
          <w:b/>
          <w:bCs/>
          <w:sz w:val="20"/>
          <w:szCs w:val="20"/>
          <w:lang w:eastAsia="ro-RO"/>
        </w:rPr>
      </w:pPr>
      <w:bookmarkStart w:id="75" w:name="_Toc41760445"/>
      <w:r w:rsidRPr="00D15A26">
        <w:rPr>
          <w:rFonts w:ascii="Times New Roman" w:eastAsia="Times New Roman" w:hAnsi="Times New Roman" w:cs="Times New Roman"/>
          <w:b/>
          <w:bCs/>
          <w:sz w:val="20"/>
          <w:szCs w:val="18"/>
          <w:lang w:eastAsia="ro-RO"/>
        </w:rPr>
        <w:lastRenderedPageBreak/>
        <w:t>Chart no.6</w:t>
      </w:r>
      <w:r w:rsidRPr="00D15A26">
        <w:rPr>
          <w:rFonts w:ascii="Times New Roman" w:eastAsia="Times New Roman" w:hAnsi="Times New Roman" w:cs="Times New Roman"/>
          <w:b/>
          <w:bCs/>
          <w:sz w:val="20"/>
          <w:szCs w:val="20"/>
          <w:lang w:eastAsia="ro-RO"/>
        </w:rPr>
        <w:t xml:space="preserve"> Evoluția indicelui prețului locuințelor în intervalul 2014-2019</w:t>
      </w:r>
      <w:bookmarkEnd w:id="69"/>
      <w:bookmarkEnd w:id="70"/>
      <w:bookmarkEnd w:id="71"/>
      <w:bookmarkEnd w:id="72"/>
      <w:bookmarkEnd w:id="73"/>
      <w:bookmarkEnd w:id="74"/>
      <w:bookmarkEnd w:id="75"/>
    </w:p>
    <w:p w:rsidR="00D15A26" w:rsidRPr="00D15A26" w:rsidRDefault="00D15A26" w:rsidP="00D15A26">
      <w:pPr>
        <w:spacing w:after="0" w:line="240" w:lineRule="auto"/>
        <w:ind w:firstLine="426"/>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Dacă ar fi să suprapunem evoluția salariului mediu lunar net cu evoluția indicelui de preț al locuințelor, va fi evident faptul că ele au același trend, creștere, existând o relație de interdepedentă între ele.</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Pentru a putea efectua analiza, a fost necesară identificarea și culegerea datelor din surse veridice.</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Datele selectate au fost:</w:t>
      </w:r>
    </w:p>
    <w:p w:rsidR="00D15A26" w:rsidRPr="00D15A26" w:rsidRDefault="00D15A26" w:rsidP="00D15A26">
      <w:pPr>
        <w:numPr>
          <w:ilvl w:val="0"/>
          <w:numId w:val="16"/>
        </w:numPr>
        <w:spacing w:after="0" w:line="240" w:lineRule="auto"/>
        <w:contextualSpacing/>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X - Media lunară a prețurilor pentru m</w:t>
      </w:r>
      <w:r w:rsidRPr="00D15A26">
        <w:rPr>
          <w:rFonts w:ascii="Times New Roman" w:eastAsia="Times New Roman" w:hAnsi="Times New Roman" w:cs="Times New Roman"/>
          <w:sz w:val="24"/>
          <w:szCs w:val="20"/>
          <w:vertAlign w:val="superscript"/>
          <w:lang w:eastAsia="ro-RO"/>
        </w:rPr>
        <w:t>2</w:t>
      </w:r>
      <w:r w:rsidRPr="00D15A26">
        <w:rPr>
          <w:rFonts w:ascii="Times New Roman" w:eastAsia="Times New Roman" w:hAnsi="Times New Roman" w:cs="Times New Roman"/>
          <w:sz w:val="24"/>
          <w:szCs w:val="20"/>
          <w:lang w:eastAsia="ro-RO"/>
        </w:rPr>
        <w:t xml:space="preserve"> util al apartamentelor;</w:t>
      </w:r>
    </w:p>
    <w:p w:rsidR="00D15A26" w:rsidRPr="00D15A26" w:rsidRDefault="00D15A26" w:rsidP="00D15A26">
      <w:pPr>
        <w:numPr>
          <w:ilvl w:val="0"/>
          <w:numId w:val="16"/>
        </w:numPr>
        <w:spacing w:after="0" w:line="240" w:lineRule="auto"/>
        <w:contextualSpacing/>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Y1 - Credite acordate gospodăriilor populaţiei pentru locuinţe;</w:t>
      </w:r>
    </w:p>
    <w:p w:rsidR="00D15A26" w:rsidRPr="00D15A26" w:rsidRDefault="00D15A26" w:rsidP="00D15A26">
      <w:pPr>
        <w:numPr>
          <w:ilvl w:val="0"/>
          <w:numId w:val="16"/>
        </w:numPr>
        <w:spacing w:after="0" w:line="240" w:lineRule="auto"/>
        <w:contextualSpacing/>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 xml:space="preserve">Y2 - Salariu mediu net lunar. </w:t>
      </w:r>
    </w:p>
    <w:p w:rsidR="00D15A26" w:rsidRPr="00D15A26" w:rsidRDefault="00D15A26" w:rsidP="00D15A26">
      <w:pPr>
        <w:spacing w:after="0" w:line="240" w:lineRule="auto"/>
        <w:ind w:firstLine="432"/>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Datele au fost colectate din baza de date interactivă a BNR [9], precum de pe site</w:t>
      </w:r>
      <w:r w:rsidRPr="00D15A26">
        <w:rPr>
          <w:rFonts w:ascii="Times New Roman" w:eastAsia="Times New Roman" w:hAnsi="Times New Roman" w:cs="Times New Roman"/>
          <w:bCs/>
          <w:sz w:val="24"/>
          <w:szCs w:val="20"/>
          <w:lang w:eastAsia="ro-RO"/>
        </w:rPr>
        <w:t>-</w:t>
      </w:r>
      <w:r w:rsidRPr="00D15A26">
        <w:rPr>
          <w:rFonts w:ascii="Times New Roman" w:eastAsia="Times New Roman" w:hAnsi="Times New Roman" w:cs="Times New Roman"/>
          <w:sz w:val="24"/>
          <w:szCs w:val="20"/>
          <w:lang w:eastAsia="ro-RO"/>
        </w:rPr>
        <w:t xml:space="preserve">ul INS [10], secțiunea baze de date statistice, folosindu-se și informațiile furnizate de către </w:t>
      </w:r>
      <w:hyperlink r:id="rId25" w:history="1">
        <w:r w:rsidRPr="00D15A26">
          <w:rPr>
            <w:rFonts w:ascii="Times New Roman" w:eastAsia="Times New Roman" w:hAnsi="Times New Roman" w:cs="Times New Roman"/>
            <w:sz w:val="24"/>
            <w:szCs w:val="24"/>
            <w:lang w:eastAsia="ro-RO"/>
          </w:rPr>
          <w:t>www.imobiliare.ro</w:t>
        </w:r>
      </w:hyperlink>
      <w:r w:rsidRPr="00D15A26">
        <w:rPr>
          <w:rFonts w:ascii="Times New Roman" w:eastAsia="Times New Roman" w:hAnsi="Times New Roman" w:cs="Times New Roman"/>
          <w:sz w:val="24"/>
          <w:szCs w:val="24"/>
          <w:lang w:eastAsia="ro-RO"/>
        </w:rPr>
        <w:t xml:space="preserve"> [11]</w:t>
      </w:r>
      <w:r w:rsidRPr="00D15A26">
        <w:rPr>
          <w:rFonts w:ascii="Times New Roman" w:eastAsia="Times New Roman" w:hAnsi="Times New Roman" w:cs="Times New Roman"/>
          <w:sz w:val="24"/>
          <w:szCs w:val="20"/>
          <w:lang w:eastAsia="ro-RO"/>
        </w:rPr>
        <w:t xml:space="preserve"> (datele sunt prezentate în Anexa). </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Valorile indicatorilor utilizați în analiză sunt disponibile în serii lunare, ceea ce permite efectuarea unei analize ample, utilizând un număr mare de date, favorizând  acuratețea rezultatelor și a construirii unor concluzii adecvate realității.Toate datele sunt explimate în moneda națională – RON.</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Selectând ca variabile datele care aveau ordin de mărime diferit (sute, mii, miliarde), s-a ajuns la concluzia că soluția optimă pentru a nivela decalajele mari dintre valori este transformarea acestora prin logaritmare.</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Un alt factor ce a jucat un rol important în alegerea metodei a fost momentul în care variabilele independente își manifestă impactul asupra variabilelei dependente.</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Cu alte cuvinte, modificarea volumului creditului acordat pentru locuințe și/sau creșterea nivelului mediu al salariului net, nu va avea impact imediat asupra prețului locuințelor.Influența acestora va avea efect ulterior, adică ceea ce s</w:t>
      </w:r>
      <w:r w:rsidRPr="00D15A26">
        <w:rPr>
          <w:rFonts w:ascii="Times New Roman" w:eastAsia="Times New Roman" w:hAnsi="Times New Roman" w:cs="Times New Roman"/>
          <w:bCs/>
          <w:sz w:val="24"/>
          <w:szCs w:val="24"/>
          <w:lang w:eastAsia="ro-RO"/>
        </w:rPr>
        <w:t>-</w:t>
      </w:r>
      <w:r w:rsidRPr="00D15A26">
        <w:rPr>
          <w:rFonts w:ascii="Times New Roman" w:eastAsia="Times New Roman" w:hAnsi="Times New Roman" w:cs="Times New Roman"/>
          <w:sz w:val="24"/>
          <w:szCs w:val="24"/>
          <w:lang w:eastAsia="ro-RO"/>
        </w:rPr>
        <w:t>a petrecut în trecut influențează prezentul și viitorul.</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Prin urmare, a fost luată decizia de a decala variabilele independente cu până la 6 luni față de variabila dependentă, după cum este reprezentat în figura următoare:</w:t>
      </w:r>
    </w:p>
    <w:p w:rsidR="00D15A26" w:rsidRPr="00D15A26" w:rsidRDefault="00D15A26" w:rsidP="00D15A26">
      <w:pPr>
        <w:spacing w:after="0" w:line="240" w:lineRule="auto"/>
        <w:jc w:val="both"/>
        <w:rPr>
          <w:rFonts w:ascii="Times New Roman" w:eastAsia="Times New Roman" w:hAnsi="Times New Roman" w:cs="Times New Roman"/>
          <w:noProof/>
          <w:sz w:val="24"/>
          <w:szCs w:val="24"/>
          <w:lang w:val="en-CA" w:eastAsia="en-CA"/>
        </w:rPr>
      </w:pPr>
      <w:r w:rsidRPr="00D15A26">
        <w:rPr>
          <w:rFonts w:ascii="Times New Roman" w:eastAsia="Times New Roman" w:hAnsi="Times New Roman" w:cs="Times New Roman"/>
          <w:noProof/>
          <w:sz w:val="24"/>
          <w:szCs w:val="24"/>
          <w:lang w:eastAsia="ro-RO"/>
        </w:rPr>
        <w:drawing>
          <wp:anchor distT="0" distB="0" distL="114300" distR="114300" simplePos="0" relativeHeight="251659264" behindDoc="0" locked="0" layoutInCell="1" allowOverlap="1" wp14:anchorId="7688223A" wp14:editId="5F95EFEC">
            <wp:simplePos x="0" y="0"/>
            <wp:positionH relativeFrom="column">
              <wp:posOffset>1666875</wp:posOffset>
            </wp:positionH>
            <wp:positionV relativeFrom="paragraph">
              <wp:posOffset>72761</wp:posOffset>
            </wp:positionV>
            <wp:extent cx="2477135" cy="626110"/>
            <wp:effectExtent l="0" t="0" r="0" b="0"/>
            <wp:wrapNone/>
            <wp:docPr id="9"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jpg"/>
                    <pic:cNvPicPr/>
                  </pic:nvPicPr>
                  <pic:blipFill rotWithShape="1">
                    <a:blip r:embed="rId26" cstate="print">
                      <a:extLst>
                        <a:ext uri="{28A0092B-C50C-407E-A947-70E740481C1C}">
                          <a14:useLocalDpi xmlns:a14="http://schemas.microsoft.com/office/drawing/2010/main" val="0"/>
                        </a:ext>
                      </a:extLst>
                    </a:blip>
                    <a:srcRect t="22879" b="42804"/>
                    <a:stretch/>
                  </pic:blipFill>
                  <pic:spPr bwMode="auto">
                    <a:xfrm>
                      <a:off x="0" y="0"/>
                      <a:ext cx="2477135" cy="626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15A26" w:rsidRPr="00D15A26" w:rsidRDefault="00D15A26" w:rsidP="00D15A26">
      <w:pPr>
        <w:spacing w:after="0" w:line="240" w:lineRule="auto"/>
        <w:jc w:val="both"/>
        <w:rPr>
          <w:rFonts w:ascii="Times New Roman" w:eastAsia="Times New Roman" w:hAnsi="Times New Roman" w:cs="Times New Roman"/>
          <w:sz w:val="24"/>
          <w:szCs w:val="24"/>
          <w:lang w:eastAsia="ro-RO"/>
        </w:rPr>
      </w:pPr>
    </w:p>
    <w:p w:rsidR="00D15A26" w:rsidRPr="00D15A26" w:rsidRDefault="00D15A26" w:rsidP="00D15A26">
      <w:pPr>
        <w:spacing w:after="0" w:line="240" w:lineRule="auto"/>
        <w:jc w:val="both"/>
        <w:rPr>
          <w:rFonts w:ascii="Times New Roman" w:eastAsia="Times New Roman" w:hAnsi="Times New Roman" w:cs="Times New Roman"/>
          <w:sz w:val="24"/>
          <w:szCs w:val="24"/>
          <w:lang w:eastAsia="ro-RO"/>
        </w:rPr>
      </w:pPr>
    </w:p>
    <w:p w:rsidR="00D15A26" w:rsidRPr="00D15A26" w:rsidRDefault="00D15A26" w:rsidP="00D15A26">
      <w:pPr>
        <w:spacing w:after="0" w:line="240" w:lineRule="auto"/>
        <w:jc w:val="both"/>
        <w:rPr>
          <w:rFonts w:ascii="Times New Roman" w:eastAsia="Times New Roman" w:hAnsi="Times New Roman" w:cs="Times New Roman"/>
          <w:sz w:val="24"/>
          <w:szCs w:val="24"/>
          <w:lang w:eastAsia="ro-RO"/>
        </w:rPr>
      </w:pPr>
    </w:p>
    <w:tbl>
      <w:tblPr>
        <w:tblpPr w:leftFromText="180" w:rightFromText="180" w:vertAnchor="text" w:horzAnchor="margin" w:tblpX="642" w:tblpY="182"/>
        <w:tblW w:w="0" w:type="auto"/>
        <w:tblLook w:val="04A0" w:firstRow="1" w:lastRow="0" w:firstColumn="1" w:lastColumn="0" w:noHBand="0" w:noVBand="1"/>
      </w:tblPr>
      <w:tblGrid>
        <w:gridCol w:w="621"/>
        <w:gridCol w:w="621"/>
        <w:gridCol w:w="621"/>
        <w:gridCol w:w="621"/>
        <w:gridCol w:w="621"/>
        <w:gridCol w:w="621"/>
        <w:gridCol w:w="621"/>
        <w:gridCol w:w="621"/>
        <w:gridCol w:w="621"/>
        <w:gridCol w:w="621"/>
        <w:gridCol w:w="621"/>
        <w:gridCol w:w="621"/>
      </w:tblGrid>
      <w:tr w:rsidR="00D15A26" w:rsidRPr="00D15A26" w:rsidTr="007B67D2">
        <w:trPr>
          <w:trHeight w:val="289"/>
        </w:trPr>
        <w:tc>
          <w:tcPr>
            <w:tcW w:w="621" w:type="dxa"/>
            <w:vAlign w:val="bottom"/>
          </w:tcPr>
          <w:p w:rsidR="00D15A26" w:rsidRPr="00D15A26" w:rsidRDefault="00D15A26" w:rsidP="00D15A26">
            <w:pPr>
              <w:spacing w:after="0" w:line="240" w:lineRule="auto"/>
              <w:jc w:val="both"/>
              <w:rPr>
                <w:rFonts w:ascii="Times New Roman" w:eastAsia="Times New Roman" w:hAnsi="Times New Roman" w:cs="Times New Roman"/>
                <w:sz w:val="18"/>
                <w:szCs w:val="20"/>
                <w:lang w:eastAsia="ro-RO"/>
              </w:rPr>
            </w:pPr>
            <w:r w:rsidRPr="00D15A26">
              <w:rPr>
                <w:rFonts w:ascii="Times New Roman" w:eastAsia="Times New Roman" w:hAnsi="Times New Roman" w:cs="Times New Roman"/>
                <w:sz w:val="18"/>
                <w:szCs w:val="20"/>
                <w:lang w:eastAsia="ro-RO"/>
              </w:rPr>
              <w:t xml:space="preserve">      01.01</w:t>
            </w:r>
          </w:p>
        </w:tc>
        <w:tc>
          <w:tcPr>
            <w:tcW w:w="621" w:type="dxa"/>
            <w:vAlign w:val="bottom"/>
          </w:tcPr>
          <w:p w:rsidR="00D15A26" w:rsidRPr="00D15A26" w:rsidRDefault="00D15A26" w:rsidP="00D15A26">
            <w:pPr>
              <w:spacing w:after="0" w:line="240" w:lineRule="auto"/>
              <w:jc w:val="both"/>
              <w:rPr>
                <w:rFonts w:ascii="Times New Roman" w:eastAsia="Times New Roman" w:hAnsi="Times New Roman" w:cs="Times New Roman"/>
                <w:sz w:val="18"/>
                <w:szCs w:val="20"/>
                <w:lang w:eastAsia="ro-RO"/>
              </w:rPr>
            </w:pPr>
            <w:r w:rsidRPr="00D15A26">
              <w:rPr>
                <w:rFonts w:ascii="Times New Roman" w:eastAsia="Times New Roman" w:hAnsi="Times New Roman" w:cs="Times New Roman"/>
                <w:sz w:val="18"/>
                <w:szCs w:val="20"/>
                <w:lang w:eastAsia="ro-RO"/>
              </w:rPr>
              <w:t>01.02</w:t>
            </w:r>
          </w:p>
        </w:tc>
        <w:tc>
          <w:tcPr>
            <w:tcW w:w="621" w:type="dxa"/>
            <w:vAlign w:val="bottom"/>
          </w:tcPr>
          <w:p w:rsidR="00D15A26" w:rsidRPr="00D15A26" w:rsidRDefault="00D15A26" w:rsidP="00D15A26">
            <w:pPr>
              <w:spacing w:after="0" w:line="240" w:lineRule="auto"/>
              <w:jc w:val="both"/>
              <w:rPr>
                <w:rFonts w:ascii="Times New Roman" w:eastAsia="Times New Roman" w:hAnsi="Times New Roman" w:cs="Times New Roman"/>
                <w:sz w:val="18"/>
                <w:szCs w:val="20"/>
                <w:lang w:eastAsia="ro-RO"/>
              </w:rPr>
            </w:pPr>
            <w:r w:rsidRPr="00D15A26">
              <w:rPr>
                <w:rFonts w:ascii="Times New Roman" w:eastAsia="Times New Roman" w:hAnsi="Times New Roman" w:cs="Times New Roman"/>
                <w:sz w:val="18"/>
                <w:szCs w:val="20"/>
                <w:lang w:eastAsia="ro-RO"/>
              </w:rPr>
              <w:t>01.03</w:t>
            </w:r>
          </w:p>
        </w:tc>
        <w:tc>
          <w:tcPr>
            <w:tcW w:w="621" w:type="dxa"/>
            <w:vAlign w:val="bottom"/>
          </w:tcPr>
          <w:p w:rsidR="00D15A26" w:rsidRPr="00D15A26" w:rsidRDefault="00D15A26" w:rsidP="00D15A26">
            <w:pPr>
              <w:spacing w:after="0" w:line="240" w:lineRule="auto"/>
              <w:jc w:val="both"/>
              <w:rPr>
                <w:rFonts w:ascii="Times New Roman" w:eastAsia="Times New Roman" w:hAnsi="Times New Roman" w:cs="Times New Roman"/>
                <w:b/>
                <w:sz w:val="18"/>
                <w:szCs w:val="20"/>
                <w:lang w:eastAsia="ro-RO"/>
              </w:rPr>
            </w:pPr>
            <w:r w:rsidRPr="00D15A26">
              <w:rPr>
                <w:rFonts w:ascii="Times New Roman" w:eastAsia="Times New Roman" w:hAnsi="Times New Roman" w:cs="Times New Roman"/>
                <w:b/>
                <w:sz w:val="18"/>
                <w:szCs w:val="20"/>
                <w:lang w:eastAsia="ro-RO"/>
              </w:rPr>
              <w:t>01.04</w:t>
            </w:r>
          </w:p>
        </w:tc>
        <w:tc>
          <w:tcPr>
            <w:tcW w:w="621" w:type="dxa"/>
            <w:vAlign w:val="bottom"/>
          </w:tcPr>
          <w:p w:rsidR="00D15A26" w:rsidRPr="00D15A26" w:rsidRDefault="00D15A26" w:rsidP="00D15A26">
            <w:pPr>
              <w:spacing w:after="0" w:line="240" w:lineRule="auto"/>
              <w:jc w:val="both"/>
              <w:rPr>
                <w:rFonts w:ascii="Times New Roman" w:eastAsia="Times New Roman" w:hAnsi="Times New Roman" w:cs="Times New Roman"/>
                <w:sz w:val="18"/>
                <w:szCs w:val="20"/>
                <w:lang w:eastAsia="ro-RO"/>
              </w:rPr>
            </w:pPr>
            <w:r w:rsidRPr="00D15A26">
              <w:rPr>
                <w:rFonts w:ascii="Times New Roman" w:eastAsia="Times New Roman" w:hAnsi="Times New Roman" w:cs="Times New Roman"/>
                <w:sz w:val="18"/>
                <w:szCs w:val="20"/>
                <w:lang w:eastAsia="ro-RO"/>
              </w:rPr>
              <w:t>01.05</w:t>
            </w:r>
          </w:p>
        </w:tc>
        <w:tc>
          <w:tcPr>
            <w:tcW w:w="621" w:type="dxa"/>
            <w:vAlign w:val="bottom"/>
          </w:tcPr>
          <w:p w:rsidR="00D15A26" w:rsidRPr="00D15A26" w:rsidRDefault="00D15A26" w:rsidP="00D15A26">
            <w:pPr>
              <w:spacing w:after="0" w:line="240" w:lineRule="auto"/>
              <w:jc w:val="both"/>
              <w:rPr>
                <w:rFonts w:ascii="Times New Roman" w:eastAsia="Times New Roman" w:hAnsi="Times New Roman" w:cs="Times New Roman"/>
                <w:sz w:val="18"/>
                <w:szCs w:val="20"/>
                <w:lang w:eastAsia="ro-RO"/>
              </w:rPr>
            </w:pPr>
            <w:r w:rsidRPr="00D15A26">
              <w:rPr>
                <w:rFonts w:ascii="Times New Roman" w:eastAsia="Times New Roman" w:hAnsi="Times New Roman" w:cs="Times New Roman"/>
                <w:sz w:val="18"/>
                <w:szCs w:val="20"/>
                <w:lang w:eastAsia="ro-RO"/>
              </w:rPr>
              <w:t>01.06</w:t>
            </w:r>
          </w:p>
        </w:tc>
        <w:tc>
          <w:tcPr>
            <w:tcW w:w="621" w:type="dxa"/>
            <w:vAlign w:val="bottom"/>
          </w:tcPr>
          <w:p w:rsidR="00D15A26" w:rsidRPr="00D15A26" w:rsidRDefault="00D15A26" w:rsidP="00D15A26">
            <w:pPr>
              <w:spacing w:after="0" w:line="240" w:lineRule="auto"/>
              <w:jc w:val="both"/>
              <w:rPr>
                <w:rFonts w:ascii="Times New Roman" w:eastAsia="Times New Roman" w:hAnsi="Times New Roman" w:cs="Times New Roman"/>
                <w:sz w:val="18"/>
                <w:szCs w:val="20"/>
                <w:lang w:eastAsia="ro-RO"/>
              </w:rPr>
            </w:pPr>
            <w:r w:rsidRPr="00D15A26">
              <w:rPr>
                <w:rFonts w:ascii="Times New Roman" w:eastAsia="Times New Roman" w:hAnsi="Times New Roman" w:cs="Times New Roman"/>
                <w:sz w:val="18"/>
                <w:szCs w:val="20"/>
                <w:lang w:eastAsia="ro-RO"/>
              </w:rPr>
              <w:t>01.07</w:t>
            </w:r>
          </w:p>
        </w:tc>
        <w:tc>
          <w:tcPr>
            <w:tcW w:w="621" w:type="dxa"/>
            <w:vAlign w:val="bottom"/>
          </w:tcPr>
          <w:p w:rsidR="00D15A26" w:rsidRPr="00D15A26" w:rsidRDefault="00D15A26" w:rsidP="00D15A26">
            <w:pPr>
              <w:spacing w:after="0" w:line="240" w:lineRule="auto"/>
              <w:jc w:val="both"/>
              <w:rPr>
                <w:rFonts w:ascii="Times New Roman" w:eastAsia="Times New Roman" w:hAnsi="Times New Roman" w:cs="Times New Roman"/>
                <w:sz w:val="18"/>
                <w:szCs w:val="20"/>
                <w:lang w:eastAsia="ro-RO"/>
              </w:rPr>
            </w:pPr>
            <w:r w:rsidRPr="00D15A26">
              <w:rPr>
                <w:rFonts w:ascii="Times New Roman" w:eastAsia="Times New Roman" w:hAnsi="Times New Roman" w:cs="Times New Roman"/>
                <w:sz w:val="18"/>
                <w:szCs w:val="20"/>
                <w:lang w:eastAsia="ro-RO"/>
              </w:rPr>
              <w:t>01.08</w:t>
            </w:r>
          </w:p>
        </w:tc>
        <w:tc>
          <w:tcPr>
            <w:tcW w:w="621" w:type="dxa"/>
            <w:vAlign w:val="bottom"/>
          </w:tcPr>
          <w:p w:rsidR="00D15A26" w:rsidRPr="00D15A26" w:rsidRDefault="00D15A26" w:rsidP="00D15A26">
            <w:pPr>
              <w:spacing w:after="0" w:line="240" w:lineRule="auto"/>
              <w:jc w:val="both"/>
              <w:rPr>
                <w:rFonts w:ascii="Times New Roman" w:eastAsia="Times New Roman" w:hAnsi="Times New Roman" w:cs="Times New Roman"/>
                <w:sz w:val="18"/>
                <w:szCs w:val="20"/>
                <w:lang w:eastAsia="ro-RO"/>
              </w:rPr>
            </w:pPr>
            <w:r w:rsidRPr="00D15A26">
              <w:rPr>
                <w:rFonts w:ascii="Times New Roman" w:eastAsia="Times New Roman" w:hAnsi="Times New Roman" w:cs="Times New Roman"/>
                <w:sz w:val="18"/>
                <w:szCs w:val="20"/>
                <w:lang w:eastAsia="ro-RO"/>
              </w:rPr>
              <w:t>01.09</w:t>
            </w:r>
          </w:p>
        </w:tc>
        <w:tc>
          <w:tcPr>
            <w:tcW w:w="621" w:type="dxa"/>
            <w:vAlign w:val="bottom"/>
          </w:tcPr>
          <w:p w:rsidR="00D15A26" w:rsidRPr="00D15A26" w:rsidRDefault="00D15A26" w:rsidP="00D15A26">
            <w:pPr>
              <w:spacing w:after="0" w:line="240" w:lineRule="auto"/>
              <w:jc w:val="both"/>
              <w:rPr>
                <w:rFonts w:ascii="Times New Roman" w:eastAsia="Times New Roman" w:hAnsi="Times New Roman" w:cs="Times New Roman"/>
                <w:b/>
                <w:sz w:val="18"/>
                <w:szCs w:val="20"/>
                <w:lang w:eastAsia="ro-RO"/>
              </w:rPr>
            </w:pPr>
            <w:r w:rsidRPr="00D15A26">
              <w:rPr>
                <w:rFonts w:ascii="Times New Roman" w:eastAsia="Times New Roman" w:hAnsi="Times New Roman" w:cs="Times New Roman"/>
                <w:b/>
                <w:sz w:val="18"/>
                <w:szCs w:val="20"/>
                <w:lang w:eastAsia="ro-RO"/>
              </w:rPr>
              <w:t>01.10</w:t>
            </w:r>
          </w:p>
        </w:tc>
        <w:tc>
          <w:tcPr>
            <w:tcW w:w="621" w:type="dxa"/>
            <w:vAlign w:val="bottom"/>
          </w:tcPr>
          <w:p w:rsidR="00D15A26" w:rsidRPr="00D15A26" w:rsidRDefault="00D15A26" w:rsidP="00D15A26">
            <w:pPr>
              <w:spacing w:after="0" w:line="240" w:lineRule="auto"/>
              <w:jc w:val="both"/>
              <w:rPr>
                <w:rFonts w:ascii="Times New Roman" w:eastAsia="Times New Roman" w:hAnsi="Times New Roman" w:cs="Times New Roman"/>
                <w:sz w:val="18"/>
                <w:szCs w:val="20"/>
                <w:lang w:eastAsia="ro-RO"/>
              </w:rPr>
            </w:pPr>
            <w:r w:rsidRPr="00D15A26">
              <w:rPr>
                <w:rFonts w:ascii="Times New Roman" w:eastAsia="Times New Roman" w:hAnsi="Times New Roman" w:cs="Times New Roman"/>
                <w:sz w:val="18"/>
                <w:szCs w:val="20"/>
                <w:lang w:eastAsia="ro-RO"/>
              </w:rPr>
              <w:t>01.11</w:t>
            </w:r>
          </w:p>
        </w:tc>
        <w:tc>
          <w:tcPr>
            <w:tcW w:w="621" w:type="dxa"/>
            <w:vAlign w:val="bottom"/>
          </w:tcPr>
          <w:p w:rsidR="00D15A26" w:rsidRPr="00D15A26" w:rsidRDefault="00D15A26" w:rsidP="00D15A26">
            <w:pPr>
              <w:spacing w:after="0" w:line="240" w:lineRule="auto"/>
              <w:jc w:val="both"/>
              <w:rPr>
                <w:rFonts w:ascii="Times New Roman" w:eastAsia="Times New Roman" w:hAnsi="Times New Roman" w:cs="Times New Roman"/>
                <w:sz w:val="18"/>
                <w:szCs w:val="20"/>
                <w:lang w:eastAsia="ro-RO"/>
              </w:rPr>
            </w:pPr>
            <w:r w:rsidRPr="00D15A26">
              <w:rPr>
                <w:rFonts w:ascii="Times New Roman" w:eastAsia="Times New Roman" w:hAnsi="Times New Roman" w:cs="Times New Roman"/>
                <w:sz w:val="18"/>
                <w:szCs w:val="20"/>
                <w:lang w:eastAsia="ro-RO"/>
              </w:rPr>
              <w:t>01.12</w:t>
            </w:r>
          </w:p>
        </w:tc>
      </w:tr>
    </w:tbl>
    <w:p w:rsidR="00D15A26" w:rsidRPr="00D15A26" w:rsidRDefault="00D15A26" w:rsidP="00D15A26">
      <w:pPr>
        <w:spacing w:after="0" w:line="240" w:lineRule="auto"/>
        <w:jc w:val="both"/>
        <w:rPr>
          <w:rFonts w:ascii="Times New Roman" w:eastAsia="Times New Roman" w:hAnsi="Times New Roman" w:cs="Times New Roman"/>
          <w:sz w:val="24"/>
          <w:szCs w:val="24"/>
          <w:lang w:eastAsia="ro-RO"/>
        </w:rPr>
      </w:pPr>
    </w:p>
    <w:p w:rsidR="00D15A26" w:rsidRPr="00D15A26" w:rsidRDefault="00D15A26" w:rsidP="00D15A26">
      <w:pPr>
        <w:spacing w:after="0" w:line="240" w:lineRule="auto"/>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noProof/>
          <w:sz w:val="24"/>
          <w:szCs w:val="24"/>
          <w:lang w:eastAsia="ro-RO"/>
        </w:rPr>
        <mc:AlternateContent>
          <mc:Choice Requires="wpg">
            <w:drawing>
              <wp:anchor distT="0" distB="0" distL="114300" distR="114300" simplePos="0" relativeHeight="251660288" behindDoc="0" locked="0" layoutInCell="1" allowOverlap="1" wp14:anchorId="0E8567B2" wp14:editId="2EE7CB5E">
                <wp:simplePos x="0" y="0"/>
                <wp:positionH relativeFrom="column">
                  <wp:posOffset>-5145405</wp:posOffset>
                </wp:positionH>
                <wp:positionV relativeFrom="paragraph">
                  <wp:posOffset>145415</wp:posOffset>
                </wp:positionV>
                <wp:extent cx="5394325" cy="717550"/>
                <wp:effectExtent l="6350" t="5715" r="19050" b="10160"/>
                <wp:wrapNone/>
                <wp:docPr id="5"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4325" cy="717550"/>
                          <a:chOff x="1495" y="13308"/>
                          <a:chExt cx="8495" cy="1130"/>
                        </a:xfrm>
                      </wpg:grpSpPr>
                      <wps:wsp>
                        <wps:cNvPr id="24" name="AutoShape 27"/>
                        <wps:cNvCnPr>
                          <a:cxnSpLocks noChangeShapeType="1"/>
                        </wps:cNvCnPr>
                        <wps:spPr bwMode="auto">
                          <a:xfrm flipV="1">
                            <a:off x="7852" y="13538"/>
                            <a:ext cx="1" cy="3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28"/>
                        <wps:cNvSpPr txBox="1">
                          <a:spLocks noChangeArrowheads="1"/>
                        </wps:cNvSpPr>
                        <wps:spPr bwMode="auto">
                          <a:xfrm>
                            <a:off x="6894" y="13921"/>
                            <a:ext cx="1952" cy="363"/>
                          </a:xfrm>
                          <a:prstGeom prst="rect">
                            <a:avLst/>
                          </a:prstGeom>
                          <a:solidFill>
                            <a:srgbClr val="FFFFFF"/>
                          </a:solidFill>
                          <a:ln w="9525">
                            <a:solidFill>
                              <a:srgbClr val="000000"/>
                            </a:solidFill>
                            <a:miter lim="800000"/>
                            <a:headEnd/>
                            <a:tailEnd/>
                          </a:ln>
                        </wps:spPr>
                        <wps:txbx>
                          <w:txbxContent>
                            <w:p w:rsidR="00D15A26" w:rsidRPr="000017B1" w:rsidRDefault="00D15A26" w:rsidP="00D15A26">
                              <w:pPr>
                                <w:jc w:val="center"/>
                                <w:rPr>
                                  <w:rFonts w:ascii="Times New Roman" w:hAnsi="Times New Roman" w:cs="Times New Roman"/>
                                  <w:sz w:val="20"/>
                                </w:rPr>
                              </w:pPr>
                              <w:r w:rsidRPr="000017B1">
                                <w:rPr>
                                  <w:rFonts w:ascii="Times New Roman" w:hAnsi="Times New Roman" w:cs="Times New Roman"/>
                                  <w:sz w:val="20"/>
                                </w:rPr>
                                <w:t>Prețul pentru m</w:t>
                              </w:r>
                              <w:r w:rsidRPr="000017B1">
                                <w:rPr>
                                  <w:rFonts w:ascii="Times New Roman" w:hAnsi="Times New Roman" w:cs="Times New Roman"/>
                                  <w:sz w:val="20"/>
                                  <w:vertAlign w:val="superscript"/>
                                </w:rPr>
                                <w:t>2</w:t>
                              </w:r>
                              <w:r w:rsidRPr="000017B1">
                                <w:rPr>
                                  <w:rFonts w:ascii="Times New Roman" w:hAnsi="Times New Roman" w:cs="Times New Roman"/>
                                  <w:sz w:val="20"/>
                                </w:rPr>
                                <w:t xml:space="preserve"> util</w:t>
                              </w:r>
                            </w:p>
                          </w:txbxContent>
                        </wps:txbx>
                        <wps:bodyPr rot="0" vert="horz" wrap="square" lIns="91440" tIns="45720" rIns="91440" bIns="45720" anchor="t" anchorCtr="0" upright="1">
                          <a:noAutofit/>
                        </wps:bodyPr>
                      </wps:wsp>
                      <wps:wsp>
                        <wps:cNvPr id="26" name="AutoShape 26"/>
                        <wps:cNvCnPr>
                          <a:cxnSpLocks noChangeShapeType="1"/>
                        </wps:cNvCnPr>
                        <wps:spPr bwMode="auto">
                          <a:xfrm>
                            <a:off x="1495" y="13434"/>
                            <a:ext cx="8495"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a:off x="2259" y="13318"/>
                            <a:ext cx="2" cy="1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2893" y="13318"/>
                            <a:ext cx="1" cy="1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4"/>
                        <wps:cNvCnPr>
                          <a:cxnSpLocks noChangeShapeType="1"/>
                        </wps:cNvCnPr>
                        <wps:spPr bwMode="auto">
                          <a:xfrm>
                            <a:off x="3526" y="13308"/>
                            <a:ext cx="2" cy="1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6"/>
                        <wps:cNvCnPr>
                          <a:cxnSpLocks noChangeShapeType="1"/>
                        </wps:cNvCnPr>
                        <wps:spPr bwMode="auto">
                          <a:xfrm>
                            <a:off x="4120" y="13308"/>
                            <a:ext cx="1" cy="1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7"/>
                        <wps:cNvCnPr>
                          <a:cxnSpLocks noChangeShapeType="1"/>
                        </wps:cNvCnPr>
                        <wps:spPr bwMode="auto">
                          <a:xfrm>
                            <a:off x="4744" y="13308"/>
                            <a:ext cx="1" cy="1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39"/>
                        <wps:cNvCnPr>
                          <a:cxnSpLocks noChangeShapeType="1"/>
                        </wps:cNvCnPr>
                        <wps:spPr bwMode="auto">
                          <a:xfrm>
                            <a:off x="5367" y="13318"/>
                            <a:ext cx="2" cy="1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40"/>
                        <wps:cNvCnPr>
                          <a:cxnSpLocks noChangeShapeType="1"/>
                        </wps:cNvCnPr>
                        <wps:spPr bwMode="auto">
                          <a:xfrm>
                            <a:off x="6001" y="13308"/>
                            <a:ext cx="1" cy="1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41"/>
                        <wps:cNvCnPr>
                          <a:cxnSpLocks noChangeShapeType="1"/>
                        </wps:cNvCnPr>
                        <wps:spPr bwMode="auto">
                          <a:xfrm>
                            <a:off x="6615" y="13308"/>
                            <a:ext cx="1" cy="1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42"/>
                        <wps:cNvCnPr>
                          <a:cxnSpLocks noChangeShapeType="1"/>
                        </wps:cNvCnPr>
                        <wps:spPr bwMode="auto">
                          <a:xfrm>
                            <a:off x="7228" y="13308"/>
                            <a:ext cx="2" cy="1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44"/>
                        <wps:cNvCnPr>
                          <a:cxnSpLocks noChangeShapeType="1"/>
                        </wps:cNvCnPr>
                        <wps:spPr bwMode="auto">
                          <a:xfrm>
                            <a:off x="8462" y="13308"/>
                            <a:ext cx="1" cy="1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45"/>
                        <wps:cNvCnPr>
                          <a:cxnSpLocks noChangeShapeType="1"/>
                        </wps:cNvCnPr>
                        <wps:spPr bwMode="auto">
                          <a:xfrm>
                            <a:off x="9095" y="13308"/>
                            <a:ext cx="2" cy="1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49"/>
                        <wps:cNvCnPr>
                          <a:cxnSpLocks noChangeShapeType="1"/>
                        </wps:cNvCnPr>
                        <wps:spPr bwMode="auto">
                          <a:xfrm>
                            <a:off x="7852" y="13318"/>
                            <a:ext cx="1" cy="1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50"/>
                        <wps:cNvCnPr>
                          <a:cxnSpLocks noChangeShapeType="1"/>
                        </wps:cNvCnPr>
                        <wps:spPr bwMode="auto">
                          <a:xfrm flipV="1">
                            <a:off x="4101" y="13521"/>
                            <a:ext cx="1" cy="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Text Box 51"/>
                        <wps:cNvSpPr txBox="1">
                          <a:spLocks noChangeArrowheads="1"/>
                        </wps:cNvSpPr>
                        <wps:spPr bwMode="auto">
                          <a:xfrm>
                            <a:off x="2283" y="13831"/>
                            <a:ext cx="3617" cy="607"/>
                          </a:xfrm>
                          <a:prstGeom prst="rect">
                            <a:avLst/>
                          </a:prstGeom>
                          <a:solidFill>
                            <a:srgbClr val="FFFFFF"/>
                          </a:solidFill>
                          <a:ln w="9525">
                            <a:solidFill>
                              <a:srgbClr val="000000"/>
                            </a:solidFill>
                            <a:miter lim="800000"/>
                            <a:headEnd/>
                            <a:tailEnd/>
                          </a:ln>
                        </wps:spPr>
                        <wps:txbx>
                          <w:txbxContent>
                            <w:p w:rsidR="00D15A26" w:rsidRDefault="00D15A26" w:rsidP="00D15A26">
                              <w:pPr>
                                <w:spacing w:after="0"/>
                                <w:jc w:val="center"/>
                                <w:rPr>
                                  <w:rFonts w:ascii="Times New Roman" w:hAnsi="Times New Roman" w:cs="Times New Roman"/>
                                  <w:sz w:val="20"/>
                                </w:rPr>
                              </w:pPr>
                              <w:r>
                                <w:rPr>
                                  <w:rFonts w:ascii="Times New Roman" w:hAnsi="Times New Roman" w:cs="Times New Roman"/>
                                  <w:sz w:val="20"/>
                                </w:rPr>
                                <w:t>Volumul creditului pentru locuințe;</w:t>
                              </w:r>
                            </w:p>
                            <w:p w:rsidR="00D15A26" w:rsidRPr="000017B1" w:rsidRDefault="00D15A26" w:rsidP="00D15A26">
                              <w:pPr>
                                <w:jc w:val="center"/>
                                <w:rPr>
                                  <w:rFonts w:ascii="Times New Roman" w:hAnsi="Times New Roman" w:cs="Times New Roman"/>
                                  <w:sz w:val="20"/>
                                </w:rPr>
                              </w:pPr>
                              <w:r>
                                <w:rPr>
                                  <w:rFonts w:ascii="Times New Roman" w:hAnsi="Times New Roman" w:cs="Times New Roman"/>
                                  <w:sz w:val="20"/>
                                </w:rPr>
                                <w:t>Salariu lunar mediu net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026" style="position:absolute;left:0;text-align:left;margin-left:-405.15pt;margin-top:11.45pt;width:424.75pt;height:56.5pt;z-index:251660288" coordorigin="1495,13308" coordsize="849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">
                <v:shapetype id="_x0000_t32" coordsize="21600,21600" o:spt="32" o:oned="t" path="m,l21600,21600e" filled="f">
                  <v:path arrowok="t" fillok="f" o:connecttype="none"/>
                  <o:lock v:ext="edit" shapetype="t"/>
                </v:shapetype>
                <v:shape id="AutoShape 27" o:spid="_x0000_s1027" type="#_x0000_t32" style="position:absolute;left:7852;top:13538;width:1;height:3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3c5cMAAADbAAAADwAAAGRycy9kb3ducmV2LnhtbESPT2sCMRTE7wW/Q3hCb91spRZZjVKF&#10;gvRS/AN6fGyeu8HNy7KJm/XbN4LQ4zAzv2EWq8E2oqfOG8cK3rMcBHHptOFKwfHw/TYD4QOyxsYx&#10;KbiTh9Vy9LLAQrvIO+r3oRIJwr5ABXUIbSGlL2uy6DPXEifv4jqLIcmukrrDmOC2kZM8/5QWDaeF&#10;Glva1FRe9zerwMRf07fbTVz/nM5eRzL3qTNKvY6HrzmIQEP4Dz/bW61g8gG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t3OXDAAAA2wAAAA8AAAAAAAAAAAAA&#10;AAAAoQIAAGRycy9kb3ducmV2LnhtbFBLBQYAAAAABAAEAPkAAACRAwAAAAA=&#10;">
                  <v:stroke endarrow="block"/>
                </v:shape>
                <v:shapetype id="_x0000_t202" coordsize="21600,21600" o:spt="202" path="m,l,21600r21600,l21600,xe">
                  <v:stroke joinstyle="miter"/>
                  <v:path gradientshapeok="t" o:connecttype="rect"/>
                </v:shapetype>
                <v:shape id="Text Box 28" o:spid="_x0000_s1028" type="#_x0000_t202" style="position:absolute;left:6894;top:13921;width:195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D15A26" w:rsidRPr="000017B1" w:rsidRDefault="00D15A26" w:rsidP="00D15A26">
                        <w:pPr>
                          <w:jc w:val="center"/>
                          <w:rPr>
                            <w:rFonts w:ascii="Times New Roman" w:hAnsi="Times New Roman" w:cs="Times New Roman"/>
                            <w:sz w:val="20"/>
                          </w:rPr>
                        </w:pPr>
                        <w:r w:rsidRPr="000017B1">
                          <w:rPr>
                            <w:rFonts w:ascii="Times New Roman" w:hAnsi="Times New Roman" w:cs="Times New Roman"/>
                            <w:sz w:val="20"/>
                          </w:rPr>
                          <w:t>Prețul pentru m</w:t>
                        </w:r>
                        <w:r w:rsidRPr="000017B1">
                          <w:rPr>
                            <w:rFonts w:ascii="Times New Roman" w:hAnsi="Times New Roman" w:cs="Times New Roman"/>
                            <w:sz w:val="20"/>
                            <w:vertAlign w:val="superscript"/>
                          </w:rPr>
                          <w:t>2</w:t>
                        </w:r>
                        <w:r w:rsidRPr="000017B1">
                          <w:rPr>
                            <w:rFonts w:ascii="Times New Roman" w:hAnsi="Times New Roman" w:cs="Times New Roman"/>
                            <w:sz w:val="20"/>
                          </w:rPr>
                          <w:t xml:space="preserve"> util</w:t>
                        </w:r>
                      </w:p>
                    </w:txbxContent>
                  </v:textbox>
                </v:shape>
                <v:shape id="AutoShape 26" o:spid="_x0000_s1029" type="#_x0000_t32" style="position:absolute;left:1495;top:13434;width:849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29" o:spid="_x0000_s1030" type="#_x0000_t32" style="position:absolute;left:2259;top:13318;width:2;height:1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30" o:spid="_x0000_s1031" type="#_x0000_t32" style="position:absolute;left:2893;top:13318;width:1;height:1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34" o:spid="_x0000_s1032" type="#_x0000_t32" style="position:absolute;left:3526;top:13308;width:2;height:1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36" o:spid="_x0000_s1033" type="#_x0000_t32" style="position:absolute;left:4120;top:13308;width:1;height:1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37" o:spid="_x0000_s1034" type="#_x0000_t32" style="position:absolute;left:4744;top:13308;width:1;height:1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39" o:spid="_x0000_s1035" type="#_x0000_t32" style="position:absolute;left:5367;top:13318;width:2;height:1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AutoShape 40" o:spid="_x0000_s1036" type="#_x0000_t32" style="position:absolute;left:6001;top:13308;width:1;height:1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41" o:spid="_x0000_s1037" type="#_x0000_t32" style="position:absolute;left:6615;top:13308;width:1;height:1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42" o:spid="_x0000_s1038" type="#_x0000_t32" style="position:absolute;left:7228;top:13308;width:2;height:1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44" o:spid="_x0000_s1039" type="#_x0000_t32" style="position:absolute;left:8462;top:13308;width:1;height:1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shape id="AutoShape 45" o:spid="_x0000_s1040" type="#_x0000_t32" style="position:absolute;left:9095;top:13308;width:2;height:1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49" o:spid="_x0000_s1041" type="#_x0000_t32" style="position:absolute;left:7852;top:13318;width:1;height:1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50" o:spid="_x0000_s1042" type="#_x0000_t32" style="position:absolute;left:4101;top:13521;width:1;height:3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cEqsMAAADbAAAADwAAAGRycy9kb3ducmV2LnhtbESPT2sCMRTE7wW/Q3hCb91sp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XBKrDAAAA2wAAAA8AAAAAAAAAAAAA&#10;AAAAoQIAAGRycy9kb3ducmV2LnhtbFBLBQYAAAAABAAEAPkAAACRAwAAAAA=&#10;">
                  <v:stroke endarrow="block"/>
                </v:shape>
                <v:shape id="Text Box 51" o:spid="_x0000_s1043" type="#_x0000_t202" style="position:absolute;left:2283;top:13831;width:3617;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D15A26" w:rsidRDefault="00D15A26" w:rsidP="00D15A26">
                        <w:pPr>
                          <w:spacing w:after="0"/>
                          <w:jc w:val="center"/>
                          <w:rPr>
                            <w:rFonts w:ascii="Times New Roman" w:hAnsi="Times New Roman" w:cs="Times New Roman"/>
                            <w:sz w:val="20"/>
                          </w:rPr>
                        </w:pPr>
                        <w:r>
                          <w:rPr>
                            <w:rFonts w:ascii="Times New Roman" w:hAnsi="Times New Roman" w:cs="Times New Roman"/>
                            <w:sz w:val="20"/>
                          </w:rPr>
                          <w:t>Volumul creditului pentru locuințe;</w:t>
                        </w:r>
                      </w:p>
                      <w:p w:rsidR="00D15A26" w:rsidRPr="000017B1" w:rsidRDefault="00D15A26" w:rsidP="00D15A26">
                        <w:pPr>
                          <w:jc w:val="center"/>
                          <w:rPr>
                            <w:rFonts w:ascii="Times New Roman" w:hAnsi="Times New Roman" w:cs="Times New Roman"/>
                            <w:sz w:val="20"/>
                          </w:rPr>
                        </w:pPr>
                        <w:r>
                          <w:rPr>
                            <w:rFonts w:ascii="Times New Roman" w:hAnsi="Times New Roman" w:cs="Times New Roman"/>
                            <w:sz w:val="20"/>
                          </w:rPr>
                          <w:t>Salariu lunar mediu net</w:t>
                        </w:r>
                      </w:p>
                    </w:txbxContent>
                  </v:textbox>
                </v:shape>
              </v:group>
            </w:pict>
          </mc:Fallback>
        </mc:AlternateContent>
      </w:r>
    </w:p>
    <w:p w:rsidR="00D15A26" w:rsidRPr="00D15A26" w:rsidRDefault="00D15A26" w:rsidP="00D15A26">
      <w:pPr>
        <w:spacing w:after="0" w:line="240" w:lineRule="auto"/>
        <w:jc w:val="both"/>
        <w:rPr>
          <w:rFonts w:ascii="Times New Roman" w:eastAsia="Times New Roman" w:hAnsi="Times New Roman" w:cs="Times New Roman"/>
          <w:sz w:val="24"/>
          <w:szCs w:val="24"/>
          <w:lang w:eastAsia="ro-RO"/>
        </w:rPr>
      </w:pPr>
    </w:p>
    <w:p w:rsidR="00D15A26" w:rsidRPr="00D15A26" w:rsidRDefault="00D15A26" w:rsidP="00D15A26">
      <w:pPr>
        <w:spacing w:after="0" w:line="240" w:lineRule="auto"/>
        <w:jc w:val="center"/>
        <w:rPr>
          <w:rFonts w:ascii="Times New Roman" w:eastAsia="Times New Roman" w:hAnsi="Times New Roman" w:cs="Times New Roman"/>
          <w:sz w:val="20"/>
          <w:szCs w:val="24"/>
          <w:lang w:eastAsia="ro-RO"/>
        </w:rPr>
      </w:pPr>
    </w:p>
    <w:p w:rsidR="00D15A26" w:rsidRPr="00D15A26" w:rsidRDefault="00D15A26" w:rsidP="00D15A26">
      <w:pPr>
        <w:spacing w:after="0" w:line="240" w:lineRule="auto"/>
        <w:jc w:val="both"/>
        <w:rPr>
          <w:rFonts w:ascii="Times New Roman" w:eastAsia="Times New Roman" w:hAnsi="Times New Roman" w:cs="Times New Roman"/>
          <w:sz w:val="24"/>
          <w:szCs w:val="24"/>
          <w:lang w:eastAsia="ro-RO"/>
        </w:rPr>
      </w:pPr>
    </w:p>
    <w:p w:rsidR="00D15A26" w:rsidRPr="00D15A26" w:rsidRDefault="00D15A26" w:rsidP="00D15A26">
      <w:pPr>
        <w:spacing w:after="0" w:line="240" w:lineRule="auto"/>
        <w:jc w:val="both"/>
        <w:rPr>
          <w:rFonts w:ascii="Times New Roman" w:eastAsia="Times New Roman" w:hAnsi="Times New Roman" w:cs="Times New Roman"/>
          <w:sz w:val="24"/>
          <w:szCs w:val="24"/>
          <w:lang w:eastAsia="ro-RO"/>
        </w:rPr>
      </w:pPr>
    </w:p>
    <w:p w:rsidR="00D15A26" w:rsidRPr="00D15A26" w:rsidRDefault="00D15A26" w:rsidP="00D15A26">
      <w:pPr>
        <w:spacing w:after="0" w:line="240" w:lineRule="auto"/>
        <w:jc w:val="center"/>
        <w:rPr>
          <w:rFonts w:ascii="Times New Roman" w:hAnsi="Times New Roman" w:cs="Times New Roman"/>
          <w:b/>
          <w:bCs/>
          <w:sz w:val="20"/>
        </w:rPr>
      </w:pPr>
    </w:p>
    <w:p w:rsidR="00D15A26" w:rsidRPr="00D15A26" w:rsidRDefault="00D15A26" w:rsidP="00D15A26">
      <w:pPr>
        <w:spacing w:after="0" w:line="240" w:lineRule="auto"/>
        <w:jc w:val="center"/>
        <w:rPr>
          <w:rFonts w:ascii="Times New Roman" w:eastAsia="Times New Roman" w:hAnsi="Times New Roman" w:cs="Times New Roman"/>
          <w:b/>
          <w:bCs/>
          <w:sz w:val="24"/>
          <w:szCs w:val="24"/>
          <w:lang w:eastAsia="ro-RO"/>
        </w:rPr>
      </w:pPr>
      <w:r w:rsidRPr="00D15A26">
        <w:rPr>
          <w:rFonts w:ascii="Times New Roman" w:hAnsi="Times New Roman" w:cs="Times New Roman"/>
          <w:b/>
          <w:bCs/>
          <w:sz w:val="20"/>
        </w:rPr>
        <w:t>Figure no. 1 Modul de influență a variabilelor independente asupra variabilei dependente</w:t>
      </w:r>
    </w:p>
    <w:p w:rsidR="00D15A26" w:rsidRPr="00D15A26" w:rsidRDefault="00D15A26" w:rsidP="00D15A26">
      <w:pPr>
        <w:spacing w:after="0" w:line="240" w:lineRule="auto"/>
        <w:ind w:firstLine="708"/>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Astfel, din mai multe modele posibile de aplicat, a fost selectat pentru analiză modelul prezentat în Tabelul nr</w:t>
      </w:r>
      <w:r w:rsidRPr="00D15A26">
        <w:rPr>
          <w:rFonts w:ascii="Times New Roman" w:eastAsia="Times New Roman" w:hAnsi="Times New Roman" w:cs="Times New Roman"/>
          <w:i/>
          <w:sz w:val="24"/>
          <w:szCs w:val="24"/>
          <w:lang w:eastAsia="ro-RO"/>
        </w:rPr>
        <w:t>.</w:t>
      </w:r>
      <w:r w:rsidRPr="00D15A26">
        <w:rPr>
          <w:rFonts w:ascii="Times New Roman" w:eastAsia="Times New Roman" w:hAnsi="Times New Roman" w:cs="Times New Roman"/>
          <w:sz w:val="24"/>
          <w:szCs w:val="24"/>
          <w:lang w:eastAsia="ro-RO"/>
        </w:rPr>
        <w:t>, fiind considerat optim pentru studiu.</w:t>
      </w:r>
    </w:p>
    <w:p w:rsidR="00D15A26" w:rsidRPr="00D15A26" w:rsidRDefault="00D15A26" w:rsidP="00D15A26">
      <w:pPr>
        <w:spacing w:after="0" w:line="240" w:lineRule="auto"/>
        <w:ind w:firstLine="708"/>
        <w:jc w:val="both"/>
        <w:rPr>
          <w:rFonts w:ascii="Times New Roman" w:eastAsia="Times New Roman" w:hAnsi="Times New Roman" w:cs="Times New Roman"/>
          <w:sz w:val="24"/>
          <w:szCs w:val="24"/>
          <w:lang w:eastAsia="ro-RO"/>
        </w:rPr>
      </w:pPr>
    </w:p>
    <w:p w:rsidR="00D15A26" w:rsidRPr="00D15A26" w:rsidRDefault="00D15A26" w:rsidP="00D15A26">
      <w:pPr>
        <w:spacing w:after="0" w:line="240" w:lineRule="auto"/>
        <w:ind w:firstLine="708"/>
        <w:jc w:val="both"/>
        <w:rPr>
          <w:rFonts w:ascii="Times New Roman" w:eastAsia="Times New Roman" w:hAnsi="Times New Roman" w:cs="Times New Roman"/>
          <w:sz w:val="24"/>
          <w:szCs w:val="24"/>
          <w:lang w:eastAsia="ro-RO"/>
        </w:rPr>
      </w:pPr>
    </w:p>
    <w:p w:rsidR="00D15A26" w:rsidRPr="00D15A26" w:rsidRDefault="00D15A26" w:rsidP="00D15A26">
      <w:pPr>
        <w:spacing w:after="0" w:line="240" w:lineRule="auto"/>
        <w:ind w:firstLine="708"/>
        <w:jc w:val="both"/>
        <w:rPr>
          <w:rFonts w:ascii="Times New Roman" w:eastAsia="Times New Roman" w:hAnsi="Times New Roman" w:cs="Times New Roman"/>
          <w:sz w:val="24"/>
          <w:szCs w:val="24"/>
          <w:lang w:eastAsia="ro-RO"/>
        </w:rPr>
      </w:pPr>
    </w:p>
    <w:p w:rsidR="00D15A26" w:rsidRPr="00D15A26" w:rsidRDefault="00D15A26" w:rsidP="00D15A26">
      <w:pPr>
        <w:keepNext/>
        <w:spacing w:after="0" w:line="240" w:lineRule="auto"/>
        <w:jc w:val="center"/>
        <w:rPr>
          <w:rFonts w:ascii="Times New Roman" w:eastAsia="Times New Roman" w:hAnsi="Times New Roman" w:cs="Times New Roman"/>
          <w:b/>
          <w:bCs/>
          <w:sz w:val="20"/>
          <w:szCs w:val="18"/>
          <w:lang w:eastAsia="ro-RO"/>
        </w:rPr>
      </w:pPr>
      <w:bookmarkStart w:id="76" w:name="_Toc41335690"/>
      <w:bookmarkStart w:id="77" w:name="_Toc41760462"/>
      <w:r w:rsidRPr="00D15A26">
        <w:rPr>
          <w:rFonts w:ascii="Times New Roman" w:eastAsia="Times New Roman" w:hAnsi="Times New Roman" w:cs="Times New Roman"/>
          <w:b/>
          <w:bCs/>
          <w:sz w:val="20"/>
          <w:szCs w:val="18"/>
          <w:lang w:eastAsia="ro-RO"/>
        </w:rPr>
        <w:t>Table no.7    Sinteza modelului de analiză a datelor</w:t>
      </w:r>
      <w:bookmarkEnd w:id="76"/>
      <w:bookmarkEnd w:id="77"/>
    </w:p>
    <w:tbl>
      <w:tblPr>
        <w:tblW w:w="0" w:type="auto"/>
        <w:jc w:val="center"/>
        <w:tblLayout w:type="fixed"/>
        <w:tblCellMar>
          <w:left w:w="0" w:type="dxa"/>
          <w:right w:w="0" w:type="dxa"/>
        </w:tblCellMar>
        <w:tblLook w:val="0000" w:firstRow="0" w:lastRow="0" w:firstColumn="0" w:lastColumn="0" w:noHBand="0" w:noVBand="0"/>
      </w:tblPr>
      <w:tblGrid>
        <w:gridCol w:w="2740"/>
        <w:gridCol w:w="1498"/>
        <w:gridCol w:w="1641"/>
        <w:gridCol w:w="1642"/>
        <w:gridCol w:w="1356"/>
      </w:tblGrid>
      <w:tr w:rsidR="00D15A26" w:rsidRPr="00D15A26" w:rsidTr="007B67D2">
        <w:trPr>
          <w:trHeight w:val="242"/>
          <w:jc w:val="center"/>
        </w:trPr>
        <w:tc>
          <w:tcPr>
            <w:tcW w:w="7521" w:type="dxa"/>
            <w:gridSpan w:val="4"/>
            <w:tcBorders>
              <w:top w:val="single" w:sz="4" w:space="0" w:color="auto"/>
              <w:left w:val="single" w:sz="4" w:space="0" w:color="auto"/>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Dependent Variable: LOG(X)</w:t>
            </w:r>
          </w:p>
        </w:tc>
        <w:tc>
          <w:tcPr>
            <w:tcW w:w="1356" w:type="dxa"/>
            <w:tcBorders>
              <w:top w:val="single" w:sz="4" w:space="0" w:color="auto"/>
              <w:left w:val="nil"/>
              <w:bottom w:val="nil"/>
              <w:right w:val="single" w:sz="4" w:space="0" w:color="auto"/>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r>
      <w:tr w:rsidR="00D15A26" w:rsidRPr="00D15A26" w:rsidTr="007B67D2">
        <w:trPr>
          <w:trHeight w:val="242"/>
          <w:jc w:val="center"/>
        </w:trPr>
        <w:tc>
          <w:tcPr>
            <w:tcW w:w="7521" w:type="dxa"/>
            <w:gridSpan w:val="4"/>
            <w:tcBorders>
              <w:top w:val="nil"/>
              <w:left w:val="single" w:sz="4" w:space="0" w:color="auto"/>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Sample: 2014M01 2019M12</w:t>
            </w:r>
          </w:p>
        </w:tc>
        <w:tc>
          <w:tcPr>
            <w:tcW w:w="1356" w:type="dxa"/>
            <w:tcBorders>
              <w:top w:val="nil"/>
              <w:left w:val="nil"/>
              <w:bottom w:val="nil"/>
              <w:right w:val="single" w:sz="4" w:space="0" w:color="auto"/>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r>
      <w:tr w:rsidR="00D15A26" w:rsidRPr="00D15A26" w:rsidTr="007B67D2">
        <w:trPr>
          <w:trHeight w:val="242"/>
          <w:jc w:val="center"/>
        </w:trPr>
        <w:tc>
          <w:tcPr>
            <w:tcW w:w="7521" w:type="dxa"/>
            <w:gridSpan w:val="4"/>
            <w:tcBorders>
              <w:top w:val="nil"/>
              <w:left w:val="single" w:sz="4" w:space="0" w:color="auto"/>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Included observations: 72</w:t>
            </w:r>
          </w:p>
        </w:tc>
        <w:tc>
          <w:tcPr>
            <w:tcW w:w="1356" w:type="dxa"/>
            <w:tcBorders>
              <w:top w:val="nil"/>
              <w:left w:val="nil"/>
              <w:bottom w:val="nil"/>
              <w:right w:val="single" w:sz="4" w:space="0" w:color="auto"/>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r>
      <w:tr w:rsidR="00D15A26" w:rsidRPr="00D15A26" w:rsidTr="007B67D2">
        <w:trPr>
          <w:trHeight w:val="242"/>
          <w:jc w:val="center"/>
        </w:trPr>
        <w:tc>
          <w:tcPr>
            <w:tcW w:w="8877" w:type="dxa"/>
            <w:gridSpan w:val="5"/>
            <w:tcBorders>
              <w:top w:val="nil"/>
              <w:left w:val="single" w:sz="4" w:space="0" w:color="auto"/>
              <w:bottom w:val="nil"/>
              <w:right w:val="single" w:sz="4" w:space="0" w:color="auto"/>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Stopping criterion: p-value forwards/backwards = 0.5/0.5</w:t>
            </w:r>
          </w:p>
        </w:tc>
      </w:tr>
      <w:tr w:rsidR="00D15A26" w:rsidRPr="00D15A26" w:rsidTr="007B67D2">
        <w:trPr>
          <w:trHeight w:hRule="exact" w:val="97"/>
          <w:jc w:val="center"/>
        </w:trPr>
        <w:tc>
          <w:tcPr>
            <w:tcW w:w="2740" w:type="dxa"/>
            <w:tcBorders>
              <w:top w:val="nil"/>
              <w:left w:val="single" w:sz="4" w:space="0" w:color="auto"/>
              <w:bottom w:val="double" w:sz="6" w:space="2" w:color="auto"/>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498" w:type="dxa"/>
            <w:tcBorders>
              <w:top w:val="nil"/>
              <w:left w:val="nil"/>
              <w:bottom w:val="double" w:sz="6" w:space="2" w:color="auto"/>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641" w:type="dxa"/>
            <w:tcBorders>
              <w:top w:val="nil"/>
              <w:left w:val="nil"/>
              <w:bottom w:val="double" w:sz="6" w:space="2" w:color="auto"/>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642" w:type="dxa"/>
            <w:tcBorders>
              <w:top w:val="nil"/>
              <w:left w:val="nil"/>
              <w:bottom w:val="double" w:sz="6" w:space="2" w:color="auto"/>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356" w:type="dxa"/>
            <w:tcBorders>
              <w:top w:val="nil"/>
              <w:left w:val="nil"/>
              <w:bottom w:val="double" w:sz="6" w:space="2" w:color="auto"/>
              <w:right w:val="single" w:sz="4" w:space="0" w:color="auto"/>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r>
      <w:tr w:rsidR="00D15A26" w:rsidRPr="00D15A26" w:rsidTr="007B67D2">
        <w:trPr>
          <w:trHeight w:hRule="exact" w:val="145"/>
          <w:jc w:val="center"/>
        </w:trPr>
        <w:tc>
          <w:tcPr>
            <w:tcW w:w="2740" w:type="dxa"/>
            <w:tcBorders>
              <w:top w:val="nil"/>
              <w:left w:val="single" w:sz="4" w:space="0" w:color="auto"/>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498"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641"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642"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356" w:type="dxa"/>
            <w:tcBorders>
              <w:top w:val="nil"/>
              <w:left w:val="nil"/>
              <w:bottom w:val="nil"/>
              <w:right w:val="single" w:sz="4" w:space="0" w:color="auto"/>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r>
      <w:tr w:rsidR="00D15A26" w:rsidRPr="00D15A26" w:rsidTr="007B67D2">
        <w:trPr>
          <w:trHeight w:val="242"/>
          <w:jc w:val="center"/>
        </w:trPr>
        <w:tc>
          <w:tcPr>
            <w:tcW w:w="2740" w:type="dxa"/>
            <w:tcBorders>
              <w:top w:val="nil"/>
              <w:left w:val="single" w:sz="4" w:space="0" w:color="auto"/>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Variable</w:t>
            </w:r>
          </w:p>
        </w:tc>
        <w:tc>
          <w:tcPr>
            <w:tcW w:w="1498"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Coefficient</w:t>
            </w:r>
          </w:p>
        </w:tc>
        <w:tc>
          <w:tcPr>
            <w:tcW w:w="1641"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Std. Error</w:t>
            </w:r>
          </w:p>
        </w:tc>
        <w:tc>
          <w:tcPr>
            <w:tcW w:w="1642"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t-Statistic</w:t>
            </w:r>
          </w:p>
        </w:tc>
        <w:tc>
          <w:tcPr>
            <w:tcW w:w="1356" w:type="dxa"/>
            <w:tcBorders>
              <w:top w:val="nil"/>
              <w:left w:val="nil"/>
              <w:bottom w:val="nil"/>
              <w:right w:val="single" w:sz="4" w:space="0" w:color="auto"/>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Prob.*</w:t>
            </w:r>
          </w:p>
        </w:tc>
      </w:tr>
      <w:tr w:rsidR="00D15A26" w:rsidRPr="00D15A26" w:rsidTr="007B67D2">
        <w:trPr>
          <w:trHeight w:hRule="exact" w:val="97"/>
          <w:jc w:val="center"/>
        </w:trPr>
        <w:tc>
          <w:tcPr>
            <w:tcW w:w="2740" w:type="dxa"/>
            <w:tcBorders>
              <w:top w:val="nil"/>
              <w:left w:val="single" w:sz="4" w:space="0" w:color="auto"/>
              <w:bottom w:val="double" w:sz="6" w:space="2" w:color="auto"/>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498" w:type="dxa"/>
            <w:tcBorders>
              <w:top w:val="nil"/>
              <w:left w:val="nil"/>
              <w:bottom w:val="double" w:sz="6" w:space="2" w:color="auto"/>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641" w:type="dxa"/>
            <w:tcBorders>
              <w:top w:val="nil"/>
              <w:left w:val="nil"/>
              <w:bottom w:val="double" w:sz="6" w:space="2" w:color="auto"/>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642" w:type="dxa"/>
            <w:tcBorders>
              <w:top w:val="nil"/>
              <w:left w:val="nil"/>
              <w:bottom w:val="double" w:sz="6" w:space="2" w:color="auto"/>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356" w:type="dxa"/>
            <w:tcBorders>
              <w:top w:val="nil"/>
              <w:left w:val="nil"/>
              <w:bottom w:val="double" w:sz="6" w:space="2" w:color="auto"/>
              <w:right w:val="single" w:sz="4" w:space="0" w:color="auto"/>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r>
      <w:tr w:rsidR="00D15A26" w:rsidRPr="00D15A26" w:rsidTr="007B67D2">
        <w:trPr>
          <w:trHeight w:hRule="exact" w:val="145"/>
          <w:jc w:val="center"/>
        </w:trPr>
        <w:tc>
          <w:tcPr>
            <w:tcW w:w="2740" w:type="dxa"/>
            <w:tcBorders>
              <w:top w:val="nil"/>
              <w:left w:val="single" w:sz="4" w:space="0" w:color="auto"/>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498"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641"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642"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356" w:type="dxa"/>
            <w:tcBorders>
              <w:top w:val="nil"/>
              <w:left w:val="nil"/>
              <w:bottom w:val="nil"/>
              <w:right w:val="single" w:sz="4" w:space="0" w:color="auto"/>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r>
      <w:tr w:rsidR="00D15A26" w:rsidRPr="00D15A26" w:rsidTr="007B67D2">
        <w:trPr>
          <w:trHeight w:val="242"/>
          <w:jc w:val="center"/>
        </w:trPr>
        <w:tc>
          <w:tcPr>
            <w:tcW w:w="2740" w:type="dxa"/>
            <w:tcBorders>
              <w:top w:val="nil"/>
              <w:left w:val="single" w:sz="4" w:space="0" w:color="auto"/>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b/>
                <w:color w:val="000000"/>
                <w:sz w:val="20"/>
                <w:szCs w:val="20"/>
                <w:lang w:eastAsia="ro-RO"/>
              </w:rPr>
            </w:pPr>
            <w:r w:rsidRPr="00D15A26">
              <w:rPr>
                <w:rFonts w:ascii="Times New Roman" w:eastAsia="Times New Roman" w:hAnsi="Times New Roman" w:cs="Times New Roman"/>
                <w:b/>
                <w:color w:val="000000"/>
                <w:sz w:val="20"/>
                <w:szCs w:val="20"/>
                <w:lang w:eastAsia="ro-RO"/>
              </w:rPr>
              <w:t>LOG(Y1-6)</w:t>
            </w:r>
          </w:p>
        </w:tc>
        <w:tc>
          <w:tcPr>
            <w:tcW w:w="1498"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b/>
                <w:color w:val="000000"/>
                <w:sz w:val="20"/>
                <w:szCs w:val="20"/>
                <w:lang w:eastAsia="ro-RO"/>
              </w:rPr>
            </w:pPr>
            <w:r w:rsidRPr="00D15A26">
              <w:rPr>
                <w:rFonts w:ascii="Times New Roman" w:eastAsia="Times New Roman" w:hAnsi="Times New Roman" w:cs="Times New Roman"/>
                <w:b/>
                <w:color w:val="000000"/>
                <w:sz w:val="20"/>
                <w:szCs w:val="20"/>
                <w:lang w:eastAsia="ro-RO"/>
              </w:rPr>
              <w:t>0.265387</w:t>
            </w:r>
          </w:p>
        </w:tc>
        <w:tc>
          <w:tcPr>
            <w:tcW w:w="1641"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0.044468</w:t>
            </w:r>
          </w:p>
        </w:tc>
        <w:tc>
          <w:tcPr>
            <w:tcW w:w="1642"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5.968109</w:t>
            </w:r>
          </w:p>
        </w:tc>
        <w:tc>
          <w:tcPr>
            <w:tcW w:w="1356" w:type="dxa"/>
            <w:tcBorders>
              <w:top w:val="nil"/>
              <w:left w:val="nil"/>
              <w:bottom w:val="nil"/>
              <w:right w:val="single" w:sz="4" w:space="0" w:color="auto"/>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0.0000</w:t>
            </w:r>
          </w:p>
        </w:tc>
      </w:tr>
      <w:tr w:rsidR="00D15A26" w:rsidRPr="00D15A26" w:rsidTr="007B67D2">
        <w:trPr>
          <w:trHeight w:val="242"/>
          <w:jc w:val="center"/>
        </w:trPr>
        <w:tc>
          <w:tcPr>
            <w:tcW w:w="2740" w:type="dxa"/>
            <w:tcBorders>
              <w:top w:val="nil"/>
              <w:left w:val="single" w:sz="4" w:space="0" w:color="auto"/>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b/>
                <w:color w:val="000000"/>
                <w:sz w:val="20"/>
                <w:szCs w:val="20"/>
                <w:lang w:eastAsia="ro-RO"/>
              </w:rPr>
            </w:pPr>
            <w:r w:rsidRPr="00D15A26">
              <w:rPr>
                <w:rFonts w:ascii="Times New Roman" w:eastAsia="Times New Roman" w:hAnsi="Times New Roman" w:cs="Times New Roman"/>
                <w:b/>
                <w:color w:val="000000"/>
                <w:sz w:val="20"/>
                <w:szCs w:val="20"/>
                <w:lang w:eastAsia="ro-RO"/>
              </w:rPr>
              <w:t>LOG(Y2-6)</w:t>
            </w:r>
          </w:p>
        </w:tc>
        <w:tc>
          <w:tcPr>
            <w:tcW w:w="1498"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b/>
                <w:color w:val="000000"/>
                <w:sz w:val="20"/>
                <w:szCs w:val="20"/>
                <w:lang w:eastAsia="ro-RO"/>
              </w:rPr>
            </w:pPr>
            <w:r w:rsidRPr="00D15A26">
              <w:rPr>
                <w:rFonts w:ascii="Times New Roman" w:eastAsia="Times New Roman" w:hAnsi="Times New Roman" w:cs="Times New Roman"/>
                <w:b/>
                <w:color w:val="000000"/>
                <w:sz w:val="20"/>
                <w:szCs w:val="20"/>
                <w:lang w:eastAsia="ro-RO"/>
              </w:rPr>
              <w:t>81.23848</w:t>
            </w:r>
          </w:p>
        </w:tc>
        <w:tc>
          <w:tcPr>
            <w:tcW w:w="1641"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32.72694</w:t>
            </w:r>
          </w:p>
        </w:tc>
        <w:tc>
          <w:tcPr>
            <w:tcW w:w="1642"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2.482312</w:t>
            </w:r>
          </w:p>
        </w:tc>
        <w:tc>
          <w:tcPr>
            <w:tcW w:w="1356" w:type="dxa"/>
            <w:tcBorders>
              <w:top w:val="nil"/>
              <w:left w:val="nil"/>
              <w:bottom w:val="nil"/>
              <w:right w:val="single" w:sz="4" w:space="0" w:color="auto"/>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0.0155</w:t>
            </w:r>
          </w:p>
        </w:tc>
      </w:tr>
      <w:tr w:rsidR="00D15A26" w:rsidRPr="00D15A26" w:rsidTr="007B67D2">
        <w:trPr>
          <w:trHeight w:val="242"/>
          <w:jc w:val="center"/>
        </w:trPr>
        <w:tc>
          <w:tcPr>
            <w:tcW w:w="2740" w:type="dxa"/>
            <w:tcBorders>
              <w:top w:val="nil"/>
              <w:left w:val="single" w:sz="4" w:space="0" w:color="auto"/>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b/>
                <w:color w:val="000000"/>
                <w:sz w:val="20"/>
                <w:szCs w:val="20"/>
                <w:lang w:eastAsia="ro-RO"/>
              </w:rPr>
            </w:pPr>
            <w:r w:rsidRPr="00D15A26">
              <w:rPr>
                <w:rFonts w:ascii="Times New Roman" w:eastAsia="Times New Roman" w:hAnsi="Times New Roman" w:cs="Times New Roman"/>
                <w:b/>
                <w:color w:val="000000"/>
                <w:sz w:val="20"/>
                <w:szCs w:val="20"/>
                <w:lang w:eastAsia="ro-RO"/>
              </w:rPr>
              <w:lastRenderedPageBreak/>
              <w:t>LOG(Y2)</w:t>
            </w:r>
          </w:p>
        </w:tc>
        <w:tc>
          <w:tcPr>
            <w:tcW w:w="1498"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b/>
                <w:color w:val="000000"/>
                <w:sz w:val="20"/>
                <w:szCs w:val="20"/>
                <w:lang w:eastAsia="ro-RO"/>
              </w:rPr>
            </w:pPr>
            <w:r w:rsidRPr="00D15A26">
              <w:rPr>
                <w:rFonts w:ascii="Times New Roman" w:eastAsia="Times New Roman" w:hAnsi="Times New Roman" w:cs="Times New Roman"/>
                <w:b/>
                <w:color w:val="000000"/>
                <w:sz w:val="20"/>
                <w:szCs w:val="20"/>
                <w:lang w:eastAsia="ro-RO"/>
              </w:rPr>
              <w:t>-81.15809</w:t>
            </w:r>
          </w:p>
        </w:tc>
        <w:tc>
          <w:tcPr>
            <w:tcW w:w="1641"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32.85680</w:t>
            </w:r>
          </w:p>
        </w:tc>
        <w:tc>
          <w:tcPr>
            <w:tcW w:w="1642"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-2.470055</w:t>
            </w:r>
          </w:p>
        </w:tc>
        <w:tc>
          <w:tcPr>
            <w:tcW w:w="1356" w:type="dxa"/>
            <w:tcBorders>
              <w:top w:val="nil"/>
              <w:left w:val="nil"/>
              <w:bottom w:val="nil"/>
              <w:right w:val="single" w:sz="4" w:space="0" w:color="auto"/>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0.0160</w:t>
            </w:r>
          </w:p>
        </w:tc>
      </w:tr>
      <w:tr w:rsidR="00D15A26" w:rsidRPr="00D15A26" w:rsidTr="007B67D2">
        <w:trPr>
          <w:trHeight w:hRule="exact" w:val="97"/>
          <w:jc w:val="center"/>
        </w:trPr>
        <w:tc>
          <w:tcPr>
            <w:tcW w:w="2740" w:type="dxa"/>
            <w:tcBorders>
              <w:top w:val="nil"/>
              <w:left w:val="single" w:sz="4" w:space="0" w:color="auto"/>
              <w:bottom w:val="double" w:sz="6" w:space="2" w:color="auto"/>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498" w:type="dxa"/>
            <w:tcBorders>
              <w:top w:val="nil"/>
              <w:left w:val="nil"/>
              <w:bottom w:val="double" w:sz="6" w:space="2" w:color="auto"/>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641" w:type="dxa"/>
            <w:tcBorders>
              <w:top w:val="nil"/>
              <w:left w:val="nil"/>
              <w:bottom w:val="double" w:sz="6" w:space="2" w:color="auto"/>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642" w:type="dxa"/>
            <w:tcBorders>
              <w:top w:val="nil"/>
              <w:left w:val="nil"/>
              <w:bottom w:val="double" w:sz="6" w:space="2" w:color="auto"/>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356" w:type="dxa"/>
            <w:tcBorders>
              <w:top w:val="nil"/>
              <w:left w:val="nil"/>
              <w:bottom w:val="double" w:sz="6" w:space="2" w:color="auto"/>
              <w:right w:val="single" w:sz="4" w:space="0" w:color="auto"/>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r>
      <w:tr w:rsidR="00D15A26" w:rsidRPr="00D15A26" w:rsidTr="007B67D2">
        <w:trPr>
          <w:trHeight w:hRule="exact" w:val="145"/>
          <w:jc w:val="center"/>
        </w:trPr>
        <w:tc>
          <w:tcPr>
            <w:tcW w:w="2740" w:type="dxa"/>
            <w:tcBorders>
              <w:top w:val="nil"/>
              <w:left w:val="single" w:sz="4" w:space="0" w:color="auto"/>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498"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641"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642"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c>
          <w:tcPr>
            <w:tcW w:w="1356" w:type="dxa"/>
            <w:tcBorders>
              <w:top w:val="nil"/>
              <w:left w:val="nil"/>
              <w:bottom w:val="nil"/>
              <w:right w:val="single" w:sz="4" w:space="0" w:color="auto"/>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p>
        </w:tc>
      </w:tr>
      <w:tr w:rsidR="00D15A26" w:rsidRPr="00D15A26" w:rsidTr="007B67D2">
        <w:trPr>
          <w:trHeight w:val="242"/>
          <w:jc w:val="center"/>
        </w:trPr>
        <w:tc>
          <w:tcPr>
            <w:tcW w:w="2740" w:type="dxa"/>
            <w:tcBorders>
              <w:top w:val="nil"/>
              <w:left w:val="single" w:sz="4" w:space="0" w:color="auto"/>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b/>
                <w:color w:val="000000"/>
                <w:sz w:val="20"/>
                <w:szCs w:val="20"/>
                <w:lang w:eastAsia="ro-RO"/>
              </w:rPr>
            </w:pPr>
            <w:r w:rsidRPr="00D15A26">
              <w:rPr>
                <w:rFonts w:ascii="Times New Roman" w:eastAsia="Times New Roman" w:hAnsi="Times New Roman" w:cs="Times New Roman"/>
                <w:b/>
                <w:color w:val="000000"/>
                <w:sz w:val="20"/>
                <w:szCs w:val="20"/>
                <w:lang w:eastAsia="ro-RO"/>
              </w:rPr>
              <w:t>R-squared</w:t>
            </w:r>
          </w:p>
        </w:tc>
        <w:tc>
          <w:tcPr>
            <w:tcW w:w="1498" w:type="dxa"/>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b/>
                <w:color w:val="000000"/>
                <w:sz w:val="20"/>
                <w:szCs w:val="20"/>
                <w:lang w:eastAsia="ro-RO"/>
              </w:rPr>
            </w:pPr>
            <w:r w:rsidRPr="00D15A26">
              <w:rPr>
                <w:rFonts w:ascii="Times New Roman" w:eastAsia="Times New Roman" w:hAnsi="Times New Roman" w:cs="Times New Roman"/>
                <w:b/>
                <w:color w:val="000000"/>
                <w:sz w:val="20"/>
                <w:szCs w:val="20"/>
                <w:lang w:eastAsia="ro-RO"/>
              </w:rPr>
              <w:t>0.962194</w:t>
            </w:r>
          </w:p>
        </w:tc>
        <w:tc>
          <w:tcPr>
            <w:tcW w:w="3283" w:type="dxa"/>
            <w:gridSpan w:val="2"/>
            <w:tcBorders>
              <w:top w:val="nil"/>
              <w:left w:val="nil"/>
              <w:bottom w:val="nil"/>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Mean dependent var</w:t>
            </w:r>
          </w:p>
        </w:tc>
        <w:tc>
          <w:tcPr>
            <w:tcW w:w="1356" w:type="dxa"/>
            <w:tcBorders>
              <w:top w:val="nil"/>
              <w:left w:val="nil"/>
              <w:bottom w:val="nil"/>
              <w:right w:val="single" w:sz="4" w:space="0" w:color="auto"/>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6.975260</w:t>
            </w:r>
          </w:p>
        </w:tc>
      </w:tr>
      <w:tr w:rsidR="00D15A26" w:rsidRPr="00D15A26" w:rsidTr="007B67D2">
        <w:trPr>
          <w:trHeight w:val="242"/>
          <w:jc w:val="center"/>
        </w:trPr>
        <w:tc>
          <w:tcPr>
            <w:tcW w:w="2740" w:type="dxa"/>
            <w:tcBorders>
              <w:top w:val="nil"/>
              <w:left w:val="single" w:sz="4" w:space="0" w:color="auto"/>
              <w:bottom w:val="single" w:sz="4" w:space="0" w:color="auto"/>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Adjusted R-squared</w:t>
            </w:r>
          </w:p>
        </w:tc>
        <w:tc>
          <w:tcPr>
            <w:tcW w:w="1498" w:type="dxa"/>
            <w:tcBorders>
              <w:top w:val="nil"/>
              <w:left w:val="nil"/>
              <w:bottom w:val="single" w:sz="4" w:space="0" w:color="auto"/>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0.961098</w:t>
            </w:r>
          </w:p>
        </w:tc>
        <w:tc>
          <w:tcPr>
            <w:tcW w:w="3283" w:type="dxa"/>
            <w:gridSpan w:val="2"/>
            <w:tcBorders>
              <w:top w:val="nil"/>
              <w:left w:val="nil"/>
              <w:bottom w:val="single" w:sz="4" w:space="0" w:color="auto"/>
              <w:right w:val="nil"/>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S.D. dependent var</w:t>
            </w:r>
          </w:p>
        </w:tc>
        <w:tc>
          <w:tcPr>
            <w:tcW w:w="1356" w:type="dxa"/>
            <w:tcBorders>
              <w:top w:val="nil"/>
              <w:left w:val="nil"/>
              <w:bottom w:val="single" w:sz="4" w:space="0" w:color="auto"/>
              <w:right w:val="single" w:sz="4" w:space="0" w:color="auto"/>
            </w:tcBorders>
            <w:vAlign w:val="bottom"/>
          </w:tcPr>
          <w:p w:rsidR="00D15A26" w:rsidRPr="00D15A26" w:rsidRDefault="00D15A26" w:rsidP="00D15A26">
            <w:pPr>
              <w:autoSpaceDE w:val="0"/>
              <w:autoSpaceDN w:val="0"/>
              <w:adjustRightInd w:val="0"/>
              <w:spacing w:after="0" w:line="240" w:lineRule="auto"/>
              <w:rPr>
                <w:rFonts w:ascii="Times New Roman" w:eastAsia="Times New Roman" w:hAnsi="Times New Roman" w:cs="Times New Roman"/>
                <w:color w:val="000000"/>
                <w:sz w:val="20"/>
                <w:szCs w:val="20"/>
                <w:lang w:eastAsia="ro-RO"/>
              </w:rPr>
            </w:pPr>
            <w:r w:rsidRPr="00D15A26">
              <w:rPr>
                <w:rFonts w:ascii="Times New Roman" w:eastAsia="Times New Roman" w:hAnsi="Times New Roman" w:cs="Times New Roman"/>
                <w:color w:val="000000"/>
                <w:sz w:val="20"/>
                <w:szCs w:val="20"/>
                <w:lang w:eastAsia="ro-RO"/>
              </w:rPr>
              <w:t>0.122813</w:t>
            </w:r>
          </w:p>
        </w:tc>
      </w:tr>
    </w:tbl>
    <w:p w:rsidR="00D15A26" w:rsidRPr="00D15A26" w:rsidRDefault="00D15A26" w:rsidP="00D15A26">
      <w:pPr>
        <w:spacing w:after="0" w:line="240" w:lineRule="auto"/>
        <w:jc w:val="center"/>
        <w:rPr>
          <w:rFonts w:ascii="Times New Roman" w:eastAsia="Times New Roman" w:hAnsi="Times New Roman" w:cs="Times New Roman"/>
          <w:i/>
          <w:szCs w:val="24"/>
          <w:u w:val="single"/>
          <w:lang w:eastAsia="ro-RO"/>
        </w:rPr>
      </w:pPr>
      <w:r w:rsidRPr="00D15A26">
        <w:rPr>
          <w:rFonts w:ascii="Times New Roman" w:eastAsia="Times New Roman" w:hAnsi="Times New Roman" w:cs="Times New Roman"/>
          <w:sz w:val="20"/>
          <w:szCs w:val="24"/>
          <w:lang w:eastAsia="ro-RO"/>
        </w:rPr>
        <w:tab/>
      </w:r>
    </w:p>
    <w:p w:rsidR="00D15A26" w:rsidRPr="00D15A26" w:rsidRDefault="00D15A26" w:rsidP="00D15A26">
      <w:pPr>
        <w:spacing w:after="0" w:line="240" w:lineRule="auto"/>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ab/>
        <w:t>În urma analizei variabilei dependende (media lunară a prețurilor pentru m</w:t>
      </w:r>
      <w:r w:rsidRPr="00D15A26">
        <w:rPr>
          <w:rFonts w:ascii="Times New Roman" w:eastAsia="Times New Roman" w:hAnsi="Times New Roman" w:cs="Times New Roman"/>
          <w:sz w:val="24"/>
          <w:szCs w:val="20"/>
          <w:vertAlign w:val="superscript"/>
          <w:lang w:eastAsia="ro-RO"/>
        </w:rPr>
        <w:t>2</w:t>
      </w:r>
      <w:r w:rsidRPr="00D15A26">
        <w:rPr>
          <w:rFonts w:ascii="Times New Roman" w:eastAsia="Times New Roman" w:hAnsi="Times New Roman" w:cs="Times New Roman"/>
          <w:sz w:val="24"/>
          <w:szCs w:val="20"/>
          <w:lang w:eastAsia="ro-RO"/>
        </w:rPr>
        <w:t xml:space="preserve"> util a apartamentelor), s</w:t>
      </w:r>
      <w:r w:rsidRPr="00D15A26">
        <w:rPr>
          <w:rFonts w:ascii="Times New Roman" w:eastAsia="Times New Roman" w:hAnsi="Times New Roman" w:cs="Times New Roman"/>
          <w:b/>
          <w:sz w:val="24"/>
          <w:szCs w:val="20"/>
          <w:lang w:eastAsia="ro-RO"/>
        </w:rPr>
        <w:t>-</w:t>
      </w:r>
      <w:r w:rsidRPr="00D15A26">
        <w:rPr>
          <w:rFonts w:ascii="Times New Roman" w:eastAsia="Times New Roman" w:hAnsi="Times New Roman" w:cs="Times New Roman"/>
          <w:sz w:val="24"/>
          <w:szCs w:val="20"/>
          <w:lang w:eastAsia="ro-RO"/>
        </w:rPr>
        <w:t xml:space="preserve">au obținut următorii indicatori: </w:t>
      </w:r>
    </w:p>
    <w:p w:rsidR="00D15A26" w:rsidRPr="00D15A26" w:rsidRDefault="00D15A26" w:rsidP="00D15A26">
      <w:pPr>
        <w:numPr>
          <w:ilvl w:val="0"/>
          <w:numId w:val="25"/>
        </w:numPr>
        <w:spacing w:after="0" w:line="240" w:lineRule="auto"/>
        <w:contextualSpacing/>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i/>
          <w:sz w:val="24"/>
          <w:szCs w:val="24"/>
          <w:lang w:eastAsia="ro-RO"/>
        </w:rPr>
        <w:t xml:space="preserve">R-squared </w:t>
      </w:r>
      <w:r w:rsidRPr="00D15A26">
        <w:rPr>
          <w:rFonts w:ascii="Times New Roman" w:eastAsia="Times New Roman" w:hAnsi="Times New Roman" w:cs="Times New Roman"/>
          <w:sz w:val="24"/>
          <w:szCs w:val="24"/>
          <w:lang w:eastAsia="ro-RO"/>
        </w:rPr>
        <w:t>– indicatorul are scopul de a arăta în ce proporție variabilele independente (credite acordate gospodăriilor populaţiei pentru locuinţe și salariul mediu net lunar) reușesc să explice variația variabilei dependente (</w:t>
      </w:r>
      <w:r w:rsidRPr="00D15A26">
        <w:rPr>
          <w:rFonts w:ascii="Times New Roman" w:eastAsia="Times New Roman" w:hAnsi="Times New Roman" w:cs="Times New Roman"/>
          <w:sz w:val="24"/>
          <w:szCs w:val="20"/>
          <w:lang w:eastAsia="ro-RO"/>
        </w:rPr>
        <w:t>media lunară a prețurilor pentru m</w:t>
      </w:r>
      <w:r w:rsidRPr="00D15A26">
        <w:rPr>
          <w:rFonts w:ascii="Times New Roman" w:eastAsia="Times New Roman" w:hAnsi="Times New Roman" w:cs="Times New Roman"/>
          <w:sz w:val="24"/>
          <w:szCs w:val="20"/>
          <w:vertAlign w:val="superscript"/>
          <w:lang w:eastAsia="ro-RO"/>
        </w:rPr>
        <w:t>2</w:t>
      </w:r>
      <w:r w:rsidRPr="00D15A26">
        <w:rPr>
          <w:rFonts w:ascii="Times New Roman" w:eastAsia="Times New Roman" w:hAnsi="Times New Roman" w:cs="Times New Roman"/>
          <w:sz w:val="24"/>
          <w:szCs w:val="20"/>
          <w:lang w:eastAsia="ro-RO"/>
        </w:rPr>
        <w:t xml:space="preserve"> util a apartamentelor</w:t>
      </w:r>
      <w:r w:rsidRPr="00D15A26">
        <w:rPr>
          <w:rFonts w:ascii="Times New Roman" w:eastAsia="Times New Roman" w:hAnsi="Times New Roman" w:cs="Times New Roman"/>
          <w:sz w:val="24"/>
          <w:szCs w:val="24"/>
          <w:lang w:eastAsia="ro-RO"/>
        </w:rPr>
        <w:t xml:space="preserve">). </w:t>
      </w:r>
      <w:r w:rsidRPr="00D15A26">
        <w:rPr>
          <w:rFonts w:ascii="Times New Roman" w:eastAsia="Times New Roman" w:hAnsi="Times New Roman" w:cs="Times New Roman"/>
          <w:sz w:val="24"/>
          <w:szCs w:val="24"/>
          <w:lang w:eastAsia="ro-RO"/>
        </w:rPr>
        <w:tab/>
        <w:t>În cazul modelului, acest indicator ia valoarea de 0,962194, ceea ce denotă faptul că variabilele independente reușesc să explice 96% din variația variabilei dependente;</w:t>
      </w:r>
    </w:p>
    <w:p w:rsidR="00D15A26" w:rsidRPr="00D15A26" w:rsidRDefault="00D15A26" w:rsidP="00D15A26">
      <w:pPr>
        <w:numPr>
          <w:ilvl w:val="0"/>
          <w:numId w:val="24"/>
        </w:numPr>
        <w:spacing w:after="0" w:line="240" w:lineRule="auto"/>
        <w:contextualSpacing/>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i/>
          <w:sz w:val="24"/>
          <w:szCs w:val="24"/>
          <w:lang w:eastAsia="ro-RO"/>
        </w:rPr>
        <w:t>LOG(Y1-6)</w:t>
      </w:r>
      <w:r w:rsidRPr="00D15A26">
        <w:rPr>
          <w:rFonts w:ascii="Times New Roman" w:eastAsia="Times New Roman" w:hAnsi="Times New Roman" w:cs="Times New Roman"/>
          <w:sz w:val="24"/>
          <w:szCs w:val="24"/>
          <w:lang w:eastAsia="ro-RO"/>
        </w:rPr>
        <w:t xml:space="preserve"> – indicatorul măsoară proporția cu care o creștere cu 1% al variabilei independente Y1 (</w:t>
      </w:r>
      <w:r w:rsidRPr="00D15A26">
        <w:rPr>
          <w:rFonts w:ascii="Times New Roman" w:eastAsia="Times New Roman" w:hAnsi="Times New Roman" w:cs="Times New Roman"/>
          <w:sz w:val="24"/>
          <w:szCs w:val="20"/>
          <w:lang w:eastAsia="ro-RO"/>
        </w:rPr>
        <w:t>credite pentru locuinţe</w:t>
      </w:r>
      <w:r w:rsidRPr="00D15A26">
        <w:rPr>
          <w:rFonts w:ascii="Times New Roman" w:eastAsia="Times New Roman" w:hAnsi="Times New Roman" w:cs="Times New Roman"/>
          <w:sz w:val="24"/>
          <w:szCs w:val="24"/>
          <w:lang w:eastAsia="ro-RO"/>
        </w:rPr>
        <w:t>) ce a avut loc cu 6 luni în urmă a influențat modificarea variabilei dependente X (</w:t>
      </w:r>
      <w:r w:rsidRPr="00D15A26">
        <w:rPr>
          <w:rFonts w:ascii="Times New Roman" w:eastAsia="Times New Roman" w:hAnsi="Times New Roman" w:cs="Times New Roman"/>
          <w:sz w:val="24"/>
          <w:szCs w:val="20"/>
          <w:lang w:eastAsia="ro-RO"/>
        </w:rPr>
        <w:t>media lunară a prețurilor pentru m</w:t>
      </w:r>
      <w:r w:rsidRPr="00D15A26">
        <w:rPr>
          <w:rFonts w:ascii="Times New Roman" w:eastAsia="Times New Roman" w:hAnsi="Times New Roman" w:cs="Times New Roman"/>
          <w:sz w:val="24"/>
          <w:szCs w:val="20"/>
          <w:vertAlign w:val="superscript"/>
          <w:lang w:eastAsia="ro-RO"/>
        </w:rPr>
        <w:t>2</w:t>
      </w:r>
      <w:r w:rsidRPr="00D15A26">
        <w:rPr>
          <w:rFonts w:ascii="Times New Roman" w:eastAsia="Times New Roman" w:hAnsi="Times New Roman" w:cs="Times New Roman"/>
          <w:sz w:val="24"/>
          <w:szCs w:val="20"/>
          <w:lang w:eastAsia="ro-RO"/>
        </w:rPr>
        <w:t xml:space="preserve"> util al apartamentelor</w:t>
      </w:r>
      <w:r w:rsidRPr="00D15A26">
        <w:rPr>
          <w:rFonts w:ascii="Times New Roman" w:eastAsia="Times New Roman" w:hAnsi="Times New Roman" w:cs="Times New Roman"/>
          <w:sz w:val="24"/>
          <w:szCs w:val="24"/>
          <w:lang w:eastAsia="ro-RO"/>
        </w:rPr>
        <w:t xml:space="preserve">). </w:t>
      </w:r>
    </w:p>
    <w:p w:rsidR="00D15A26" w:rsidRPr="00D15A26" w:rsidRDefault="00D15A26" w:rsidP="00D15A26">
      <w:pPr>
        <w:spacing w:after="0" w:line="240" w:lineRule="auto"/>
        <w:contextualSpacing/>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i/>
          <w:sz w:val="24"/>
          <w:szCs w:val="24"/>
          <w:lang w:eastAsia="ro-RO"/>
        </w:rPr>
        <w:tab/>
      </w:r>
      <w:r w:rsidRPr="00D15A26">
        <w:rPr>
          <w:rFonts w:ascii="Times New Roman" w:eastAsia="Times New Roman" w:hAnsi="Times New Roman" w:cs="Times New Roman"/>
          <w:sz w:val="24"/>
          <w:szCs w:val="24"/>
          <w:lang w:eastAsia="ro-RO"/>
        </w:rPr>
        <w:t>În cazul modelului utilizat, valoarea acestui indicator este de 0,265387, ceea ce denotă că o creștere cu 1% a volumului creditelor acordate cu 6 luni în urmă conduce la o creștere cu  0,265% a prețului pe m</w:t>
      </w:r>
      <w:r w:rsidRPr="00D15A26">
        <w:rPr>
          <w:rFonts w:ascii="Times New Roman" w:eastAsia="Times New Roman" w:hAnsi="Times New Roman" w:cs="Times New Roman"/>
          <w:sz w:val="24"/>
          <w:szCs w:val="24"/>
          <w:vertAlign w:val="superscript"/>
          <w:lang w:eastAsia="ro-RO"/>
        </w:rPr>
        <w:t>2</w:t>
      </w:r>
      <w:r w:rsidRPr="00D15A26">
        <w:rPr>
          <w:rFonts w:ascii="Times New Roman" w:eastAsia="Times New Roman" w:hAnsi="Times New Roman" w:cs="Times New Roman"/>
          <w:sz w:val="24"/>
          <w:szCs w:val="24"/>
          <w:lang w:eastAsia="ro-RO"/>
        </w:rPr>
        <w:t xml:space="preserve"> curent al apartamentelor.</w:t>
      </w:r>
    </w:p>
    <w:p w:rsidR="00D15A26" w:rsidRPr="00D15A26" w:rsidRDefault="00D15A26" w:rsidP="00D15A26">
      <w:pPr>
        <w:numPr>
          <w:ilvl w:val="0"/>
          <w:numId w:val="24"/>
        </w:numPr>
        <w:spacing w:after="0" w:line="240" w:lineRule="auto"/>
        <w:contextualSpacing/>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i/>
          <w:sz w:val="24"/>
          <w:szCs w:val="24"/>
          <w:lang w:eastAsia="ro-RO"/>
        </w:rPr>
        <w:t>LOG(Y2-6)</w:t>
      </w:r>
      <w:r w:rsidRPr="00D15A26">
        <w:rPr>
          <w:rFonts w:ascii="Times New Roman" w:eastAsia="Times New Roman" w:hAnsi="Times New Roman" w:cs="Times New Roman"/>
          <w:sz w:val="24"/>
          <w:szCs w:val="24"/>
          <w:lang w:eastAsia="ro-RO"/>
        </w:rPr>
        <w:t xml:space="preserve"> </w:t>
      </w:r>
      <w:r w:rsidRPr="00D15A26">
        <w:rPr>
          <w:rFonts w:ascii="Times New Roman" w:eastAsia="Times New Roman" w:hAnsi="Times New Roman" w:cs="Times New Roman"/>
          <w:b/>
          <w:sz w:val="24"/>
          <w:szCs w:val="24"/>
          <w:lang w:eastAsia="ro-RO"/>
        </w:rPr>
        <w:t>-</w:t>
      </w:r>
      <w:r w:rsidRPr="00D15A26">
        <w:rPr>
          <w:rFonts w:ascii="Times New Roman" w:eastAsia="Times New Roman" w:hAnsi="Times New Roman" w:cs="Times New Roman"/>
          <w:sz w:val="24"/>
          <w:szCs w:val="24"/>
          <w:lang w:eastAsia="ro-RO"/>
        </w:rPr>
        <w:t xml:space="preserve"> indicatorul măsoară proporția cu care o creștere cu 1% al variabilei independente Y2 (</w:t>
      </w:r>
      <w:r w:rsidRPr="00D15A26">
        <w:rPr>
          <w:rFonts w:ascii="Times New Roman" w:eastAsia="Times New Roman" w:hAnsi="Times New Roman" w:cs="Times New Roman"/>
          <w:sz w:val="24"/>
          <w:szCs w:val="20"/>
          <w:lang w:eastAsia="ro-RO"/>
        </w:rPr>
        <w:t>salariu mediu net lunar</w:t>
      </w:r>
      <w:r w:rsidRPr="00D15A26">
        <w:rPr>
          <w:rFonts w:ascii="Times New Roman" w:eastAsia="Times New Roman" w:hAnsi="Times New Roman" w:cs="Times New Roman"/>
          <w:sz w:val="24"/>
          <w:szCs w:val="24"/>
          <w:lang w:eastAsia="ro-RO"/>
        </w:rPr>
        <w:t>) ce a avut loc cu 6 luni în urmă a influențat modificarea variabilei dependente X (</w:t>
      </w:r>
      <w:r w:rsidRPr="00D15A26">
        <w:rPr>
          <w:rFonts w:ascii="Times New Roman" w:eastAsia="Times New Roman" w:hAnsi="Times New Roman" w:cs="Times New Roman"/>
          <w:sz w:val="24"/>
          <w:szCs w:val="20"/>
          <w:lang w:eastAsia="ro-RO"/>
        </w:rPr>
        <w:t>media lunară a prețurilor pentru m</w:t>
      </w:r>
      <w:r w:rsidRPr="00D15A26">
        <w:rPr>
          <w:rFonts w:ascii="Times New Roman" w:eastAsia="Times New Roman" w:hAnsi="Times New Roman" w:cs="Times New Roman"/>
          <w:sz w:val="24"/>
          <w:szCs w:val="20"/>
          <w:vertAlign w:val="superscript"/>
          <w:lang w:eastAsia="ro-RO"/>
        </w:rPr>
        <w:t>2</w:t>
      </w:r>
      <w:r w:rsidRPr="00D15A26">
        <w:rPr>
          <w:rFonts w:ascii="Times New Roman" w:eastAsia="Times New Roman" w:hAnsi="Times New Roman" w:cs="Times New Roman"/>
          <w:sz w:val="24"/>
          <w:szCs w:val="20"/>
          <w:lang w:eastAsia="ro-RO"/>
        </w:rPr>
        <w:t xml:space="preserve"> util al apartamentelor</w:t>
      </w:r>
      <w:r w:rsidRPr="00D15A26">
        <w:rPr>
          <w:rFonts w:ascii="Times New Roman" w:eastAsia="Times New Roman" w:hAnsi="Times New Roman" w:cs="Times New Roman"/>
          <w:sz w:val="24"/>
          <w:szCs w:val="24"/>
          <w:lang w:eastAsia="ro-RO"/>
        </w:rPr>
        <w:t xml:space="preserve">). </w:t>
      </w:r>
      <w:r w:rsidRPr="00D15A26">
        <w:rPr>
          <w:rFonts w:ascii="Times New Roman" w:eastAsia="Times New Roman" w:hAnsi="Times New Roman" w:cs="Times New Roman"/>
          <w:sz w:val="24"/>
          <w:szCs w:val="24"/>
          <w:lang w:eastAsia="ro-RO"/>
        </w:rPr>
        <w:tab/>
        <w:t>În cazul modelului utilizat, valoarea acestui indicator este de 81,23848, ceea ce denotă faptul că o creștere cu 1% a salariului mediu în urmă cu 6 luni va conduce la o creștere cu 81% a prețului pe m</w:t>
      </w:r>
      <w:r w:rsidRPr="00D15A26">
        <w:rPr>
          <w:rFonts w:ascii="Times New Roman" w:eastAsia="Times New Roman" w:hAnsi="Times New Roman" w:cs="Times New Roman"/>
          <w:sz w:val="24"/>
          <w:szCs w:val="24"/>
          <w:vertAlign w:val="superscript"/>
          <w:lang w:eastAsia="ro-RO"/>
        </w:rPr>
        <w:t>2</w:t>
      </w:r>
      <w:r w:rsidRPr="00D15A26">
        <w:rPr>
          <w:rFonts w:ascii="Times New Roman" w:eastAsia="Times New Roman" w:hAnsi="Times New Roman" w:cs="Times New Roman"/>
          <w:sz w:val="24"/>
          <w:szCs w:val="24"/>
          <w:lang w:eastAsia="ro-RO"/>
        </w:rPr>
        <w:t xml:space="preserve"> curent al apartamentelor.</w:t>
      </w:r>
    </w:p>
    <w:p w:rsidR="00D15A26" w:rsidRPr="00D15A26" w:rsidRDefault="00D15A26" w:rsidP="00D15A26">
      <w:pPr>
        <w:numPr>
          <w:ilvl w:val="0"/>
          <w:numId w:val="24"/>
        </w:numPr>
        <w:spacing w:after="0" w:line="240" w:lineRule="auto"/>
        <w:contextualSpacing/>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i/>
          <w:sz w:val="24"/>
          <w:szCs w:val="24"/>
          <w:lang w:eastAsia="ro-RO"/>
        </w:rPr>
        <w:t>LOG(Y2)</w:t>
      </w:r>
      <w:r w:rsidRPr="00D15A26">
        <w:rPr>
          <w:rFonts w:ascii="Times New Roman" w:eastAsia="Times New Roman" w:hAnsi="Times New Roman" w:cs="Times New Roman"/>
          <w:sz w:val="24"/>
          <w:szCs w:val="24"/>
          <w:lang w:eastAsia="ro-RO"/>
        </w:rPr>
        <w:t xml:space="preserve"> – indicatorul măsoară proporția cu care o creștere cu 1% al variabilei independente Y2 (</w:t>
      </w:r>
      <w:r w:rsidRPr="00D15A26">
        <w:rPr>
          <w:rFonts w:ascii="Times New Roman" w:eastAsia="Times New Roman" w:hAnsi="Times New Roman" w:cs="Times New Roman"/>
          <w:sz w:val="24"/>
          <w:szCs w:val="20"/>
          <w:lang w:eastAsia="ro-RO"/>
        </w:rPr>
        <w:t>salariu mediu net lunar</w:t>
      </w:r>
      <w:r w:rsidRPr="00D15A26">
        <w:rPr>
          <w:rFonts w:ascii="Times New Roman" w:eastAsia="Times New Roman" w:hAnsi="Times New Roman" w:cs="Times New Roman"/>
          <w:sz w:val="24"/>
          <w:szCs w:val="24"/>
          <w:lang w:eastAsia="ro-RO"/>
        </w:rPr>
        <w:t>) influențează modificarea curentă a variabilei dependente X (</w:t>
      </w:r>
      <w:r w:rsidRPr="00D15A26">
        <w:rPr>
          <w:rFonts w:ascii="Times New Roman" w:eastAsia="Times New Roman" w:hAnsi="Times New Roman" w:cs="Times New Roman"/>
          <w:sz w:val="24"/>
          <w:szCs w:val="20"/>
          <w:lang w:eastAsia="ro-RO"/>
        </w:rPr>
        <w:t>media lunară a prețurilor pentru m</w:t>
      </w:r>
      <w:r w:rsidRPr="00D15A26">
        <w:rPr>
          <w:rFonts w:ascii="Times New Roman" w:eastAsia="Times New Roman" w:hAnsi="Times New Roman" w:cs="Times New Roman"/>
          <w:sz w:val="24"/>
          <w:szCs w:val="20"/>
          <w:vertAlign w:val="superscript"/>
          <w:lang w:eastAsia="ro-RO"/>
        </w:rPr>
        <w:t>2</w:t>
      </w:r>
      <w:r w:rsidRPr="00D15A26">
        <w:rPr>
          <w:rFonts w:ascii="Times New Roman" w:eastAsia="Times New Roman" w:hAnsi="Times New Roman" w:cs="Times New Roman"/>
          <w:sz w:val="24"/>
          <w:szCs w:val="20"/>
          <w:lang w:eastAsia="ro-RO"/>
        </w:rPr>
        <w:t xml:space="preserve"> util al apartamentelor</w:t>
      </w:r>
      <w:r w:rsidRPr="00D15A26">
        <w:rPr>
          <w:rFonts w:ascii="Times New Roman" w:eastAsia="Times New Roman" w:hAnsi="Times New Roman" w:cs="Times New Roman"/>
          <w:sz w:val="24"/>
          <w:szCs w:val="24"/>
          <w:lang w:eastAsia="ro-RO"/>
        </w:rPr>
        <w:t xml:space="preserve">). </w:t>
      </w:r>
    </w:p>
    <w:p w:rsidR="00D15A26" w:rsidRPr="00D15A26" w:rsidRDefault="00D15A26" w:rsidP="00D15A26">
      <w:pPr>
        <w:spacing w:after="0" w:line="240" w:lineRule="auto"/>
        <w:contextualSpacing/>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i/>
          <w:sz w:val="24"/>
          <w:szCs w:val="24"/>
          <w:lang w:eastAsia="ro-RO"/>
        </w:rPr>
        <w:tab/>
      </w:r>
      <w:r w:rsidRPr="00D15A26">
        <w:rPr>
          <w:rFonts w:ascii="Times New Roman" w:eastAsia="Times New Roman" w:hAnsi="Times New Roman" w:cs="Times New Roman"/>
          <w:sz w:val="24"/>
          <w:szCs w:val="24"/>
          <w:lang w:eastAsia="ro-RO"/>
        </w:rPr>
        <w:t xml:space="preserve">În cazul modelului utilizat, valoarea acestui indicator este de -81,15809. Pe măsura decalării momentului de analiză a </w:t>
      </w:r>
      <w:r w:rsidRPr="00D15A26">
        <w:rPr>
          <w:rFonts w:ascii="Times New Roman" w:eastAsia="Times New Roman" w:hAnsi="Times New Roman" w:cs="Times New Roman"/>
          <w:sz w:val="24"/>
          <w:szCs w:val="20"/>
          <w:lang w:eastAsia="ro-RO"/>
        </w:rPr>
        <w:t>salariului mediu net lunar și a momentulului de analiză a mediei lunare a prețurilor pentru m</w:t>
      </w:r>
      <w:r w:rsidRPr="00D15A26">
        <w:rPr>
          <w:rFonts w:ascii="Times New Roman" w:eastAsia="Times New Roman" w:hAnsi="Times New Roman" w:cs="Times New Roman"/>
          <w:sz w:val="24"/>
          <w:szCs w:val="20"/>
          <w:vertAlign w:val="superscript"/>
          <w:lang w:eastAsia="ro-RO"/>
        </w:rPr>
        <w:t>2</w:t>
      </w:r>
      <w:r w:rsidRPr="00D15A26">
        <w:rPr>
          <w:rFonts w:ascii="Times New Roman" w:eastAsia="Times New Roman" w:hAnsi="Times New Roman" w:cs="Times New Roman"/>
          <w:sz w:val="24"/>
          <w:szCs w:val="20"/>
          <w:lang w:eastAsia="ro-RO"/>
        </w:rPr>
        <w:t xml:space="preserve"> util al apartamentelor, reprezentativitatea statistică a variabilelei Y2 crește pentru variabila X. Adică relația dintre mărimea perioadei de analiză și reprezentativitatea variabilei Y2 este direct proporțională.</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b/>
          <w:sz w:val="24"/>
          <w:szCs w:val="24"/>
          <w:lang w:eastAsia="ro-RO"/>
        </w:rPr>
        <w:t>Indicatorul LOG(Y2) arată următorul fenomen: cu cât mai mult este decalată variabila Y2 de X cu atât reprezentativitatea sa statistică crește</w:t>
      </w:r>
      <w:r w:rsidRPr="00D15A26">
        <w:rPr>
          <w:rFonts w:ascii="Times New Roman" w:eastAsia="Times New Roman" w:hAnsi="Times New Roman" w:cs="Times New Roman"/>
          <w:sz w:val="24"/>
          <w:szCs w:val="24"/>
          <w:lang w:eastAsia="ro-RO"/>
        </w:rPr>
        <w:t xml:space="preserve">. </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Acest lucru se întâmplă, deoarece decizia de a cumpăra o locuință nu este una spontană, ea necesită un volum mare de resurse financiare și timp. Prin urmare, intervalul de timp din momentul luării deciziei de a cumpăra o locuință și până la momentul încheierii tranzacției trebuie luat în considerare la efectuarea analizei, deoarece acesta distorsionează rezultatele. Atunci când are loc economisirea cu scopul procurării unui bun de folosință îndelungată, nivelul prețului anticipat a se plăti pentru acel bun este cel din momentul încheierii tranzacției (adică prețul din viitor) și nu cel din momentul luăriii deciziei (prețul din prezent).</w:t>
      </w:r>
    </w:p>
    <w:p w:rsidR="00D15A26" w:rsidRPr="00D15A26" w:rsidRDefault="00D15A26" w:rsidP="00D15A26">
      <w:pPr>
        <w:spacing w:after="0" w:line="240" w:lineRule="auto"/>
        <w:contextualSpacing/>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ab/>
        <w:t>Salariul primit azi va contribui la formarea prețului de mâine. După cum am precizat anterior, salariul are un efect ultraactiv asupra prețului locuințelor, iar influența sa este resimțită abia după o perioadă de timp.</w:t>
      </w:r>
    </w:p>
    <w:p w:rsidR="00D15A26" w:rsidRPr="00D15A26" w:rsidRDefault="00D15A26" w:rsidP="00D15A26">
      <w:pPr>
        <w:spacing w:after="0" w:line="240" w:lineRule="auto"/>
        <w:jc w:val="both"/>
        <w:rPr>
          <w:rFonts w:ascii="Times New Roman" w:eastAsia="Times New Roman" w:hAnsi="Times New Roman" w:cs="Times New Roman"/>
          <w:bCs/>
          <w:kern w:val="32"/>
          <w:sz w:val="24"/>
          <w:szCs w:val="32"/>
          <w:lang w:eastAsia="ro-RO"/>
        </w:rPr>
      </w:pPr>
      <w:bookmarkStart w:id="78" w:name="_Toc510079212"/>
      <w:r w:rsidRPr="00D15A26">
        <w:rPr>
          <w:rFonts w:ascii="Times New Roman" w:eastAsia="Times New Roman" w:hAnsi="Times New Roman" w:cs="Times New Roman"/>
          <w:bCs/>
          <w:kern w:val="32"/>
          <w:sz w:val="24"/>
          <w:szCs w:val="32"/>
          <w:lang w:eastAsia="ro-RO"/>
        </w:rPr>
        <w:tab/>
        <w:t>Sintetizând rezultatele obținute în urma analizei efectuate, putem concluziona următoarele aspecte:</w:t>
      </w:r>
    </w:p>
    <w:p w:rsidR="00D15A26" w:rsidRPr="00D15A26" w:rsidRDefault="00D15A26" w:rsidP="00D15A26">
      <w:pPr>
        <w:numPr>
          <w:ilvl w:val="0"/>
          <w:numId w:val="35"/>
        </w:numPr>
        <w:tabs>
          <w:tab w:val="left" w:pos="270"/>
        </w:tabs>
        <w:spacing w:after="0" w:line="240" w:lineRule="auto"/>
        <w:contextualSpacing/>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bCs/>
          <w:kern w:val="32"/>
          <w:sz w:val="24"/>
          <w:szCs w:val="32"/>
          <w:lang w:eastAsia="ro-RO"/>
        </w:rPr>
        <w:t xml:space="preserve"> Ipoteza propusă în cadrul acestui studiu de caz, conform căreia </w:t>
      </w:r>
      <w:r w:rsidRPr="00D15A26">
        <w:rPr>
          <w:rFonts w:ascii="Times New Roman" w:eastAsia="Times New Roman" w:hAnsi="Times New Roman" w:cs="Times New Roman"/>
          <w:sz w:val="24"/>
          <w:szCs w:val="20"/>
          <w:lang w:eastAsia="ro-RO"/>
        </w:rPr>
        <w:t>prețul locuințelor este influențat de componenta cererii (componentă a cererii a fost considerată volumul creditului acordat populației pentru procurarea de locuințe) și de către mărimea venitului populației,  s-a dovedit a fi adevărată, utilizând modele de analiză statistice;</w:t>
      </w:r>
    </w:p>
    <w:p w:rsidR="00D15A26" w:rsidRPr="00D15A26" w:rsidRDefault="00D15A26" w:rsidP="00D15A26">
      <w:pPr>
        <w:numPr>
          <w:ilvl w:val="0"/>
          <w:numId w:val="35"/>
        </w:numPr>
        <w:tabs>
          <w:tab w:val="left" w:pos="270"/>
        </w:tabs>
        <w:spacing w:after="0" w:line="240" w:lineRule="auto"/>
        <w:contextualSpacing/>
        <w:jc w:val="both"/>
        <w:rPr>
          <w:rFonts w:ascii="Times New Roman" w:eastAsia="Times New Roman" w:hAnsi="Times New Roman" w:cs="Times New Roman"/>
          <w:sz w:val="24"/>
          <w:szCs w:val="20"/>
          <w:lang w:eastAsia="ro-RO"/>
        </w:rPr>
      </w:pPr>
      <w:bookmarkStart w:id="79" w:name="_Hlk51607380"/>
      <w:r w:rsidRPr="00D15A26">
        <w:rPr>
          <w:rFonts w:ascii="Times New Roman" w:eastAsia="Times New Roman" w:hAnsi="Times New Roman" w:cs="Times New Roman"/>
          <w:sz w:val="24"/>
          <w:szCs w:val="20"/>
          <w:lang w:eastAsia="ro-RO"/>
        </w:rPr>
        <w:lastRenderedPageBreak/>
        <w:t>Prețul locuințelor este influențat de către mărimea venitului populației și, conform rezultatelor obținute, acesta este cel mai puternic factor care stabilește în ce direcție va evolua prețul pe piața imobiliară</w:t>
      </w:r>
      <w:r w:rsidRPr="00D15A26">
        <w:rPr>
          <w:rFonts w:ascii="Times New Roman" w:eastAsia="Times New Roman" w:hAnsi="Times New Roman" w:cs="Times New Roman"/>
          <w:sz w:val="24"/>
          <w:szCs w:val="24"/>
          <w:lang w:eastAsia="ro-RO"/>
        </w:rPr>
        <w:t>;</w:t>
      </w:r>
    </w:p>
    <w:p w:rsidR="00D15A26" w:rsidRPr="00D15A26" w:rsidRDefault="00D15A26" w:rsidP="00D15A26">
      <w:pPr>
        <w:numPr>
          <w:ilvl w:val="0"/>
          <w:numId w:val="35"/>
        </w:numPr>
        <w:tabs>
          <w:tab w:val="left" w:pos="270"/>
        </w:tabs>
        <w:spacing w:after="0" w:line="240" w:lineRule="auto"/>
        <w:contextualSpacing/>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Volumul creditului acordat gospodăriei populației pentru locuințe influențează prețul bunurilor pe piața imobiliară. Deși această influență este una nesemnificativă</w:t>
      </w:r>
      <w:bookmarkEnd w:id="79"/>
      <w:r w:rsidRPr="00D15A26">
        <w:rPr>
          <w:rFonts w:ascii="Times New Roman" w:eastAsia="Times New Roman" w:hAnsi="Times New Roman" w:cs="Times New Roman"/>
          <w:sz w:val="24"/>
          <w:szCs w:val="20"/>
          <w:lang w:eastAsia="ro-RO"/>
        </w:rPr>
        <w:t xml:space="preserve">, în valoare de </w:t>
      </w:r>
      <w:r w:rsidRPr="00D15A26">
        <w:rPr>
          <w:rFonts w:ascii="Times New Roman" w:eastAsia="Times New Roman" w:hAnsi="Times New Roman" w:cs="Times New Roman"/>
          <w:sz w:val="24"/>
          <w:szCs w:val="24"/>
          <w:lang w:eastAsia="ro-RO"/>
        </w:rPr>
        <w:t xml:space="preserve">0,265%, conform indicatorului </w:t>
      </w:r>
      <w:r w:rsidRPr="00D15A26">
        <w:rPr>
          <w:rFonts w:ascii="Times New Roman" w:eastAsia="Times New Roman" w:hAnsi="Times New Roman" w:cs="Times New Roman"/>
          <w:i/>
          <w:sz w:val="24"/>
          <w:szCs w:val="24"/>
          <w:lang w:eastAsia="ro-RO"/>
        </w:rPr>
        <w:t>LOG(Y1-6)</w:t>
      </w:r>
      <w:r w:rsidRPr="00D15A26">
        <w:rPr>
          <w:rFonts w:ascii="Times New Roman" w:eastAsia="Times New Roman" w:hAnsi="Times New Roman" w:cs="Times New Roman"/>
          <w:sz w:val="24"/>
          <w:szCs w:val="24"/>
          <w:lang w:eastAsia="ro-RO"/>
        </w:rPr>
        <w:t>, acest fapt poate să se schimbe în viitor.</w:t>
      </w:r>
    </w:p>
    <w:p w:rsidR="00D15A26" w:rsidRPr="00D15A26" w:rsidRDefault="00D15A26" w:rsidP="00D15A26">
      <w:pPr>
        <w:tabs>
          <w:tab w:val="left" w:pos="270"/>
        </w:tabs>
        <w:spacing w:after="0" w:line="240" w:lineRule="auto"/>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ab/>
      </w:r>
      <w:r w:rsidRPr="00D15A26">
        <w:rPr>
          <w:rFonts w:ascii="Times New Roman" w:eastAsia="Times New Roman" w:hAnsi="Times New Roman" w:cs="Times New Roman"/>
          <w:sz w:val="24"/>
          <w:szCs w:val="20"/>
          <w:lang w:eastAsia="ro-RO"/>
        </w:rPr>
        <w:tab/>
        <w:t>Este important de menționat faptul că, într</w:t>
      </w:r>
      <w:r w:rsidRPr="00D15A26">
        <w:rPr>
          <w:rFonts w:ascii="Times New Roman" w:eastAsia="Times New Roman" w:hAnsi="Times New Roman" w:cs="Times New Roman"/>
          <w:bCs/>
          <w:sz w:val="24"/>
          <w:szCs w:val="20"/>
          <w:lang w:eastAsia="ro-RO"/>
        </w:rPr>
        <w:t>-</w:t>
      </w:r>
      <w:r w:rsidRPr="00D15A26">
        <w:rPr>
          <w:rFonts w:ascii="Times New Roman" w:eastAsia="Times New Roman" w:hAnsi="Times New Roman" w:cs="Times New Roman"/>
          <w:sz w:val="24"/>
          <w:szCs w:val="20"/>
          <w:lang w:eastAsia="ro-RO"/>
        </w:rPr>
        <w:t>o economie de piață, toate sectoarele economice sunt influențate reciproc unul de către celălalt și este imposibil de delimitat o parte a mecanismului de alta. Totul funcționează ca un organism integrat și ceea ce se petrece într-un sector, va produce efecte peste tot, diferența o face doar amploarea manifestării consecințelor.</w:t>
      </w:r>
      <w:bookmarkStart w:id="80" w:name="_Toc41330445"/>
    </w:p>
    <w:p w:rsidR="00D15A26" w:rsidRPr="00D15A26" w:rsidRDefault="00D15A26" w:rsidP="00D15A26">
      <w:pPr>
        <w:tabs>
          <w:tab w:val="left" w:pos="270"/>
        </w:tabs>
        <w:spacing w:before="120" w:after="120" w:line="240" w:lineRule="auto"/>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b/>
          <w:bCs/>
          <w:kern w:val="32"/>
          <w:sz w:val="24"/>
          <w:szCs w:val="24"/>
          <w:lang w:eastAsia="ro-RO"/>
        </w:rPr>
        <w:t>C</w:t>
      </w:r>
      <w:bookmarkEnd w:id="78"/>
      <w:bookmarkEnd w:id="80"/>
      <w:r w:rsidRPr="00D15A26">
        <w:rPr>
          <w:rFonts w:ascii="Times New Roman" w:eastAsia="Times New Roman" w:hAnsi="Times New Roman" w:cs="Times New Roman"/>
          <w:b/>
          <w:bCs/>
          <w:kern w:val="32"/>
          <w:sz w:val="24"/>
          <w:szCs w:val="24"/>
          <w:lang w:eastAsia="ro-RO"/>
        </w:rPr>
        <w:t>onclusions</w:t>
      </w:r>
    </w:p>
    <w:p w:rsidR="00D15A26" w:rsidRPr="00D15A26" w:rsidRDefault="00D15A26" w:rsidP="00D15A26">
      <w:pPr>
        <w:spacing w:after="0" w:line="240" w:lineRule="auto"/>
        <w:ind w:firstLine="432"/>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Lucrarea a avut ca scop să demonstreze și cuantifice influența pe care o au venitul populației și volumul creditelor acordate gospodăriilor populaţiei pentru locuinţe, asupra prețului locuințelor pe piața imobiliară românească.</w:t>
      </w:r>
    </w:p>
    <w:p w:rsidR="00D15A26" w:rsidRPr="00D15A26" w:rsidRDefault="00D15A26" w:rsidP="00D15A26">
      <w:pPr>
        <w:spacing w:after="0" w:line="240" w:lineRule="auto"/>
        <w:ind w:firstLine="432"/>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Această cercetare teoretică ne</w:t>
      </w:r>
      <w:r w:rsidRPr="00D15A26">
        <w:rPr>
          <w:rFonts w:ascii="Times New Roman" w:eastAsia="Times New Roman" w:hAnsi="Times New Roman" w:cs="Times New Roman"/>
          <w:b/>
          <w:sz w:val="24"/>
          <w:szCs w:val="24"/>
          <w:lang w:eastAsia="ro-RO"/>
        </w:rPr>
        <w:t>-</w:t>
      </w:r>
      <w:r w:rsidRPr="00D15A26">
        <w:rPr>
          <w:rFonts w:ascii="Times New Roman" w:eastAsia="Times New Roman" w:hAnsi="Times New Roman" w:cs="Times New Roman"/>
          <w:sz w:val="24"/>
          <w:szCs w:val="24"/>
          <w:lang w:eastAsia="ro-RO"/>
        </w:rPr>
        <w:t>a permis să înțelegem comportamentul pieței imobiliare, precum și tendințele de creditare a populației de către sectorul bancar, luând ca model de referință perioada 2014 –2019.</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Așadar, în cazul pieței creditului ipotecar, a fost conturată o evoluție crescătoare a volumului creditului în perioada anilor 2014-2019, iar unul dintre factorii majori ce au influențat această tendință a fost programul guvernamental „</w:t>
      </w:r>
      <w:r w:rsidRPr="00D15A26">
        <w:rPr>
          <w:rFonts w:ascii="Times New Roman" w:eastAsia="Times New Roman" w:hAnsi="Times New Roman" w:cs="Times New Roman"/>
          <w:i/>
          <w:sz w:val="24"/>
          <w:szCs w:val="24"/>
          <w:lang w:eastAsia="ro-RO"/>
        </w:rPr>
        <w:t>Prima Casă</w:t>
      </w:r>
      <w:r w:rsidRPr="00D15A26">
        <w:rPr>
          <w:rFonts w:ascii="Times New Roman" w:eastAsia="Times New Roman" w:hAnsi="Times New Roman" w:cs="Times New Roman"/>
          <w:sz w:val="24"/>
          <w:szCs w:val="24"/>
          <w:lang w:eastAsia="ro-RO"/>
        </w:rPr>
        <w:t xml:space="preserve">”. </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Piața imobiliară, în perioada 2014-2019, a evoluat și ea în creștere. Conform datelor INS, creșterea anuală a fondului de locuințe în perioada 2014-2019 a fost, în medie, de 57.000 locuințe/an. Prin urmare, creșterea ofertei de locuințe a stimulat creșterea creditării populației, fenomen ce a cauzat creșterea prețurilor.</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Conținutul studiului prezintă cei doi factori selectați ca variabile independente ce influențează prețul pe piața imobiliară, unde ne-am convins încă o dată de existența unei interdependențe între aceste elemente în cadrul procesului de formare a prețului.</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Ultima și cea mai importantă etapă în elaborarea acestei lucrări, a fost efectuarea unui model care să indice, din punct de vedere statistic, valoarea influenței variabilelor independente asupra celei dependente.Modelul a generat 4 indicatori relevanți.</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Rezumând rezultatele obținute, s-a ajuns la concluzia că modelul construit are o reprezentativitate mare (96%), ceea ce denotă o interdependență puternică existentă între variabilele independente (</w:t>
      </w:r>
      <w:r w:rsidRPr="00D15A26">
        <w:rPr>
          <w:rFonts w:ascii="Times New Roman" w:eastAsia="Times New Roman" w:hAnsi="Times New Roman" w:cs="Times New Roman"/>
          <w:sz w:val="24"/>
          <w:szCs w:val="20"/>
          <w:lang w:eastAsia="ro-RO"/>
        </w:rPr>
        <w:t>volumul creditului acordat populației pentru procurarea de locuințe și salariu lunar mediu net</w:t>
      </w:r>
      <w:r w:rsidRPr="00D15A26">
        <w:rPr>
          <w:rFonts w:ascii="Times New Roman" w:eastAsia="Times New Roman" w:hAnsi="Times New Roman" w:cs="Times New Roman"/>
          <w:sz w:val="24"/>
          <w:szCs w:val="24"/>
          <w:lang w:eastAsia="ro-RO"/>
        </w:rPr>
        <w:t>) și cea dependentă (</w:t>
      </w:r>
      <w:r w:rsidRPr="00D15A26">
        <w:rPr>
          <w:rFonts w:ascii="Times New Roman" w:eastAsia="Times New Roman" w:hAnsi="Times New Roman" w:cs="Times New Roman"/>
          <w:sz w:val="24"/>
          <w:szCs w:val="20"/>
          <w:lang w:eastAsia="ro-RO"/>
        </w:rPr>
        <w:t>media lunară a prețurilor pentru m</w:t>
      </w:r>
      <w:r w:rsidRPr="00D15A26">
        <w:rPr>
          <w:rFonts w:ascii="Times New Roman" w:eastAsia="Times New Roman" w:hAnsi="Times New Roman" w:cs="Times New Roman"/>
          <w:sz w:val="24"/>
          <w:szCs w:val="20"/>
          <w:vertAlign w:val="superscript"/>
          <w:lang w:eastAsia="ro-RO"/>
        </w:rPr>
        <w:t>2</w:t>
      </w:r>
      <w:r w:rsidRPr="00D15A26">
        <w:rPr>
          <w:rFonts w:ascii="Times New Roman" w:eastAsia="Times New Roman" w:hAnsi="Times New Roman" w:cs="Times New Roman"/>
          <w:sz w:val="24"/>
          <w:szCs w:val="20"/>
          <w:lang w:eastAsia="ro-RO"/>
        </w:rPr>
        <w:t xml:space="preserve"> util al apartamentelor</w:t>
      </w:r>
      <w:r w:rsidRPr="00D15A26">
        <w:rPr>
          <w:rFonts w:ascii="Times New Roman" w:eastAsia="Times New Roman" w:hAnsi="Times New Roman" w:cs="Times New Roman"/>
          <w:sz w:val="24"/>
          <w:szCs w:val="24"/>
          <w:lang w:eastAsia="ro-RO"/>
        </w:rPr>
        <w:t>).</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 xml:space="preserve">Modelul construit a permis identificarea valorii exacte cu care fiecare variabilă în parte influențează prețul.Pentru prima variabilă, </w:t>
      </w:r>
      <w:r w:rsidRPr="00D15A26">
        <w:rPr>
          <w:rFonts w:ascii="Times New Roman" w:eastAsia="Times New Roman" w:hAnsi="Times New Roman" w:cs="Times New Roman"/>
          <w:sz w:val="24"/>
          <w:szCs w:val="20"/>
          <w:lang w:eastAsia="ro-RO"/>
        </w:rPr>
        <w:t>credite acordate gospodăriilor populaţiei pentru locuinţe (Y1), valoarea cu care aceasta influențează media lunară a prețurilor pentru m</w:t>
      </w:r>
      <w:r w:rsidRPr="00D15A26">
        <w:rPr>
          <w:rFonts w:ascii="Times New Roman" w:eastAsia="Times New Roman" w:hAnsi="Times New Roman" w:cs="Times New Roman"/>
          <w:sz w:val="24"/>
          <w:szCs w:val="20"/>
          <w:vertAlign w:val="superscript"/>
          <w:lang w:eastAsia="ro-RO"/>
        </w:rPr>
        <w:t>2</w:t>
      </w:r>
      <w:r w:rsidRPr="00D15A26">
        <w:rPr>
          <w:rFonts w:ascii="Times New Roman" w:eastAsia="Times New Roman" w:hAnsi="Times New Roman" w:cs="Times New Roman"/>
          <w:sz w:val="24"/>
          <w:szCs w:val="20"/>
          <w:lang w:eastAsia="ro-RO"/>
        </w:rPr>
        <w:t xml:space="preserve"> util al apartamentelor (X) peste 6 luni este de </w:t>
      </w:r>
      <w:r w:rsidRPr="00D15A26">
        <w:rPr>
          <w:rFonts w:ascii="Times New Roman" w:eastAsia="Times New Roman" w:hAnsi="Times New Roman" w:cs="Times New Roman"/>
          <w:sz w:val="24"/>
          <w:szCs w:val="24"/>
          <w:lang w:eastAsia="ro-RO"/>
        </w:rPr>
        <w:t>0,265%.</w:t>
      </w:r>
      <w:r w:rsidRPr="00D15A26">
        <w:rPr>
          <w:rFonts w:ascii="Times New Roman" w:eastAsia="Times New Roman" w:hAnsi="Times New Roman" w:cs="Times New Roman"/>
          <w:sz w:val="24"/>
          <w:szCs w:val="20"/>
          <w:lang w:eastAsia="ro-RO"/>
        </w:rPr>
        <w:t>Pentru a doua variabilă, salariul mediu net lunar (Y2), valoarea cu care aceasta influențează media lunară a prețurilor pentru m</w:t>
      </w:r>
      <w:r w:rsidRPr="00D15A26">
        <w:rPr>
          <w:rFonts w:ascii="Times New Roman" w:eastAsia="Times New Roman" w:hAnsi="Times New Roman" w:cs="Times New Roman"/>
          <w:sz w:val="24"/>
          <w:szCs w:val="20"/>
          <w:vertAlign w:val="superscript"/>
          <w:lang w:eastAsia="ro-RO"/>
        </w:rPr>
        <w:t>2</w:t>
      </w:r>
      <w:r w:rsidRPr="00D15A26">
        <w:rPr>
          <w:rFonts w:ascii="Times New Roman" w:eastAsia="Times New Roman" w:hAnsi="Times New Roman" w:cs="Times New Roman"/>
          <w:sz w:val="24"/>
          <w:szCs w:val="20"/>
          <w:lang w:eastAsia="ro-RO"/>
        </w:rPr>
        <w:t xml:space="preserve"> util al apartamentelor (X) peste 6 luni este de 81%.</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Rezultatele obținute relevă rolul important a venitului populației asupra altor factori în procesul de formare a prețului pe piața imobiliară.</w:t>
      </w:r>
    </w:p>
    <w:p w:rsidR="00D15A26" w:rsidRPr="00D15A26" w:rsidRDefault="00D15A26" w:rsidP="00D15A26">
      <w:pPr>
        <w:spacing w:after="0" w:line="240" w:lineRule="auto"/>
        <w:ind w:firstLine="426"/>
        <w:jc w:val="both"/>
        <w:rPr>
          <w:rFonts w:ascii="Times New Roman" w:eastAsia="Times New Roman" w:hAnsi="Times New Roman" w:cs="Times New Roman"/>
          <w:sz w:val="24"/>
          <w:szCs w:val="20"/>
          <w:lang w:eastAsia="ro-RO"/>
        </w:rPr>
      </w:pPr>
      <w:r w:rsidRPr="00D15A26">
        <w:rPr>
          <w:rFonts w:ascii="Times New Roman" w:eastAsia="Times New Roman" w:hAnsi="Times New Roman" w:cs="Times New Roman"/>
          <w:sz w:val="24"/>
          <w:szCs w:val="20"/>
          <w:lang w:eastAsia="ro-RO"/>
        </w:rPr>
        <w:t xml:space="preserve">Acest fapt este cauzat de specificul acestei piețe, având ca obiect de tranzacționare bunuri de folosință îndelungată, comercializarea cărora este un proces lung și necesită resurse financiare mari. </w:t>
      </w:r>
    </w:p>
    <w:p w:rsidR="00D15A26" w:rsidRPr="00D15A26" w:rsidRDefault="00D15A26" w:rsidP="00D15A26">
      <w:pPr>
        <w:spacing w:before="120" w:after="120" w:line="240" w:lineRule="auto"/>
        <w:jc w:val="both"/>
        <w:rPr>
          <w:rFonts w:ascii="Times New Roman" w:eastAsia="Times New Roman" w:hAnsi="Times New Roman" w:cs="Times New Roman"/>
          <w:b/>
          <w:bCs/>
          <w:kern w:val="32"/>
          <w:sz w:val="24"/>
          <w:szCs w:val="24"/>
          <w:lang w:eastAsia="ro-RO"/>
        </w:rPr>
      </w:pPr>
      <w:bookmarkStart w:id="81" w:name="_Toc510079213"/>
      <w:bookmarkStart w:id="82" w:name="_Toc41330446"/>
      <w:r w:rsidRPr="00D15A26">
        <w:rPr>
          <w:rFonts w:ascii="Times New Roman" w:eastAsia="Times New Roman" w:hAnsi="Times New Roman" w:cs="Times New Roman"/>
          <w:b/>
          <w:bCs/>
          <w:kern w:val="32"/>
          <w:sz w:val="24"/>
          <w:szCs w:val="24"/>
          <w:lang w:eastAsia="ro-RO"/>
        </w:rPr>
        <w:t>Endnotes</w:t>
      </w:r>
    </w:p>
    <w:p w:rsidR="00D15A26" w:rsidRPr="00D15A26" w:rsidRDefault="00D15A26" w:rsidP="00D15A26">
      <w:pPr>
        <w:tabs>
          <w:tab w:val="left" w:pos="90"/>
        </w:tabs>
        <w:spacing w:after="0" w:line="240" w:lineRule="auto"/>
        <w:jc w:val="both"/>
        <w:rPr>
          <w:rFonts w:ascii="Times New Roman" w:eastAsia="Times New Roman" w:hAnsi="Times New Roman" w:cs="Times New Roman"/>
          <w:i/>
          <w:iCs/>
          <w:sz w:val="20"/>
          <w:szCs w:val="20"/>
          <w:lang w:eastAsia="ro-RO"/>
        </w:rPr>
      </w:pPr>
      <w:bookmarkStart w:id="83" w:name="_Hlk51781014"/>
      <w:r w:rsidRPr="00D15A26">
        <w:rPr>
          <w:rFonts w:ascii="Times New Roman" w:eastAsia="Times New Roman" w:hAnsi="Times New Roman" w:cs="Times New Roman"/>
          <w:i/>
          <w:iCs/>
          <w:kern w:val="32"/>
          <w:sz w:val="20"/>
          <w:szCs w:val="20"/>
          <w:lang w:eastAsia="ro-RO"/>
        </w:rPr>
        <w:t>[1]</w:t>
      </w:r>
      <w:hyperlink r:id="rId27" w:history="1">
        <w:r w:rsidRPr="00D15A26">
          <w:rPr>
            <w:rFonts w:ascii="Times New Roman" w:eastAsia="Times New Roman" w:hAnsi="Times New Roman" w:cs="Times New Roman"/>
            <w:i/>
            <w:iCs/>
            <w:sz w:val="20"/>
            <w:szCs w:val="20"/>
            <w:lang w:eastAsia="ro-RO"/>
          </w:rPr>
          <w:t>http://www.consiliulconcurentei.ro/uploads/docs/items/bucket2/id2969/raport_piata_imobiliare_si_serv_conexe. pdf</w:t>
        </w:r>
      </w:hyperlink>
      <w:r w:rsidRPr="00D15A26">
        <w:rPr>
          <w:rFonts w:ascii="Times New Roman" w:eastAsia="Times New Roman" w:hAnsi="Times New Roman" w:cs="Times New Roman"/>
          <w:i/>
          <w:iCs/>
          <w:sz w:val="20"/>
          <w:szCs w:val="20"/>
          <w:lang w:eastAsia="ro-RO"/>
        </w:rPr>
        <w:t>, accesat la 25.04.2020</w:t>
      </w:r>
    </w:p>
    <w:p w:rsidR="00D15A26" w:rsidRPr="00D15A26" w:rsidRDefault="00D15A26" w:rsidP="00D15A26">
      <w:pPr>
        <w:spacing w:after="0" w:line="240" w:lineRule="auto"/>
        <w:rPr>
          <w:rFonts w:ascii="Times New Roman" w:eastAsia="Times New Roman" w:hAnsi="Times New Roman" w:cs="Times New Roman"/>
          <w:i/>
          <w:iCs/>
          <w:sz w:val="20"/>
          <w:szCs w:val="20"/>
          <w:lang w:eastAsia="ro-RO"/>
        </w:rPr>
      </w:pPr>
      <w:r w:rsidRPr="00D15A26">
        <w:rPr>
          <w:rFonts w:ascii="Times New Roman" w:eastAsia="Times New Roman" w:hAnsi="Times New Roman" w:cs="Times New Roman"/>
          <w:i/>
          <w:iCs/>
          <w:kern w:val="32"/>
          <w:sz w:val="20"/>
          <w:szCs w:val="20"/>
          <w:lang w:eastAsia="ro-RO"/>
        </w:rPr>
        <w:t xml:space="preserve">[2]BNR, </w:t>
      </w:r>
      <w:r w:rsidRPr="00D15A26">
        <w:rPr>
          <w:rFonts w:ascii="Times New Roman" w:eastAsia="Times New Roman" w:hAnsi="Times New Roman" w:cs="Times New Roman"/>
          <w:i/>
          <w:iCs/>
          <w:sz w:val="20"/>
          <w:szCs w:val="20"/>
          <w:lang w:eastAsia="ro-RO"/>
        </w:rPr>
        <w:t>Raport de Stabilitate Financiară 2018, partea 2, pag 53</w:t>
      </w:r>
    </w:p>
    <w:p w:rsidR="00D15A26" w:rsidRPr="00D15A26" w:rsidRDefault="00D15A26" w:rsidP="00D15A26">
      <w:pPr>
        <w:spacing w:after="0" w:line="240" w:lineRule="auto"/>
        <w:rPr>
          <w:rFonts w:ascii="Times New Roman" w:eastAsia="Times New Roman" w:hAnsi="Times New Roman" w:cs="Times New Roman"/>
          <w:i/>
          <w:iCs/>
          <w:sz w:val="20"/>
          <w:szCs w:val="20"/>
          <w:lang w:eastAsia="ro-RO"/>
        </w:rPr>
      </w:pPr>
      <w:r w:rsidRPr="00D15A26">
        <w:rPr>
          <w:rFonts w:ascii="Times New Roman" w:eastAsia="Times New Roman" w:hAnsi="Times New Roman" w:cs="Times New Roman"/>
          <w:i/>
          <w:iCs/>
          <w:kern w:val="32"/>
          <w:sz w:val="20"/>
          <w:szCs w:val="20"/>
          <w:lang w:eastAsia="ro-RO"/>
        </w:rPr>
        <w:t xml:space="preserve">[3]BNR, </w:t>
      </w:r>
      <w:r w:rsidRPr="00D15A26">
        <w:rPr>
          <w:rFonts w:ascii="Times New Roman" w:eastAsia="Times New Roman" w:hAnsi="Times New Roman" w:cs="Times New Roman"/>
          <w:i/>
          <w:iCs/>
          <w:sz w:val="20"/>
          <w:szCs w:val="20"/>
          <w:lang w:eastAsia="ro-RO"/>
        </w:rPr>
        <w:t>Regulament nr. 17/2012, art. 3, lit. A</w:t>
      </w:r>
    </w:p>
    <w:p w:rsidR="00D15A26" w:rsidRPr="00D15A26" w:rsidRDefault="00D15A26" w:rsidP="00D15A26">
      <w:pPr>
        <w:spacing w:after="0" w:line="240" w:lineRule="auto"/>
        <w:rPr>
          <w:rFonts w:ascii="Times New Roman" w:eastAsia="Times New Roman" w:hAnsi="Times New Roman" w:cs="Times New Roman"/>
          <w:i/>
          <w:iCs/>
          <w:sz w:val="20"/>
          <w:szCs w:val="20"/>
          <w:lang w:eastAsia="ro-RO"/>
        </w:rPr>
      </w:pPr>
      <w:r w:rsidRPr="00D15A26">
        <w:rPr>
          <w:rFonts w:ascii="Times New Roman" w:eastAsia="Times New Roman" w:hAnsi="Times New Roman" w:cs="Times New Roman"/>
          <w:i/>
          <w:iCs/>
          <w:kern w:val="32"/>
          <w:sz w:val="20"/>
          <w:szCs w:val="20"/>
          <w:lang w:eastAsia="ro-RO"/>
        </w:rPr>
        <w:t>[4]</w:t>
      </w:r>
      <w:r w:rsidRPr="00D15A26">
        <w:rPr>
          <w:rFonts w:ascii="Times New Roman" w:eastAsia="Times New Roman" w:hAnsi="Times New Roman" w:cs="Times New Roman"/>
          <w:i/>
          <w:iCs/>
          <w:sz w:val="20"/>
          <w:szCs w:val="20"/>
          <w:lang w:eastAsia="ro-RO"/>
        </w:rPr>
        <w:t xml:space="preserve"> Troacă V., Creditare. Conformare. Control, Ed. Tribuna Economică, București, 2009</w:t>
      </w:r>
    </w:p>
    <w:p w:rsidR="00D15A26" w:rsidRPr="00D15A26" w:rsidRDefault="00D15A26" w:rsidP="00D15A26">
      <w:pPr>
        <w:spacing w:after="0" w:line="240" w:lineRule="auto"/>
        <w:rPr>
          <w:rFonts w:ascii="Times New Roman" w:eastAsia="Times New Roman" w:hAnsi="Times New Roman" w:cs="Times New Roman"/>
          <w:i/>
          <w:iCs/>
          <w:sz w:val="20"/>
          <w:szCs w:val="20"/>
          <w:lang w:eastAsia="ro-RO"/>
        </w:rPr>
      </w:pPr>
      <w:r w:rsidRPr="00D15A26">
        <w:rPr>
          <w:rFonts w:ascii="Times New Roman" w:eastAsia="Times New Roman" w:hAnsi="Times New Roman" w:cs="Times New Roman"/>
          <w:i/>
          <w:iCs/>
          <w:kern w:val="32"/>
          <w:sz w:val="20"/>
          <w:szCs w:val="20"/>
          <w:lang w:eastAsia="ro-RO"/>
        </w:rPr>
        <w:t>[5]</w:t>
      </w:r>
      <w:r w:rsidRPr="00D15A26">
        <w:rPr>
          <w:rFonts w:ascii="Times New Roman" w:eastAsia="Times New Roman" w:hAnsi="Times New Roman" w:cs="Times New Roman"/>
          <w:i/>
          <w:iCs/>
          <w:sz w:val="20"/>
          <w:szCs w:val="20"/>
          <w:lang w:eastAsia="ro-RO"/>
        </w:rPr>
        <w:t xml:space="preserve"> Legea nr. 190/1999 privind creditul ipotecar pentru investiții imobiliare, art. 2, lit. C</w:t>
      </w:r>
    </w:p>
    <w:p w:rsidR="00D15A26" w:rsidRPr="00D15A26" w:rsidRDefault="00D15A26" w:rsidP="00D15A26">
      <w:pPr>
        <w:spacing w:after="0" w:line="240" w:lineRule="auto"/>
        <w:rPr>
          <w:rFonts w:ascii="Times New Roman" w:eastAsia="Times New Roman" w:hAnsi="Times New Roman" w:cs="Times New Roman"/>
          <w:i/>
          <w:iCs/>
          <w:kern w:val="32"/>
          <w:sz w:val="20"/>
          <w:szCs w:val="20"/>
          <w:lang w:eastAsia="ro-RO"/>
        </w:rPr>
      </w:pPr>
      <w:r w:rsidRPr="00D15A26">
        <w:rPr>
          <w:rFonts w:ascii="Times New Roman" w:eastAsia="Times New Roman" w:hAnsi="Times New Roman" w:cs="Times New Roman"/>
          <w:i/>
          <w:iCs/>
          <w:kern w:val="32"/>
          <w:sz w:val="20"/>
          <w:szCs w:val="20"/>
          <w:lang w:eastAsia="ro-RO"/>
        </w:rPr>
        <w:t>[6]</w:t>
      </w:r>
      <w:r w:rsidRPr="00D15A26">
        <w:rPr>
          <w:rFonts w:ascii="Times New Roman" w:eastAsia="Times New Roman" w:hAnsi="Times New Roman" w:cs="Times New Roman"/>
          <w:i/>
          <w:iCs/>
          <w:sz w:val="20"/>
          <w:szCs w:val="20"/>
          <w:lang w:eastAsia="ro-RO"/>
        </w:rPr>
        <w:t xml:space="preserve"> BNR, Raportul de Stabilitate Financiară 2019, partea 2, pag. 53</w:t>
      </w:r>
    </w:p>
    <w:p w:rsidR="00D15A26" w:rsidRPr="00D15A26" w:rsidRDefault="00D15A26" w:rsidP="00D15A26">
      <w:pPr>
        <w:spacing w:after="0" w:line="240" w:lineRule="auto"/>
        <w:jc w:val="both"/>
        <w:rPr>
          <w:rFonts w:ascii="Times New Roman" w:eastAsia="Times New Roman" w:hAnsi="Times New Roman" w:cs="Times New Roman"/>
          <w:i/>
          <w:iCs/>
          <w:sz w:val="20"/>
          <w:szCs w:val="20"/>
          <w:lang w:eastAsia="ro-RO"/>
        </w:rPr>
      </w:pPr>
      <w:r w:rsidRPr="00D15A26">
        <w:rPr>
          <w:rFonts w:ascii="Times New Roman" w:eastAsia="Times New Roman" w:hAnsi="Times New Roman" w:cs="Times New Roman"/>
          <w:i/>
          <w:iCs/>
          <w:kern w:val="32"/>
          <w:sz w:val="20"/>
          <w:szCs w:val="20"/>
          <w:lang w:eastAsia="ro-RO"/>
        </w:rPr>
        <w:lastRenderedPageBreak/>
        <w:t>[7]</w:t>
      </w:r>
      <w:r w:rsidRPr="00D15A26">
        <w:rPr>
          <w:rFonts w:ascii="Times New Roman" w:eastAsia="Times New Roman" w:hAnsi="Times New Roman" w:cs="Times New Roman"/>
          <w:i/>
          <w:iCs/>
          <w:sz w:val="20"/>
          <w:szCs w:val="20"/>
          <w:lang w:eastAsia="ro-RO"/>
        </w:rPr>
        <w:t xml:space="preserve"> BNR, Raport anual 2018, pag. 83</w:t>
      </w:r>
    </w:p>
    <w:p w:rsidR="00D15A26" w:rsidRPr="00D15A26" w:rsidRDefault="00D15A26" w:rsidP="00D15A26">
      <w:pPr>
        <w:spacing w:after="0" w:line="240" w:lineRule="auto"/>
        <w:rPr>
          <w:rFonts w:ascii="Times New Roman" w:eastAsia="Times New Roman" w:hAnsi="Times New Roman" w:cs="Times New Roman"/>
          <w:i/>
          <w:iCs/>
          <w:kern w:val="32"/>
          <w:sz w:val="20"/>
          <w:szCs w:val="20"/>
          <w:lang w:eastAsia="ro-RO"/>
        </w:rPr>
      </w:pPr>
      <w:r w:rsidRPr="00D15A26">
        <w:rPr>
          <w:rFonts w:ascii="Times New Roman" w:eastAsia="Times New Roman" w:hAnsi="Times New Roman" w:cs="Times New Roman"/>
          <w:i/>
          <w:iCs/>
          <w:kern w:val="32"/>
          <w:sz w:val="20"/>
          <w:szCs w:val="20"/>
          <w:lang w:eastAsia="ro-RO"/>
        </w:rPr>
        <w:t>[8]BNR,</w:t>
      </w:r>
      <w:r w:rsidRPr="00D15A26">
        <w:rPr>
          <w:rFonts w:ascii="Times New Roman" w:eastAsia="Times New Roman" w:hAnsi="Times New Roman" w:cs="Times New Roman"/>
          <w:i/>
          <w:iCs/>
          <w:sz w:val="20"/>
          <w:szCs w:val="20"/>
          <w:lang w:eastAsia="ro-RO"/>
        </w:rPr>
        <w:t xml:space="preserve"> Raport anual 2014, pag. 54</w:t>
      </w:r>
    </w:p>
    <w:p w:rsidR="00D15A26" w:rsidRPr="00D15A26" w:rsidRDefault="00D15A26" w:rsidP="00D15A26">
      <w:pPr>
        <w:spacing w:after="0" w:line="240" w:lineRule="auto"/>
        <w:jc w:val="both"/>
        <w:rPr>
          <w:rFonts w:ascii="Times New Roman" w:eastAsia="Times New Roman" w:hAnsi="Times New Roman" w:cs="Times New Roman"/>
          <w:i/>
          <w:iCs/>
          <w:sz w:val="20"/>
          <w:szCs w:val="20"/>
          <w:lang w:eastAsia="ro-RO"/>
        </w:rPr>
      </w:pPr>
      <w:r w:rsidRPr="00D15A26">
        <w:rPr>
          <w:rFonts w:ascii="Times New Roman" w:eastAsia="Times New Roman" w:hAnsi="Times New Roman" w:cs="Times New Roman"/>
          <w:i/>
          <w:iCs/>
          <w:kern w:val="32"/>
          <w:sz w:val="20"/>
          <w:szCs w:val="20"/>
          <w:lang w:eastAsia="ro-RO"/>
        </w:rPr>
        <w:t>[9]</w:t>
      </w:r>
      <w:r w:rsidRPr="00D15A26">
        <w:rPr>
          <w:rFonts w:ascii="Times New Roman" w:eastAsia="Times New Roman" w:hAnsi="Times New Roman" w:cs="Times New Roman"/>
          <w:i/>
          <w:iCs/>
          <w:sz w:val="20"/>
          <w:szCs w:val="20"/>
          <w:lang w:eastAsia="ro-RO"/>
        </w:rPr>
        <w:t xml:space="preserve"> </w:t>
      </w:r>
      <w:hyperlink r:id="rId28" w:history="1">
        <w:r w:rsidRPr="00D15A26">
          <w:rPr>
            <w:rFonts w:ascii="Times New Roman" w:eastAsia="Times New Roman" w:hAnsi="Times New Roman" w:cs="Times New Roman"/>
            <w:i/>
            <w:iCs/>
            <w:sz w:val="20"/>
            <w:szCs w:val="20"/>
            <w:lang w:eastAsia="ro-RO"/>
          </w:rPr>
          <w:t>https://www.bnr.ro/Baza-de-date-interactiva-604.aspx</w:t>
        </w:r>
      </w:hyperlink>
    </w:p>
    <w:p w:rsidR="00D15A26" w:rsidRPr="00D15A26" w:rsidRDefault="00D15A26" w:rsidP="00D15A26">
      <w:pPr>
        <w:spacing w:after="0" w:line="240" w:lineRule="auto"/>
        <w:jc w:val="both"/>
        <w:rPr>
          <w:rFonts w:ascii="Times New Roman" w:eastAsia="Times New Roman" w:hAnsi="Times New Roman" w:cs="Times New Roman"/>
          <w:i/>
          <w:iCs/>
          <w:sz w:val="20"/>
          <w:szCs w:val="20"/>
          <w:lang w:eastAsia="ro-RO"/>
        </w:rPr>
      </w:pPr>
      <w:r w:rsidRPr="00D15A26">
        <w:rPr>
          <w:rFonts w:ascii="Times New Roman" w:eastAsia="Times New Roman" w:hAnsi="Times New Roman" w:cs="Times New Roman"/>
          <w:i/>
          <w:iCs/>
          <w:sz w:val="20"/>
          <w:szCs w:val="20"/>
          <w:lang w:val="en-US" w:eastAsia="ro-RO"/>
        </w:rPr>
        <w:t>[10]</w:t>
      </w:r>
      <w:hyperlink r:id="rId29" w:anchor="/pages/tables/insse-table" w:history="1">
        <w:r w:rsidRPr="00D15A26">
          <w:rPr>
            <w:rFonts w:ascii="Times New Roman" w:eastAsia="Times New Roman" w:hAnsi="Times New Roman" w:cs="Times New Roman"/>
            <w:i/>
            <w:iCs/>
            <w:sz w:val="20"/>
            <w:szCs w:val="20"/>
            <w:lang w:eastAsia="ro-RO"/>
          </w:rPr>
          <w:t>http://statistici.insse.ro:8077/tempo-online/#/pages/tables/insse-table</w:t>
        </w:r>
      </w:hyperlink>
    </w:p>
    <w:p w:rsidR="00D15A26" w:rsidRPr="00D15A26" w:rsidRDefault="00D15A26" w:rsidP="00D15A26">
      <w:pPr>
        <w:spacing w:after="0" w:line="240" w:lineRule="auto"/>
        <w:rPr>
          <w:rFonts w:ascii="Times New Roman" w:eastAsia="Times New Roman" w:hAnsi="Times New Roman" w:cs="Times New Roman"/>
          <w:i/>
          <w:iCs/>
          <w:kern w:val="32"/>
          <w:sz w:val="20"/>
          <w:szCs w:val="20"/>
          <w:lang w:eastAsia="ro-RO"/>
        </w:rPr>
      </w:pPr>
      <w:r w:rsidRPr="00D15A26">
        <w:rPr>
          <w:rFonts w:ascii="Times New Roman" w:eastAsia="Times New Roman" w:hAnsi="Times New Roman" w:cs="Times New Roman"/>
          <w:i/>
          <w:iCs/>
          <w:kern w:val="32"/>
          <w:sz w:val="20"/>
          <w:szCs w:val="20"/>
          <w:lang w:eastAsia="ro-RO"/>
        </w:rPr>
        <w:t>[11]</w:t>
      </w:r>
      <w:hyperlink r:id="rId30" w:history="1">
        <w:r w:rsidRPr="00D15A26">
          <w:rPr>
            <w:rFonts w:ascii="Times New Roman" w:eastAsia="Times New Roman" w:hAnsi="Times New Roman" w:cs="Times New Roman"/>
            <w:i/>
            <w:iCs/>
            <w:sz w:val="20"/>
            <w:szCs w:val="20"/>
            <w:lang w:eastAsia="ro-RO"/>
          </w:rPr>
          <w:t>https://www.imobiliare.ro/</w:t>
        </w:r>
      </w:hyperlink>
      <w:bookmarkEnd w:id="83"/>
    </w:p>
    <w:p w:rsidR="00D15A26" w:rsidRPr="00D15A26" w:rsidRDefault="00D15A26" w:rsidP="00D15A26">
      <w:pPr>
        <w:spacing w:before="120" w:after="120" w:line="240" w:lineRule="auto"/>
        <w:jc w:val="both"/>
        <w:rPr>
          <w:rFonts w:ascii="Times New Roman" w:eastAsia="Times New Roman" w:hAnsi="Times New Roman" w:cs="Times New Roman"/>
          <w:b/>
          <w:bCs/>
          <w:kern w:val="32"/>
          <w:sz w:val="24"/>
          <w:szCs w:val="24"/>
          <w:lang w:eastAsia="ro-RO"/>
        </w:rPr>
      </w:pPr>
      <w:bookmarkStart w:id="84" w:name="_Hlk51781060"/>
      <w:r w:rsidRPr="00D15A26">
        <w:rPr>
          <w:rFonts w:ascii="Times New Roman" w:eastAsia="Times New Roman" w:hAnsi="Times New Roman" w:cs="Times New Roman"/>
          <w:b/>
          <w:bCs/>
          <w:kern w:val="32"/>
          <w:sz w:val="24"/>
          <w:szCs w:val="24"/>
          <w:lang w:eastAsia="ro-RO"/>
        </w:rPr>
        <w:t>B</w:t>
      </w:r>
      <w:bookmarkEnd w:id="81"/>
      <w:bookmarkEnd w:id="82"/>
      <w:r w:rsidRPr="00D15A26">
        <w:rPr>
          <w:rFonts w:ascii="Times New Roman" w:eastAsia="Times New Roman" w:hAnsi="Times New Roman" w:cs="Times New Roman"/>
          <w:b/>
          <w:bCs/>
          <w:kern w:val="32"/>
          <w:sz w:val="24"/>
          <w:szCs w:val="24"/>
          <w:lang w:eastAsia="ro-RO"/>
        </w:rPr>
        <w:t>ibliografie</w:t>
      </w:r>
    </w:p>
    <w:p w:rsidR="00D15A26" w:rsidRPr="00D15A26" w:rsidRDefault="00D15A26" w:rsidP="00D15A26">
      <w:pPr>
        <w:numPr>
          <w:ilvl w:val="0"/>
          <w:numId w:val="21"/>
        </w:numPr>
        <w:tabs>
          <w:tab w:val="left" w:pos="270"/>
        </w:tabs>
        <w:spacing w:after="0" w:line="240" w:lineRule="auto"/>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 xml:space="preserve">Boitan I.A., </w:t>
      </w:r>
      <w:r w:rsidRPr="00D15A26">
        <w:rPr>
          <w:rFonts w:ascii="Times New Roman" w:eastAsia="Times New Roman" w:hAnsi="Times New Roman" w:cs="Times New Roman"/>
          <w:i/>
          <w:sz w:val="24"/>
          <w:szCs w:val="24"/>
          <w:lang w:eastAsia="ro-RO"/>
        </w:rPr>
        <w:t>Crize bancare și sisteme de avertizare timpurie</w:t>
      </w:r>
      <w:r w:rsidRPr="00D15A26">
        <w:rPr>
          <w:rFonts w:ascii="Times New Roman" w:eastAsia="Times New Roman" w:hAnsi="Times New Roman" w:cs="Times New Roman"/>
          <w:sz w:val="24"/>
          <w:szCs w:val="24"/>
          <w:lang w:eastAsia="ro-RO"/>
        </w:rPr>
        <w:t>, Ed. ASE, București, 2011</w:t>
      </w:r>
    </w:p>
    <w:p w:rsidR="00D15A26" w:rsidRPr="00D15A26" w:rsidRDefault="00D15A26" w:rsidP="00D15A26">
      <w:pPr>
        <w:numPr>
          <w:ilvl w:val="0"/>
          <w:numId w:val="21"/>
        </w:numPr>
        <w:tabs>
          <w:tab w:val="left" w:pos="270"/>
        </w:tabs>
        <w:spacing w:after="0" w:line="240" w:lineRule="auto"/>
        <w:ind w:left="270" w:hanging="270"/>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 xml:space="preserve">Cocriș V. și colab, </w:t>
      </w:r>
      <w:r w:rsidRPr="00D15A26">
        <w:rPr>
          <w:rFonts w:ascii="Times New Roman" w:eastAsia="Times New Roman" w:hAnsi="Times New Roman" w:cs="Times New Roman"/>
          <w:i/>
          <w:sz w:val="24"/>
          <w:szCs w:val="24"/>
          <w:lang w:eastAsia="ro-RO"/>
        </w:rPr>
        <w:t>Monedă.Credit.Bănci.Caiet de aplicații</w:t>
      </w:r>
      <w:r w:rsidRPr="00D15A26">
        <w:rPr>
          <w:rFonts w:ascii="Times New Roman" w:eastAsia="Times New Roman" w:hAnsi="Times New Roman" w:cs="Times New Roman"/>
          <w:sz w:val="24"/>
          <w:szCs w:val="24"/>
          <w:lang w:eastAsia="ro-RO"/>
        </w:rPr>
        <w:t>, ediția a 6, Ed. Universității „Alexandru Ioan Cuza”, Iași, 2016</w:t>
      </w:r>
    </w:p>
    <w:p w:rsidR="00D15A26" w:rsidRPr="00D15A26" w:rsidRDefault="00D15A26" w:rsidP="00D15A26">
      <w:pPr>
        <w:numPr>
          <w:ilvl w:val="0"/>
          <w:numId w:val="21"/>
        </w:numPr>
        <w:tabs>
          <w:tab w:val="left" w:pos="270"/>
        </w:tabs>
        <w:spacing w:after="0" w:line="240" w:lineRule="auto"/>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 xml:space="preserve">Dănilă N., </w:t>
      </w:r>
      <w:r w:rsidRPr="00D15A26">
        <w:rPr>
          <w:rFonts w:ascii="Times New Roman" w:eastAsia="Times New Roman" w:hAnsi="Times New Roman" w:cs="Times New Roman"/>
          <w:i/>
          <w:sz w:val="24"/>
          <w:szCs w:val="24"/>
          <w:lang w:eastAsia="ro-RO"/>
        </w:rPr>
        <w:t>Retail banking</w:t>
      </w:r>
      <w:r w:rsidRPr="00D15A26">
        <w:rPr>
          <w:rFonts w:ascii="Times New Roman" w:eastAsia="Times New Roman" w:hAnsi="Times New Roman" w:cs="Times New Roman"/>
          <w:sz w:val="24"/>
          <w:szCs w:val="24"/>
          <w:lang w:eastAsia="ro-RO"/>
        </w:rPr>
        <w:t>, Ed.Expert, București, 2004</w:t>
      </w:r>
    </w:p>
    <w:p w:rsidR="00D15A26" w:rsidRPr="00D15A26" w:rsidRDefault="00D15A26" w:rsidP="00D15A26">
      <w:pPr>
        <w:numPr>
          <w:ilvl w:val="0"/>
          <w:numId w:val="21"/>
        </w:numPr>
        <w:tabs>
          <w:tab w:val="left" w:pos="270"/>
        </w:tabs>
        <w:spacing w:after="0" w:line="240" w:lineRule="auto"/>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Gheorghe C.A.,</w:t>
      </w:r>
      <w:r w:rsidRPr="00D15A26">
        <w:rPr>
          <w:rFonts w:ascii="Times New Roman" w:eastAsia="Times New Roman" w:hAnsi="Times New Roman" w:cs="Times New Roman"/>
          <w:i/>
          <w:sz w:val="24"/>
          <w:szCs w:val="24"/>
          <w:lang w:eastAsia="ro-RO"/>
        </w:rPr>
        <w:t xml:space="preserve"> Drept bancar</w:t>
      </w:r>
      <w:r w:rsidRPr="00D15A26">
        <w:rPr>
          <w:rFonts w:ascii="Times New Roman" w:eastAsia="Times New Roman" w:hAnsi="Times New Roman" w:cs="Times New Roman"/>
          <w:sz w:val="24"/>
          <w:szCs w:val="24"/>
          <w:lang w:eastAsia="ro-RO"/>
        </w:rPr>
        <w:t>, ediția a 3 a, Ed. C.H.Beck, București, 2014</w:t>
      </w:r>
    </w:p>
    <w:p w:rsidR="00D15A26" w:rsidRPr="00D15A26" w:rsidRDefault="00D15A26" w:rsidP="00D15A26">
      <w:pPr>
        <w:numPr>
          <w:ilvl w:val="0"/>
          <w:numId w:val="21"/>
        </w:numPr>
        <w:tabs>
          <w:tab w:val="left" w:pos="270"/>
        </w:tabs>
        <w:spacing w:after="0" w:line="240" w:lineRule="auto"/>
        <w:ind w:left="270" w:hanging="270"/>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 xml:space="preserve">Lupulescu G., </w:t>
      </w:r>
      <w:r w:rsidRPr="00D15A26">
        <w:rPr>
          <w:rFonts w:ascii="Times New Roman" w:eastAsia="Times New Roman" w:hAnsi="Times New Roman" w:cs="Times New Roman"/>
          <w:i/>
          <w:sz w:val="24"/>
          <w:szCs w:val="24"/>
          <w:lang w:eastAsia="ro-RO"/>
        </w:rPr>
        <w:t>Gestiunea internă a profitabilității băncilor comerciale</w:t>
      </w:r>
      <w:r w:rsidRPr="00D15A26">
        <w:rPr>
          <w:rFonts w:ascii="Times New Roman" w:eastAsia="Times New Roman" w:hAnsi="Times New Roman" w:cs="Times New Roman"/>
          <w:sz w:val="24"/>
          <w:szCs w:val="24"/>
          <w:lang w:eastAsia="ro-RO"/>
        </w:rPr>
        <w:t>, Ed. Economică, București, 2011</w:t>
      </w:r>
    </w:p>
    <w:p w:rsidR="00D15A26" w:rsidRPr="00D15A26" w:rsidRDefault="00D15A26" w:rsidP="00D15A26">
      <w:pPr>
        <w:numPr>
          <w:ilvl w:val="0"/>
          <w:numId w:val="21"/>
        </w:numPr>
        <w:tabs>
          <w:tab w:val="left" w:pos="270"/>
        </w:tabs>
        <w:spacing w:after="0" w:line="240" w:lineRule="auto"/>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 xml:space="preserve">Manolescu G., </w:t>
      </w:r>
      <w:r w:rsidRPr="00D15A26">
        <w:rPr>
          <w:rFonts w:ascii="Times New Roman" w:eastAsia="Times New Roman" w:hAnsi="Times New Roman" w:cs="Times New Roman"/>
          <w:i/>
          <w:sz w:val="24"/>
          <w:szCs w:val="24"/>
          <w:lang w:eastAsia="ro-RO"/>
        </w:rPr>
        <w:t>Bănci și Credit</w:t>
      </w:r>
      <w:r w:rsidRPr="00D15A26">
        <w:rPr>
          <w:rFonts w:ascii="Times New Roman" w:eastAsia="Times New Roman" w:hAnsi="Times New Roman" w:cs="Times New Roman"/>
          <w:sz w:val="24"/>
          <w:szCs w:val="24"/>
          <w:lang w:eastAsia="ro-RO"/>
        </w:rPr>
        <w:t>, Ed. Fundației România de Mâine, București, 2006</w:t>
      </w:r>
    </w:p>
    <w:p w:rsidR="00D15A26" w:rsidRPr="00D15A26" w:rsidRDefault="00D15A26" w:rsidP="00D15A26">
      <w:pPr>
        <w:numPr>
          <w:ilvl w:val="0"/>
          <w:numId w:val="21"/>
        </w:numPr>
        <w:tabs>
          <w:tab w:val="left" w:pos="270"/>
        </w:tabs>
        <w:spacing w:after="0" w:line="240" w:lineRule="auto"/>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 xml:space="preserve">Moroșan G., </w:t>
      </w:r>
      <w:r w:rsidRPr="00D15A26">
        <w:rPr>
          <w:rFonts w:ascii="Times New Roman" w:eastAsia="Times New Roman" w:hAnsi="Times New Roman" w:cs="Times New Roman"/>
          <w:i/>
          <w:sz w:val="24"/>
          <w:szCs w:val="24"/>
          <w:lang w:eastAsia="ro-RO"/>
        </w:rPr>
        <w:t>Produse și servicii bancare</w:t>
      </w:r>
      <w:r w:rsidRPr="00D15A26">
        <w:rPr>
          <w:rFonts w:ascii="Times New Roman" w:eastAsia="Times New Roman" w:hAnsi="Times New Roman" w:cs="Times New Roman"/>
          <w:sz w:val="24"/>
          <w:szCs w:val="24"/>
          <w:lang w:eastAsia="ro-RO"/>
        </w:rPr>
        <w:t>, Ediția a 2</w:t>
      </w:r>
      <w:r w:rsidRPr="00D15A26">
        <w:rPr>
          <w:rFonts w:ascii="Times New Roman" w:eastAsia="Times New Roman" w:hAnsi="Times New Roman" w:cs="Times New Roman"/>
          <w:b/>
          <w:sz w:val="24"/>
          <w:szCs w:val="24"/>
          <w:lang w:eastAsia="ro-RO"/>
        </w:rPr>
        <w:t>-</w:t>
      </w:r>
      <w:r w:rsidRPr="00D15A26">
        <w:rPr>
          <w:rFonts w:ascii="Times New Roman" w:eastAsia="Times New Roman" w:hAnsi="Times New Roman" w:cs="Times New Roman"/>
          <w:sz w:val="24"/>
          <w:szCs w:val="24"/>
          <w:lang w:eastAsia="ro-RO"/>
        </w:rPr>
        <w:t>a, Ed. Pim, Iași, 2018</w:t>
      </w:r>
    </w:p>
    <w:p w:rsidR="00D15A26" w:rsidRPr="00D15A26" w:rsidRDefault="00D15A26" w:rsidP="00D15A26">
      <w:pPr>
        <w:numPr>
          <w:ilvl w:val="0"/>
          <w:numId w:val="21"/>
        </w:numPr>
        <w:tabs>
          <w:tab w:val="left" w:pos="270"/>
        </w:tabs>
        <w:spacing w:after="0" w:line="240" w:lineRule="auto"/>
        <w:ind w:left="270" w:hanging="270"/>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Moroșan G.,</w:t>
      </w:r>
      <w:r w:rsidRPr="00D15A26">
        <w:rPr>
          <w:rFonts w:ascii="Times New Roman" w:eastAsia="Times New Roman" w:hAnsi="Times New Roman" w:cs="Times New Roman"/>
          <w:i/>
          <w:sz w:val="24"/>
          <w:szCs w:val="24"/>
          <w:lang w:eastAsia="ro-RO"/>
        </w:rPr>
        <w:t xml:space="preserve"> Produse şi servicii bancare: sinteze şi aplicaţii practice</w:t>
      </w:r>
      <w:r w:rsidRPr="00D15A26">
        <w:rPr>
          <w:rFonts w:ascii="Times New Roman" w:eastAsia="Times New Roman" w:hAnsi="Times New Roman" w:cs="Times New Roman"/>
          <w:sz w:val="24"/>
          <w:szCs w:val="24"/>
          <w:lang w:eastAsia="ro-RO"/>
        </w:rPr>
        <w:t>, Ed. Didactică şi Pedagogică, București, 2015</w:t>
      </w:r>
    </w:p>
    <w:p w:rsidR="00D15A26" w:rsidRPr="00D15A26" w:rsidRDefault="00D15A26" w:rsidP="00D15A26">
      <w:pPr>
        <w:numPr>
          <w:ilvl w:val="0"/>
          <w:numId w:val="21"/>
        </w:numPr>
        <w:tabs>
          <w:tab w:val="left" w:pos="270"/>
        </w:tabs>
        <w:spacing w:after="0" w:line="240" w:lineRule="auto"/>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 xml:space="preserve">Trenca I., </w:t>
      </w:r>
      <w:r w:rsidRPr="00D15A26">
        <w:rPr>
          <w:rFonts w:ascii="Times New Roman" w:eastAsia="Times New Roman" w:hAnsi="Times New Roman" w:cs="Times New Roman"/>
          <w:i/>
          <w:sz w:val="24"/>
          <w:szCs w:val="24"/>
          <w:lang w:eastAsia="ro-RO"/>
        </w:rPr>
        <w:t>Metode și tehnici bancare</w:t>
      </w:r>
      <w:r w:rsidRPr="00D15A26">
        <w:rPr>
          <w:rFonts w:ascii="Times New Roman" w:eastAsia="Times New Roman" w:hAnsi="Times New Roman" w:cs="Times New Roman"/>
          <w:sz w:val="24"/>
          <w:szCs w:val="24"/>
          <w:lang w:eastAsia="ro-RO"/>
        </w:rPr>
        <w:t>, Ed. Casa Cărții de Știință, Cluj</w:t>
      </w:r>
      <w:r w:rsidRPr="00D15A26">
        <w:rPr>
          <w:rFonts w:ascii="Times New Roman" w:eastAsia="Times New Roman" w:hAnsi="Times New Roman" w:cs="Times New Roman"/>
          <w:b/>
          <w:sz w:val="24"/>
          <w:szCs w:val="24"/>
          <w:lang w:eastAsia="ro-RO"/>
        </w:rPr>
        <w:t>-</w:t>
      </w:r>
      <w:r w:rsidRPr="00D15A26">
        <w:rPr>
          <w:rFonts w:ascii="Times New Roman" w:eastAsia="Times New Roman" w:hAnsi="Times New Roman" w:cs="Times New Roman"/>
          <w:sz w:val="24"/>
          <w:szCs w:val="24"/>
          <w:lang w:eastAsia="ro-RO"/>
        </w:rPr>
        <w:t>Napoca, 2008</w:t>
      </w:r>
    </w:p>
    <w:p w:rsidR="00D15A26" w:rsidRPr="00D15A26" w:rsidRDefault="00D15A26" w:rsidP="00D15A26">
      <w:pPr>
        <w:numPr>
          <w:ilvl w:val="0"/>
          <w:numId w:val="21"/>
        </w:numPr>
        <w:tabs>
          <w:tab w:val="left" w:pos="270"/>
          <w:tab w:val="left" w:pos="360"/>
        </w:tabs>
        <w:spacing w:after="0" w:line="240" w:lineRule="auto"/>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 xml:space="preserve">Troacă V., </w:t>
      </w:r>
      <w:r w:rsidRPr="00D15A26">
        <w:rPr>
          <w:rFonts w:ascii="Times New Roman" w:eastAsia="Times New Roman" w:hAnsi="Times New Roman" w:cs="Times New Roman"/>
          <w:i/>
          <w:sz w:val="24"/>
          <w:szCs w:val="24"/>
          <w:lang w:eastAsia="ro-RO"/>
        </w:rPr>
        <w:t>Creditare. Conformare. Control</w:t>
      </w:r>
      <w:r w:rsidRPr="00D15A26">
        <w:rPr>
          <w:rFonts w:ascii="Times New Roman" w:eastAsia="Times New Roman" w:hAnsi="Times New Roman" w:cs="Times New Roman"/>
          <w:sz w:val="24"/>
          <w:szCs w:val="24"/>
          <w:lang w:eastAsia="ro-RO"/>
        </w:rPr>
        <w:t>, Ed. Tribuna Economică, București, 2009</w:t>
      </w:r>
    </w:p>
    <w:p w:rsidR="00D15A26" w:rsidRPr="00D15A26" w:rsidRDefault="00D15A26" w:rsidP="00D15A26">
      <w:pPr>
        <w:numPr>
          <w:ilvl w:val="0"/>
          <w:numId w:val="21"/>
        </w:numPr>
        <w:tabs>
          <w:tab w:val="left" w:pos="360"/>
          <w:tab w:val="left" w:pos="540"/>
          <w:tab w:val="left" w:pos="720"/>
        </w:tabs>
        <w:spacing w:after="0" w:line="240" w:lineRule="auto"/>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Legea nr. 190/1999 privind creditul ipotecar pentru investiții imobiliare</w:t>
      </w:r>
    </w:p>
    <w:p w:rsidR="00D15A26" w:rsidRPr="00D15A26" w:rsidRDefault="00D15A26" w:rsidP="00D15A26">
      <w:pPr>
        <w:numPr>
          <w:ilvl w:val="0"/>
          <w:numId w:val="21"/>
        </w:numPr>
        <w:tabs>
          <w:tab w:val="left" w:pos="360"/>
          <w:tab w:val="left" w:pos="540"/>
          <w:tab w:val="left" w:pos="720"/>
        </w:tabs>
        <w:spacing w:after="0" w:line="240" w:lineRule="auto"/>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Legea nr. 227/2015 privind Codul Fiscal</w:t>
      </w:r>
    </w:p>
    <w:p w:rsidR="00D15A26" w:rsidRPr="00D15A26" w:rsidRDefault="00D15A26" w:rsidP="00D15A26">
      <w:pPr>
        <w:numPr>
          <w:ilvl w:val="0"/>
          <w:numId w:val="21"/>
        </w:numPr>
        <w:tabs>
          <w:tab w:val="left" w:pos="360"/>
        </w:tabs>
        <w:spacing w:after="0" w:line="240" w:lineRule="auto"/>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Legea nr. 304/2015 privind emisiunile de obligațiuni ipotecare</w:t>
      </w:r>
    </w:p>
    <w:p w:rsidR="00D15A26" w:rsidRPr="00D15A26" w:rsidRDefault="00D15A26" w:rsidP="00D15A26">
      <w:pPr>
        <w:numPr>
          <w:ilvl w:val="0"/>
          <w:numId w:val="21"/>
        </w:numPr>
        <w:tabs>
          <w:tab w:val="left" w:pos="360"/>
        </w:tabs>
        <w:spacing w:after="0" w:line="240" w:lineRule="auto"/>
        <w:ind w:left="360"/>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bCs/>
          <w:sz w:val="24"/>
          <w:szCs w:val="24"/>
          <w:lang w:val="en-US" w:eastAsia="ro-RO"/>
        </w:rPr>
        <w:t>Legea nr. 77/2016 privind darea în plată a unor bunuri imobile în vederea stingerii obligațiilor asumate prin credite</w:t>
      </w:r>
    </w:p>
    <w:p w:rsidR="00D15A26" w:rsidRPr="00D15A26" w:rsidRDefault="00D15A26" w:rsidP="00D15A26">
      <w:pPr>
        <w:numPr>
          <w:ilvl w:val="0"/>
          <w:numId w:val="21"/>
        </w:numPr>
        <w:tabs>
          <w:tab w:val="left" w:pos="360"/>
        </w:tabs>
        <w:spacing w:after="0" w:line="240" w:lineRule="auto"/>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OUG nr. 99/2006 privind instituțiile de credit și adecvarea capitalului</w:t>
      </w:r>
    </w:p>
    <w:p w:rsidR="00D15A26" w:rsidRPr="00D15A26" w:rsidRDefault="00D15A26" w:rsidP="00D15A26">
      <w:pPr>
        <w:numPr>
          <w:ilvl w:val="0"/>
          <w:numId w:val="21"/>
        </w:numPr>
        <w:tabs>
          <w:tab w:val="left" w:pos="360"/>
        </w:tabs>
        <w:spacing w:after="0" w:line="240" w:lineRule="auto"/>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OUG nr. 50/2010 privind contractele de credit pentru consumatori</w:t>
      </w:r>
    </w:p>
    <w:p w:rsidR="00D15A26" w:rsidRPr="00D15A26" w:rsidRDefault="00D15A26" w:rsidP="00D15A26">
      <w:pPr>
        <w:numPr>
          <w:ilvl w:val="0"/>
          <w:numId w:val="21"/>
        </w:numPr>
        <w:tabs>
          <w:tab w:val="left" w:pos="360"/>
        </w:tabs>
        <w:spacing w:after="0" w:line="240" w:lineRule="auto"/>
        <w:ind w:hanging="540"/>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OUG nr. 60/2009 privind unele măsuri în vederea implementării programului „</w:t>
      </w:r>
      <w:r w:rsidRPr="00D15A26">
        <w:rPr>
          <w:rFonts w:ascii="Times New Roman" w:eastAsia="Times New Roman" w:hAnsi="Times New Roman" w:cs="Times New Roman"/>
          <w:i/>
          <w:sz w:val="24"/>
          <w:szCs w:val="24"/>
          <w:lang w:eastAsia="ro-RO"/>
        </w:rPr>
        <w:t>Prima casă</w:t>
      </w:r>
      <w:r w:rsidRPr="00D15A26">
        <w:rPr>
          <w:rFonts w:ascii="Times New Roman" w:eastAsia="Times New Roman" w:hAnsi="Times New Roman" w:cs="Times New Roman"/>
          <w:sz w:val="24"/>
          <w:szCs w:val="24"/>
          <w:lang w:eastAsia="ro-RO"/>
        </w:rPr>
        <w:t>”</w:t>
      </w:r>
    </w:p>
    <w:p w:rsidR="00D15A26" w:rsidRPr="00D15A26" w:rsidRDefault="00D15A26" w:rsidP="00D15A26">
      <w:pPr>
        <w:numPr>
          <w:ilvl w:val="0"/>
          <w:numId w:val="21"/>
        </w:numPr>
        <w:tabs>
          <w:tab w:val="left" w:pos="360"/>
        </w:tabs>
        <w:spacing w:after="0" w:line="240" w:lineRule="auto"/>
        <w:ind w:left="630" w:hanging="630"/>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HG nr. 717/2009 privind aprobarea normelor de implementare a programului „</w:t>
      </w:r>
      <w:r w:rsidRPr="00D15A26">
        <w:rPr>
          <w:rFonts w:ascii="Times New Roman" w:eastAsia="Times New Roman" w:hAnsi="Times New Roman" w:cs="Times New Roman"/>
          <w:i/>
          <w:sz w:val="24"/>
          <w:szCs w:val="24"/>
          <w:lang w:eastAsia="ro-RO"/>
        </w:rPr>
        <w:t>Prima Casă</w:t>
      </w:r>
      <w:r w:rsidRPr="00D15A26">
        <w:rPr>
          <w:rFonts w:ascii="Times New Roman" w:eastAsia="Times New Roman" w:hAnsi="Times New Roman" w:cs="Times New Roman"/>
          <w:sz w:val="24"/>
          <w:szCs w:val="24"/>
          <w:lang w:eastAsia="ro-RO"/>
        </w:rPr>
        <w:t>”</w:t>
      </w:r>
    </w:p>
    <w:p w:rsidR="00D15A26" w:rsidRPr="00D15A26" w:rsidRDefault="00D15A26" w:rsidP="00D15A26">
      <w:pPr>
        <w:numPr>
          <w:ilvl w:val="0"/>
          <w:numId w:val="21"/>
        </w:numPr>
        <w:tabs>
          <w:tab w:val="left" w:pos="360"/>
        </w:tabs>
        <w:spacing w:after="0" w:line="240" w:lineRule="auto"/>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bCs/>
          <w:iCs/>
          <w:sz w:val="24"/>
          <w:szCs w:val="24"/>
          <w:lang w:eastAsia="ro-RO"/>
        </w:rPr>
        <w:t>BNR, Regulament nr. 24/2011</w:t>
      </w:r>
      <w:r w:rsidRPr="00D15A26">
        <w:rPr>
          <w:rFonts w:ascii="Times New Roman" w:eastAsia="Times New Roman" w:hAnsi="Times New Roman" w:cs="Times New Roman"/>
          <w:sz w:val="24"/>
          <w:szCs w:val="24"/>
          <w:lang w:eastAsia="ro-RO"/>
        </w:rPr>
        <w:t xml:space="preserve"> </w:t>
      </w:r>
      <w:r w:rsidRPr="00D15A26">
        <w:rPr>
          <w:rFonts w:ascii="Times New Roman" w:eastAsia="Times New Roman" w:hAnsi="Times New Roman" w:cs="Times New Roman"/>
          <w:bCs/>
          <w:iCs/>
          <w:sz w:val="24"/>
          <w:szCs w:val="24"/>
          <w:lang w:eastAsia="ro-RO"/>
        </w:rPr>
        <w:t>privind creditele destinate persoanelor fizice</w:t>
      </w:r>
    </w:p>
    <w:p w:rsidR="00D15A26" w:rsidRPr="00D15A26" w:rsidRDefault="00D15A26" w:rsidP="00D15A26">
      <w:pPr>
        <w:numPr>
          <w:ilvl w:val="0"/>
          <w:numId w:val="21"/>
        </w:numPr>
        <w:tabs>
          <w:tab w:val="left" w:pos="360"/>
        </w:tabs>
        <w:spacing w:after="0" w:line="240" w:lineRule="auto"/>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BNR, Regulament nr. 17/2012 privind unele condiţii de creditare</w:t>
      </w:r>
    </w:p>
    <w:p w:rsidR="00D15A26" w:rsidRPr="00D15A26" w:rsidRDefault="00D15A26" w:rsidP="00D15A26">
      <w:pPr>
        <w:numPr>
          <w:ilvl w:val="0"/>
          <w:numId w:val="21"/>
        </w:numPr>
        <w:tabs>
          <w:tab w:val="left" w:pos="360"/>
        </w:tabs>
        <w:spacing w:after="0" w:line="240" w:lineRule="auto"/>
        <w:jc w:val="both"/>
        <w:rPr>
          <w:rFonts w:ascii="Times New Roman" w:eastAsia="Times New Roman" w:hAnsi="Times New Roman" w:cs="Times New Roman"/>
          <w:sz w:val="24"/>
          <w:szCs w:val="24"/>
          <w:lang w:eastAsia="ro-RO"/>
        </w:rPr>
      </w:pPr>
      <w:r w:rsidRPr="00D15A26">
        <w:rPr>
          <w:rFonts w:ascii="Times New Roman" w:eastAsia="Times New Roman" w:hAnsi="Times New Roman" w:cs="Times New Roman"/>
          <w:sz w:val="24"/>
          <w:szCs w:val="24"/>
          <w:lang w:eastAsia="ro-RO"/>
        </w:rPr>
        <w:t>BNR, Regulament nr. 1/2016 privind activitatea de emisiune de obligaţiuni ipotecare</w:t>
      </w:r>
    </w:p>
    <w:p w:rsidR="00D15A26" w:rsidRPr="00D15A26" w:rsidRDefault="00D15A26" w:rsidP="00D15A26">
      <w:pPr>
        <w:numPr>
          <w:ilvl w:val="0"/>
          <w:numId w:val="21"/>
        </w:numPr>
        <w:tabs>
          <w:tab w:val="left" w:pos="360"/>
        </w:tabs>
        <w:spacing w:after="0" w:line="240" w:lineRule="auto"/>
        <w:contextualSpacing/>
        <w:jc w:val="both"/>
        <w:rPr>
          <w:rFonts w:ascii="Times New Roman" w:eastAsia="Times New Roman" w:hAnsi="Times New Roman" w:cs="Times New Roman"/>
          <w:noProof/>
          <w:sz w:val="24"/>
          <w:szCs w:val="24"/>
          <w:lang w:eastAsia="ro-RO"/>
        </w:rPr>
      </w:pPr>
      <w:r w:rsidRPr="00D15A26">
        <w:rPr>
          <w:rFonts w:ascii="Times New Roman" w:eastAsia="Times New Roman" w:hAnsi="Times New Roman" w:cs="Times New Roman"/>
          <w:noProof/>
          <w:sz w:val="24"/>
          <w:szCs w:val="24"/>
          <w:lang w:eastAsia="ro-RO"/>
        </w:rPr>
        <w:t>BNR, Raport anual, 2014-2018</w:t>
      </w:r>
    </w:p>
    <w:p w:rsidR="00D15A26" w:rsidRPr="00D15A26" w:rsidRDefault="00D15A26" w:rsidP="00D15A26">
      <w:pPr>
        <w:numPr>
          <w:ilvl w:val="0"/>
          <w:numId w:val="21"/>
        </w:numPr>
        <w:tabs>
          <w:tab w:val="left" w:pos="360"/>
        </w:tabs>
        <w:spacing w:after="0" w:line="240" w:lineRule="auto"/>
        <w:contextualSpacing/>
        <w:jc w:val="both"/>
        <w:rPr>
          <w:rFonts w:ascii="Times New Roman" w:eastAsia="Times New Roman" w:hAnsi="Times New Roman" w:cs="Times New Roman"/>
          <w:noProof/>
          <w:sz w:val="24"/>
          <w:szCs w:val="24"/>
          <w:lang w:eastAsia="ro-RO"/>
        </w:rPr>
      </w:pPr>
      <w:r w:rsidRPr="00D15A26">
        <w:rPr>
          <w:rFonts w:ascii="Times New Roman" w:eastAsia="Times New Roman" w:hAnsi="Times New Roman" w:cs="Times New Roman"/>
          <w:noProof/>
          <w:sz w:val="24"/>
          <w:szCs w:val="24"/>
          <w:lang w:eastAsia="ro-RO"/>
        </w:rPr>
        <w:t>BNR, Raport de Stabilitate Financiară, 2014-2019</w:t>
      </w:r>
    </w:p>
    <w:p w:rsidR="00D15A26" w:rsidRPr="00D15A26" w:rsidRDefault="00D15A26" w:rsidP="00D15A26">
      <w:pPr>
        <w:numPr>
          <w:ilvl w:val="0"/>
          <w:numId w:val="21"/>
        </w:numPr>
        <w:tabs>
          <w:tab w:val="left" w:pos="360"/>
        </w:tabs>
        <w:spacing w:after="0" w:line="240" w:lineRule="auto"/>
        <w:contextualSpacing/>
        <w:jc w:val="both"/>
        <w:rPr>
          <w:rFonts w:ascii="Times New Roman" w:eastAsia="Times New Roman" w:hAnsi="Times New Roman" w:cs="Times New Roman"/>
          <w:noProof/>
          <w:sz w:val="24"/>
          <w:szCs w:val="24"/>
          <w:lang w:eastAsia="ro-RO"/>
        </w:rPr>
      </w:pPr>
      <w:r w:rsidRPr="00D15A26">
        <w:rPr>
          <w:rFonts w:ascii="Times New Roman" w:eastAsia="Times New Roman" w:hAnsi="Times New Roman" w:cs="Times New Roman"/>
          <w:noProof/>
          <w:sz w:val="24"/>
          <w:szCs w:val="24"/>
          <w:lang w:eastAsia="ro-RO"/>
        </w:rPr>
        <w:t>INS, Anuarul Statistic al României, 2019</w:t>
      </w:r>
    </w:p>
    <w:p w:rsidR="00D15A26" w:rsidRPr="00D15A26" w:rsidRDefault="00D15A26" w:rsidP="00D15A26">
      <w:pPr>
        <w:numPr>
          <w:ilvl w:val="0"/>
          <w:numId w:val="21"/>
        </w:numPr>
        <w:tabs>
          <w:tab w:val="left" w:pos="360"/>
        </w:tabs>
        <w:spacing w:after="0" w:line="240" w:lineRule="auto"/>
        <w:contextualSpacing/>
        <w:jc w:val="both"/>
        <w:rPr>
          <w:rFonts w:ascii="Times New Roman" w:eastAsia="Times New Roman" w:hAnsi="Times New Roman" w:cs="Times New Roman"/>
          <w:noProof/>
          <w:sz w:val="24"/>
          <w:szCs w:val="24"/>
          <w:lang w:eastAsia="ro-RO"/>
        </w:rPr>
      </w:pPr>
      <w:r w:rsidRPr="00D15A26">
        <w:rPr>
          <w:rFonts w:ascii="Times New Roman" w:eastAsia="Times New Roman" w:hAnsi="Times New Roman" w:cs="Times New Roman"/>
          <w:sz w:val="24"/>
          <w:szCs w:val="24"/>
          <w:lang w:eastAsia="ro-RO"/>
        </w:rPr>
        <w:t>INS, Fondul de locuințe 2014-2018</w:t>
      </w:r>
    </w:p>
    <w:p w:rsidR="00D15A26" w:rsidRPr="00D15A26" w:rsidRDefault="00D15A26" w:rsidP="00D15A26">
      <w:pPr>
        <w:numPr>
          <w:ilvl w:val="0"/>
          <w:numId w:val="21"/>
        </w:numPr>
        <w:tabs>
          <w:tab w:val="left" w:pos="360"/>
        </w:tabs>
        <w:spacing w:after="0" w:line="240" w:lineRule="auto"/>
        <w:contextualSpacing/>
        <w:jc w:val="both"/>
        <w:rPr>
          <w:rFonts w:ascii="Times New Roman" w:eastAsia="Times New Roman" w:hAnsi="Times New Roman" w:cs="Times New Roman"/>
          <w:noProof/>
          <w:sz w:val="24"/>
          <w:szCs w:val="24"/>
          <w:lang w:eastAsia="ro-RO"/>
        </w:rPr>
      </w:pPr>
      <w:r w:rsidRPr="00D15A26">
        <w:rPr>
          <w:rFonts w:ascii="Times New Roman" w:eastAsia="Times New Roman" w:hAnsi="Times New Roman" w:cs="Times New Roman"/>
          <w:noProof/>
          <w:sz w:val="24"/>
          <w:szCs w:val="24"/>
          <w:lang w:eastAsia="ro-RO"/>
        </w:rPr>
        <w:t>Piața imobiliară rezidențială, trim. IV, analize imobiliare, 2017</w:t>
      </w:r>
    </w:p>
    <w:p w:rsidR="00D15A26" w:rsidRPr="00D15A26" w:rsidRDefault="00EC0EF8" w:rsidP="00D15A26">
      <w:pPr>
        <w:numPr>
          <w:ilvl w:val="0"/>
          <w:numId w:val="21"/>
        </w:numPr>
        <w:tabs>
          <w:tab w:val="left" w:pos="360"/>
        </w:tabs>
        <w:spacing w:after="0" w:line="240" w:lineRule="auto"/>
        <w:contextualSpacing/>
        <w:jc w:val="both"/>
        <w:rPr>
          <w:rFonts w:ascii="Times New Roman" w:eastAsia="Times New Roman" w:hAnsi="Times New Roman" w:cs="Times New Roman"/>
          <w:bCs/>
          <w:iCs/>
          <w:sz w:val="24"/>
          <w:szCs w:val="24"/>
          <w:lang w:eastAsia="ro-RO"/>
        </w:rPr>
      </w:pPr>
      <w:hyperlink r:id="rId31" w:history="1">
        <w:r w:rsidR="00D15A26" w:rsidRPr="00D15A26">
          <w:rPr>
            <w:rFonts w:ascii="Times New Roman" w:eastAsia="Times New Roman" w:hAnsi="Times New Roman" w:cs="Times New Roman"/>
            <w:bCs/>
            <w:iCs/>
            <w:color w:val="0000FF" w:themeColor="hyperlink"/>
            <w:sz w:val="24"/>
            <w:szCs w:val="24"/>
            <w:u w:val="single"/>
            <w:lang w:eastAsia="ro-RO"/>
          </w:rPr>
          <w:t>www.analizefinanciare.ro</w:t>
        </w:r>
      </w:hyperlink>
      <w:r w:rsidR="00D15A26" w:rsidRPr="00D15A26">
        <w:rPr>
          <w:rFonts w:ascii="Times New Roman" w:eastAsia="Times New Roman" w:hAnsi="Times New Roman" w:cs="Times New Roman"/>
          <w:bCs/>
          <w:iCs/>
          <w:sz w:val="24"/>
          <w:szCs w:val="24"/>
          <w:lang w:eastAsia="ro-RO"/>
        </w:rPr>
        <w:t xml:space="preserve">  </w:t>
      </w:r>
    </w:p>
    <w:p w:rsidR="00D15A26" w:rsidRPr="00D15A26" w:rsidRDefault="00EC0EF8" w:rsidP="00D15A26">
      <w:pPr>
        <w:numPr>
          <w:ilvl w:val="0"/>
          <w:numId w:val="21"/>
        </w:numPr>
        <w:tabs>
          <w:tab w:val="left" w:pos="360"/>
        </w:tabs>
        <w:spacing w:after="0" w:line="240" w:lineRule="auto"/>
        <w:contextualSpacing/>
        <w:jc w:val="both"/>
        <w:rPr>
          <w:rFonts w:ascii="Times New Roman" w:eastAsia="Times New Roman" w:hAnsi="Times New Roman" w:cs="Times New Roman"/>
          <w:bCs/>
          <w:iCs/>
          <w:sz w:val="24"/>
          <w:szCs w:val="24"/>
          <w:lang w:eastAsia="ro-RO"/>
        </w:rPr>
      </w:pPr>
      <w:hyperlink r:id="rId32" w:history="1">
        <w:r w:rsidR="00D15A26" w:rsidRPr="00D15A26">
          <w:rPr>
            <w:rFonts w:ascii="Times New Roman" w:eastAsia="Times New Roman" w:hAnsi="Times New Roman" w:cs="Times New Roman"/>
            <w:bCs/>
            <w:iCs/>
            <w:sz w:val="24"/>
            <w:szCs w:val="24"/>
            <w:lang w:eastAsia="ro-RO"/>
          </w:rPr>
          <w:t>www</w:t>
        </w:r>
        <w:r w:rsidR="00D15A26" w:rsidRPr="00D15A26">
          <w:rPr>
            <w:rFonts w:ascii="Times New Roman" w:eastAsia="Times New Roman" w:hAnsi="Times New Roman" w:cs="Times New Roman"/>
            <w:sz w:val="24"/>
            <w:szCs w:val="24"/>
            <w:lang w:eastAsia="ro-RO"/>
          </w:rPr>
          <w:t>.</w:t>
        </w:r>
        <w:r w:rsidR="00D15A26" w:rsidRPr="00D15A26">
          <w:rPr>
            <w:rFonts w:ascii="Times New Roman" w:eastAsia="Times New Roman" w:hAnsi="Times New Roman" w:cs="Times New Roman"/>
            <w:bCs/>
            <w:iCs/>
            <w:sz w:val="24"/>
            <w:szCs w:val="24"/>
            <w:lang w:eastAsia="ro-RO"/>
          </w:rPr>
          <w:t>analizeimobiliare.ro</w:t>
        </w:r>
      </w:hyperlink>
      <w:r w:rsidR="00D15A26" w:rsidRPr="00D15A26">
        <w:rPr>
          <w:rFonts w:ascii="Times New Roman" w:eastAsia="Times New Roman" w:hAnsi="Times New Roman" w:cs="Times New Roman"/>
          <w:bCs/>
          <w:iCs/>
          <w:sz w:val="24"/>
          <w:szCs w:val="24"/>
          <w:lang w:eastAsia="ro-RO"/>
        </w:rPr>
        <w:t xml:space="preserve"> </w:t>
      </w:r>
    </w:p>
    <w:p w:rsidR="00D15A26" w:rsidRPr="00D15A26" w:rsidRDefault="00EC0EF8" w:rsidP="00D15A26">
      <w:pPr>
        <w:numPr>
          <w:ilvl w:val="0"/>
          <w:numId w:val="21"/>
        </w:numPr>
        <w:tabs>
          <w:tab w:val="left" w:pos="360"/>
        </w:tabs>
        <w:spacing w:after="0" w:line="240" w:lineRule="auto"/>
        <w:contextualSpacing/>
        <w:jc w:val="both"/>
        <w:rPr>
          <w:rFonts w:ascii="Times New Roman" w:eastAsia="Times New Roman" w:hAnsi="Times New Roman" w:cs="Times New Roman"/>
          <w:bCs/>
          <w:iCs/>
          <w:sz w:val="24"/>
          <w:szCs w:val="24"/>
          <w:lang w:eastAsia="ro-RO"/>
        </w:rPr>
      </w:pPr>
      <w:hyperlink r:id="rId33" w:history="1">
        <w:r w:rsidR="00D15A26" w:rsidRPr="00D15A26">
          <w:rPr>
            <w:rFonts w:ascii="Times New Roman" w:eastAsia="Times New Roman" w:hAnsi="Times New Roman" w:cs="Times New Roman"/>
            <w:bCs/>
            <w:iCs/>
            <w:sz w:val="24"/>
            <w:szCs w:val="24"/>
            <w:lang w:eastAsia="ro-RO"/>
          </w:rPr>
          <w:t>www.bnr.ro</w:t>
        </w:r>
      </w:hyperlink>
      <w:r w:rsidR="00D15A26" w:rsidRPr="00D15A26">
        <w:rPr>
          <w:rFonts w:ascii="Times New Roman" w:eastAsia="Times New Roman" w:hAnsi="Times New Roman" w:cs="Times New Roman"/>
          <w:bCs/>
          <w:iCs/>
          <w:sz w:val="24"/>
          <w:szCs w:val="24"/>
          <w:lang w:eastAsia="ro-RO"/>
        </w:rPr>
        <w:t xml:space="preserve"> </w:t>
      </w:r>
    </w:p>
    <w:p w:rsidR="00D15A26" w:rsidRPr="00D15A26" w:rsidRDefault="00EC0EF8" w:rsidP="00D15A26">
      <w:pPr>
        <w:numPr>
          <w:ilvl w:val="0"/>
          <w:numId w:val="21"/>
        </w:numPr>
        <w:tabs>
          <w:tab w:val="left" w:pos="360"/>
        </w:tabs>
        <w:spacing w:after="0" w:line="240" w:lineRule="auto"/>
        <w:contextualSpacing/>
        <w:jc w:val="both"/>
        <w:rPr>
          <w:rFonts w:ascii="Times New Roman" w:eastAsia="Times New Roman" w:hAnsi="Times New Roman" w:cs="Times New Roman"/>
          <w:bCs/>
          <w:iCs/>
          <w:sz w:val="24"/>
          <w:szCs w:val="24"/>
          <w:lang w:eastAsia="ro-RO"/>
        </w:rPr>
      </w:pPr>
      <w:hyperlink r:id="rId34" w:history="1">
        <w:r w:rsidR="00D15A26" w:rsidRPr="00D15A26">
          <w:rPr>
            <w:rFonts w:ascii="Times New Roman" w:eastAsia="Times New Roman" w:hAnsi="Times New Roman" w:cs="Times New Roman"/>
            <w:bCs/>
            <w:iCs/>
            <w:sz w:val="24"/>
            <w:szCs w:val="24"/>
            <w:lang w:eastAsia="ro-RO"/>
          </w:rPr>
          <w:t>www.ec.europa.eu/eurostat</w:t>
        </w:r>
      </w:hyperlink>
      <w:r w:rsidR="00D15A26" w:rsidRPr="00D15A26">
        <w:rPr>
          <w:rFonts w:ascii="Times New Roman" w:eastAsia="Times New Roman" w:hAnsi="Times New Roman" w:cs="Times New Roman"/>
          <w:bCs/>
          <w:iCs/>
          <w:sz w:val="24"/>
          <w:szCs w:val="24"/>
          <w:lang w:eastAsia="ro-RO"/>
        </w:rPr>
        <w:t xml:space="preserve"> </w:t>
      </w:r>
    </w:p>
    <w:p w:rsidR="00D15A26" w:rsidRPr="00D15A26" w:rsidRDefault="00EC0EF8" w:rsidP="00D15A26">
      <w:pPr>
        <w:numPr>
          <w:ilvl w:val="0"/>
          <w:numId w:val="21"/>
        </w:numPr>
        <w:tabs>
          <w:tab w:val="left" w:pos="360"/>
        </w:tabs>
        <w:spacing w:after="0" w:line="240" w:lineRule="auto"/>
        <w:contextualSpacing/>
        <w:jc w:val="both"/>
        <w:rPr>
          <w:rFonts w:ascii="Times New Roman" w:eastAsia="Times New Roman" w:hAnsi="Times New Roman" w:cs="Times New Roman"/>
          <w:bCs/>
          <w:iCs/>
          <w:sz w:val="24"/>
          <w:szCs w:val="24"/>
          <w:lang w:eastAsia="ro-RO"/>
        </w:rPr>
      </w:pPr>
      <w:hyperlink r:id="rId35" w:history="1">
        <w:r w:rsidR="00D15A26" w:rsidRPr="00D15A26">
          <w:rPr>
            <w:rFonts w:ascii="Times New Roman" w:eastAsia="Times New Roman" w:hAnsi="Times New Roman" w:cs="Times New Roman"/>
            <w:bCs/>
            <w:iCs/>
            <w:sz w:val="24"/>
            <w:szCs w:val="24"/>
            <w:lang w:eastAsia="ro-RO"/>
          </w:rPr>
          <w:t>www.imobiliare.ro</w:t>
        </w:r>
      </w:hyperlink>
      <w:r w:rsidR="00D15A26" w:rsidRPr="00D15A26">
        <w:rPr>
          <w:rFonts w:ascii="Times New Roman" w:eastAsia="Times New Roman" w:hAnsi="Times New Roman" w:cs="Times New Roman"/>
          <w:bCs/>
          <w:iCs/>
          <w:sz w:val="24"/>
          <w:szCs w:val="24"/>
          <w:lang w:eastAsia="ro-RO"/>
        </w:rPr>
        <w:t xml:space="preserve"> </w:t>
      </w:r>
    </w:p>
    <w:p w:rsidR="00D15A26" w:rsidRPr="00D15A26" w:rsidRDefault="00EC0EF8" w:rsidP="00D15A26">
      <w:pPr>
        <w:numPr>
          <w:ilvl w:val="0"/>
          <w:numId w:val="21"/>
        </w:numPr>
        <w:tabs>
          <w:tab w:val="left" w:pos="360"/>
        </w:tabs>
        <w:spacing w:after="0" w:line="240" w:lineRule="auto"/>
        <w:contextualSpacing/>
        <w:jc w:val="both"/>
        <w:rPr>
          <w:rFonts w:ascii="Times New Roman" w:eastAsia="Times New Roman" w:hAnsi="Times New Roman" w:cs="Times New Roman"/>
          <w:bCs/>
          <w:iCs/>
          <w:sz w:val="24"/>
          <w:szCs w:val="24"/>
          <w:lang w:eastAsia="ro-RO"/>
        </w:rPr>
      </w:pPr>
      <w:hyperlink r:id="rId36" w:history="1">
        <w:r w:rsidR="00D15A26" w:rsidRPr="00D15A26">
          <w:rPr>
            <w:rFonts w:ascii="Times New Roman" w:eastAsia="Times New Roman" w:hAnsi="Times New Roman" w:cs="Times New Roman"/>
            <w:bCs/>
            <w:iCs/>
            <w:sz w:val="24"/>
            <w:szCs w:val="24"/>
            <w:lang w:eastAsia="ro-RO"/>
          </w:rPr>
          <w:t>www.insse.ro</w:t>
        </w:r>
      </w:hyperlink>
      <w:r w:rsidR="00D15A26" w:rsidRPr="00D15A26">
        <w:rPr>
          <w:rFonts w:ascii="Times New Roman" w:eastAsia="Times New Roman" w:hAnsi="Times New Roman" w:cs="Times New Roman"/>
          <w:bCs/>
          <w:iCs/>
          <w:sz w:val="24"/>
          <w:szCs w:val="24"/>
          <w:lang w:eastAsia="ro-RO"/>
        </w:rPr>
        <w:t xml:space="preserve"> </w:t>
      </w:r>
    </w:p>
    <w:p w:rsidR="00D15A26" w:rsidRPr="00D15A26" w:rsidRDefault="00EC0EF8" w:rsidP="00D15A26">
      <w:pPr>
        <w:numPr>
          <w:ilvl w:val="0"/>
          <w:numId w:val="21"/>
        </w:numPr>
        <w:tabs>
          <w:tab w:val="left" w:pos="360"/>
        </w:tabs>
        <w:spacing w:after="0" w:line="240" w:lineRule="auto"/>
        <w:contextualSpacing/>
        <w:jc w:val="both"/>
        <w:rPr>
          <w:rFonts w:ascii="Times New Roman" w:eastAsia="Times New Roman" w:hAnsi="Times New Roman" w:cs="Times New Roman"/>
          <w:bCs/>
          <w:iCs/>
          <w:sz w:val="24"/>
          <w:szCs w:val="24"/>
          <w:lang w:eastAsia="ro-RO"/>
        </w:rPr>
      </w:pPr>
      <w:hyperlink r:id="rId37" w:history="1">
        <w:r w:rsidR="00D15A26" w:rsidRPr="00D15A26">
          <w:rPr>
            <w:rFonts w:ascii="Times New Roman" w:eastAsia="Times New Roman" w:hAnsi="Times New Roman" w:cs="Times New Roman"/>
            <w:bCs/>
            <w:iCs/>
            <w:sz w:val="24"/>
            <w:szCs w:val="24"/>
            <w:lang w:eastAsia="ro-RO"/>
          </w:rPr>
          <w:t>www.juridice.ro</w:t>
        </w:r>
      </w:hyperlink>
      <w:r w:rsidR="00D15A26" w:rsidRPr="00D15A26">
        <w:rPr>
          <w:rFonts w:ascii="Times New Roman" w:eastAsia="Times New Roman" w:hAnsi="Times New Roman" w:cs="Times New Roman"/>
          <w:bCs/>
          <w:iCs/>
          <w:sz w:val="24"/>
          <w:szCs w:val="24"/>
          <w:lang w:eastAsia="ro-RO"/>
        </w:rPr>
        <w:t xml:space="preserve"> </w:t>
      </w:r>
    </w:p>
    <w:p w:rsidR="00D15A26" w:rsidRPr="00D15A26" w:rsidRDefault="00D15A26" w:rsidP="00D15A26">
      <w:pPr>
        <w:keepNext/>
        <w:keepLines/>
        <w:spacing w:after="0" w:line="240" w:lineRule="auto"/>
        <w:jc w:val="center"/>
        <w:rPr>
          <w:rFonts w:ascii="Times New Roman" w:eastAsia="Times New Roman" w:hAnsi="Times New Roman" w:cs="Times New Roman"/>
          <w:b/>
          <w:bCs/>
          <w:sz w:val="20"/>
          <w:szCs w:val="20"/>
          <w:lang w:eastAsia="ro-RO"/>
        </w:rPr>
      </w:pPr>
      <w:bookmarkStart w:id="85" w:name="_Toc41330447"/>
      <w:bookmarkEnd w:id="84"/>
      <w:r w:rsidRPr="00D15A26">
        <w:rPr>
          <w:rFonts w:ascii="Times New Roman" w:eastAsia="Times New Roman" w:hAnsi="Times New Roman" w:cs="Times New Roman"/>
          <w:b/>
          <w:bCs/>
          <w:sz w:val="20"/>
          <w:szCs w:val="20"/>
          <w:lang w:eastAsia="ro-RO"/>
        </w:rPr>
        <w:t>ANEX</w:t>
      </w:r>
      <w:bookmarkEnd w:id="85"/>
      <w:r w:rsidRPr="00D15A26">
        <w:rPr>
          <w:rFonts w:ascii="Times New Roman" w:eastAsia="Times New Roman" w:hAnsi="Times New Roman" w:cs="Times New Roman"/>
          <w:b/>
          <w:bCs/>
          <w:sz w:val="20"/>
          <w:szCs w:val="20"/>
          <w:lang w:eastAsia="ro-RO"/>
        </w:rPr>
        <w:t xml:space="preserve">A: </w:t>
      </w:r>
      <w:r w:rsidRPr="00D15A26">
        <w:rPr>
          <w:rFonts w:ascii="Times New Roman" w:eastAsia="Times New Roman" w:hAnsi="Times New Roman" w:cs="Times New Roman"/>
          <w:b/>
          <w:sz w:val="20"/>
          <w:szCs w:val="20"/>
          <w:lang w:eastAsia="ro-RO"/>
        </w:rPr>
        <w:t>DATELE UTILIZATE PENTRU MODELUL DE ANALIZĂ</w:t>
      </w:r>
    </w:p>
    <w:p w:rsidR="00D15A26" w:rsidRPr="00D15A26" w:rsidRDefault="00D15A26" w:rsidP="00D15A26">
      <w:pPr>
        <w:spacing w:after="0" w:line="240" w:lineRule="auto"/>
        <w:jc w:val="center"/>
        <w:rPr>
          <w:rFonts w:ascii="Times New Roman" w:eastAsia="Times New Roman" w:hAnsi="Times New Roman" w:cs="Times New Roman"/>
          <w:color w:val="000000"/>
          <w:sz w:val="20"/>
          <w:szCs w:val="20"/>
          <w:lang w:val="en-CA" w:eastAsia="en-CA"/>
        </w:rPr>
        <w:sectPr w:rsidR="00D15A26" w:rsidRPr="00D15A26" w:rsidSect="00C6187C">
          <w:footerReference w:type="even" r:id="rId38"/>
          <w:pgSz w:w="11906" w:h="16838" w:code="9"/>
          <w:pgMar w:top="1138" w:right="1138" w:bottom="1138" w:left="1138" w:header="709" w:footer="709" w:gutter="0"/>
          <w:cols w:space="708"/>
          <w:docGrid w:linePitch="360"/>
        </w:sectPr>
      </w:pPr>
    </w:p>
    <w:tbl>
      <w:tblPr>
        <w:tblW w:w="4640" w:type="dxa"/>
        <w:tblInd w:w="-34" w:type="dxa"/>
        <w:tblLook w:val="04A0" w:firstRow="1" w:lastRow="0" w:firstColumn="1" w:lastColumn="0" w:noHBand="0" w:noVBand="1"/>
      </w:tblPr>
      <w:tblGrid>
        <w:gridCol w:w="789"/>
        <w:gridCol w:w="1416"/>
        <w:gridCol w:w="1498"/>
        <w:gridCol w:w="937"/>
      </w:tblGrid>
      <w:tr w:rsidR="00D15A26" w:rsidRPr="00D15A26" w:rsidTr="007B67D2">
        <w:trPr>
          <w:trHeight w:val="1081"/>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b/>
                <w:color w:val="000000"/>
                <w:sz w:val="16"/>
                <w:szCs w:val="16"/>
                <w:lang w:val="en-CA" w:eastAsia="en-CA"/>
              </w:rPr>
            </w:pPr>
            <w:bookmarkStart w:id="86" w:name="_Hlk51781486"/>
            <w:bookmarkStart w:id="87" w:name="_Hlk51781154"/>
            <w:r w:rsidRPr="00D15A26">
              <w:rPr>
                <w:rFonts w:ascii="Times New Roman" w:eastAsia="Times New Roman" w:hAnsi="Times New Roman" w:cs="Times New Roman"/>
                <w:b/>
                <w:color w:val="000000"/>
                <w:sz w:val="16"/>
                <w:szCs w:val="16"/>
                <w:lang w:val="en-CA" w:eastAsia="en-CA"/>
              </w:rPr>
              <w:lastRenderedPageBreak/>
              <w:t>Data</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b/>
                <w:color w:val="000000"/>
                <w:sz w:val="16"/>
                <w:szCs w:val="16"/>
                <w:lang w:val="en-CA" w:eastAsia="en-CA"/>
              </w:rPr>
            </w:pPr>
            <w:r w:rsidRPr="00D15A26">
              <w:rPr>
                <w:rFonts w:ascii="Times New Roman" w:eastAsia="Times New Roman" w:hAnsi="Times New Roman" w:cs="Times New Roman"/>
                <w:b/>
                <w:color w:val="000000"/>
                <w:sz w:val="16"/>
                <w:szCs w:val="16"/>
                <w:lang w:val="en-CA" w:eastAsia="en-CA"/>
              </w:rPr>
              <w:t>Media lunară a prețurilor pentru m</w:t>
            </w:r>
            <w:r w:rsidRPr="00D15A26">
              <w:rPr>
                <w:rFonts w:ascii="Times New Roman" w:eastAsia="Times New Roman" w:hAnsi="Times New Roman" w:cs="Times New Roman"/>
                <w:b/>
                <w:color w:val="000000"/>
                <w:sz w:val="16"/>
                <w:szCs w:val="16"/>
                <w:vertAlign w:val="superscript"/>
                <w:lang w:val="en-CA" w:eastAsia="en-CA"/>
              </w:rPr>
              <w:t>2</w:t>
            </w:r>
            <w:r w:rsidRPr="00D15A26">
              <w:rPr>
                <w:rFonts w:ascii="Times New Roman" w:eastAsia="Times New Roman" w:hAnsi="Times New Roman" w:cs="Times New Roman"/>
                <w:b/>
                <w:color w:val="000000"/>
                <w:sz w:val="16"/>
                <w:szCs w:val="16"/>
                <w:lang w:val="en-CA" w:eastAsia="en-CA"/>
              </w:rPr>
              <w:t xml:space="preserve"> util a apartamentelor</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b/>
                <w:color w:val="000000"/>
                <w:sz w:val="16"/>
                <w:szCs w:val="16"/>
                <w:lang w:val="en-CA" w:eastAsia="en-CA"/>
              </w:rPr>
            </w:pPr>
            <w:r w:rsidRPr="00D15A26">
              <w:rPr>
                <w:rFonts w:ascii="Times New Roman" w:eastAsia="Times New Roman" w:hAnsi="Times New Roman" w:cs="Times New Roman"/>
                <w:b/>
                <w:color w:val="000000"/>
                <w:sz w:val="16"/>
                <w:szCs w:val="16"/>
                <w:lang w:val="en-CA" w:eastAsia="en-CA"/>
              </w:rPr>
              <w:t>Credite acordate gospodăriilor populaţiei; pentru locuinţe</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b/>
                <w:color w:val="000000"/>
                <w:sz w:val="16"/>
                <w:szCs w:val="16"/>
                <w:lang w:val="en-CA" w:eastAsia="en-CA"/>
              </w:rPr>
            </w:pPr>
            <w:r w:rsidRPr="00D15A26">
              <w:rPr>
                <w:rFonts w:ascii="Times New Roman" w:eastAsia="Times New Roman" w:hAnsi="Times New Roman" w:cs="Times New Roman"/>
                <w:b/>
                <w:color w:val="000000"/>
                <w:sz w:val="16"/>
                <w:szCs w:val="16"/>
                <w:lang w:val="en-CA" w:eastAsia="en-CA"/>
              </w:rPr>
              <w:t>Salariu mediu net lunar</w:t>
            </w:r>
          </w:p>
        </w:tc>
      </w:tr>
      <w:tr w:rsidR="00D15A26" w:rsidRPr="00D15A26" w:rsidTr="007B67D2">
        <w:trPr>
          <w:trHeight w:val="345"/>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i/>
                <w:color w:val="000000"/>
                <w:sz w:val="16"/>
                <w:szCs w:val="16"/>
                <w:lang w:val="en-CA" w:eastAsia="en-CA"/>
              </w:rPr>
            </w:pPr>
            <w:r w:rsidRPr="00D15A26">
              <w:rPr>
                <w:rFonts w:ascii="Times New Roman" w:eastAsia="Times New Roman" w:hAnsi="Times New Roman" w:cs="Times New Roman"/>
                <w:i/>
                <w:color w:val="000000"/>
                <w:sz w:val="16"/>
                <w:szCs w:val="16"/>
                <w:lang w:val="en-CA" w:eastAsia="en-CA"/>
              </w:rPr>
              <w:t>euro/m2</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i/>
                <w:color w:val="000000"/>
                <w:sz w:val="16"/>
                <w:szCs w:val="16"/>
                <w:lang w:val="en-CA" w:eastAsia="en-CA"/>
              </w:rPr>
            </w:pPr>
            <w:r w:rsidRPr="00D15A26">
              <w:rPr>
                <w:rFonts w:ascii="Times New Roman" w:eastAsia="Times New Roman" w:hAnsi="Times New Roman" w:cs="Times New Roman"/>
                <w:i/>
                <w:color w:val="000000"/>
                <w:sz w:val="16"/>
                <w:szCs w:val="16"/>
                <w:lang w:val="en-CA" w:eastAsia="en-CA"/>
              </w:rPr>
              <w:t>lei</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i/>
                <w:color w:val="000000"/>
                <w:sz w:val="16"/>
                <w:szCs w:val="16"/>
                <w:lang w:val="en-CA" w:eastAsia="en-CA"/>
              </w:rPr>
            </w:pPr>
            <w:r w:rsidRPr="00D15A26">
              <w:rPr>
                <w:rFonts w:ascii="Times New Roman" w:eastAsia="Times New Roman" w:hAnsi="Times New Roman" w:cs="Times New Roman"/>
                <w:i/>
                <w:color w:val="000000"/>
                <w:sz w:val="16"/>
                <w:szCs w:val="16"/>
                <w:lang w:val="en-CA" w:eastAsia="en-CA"/>
              </w:rPr>
              <w:t>lei</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ian.14</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903</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41070682400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1625</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feb.14</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919</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41292829000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1626</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mar.14</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938</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41185801300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1706</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lastRenderedPageBreak/>
              <w:t>apr.14</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918</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41452742200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1735</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mai.14</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921</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41339380500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1682</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iun.14</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904</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41597519000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1687</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iul.14</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906</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42073837800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1719</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aug.14</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907</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42446402000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1683</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sept.14</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912</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42659309800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1698</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oct.14</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917</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43168790500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1705</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lastRenderedPageBreak/>
              <w:t>nov.14</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921</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43894775500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1743</w:t>
            </w:r>
          </w:p>
        </w:tc>
      </w:tr>
      <w:tr w:rsidR="00D15A26" w:rsidRPr="00D15A26" w:rsidTr="007B67D2">
        <w:trPr>
          <w:trHeight w:val="315"/>
        </w:trPr>
        <w:tc>
          <w:tcPr>
            <w:tcW w:w="789" w:type="dxa"/>
            <w:tcBorders>
              <w:top w:val="nil"/>
              <w:left w:val="single" w:sz="4" w:space="0" w:color="auto"/>
              <w:bottom w:val="single" w:sz="8"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dec.14</w:t>
            </w:r>
          </w:p>
        </w:tc>
        <w:tc>
          <w:tcPr>
            <w:tcW w:w="1416" w:type="dxa"/>
            <w:tcBorders>
              <w:top w:val="nil"/>
              <w:left w:val="nil"/>
              <w:bottom w:val="single" w:sz="8"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891</w:t>
            </w:r>
          </w:p>
        </w:tc>
        <w:tc>
          <w:tcPr>
            <w:tcW w:w="1498" w:type="dxa"/>
            <w:tcBorders>
              <w:top w:val="nil"/>
              <w:left w:val="nil"/>
              <w:bottom w:val="single" w:sz="8"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44595165700</w:t>
            </w:r>
          </w:p>
        </w:tc>
        <w:tc>
          <w:tcPr>
            <w:tcW w:w="937" w:type="dxa"/>
            <w:tcBorders>
              <w:top w:val="nil"/>
              <w:left w:val="single" w:sz="4" w:space="0" w:color="auto"/>
              <w:bottom w:val="single" w:sz="8"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1866</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ian.15</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910</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44988903700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1740</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feb.15</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924</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45005311100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1731</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mar.15</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US" w:eastAsia="en-CA"/>
              </w:rPr>
            </w:pPr>
            <w:r w:rsidRPr="00D15A26">
              <w:rPr>
                <w:rFonts w:ascii="Times New Roman" w:eastAsia="Times New Roman" w:hAnsi="Times New Roman" w:cs="Times New Roman"/>
                <w:color w:val="000000"/>
                <w:sz w:val="16"/>
                <w:szCs w:val="16"/>
                <w:lang w:val="en-CA" w:eastAsia="en-CA"/>
              </w:rPr>
              <w:t>936</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45418299000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1829</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apr.15</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930</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45994983300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1857</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mai.15</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928</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47000375000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1806</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iun.15</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933</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47836076300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1818</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iul.15</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944</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47718037000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1849</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aug.15</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950</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48325008500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1813</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sept.15</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964</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48772694100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1833</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oct.15</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980</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49427403500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1871</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nov.15</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964</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50877579500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1918</w:t>
            </w:r>
          </w:p>
        </w:tc>
      </w:tr>
      <w:tr w:rsidR="00D15A26" w:rsidRPr="00D15A26" w:rsidTr="007B67D2">
        <w:trPr>
          <w:trHeight w:val="315"/>
        </w:trPr>
        <w:tc>
          <w:tcPr>
            <w:tcW w:w="789" w:type="dxa"/>
            <w:tcBorders>
              <w:top w:val="nil"/>
              <w:left w:val="single" w:sz="4" w:space="0" w:color="auto"/>
              <w:bottom w:val="single" w:sz="8"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dec.15</w:t>
            </w:r>
          </w:p>
        </w:tc>
        <w:tc>
          <w:tcPr>
            <w:tcW w:w="1416" w:type="dxa"/>
            <w:tcBorders>
              <w:top w:val="nil"/>
              <w:left w:val="nil"/>
              <w:bottom w:val="single" w:sz="8"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951</w:t>
            </w:r>
          </w:p>
        </w:tc>
        <w:tc>
          <w:tcPr>
            <w:tcW w:w="1498" w:type="dxa"/>
            <w:tcBorders>
              <w:top w:val="nil"/>
              <w:left w:val="nil"/>
              <w:bottom w:val="single" w:sz="8"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51953546700</w:t>
            </w:r>
          </w:p>
        </w:tc>
        <w:tc>
          <w:tcPr>
            <w:tcW w:w="937" w:type="dxa"/>
            <w:tcBorders>
              <w:top w:val="nil"/>
              <w:left w:val="single" w:sz="4" w:space="0" w:color="auto"/>
              <w:bottom w:val="single" w:sz="8"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2114</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ian.16</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971</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52169097400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1943</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feb.16</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1015</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52140340400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1950</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mar.16</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1013</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52776862800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2051</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apr.16</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1016</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53542256400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2086</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mai.16</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1002</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54702212000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2063</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iun.16</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1020</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55653623200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2078</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iul.16</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1035</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55870007200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2078</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aug.16</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1028</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56326155400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2076</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sept.16</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1045</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56670462800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2094</w:t>
            </w:r>
          </w:p>
        </w:tc>
      </w:tr>
      <w:tr w:rsidR="00D15A26" w:rsidRPr="00D15A26" w:rsidTr="007B67D2">
        <w:trPr>
          <w:trHeight w:val="300"/>
        </w:trPr>
        <w:tc>
          <w:tcPr>
            <w:tcW w:w="789"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oct.16</w:t>
            </w:r>
          </w:p>
        </w:tc>
        <w:tc>
          <w:tcPr>
            <w:tcW w:w="1416" w:type="dxa"/>
            <w:tcBorders>
              <w:top w:val="nil"/>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1042</w:t>
            </w:r>
          </w:p>
        </w:tc>
        <w:tc>
          <w:tcPr>
            <w:tcW w:w="1498" w:type="dxa"/>
            <w:tcBorders>
              <w:top w:val="nil"/>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57281769700</w:t>
            </w:r>
          </w:p>
        </w:tc>
        <w:tc>
          <w:tcPr>
            <w:tcW w:w="937" w:type="dxa"/>
            <w:tcBorders>
              <w:top w:val="nil"/>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2108</w:t>
            </w:r>
          </w:p>
        </w:tc>
      </w:tr>
      <w:bookmarkEnd w:id="86"/>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nov.16</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1044</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57879649400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2172</w:t>
            </w:r>
          </w:p>
        </w:tc>
      </w:tr>
      <w:tr w:rsidR="00D15A26" w:rsidRPr="00D15A26" w:rsidTr="007B67D2">
        <w:trPr>
          <w:trHeight w:val="315"/>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dec.16</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1050</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58445566500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2354</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ian.17</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1064</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58420823900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2300</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feb.17</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1080</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58935033600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2236</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mar.17</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1092</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59572152800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2342</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apr.17</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1105</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59867360200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2366</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mai.17</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1114</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60566264200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2363</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lastRenderedPageBreak/>
              <w:t>iun.17</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1120</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61544452400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2380</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iul.17</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1141</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62453519800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2391</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aug.17</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1141</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63216904300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2364</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sept.17</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1163</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63875929500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2376</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oct.17</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1171</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64568967400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2392</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nov.17</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1169</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65522204000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2464</w:t>
            </w:r>
          </w:p>
        </w:tc>
      </w:tr>
      <w:tr w:rsidR="00D15A26" w:rsidRPr="00D15A26" w:rsidTr="007B67D2">
        <w:trPr>
          <w:trHeight w:val="315"/>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dec.17</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1164</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66155364500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2629</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ian.18</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1172</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66562607300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2484</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feb.18</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1197</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67145457700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2487</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mar.18</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1200</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67638345800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2704</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apr.18</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1197</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68141545800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2713</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mai.18</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1115</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68878442400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2704</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iun.18</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1200</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69824110800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2721</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iul.18</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1212</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70302744400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2708</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aug.18</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1197</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70963992600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2669</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sept.18</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1220</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71654298000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2688</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oct.18</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1228</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72320084000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2720</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nov.18</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1242</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72838645300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2792</w:t>
            </w:r>
          </w:p>
        </w:tc>
      </w:tr>
      <w:tr w:rsidR="00D15A26" w:rsidRPr="00D15A26" w:rsidTr="007B67D2">
        <w:trPr>
          <w:trHeight w:val="315"/>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dec.18</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1239</w:t>
            </w:r>
          </w:p>
        </w:tc>
        <w:tc>
          <w:tcPr>
            <w:tcW w:w="1498" w:type="dxa"/>
            <w:tcBorders>
              <w:top w:val="single" w:sz="4" w:space="0" w:color="auto"/>
              <w:left w:val="nil"/>
              <w:bottom w:val="single" w:sz="4" w:space="0" w:color="auto"/>
              <w:right w:val="nil"/>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73484212600</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2957</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ian.19</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1229</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74233403600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2936</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feb.19</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1233</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74684412000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2933</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mar.19</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1237</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75252500800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3075</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apr.19</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1228</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75595894600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3115</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mai.19</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1223</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75956373200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3101</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iun.19</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1216</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76492991800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3142</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iul.19</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1249</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77141070200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3119</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aug.19</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1264</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77809533500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3044</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sept.19</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1272</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78624998700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3082</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oct.19</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1296</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79508530800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3116</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nov.19</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1320</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80391070800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3179</w:t>
            </w:r>
          </w:p>
        </w:tc>
      </w:tr>
      <w:tr w:rsidR="00D15A26" w:rsidRPr="00D15A26" w:rsidTr="007B67D2">
        <w:trPr>
          <w:trHeight w:val="300"/>
        </w:trPr>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dec.19</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1341</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81175042400</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rsidR="00D15A26" w:rsidRPr="00D15A26" w:rsidRDefault="00D15A26" w:rsidP="00D15A26">
            <w:pPr>
              <w:spacing w:after="0" w:line="240" w:lineRule="auto"/>
              <w:jc w:val="center"/>
              <w:rPr>
                <w:rFonts w:ascii="Times New Roman" w:eastAsia="Times New Roman" w:hAnsi="Times New Roman" w:cs="Times New Roman"/>
                <w:color w:val="000000"/>
                <w:sz w:val="16"/>
                <w:szCs w:val="16"/>
                <w:lang w:val="en-CA" w:eastAsia="en-CA"/>
              </w:rPr>
            </w:pPr>
            <w:r w:rsidRPr="00D15A26">
              <w:rPr>
                <w:rFonts w:ascii="Times New Roman" w:eastAsia="Times New Roman" w:hAnsi="Times New Roman" w:cs="Times New Roman"/>
                <w:color w:val="000000"/>
                <w:sz w:val="16"/>
                <w:szCs w:val="16"/>
                <w:lang w:val="en-CA" w:eastAsia="en-CA"/>
              </w:rPr>
              <w:t>3340</w:t>
            </w:r>
          </w:p>
        </w:tc>
      </w:tr>
      <w:bookmarkEnd w:id="87"/>
    </w:tbl>
    <w:p w:rsidR="00D15A26" w:rsidRPr="00D15A26" w:rsidRDefault="00D15A26" w:rsidP="00D15A26">
      <w:pPr>
        <w:spacing w:after="0" w:line="240" w:lineRule="auto"/>
        <w:rPr>
          <w:rFonts w:ascii="Times New Roman" w:eastAsia="Times New Roman" w:hAnsi="Times New Roman" w:cs="Times New Roman"/>
          <w:sz w:val="16"/>
          <w:szCs w:val="16"/>
          <w:lang w:eastAsia="ro-RO"/>
        </w:rPr>
        <w:sectPr w:rsidR="00D15A26" w:rsidRPr="00D15A26" w:rsidSect="00C6187C">
          <w:type w:val="continuous"/>
          <w:pgSz w:w="11906" w:h="16838" w:code="9"/>
          <w:pgMar w:top="1138" w:right="1138" w:bottom="1138" w:left="1138" w:header="709" w:footer="709" w:gutter="0"/>
          <w:cols w:num="2" w:space="708"/>
          <w:docGrid w:linePitch="360"/>
        </w:sectPr>
      </w:pPr>
    </w:p>
    <w:p w:rsidR="00D15A26" w:rsidRPr="00D15A26" w:rsidRDefault="00D15A26" w:rsidP="00D15A26">
      <w:pPr>
        <w:spacing w:after="0" w:line="240" w:lineRule="auto"/>
        <w:rPr>
          <w:rFonts w:ascii="Times New Roman" w:eastAsia="Times New Roman" w:hAnsi="Times New Roman" w:cs="Times New Roman"/>
          <w:sz w:val="16"/>
          <w:szCs w:val="16"/>
          <w:lang w:eastAsia="ro-RO"/>
        </w:rPr>
      </w:pPr>
    </w:p>
    <w:p w:rsidR="00D15A26" w:rsidRPr="00D15A26" w:rsidRDefault="00D15A26" w:rsidP="00D15A26">
      <w:pPr>
        <w:spacing w:after="0" w:line="240" w:lineRule="auto"/>
        <w:jc w:val="center"/>
        <w:rPr>
          <w:rFonts w:ascii="Times New Roman" w:eastAsia="Times New Roman" w:hAnsi="Times New Roman" w:cs="Times New Roman"/>
          <w:sz w:val="16"/>
          <w:szCs w:val="16"/>
          <w:lang w:eastAsia="ro-RO"/>
        </w:rPr>
      </w:pPr>
      <w:bookmarkStart w:id="88" w:name="_Hlk51782161"/>
      <w:r w:rsidRPr="00D15A26">
        <w:rPr>
          <w:rFonts w:ascii="Times New Roman" w:eastAsia="Times New Roman" w:hAnsi="Times New Roman" w:cs="Times New Roman"/>
          <w:sz w:val="16"/>
          <w:szCs w:val="16"/>
          <w:lang w:eastAsia="ro-RO"/>
        </w:rPr>
        <w:t xml:space="preserve">Sursa: </w:t>
      </w:r>
      <w:hyperlink r:id="rId39" w:history="1">
        <w:r w:rsidRPr="00D15A26">
          <w:rPr>
            <w:rFonts w:ascii="Times New Roman" w:eastAsia="Times New Roman" w:hAnsi="Times New Roman" w:cs="Times New Roman"/>
            <w:sz w:val="16"/>
            <w:szCs w:val="16"/>
            <w:lang w:eastAsia="ro-RO"/>
          </w:rPr>
          <w:t>www.imobiliare.ro</w:t>
        </w:r>
      </w:hyperlink>
      <w:r w:rsidRPr="00D15A26">
        <w:rPr>
          <w:rFonts w:ascii="Times New Roman" w:eastAsia="Times New Roman" w:hAnsi="Times New Roman" w:cs="Times New Roman"/>
          <w:sz w:val="16"/>
          <w:szCs w:val="16"/>
          <w:lang w:eastAsia="ro-RO"/>
        </w:rPr>
        <w:t>, BNR, INS</w:t>
      </w:r>
    </w:p>
    <w:bookmarkEnd w:id="88"/>
    <w:p w:rsidR="00D15A26" w:rsidRPr="00D15A26" w:rsidRDefault="00D15A26" w:rsidP="00D15A26">
      <w:pPr>
        <w:spacing w:after="0" w:line="240" w:lineRule="auto"/>
        <w:ind w:firstLine="426"/>
        <w:jc w:val="both"/>
        <w:rPr>
          <w:rFonts w:ascii="Times New Roman" w:eastAsia="Times New Roman" w:hAnsi="Times New Roman" w:cs="Times New Roman"/>
          <w:sz w:val="16"/>
          <w:szCs w:val="16"/>
          <w:lang w:eastAsia="ro-RO"/>
        </w:rPr>
      </w:pPr>
    </w:p>
    <w:p w:rsidR="00455197" w:rsidRDefault="00455197"/>
    <w:sectPr w:rsidR="00455197" w:rsidSect="00C6187C">
      <w:type w:val="continuous"/>
      <w:pgSz w:w="11906" w:h="16838" w:code="9"/>
      <w:pgMar w:top="1138" w:right="1138" w:bottom="1138"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EF8" w:rsidRDefault="00EC0EF8">
      <w:pPr>
        <w:spacing w:after="0" w:line="240" w:lineRule="auto"/>
      </w:pPr>
      <w:r>
        <w:separator/>
      </w:r>
    </w:p>
  </w:endnote>
  <w:endnote w:type="continuationSeparator" w:id="0">
    <w:p w:rsidR="00EC0EF8" w:rsidRDefault="00EC0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796" w:rsidRDefault="00D15A26" w:rsidP="0066372E">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EF8" w:rsidRDefault="00EC0EF8">
      <w:pPr>
        <w:spacing w:after="0" w:line="240" w:lineRule="auto"/>
      </w:pPr>
      <w:r>
        <w:separator/>
      </w:r>
    </w:p>
  </w:footnote>
  <w:footnote w:type="continuationSeparator" w:id="0">
    <w:p w:rsidR="00EC0EF8" w:rsidRDefault="00EC0E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C32"/>
    <w:multiLevelType w:val="hybridMultilevel"/>
    <w:tmpl w:val="36827EF0"/>
    <w:lvl w:ilvl="0" w:tplc="0418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
    <w:nsid w:val="01B225D4"/>
    <w:multiLevelType w:val="hybridMultilevel"/>
    <w:tmpl w:val="10B2D23C"/>
    <w:lvl w:ilvl="0" w:tplc="00505922">
      <w:start w:val="1"/>
      <w:numFmt w:val="decimal"/>
      <w:lvlText w:val="%1."/>
      <w:lvlJc w:val="left"/>
      <w:pPr>
        <w:ind w:left="1146" w:hanging="360"/>
      </w:pPr>
      <w:rPr>
        <w:b/>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2">
    <w:nsid w:val="02243FBA"/>
    <w:multiLevelType w:val="hybridMultilevel"/>
    <w:tmpl w:val="B6C67648"/>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
    <w:nsid w:val="02C024FC"/>
    <w:multiLevelType w:val="hybridMultilevel"/>
    <w:tmpl w:val="1EF057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6244CF1"/>
    <w:multiLevelType w:val="hybridMultilevel"/>
    <w:tmpl w:val="9FCA92CE"/>
    <w:lvl w:ilvl="0" w:tplc="F130490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
    <w:nsid w:val="06B21B4C"/>
    <w:multiLevelType w:val="multilevel"/>
    <w:tmpl w:val="4F54D7D4"/>
    <w:lvl w:ilvl="0">
      <w:start w:val="1"/>
      <w:numFmt w:val="decimal"/>
      <w:lvlText w:val="%1."/>
      <w:lvlJc w:val="left"/>
      <w:pPr>
        <w:ind w:left="1146" w:hanging="360"/>
      </w:pPr>
    </w:lvl>
    <w:lvl w:ilvl="1">
      <w:start w:val="3"/>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506" w:hanging="72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1866" w:hanging="108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226" w:hanging="1440"/>
      </w:pPr>
      <w:rPr>
        <w:rFonts w:hint="default"/>
        <w:b/>
      </w:rPr>
    </w:lvl>
    <w:lvl w:ilvl="8">
      <w:start w:val="1"/>
      <w:numFmt w:val="decimal"/>
      <w:isLgl/>
      <w:lvlText w:val="%1.%2.%3.%4.%5.%6.%7.%8.%9."/>
      <w:lvlJc w:val="left"/>
      <w:pPr>
        <w:ind w:left="2586" w:hanging="1800"/>
      </w:pPr>
      <w:rPr>
        <w:rFonts w:hint="default"/>
        <w:b/>
      </w:rPr>
    </w:lvl>
  </w:abstractNum>
  <w:abstractNum w:abstractNumId="6">
    <w:nsid w:val="06C2016E"/>
    <w:multiLevelType w:val="multilevel"/>
    <w:tmpl w:val="09602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7113AC6"/>
    <w:multiLevelType w:val="multilevel"/>
    <w:tmpl w:val="4F54D7D4"/>
    <w:lvl w:ilvl="0">
      <w:start w:val="1"/>
      <w:numFmt w:val="decimal"/>
      <w:lvlText w:val="%1."/>
      <w:lvlJc w:val="left"/>
      <w:pPr>
        <w:ind w:left="928" w:hanging="360"/>
      </w:pPr>
    </w:lvl>
    <w:lvl w:ilvl="1">
      <w:start w:val="3"/>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506" w:hanging="72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1866" w:hanging="108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226" w:hanging="1440"/>
      </w:pPr>
      <w:rPr>
        <w:rFonts w:hint="default"/>
        <w:b/>
      </w:rPr>
    </w:lvl>
    <w:lvl w:ilvl="8">
      <w:start w:val="1"/>
      <w:numFmt w:val="decimal"/>
      <w:isLgl/>
      <w:lvlText w:val="%1.%2.%3.%4.%5.%6.%7.%8.%9."/>
      <w:lvlJc w:val="left"/>
      <w:pPr>
        <w:ind w:left="2586" w:hanging="1800"/>
      </w:pPr>
      <w:rPr>
        <w:rFonts w:hint="default"/>
        <w:b/>
      </w:rPr>
    </w:lvl>
  </w:abstractNum>
  <w:abstractNum w:abstractNumId="8">
    <w:nsid w:val="0F42024D"/>
    <w:multiLevelType w:val="hybridMultilevel"/>
    <w:tmpl w:val="52CA8F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33338A5"/>
    <w:multiLevelType w:val="hybridMultilevel"/>
    <w:tmpl w:val="F1222486"/>
    <w:lvl w:ilvl="0" w:tplc="C6321960">
      <w:start w:val="4"/>
      <w:numFmt w:val="decimal"/>
      <w:lvlText w:val="%1."/>
      <w:lvlJc w:val="left"/>
      <w:pPr>
        <w:ind w:left="2970" w:hanging="360"/>
      </w:pPr>
      <w:rPr>
        <w:rFonts w:hint="default"/>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10">
    <w:nsid w:val="191A27F7"/>
    <w:multiLevelType w:val="hybridMultilevel"/>
    <w:tmpl w:val="F5046370"/>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1">
    <w:nsid w:val="1BE960BC"/>
    <w:multiLevelType w:val="multilevel"/>
    <w:tmpl w:val="21808BFA"/>
    <w:lvl w:ilvl="0">
      <w:start w:val="1"/>
      <w:numFmt w:val="decimal"/>
      <w:lvlText w:val="%1."/>
      <w:lvlJc w:val="left"/>
      <w:pPr>
        <w:ind w:left="1146" w:hanging="360"/>
      </w:pPr>
    </w:lvl>
    <w:lvl w:ilvl="1">
      <w:start w:val="1"/>
      <w:numFmt w:val="decimal"/>
      <w:isLgl/>
      <w:lvlText w:val="%1.%2."/>
      <w:lvlJc w:val="left"/>
      <w:pPr>
        <w:ind w:left="360" w:hanging="360"/>
      </w:pPr>
      <w:rPr>
        <w:rFonts w:hint="default"/>
        <w:sz w:val="24"/>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2">
    <w:nsid w:val="1F234733"/>
    <w:multiLevelType w:val="hybridMultilevel"/>
    <w:tmpl w:val="409618C6"/>
    <w:lvl w:ilvl="0" w:tplc="04180001">
      <w:start w:val="1"/>
      <w:numFmt w:val="bullet"/>
      <w:lvlText w:val=""/>
      <w:lvlJc w:val="left"/>
      <w:pPr>
        <w:ind w:left="1506" w:hanging="360"/>
      </w:pPr>
      <w:rPr>
        <w:rFonts w:ascii="Symbol" w:hAnsi="Symbol"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13">
    <w:nsid w:val="210318AF"/>
    <w:multiLevelType w:val="hybridMultilevel"/>
    <w:tmpl w:val="F07EAA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3411EC6"/>
    <w:multiLevelType w:val="hybridMultilevel"/>
    <w:tmpl w:val="E834B90A"/>
    <w:lvl w:ilvl="0" w:tplc="0418000F">
      <w:start w:val="1"/>
      <w:numFmt w:val="decimal"/>
      <w:lvlText w:val="%1."/>
      <w:lvlJc w:val="left"/>
      <w:pPr>
        <w:ind w:left="540"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5">
    <w:nsid w:val="23C3341D"/>
    <w:multiLevelType w:val="hybridMultilevel"/>
    <w:tmpl w:val="D2AC9DB4"/>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6">
    <w:nsid w:val="28A9057F"/>
    <w:multiLevelType w:val="hybridMultilevel"/>
    <w:tmpl w:val="14380428"/>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7">
    <w:nsid w:val="29D45229"/>
    <w:multiLevelType w:val="hybridMultilevel"/>
    <w:tmpl w:val="6EAEAB6A"/>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8">
    <w:nsid w:val="2B8D0A16"/>
    <w:multiLevelType w:val="hybridMultilevel"/>
    <w:tmpl w:val="FDE03A6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D1A7D91"/>
    <w:multiLevelType w:val="hybridMultilevel"/>
    <w:tmpl w:val="7A54654A"/>
    <w:lvl w:ilvl="0" w:tplc="69DEE04C">
      <w:start w:val="47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68C53AD"/>
    <w:multiLevelType w:val="hybridMultilevel"/>
    <w:tmpl w:val="957A045E"/>
    <w:lvl w:ilvl="0" w:tplc="04180001">
      <w:start w:val="1"/>
      <w:numFmt w:val="bullet"/>
      <w:lvlText w:val=""/>
      <w:lvlJc w:val="left"/>
      <w:pPr>
        <w:ind w:left="1353" w:hanging="360"/>
      </w:pPr>
      <w:rPr>
        <w:rFonts w:ascii="Symbol" w:hAnsi="Symbol"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21">
    <w:nsid w:val="373E0DCE"/>
    <w:multiLevelType w:val="hybridMultilevel"/>
    <w:tmpl w:val="B2DE6454"/>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2">
    <w:nsid w:val="38A419BE"/>
    <w:multiLevelType w:val="hybridMultilevel"/>
    <w:tmpl w:val="A6B27704"/>
    <w:lvl w:ilvl="0" w:tplc="04180001">
      <w:start w:val="1"/>
      <w:numFmt w:val="bullet"/>
      <w:lvlText w:val=""/>
      <w:lvlJc w:val="left"/>
      <w:pPr>
        <w:ind w:left="1506" w:hanging="360"/>
      </w:pPr>
      <w:rPr>
        <w:rFonts w:ascii="Symbol" w:hAnsi="Symbol"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23">
    <w:nsid w:val="3E2022A1"/>
    <w:multiLevelType w:val="hybridMultilevel"/>
    <w:tmpl w:val="5DC0005A"/>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24">
    <w:nsid w:val="3F55565D"/>
    <w:multiLevelType w:val="hybridMultilevel"/>
    <w:tmpl w:val="E1A4E864"/>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5">
    <w:nsid w:val="46032C80"/>
    <w:multiLevelType w:val="hybridMultilevel"/>
    <w:tmpl w:val="CFA44950"/>
    <w:lvl w:ilvl="0" w:tplc="0418000F">
      <w:start w:val="1"/>
      <w:numFmt w:val="decimal"/>
      <w:lvlText w:val="%1."/>
      <w:lvlJc w:val="left"/>
      <w:pPr>
        <w:ind w:left="1145" w:hanging="360"/>
      </w:pPr>
      <w:rPr>
        <w:rFonts w:hint="default"/>
      </w:rPr>
    </w:lvl>
    <w:lvl w:ilvl="1" w:tplc="04180003" w:tentative="1">
      <w:start w:val="1"/>
      <w:numFmt w:val="bullet"/>
      <w:lvlText w:val="o"/>
      <w:lvlJc w:val="left"/>
      <w:pPr>
        <w:ind w:left="1865" w:hanging="360"/>
      </w:pPr>
      <w:rPr>
        <w:rFonts w:ascii="Courier New" w:hAnsi="Courier New" w:cs="Courier New" w:hint="default"/>
      </w:rPr>
    </w:lvl>
    <w:lvl w:ilvl="2" w:tplc="04180005" w:tentative="1">
      <w:start w:val="1"/>
      <w:numFmt w:val="bullet"/>
      <w:lvlText w:val=""/>
      <w:lvlJc w:val="left"/>
      <w:pPr>
        <w:ind w:left="2585" w:hanging="360"/>
      </w:pPr>
      <w:rPr>
        <w:rFonts w:ascii="Wingdings" w:hAnsi="Wingdings" w:hint="default"/>
      </w:rPr>
    </w:lvl>
    <w:lvl w:ilvl="3" w:tplc="04180001" w:tentative="1">
      <w:start w:val="1"/>
      <w:numFmt w:val="bullet"/>
      <w:lvlText w:val=""/>
      <w:lvlJc w:val="left"/>
      <w:pPr>
        <w:ind w:left="3305" w:hanging="360"/>
      </w:pPr>
      <w:rPr>
        <w:rFonts w:ascii="Symbol" w:hAnsi="Symbol" w:hint="default"/>
      </w:rPr>
    </w:lvl>
    <w:lvl w:ilvl="4" w:tplc="04180003" w:tentative="1">
      <w:start w:val="1"/>
      <w:numFmt w:val="bullet"/>
      <w:lvlText w:val="o"/>
      <w:lvlJc w:val="left"/>
      <w:pPr>
        <w:ind w:left="4025" w:hanging="360"/>
      </w:pPr>
      <w:rPr>
        <w:rFonts w:ascii="Courier New" w:hAnsi="Courier New" w:cs="Courier New" w:hint="default"/>
      </w:rPr>
    </w:lvl>
    <w:lvl w:ilvl="5" w:tplc="04180005" w:tentative="1">
      <w:start w:val="1"/>
      <w:numFmt w:val="bullet"/>
      <w:lvlText w:val=""/>
      <w:lvlJc w:val="left"/>
      <w:pPr>
        <w:ind w:left="4745" w:hanging="360"/>
      </w:pPr>
      <w:rPr>
        <w:rFonts w:ascii="Wingdings" w:hAnsi="Wingdings" w:hint="default"/>
      </w:rPr>
    </w:lvl>
    <w:lvl w:ilvl="6" w:tplc="04180001" w:tentative="1">
      <w:start w:val="1"/>
      <w:numFmt w:val="bullet"/>
      <w:lvlText w:val=""/>
      <w:lvlJc w:val="left"/>
      <w:pPr>
        <w:ind w:left="5465" w:hanging="360"/>
      </w:pPr>
      <w:rPr>
        <w:rFonts w:ascii="Symbol" w:hAnsi="Symbol" w:hint="default"/>
      </w:rPr>
    </w:lvl>
    <w:lvl w:ilvl="7" w:tplc="04180003" w:tentative="1">
      <w:start w:val="1"/>
      <w:numFmt w:val="bullet"/>
      <w:lvlText w:val="o"/>
      <w:lvlJc w:val="left"/>
      <w:pPr>
        <w:ind w:left="6185" w:hanging="360"/>
      </w:pPr>
      <w:rPr>
        <w:rFonts w:ascii="Courier New" w:hAnsi="Courier New" w:cs="Courier New" w:hint="default"/>
      </w:rPr>
    </w:lvl>
    <w:lvl w:ilvl="8" w:tplc="04180005" w:tentative="1">
      <w:start w:val="1"/>
      <w:numFmt w:val="bullet"/>
      <w:lvlText w:val=""/>
      <w:lvlJc w:val="left"/>
      <w:pPr>
        <w:ind w:left="6905" w:hanging="360"/>
      </w:pPr>
      <w:rPr>
        <w:rFonts w:ascii="Wingdings" w:hAnsi="Wingdings" w:hint="default"/>
      </w:rPr>
    </w:lvl>
  </w:abstractNum>
  <w:abstractNum w:abstractNumId="26">
    <w:nsid w:val="470C4CE9"/>
    <w:multiLevelType w:val="hybridMultilevel"/>
    <w:tmpl w:val="B77C8746"/>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7">
    <w:nsid w:val="48EE29AC"/>
    <w:multiLevelType w:val="multilevel"/>
    <w:tmpl w:val="AF7E24FE"/>
    <w:lvl w:ilvl="0">
      <w:start w:val="1"/>
      <w:numFmt w:val="decimal"/>
      <w:lvlText w:val="%1."/>
      <w:lvlJc w:val="left"/>
      <w:pPr>
        <w:ind w:left="1146" w:hanging="360"/>
      </w:pPr>
      <w:rPr>
        <w:b w:val="0"/>
      </w:rPr>
    </w:lvl>
    <w:lvl w:ilvl="1">
      <w:start w:val="3"/>
      <w:numFmt w:val="decimal"/>
      <w:isLgl/>
      <w:lvlText w:val="%1.%2."/>
      <w:lvlJc w:val="left"/>
      <w:pPr>
        <w:ind w:left="360"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506" w:hanging="72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1866" w:hanging="108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226" w:hanging="1440"/>
      </w:pPr>
      <w:rPr>
        <w:rFonts w:hint="default"/>
        <w:b/>
      </w:rPr>
    </w:lvl>
    <w:lvl w:ilvl="8">
      <w:start w:val="1"/>
      <w:numFmt w:val="decimal"/>
      <w:isLgl/>
      <w:lvlText w:val="%1.%2.%3.%4.%5.%6.%7.%8.%9."/>
      <w:lvlJc w:val="left"/>
      <w:pPr>
        <w:ind w:left="2586" w:hanging="1800"/>
      </w:pPr>
      <w:rPr>
        <w:rFonts w:hint="default"/>
        <w:b/>
      </w:rPr>
    </w:lvl>
  </w:abstractNum>
  <w:abstractNum w:abstractNumId="28">
    <w:nsid w:val="49366BB5"/>
    <w:multiLevelType w:val="hybridMultilevel"/>
    <w:tmpl w:val="440E1C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497A01DB"/>
    <w:multiLevelType w:val="hybridMultilevel"/>
    <w:tmpl w:val="38A0A348"/>
    <w:lvl w:ilvl="0" w:tplc="F73C7684">
      <w:start w:val="8"/>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0">
    <w:nsid w:val="4CE77F64"/>
    <w:multiLevelType w:val="hybridMultilevel"/>
    <w:tmpl w:val="388EFCC0"/>
    <w:lvl w:ilvl="0" w:tplc="5FBC0DC2">
      <w:start w:val="1"/>
      <w:numFmt w:val="decimal"/>
      <w:lvlText w:val="%1."/>
      <w:lvlJc w:val="left"/>
      <w:pPr>
        <w:ind w:left="792" w:hanging="360"/>
      </w:pPr>
      <w:rPr>
        <w:rFonts w:hint="default"/>
      </w:rPr>
    </w:lvl>
    <w:lvl w:ilvl="1" w:tplc="04180019">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31">
    <w:nsid w:val="4DCD0091"/>
    <w:multiLevelType w:val="hybridMultilevel"/>
    <w:tmpl w:val="F00EDFC4"/>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2">
    <w:nsid w:val="4DFF6684"/>
    <w:multiLevelType w:val="hybridMultilevel"/>
    <w:tmpl w:val="83B8B442"/>
    <w:lvl w:ilvl="0" w:tplc="BF1059EE">
      <w:start w:val="1"/>
      <w:numFmt w:val="decimal"/>
      <w:lvlText w:val="%1."/>
      <w:lvlJc w:val="left"/>
      <w:pPr>
        <w:ind w:left="786" w:hanging="360"/>
      </w:pPr>
      <w:rPr>
        <w:rFonts w:hint="default"/>
        <w:b w:val="0"/>
        <w:sz w:val="24"/>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3">
    <w:nsid w:val="55782C04"/>
    <w:multiLevelType w:val="hybridMultilevel"/>
    <w:tmpl w:val="C37E39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57D67405"/>
    <w:multiLevelType w:val="hybridMultilevel"/>
    <w:tmpl w:val="7FFE96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58AD239B"/>
    <w:multiLevelType w:val="hybridMultilevel"/>
    <w:tmpl w:val="34F27ED8"/>
    <w:lvl w:ilvl="0" w:tplc="8A9E77C4">
      <w:start w:val="1"/>
      <w:numFmt w:val="decimal"/>
      <w:lvlText w:val="%1."/>
      <w:lvlJc w:val="left"/>
      <w:pPr>
        <w:ind w:left="786" w:hanging="360"/>
      </w:pPr>
      <w:rPr>
        <w:rFonts w:hint="default"/>
        <w:b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6">
    <w:nsid w:val="59B41B59"/>
    <w:multiLevelType w:val="hybridMultilevel"/>
    <w:tmpl w:val="55061916"/>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AB46E66"/>
    <w:multiLevelType w:val="hybridMultilevel"/>
    <w:tmpl w:val="3BA44AB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DD16B37"/>
    <w:multiLevelType w:val="hybridMultilevel"/>
    <w:tmpl w:val="B406DB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E0F2598"/>
    <w:multiLevelType w:val="hybridMultilevel"/>
    <w:tmpl w:val="260ABD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F4B0CC6"/>
    <w:multiLevelType w:val="hybridMultilevel"/>
    <w:tmpl w:val="8780A3E8"/>
    <w:lvl w:ilvl="0" w:tplc="04180001">
      <w:start w:val="1"/>
      <w:numFmt w:val="bullet"/>
      <w:lvlText w:val=""/>
      <w:lvlJc w:val="left"/>
      <w:pPr>
        <w:ind w:left="450" w:hanging="360"/>
      </w:pPr>
      <w:rPr>
        <w:rFonts w:ascii="Symbol" w:hAnsi="Symbo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41">
    <w:nsid w:val="6DC159A1"/>
    <w:multiLevelType w:val="multilevel"/>
    <w:tmpl w:val="1C4A8B92"/>
    <w:lvl w:ilvl="0">
      <w:start w:val="1"/>
      <w:numFmt w:val="decimal"/>
      <w:lvlText w:val="%1."/>
      <w:lvlJc w:val="left"/>
      <w:pPr>
        <w:ind w:left="1146" w:hanging="360"/>
      </w:pPr>
      <w:rPr>
        <w:rFonts w:hint="default"/>
      </w:rPr>
    </w:lvl>
    <w:lvl w:ilvl="1">
      <w:start w:val="3"/>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506" w:hanging="72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1866" w:hanging="108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226" w:hanging="1440"/>
      </w:pPr>
      <w:rPr>
        <w:rFonts w:hint="default"/>
        <w:b/>
      </w:rPr>
    </w:lvl>
    <w:lvl w:ilvl="8">
      <w:start w:val="1"/>
      <w:numFmt w:val="decimal"/>
      <w:isLgl/>
      <w:lvlText w:val="%1.%2.%3.%4.%5.%6.%7.%8.%9."/>
      <w:lvlJc w:val="left"/>
      <w:pPr>
        <w:ind w:left="2586" w:hanging="1800"/>
      </w:pPr>
      <w:rPr>
        <w:rFonts w:hint="default"/>
        <w:b/>
      </w:rPr>
    </w:lvl>
  </w:abstractNum>
  <w:abstractNum w:abstractNumId="42">
    <w:nsid w:val="7081651E"/>
    <w:multiLevelType w:val="hybridMultilevel"/>
    <w:tmpl w:val="11C4E63A"/>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43">
    <w:nsid w:val="74C903E8"/>
    <w:multiLevelType w:val="hybridMultilevel"/>
    <w:tmpl w:val="151E9F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7D9C2DFA"/>
    <w:multiLevelType w:val="hybridMultilevel"/>
    <w:tmpl w:val="B56802E2"/>
    <w:lvl w:ilvl="0" w:tplc="D118FE22">
      <w:start w:val="1"/>
      <w:numFmt w:val="bullet"/>
      <w:lvlText w:val=""/>
      <w:lvlJc w:val="left"/>
      <w:pPr>
        <w:ind w:left="1146" w:hanging="360"/>
      </w:pPr>
      <w:rPr>
        <w:rFonts w:ascii="Wingdings" w:hAnsi="Wingdings" w:hint="default"/>
        <w:color w:val="auto"/>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45">
    <w:nsid w:val="7E717CDB"/>
    <w:multiLevelType w:val="hybridMultilevel"/>
    <w:tmpl w:val="4872BA4A"/>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num w:numId="1">
    <w:abstractNumId w:val="20"/>
  </w:num>
  <w:num w:numId="2">
    <w:abstractNumId w:val="40"/>
  </w:num>
  <w:num w:numId="3">
    <w:abstractNumId w:val="29"/>
  </w:num>
  <w:num w:numId="4">
    <w:abstractNumId w:val="19"/>
  </w:num>
  <w:num w:numId="5">
    <w:abstractNumId w:val="31"/>
  </w:num>
  <w:num w:numId="6">
    <w:abstractNumId w:val="43"/>
  </w:num>
  <w:num w:numId="7">
    <w:abstractNumId w:val="21"/>
  </w:num>
  <w:num w:numId="8">
    <w:abstractNumId w:val="18"/>
  </w:num>
  <w:num w:numId="9">
    <w:abstractNumId w:val="27"/>
  </w:num>
  <w:num w:numId="10">
    <w:abstractNumId w:val="42"/>
  </w:num>
  <w:num w:numId="11">
    <w:abstractNumId w:val="25"/>
  </w:num>
  <w:num w:numId="12">
    <w:abstractNumId w:val="2"/>
  </w:num>
  <w:num w:numId="13">
    <w:abstractNumId w:val="16"/>
  </w:num>
  <w:num w:numId="14">
    <w:abstractNumId w:val="38"/>
  </w:num>
  <w:num w:numId="15">
    <w:abstractNumId w:val="22"/>
  </w:num>
  <w:num w:numId="16">
    <w:abstractNumId w:val="44"/>
  </w:num>
  <w:num w:numId="17">
    <w:abstractNumId w:val="24"/>
  </w:num>
  <w:num w:numId="18">
    <w:abstractNumId w:val="39"/>
  </w:num>
  <w:num w:numId="19">
    <w:abstractNumId w:val="41"/>
  </w:num>
  <w:num w:numId="20">
    <w:abstractNumId w:val="11"/>
  </w:num>
  <w:num w:numId="21">
    <w:abstractNumId w:val="14"/>
  </w:num>
  <w:num w:numId="22">
    <w:abstractNumId w:val="10"/>
  </w:num>
  <w:num w:numId="23">
    <w:abstractNumId w:val="23"/>
  </w:num>
  <w:num w:numId="24">
    <w:abstractNumId w:val="3"/>
  </w:num>
  <w:num w:numId="25">
    <w:abstractNumId w:val="34"/>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26"/>
  </w:num>
  <w:num w:numId="30">
    <w:abstractNumId w:val="0"/>
  </w:num>
  <w:num w:numId="31">
    <w:abstractNumId w:val="28"/>
  </w:num>
  <w:num w:numId="32">
    <w:abstractNumId w:val="4"/>
  </w:num>
  <w:num w:numId="33">
    <w:abstractNumId w:val="12"/>
  </w:num>
  <w:num w:numId="34">
    <w:abstractNumId w:val="32"/>
  </w:num>
  <w:num w:numId="35">
    <w:abstractNumId w:val="1"/>
  </w:num>
  <w:num w:numId="36">
    <w:abstractNumId w:val="15"/>
  </w:num>
  <w:num w:numId="37">
    <w:abstractNumId w:val="5"/>
  </w:num>
  <w:num w:numId="38">
    <w:abstractNumId w:val="7"/>
  </w:num>
  <w:num w:numId="39">
    <w:abstractNumId w:val="45"/>
  </w:num>
  <w:num w:numId="40">
    <w:abstractNumId w:val="33"/>
  </w:num>
  <w:num w:numId="41">
    <w:abstractNumId w:val="13"/>
  </w:num>
  <w:num w:numId="42">
    <w:abstractNumId w:val="17"/>
  </w:num>
  <w:num w:numId="43">
    <w:abstractNumId w:val="6"/>
  </w:num>
  <w:num w:numId="44">
    <w:abstractNumId w:val="8"/>
  </w:num>
  <w:num w:numId="45">
    <w:abstractNumId w:val="30"/>
  </w:num>
  <w:num w:numId="46">
    <w:abstractNumId w:val="9"/>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A26"/>
    <w:rsid w:val="00013B75"/>
    <w:rsid w:val="00455197"/>
    <w:rsid w:val="00475362"/>
    <w:rsid w:val="00D15A26"/>
    <w:rsid w:val="00EC0E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D15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15A2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D15A26"/>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
    <w:rsid w:val="00D15A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15A2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D15A26"/>
    <w:rPr>
      <w:rFonts w:ascii="Cambria" w:eastAsia="Times New Roman" w:hAnsi="Cambria" w:cs="Times New Roman"/>
      <w:b/>
      <w:bCs/>
      <w:color w:val="4F81BD"/>
    </w:rPr>
  </w:style>
  <w:style w:type="paragraph" w:customStyle="1" w:styleId="Heading11">
    <w:name w:val="Heading 11"/>
    <w:basedOn w:val="Normal"/>
    <w:next w:val="Normal"/>
    <w:link w:val="Heading1Char"/>
    <w:uiPriority w:val="9"/>
    <w:qFormat/>
    <w:rsid w:val="00D15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1">
    <w:name w:val="Heading 21"/>
    <w:basedOn w:val="Normal"/>
    <w:next w:val="Normal"/>
    <w:uiPriority w:val="9"/>
    <w:semiHidden/>
    <w:unhideWhenUsed/>
    <w:qFormat/>
    <w:rsid w:val="00D15A26"/>
    <w:pPr>
      <w:keepNext/>
      <w:keepLines/>
      <w:spacing w:before="200" w:after="0"/>
      <w:outlineLvl w:val="1"/>
    </w:pPr>
    <w:rPr>
      <w:rFonts w:ascii="Cambria" w:eastAsia="Times New Roman" w:hAnsi="Cambria" w:cs="Times New Roman"/>
      <w:b/>
      <w:bCs/>
      <w:color w:val="4F81BD"/>
      <w:sz w:val="26"/>
      <w:szCs w:val="26"/>
      <w:lang w:eastAsia="ro-RO"/>
    </w:rPr>
  </w:style>
  <w:style w:type="paragraph" w:customStyle="1" w:styleId="Heading31">
    <w:name w:val="Heading 31"/>
    <w:basedOn w:val="Normal"/>
    <w:next w:val="Normal"/>
    <w:uiPriority w:val="9"/>
    <w:semiHidden/>
    <w:unhideWhenUsed/>
    <w:qFormat/>
    <w:rsid w:val="00D15A26"/>
    <w:pPr>
      <w:keepNext/>
      <w:keepLines/>
      <w:spacing w:before="200" w:after="0"/>
      <w:outlineLvl w:val="2"/>
    </w:pPr>
    <w:rPr>
      <w:rFonts w:ascii="Cambria" w:eastAsia="Times New Roman" w:hAnsi="Cambria" w:cs="Times New Roman"/>
      <w:b/>
      <w:bCs/>
      <w:color w:val="4F81BD"/>
      <w:lang w:eastAsia="ro-RO"/>
    </w:rPr>
  </w:style>
  <w:style w:type="numbering" w:customStyle="1" w:styleId="NoList1">
    <w:name w:val="No List1"/>
    <w:next w:val="NoList"/>
    <w:uiPriority w:val="99"/>
    <w:semiHidden/>
    <w:unhideWhenUsed/>
    <w:rsid w:val="00D15A26"/>
  </w:style>
  <w:style w:type="paragraph" w:styleId="BalloonText">
    <w:name w:val="Balloon Text"/>
    <w:basedOn w:val="Normal"/>
    <w:link w:val="BalloonTextChar"/>
    <w:uiPriority w:val="99"/>
    <w:semiHidden/>
    <w:unhideWhenUsed/>
    <w:rsid w:val="00D15A26"/>
    <w:pPr>
      <w:spacing w:after="0" w:line="240" w:lineRule="auto"/>
    </w:pPr>
    <w:rPr>
      <w:rFonts w:ascii="Tahoma" w:eastAsia="Times New Roman" w:hAnsi="Tahoma" w:cs="Tahoma"/>
      <w:sz w:val="16"/>
      <w:szCs w:val="16"/>
      <w:lang w:eastAsia="ro-RO"/>
    </w:rPr>
  </w:style>
  <w:style w:type="character" w:customStyle="1" w:styleId="BalloonTextChar">
    <w:name w:val="Balloon Text Char"/>
    <w:basedOn w:val="DefaultParagraphFont"/>
    <w:link w:val="BalloonText"/>
    <w:uiPriority w:val="99"/>
    <w:semiHidden/>
    <w:rsid w:val="00D15A26"/>
    <w:rPr>
      <w:rFonts w:ascii="Tahoma" w:eastAsia="Times New Roman" w:hAnsi="Tahoma" w:cs="Tahoma"/>
      <w:sz w:val="16"/>
      <w:szCs w:val="16"/>
      <w:lang w:eastAsia="ro-RO"/>
    </w:rPr>
  </w:style>
  <w:style w:type="paragraph" w:styleId="Footer">
    <w:name w:val="footer"/>
    <w:basedOn w:val="Normal"/>
    <w:link w:val="FooterChar"/>
    <w:uiPriority w:val="99"/>
    <w:unhideWhenUsed/>
    <w:rsid w:val="00D15A26"/>
    <w:pPr>
      <w:tabs>
        <w:tab w:val="center" w:pos="4677"/>
        <w:tab w:val="right" w:pos="9355"/>
      </w:tabs>
      <w:spacing w:after="0" w:line="240" w:lineRule="auto"/>
    </w:pPr>
    <w:rPr>
      <w:rFonts w:eastAsia="Times New Roman"/>
      <w:lang w:eastAsia="ro-RO"/>
    </w:rPr>
  </w:style>
  <w:style w:type="character" w:customStyle="1" w:styleId="FooterChar">
    <w:name w:val="Footer Char"/>
    <w:basedOn w:val="DefaultParagraphFont"/>
    <w:link w:val="Footer"/>
    <w:uiPriority w:val="99"/>
    <w:rsid w:val="00D15A26"/>
    <w:rPr>
      <w:rFonts w:eastAsia="Times New Roman"/>
      <w:lang w:eastAsia="ro-RO"/>
    </w:rPr>
  </w:style>
  <w:style w:type="paragraph" w:styleId="NormalWeb">
    <w:name w:val="Normal (Web)"/>
    <w:basedOn w:val="Normal"/>
    <w:uiPriority w:val="99"/>
    <w:unhideWhenUsed/>
    <w:rsid w:val="00D15A2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yperlink1">
    <w:name w:val="Hyperlink1"/>
    <w:basedOn w:val="DefaultParagraphFont"/>
    <w:uiPriority w:val="99"/>
    <w:unhideWhenUsed/>
    <w:rsid w:val="00D15A26"/>
    <w:rPr>
      <w:color w:val="0000FF"/>
      <w:u w:val="single"/>
    </w:rPr>
  </w:style>
  <w:style w:type="table" w:customStyle="1" w:styleId="TableGrid1">
    <w:name w:val="Table Grid1"/>
    <w:basedOn w:val="TableNormal"/>
    <w:next w:val="TableGrid"/>
    <w:uiPriority w:val="59"/>
    <w:rsid w:val="00D15A26"/>
    <w:pPr>
      <w:spacing w:after="0" w:line="240" w:lineRule="auto"/>
    </w:pPr>
    <w:rPr>
      <w:rFonts w:eastAsia="Times New Roman"/>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15A26"/>
    <w:pPr>
      <w:ind w:left="720"/>
      <w:contextualSpacing/>
    </w:pPr>
    <w:rPr>
      <w:rFonts w:eastAsia="Times New Roman"/>
      <w:lang w:eastAsia="ro-RO"/>
    </w:rPr>
  </w:style>
  <w:style w:type="paragraph" w:styleId="FootnoteText">
    <w:name w:val="footnote text"/>
    <w:basedOn w:val="Normal"/>
    <w:link w:val="FootnoteTextChar"/>
    <w:uiPriority w:val="99"/>
    <w:unhideWhenUsed/>
    <w:rsid w:val="00D15A26"/>
    <w:pPr>
      <w:spacing w:after="0" w:line="240" w:lineRule="auto"/>
    </w:pPr>
    <w:rPr>
      <w:rFonts w:eastAsia="Times New Roman"/>
      <w:sz w:val="20"/>
      <w:szCs w:val="20"/>
      <w:lang w:eastAsia="ro-RO"/>
    </w:rPr>
  </w:style>
  <w:style w:type="character" w:customStyle="1" w:styleId="FootnoteTextChar">
    <w:name w:val="Footnote Text Char"/>
    <w:basedOn w:val="DefaultParagraphFont"/>
    <w:link w:val="FootnoteText"/>
    <w:uiPriority w:val="99"/>
    <w:rsid w:val="00D15A26"/>
    <w:rPr>
      <w:rFonts w:eastAsia="Times New Roman"/>
      <w:sz w:val="20"/>
      <w:szCs w:val="20"/>
      <w:lang w:eastAsia="ro-RO"/>
    </w:rPr>
  </w:style>
  <w:style w:type="character" w:styleId="FootnoteReference">
    <w:name w:val="footnote reference"/>
    <w:basedOn w:val="DefaultParagraphFont"/>
    <w:uiPriority w:val="99"/>
    <w:semiHidden/>
    <w:unhideWhenUsed/>
    <w:rsid w:val="00D15A26"/>
    <w:rPr>
      <w:vertAlign w:val="superscript"/>
    </w:rPr>
  </w:style>
  <w:style w:type="paragraph" w:customStyle="1" w:styleId="Caption1">
    <w:name w:val="Caption1"/>
    <w:basedOn w:val="Normal"/>
    <w:next w:val="Normal"/>
    <w:uiPriority w:val="35"/>
    <w:unhideWhenUsed/>
    <w:qFormat/>
    <w:rsid w:val="00D15A26"/>
    <w:pPr>
      <w:spacing w:line="240" w:lineRule="auto"/>
    </w:pPr>
    <w:rPr>
      <w:rFonts w:eastAsia="Times New Roman"/>
      <w:b/>
      <w:bCs/>
      <w:color w:val="4F81BD"/>
      <w:sz w:val="18"/>
      <w:szCs w:val="18"/>
      <w:lang w:eastAsia="ro-RO"/>
    </w:rPr>
  </w:style>
  <w:style w:type="character" w:customStyle="1" w:styleId="FollowedHyperlink1">
    <w:name w:val="FollowedHyperlink1"/>
    <w:basedOn w:val="DefaultParagraphFont"/>
    <w:uiPriority w:val="99"/>
    <w:semiHidden/>
    <w:unhideWhenUsed/>
    <w:rsid w:val="00D15A26"/>
    <w:rPr>
      <w:color w:val="800080"/>
      <w:u w:val="single"/>
    </w:rPr>
  </w:style>
  <w:style w:type="table" w:customStyle="1" w:styleId="LightShading1">
    <w:name w:val="Light Shading1"/>
    <w:basedOn w:val="TableNormal"/>
    <w:next w:val="LightShading"/>
    <w:uiPriority w:val="60"/>
    <w:rsid w:val="00D15A26"/>
    <w:pPr>
      <w:spacing w:after="0" w:line="240" w:lineRule="auto"/>
    </w:pPr>
    <w:rPr>
      <w:rFonts w:eastAsia="Times New Roman"/>
      <w:color w:val="000000"/>
      <w:lang w:eastAsia="ro-R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D15A26"/>
    <w:pPr>
      <w:tabs>
        <w:tab w:val="center" w:pos="4536"/>
        <w:tab w:val="right" w:pos="9072"/>
      </w:tabs>
      <w:spacing w:after="0" w:line="240" w:lineRule="auto"/>
    </w:pPr>
    <w:rPr>
      <w:rFonts w:eastAsia="Times New Roman"/>
      <w:lang w:eastAsia="ro-RO"/>
    </w:rPr>
  </w:style>
  <w:style w:type="character" w:customStyle="1" w:styleId="HeaderChar">
    <w:name w:val="Header Char"/>
    <w:basedOn w:val="DefaultParagraphFont"/>
    <w:link w:val="Header"/>
    <w:uiPriority w:val="99"/>
    <w:rsid w:val="00D15A26"/>
    <w:rPr>
      <w:rFonts w:eastAsia="Times New Roman"/>
      <w:lang w:eastAsia="ro-RO"/>
    </w:rPr>
  </w:style>
  <w:style w:type="table" w:customStyle="1" w:styleId="LightShading-Accent11">
    <w:name w:val="Light Shading - Accent 11"/>
    <w:basedOn w:val="TableNormal"/>
    <w:next w:val="LightShading-Accent1"/>
    <w:uiPriority w:val="60"/>
    <w:rsid w:val="00D15A26"/>
    <w:pPr>
      <w:spacing w:after="0" w:line="240" w:lineRule="auto"/>
    </w:pPr>
    <w:rPr>
      <w:rFonts w:eastAsia="Times New Roman"/>
      <w:color w:val="365F91"/>
      <w:lang w:eastAsia="ro-R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1Char1">
    <w:name w:val="Heading 1 Char1"/>
    <w:basedOn w:val="DefaultParagraphFont"/>
    <w:link w:val="Heading1"/>
    <w:uiPriority w:val="9"/>
    <w:rsid w:val="00D15A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15A26"/>
    <w:pPr>
      <w:outlineLvl w:val="9"/>
    </w:pPr>
    <w:rPr>
      <w:lang w:eastAsia="ro-RO"/>
    </w:rPr>
  </w:style>
  <w:style w:type="paragraph" w:styleId="TOC1">
    <w:name w:val="toc 1"/>
    <w:basedOn w:val="Normal"/>
    <w:next w:val="Normal"/>
    <w:autoRedefine/>
    <w:uiPriority w:val="39"/>
    <w:unhideWhenUsed/>
    <w:rsid w:val="00D15A26"/>
    <w:pPr>
      <w:tabs>
        <w:tab w:val="right" w:leader="dot" w:pos="9344"/>
      </w:tabs>
      <w:spacing w:after="0"/>
    </w:pPr>
    <w:rPr>
      <w:rFonts w:ascii="Times New Roman" w:eastAsia="Times New Roman" w:hAnsi="Times New Roman" w:cs="Times New Roman"/>
      <w:b/>
      <w:bCs/>
      <w:iCs/>
      <w:noProof/>
      <w:kern w:val="32"/>
      <w:sz w:val="24"/>
      <w:szCs w:val="24"/>
      <w:lang w:eastAsia="ro-RO"/>
    </w:rPr>
  </w:style>
  <w:style w:type="paragraph" w:styleId="TOC2">
    <w:name w:val="toc 2"/>
    <w:basedOn w:val="Normal"/>
    <w:next w:val="Normal"/>
    <w:autoRedefine/>
    <w:uiPriority w:val="39"/>
    <w:unhideWhenUsed/>
    <w:rsid w:val="00D15A26"/>
    <w:pPr>
      <w:tabs>
        <w:tab w:val="left" w:pos="880"/>
        <w:tab w:val="right" w:leader="dot" w:pos="9344"/>
      </w:tabs>
      <w:spacing w:after="0"/>
      <w:ind w:left="220" w:firstLine="426"/>
    </w:pPr>
    <w:rPr>
      <w:rFonts w:ascii="Times New Roman" w:eastAsia="Times New Roman" w:hAnsi="Times New Roman" w:cs="Times New Roman"/>
      <w:bCs/>
      <w:noProof/>
      <w:sz w:val="24"/>
      <w:szCs w:val="24"/>
      <w:lang w:val="en-US" w:eastAsia="ro-RO"/>
    </w:rPr>
  </w:style>
  <w:style w:type="paragraph" w:styleId="TOC3">
    <w:name w:val="toc 3"/>
    <w:basedOn w:val="Normal"/>
    <w:next w:val="Normal"/>
    <w:autoRedefine/>
    <w:uiPriority w:val="39"/>
    <w:unhideWhenUsed/>
    <w:rsid w:val="00D15A26"/>
    <w:pPr>
      <w:spacing w:after="100"/>
      <w:ind w:left="440"/>
    </w:pPr>
    <w:rPr>
      <w:rFonts w:eastAsia="Times New Roman"/>
      <w:lang w:eastAsia="ro-RO"/>
    </w:rPr>
  </w:style>
  <w:style w:type="paragraph" w:styleId="TableofFigures">
    <w:name w:val="table of figures"/>
    <w:basedOn w:val="Normal"/>
    <w:next w:val="Normal"/>
    <w:uiPriority w:val="99"/>
    <w:unhideWhenUsed/>
    <w:rsid w:val="00D15A26"/>
    <w:pPr>
      <w:spacing w:after="0"/>
    </w:pPr>
    <w:rPr>
      <w:rFonts w:ascii="Times New Roman" w:eastAsia="Times New Roman" w:hAnsi="Times New Roman"/>
      <w:sz w:val="24"/>
      <w:lang w:eastAsia="ro-RO"/>
    </w:rPr>
  </w:style>
  <w:style w:type="character" w:customStyle="1" w:styleId="Heading2Char1">
    <w:name w:val="Heading 2 Char1"/>
    <w:basedOn w:val="DefaultParagraphFont"/>
    <w:uiPriority w:val="9"/>
    <w:semiHidden/>
    <w:rsid w:val="00D15A26"/>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D15A26"/>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D15A26"/>
    <w:rPr>
      <w:color w:val="0000FF" w:themeColor="hyperlink"/>
      <w:u w:val="single"/>
    </w:rPr>
  </w:style>
  <w:style w:type="table" w:styleId="TableGrid">
    <w:name w:val="Table Grid"/>
    <w:basedOn w:val="TableNormal"/>
    <w:uiPriority w:val="59"/>
    <w:rsid w:val="00D15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15A26"/>
    <w:rPr>
      <w:color w:val="800080" w:themeColor="followedHyperlink"/>
      <w:u w:val="single"/>
    </w:rPr>
  </w:style>
  <w:style w:type="table" w:styleId="LightShading">
    <w:name w:val="Light Shading"/>
    <w:basedOn w:val="TableNormal"/>
    <w:uiPriority w:val="60"/>
    <w:rsid w:val="00D15A2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15A2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UnresolvedMention">
    <w:name w:val="Unresolved Mention"/>
    <w:basedOn w:val="DefaultParagraphFont"/>
    <w:uiPriority w:val="99"/>
    <w:semiHidden/>
    <w:unhideWhenUsed/>
    <w:rsid w:val="00D15A2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D15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15A2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D15A26"/>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
    <w:rsid w:val="00D15A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15A2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D15A26"/>
    <w:rPr>
      <w:rFonts w:ascii="Cambria" w:eastAsia="Times New Roman" w:hAnsi="Cambria" w:cs="Times New Roman"/>
      <w:b/>
      <w:bCs/>
      <w:color w:val="4F81BD"/>
    </w:rPr>
  </w:style>
  <w:style w:type="paragraph" w:customStyle="1" w:styleId="Heading11">
    <w:name w:val="Heading 11"/>
    <w:basedOn w:val="Normal"/>
    <w:next w:val="Normal"/>
    <w:link w:val="Heading1Char"/>
    <w:uiPriority w:val="9"/>
    <w:qFormat/>
    <w:rsid w:val="00D15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1">
    <w:name w:val="Heading 21"/>
    <w:basedOn w:val="Normal"/>
    <w:next w:val="Normal"/>
    <w:uiPriority w:val="9"/>
    <w:semiHidden/>
    <w:unhideWhenUsed/>
    <w:qFormat/>
    <w:rsid w:val="00D15A26"/>
    <w:pPr>
      <w:keepNext/>
      <w:keepLines/>
      <w:spacing w:before="200" w:after="0"/>
      <w:outlineLvl w:val="1"/>
    </w:pPr>
    <w:rPr>
      <w:rFonts w:ascii="Cambria" w:eastAsia="Times New Roman" w:hAnsi="Cambria" w:cs="Times New Roman"/>
      <w:b/>
      <w:bCs/>
      <w:color w:val="4F81BD"/>
      <w:sz w:val="26"/>
      <w:szCs w:val="26"/>
      <w:lang w:eastAsia="ro-RO"/>
    </w:rPr>
  </w:style>
  <w:style w:type="paragraph" w:customStyle="1" w:styleId="Heading31">
    <w:name w:val="Heading 31"/>
    <w:basedOn w:val="Normal"/>
    <w:next w:val="Normal"/>
    <w:uiPriority w:val="9"/>
    <w:semiHidden/>
    <w:unhideWhenUsed/>
    <w:qFormat/>
    <w:rsid w:val="00D15A26"/>
    <w:pPr>
      <w:keepNext/>
      <w:keepLines/>
      <w:spacing w:before="200" w:after="0"/>
      <w:outlineLvl w:val="2"/>
    </w:pPr>
    <w:rPr>
      <w:rFonts w:ascii="Cambria" w:eastAsia="Times New Roman" w:hAnsi="Cambria" w:cs="Times New Roman"/>
      <w:b/>
      <w:bCs/>
      <w:color w:val="4F81BD"/>
      <w:lang w:eastAsia="ro-RO"/>
    </w:rPr>
  </w:style>
  <w:style w:type="numbering" w:customStyle="1" w:styleId="NoList1">
    <w:name w:val="No List1"/>
    <w:next w:val="NoList"/>
    <w:uiPriority w:val="99"/>
    <w:semiHidden/>
    <w:unhideWhenUsed/>
    <w:rsid w:val="00D15A26"/>
  </w:style>
  <w:style w:type="paragraph" w:styleId="BalloonText">
    <w:name w:val="Balloon Text"/>
    <w:basedOn w:val="Normal"/>
    <w:link w:val="BalloonTextChar"/>
    <w:uiPriority w:val="99"/>
    <w:semiHidden/>
    <w:unhideWhenUsed/>
    <w:rsid w:val="00D15A26"/>
    <w:pPr>
      <w:spacing w:after="0" w:line="240" w:lineRule="auto"/>
    </w:pPr>
    <w:rPr>
      <w:rFonts w:ascii="Tahoma" w:eastAsia="Times New Roman" w:hAnsi="Tahoma" w:cs="Tahoma"/>
      <w:sz w:val="16"/>
      <w:szCs w:val="16"/>
      <w:lang w:eastAsia="ro-RO"/>
    </w:rPr>
  </w:style>
  <w:style w:type="character" w:customStyle="1" w:styleId="BalloonTextChar">
    <w:name w:val="Balloon Text Char"/>
    <w:basedOn w:val="DefaultParagraphFont"/>
    <w:link w:val="BalloonText"/>
    <w:uiPriority w:val="99"/>
    <w:semiHidden/>
    <w:rsid w:val="00D15A26"/>
    <w:rPr>
      <w:rFonts w:ascii="Tahoma" w:eastAsia="Times New Roman" w:hAnsi="Tahoma" w:cs="Tahoma"/>
      <w:sz w:val="16"/>
      <w:szCs w:val="16"/>
      <w:lang w:eastAsia="ro-RO"/>
    </w:rPr>
  </w:style>
  <w:style w:type="paragraph" w:styleId="Footer">
    <w:name w:val="footer"/>
    <w:basedOn w:val="Normal"/>
    <w:link w:val="FooterChar"/>
    <w:uiPriority w:val="99"/>
    <w:unhideWhenUsed/>
    <w:rsid w:val="00D15A26"/>
    <w:pPr>
      <w:tabs>
        <w:tab w:val="center" w:pos="4677"/>
        <w:tab w:val="right" w:pos="9355"/>
      </w:tabs>
      <w:spacing w:after="0" w:line="240" w:lineRule="auto"/>
    </w:pPr>
    <w:rPr>
      <w:rFonts w:eastAsia="Times New Roman"/>
      <w:lang w:eastAsia="ro-RO"/>
    </w:rPr>
  </w:style>
  <w:style w:type="character" w:customStyle="1" w:styleId="FooterChar">
    <w:name w:val="Footer Char"/>
    <w:basedOn w:val="DefaultParagraphFont"/>
    <w:link w:val="Footer"/>
    <w:uiPriority w:val="99"/>
    <w:rsid w:val="00D15A26"/>
    <w:rPr>
      <w:rFonts w:eastAsia="Times New Roman"/>
      <w:lang w:eastAsia="ro-RO"/>
    </w:rPr>
  </w:style>
  <w:style w:type="paragraph" w:styleId="NormalWeb">
    <w:name w:val="Normal (Web)"/>
    <w:basedOn w:val="Normal"/>
    <w:uiPriority w:val="99"/>
    <w:unhideWhenUsed/>
    <w:rsid w:val="00D15A2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yperlink1">
    <w:name w:val="Hyperlink1"/>
    <w:basedOn w:val="DefaultParagraphFont"/>
    <w:uiPriority w:val="99"/>
    <w:unhideWhenUsed/>
    <w:rsid w:val="00D15A26"/>
    <w:rPr>
      <w:color w:val="0000FF"/>
      <w:u w:val="single"/>
    </w:rPr>
  </w:style>
  <w:style w:type="table" w:customStyle="1" w:styleId="TableGrid1">
    <w:name w:val="Table Grid1"/>
    <w:basedOn w:val="TableNormal"/>
    <w:next w:val="TableGrid"/>
    <w:uiPriority w:val="59"/>
    <w:rsid w:val="00D15A26"/>
    <w:pPr>
      <w:spacing w:after="0" w:line="240" w:lineRule="auto"/>
    </w:pPr>
    <w:rPr>
      <w:rFonts w:eastAsia="Times New Roman"/>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15A26"/>
    <w:pPr>
      <w:ind w:left="720"/>
      <w:contextualSpacing/>
    </w:pPr>
    <w:rPr>
      <w:rFonts w:eastAsia="Times New Roman"/>
      <w:lang w:eastAsia="ro-RO"/>
    </w:rPr>
  </w:style>
  <w:style w:type="paragraph" w:styleId="FootnoteText">
    <w:name w:val="footnote text"/>
    <w:basedOn w:val="Normal"/>
    <w:link w:val="FootnoteTextChar"/>
    <w:uiPriority w:val="99"/>
    <w:unhideWhenUsed/>
    <w:rsid w:val="00D15A26"/>
    <w:pPr>
      <w:spacing w:after="0" w:line="240" w:lineRule="auto"/>
    </w:pPr>
    <w:rPr>
      <w:rFonts w:eastAsia="Times New Roman"/>
      <w:sz w:val="20"/>
      <w:szCs w:val="20"/>
      <w:lang w:eastAsia="ro-RO"/>
    </w:rPr>
  </w:style>
  <w:style w:type="character" w:customStyle="1" w:styleId="FootnoteTextChar">
    <w:name w:val="Footnote Text Char"/>
    <w:basedOn w:val="DefaultParagraphFont"/>
    <w:link w:val="FootnoteText"/>
    <w:uiPriority w:val="99"/>
    <w:rsid w:val="00D15A26"/>
    <w:rPr>
      <w:rFonts w:eastAsia="Times New Roman"/>
      <w:sz w:val="20"/>
      <w:szCs w:val="20"/>
      <w:lang w:eastAsia="ro-RO"/>
    </w:rPr>
  </w:style>
  <w:style w:type="character" w:styleId="FootnoteReference">
    <w:name w:val="footnote reference"/>
    <w:basedOn w:val="DefaultParagraphFont"/>
    <w:uiPriority w:val="99"/>
    <w:semiHidden/>
    <w:unhideWhenUsed/>
    <w:rsid w:val="00D15A26"/>
    <w:rPr>
      <w:vertAlign w:val="superscript"/>
    </w:rPr>
  </w:style>
  <w:style w:type="paragraph" w:customStyle="1" w:styleId="Caption1">
    <w:name w:val="Caption1"/>
    <w:basedOn w:val="Normal"/>
    <w:next w:val="Normal"/>
    <w:uiPriority w:val="35"/>
    <w:unhideWhenUsed/>
    <w:qFormat/>
    <w:rsid w:val="00D15A26"/>
    <w:pPr>
      <w:spacing w:line="240" w:lineRule="auto"/>
    </w:pPr>
    <w:rPr>
      <w:rFonts w:eastAsia="Times New Roman"/>
      <w:b/>
      <w:bCs/>
      <w:color w:val="4F81BD"/>
      <w:sz w:val="18"/>
      <w:szCs w:val="18"/>
      <w:lang w:eastAsia="ro-RO"/>
    </w:rPr>
  </w:style>
  <w:style w:type="character" w:customStyle="1" w:styleId="FollowedHyperlink1">
    <w:name w:val="FollowedHyperlink1"/>
    <w:basedOn w:val="DefaultParagraphFont"/>
    <w:uiPriority w:val="99"/>
    <w:semiHidden/>
    <w:unhideWhenUsed/>
    <w:rsid w:val="00D15A26"/>
    <w:rPr>
      <w:color w:val="800080"/>
      <w:u w:val="single"/>
    </w:rPr>
  </w:style>
  <w:style w:type="table" w:customStyle="1" w:styleId="LightShading1">
    <w:name w:val="Light Shading1"/>
    <w:basedOn w:val="TableNormal"/>
    <w:next w:val="LightShading"/>
    <w:uiPriority w:val="60"/>
    <w:rsid w:val="00D15A26"/>
    <w:pPr>
      <w:spacing w:after="0" w:line="240" w:lineRule="auto"/>
    </w:pPr>
    <w:rPr>
      <w:rFonts w:eastAsia="Times New Roman"/>
      <w:color w:val="000000"/>
      <w:lang w:eastAsia="ro-R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D15A26"/>
    <w:pPr>
      <w:tabs>
        <w:tab w:val="center" w:pos="4536"/>
        <w:tab w:val="right" w:pos="9072"/>
      </w:tabs>
      <w:spacing w:after="0" w:line="240" w:lineRule="auto"/>
    </w:pPr>
    <w:rPr>
      <w:rFonts w:eastAsia="Times New Roman"/>
      <w:lang w:eastAsia="ro-RO"/>
    </w:rPr>
  </w:style>
  <w:style w:type="character" w:customStyle="1" w:styleId="HeaderChar">
    <w:name w:val="Header Char"/>
    <w:basedOn w:val="DefaultParagraphFont"/>
    <w:link w:val="Header"/>
    <w:uiPriority w:val="99"/>
    <w:rsid w:val="00D15A26"/>
    <w:rPr>
      <w:rFonts w:eastAsia="Times New Roman"/>
      <w:lang w:eastAsia="ro-RO"/>
    </w:rPr>
  </w:style>
  <w:style w:type="table" w:customStyle="1" w:styleId="LightShading-Accent11">
    <w:name w:val="Light Shading - Accent 11"/>
    <w:basedOn w:val="TableNormal"/>
    <w:next w:val="LightShading-Accent1"/>
    <w:uiPriority w:val="60"/>
    <w:rsid w:val="00D15A26"/>
    <w:pPr>
      <w:spacing w:after="0" w:line="240" w:lineRule="auto"/>
    </w:pPr>
    <w:rPr>
      <w:rFonts w:eastAsia="Times New Roman"/>
      <w:color w:val="365F91"/>
      <w:lang w:eastAsia="ro-R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1Char1">
    <w:name w:val="Heading 1 Char1"/>
    <w:basedOn w:val="DefaultParagraphFont"/>
    <w:link w:val="Heading1"/>
    <w:uiPriority w:val="9"/>
    <w:rsid w:val="00D15A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15A26"/>
    <w:pPr>
      <w:outlineLvl w:val="9"/>
    </w:pPr>
    <w:rPr>
      <w:lang w:eastAsia="ro-RO"/>
    </w:rPr>
  </w:style>
  <w:style w:type="paragraph" w:styleId="TOC1">
    <w:name w:val="toc 1"/>
    <w:basedOn w:val="Normal"/>
    <w:next w:val="Normal"/>
    <w:autoRedefine/>
    <w:uiPriority w:val="39"/>
    <w:unhideWhenUsed/>
    <w:rsid w:val="00D15A26"/>
    <w:pPr>
      <w:tabs>
        <w:tab w:val="right" w:leader="dot" w:pos="9344"/>
      </w:tabs>
      <w:spacing w:after="0"/>
    </w:pPr>
    <w:rPr>
      <w:rFonts w:ascii="Times New Roman" w:eastAsia="Times New Roman" w:hAnsi="Times New Roman" w:cs="Times New Roman"/>
      <w:b/>
      <w:bCs/>
      <w:iCs/>
      <w:noProof/>
      <w:kern w:val="32"/>
      <w:sz w:val="24"/>
      <w:szCs w:val="24"/>
      <w:lang w:eastAsia="ro-RO"/>
    </w:rPr>
  </w:style>
  <w:style w:type="paragraph" w:styleId="TOC2">
    <w:name w:val="toc 2"/>
    <w:basedOn w:val="Normal"/>
    <w:next w:val="Normal"/>
    <w:autoRedefine/>
    <w:uiPriority w:val="39"/>
    <w:unhideWhenUsed/>
    <w:rsid w:val="00D15A26"/>
    <w:pPr>
      <w:tabs>
        <w:tab w:val="left" w:pos="880"/>
        <w:tab w:val="right" w:leader="dot" w:pos="9344"/>
      </w:tabs>
      <w:spacing w:after="0"/>
      <w:ind w:left="220" w:firstLine="426"/>
    </w:pPr>
    <w:rPr>
      <w:rFonts w:ascii="Times New Roman" w:eastAsia="Times New Roman" w:hAnsi="Times New Roman" w:cs="Times New Roman"/>
      <w:bCs/>
      <w:noProof/>
      <w:sz w:val="24"/>
      <w:szCs w:val="24"/>
      <w:lang w:val="en-US" w:eastAsia="ro-RO"/>
    </w:rPr>
  </w:style>
  <w:style w:type="paragraph" w:styleId="TOC3">
    <w:name w:val="toc 3"/>
    <w:basedOn w:val="Normal"/>
    <w:next w:val="Normal"/>
    <w:autoRedefine/>
    <w:uiPriority w:val="39"/>
    <w:unhideWhenUsed/>
    <w:rsid w:val="00D15A26"/>
    <w:pPr>
      <w:spacing w:after="100"/>
      <w:ind w:left="440"/>
    </w:pPr>
    <w:rPr>
      <w:rFonts w:eastAsia="Times New Roman"/>
      <w:lang w:eastAsia="ro-RO"/>
    </w:rPr>
  </w:style>
  <w:style w:type="paragraph" w:styleId="TableofFigures">
    <w:name w:val="table of figures"/>
    <w:basedOn w:val="Normal"/>
    <w:next w:val="Normal"/>
    <w:uiPriority w:val="99"/>
    <w:unhideWhenUsed/>
    <w:rsid w:val="00D15A26"/>
    <w:pPr>
      <w:spacing w:after="0"/>
    </w:pPr>
    <w:rPr>
      <w:rFonts w:ascii="Times New Roman" w:eastAsia="Times New Roman" w:hAnsi="Times New Roman"/>
      <w:sz w:val="24"/>
      <w:lang w:eastAsia="ro-RO"/>
    </w:rPr>
  </w:style>
  <w:style w:type="character" w:customStyle="1" w:styleId="Heading2Char1">
    <w:name w:val="Heading 2 Char1"/>
    <w:basedOn w:val="DefaultParagraphFont"/>
    <w:uiPriority w:val="9"/>
    <w:semiHidden/>
    <w:rsid w:val="00D15A26"/>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D15A26"/>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D15A26"/>
    <w:rPr>
      <w:color w:val="0000FF" w:themeColor="hyperlink"/>
      <w:u w:val="single"/>
    </w:rPr>
  </w:style>
  <w:style w:type="table" w:styleId="TableGrid">
    <w:name w:val="Table Grid"/>
    <w:basedOn w:val="TableNormal"/>
    <w:uiPriority w:val="59"/>
    <w:rsid w:val="00D15A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15A26"/>
    <w:rPr>
      <w:color w:val="800080" w:themeColor="followedHyperlink"/>
      <w:u w:val="single"/>
    </w:rPr>
  </w:style>
  <w:style w:type="table" w:styleId="LightShading">
    <w:name w:val="Light Shading"/>
    <w:basedOn w:val="TableNormal"/>
    <w:uiPriority w:val="60"/>
    <w:rsid w:val="00D15A2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15A2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UnresolvedMention">
    <w:name w:val="Unresolved Mention"/>
    <w:basedOn w:val="DefaultParagraphFont"/>
    <w:uiPriority w:val="99"/>
    <w:semiHidden/>
    <w:unhideWhenUsed/>
    <w:rsid w:val="00D15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obiliare.ro" TargetMode="External"/><Relationship Id="rId13" Type="http://schemas.microsoft.com/office/2007/relationships/hdphoto" Target="media/hdphoto1.wdp"/><Relationship Id="rId18" Type="http://schemas.openxmlformats.org/officeDocument/2006/relationships/hyperlink" Target="http://www.ancpi.ro/index.php/presa-3/statistici" TargetMode="External"/><Relationship Id="rId26" Type="http://schemas.openxmlformats.org/officeDocument/2006/relationships/image" Target="media/image3.jpeg"/><Relationship Id="rId39" Type="http://schemas.openxmlformats.org/officeDocument/2006/relationships/hyperlink" Target="http://www.imobiliare.ro" TargetMode="External"/><Relationship Id="rId3" Type="http://schemas.microsoft.com/office/2007/relationships/stylesWithEffects" Target="stylesWithEffects.xml"/><Relationship Id="rId21" Type="http://schemas.openxmlformats.org/officeDocument/2006/relationships/chart" Target="charts/chart4.xml"/><Relationship Id="rId34" Type="http://schemas.openxmlformats.org/officeDocument/2006/relationships/hyperlink" Target="http://www.ec.europa.eu/eurostat"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2.xml"/><Relationship Id="rId25" Type="http://schemas.openxmlformats.org/officeDocument/2006/relationships/hyperlink" Target="http://www.imobiliare.ro" TargetMode="External"/><Relationship Id="rId33" Type="http://schemas.openxmlformats.org/officeDocument/2006/relationships/hyperlink" Target="http://www.bnr.ro"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c.europa.eu/eurostat/statistics-explained/index.php/Housing_statistics" TargetMode="External"/><Relationship Id="rId20" Type="http://schemas.openxmlformats.org/officeDocument/2006/relationships/hyperlink" Target="http://www.ec.europa.eu/eurostat" TargetMode="External"/><Relationship Id="rId29" Type="http://schemas.openxmlformats.org/officeDocument/2006/relationships/hyperlink" Target="http://statistici.insse.ro:8077/tempo-onlin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sse.ro" TargetMode="External"/><Relationship Id="rId24" Type="http://schemas.openxmlformats.org/officeDocument/2006/relationships/hyperlink" Target="http://www.ec.europa.eu/eurostat" TargetMode="External"/><Relationship Id="rId32" Type="http://schemas.openxmlformats.org/officeDocument/2006/relationships/hyperlink" Target="http://www.analizeimobiliare.ro" TargetMode="External"/><Relationship Id="rId37" Type="http://schemas.openxmlformats.org/officeDocument/2006/relationships/hyperlink" Target="http://www.juridice.ro"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tmp"/><Relationship Id="rId23" Type="http://schemas.openxmlformats.org/officeDocument/2006/relationships/chart" Target="charts/chart5.xml"/><Relationship Id="rId28" Type="http://schemas.openxmlformats.org/officeDocument/2006/relationships/hyperlink" Target="https://www.bnr.ro/Baza-de-date-interactiva-604.aspx" TargetMode="External"/><Relationship Id="rId36" Type="http://schemas.openxmlformats.org/officeDocument/2006/relationships/hyperlink" Target="http://www.insse.ro" TargetMode="External"/><Relationship Id="rId10" Type="http://schemas.openxmlformats.org/officeDocument/2006/relationships/hyperlink" Target="http://www.insse.ro" TargetMode="External"/><Relationship Id="rId19" Type="http://schemas.openxmlformats.org/officeDocument/2006/relationships/chart" Target="charts/chart3.xml"/><Relationship Id="rId31" Type="http://schemas.openxmlformats.org/officeDocument/2006/relationships/hyperlink" Target="http://www.analizefinanciare.ro"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imobiliare.ro/indicele-imobiliare-ro" TargetMode="External"/><Relationship Id="rId22" Type="http://schemas.openxmlformats.org/officeDocument/2006/relationships/hyperlink" Target="http://statistici.insse.ro:8077/" TargetMode="External"/><Relationship Id="rId27" Type="http://schemas.openxmlformats.org/officeDocument/2006/relationships/hyperlink" Target="http://www.consiliulconcurentei.ro/uploads/docs/items/bucket2/id2969/raport_piata_imobiliare_si_serv_conexe.%20pdf" TargetMode="External"/><Relationship Id="rId30" Type="http://schemas.openxmlformats.org/officeDocument/2006/relationships/hyperlink" Target="https://www.imobiliare.ro/" TargetMode="External"/><Relationship Id="rId35" Type="http://schemas.openxmlformats.org/officeDocument/2006/relationships/hyperlink" Target="http://www.imobiliare.ro"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USV\licenta\crediteeee.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Registru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Liliana\Desktop\salariu.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Foaie1!$B$1</c:f>
              <c:strCache>
                <c:ptCount val="1"/>
                <c:pt idx="0">
                  <c:v>Serie 1</c:v>
                </c:pt>
              </c:strCache>
            </c:strRef>
          </c:tx>
          <c:marker>
            <c:symbol val="none"/>
          </c:marker>
          <c:cat>
            <c:numRef>
              <c:f>Foaie1!$A$2:$A$19</c:f>
              <c:numCache>
                <c:formatCode>General</c:formatCod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numCache>
            </c:numRef>
          </c:cat>
          <c:val>
            <c:numRef>
              <c:f>Foaie1!$B$2:$B$19</c:f>
              <c:numCache>
                <c:formatCode>General</c:formatCode>
                <c:ptCount val="18"/>
                <c:pt idx="0">
                  <c:v>30380</c:v>
                </c:pt>
                <c:pt idx="1">
                  <c:v>27644</c:v>
                </c:pt>
                <c:pt idx="2">
                  <c:v>34346</c:v>
                </c:pt>
                <c:pt idx="3">
                  <c:v>43542</c:v>
                </c:pt>
                <c:pt idx="4">
                  <c:v>51059</c:v>
                </c:pt>
                <c:pt idx="5">
                  <c:v>56618</c:v>
                </c:pt>
                <c:pt idx="6">
                  <c:v>61092</c:v>
                </c:pt>
                <c:pt idx="7">
                  <c:v>48833</c:v>
                </c:pt>
                <c:pt idx="8">
                  <c:v>42189</c:v>
                </c:pt>
                <c:pt idx="9">
                  <c:v>39424</c:v>
                </c:pt>
                <c:pt idx="10">
                  <c:v>37863</c:v>
                </c:pt>
                <c:pt idx="11">
                  <c:v>37776</c:v>
                </c:pt>
                <c:pt idx="12">
                  <c:v>37672</c:v>
                </c:pt>
                <c:pt idx="13">
                  <c:v>39112</c:v>
                </c:pt>
                <c:pt idx="14">
                  <c:v>38653</c:v>
                </c:pt>
                <c:pt idx="15">
                  <c:v>41603</c:v>
                </c:pt>
                <c:pt idx="16">
                  <c:v>42694</c:v>
                </c:pt>
                <c:pt idx="17">
                  <c:v>42541</c:v>
                </c:pt>
              </c:numCache>
            </c:numRef>
          </c:val>
          <c:smooth val="0"/>
          <c:extLst xmlns:c16r2="http://schemas.microsoft.com/office/drawing/2015/06/chart">
            <c:ext xmlns:c16="http://schemas.microsoft.com/office/drawing/2014/chart" uri="{C3380CC4-5D6E-409C-BE32-E72D297353CC}">
              <c16:uniqueId val="{00000000-1785-4615-91F0-F7D756FED138}"/>
            </c:ext>
          </c:extLst>
        </c:ser>
        <c:dLbls>
          <c:showLegendKey val="0"/>
          <c:showVal val="0"/>
          <c:showCatName val="0"/>
          <c:showSerName val="0"/>
          <c:showPercent val="0"/>
          <c:showBubbleSize val="0"/>
        </c:dLbls>
        <c:marker val="1"/>
        <c:smooth val="0"/>
        <c:axId val="110185856"/>
        <c:axId val="110670976"/>
      </c:lineChart>
      <c:catAx>
        <c:axId val="110185856"/>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o-RO"/>
          </a:p>
        </c:txPr>
        <c:crossAx val="110670976"/>
        <c:crosses val="autoZero"/>
        <c:auto val="1"/>
        <c:lblAlgn val="ctr"/>
        <c:lblOffset val="100"/>
        <c:noMultiLvlLbl val="0"/>
      </c:catAx>
      <c:valAx>
        <c:axId val="110670976"/>
        <c:scaling>
          <c:orientation val="minMax"/>
          <c:min val="20000"/>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o-RO"/>
          </a:p>
        </c:txPr>
        <c:crossAx val="110185856"/>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[crediteeee.xls]Sheet1!$H$6</c:f>
              <c:strCache>
                <c:ptCount val="1"/>
                <c:pt idx="0">
                  <c:v>Credite acordate gospodăriilor populaţiei; pentru locuinţe</c:v>
                </c:pt>
              </c:strCache>
            </c:strRef>
          </c:tx>
          <c:marker>
            <c:symbol val="none"/>
          </c:marker>
          <c:cat>
            <c:numRef>
              <c:f>[crediteeee.xls]Sheet1!$G$7:$G$78</c:f>
              <c:numCache>
                <c:formatCode>mmm\.\ yyyy</c:formatCode>
                <c:ptCount val="72"/>
                <c:pt idx="0">
                  <c:v>41640</c:v>
                </c:pt>
                <c:pt idx="1">
                  <c:v>41671</c:v>
                </c:pt>
                <c:pt idx="2">
                  <c:v>41699</c:v>
                </c:pt>
                <c:pt idx="3">
                  <c:v>41730</c:v>
                </c:pt>
                <c:pt idx="4">
                  <c:v>41760</c:v>
                </c:pt>
                <c:pt idx="5">
                  <c:v>41791</c:v>
                </c:pt>
                <c:pt idx="6">
                  <c:v>41821</c:v>
                </c:pt>
                <c:pt idx="7">
                  <c:v>41852</c:v>
                </c:pt>
                <c:pt idx="8">
                  <c:v>41883</c:v>
                </c:pt>
                <c:pt idx="9">
                  <c:v>41913</c:v>
                </c:pt>
                <c:pt idx="10">
                  <c:v>41944</c:v>
                </c:pt>
                <c:pt idx="11">
                  <c:v>41974</c:v>
                </c:pt>
                <c:pt idx="12">
                  <c:v>42005</c:v>
                </c:pt>
                <c:pt idx="13">
                  <c:v>42036</c:v>
                </c:pt>
                <c:pt idx="14">
                  <c:v>42064</c:v>
                </c:pt>
                <c:pt idx="15">
                  <c:v>42095</c:v>
                </c:pt>
                <c:pt idx="16">
                  <c:v>42125</c:v>
                </c:pt>
                <c:pt idx="17">
                  <c:v>42156</c:v>
                </c:pt>
                <c:pt idx="18">
                  <c:v>42186</c:v>
                </c:pt>
                <c:pt idx="19">
                  <c:v>42217</c:v>
                </c:pt>
                <c:pt idx="20">
                  <c:v>42248</c:v>
                </c:pt>
                <c:pt idx="21">
                  <c:v>42278</c:v>
                </c:pt>
                <c:pt idx="22">
                  <c:v>42309</c:v>
                </c:pt>
                <c:pt idx="23">
                  <c:v>42339</c:v>
                </c:pt>
                <c:pt idx="24">
                  <c:v>42370</c:v>
                </c:pt>
                <c:pt idx="25">
                  <c:v>42401</c:v>
                </c:pt>
                <c:pt idx="26">
                  <c:v>42430</c:v>
                </c:pt>
                <c:pt idx="27">
                  <c:v>42461</c:v>
                </c:pt>
                <c:pt idx="28">
                  <c:v>42491</c:v>
                </c:pt>
                <c:pt idx="29">
                  <c:v>42522</c:v>
                </c:pt>
                <c:pt idx="30">
                  <c:v>42552</c:v>
                </c:pt>
                <c:pt idx="31">
                  <c:v>42583</c:v>
                </c:pt>
                <c:pt idx="32">
                  <c:v>42614</c:v>
                </c:pt>
                <c:pt idx="33">
                  <c:v>42644</c:v>
                </c:pt>
                <c:pt idx="34">
                  <c:v>42675</c:v>
                </c:pt>
                <c:pt idx="35">
                  <c:v>42705</c:v>
                </c:pt>
                <c:pt idx="36">
                  <c:v>42736</c:v>
                </c:pt>
                <c:pt idx="37">
                  <c:v>42767</c:v>
                </c:pt>
                <c:pt idx="38">
                  <c:v>42795</c:v>
                </c:pt>
                <c:pt idx="39">
                  <c:v>42826</c:v>
                </c:pt>
                <c:pt idx="40">
                  <c:v>42856</c:v>
                </c:pt>
                <c:pt idx="41">
                  <c:v>42887</c:v>
                </c:pt>
                <c:pt idx="42">
                  <c:v>42917</c:v>
                </c:pt>
                <c:pt idx="43">
                  <c:v>42948</c:v>
                </c:pt>
                <c:pt idx="44">
                  <c:v>42979</c:v>
                </c:pt>
                <c:pt idx="45">
                  <c:v>43009</c:v>
                </c:pt>
                <c:pt idx="46">
                  <c:v>43040</c:v>
                </c:pt>
                <c:pt idx="47">
                  <c:v>43070</c:v>
                </c:pt>
                <c:pt idx="48">
                  <c:v>43101</c:v>
                </c:pt>
                <c:pt idx="49">
                  <c:v>43132</c:v>
                </c:pt>
                <c:pt idx="50">
                  <c:v>43160</c:v>
                </c:pt>
                <c:pt idx="51">
                  <c:v>43191</c:v>
                </c:pt>
                <c:pt idx="52">
                  <c:v>43221</c:v>
                </c:pt>
                <c:pt idx="53">
                  <c:v>43252</c:v>
                </c:pt>
                <c:pt idx="54">
                  <c:v>43282</c:v>
                </c:pt>
                <c:pt idx="55">
                  <c:v>43313</c:v>
                </c:pt>
                <c:pt idx="56">
                  <c:v>43344</c:v>
                </c:pt>
                <c:pt idx="57">
                  <c:v>43374</c:v>
                </c:pt>
                <c:pt idx="58">
                  <c:v>43405</c:v>
                </c:pt>
                <c:pt idx="59">
                  <c:v>43435</c:v>
                </c:pt>
                <c:pt idx="60">
                  <c:v>43466</c:v>
                </c:pt>
                <c:pt idx="61">
                  <c:v>43497</c:v>
                </c:pt>
                <c:pt idx="62">
                  <c:v>43525</c:v>
                </c:pt>
                <c:pt idx="63">
                  <c:v>43556</c:v>
                </c:pt>
                <c:pt idx="64">
                  <c:v>43586</c:v>
                </c:pt>
                <c:pt idx="65">
                  <c:v>43617</c:v>
                </c:pt>
                <c:pt idx="66">
                  <c:v>43647</c:v>
                </c:pt>
                <c:pt idx="67">
                  <c:v>43678</c:v>
                </c:pt>
                <c:pt idx="68">
                  <c:v>43709</c:v>
                </c:pt>
                <c:pt idx="69">
                  <c:v>43739</c:v>
                </c:pt>
                <c:pt idx="70">
                  <c:v>43770</c:v>
                </c:pt>
                <c:pt idx="71">
                  <c:v>43800</c:v>
                </c:pt>
              </c:numCache>
            </c:numRef>
          </c:cat>
          <c:val>
            <c:numRef>
              <c:f>[crediteeee.xls]Sheet1!$H$7:$H$78</c:f>
              <c:numCache>
                <c:formatCode>#,##0.0</c:formatCode>
                <c:ptCount val="72"/>
                <c:pt idx="0">
                  <c:v>41070682.399999999</c:v>
                </c:pt>
                <c:pt idx="1">
                  <c:v>41292829</c:v>
                </c:pt>
                <c:pt idx="2">
                  <c:v>41185801.299999997</c:v>
                </c:pt>
                <c:pt idx="3">
                  <c:v>41452742.200000003</c:v>
                </c:pt>
                <c:pt idx="4">
                  <c:v>41339380.5</c:v>
                </c:pt>
                <c:pt idx="5">
                  <c:v>41597519</c:v>
                </c:pt>
                <c:pt idx="6">
                  <c:v>42073837.799999997</c:v>
                </c:pt>
                <c:pt idx="7">
                  <c:v>42446402</c:v>
                </c:pt>
                <c:pt idx="8">
                  <c:v>42659309.799999997</c:v>
                </c:pt>
                <c:pt idx="9">
                  <c:v>43168790.5</c:v>
                </c:pt>
                <c:pt idx="10">
                  <c:v>43894775.5</c:v>
                </c:pt>
                <c:pt idx="11">
                  <c:v>44595165.700000003</c:v>
                </c:pt>
                <c:pt idx="12">
                  <c:v>44988903.700000003</c:v>
                </c:pt>
                <c:pt idx="13">
                  <c:v>45005311.100000001</c:v>
                </c:pt>
                <c:pt idx="14">
                  <c:v>45418299</c:v>
                </c:pt>
                <c:pt idx="15">
                  <c:v>45994983.299999997</c:v>
                </c:pt>
                <c:pt idx="16">
                  <c:v>47000375</c:v>
                </c:pt>
                <c:pt idx="17">
                  <c:v>47836076.299999997</c:v>
                </c:pt>
                <c:pt idx="18">
                  <c:v>47718037</c:v>
                </c:pt>
                <c:pt idx="19">
                  <c:v>48325008.5</c:v>
                </c:pt>
                <c:pt idx="20">
                  <c:v>48772694.100000001</c:v>
                </c:pt>
                <c:pt idx="21">
                  <c:v>49427403.5</c:v>
                </c:pt>
                <c:pt idx="22">
                  <c:v>50877579.5</c:v>
                </c:pt>
                <c:pt idx="23">
                  <c:v>51953546.700000003</c:v>
                </c:pt>
                <c:pt idx="24">
                  <c:v>52169097.399999999</c:v>
                </c:pt>
                <c:pt idx="25">
                  <c:v>52140340.399999999</c:v>
                </c:pt>
                <c:pt idx="26">
                  <c:v>52776862.799999997</c:v>
                </c:pt>
                <c:pt idx="27">
                  <c:v>53542256.399999999</c:v>
                </c:pt>
                <c:pt idx="28">
                  <c:v>54702212</c:v>
                </c:pt>
                <c:pt idx="29">
                  <c:v>55653623.200000003</c:v>
                </c:pt>
                <c:pt idx="30">
                  <c:v>55870007.200000003</c:v>
                </c:pt>
                <c:pt idx="31">
                  <c:v>56326155.399999999</c:v>
                </c:pt>
                <c:pt idx="32">
                  <c:v>56670462.799999997</c:v>
                </c:pt>
                <c:pt idx="33">
                  <c:v>57281769.700000003</c:v>
                </c:pt>
                <c:pt idx="34">
                  <c:v>57879649.399999999</c:v>
                </c:pt>
                <c:pt idx="35">
                  <c:v>58445566.5</c:v>
                </c:pt>
                <c:pt idx="36">
                  <c:v>58420823.899999999</c:v>
                </c:pt>
                <c:pt idx="37">
                  <c:v>58935033.600000001</c:v>
                </c:pt>
                <c:pt idx="38">
                  <c:v>59572152.799999997</c:v>
                </c:pt>
                <c:pt idx="39">
                  <c:v>59867360.200000003</c:v>
                </c:pt>
                <c:pt idx="40">
                  <c:v>60566264.200000003</c:v>
                </c:pt>
                <c:pt idx="41">
                  <c:v>61544452.399999999</c:v>
                </c:pt>
                <c:pt idx="42">
                  <c:v>62453519.799999997</c:v>
                </c:pt>
                <c:pt idx="43">
                  <c:v>63216904.299999997</c:v>
                </c:pt>
                <c:pt idx="44">
                  <c:v>63875929.5</c:v>
                </c:pt>
                <c:pt idx="45">
                  <c:v>64568967.399999999</c:v>
                </c:pt>
                <c:pt idx="46">
                  <c:v>65522204</c:v>
                </c:pt>
                <c:pt idx="47">
                  <c:v>66155364.5</c:v>
                </c:pt>
                <c:pt idx="48">
                  <c:v>66562607.299999997</c:v>
                </c:pt>
                <c:pt idx="49">
                  <c:v>67145457.700000003</c:v>
                </c:pt>
                <c:pt idx="50">
                  <c:v>67638345.799999997</c:v>
                </c:pt>
                <c:pt idx="51">
                  <c:v>68141545.799999997</c:v>
                </c:pt>
                <c:pt idx="52">
                  <c:v>68878442.400000006</c:v>
                </c:pt>
                <c:pt idx="53">
                  <c:v>69824110.799999997</c:v>
                </c:pt>
                <c:pt idx="54">
                  <c:v>70302744.400000006</c:v>
                </c:pt>
                <c:pt idx="55">
                  <c:v>70963992.599999994</c:v>
                </c:pt>
                <c:pt idx="56">
                  <c:v>71654298</c:v>
                </c:pt>
                <c:pt idx="57">
                  <c:v>72320084</c:v>
                </c:pt>
                <c:pt idx="58">
                  <c:v>72838645.299999997</c:v>
                </c:pt>
                <c:pt idx="59">
                  <c:v>73484212.599999994</c:v>
                </c:pt>
                <c:pt idx="60">
                  <c:v>74233403.599999994</c:v>
                </c:pt>
                <c:pt idx="61">
                  <c:v>74684412</c:v>
                </c:pt>
                <c:pt idx="62">
                  <c:v>75252500.799999997</c:v>
                </c:pt>
                <c:pt idx="63">
                  <c:v>75595894.599999994</c:v>
                </c:pt>
                <c:pt idx="64">
                  <c:v>75956373.200000003</c:v>
                </c:pt>
                <c:pt idx="65">
                  <c:v>76492991.799999997</c:v>
                </c:pt>
                <c:pt idx="66">
                  <c:v>77141070.200000003</c:v>
                </c:pt>
                <c:pt idx="67">
                  <c:v>77809533.5</c:v>
                </c:pt>
                <c:pt idx="68">
                  <c:v>78624998.700000003</c:v>
                </c:pt>
                <c:pt idx="69">
                  <c:v>79508530.799999997</c:v>
                </c:pt>
                <c:pt idx="70">
                  <c:v>80391070.799999997</c:v>
                </c:pt>
                <c:pt idx="71">
                  <c:v>81175042.400000006</c:v>
                </c:pt>
              </c:numCache>
            </c:numRef>
          </c:val>
          <c:smooth val="0"/>
          <c:extLst xmlns:c16r2="http://schemas.microsoft.com/office/drawing/2015/06/chart">
            <c:ext xmlns:c16="http://schemas.microsoft.com/office/drawing/2014/chart" uri="{C3380CC4-5D6E-409C-BE32-E72D297353CC}">
              <c16:uniqueId val="{00000000-B052-430B-BD5D-FB92E2AF655D}"/>
            </c:ext>
          </c:extLst>
        </c:ser>
        <c:dLbls>
          <c:showLegendKey val="0"/>
          <c:showVal val="0"/>
          <c:showCatName val="0"/>
          <c:showSerName val="0"/>
          <c:showPercent val="0"/>
          <c:showBubbleSize val="0"/>
        </c:dLbls>
        <c:marker val="1"/>
        <c:smooth val="0"/>
        <c:axId val="110834432"/>
        <c:axId val="110835968"/>
      </c:lineChart>
      <c:dateAx>
        <c:axId val="110834432"/>
        <c:scaling>
          <c:orientation val="minMax"/>
        </c:scaling>
        <c:delete val="0"/>
        <c:axPos val="b"/>
        <c:numFmt formatCode="mmm\.\ yyyy"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o-RO"/>
          </a:p>
        </c:txPr>
        <c:crossAx val="110835968"/>
        <c:crosses val="autoZero"/>
        <c:auto val="1"/>
        <c:lblOffset val="100"/>
        <c:baseTimeUnit val="months"/>
      </c:dateAx>
      <c:valAx>
        <c:axId val="110835968"/>
        <c:scaling>
          <c:orientation val="minMax"/>
          <c:min val="30000000"/>
        </c:scaling>
        <c:delete val="0"/>
        <c:axPos val="l"/>
        <c:majorGridlines/>
        <c:numFmt formatCode="#,##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o-RO"/>
          </a:p>
        </c:txPr>
        <c:crossAx val="110834432"/>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Лист1!$B$1</c:f>
              <c:strCache>
                <c:ptCount val="1"/>
                <c:pt idx="0">
                  <c:v>Ipoteci</c:v>
                </c:pt>
              </c:strCache>
            </c:strRef>
          </c:tx>
          <c:marker>
            <c:symbol val="none"/>
          </c:marker>
          <c:cat>
            <c:strRef>
              <c:f>Лист1!$A$2:$A$73</c:f>
              <c:strCache>
                <c:ptCount val="72"/>
                <c:pt idx="0">
                  <c:v>ian.14</c:v>
                </c:pt>
                <c:pt idx="1">
                  <c:v>feb.14</c:v>
                </c:pt>
                <c:pt idx="2">
                  <c:v>mar.14</c:v>
                </c:pt>
                <c:pt idx="3">
                  <c:v>apr.14</c:v>
                </c:pt>
                <c:pt idx="4">
                  <c:v>mai.14</c:v>
                </c:pt>
                <c:pt idx="5">
                  <c:v>iun.14</c:v>
                </c:pt>
                <c:pt idx="6">
                  <c:v>iul.14</c:v>
                </c:pt>
                <c:pt idx="7">
                  <c:v>aug.14</c:v>
                </c:pt>
                <c:pt idx="8">
                  <c:v>sept.14</c:v>
                </c:pt>
                <c:pt idx="9">
                  <c:v>oct.14</c:v>
                </c:pt>
                <c:pt idx="10">
                  <c:v>nov. 2014</c:v>
                </c:pt>
                <c:pt idx="11">
                  <c:v>dec.14</c:v>
                </c:pt>
                <c:pt idx="12">
                  <c:v>ian.15</c:v>
                </c:pt>
                <c:pt idx="13">
                  <c:v>feb.15</c:v>
                </c:pt>
                <c:pt idx="14">
                  <c:v>mar.15</c:v>
                </c:pt>
                <c:pt idx="15">
                  <c:v>apr.15</c:v>
                </c:pt>
                <c:pt idx="16">
                  <c:v>mai.15</c:v>
                </c:pt>
                <c:pt idx="17">
                  <c:v>iun.15</c:v>
                </c:pt>
                <c:pt idx="18">
                  <c:v>iul.15</c:v>
                </c:pt>
                <c:pt idx="19">
                  <c:v>aug.15</c:v>
                </c:pt>
                <c:pt idx="20">
                  <c:v>sept.15</c:v>
                </c:pt>
                <c:pt idx="21">
                  <c:v>oct.15</c:v>
                </c:pt>
                <c:pt idx="22">
                  <c:v>nov. 2015</c:v>
                </c:pt>
                <c:pt idx="23">
                  <c:v>dec.15</c:v>
                </c:pt>
                <c:pt idx="24">
                  <c:v>ian.16</c:v>
                </c:pt>
                <c:pt idx="25">
                  <c:v>feb.16</c:v>
                </c:pt>
                <c:pt idx="26">
                  <c:v>mar.16</c:v>
                </c:pt>
                <c:pt idx="27">
                  <c:v>apr.16</c:v>
                </c:pt>
                <c:pt idx="28">
                  <c:v>mai.16</c:v>
                </c:pt>
                <c:pt idx="29">
                  <c:v>iun.16</c:v>
                </c:pt>
                <c:pt idx="30">
                  <c:v>iul.16</c:v>
                </c:pt>
                <c:pt idx="31">
                  <c:v>aug.16</c:v>
                </c:pt>
                <c:pt idx="32">
                  <c:v>sept.16</c:v>
                </c:pt>
                <c:pt idx="33">
                  <c:v>oct.16</c:v>
                </c:pt>
                <c:pt idx="34">
                  <c:v>nov. 2016</c:v>
                </c:pt>
                <c:pt idx="35">
                  <c:v>dec.16</c:v>
                </c:pt>
                <c:pt idx="36">
                  <c:v>ian.17</c:v>
                </c:pt>
                <c:pt idx="37">
                  <c:v>feb.17</c:v>
                </c:pt>
                <c:pt idx="38">
                  <c:v>mar.17</c:v>
                </c:pt>
                <c:pt idx="39">
                  <c:v>apr.17</c:v>
                </c:pt>
                <c:pt idx="40">
                  <c:v>mai.17</c:v>
                </c:pt>
                <c:pt idx="41">
                  <c:v>iun.17</c:v>
                </c:pt>
                <c:pt idx="42">
                  <c:v>iul.17</c:v>
                </c:pt>
                <c:pt idx="43">
                  <c:v>aug.17</c:v>
                </c:pt>
                <c:pt idx="44">
                  <c:v>sept.17</c:v>
                </c:pt>
                <c:pt idx="45">
                  <c:v>oct.17</c:v>
                </c:pt>
                <c:pt idx="46">
                  <c:v>nov. 2017</c:v>
                </c:pt>
                <c:pt idx="47">
                  <c:v>dec.17</c:v>
                </c:pt>
                <c:pt idx="48">
                  <c:v>ian.18</c:v>
                </c:pt>
                <c:pt idx="49">
                  <c:v>feb.18</c:v>
                </c:pt>
                <c:pt idx="50">
                  <c:v>mar.18</c:v>
                </c:pt>
                <c:pt idx="51">
                  <c:v>apr.18</c:v>
                </c:pt>
                <c:pt idx="52">
                  <c:v>mai.18</c:v>
                </c:pt>
                <c:pt idx="53">
                  <c:v>iun.18</c:v>
                </c:pt>
                <c:pt idx="54">
                  <c:v>iul.18</c:v>
                </c:pt>
                <c:pt idx="55">
                  <c:v>aug.18</c:v>
                </c:pt>
                <c:pt idx="56">
                  <c:v>sept.18</c:v>
                </c:pt>
                <c:pt idx="57">
                  <c:v>oct.18</c:v>
                </c:pt>
                <c:pt idx="58">
                  <c:v>nov. 2018</c:v>
                </c:pt>
                <c:pt idx="59">
                  <c:v>dec.18</c:v>
                </c:pt>
                <c:pt idx="60">
                  <c:v>ian.19</c:v>
                </c:pt>
                <c:pt idx="61">
                  <c:v>feb.19</c:v>
                </c:pt>
                <c:pt idx="62">
                  <c:v>mar.19</c:v>
                </c:pt>
                <c:pt idx="63">
                  <c:v>apr.19</c:v>
                </c:pt>
                <c:pt idx="64">
                  <c:v>mai.19</c:v>
                </c:pt>
                <c:pt idx="65">
                  <c:v>iun.19</c:v>
                </c:pt>
                <c:pt idx="66">
                  <c:v>iul.19</c:v>
                </c:pt>
                <c:pt idx="67">
                  <c:v>aug.19</c:v>
                </c:pt>
                <c:pt idx="68">
                  <c:v>sept.19</c:v>
                </c:pt>
                <c:pt idx="69">
                  <c:v>oct.19</c:v>
                </c:pt>
                <c:pt idx="70">
                  <c:v>nov. 19</c:v>
                </c:pt>
                <c:pt idx="71">
                  <c:v>dec.19</c:v>
                </c:pt>
              </c:strCache>
            </c:strRef>
          </c:cat>
          <c:val>
            <c:numRef>
              <c:f>Лист1!$B$2:$B$73</c:f>
              <c:numCache>
                <c:formatCode>General</c:formatCode>
                <c:ptCount val="72"/>
                <c:pt idx="0">
                  <c:v>7906</c:v>
                </c:pt>
                <c:pt idx="1">
                  <c:v>10326</c:v>
                </c:pt>
                <c:pt idx="2">
                  <c:v>12192</c:v>
                </c:pt>
                <c:pt idx="3">
                  <c:v>13172</c:v>
                </c:pt>
                <c:pt idx="4">
                  <c:v>12242</c:v>
                </c:pt>
                <c:pt idx="5">
                  <c:v>13026</c:v>
                </c:pt>
                <c:pt idx="6">
                  <c:v>13744</c:v>
                </c:pt>
                <c:pt idx="7">
                  <c:v>13356</c:v>
                </c:pt>
                <c:pt idx="8">
                  <c:v>12364</c:v>
                </c:pt>
                <c:pt idx="9">
                  <c:v>15168</c:v>
                </c:pt>
                <c:pt idx="10">
                  <c:v>12965</c:v>
                </c:pt>
                <c:pt idx="11">
                  <c:v>14589</c:v>
                </c:pt>
                <c:pt idx="12">
                  <c:v>9741</c:v>
                </c:pt>
                <c:pt idx="13">
                  <c:v>11415</c:v>
                </c:pt>
                <c:pt idx="14">
                  <c:v>16347</c:v>
                </c:pt>
                <c:pt idx="15">
                  <c:v>13750</c:v>
                </c:pt>
                <c:pt idx="16">
                  <c:v>15879</c:v>
                </c:pt>
                <c:pt idx="17">
                  <c:v>18708</c:v>
                </c:pt>
                <c:pt idx="18">
                  <c:v>16851</c:v>
                </c:pt>
                <c:pt idx="19">
                  <c:v>14827</c:v>
                </c:pt>
                <c:pt idx="20">
                  <c:v>15775</c:v>
                </c:pt>
                <c:pt idx="21">
                  <c:v>16592</c:v>
                </c:pt>
                <c:pt idx="22">
                  <c:v>17918</c:v>
                </c:pt>
                <c:pt idx="23">
                  <c:v>17578</c:v>
                </c:pt>
                <c:pt idx="24">
                  <c:v>9863</c:v>
                </c:pt>
                <c:pt idx="25">
                  <c:v>14227</c:v>
                </c:pt>
                <c:pt idx="26">
                  <c:v>17693</c:v>
                </c:pt>
                <c:pt idx="27">
                  <c:v>16975</c:v>
                </c:pt>
                <c:pt idx="28">
                  <c:v>18314</c:v>
                </c:pt>
                <c:pt idx="29">
                  <c:v>19874</c:v>
                </c:pt>
                <c:pt idx="30">
                  <c:v>18331</c:v>
                </c:pt>
                <c:pt idx="31">
                  <c:v>17061</c:v>
                </c:pt>
                <c:pt idx="32">
                  <c:v>15929</c:v>
                </c:pt>
                <c:pt idx="33">
                  <c:v>15834</c:v>
                </c:pt>
                <c:pt idx="34">
                  <c:v>19308</c:v>
                </c:pt>
                <c:pt idx="35">
                  <c:v>20399</c:v>
                </c:pt>
                <c:pt idx="36">
                  <c:v>10910</c:v>
                </c:pt>
                <c:pt idx="37">
                  <c:v>18798</c:v>
                </c:pt>
                <c:pt idx="38">
                  <c:v>21227</c:v>
                </c:pt>
                <c:pt idx="39">
                  <c:v>16293</c:v>
                </c:pt>
                <c:pt idx="40">
                  <c:v>21304</c:v>
                </c:pt>
                <c:pt idx="41">
                  <c:v>23694</c:v>
                </c:pt>
                <c:pt idx="42">
                  <c:v>22528</c:v>
                </c:pt>
                <c:pt idx="43">
                  <c:v>22648</c:v>
                </c:pt>
                <c:pt idx="44">
                  <c:v>23645</c:v>
                </c:pt>
                <c:pt idx="45">
                  <c:v>23783</c:v>
                </c:pt>
                <c:pt idx="46">
                  <c:v>24704</c:v>
                </c:pt>
                <c:pt idx="47">
                  <c:v>24871</c:v>
                </c:pt>
                <c:pt idx="48">
                  <c:v>16316</c:v>
                </c:pt>
                <c:pt idx="49">
                  <c:v>23138</c:v>
                </c:pt>
                <c:pt idx="50">
                  <c:v>25963</c:v>
                </c:pt>
                <c:pt idx="51">
                  <c:v>22134</c:v>
                </c:pt>
                <c:pt idx="52">
                  <c:v>29837</c:v>
                </c:pt>
                <c:pt idx="53">
                  <c:v>23733</c:v>
                </c:pt>
                <c:pt idx="54">
                  <c:v>26781</c:v>
                </c:pt>
                <c:pt idx="55">
                  <c:v>20398</c:v>
                </c:pt>
                <c:pt idx="56">
                  <c:v>21815</c:v>
                </c:pt>
                <c:pt idx="57">
                  <c:v>27710</c:v>
                </c:pt>
                <c:pt idx="58">
                  <c:v>23182</c:v>
                </c:pt>
                <c:pt idx="59">
                  <c:v>21278</c:v>
                </c:pt>
                <c:pt idx="60">
                  <c:v>17371</c:v>
                </c:pt>
                <c:pt idx="61">
                  <c:v>18409</c:v>
                </c:pt>
                <c:pt idx="62">
                  <c:v>30703</c:v>
                </c:pt>
                <c:pt idx="63">
                  <c:v>24284</c:v>
                </c:pt>
                <c:pt idx="64">
                  <c:v>23339</c:v>
                </c:pt>
                <c:pt idx="65">
                  <c:v>25795</c:v>
                </c:pt>
                <c:pt idx="66">
                  <c:v>39190</c:v>
                </c:pt>
                <c:pt idx="67">
                  <c:v>27142</c:v>
                </c:pt>
                <c:pt idx="68">
                  <c:v>26561</c:v>
                </c:pt>
                <c:pt idx="69">
                  <c:v>33928</c:v>
                </c:pt>
                <c:pt idx="70">
                  <c:v>31484</c:v>
                </c:pt>
                <c:pt idx="71">
                  <c:v>35355</c:v>
                </c:pt>
              </c:numCache>
            </c:numRef>
          </c:val>
          <c:smooth val="0"/>
          <c:extLst xmlns:c16r2="http://schemas.microsoft.com/office/drawing/2015/06/chart">
            <c:ext xmlns:c16="http://schemas.microsoft.com/office/drawing/2014/chart" uri="{C3380CC4-5D6E-409C-BE32-E72D297353CC}">
              <c16:uniqueId val="{00000000-4EDF-4897-88CE-BE4D5ED46127}"/>
            </c:ext>
          </c:extLst>
        </c:ser>
        <c:dLbls>
          <c:showLegendKey val="0"/>
          <c:showVal val="0"/>
          <c:showCatName val="0"/>
          <c:showSerName val="0"/>
          <c:showPercent val="0"/>
          <c:showBubbleSize val="0"/>
        </c:dLbls>
        <c:marker val="1"/>
        <c:smooth val="0"/>
        <c:axId val="110875008"/>
        <c:axId val="110876544"/>
      </c:lineChart>
      <c:lineChart>
        <c:grouping val="standard"/>
        <c:varyColors val="0"/>
        <c:ser>
          <c:idx val="1"/>
          <c:order val="1"/>
          <c:tx>
            <c:strRef>
              <c:f>Лист1!$C$1</c:f>
              <c:strCache>
                <c:ptCount val="1"/>
                <c:pt idx="0">
                  <c:v>Credite acordate pentru locuințe</c:v>
                </c:pt>
              </c:strCache>
            </c:strRef>
          </c:tx>
          <c:marker>
            <c:symbol val="none"/>
          </c:marker>
          <c:cat>
            <c:strRef>
              <c:f>Лист1!$A$2:$A$73</c:f>
              <c:strCache>
                <c:ptCount val="72"/>
                <c:pt idx="0">
                  <c:v>ian.14</c:v>
                </c:pt>
                <c:pt idx="1">
                  <c:v>feb.14</c:v>
                </c:pt>
                <c:pt idx="2">
                  <c:v>mar.14</c:v>
                </c:pt>
                <c:pt idx="3">
                  <c:v>apr.14</c:v>
                </c:pt>
                <c:pt idx="4">
                  <c:v>mai.14</c:v>
                </c:pt>
                <c:pt idx="5">
                  <c:v>iun.14</c:v>
                </c:pt>
                <c:pt idx="6">
                  <c:v>iul.14</c:v>
                </c:pt>
                <c:pt idx="7">
                  <c:v>aug.14</c:v>
                </c:pt>
                <c:pt idx="8">
                  <c:v>sept.14</c:v>
                </c:pt>
                <c:pt idx="9">
                  <c:v>oct.14</c:v>
                </c:pt>
                <c:pt idx="10">
                  <c:v>nov. 2014</c:v>
                </c:pt>
                <c:pt idx="11">
                  <c:v>dec.14</c:v>
                </c:pt>
                <c:pt idx="12">
                  <c:v>ian.15</c:v>
                </c:pt>
                <c:pt idx="13">
                  <c:v>feb.15</c:v>
                </c:pt>
                <c:pt idx="14">
                  <c:v>mar.15</c:v>
                </c:pt>
                <c:pt idx="15">
                  <c:v>apr.15</c:v>
                </c:pt>
                <c:pt idx="16">
                  <c:v>mai.15</c:v>
                </c:pt>
                <c:pt idx="17">
                  <c:v>iun.15</c:v>
                </c:pt>
                <c:pt idx="18">
                  <c:v>iul.15</c:v>
                </c:pt>
                <c:pt idx="19">
                  <c:v>aug.15</c:v>
                </c:pt>
                <c:pt idx="20">
                  <c:v>sept.15</c:v>
                </c:pt>
                <c:pt idx="21">
                  <c:v>oct.15</c:v>
                </c:pt>
                <c:pt idx="22">
                  <c:v>nov. 2015</c:v>
                </c:pt>
                <c:pt idx="23">
                  <c:v>dec.15</c:v>
                </c:pt>
                <c:pt idx="24">
                  <c:v>ian.16</c:v>
                </c:pt>
                <c:pt idx="25">
                  <c:v>feb.16</c:v>
                </c:pt>
                <c:pt idx="26">
                  <c:v>mar.16</c:v>
                </c:pt>
                <c:pt idx="27">
                  <c:v>apr.16</c:v>
                </c:pt>
                <c:pt idx="28">
                  <c:v>mai.16</c:v>
                </c:pt>
                <c:pt idx="29">
                  <c:v>iun.16</c:v>
                </c:pt>
                <c:pt idx="30">
                  <c:v>iul.16</c:v>
                </c:pt>
                <c:pt idx="31">
                  <c:v>aug.16</c:v>
                </c:pt>
                <c:pt idx="32">
                  <c:v>sept.16</c:v>
                </c:pt>
                <c:pt idx="33">
                  <c:v>oct.16</c:v>
                </c:pt>
                <c:pt idx="34">
                  <c:v>nov. 2016</c:v>
                </c:pt>
                <c:pt idx="35">
                  <c:v>dec.16</c:v>
                </c:pt>
                <c:pt idx="36">
                  <c:v>ian.17</c:v>
                </c:pt>
                <c:pt idx="37">
                  <c:v>feb.17</c:v>
                </c:pt>
                <c:pt idx="38">
                  <c:v>mar.17</c:v>
                </c:pt>
                <c:pt idx="39">
                  <c:v>apr.17</c:v>
                </c:pt>
                <c:pt idx="40">
                  <c:v>mai.17</c:v>
                </c:pt>
                <c:pt idx="41">
                  <c:v>iun.17</c:v>
                </c:pt>
                <c:pt idx="42">
                  <c:v>iul.17</c:v>
                </c:pt>
                <c:pt idx="43">
                  <c:v>aug.17</c:v>
                </c:pt>
                <c:pt idx="44">
                  <c:v>sept.17</c:v>
                </c:pt>
                <c:pt idx="45">
                  <c:v>oct.17</c:v>
                </c:pt>
                <c:pt idx="46">
                  <c:v>nov. 2017</c:v>
                </c:pt>
                <c:pt idx="47">
                  <c:v>dec.17</c:v>
                </c:pt>
                <c:pt idx="48">
                  <c:v>ian.18</c:v>
                </c:pt>
                <c:pt idx="49">
                  <c:v>feb.18</c:v>
                </c:pt>
                <c:pt idx="50">
                  <c:v>mar.18</c:v>
                </c:pt>
                <c:pt idx="51">
                  <c:v>apr.18</c:v>
                </c:pt>
                <c:pt idx="52">
                  <c:v>mai.18</c:v>
                </c:pt>
                <c:pt idx="53">
                  <c:v>iun.18</c:v>
                </c:pt>
                <c:pt idx="54">
                  <c:v>iul.18</c:v>
                </c:pt>
                <c:pt idx="55">
                  <c:v>aug.18</c:v>
                </c:pt>
                <c:pt idx="56">
                  <c:v>sept.18</c:v>
                </c:pt>
                <c:pt idx="57">
                  <c:v>oct.18</c:v>
                </c:pt>
                <c:pt idx="58">
                  <c:v>nov. 2018</c:v>
                </c:pt>
                <c:pt idx="59">
                  <c:v>dec.18</c:v>
                </c:pt>
                <c:pt idx="60">
                  <c:v>ian.19</c:v>
                </c:pt>
                <c:pt idx="61">
                  <c:v>feb.19</c:v>
                </c:pt>
                <c:pt idx="62">
                  <c:v>mar.19</c:v>
                </c:pt>
                <c:pt idx="63">
                  <c:v>apr.19</c:v>
                </c:pt>
                <c:pt idx="64">
                  <c:v>mai.19</c:v>
                </c:pt>
                <c:pt idx="65">
                  <c:v>iun.19</c:v>
                </c:pt>
                <c:pt idx="66">
                  <c:v>iul.19</c:v>
                </c:pt>
                <c:pt idx="67">
                  <c:v>aug.19</c:v>
                </c:pt>
                <c:pt idx="68">
                  <c:v>sept.19</c:v>
                </c:pt>
                <c:pt idx="69">
                  <c:v>oct.19</c:v>
                </c:pt>
                <c:pt idx="70">
                  <c:v>nov. 19</c:v>
                </c:pt>
                <c:pt idx="71">
                  <c:v>dec.19</c:v>
                </c:pt>
              </c:strCache>
            </c:strRef>
          </c:cat>
          <c:val>
            <c:numRef>
              <c:f>Лист1!$C$2:$C$73</c:f>
              <c:numCache>
                <c:formatCode>General</c:formatCode>
                <c:ptCount val="72"/>
                <c:pt idx="0">
                  <c:v>41070682400</c:v>
                </c:pt>
                <c:pt idx="1">
                  <c:v>41292829000</c:v>
                </c:pt>
                <c:pt idx="2">
                  <c:v>41185801300</c:v>
                </c:pt>
                <c:pt idx="3">
                  <c:v>41452742200</c:v>
                </c:pt>
                <c:pt idx="4">
                  <c:v>41339380500</c:v>
                </c:pt>
                <c:pt idx="5">
                  <c:v>41597519000</c:v>
                </c:pt>
                <c:pt idx="6">
                  <c:v>42073837800</c:v>
                </c:pt>
                <c:pt idx="7">
                  <c:v>42446402000</c:v>
                </c:pt>
                <c:pt idx="8">
                  <c:v>42659309800</c:v>
                </c:pt>
                <c:pt idx="9">
                  <c:v>43168790500</c:v>
                </c:pt>
                <c:pt idx="10">
                  <c:v>43894775500</c:v>
                </c:pt>
                <c:pt idx="11">
                  <c:v>44595165700</c:v>
                </c:pt>
                <c:pt idx="12">
                  <c:v>44988903700</c:v>
                </c:pt>
                <c:pt idx="13">
                  <c:v>45005311100</c:v>
                </c:pt>
                <c:pt idx="14">
                  <c:v>45418299000</c:v>
                </c:pt>
                <c:pt idx="15">
                  <c:v>45994983300</c:v>
                </c:pt>
                <c:pt idx="16">
                  <c:v>47000375000</c:v>
                </c:pt>
                <c:pt idx="17">
                  <c:v>47836076300</c:v>
                </c:pt>
                <c:pt idx="18">
                  <c:v>47718037000</c:v>
                </c:pt>
                <c:pt idx="19">
                  <c:v>48325008500</c:v>
                </c:pt>
                <c:pt idx="20">
                  <c:v>48772694100</c:v>
                </c:pt>
                <c:pt idx="21">
                  <c:v>49427403500</c:v>
                </c:pt>
                <c:pt idx="22">
                  <c:v>50877579500</c:v>
                </c:pt>
                <c:pt idx="23">
                  <c:v>51953546700</c:v>
                </c:pt>
                <c:pt idx="24">
                  <c:v>52169097400</c:v>
                </c:pt>
                <c:pt idx="25">
                  <c:v>52140340400</c:v>
                </c:pt>
                <c:pt idx="26">
                  <c:v>52776862800</c:v>
                </c:pt>
                <c:pt idx="27">
                  <c:v>53542256400</c:v>
                </c:pt>
                <c:pt idx="28">
                  <c:v>54702212000</c:v>
                </c:pt>
                <c:pt idx="29">
                  <c:v>55653623200</c:v>
                </c:pt>
                <c:pt idx="30">
                  <c:v>55870007200</c:v>
                </c:pt>
                <c:pt idx="31">
                  <c:v>56326155400</c:v>
                </c:pt>
                <c:pt idx="32">
                  <c:v>56670462800</c:v>
                </c:pt>
                <c:pt idx="33">
                  <c:v>57281769700</c:v>
                </c:pt>
                <c:pt idx="34">
                  <c:v>57879649400</c:v>
                </c:pt>
                <c:pt idx="35">
                  <c:v>58445566500</c:v>
                </c:pt>
                <c:pt idx="36">
                  <c:v>58420823900</c:v>
                </c:pt>
                <c:pt idx="37">
                  <c:v>58935033600</c:v>
                </c:pt>
                <c:pt idx="38">
                  <c:v>59572152800</c:v>
                </c:pt>
                <c:pt idx="39">
                  <c:v>59867360200</c:v>
                </c:pt>
                <c:pt idx="40">
                  <c:v>60566264200</c:v>
                </c:pt>
                <c:pt idx="41">
                  <c:v>61544452400</c:v>
                </c:pt>
                <c:pt idx="42">
                  <c:v>62453519800</c:v>
                </c:pt>
                <c:pt idx="43">
                  <c:v>63216904300</c:v>
                </c:pt>
                <c:pt idx="44">
                  <c:v>63875929500</c:v>
                </c:pt>
                <c:pt idx="45">
                  <c:v>64568967400</c:v>
                </c:pt>
                <c:pt idx="46">
                  <c:v>65522204000</c:v>
                </c:pt>
                <c:pt idx="47">
                  <c:v>66155364500</c:v>
                </c:pt>
                <c:pt idx="48">
                  <c:v>66562607300</c:v>
                </c:pt>
                <c:pt idx="49">
                  <c:v>67145457700</c:v>
                </c:pt>
                <c:pt idx="50">
                  <c:v>67638345800</c:v>
                </c:pt>
                <c:pt idx="51">
                  <c:v>68141545800</c:v>
                </c:pt>
                <c:pt idx="52">
                  <c:v>68878442400</c:v>
                </c:pt>
                <c:pt idx="53">
                  <c:v>69824110800</c:v>
                </c:pt>
                <c:pt idx="54">
                  <c:v>70302744400</c:v>
                </c:pt>
                <c:pt idx="55">
                  <c:v>70963992600</c:v>
                </c:pt>
                <c:pt idx="56">
                  <c:v>71654298000</c:v>
                </c:pt>
                <c:pt idx="57">
                  <c:v>72320084000</c:v>
                </c:pt>
                <c:pt idx="58">
                  <c:v>72838645300</c:v>
                </c:pt>
                <c:pt idx="59">
                  <c:v>73484212600</c:v>
                </c:pt>
                <c:pt idx="60">
                  <c:v>74233403600</c:v>
                </c:pt>
                <c:pt idx="61">
                  <c:v>74684412000</c:v>
                </c:pt>
                <c:pt idx="62">
                  <c:v>75252500800</c:v>
                </c:pt>
                <c:pt idx="63">
                  <c:v>75595894600</c:v>
                </c:pt>
                <c:pt idx="64">
                  <c:v>75956373200</c:v>
                </c:pt>
                <c:pt idx="65">
                  <c:v>76492991800</c:v>
                </c:pt>
                <c:pt idx="66">
                  <c:v>77141070200</c:v>
                </c:pt>
                <c:pt idx="67">
                  <c:v>77809533500</c:v>
                </c:pt>
                <c:pt idx="68">
                  <c:v>78624998700</c:v>
                </c:pt>
                <c:pt idx="69">
                  <c:v>79508530800</c:v>
                </c:pt>
                <c:pt idx="70">
                  <c:v>80391070800</c:v>
                </c:pt>
                <c:pt idx="71">
                  <c:v>81175042400</c:v>
                </c:pt>
              </c:numCache>
            </c:numRef>
          </c:val>
          <c:smooth val="0"/>
          <c:extLst xmlns:c16r2="http://schemas.microsoft.com/office/drawing/2015/06/chart">
            <c:ext xmlns:c16="http://schemas.microsoft.com/office/drawing/2014/chart" uri="{C3380CC4-5D6E-409C-BE32-E72D297353CC}">
              <c16:uniqueId val="{00000001-4EDF-4897-88CE-BE4D5ED46127}"/>
            </c:ext>
          </c:extLst>
        </c:ser>
        <c:dLbls>
          <c:showLegendKey val="0"/>
          <c:showVal val="0"/>
          <c:showCatName val="0"/>
          <c:showSerName val="0"/>
          <c:showPercent val="0"/>
          <c:showBubbleSize val="0"/>
        </c:dLbls>
        <c:marker val="1"/>
        <c:smooth val="0"/>
        <c:axId val="110953600"/>
        <c:axId val="110878080"/>
      </c:lineChart>
      <c:catAx>
        <c:axId val="110875008"/>
        <c:scaling>
          <c:orientation val="minMax"/>
        </c:scaling>
        <c:delete val="0"/>
        <c:axPos val="b"/>
        <c:numFmt formatCode="General" sourceLinked="0"/>
        <c:majorTickMark val="out"/>
        <c:minorTickMark val="none"/>
        <c:tickLblPos val="nextTo"/>
        <c:crossAx val="110876544"/>
        <c:crosses val="autoZero"/>
        <c:auto val="1"/>
        <c:lblAlgn val="ctr"/>
        <c:lblOffset val="100"/>
        <c:noMultiLvlLbl val="0"/>
      </c:catAx>
      <c:valAx>
        <c:axId val="110876544"/>
        <c:scaling>
          <c:orientation val="minMax"/>
        </c:scaling>
        <c:delete val="0"/>
        <c:axPos val="l"/>
        <c:majorGridlines/>
        <c:numFmt formatCode="General" sourceLinked="1"/>
        <c:majorTickMark val="out"/>
        <c:minorTickMark val="none"/>
        <c:tickLblPos val="nextTo"/>
        <c:crossAx val="110875008"/>
        <c:crosses val="autoZero"/>
        <c:crossBetween val="between"/>
      </c:valAx>
      <c:valAx>
        <c:axId val="110878080"/>
        <c:scaling>
          <c:orientation val="minMax"/>
          <c:min val="10000000000"/>
        </c:scaling>
        <c:delete val="0"/>
        <c:axPos val="r"/>
        <c:numFmt formatCode="#,##0" sourceLinked="0"/>
        <c:majorTickMark val="out"/>
        <c:minorTickMark val="none"/>
        <c:tickLblPos val="nextTo"/>
        <c:txPr>
          <a:bodyPr/>
          <a:lstStyle/>
          <a:p>
            <a:pPr>
              <a:defRPr>
                <a:solidFill>
                  <a:sysClr val="windowText" lastClr="000000"/>
                </a:solidFill>
              </a:defRPr>
            </a:pPr>
            <a:endParaRPr lang="ro-RO"/>
          </a:p>
        </c:txPr>
        <c:crossAx val="110953600"/>
        <c:crosses val="max"/>
        <c:crossBetween val="between"/>
      </c:valAx>
      <c:catAx>
        <c:axId val="110953600"/>
        <c:scaling>
          <c:orientation val="minMax"/>
        </c:scaling>
        <c:delete val="1"/>
        <c:axPos val="b"/>
        <c:numFmt formatCode="General" sourceLinked="1"/>
        <c:majorTickMark val="out"/>
        <c:minorTickMark val="none"/>
        <c:tickLblPos val="nextTo"/>
        <c:crossAx val="110878080"/>
        <c:crosses val="autoZero"/>
        <c:auto val="1"/>
        <c:lblAlgn val="ctr"/>
        <c:lblOffset val="100"/>
        <c:noMultiLvlLbl val="0"/>
      </c:catAx>
    </c:plotArea>
    <c:legend>
      <c:legendPos val="b"/>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o-RO"/>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Foaie1!$D$1</c:f>
              <c:strCache>
                <c:ptCount val="1"/>
                <c:pt idx="0">
                  <c:v>Salariu mediu net lunar</c:v>
                </c:pt>
              </c:strCache>
            </c:strRef>
          </c:tx>
          <c:marker>
            <c:symbol val="none"/>
          </c:marker>
          <c:cat>
            <c:strRef>
              <c:f>Foaie1!$A$2:$A$73</c:f>
              <c:strCache>
                <c:ptCount val="72"/>
                <c:pt idx="0">
                  <c:v>ian.14</c:v>
                </c:pt>
                <c:pt idx="1">
                  <c:v>feb.14</c:v>
                </c:pt>
                <c:pt idx="2">
                  <c:v>mar.14</c:v>
                </c:pt>
                <c:pt idx="3">
                  <c:v>apr.14</c:v>
                </c:pt>
                <c:pt idx="4">
                  <c:v>mai.14</c:v>
                </c:pt>
                <c:pt idx="5">
                  <c:v>iun.14</c:v>
                </c:pt>
                <c:pt idx="6">
                  <c:v>iul.14</c:v>
                </c:pt>
                <c:pt idx="7">
                  <c:v>aug.14</c:v>
                </c:pt>
                <c:pt idx="8">
                  <c:v>sept.14</c:v>
                </c:pt>
                <c:pt idx="9">
                  <c:v>oct.14</c:v>
                </c:pt>
                <c:pt idx="10">
                  <c:v>nov.14</c:v>
                </c:pt>
                <c:pt idx="11">
                  <c:v>dec.14</c:v>
                </c:pt>
                <c:pt idx="12">
                  <c:v>ian.15</c:v>
                </c:pt>
                <c:pt idx="13">
                  <c:v>feb.15</c:v>
                </c:pt>
                <c:pt idx="14">
                  <c:v>mar.15</c:v>
                </c:pt>
                <c:pt idx="15">
                  <c:v>apr.15</c:v>
                </c:pt>
                <c:pt idx="16">
                  <c:v>mai.15</c:v>
                </c:pt>
                <c:pt idx="17">
                  <c:v>iun.15</c:v>
                </c:pt>
                <c:pt idx="18">
                  <c:v>iul.15</c:v>
                </c:pt>
                <c:pt idx="19">
                  <c:v>aug.15</c:v>
                </c:pt>
                <c:pt idx="20">
                  <c:v>sept.15</c:v>
                </c:pt>
                <c:pt idx="21">
                  <c:v>oct.15</c:v>
                </c:pt>
                <c:pt idx="22">
                  <c:v>nov.15</c:v>
                </c:pt>
                <c:pt idx="23">
                  <c:v>dec.15</c:v>
                </c:pt>
                <c:pt idx="24">
                  <c:v>ian.16</c:v>
                </c:pt>
                <c:pt idx="25">
                  <c:v>feb.16</c:v>
                </c:pt>
                <c:pt idx="26">
                  <c:v>mar.16</c:v>
                </c:pt>
                <c:pt idx="27">
                  <c:v>apr.16</c:v>
                </c:pt>
                <c:pt idx="28">
                  <c:v>mai.16</c:v>
                </c:pt>
                <c:pt idx="29">
                  <c:v>iun.16</c:v>
                </c:pt>
                <c:pt idx="30">
                  <c:v>iul.16</c:v>
                </c:pt>
                <c:pt idx="31">
                  <c:v>aug.16</c:v>
                </c:pt>
                <c:pt idx="32">
                  <c:v>sept.16</c:v>
                </c:pt>
                <c:pt idx="33">
                  <c:v>oct.16</c:v>
                </c:pt>
                <c:pt idx="34">
                  <c:v>nov.16</c:v>
                </c:pt>
                <c:pt idx="35">
                  <c:v>dec.16</c:v>
                </c:pt>
                <c:pt idx="36">
                  <c:v>ian.17</c:v>
                </c:pt>
                <c:pt idx="37">
                  <c:v>feb.17</c:v>
                </c:pt>
                <c:pt idx="38">
                  <c:v>mar.17</c:v>
                </c:pt>
                <c:pt idx="39">
                  <c:v>apr.17</c:v>
                </c:pt>
                <c:pt idx="40">
                  <c:v>mai.17</c:v>
                </c:pt>
                <c:pt idx="41">
                  <c:v>iun.17</c:v>
                </c:pt>
                <c:pt idx="42">
                  <c:v>iul.17</c:v>
                </c:pt>
                <c:pt idx="43">
                  <c:v>aug.17</c:v>
                </c:pt>
                <c:pt idx="44">
                  <c:v>sept.17</c:v>
                </c:pt>
                <c:pt idx="45">
                  <c:v>oct.17</c:v>
                </c:pt>
                <c:pt idx="46">
                  <c:v>nov.17</c:v>
                </c:pt>
                <c:pt idx="47">
                  <c:v>dec.17</c:v>
                </c:pt>
                <c:pt idx="48">
                  <c:v>ian.18</c:v>
                </c:pt>
                <c:pt idx="49">
                  <c:v>feb.18</c:v>
                </c:pt>
                <c:pt idx="50">
                  <c:v>mar.18</c:v>
                </c:pt>
                <c:pt idx="51">
                  <c:v>apr.18</c:v>
                </c:pt>
                <c:pt idx="52">
                  <c:v>mai.18</c:v>
                </c:pt>
                <c:pt idx="53">
                  <c:v>iun.18</c:v>
                </c:pt>
                <c:pt idx="54">
                  <c:v>iul.18</c:v>
                </c:pt>
                <c:pt idx="55">
                  <c:v>aug.18</c:v>
                </c:pt>
                <c:pt idx="56">
                  <c:v>sept.18</c:v>
                </c:pt>
                <c:pt idx="57">
                  <c:v>oct.18</c:v>
                </c:pt>
                <c:pt idx="58">
                  <c:v>nov.18</c:v>
                </c:pt>
                <c:pt idx="59">
                  <c:v>dec.18</c:v>
                </c:pt>
                <c:pt idx="60">
                  <c:v>ian.19</c:v>
                </c:pt>
                <c:pt idx="61">
                  <c:v>feb.19</c:v>
                </c:pt>
                <c:pt idx="62">
                  <c:v>mar.19</c:v>
                </c:pt>
                <c:pt idx="63">
                  <c:v>apr.19</c:v>
                </c:pt>
                <c:pt idx="64">
                  <c:v>mai.19</c:v>
                </c:pt>
                <c:pt idx="65">
                  <c:v>iun.19</c:v>
                </c:pt>
                <c:pt idx="66">
                  <c:v>iul.19</c:v>
                </c:pt>
                <c:pt idx="67">
                  <c:v>aug.19</c:v>
                </c:pt>
                <c:pt idx="68">
                  <c:v>sept.19</c:v>
                </c:pt>
                <c:pt idx="69">
                  <c:v>oct.19</c:v>
                </c:pt>
                <c:pt idx="70">
                  <c:v>nov.19</c:v>
                </c:pt>
                <c:pt idx="71">
                  <c:v>dec.19</c:v>
                </c:pt>
              </c:strCache>
            </c:strRef>
          </c:cat>
          <c:val>
            <c:numRef>
              <c:f>Foaie1!$D$2:$D$73</c:f>
              <c:numCache>
                <c:formatCode>General</c:formatCode>
                <c:ptCount val="72"/>
                <c:pt idx="0">
                  <c:v>1625</c:v>
                </c:pt>
                <c:pt idx="1">
                  <c:v>1626</c:v>
                </c:pt>
                <c:pt idx="2">
                  <c:v>1706</c:v>
                </c:pt>
                <c:pt idx="3">
                  <c:v>1735</c:v>
                </c:pt>
                <c:pt idx="4">
                  <c:v>1682</c:v>
                </c:pt>
                <c:pt idx="5">
                  <c:v>1687</c:v>
                </c:pt>
                <c:pt idx="6">
                  <c:v>1719</c:v>
                </c:pt>
                <c:pt idx="7">
                  <c:v>1683</c:v>
                </c:pt>
                <c:pt idx="8">
                  <c:v>1698</c:v>
                </c:pt>
                <c:pt idx="9">
                  <c:v>1705</c:v>
                </c:pt>
                <c:pt idx="10">
                  <c:v>1743</c:v>
                </c:pt>
                <c:pt idx="11">
                  <c:v>1866</c:v>
                </c:pt>
                <c:pt idx="12">
                  <c:v>1740</c:v>
                </c:pt>
                <c:pt idx="13">
                  <c:v>1731</c:v>
                </c:pt>
                <c:pt idx="14">
                  <c:v>1829</c:v>
                </c:pt>
                <c:pt idx="15">
                  <c:v>1857</c:v>
                </c:pt>
                <c:pt idx="16">
                  <c:v>1806</c:v>
                </c:pt>
                <c:pt idx="17">
                  <c:v>1818</c:v>
                </c:pt>
                <c:pt idx="18">
                  <c:v>1849</c:v>
                </c:pt>
                <c:pt idx="19">
                  <c:v>1813</c:v>
                </c:pt>
                <c:pt idx="20">
                  <c:v>1833</c:v>
                </c:pt>
                <c:pt idx="21">
                  <c:v>1871</c:v>
                </c:pt>
                <c:pt idx="22">
                  <c:v>1918</c:v>
                </c:pt>
                <c:pt idx="23">
                  <c:v>2114</c:v>
                </c:pt>
                <c:pt idx="24">
                  <c:v>1943</c:v>
                </c:pt>
                <c:pt idx="25">
                  <c:v>1950</c:v>
                </c:pt>
                <c:pt idx="26">
                  <c:v>2051</c:v>
                </c:pt>
                <c:pt idx="27">
                  <c:v>2086</c:v>
                </c:pt>
                <c:pt idx="28">
                  <c:v>2063</c:v>
                </c:pt>
                <c:pt idx="29">
                  <c:v>2078</c:v>
                </c:pt>
                <c:pt idx="30">
                  <c:v>2078</c:v>
                </c:pt>
                <c:pt idx="31">
                  <c:v>2076</c:v>
                </c:pt>
                <c:pt idx="32">
                  <c:v>2094</c:v>
                </c:pt>
                <c:pt idx="33">
                  <c:v>2108</c:v>
                </c:pt>
                <c:pt idx="34">
                  <c:v>2172</c:v>
                </c:pt>
                <c:pt idx="35">
                  <c:v>2354</c:v>
                </c:pt>
                <c:pt idx="36">
                  <c:v>2300</c:v>
                </c:pt>
                <c:pt idx="37">
                  <c:v>2236</c:v>
                </c:pt>
                <c:pt idx="38">
                  <c:v>2342</c:v>
                </c:pt>
                <c:pt idx="39">
                  <c:v>2366</c:v>
                </c:pt>
                <c:pt idx="40">
                  <c:v>2363</c:v>
                </c:pt>
                <c:pt idx="41">
                  <c:v>2380</c:v>
                </c:pt>
                <c:pt idx="42">
                  <c:v>2391</c:v>
                </c:pt>
                <c:pt idx="43">
                  <c:v>2364</c:v>
                </c:pt>
                <c:pt idx="44">
                  <c:v>2376</c:v>
                </c:pt>
                <c:pt idx="45">
                  <c:v>2392</c:v>
                </c:pt>
                <c:pt idx="46">
                  <c:v>2464</c:v>
                </c:pt>
                <c:pt idx="47">
                  <c:v>2629</c:v>
                </c:pt>
                <c:pt idx="48">
                  <c:v>2484</c:v>
                </c:pt>
                <c:pt idx="49">
                  <c:v>2487</c:v>
                </c:pt>
                <c:pt idx="50">
                  <c:v>2704</c:v>
                </c:pt>
                <c:pt idx="51">
                  <c:v>2713</c:v>
                </c:pt>
                <c:pt idx="52">
                  <c:v>2704</c:v>
                </c:pt>
                <c:pt idx="53">
                  <c:v>2721</c:v>
                </c:pt>
                <c:pt idx="54">
                  <c:v>2708</c:v>
                </c:pt>
                <c:pt idx="55">
                  <c:v>2669</c:v>
                </c:pt>
                <c:pt idx="56">
                  <c:v>2688</c:v>
                </c:pt>
                <c:pt idx="57">
                  <c:v>2720</c:v>
                </c:pt>
                <c:pt idx="58">
                  <c:v>2792</c:v>
                </c:pt>
                <c:pt idx="59">
                  <c:v>2957</c:v>
                </c:pt>
                <c:pt idx="60">
                  <c:v>2936</c:v>
                </c:pt>
                <c:pt idx="61">
                  <c:v>2933</c:v>
                </c:pt>
                <c:pt idx="62">
                  <c:v>3075</c:v>
                </c:pt>
                <c:pt idx="63">
                  <c:v>3115</c:v>
                </c:pt>
                <c:pt idx="64">
                  <c:v>3101</c:v>
                </c:pt>
                <c:pt idx="65">
                  <c:v>3142</c:v>
                </c:pt>
                <c:pt idx="66">
                  <c:v>3119</c:v>
                </c:pt>
                <c:pt idx="67">
                  <c:v>3044</c:v>
                </c:pt>
                <c:pt idx="68">
                  <c:v>3082</c:v>
                </c:pt>
                <c:pt idx="69">
                  <c:v>3116</c:v>
                </c:pt>
                <c:pt idx="70">
                  <c:v>3179</c:v>
                </c:pt>
                <c:pt idx="71">
                  <c:v>3340</c:v>
                </c:pt>
              </c:numCache>
            </c:numRef>
          </c:val>
          <c:smooth val="0"/>
          <c:extLst xmlns:c16r2="http://schemas.microsoft.com/office/drawing/2015/06/chart">
            <c:ext xmlns:c16="http://schemas.microsoft.com/office/drawing/2014/chart" uri="{C3380CC4-5D6E-409C-BE32-E72D297353CC}">
              <c16:uniqueId val="{00000000-8613-4936-AD95-0689278FD1FC}"/>
            </c:ext>
          </c:extLst>
        </c:ser>
        <c:dLbls>
          <c:showLegendKey val="0"/>
          <c:showVal val="0"/>
          <c:showCatName val="0"/>
          <c:showSerName val="0"/>
          <c:showPercent val="0"/>
          <c:showBubbleSize val="0"/>
        </c:dLbls>
        <c:marker val="1"/>
        <c:smooth val="0"/>
        <c:axId val="111003520"/>
        <c:axId val="111005056"/>
      </c:lineChart>
      <c:catAx>
        <c:axId val="111003520"/>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o-RO"/>
          </a:p>
        </c:txPr>
        <c:crossAx val="111005056"/>
        <c:crosses val="autoZero"/>
        <c:auto val="1"/>
        <c:lblAlgn val="ctr"/>
        <c:lblOffset val="100"/>
        <c:noMultiLvlLbl val="0"/>
      </c:catAx>
      <c:valAx>
        <c:axId val="111005056"/>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o-RO"/>
          </a:p>
        </c:txPr>
        <c:crossAx val="111003520"/>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Foaie1!$E$76</c:f>
              <c:strCache>
                <c:ptCount val="1"/>
                <c:pt idx="0">
                  <c:v>Evoluția indicelui prețurilor pentru locuințe în intervalul 2014-2019</c:v>
                </c:pt>
              </c:strCache>
            </c:strRef>
          </c:tx>
          <c:marker>
            <c:symbol val="none"/>
          </c:marker>
          <c:cat>
            <c:strRef>
              <c:f>Foaie1!$C$77:$C$100</c:f>
              <c:strCache>
                <c:ptCount val="24"/>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strCache>
            </c:strRef>
          </c:cat>
          <c:val>
            <c:numRef>
              <c:f>Foaie1!$E$77:$E$100</c:f>
              <c:numCache>
                <c:formatCode>General</c:formatCode>
                <c:ptCount val="24"/>
                <c:pt idx="0">
                  <c:v>-1.63</c:v>
                </c:pt>
                <c:pt idx="1">
                  <c:v>-3.12</c:v>
                </c:pt>
                <c:pt idx="2">
                  <c:v>-3.99</c:v>
                </c:pt>
                <c:pt idx="3">
                  <c:v>-2.38</c:v>
                </c:pt>
                <c:pt idx="4">
                  <c:v>1.01</c:v>
                </c:pt>
                <c:pt idx="5">
                  <c:v>-0.24</c:v>
                </c:pt>
                <c:pt idx="6">
                  <c:v>-1.1299999999999999</c:v>
                </c:pt>
                <c:pt idx="7">
                  <c:v>0.36</c:v>
                </c:pt>
                <c:pt idx="8">
                  <c:v>3.65</c:v>
                </c:pt>
                <c:pt idx="9">
                  <c:v>6.59</c:v>
                </c:pt>
                <c:pt idx="10">
                  <c:v>5.86</c:v>
                </c:pt>
                <c:pt idx="11">
                  <c:v>7.7</c:v>
                </c:pt>
                <c:pt idx="12">
                  <c:v>8.9600000000000009</c:v>
                </c:pt>
                <c:pt idx="13">
                  <c:v>14.27</c:v>
                </c:pt>
                <c:pt idx="14">
                  <c:v>12.44</c:v>
                </c:pt>
                <c:pt idx="15">
                  <c:v>13.75</c:v>
                </c:pt>
                <c:pt idx="16">
                  <c:v>16.100000000000001</c:v>
                </c:pt>
                <c:pt idx="17">
                  <c:v>19.66</c:v>
                </c:pt>
                <c:pt idx="18">
                  <c:v>18.88</c:v>
                </c:pt>
                <c:pt idx="19">
                  <c:v>19.829999999999998</c:v>
                </c:pt>
                <c:pt idx="20">
                  <c:v>19.909999999999997</c:v>
                </c:pt>
                <c:pt idx="21">
                  <c:v>21.790000000000006</c:v>
                </c:pt>
                <c:pt idx="22">
                  <c:v>23.569999999999993</c:v>
                </c:pt>
                <c:pt idx="23">
                  <c:v>25.489999999999995</c:v>
                </c:pt>
              </c:numCache>
            </c:numRef>
          </c:val>
          <c:smooth val="0"/>
          <c:extLst xmlns:c16r2="http://schemas.microsoft.com/office/drawing/2015/06/chart">
            <c:ext xmlns:c16="http://schemas.microsoft.com/office/drawing/2014/chart" uri="{C3380CC4-5D6E-409C-BE32-E72D297353CC}">
              <c16:uniqueId val="{00000000-4419-4C96-A995-F1429DE66BA0}"/>
            </c:ext>
          </c:extLst>
        </c:ser>
        <c:dLbls>
          <c:showLegendKey val="0"/>
          <c:showVal val="0"/>
          <c:showCatName val="0"/>
          <c:showSerName val="0"/>
          <c:showPercent val="0"/>
          <c:showBubbleSize val="0"/>
        </c:dLbls>
        <c:marker val="1"/>
        <c:smooth val="0"/>
        <c:axId val="134189440"/>
        <c:axId val="134190976"/>
      </c:lineChart>
      <c:catAx>
        <c:axId val="134189440"/>
        <c:scaling>
          <c:orientation val="minMax"/>
        </c:scaling>
        <c:delete val="0"/>
        <c:axPos val="b"/>
        <c:majorGridlines/>
        <c:numFmt formatCode="General" sourceLinked="0"/>
        <c:majorTickMark val="none"/>
        <c:minorTickMark val="none"/>
        <c:tickLblPos val="low"/>
        <c:crossAx val="134190976"/>
        <c:crosses val="autoZero"/>
        <c:auto val="1"/>
        <c:lblAlgn val="ctr"/>
        <c:lblOffset val="100"/>
        <c:noMultiLvlLbl val="0"/>
      </c:catAx>
      <c:valAx>
        <c:axId val="134190976"/>
        <c:scaling>
          <c:orientation val="minMax"/>
          <c:min val="-25"/>
        </c:scaling>
        <c:delete val="0"/>
        <c:axPos val="l"/>
        <c:majorGridlines/>
        <c:numFmt formatCode="General" sourceLinked="1"/>
        <c:majorTickMark val="out"/>
        <c:minorTickMark val="none"/>
        <c:tickLblPos val="nextTo"/>
        <c:crossAx val="134189440"/>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13</Pages>
  <Words>6211</Words>
  <Characters>36029</Characters>
  <Application>Microsoft Office Word</Application>
  <DocSecurity>0</DocSecurity>
  <Lines>300</Lines>
  <Paragraphs>84</Paragraphs>
  <ScaleCrop>false</ScaleCrop>
  <Company/>
  <LinksUpToDate>false</LinksUpToDate>
  <CharactersWithSpaces>42156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Morosan</dc:creator>
  <cp:lastModifiedBy>Morosan</cp:lastModifiedBy>
  <cp:revision>2</cp:revision>
  <dcterms:created xsi:type="dcterms:W3CDTF">2020-09-26T11:28:00Z</dcterms:created>
  <dcterms:modified xsi:type="dcterms:W3CDTF">2020-09-26T11:29:00Z</dcterms:modified>
</cp:coreProperties>
</file>