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8E1" w:rsidRPr="00F74768" w:rsidRDefault="003202D6" w:rsidP="003202D6">
      <w:pPr>
        <w:jc w:val="center"/>
        <w:rPr>
          <w:b/>
          <w:sz w:val="28"/>
          <w:lang w:val="ro-RO"/>
        </w:rPr>
      </w:pPr>
      <w:r w:rsidRPr="00F74768">
        <w:rPr>
          <w:b/>
          <w:sz w:val="28"/>
          <w:lang w:val="ro-RO"/>
        </w:rPr>
        <w:t>NOI ABORDĂRI PRIVIND TESTAREA VULNERABILITĂȚILOR ECONOMICE PRIN MODELAREA ECONOMETRICĂ A ELEMENTELOR FINANCIARE RAPORTATE</w:t>
      </w:r>
    </w:p>
    <w:p w:rsidR="00DA4375" w:rsidRPr="00F74768" w:rsidRDefault="00DA4375" w:rsidP="003202D6">
      <w:pPr>
        <w:jc w:val="center"/>
        <w:rPr>
          <w:b/>
          <w:sz w:val="28"/>
          <w:lang w:val="ro-RO"/>
        </w:rPr>
      </w:pPr>
      <w:r w:rsidRPr="00F74768">
        <w:rPr>
          <w:b/>
          <w:sz w:val="28"/>
          <w:lang w:val="ro-RO"/>
        </w:rPr>
        <w:t>NEW APPROACHES TO TESTING ECONOMIC VULNERABILITIES BY THE ECONOMIC MODELING OF THE REPORTED FINANCIAL ELEMENTS</w:t>
      </w:r>
    </w:p>
    <w:p w:rsidR="003202D6" w:rsidRPr="00F74768" w:rsidRDefault="003202D6" w:rsidP="003202D6">
      <w:pPr>
        <w:jc w:val="both"/>
        <w:rPr>
          <w:b/>
          <w:sz w:val="20"/>
          <w:szCs w:val="20"/>
          <w:lang w:val="ro-RO"/>
        </w:rPr>
      </w:pPr>
    </w:p>
    <w:p w:rsidR="006D6855" w:rsidRDefault="006D6855" w:rsidP="003202D6">
      <w:pPr>
        <w:jc w:val="both"/>
        <w:rPr>
          <w:sz w:val="20"/>
          <w:szCs w:val="20"/>
          <w:lang w:val="ro-RO"/>
        </w:rPr>
      </w:pPr>
    </w:p>
    <w:p w:rsidR="008B2EAA" w:rsidRDefault="008B2EAA" w:rsidP="003202D6">
      <w:pPr>
        <w:jc w:val="both"/>
        <w:rPr>
          <w:sz w:val="20"/>
          <w:szCs w:val="20"/>
          <w:lang w:val="ro-RO"/>
        </w:rPr>
      </w:pPr>
    </w:p>
    <w:p w:rsidR="008B2EAA" w:rsidRDefault="008B2EAA" w:rsidP="003202D6">
      <w:pPr>
        <w:jc w:val="both"/>
        <w:rPr>
          <w:sz w:val="20"/>
          <w:szCs w:val="20"/>
          <w:lang w:val="ro-RO"/>
        </w:rPr>
      </w:pPr>
    </w:p>
    <w:p w:rsidR="008B2EAA" w:rsidRPr="00F74768" w:rsidRDefault="008B2EAA" w:rsidP="003202D6">
      <w:pPr>
        <w:jc w:val="both"/>
        <w:rPr>
          <w:b/>
          <w:sz w:val="20"/>
          <w:szCs w:val="20"/>
          <w:lang w:val="ro-RO"/>
        </w:rPr>
      </w:pPr>
    </w:p>
    <w:p w:rsidR="00D54735" w:rsidRPr="00F74768" w:rsidRDefault="00D762B2" w:rsidP="003202D6">
      <w:pPr>
        <w:jc w:val="both"/>
        <w:rPr>
          <w:i/>
          <w:sz w:val="20"/>
          <w:szCs w:val="20"/>
          <w:lang w:val="ro-RO"/>
        </w:rPr>
      </w:pPr>
      <w:r w:rsidRPr="00F74768">
        <w:rPr>
          <w:b/>
          <w:i/>
          <w:sz w:val="20"/>
          <w:szCs w:val="20"/>
          <w:lang w:val="ro-RO"/>
        </w:rPr>
        <w:t xml:space="preserve">Abstract: </w:t>
      </w:r>
      <w:r w:rsidR="001B1562" w:rsidRPr="00F74768">
        <w:rPr>
          <w:i/>
          <w:sz w:val="20"/>
          <w:szCs w:val="20"/>
          <w:lang w:val="ro-RO"/>
        </w:rPr>
        <w:t>Analiza vulnerabilități</w:t>
      </w:r>
      <w:r w:rsidR="001578E1" w:rsidRPr="00F74768">
        <w:rPr>
          <w:i/>
          <w:sz w:val="20"/>
          <w:szCs w:val="20"/>
          <w:lang w:val="ro-RO"/>
        </w:rPr>
        <w:t>lor economice co</w:t>
      </w:r>
      <w:r w:rsidR="005159F2" w:rsidRPr="00F74768">
        <w:rPr>
          <w:i/>
          <w:sz w:val="20"/>
          <w:szCs w:val="20"/>
          <w:lang w:val="ro-RO"/>
        </w:rPr>
        <w:t>nstituie un element primordial î</w:t>
      </w:r>
      <w:r w:rsidR="001578E1" w:rsidRPr="00F74768">
        <w:rPr>
          <w:i/>
          <w:sz w:val="20"/>
          <w:szCs w:val="20"/>
          <w:lang w:val="ro-RO"/>
        </w:rPr>
        <w:t xml:space="preserve">n construirea strategiilor de dezvoltare economică pe termen mediu </w:t>
      </w:r>
      <w:r w:rsidR="005159F2" w:rsidRPr="00F74768">
        <w:rPr>
          <w:i/>
          <w:sz w:val="20"/>
          <w:szCs w:val="20"/>
          <w:lang w:val="ro-RO"/>
        </w:rPr>
        <w:t>ș</w:t>
      </w:r>
      <w:r w:rsidR="001578E1" w:rsidRPr="00F74768">
        <w:rPr>
          <w:i/>
          <w:sz w:val="20"/>
          <w:szCs w:val="20"/>
          <w:lang w:val="ro-RO"/>
        </w:rPr>
        <w:t>i lung. Prin studiu</w:t>
      </w:r>
      <w:r w:rsidR="00996268" w:rsidRPr="00F74768">
        <w:rPr>
          <w:i/>
          <w:sz w:val="20"/>
          <w:szCs w:val="20"/>
          <w:lang w:val="ro-RO"/>
        </w:rPr>
        <w:t>l</w:t>
      </w:r>
      <w:r w:rsidR="001578E1" w:rsidRPr="00F74768">
        <w:rPr>
          <w:i/>
          <w:sz w:val="20"/>
          <w:szCs w:val="20"/>
          <w:lang w:val="ro-RO"/>
        </w:rPr>
        <w:t xml:space="preserve"> realizat ne propunem evaluarea pe baze obiective a vulnerabilităților de trend care </w:t>
      </w:r>
      <w:r w:rsidR="001B1562" w:rsidRPr="00F74768">
        <w:rPr>
          <w:i/>
          <w:sz w:val="20"/>
          <w:szCs w:val="20"/>
          <w:lang w:val="ro-RO"/>
        </w:rPr>
        <w:t>afectează dez</w:t>
      </w:r>
      <w:r w:rsidR="00D54735" w:rsidRPr="00F74768">
        <w:rPr>
          <w:i/>
          <w:sz w:val="20"/>
          <w:szCs w:val="20"/>
          <w:lang w:val="ro-RO"/>
        </w:rPr>
        <w:t>voltarea economică</w:t>
      </w:r>
      <w:r w:rsidR="001B1562" w:rsidRPr="00F74768">
        <w:rPr>
          <w:i/>
          <w:sz w:val="20"/>
          <w:szCs w:val="20"/>
          <w:lang w:val="ro-RO"/>
        </w:rPr>
        <w:t xml:space="preserve"> a unei companii și conceptualizarea unui model econometric de identificare a acestor vulnerabilități cu transpunerea rezultatelor pe segmentul comportamentului prudențial în elaborarea strategiilor de dezvoltare economică a companiilor din România. </w:t>
      </w:r>
      <w:r w:rsidR="00D54735" w:rsidRPr="00F74768">
        <w:rPr>
          <w:i/>
          <w:sz w:val="20"/>
          <w:szCs w:val="20"/>
          <w:lang w:val="ro-RO"/>
        </w:rPr>
        <w:t xml:space="preserve">Studiul a fost realizat pe baza analizei rulajelor conturilor de venituri și cheltuieli în dinamică pe o perioadă de </w:t>
      </w:r>
      <w:r w:rsidR="005159F2" w:rsidRPr="00F74768">
        <w:rPr>
          <w:i/>
          <w:sz w:val="20"/>
          <w:szCs w:val="20"/>
          <w:lang w:val="ro-RO"/>
        </w:rPr>
        <w:t>5</w:t>
      </w:r>
      <w:r w:rsidR="00CE6580" w:rsidRPr="00F74768">
        <w:rPr>
          <w:i/>
          <w:sz w:val="20"/>
          <w:szCs w:val="20"/>
          <w:lang w:val="ro-RO"/>
        </w:rPr>
        <w:t xml:space="preserve"> ani</w:t>
      </w:r>
      <w:r w:rsidR="00D54735" w:rsidRPr="00F74768">
        <w:rPr>
          <w:i/>
          <w:sz w:val="20"/>
          <w:szCs w:val="20"/>
          <w:lang w:val="ro-RO"/>
        </w:rPr>
        <w:t>. Companiile analizate fac parte din top 15 cele mai mari firme din</w:t>
      </w:r>
      <w:r w:rsidR="005159F2" w:rsidRPr="00F74768">
        <w:rPr>
          <w:i/>
          <w:sz w:val="20"/>
          <w:szCs w:val="20"/>
          <w:lang w:val="ro-RO"/>
        </w:rPr>
        <w:t xml:space="preserve"> județul</w:t>
      </w:r>
      <w:r w:rsidR="00D54735" w:rsidRPr="00F74768">
        <w:rPr>
          <w:i/>
          <w:sz w:val="20"/>
          <w:szCs w:val="20"/>
          <w:lang w:val="ro-RO"/>
        </w:rPr>
        <w:t xml:space="preserve"> Suceava privind cifra de afaceri. Cercetarea e</w:t>
      </w:r>
      <w:r w:rsidR="00AE4BEB" w:rsidRPr="00F74768">
        <w:rPr>
          <w:i/>
          <w:sz w:val="20"/>
          <w:szCs w:val="20"/>
          <w:lang w:val="ro-RO"/>
        </w:rPr>
        <w:t>ste bivalentă, având latura teoretic</w:t>
      </w:r>
      <w:r w:rsidR="005159F2" w:rsidRPr="00F74768">
        <w:rPr>
          <w:i/>
          <w:sz w:val="20"/>
          <w:szCs w:val="20"/>
          <w:lang w:val="ro-RO"/>
        </w:rPr>
        <w:t>ă</w:t>
      </w:r>
      <w:r w:rsidR="00AE4BEB" w:rsidRPr="00F74768">
        <w:rPr>
          <w:i/>
          <w:sz w:val="20"/>
          <w:szCs w:val="20"/>
          <w:lang w:val="ro-RO"/>
        </w:rPr>
        <w:t xml:space="preserve"> centra</w:t>
      </w:r>
      <w:r w:rsidR="00D54735" w:rsidRPr="00F74768">
        <w:rPr>
          <w:i/>
          <w:sz w:val="20"/>
          <w:szCs w:val="20"/>
          <w:lang w:val="ro-RO"/>
        </w:rPr>
        <w:t>t</w:t>
      </w:r>
      <w:r w:rsidR="005159F2" w:rsidRPr="00F74768">
        <w:rPr>
          <w:i/>
          <w:sz w:val="20"/>
          <w:szCs w:val="20"/>
          <w:lang w:val="ro-RO"/>
        </w:rPr>
        <w:t>ă</w:t>
      </w:r>
      <w:r w:rsidR="00D54735" w:rsidRPr="00F74768">
        <w:rPr>
          <w:i/>
          <w:sz w:val="20"/>
          <w:szCs w:val="20"/>
          <w:lang w:val="ro-RO"/>
        </w:rPr>
        <w:t xml:space="preserve"> pe studiul literaturii de specialitate, iar latura empiric</w:t>
      </w:r>
      <w:r w:rsidR="005159F2" w:rsidRPr="00F74768">
        <w:rPr>
          <w:i/>
          <w:sz w:val="20"/>
          <w:szCs w:val="20"/>
          <w:lang w:val="ro-RO"/>
        </w:rPr>
        <w:t>ă</w:t>
      </w:r>
      <w:r w:rsidR="00D54735" w:rsidRPr="00F74768">
        <w:rPr>
          <w:i/>
          <w:sz w:val="20"/>
          <w:szCs w:val="20"/>
          <w:lang w:val="ro-RO"/>
        </w:rPr>
        <w:t xml:space="preserve"> orientat</w:t>
      </w:r>
      <w:r w:rsidR="005159F2" w:rsidRPr="00F74768">
        <w:rPr>
          <w:i/>
          <w:sz w:val="20"/>
          <w:szCs w:val="20"/>
          <w:lang w:val="ro-RO"/>
        </w:rPr>
        <w:t>ă</w:t>
      </w:r>
      <w:r w:rsidR="00D54735" w:rsidRPr="00F74768">
        <w:rPr>
          <w:i/>
          <w:sz w:val="20"/>
          <w:szCs w:val="20"/>
          <w:lang w:val="ro-RO"/>
        </w:rPr>
        <w:t xml:space="preserve"> către analiza seturilor de date, sistematizări ale bazelor de date consolidate</w:t>
      </w:r>
      <w:r w:rsidR="00AE4BEB" w:rsidRPr="00F74768">
        <w:rPr>
          <w:i/>
          <w:sz w:val="20"/>
          <w:szCs w:val="20"/>
          <w:lang w:val="ro-RO"/>
        </w:rPr>
        <w:t xml:space="preserve">, testări statistice ale </w:t>
      </w:r>
      <w:r w:rsidR="00D54735" w:rsidRPr="00F74768">
        <w:rPr>
          <w:i/>
          <w:sz w:val="20"/>
          <w:szCs w:val="20"/>
          <w:lang w:val="ro-RO"/>
        </w:rPr>
        <w:t>bazelor d</w:t>
      </w:r>
      <w:r w:rsidR="00996268" w:rsidRPr="00F74768">
        <w:rPr>
          <w:i/>
          <w:sz w:val="20"/>
          <w:szCs w:val="20"/>
          <w:lang w:val="ro-RO"/>
        </w:rPr>
        <w:t>e date și modelare</w:t>
      </w:r>
      <w:r w:rsidR="00AE4BEB" w:rsidRPr="00F74768">
        <w:rPr>
          <w:i/>
          <w:sz w:val="20"/>
          <w:szCs w:val="20"/>
          <w:lang w:val="ro-RO"/>
        </w:rPr>
        <w:t xml:space="preserve"> econometrică</w:t>
      </w:r>
      <w:r w:rsidR="00D54735" w:rsidRPr="00F74768">
        <w:rPr>
          <w:i/>
          <w:sz w:val="20"/>
          <w:szCs w:val="20"/>
          <w:lang w:val="ro-RO"/>
        </w:rPr>
        <w:t>.</w:t>
      </w:r>
      <w:r w:rsidR="00AE4BEB" w:rsidRPr="00F74768">
        <w:rPr>
          <w:i/>
          <w:sz w:val="20"/>
          <w:szCs w:val="20"/>
          <w:lang w:val="ro-RO"/>
        </w:rPr>
        <w:t xml:space="preserve"> Modelul rezultat este fundamentat de analiza în dinamică și de extrapolările făcute prin intermediul modelului econometric prin funcții </w:t>
      </w:r>
      <w:proofErr w:type="spellStart"/>
      <w:r w:rsidR="0030054E" w:rsidRPr="00F74768">
        <w:rPr>
          <w:i/>
          <w:sz w:val="20"/>
          <w:szCs w:val="20"/>
          <w:lang w:val="ro-RO"/>
        </w:rPr>
        <w:t>F</w:t>
      </w:r>
      <w:r w:rsidR="00B301E9" w:rsidRPr="00F74768">
        <w:rPr>
          <w:i/>
          <w:sz w:val="20"/>
          <w:szCs w:val="20"/>
          <w:lang w:val="ro-RO"/>
        </w:rPr>
        <w:t>orecast</w:t>
      </w:r>
      <w:proofErr w:type="spellEnd"/>
      <w:r w:rsidR="00AE4BEB" w:rsidRPr="00F74768">
        <w:rPr>
          <w:i/>
          <w:sz w:val="20"/>
          <w:szCs w:val="20"/>
          <w:lang w:val="ro-RO"/>
        </w:rPr>
        <w:t xml:space="preserve"> pe intervale de confidență de 9</w:t>
      </w:r>
      <w:r w:rsidR="00996268" w:rsidRPr="00F74768">
        <w:rPr>
          <w:i/>
          <w:sz w:val="20"/>
          <w:szCs w:val="20"/>
          <w:lang w:val="ro-RO"/>
        </w:rPr>
        <w:t>5%, oferind utilizatorilor de situații financiare</w:t>
      </w:r>
      <w:r w:rsidR="00AE4BEB" w:rsidRPr="00F74768">
        <w:rPr>
          <w:i/>
          <w:sz w:val="20"/>
          <w:szCs w:val="20"/>
          <w:lang w:val="ro-RO"/>
        </w:rPr>
        <w:t xml:space="preserve"> un instrument pragmatic de evaluare precoce a vulnerabilităților și de ajustare ex</w:t>
      </w:r>
      <w:r w:rsidR="005159F2" w:rsidRPr="00F74768">
        <w:rPr>
          <w:i/>
          <w:sz w:val="20"/>
          <w:szCs w:val="20"/>
          <w:lang w:val="ro-RO"/>
        </w:rPr>
        <w:t>-</w:t>
      </w:r>
      <w:r w:rsidR="00AE4BEB" w:rsidRPr="00F74768">
        <w:rPr>
          <w:i/>
          <w:sz w:val="20"/>
          <w:szCs w:val="20"/>
          <w:lang w:val="ro-RO"/>
        </w:rPr>
        <w:t>ante a strategiilor</w:t>
      </w:r>
      <w:r w:rsidR="00996268" w:rsidRPr="00F74768">
        <w:rPr>
          <w:i/>
          <w:sz w:val="20"/>
          <w:szCs w:val="20"/>
          <w:lang w:val="ro-RO"/>
        </w:rPr>
        <w:t xml:space="preserve"> de dezvoltare pe termen mediu ș</w:t>
      </w:r>
      <w:r w:rsidR="00AE4BEB" w:rsidRPr="00F74768">
        <w:rPr>
          <w:i/>
          <w:sz w:val="20"/>
          <w:szCs w:val="20"/>
          <w:lang w:val="ro-RO"/>
        </w:rPr>
        <w:t>i lung a companiilor.</w:t>
      </w:r>
    </w:p>
    <w:p w:rsidR="00AE4BEB" w:rsidRPr="00F74768" w:rsidRDefault="00AE4BEB" w:rsidP="003202D6">
      <w:pPr>
        <w:jc w:val="both"/>
        <w:rPr>
          <w:sz w:val="20"/>
          <w:szCs w:val="20"/>
          <w:lang w:val="ro-RO"/>
        </w:rPr>
      </w:pPr>
    </w:p>
    <w:p w:rsidR="00AA3897" w:rsidRPr="00F74768" w:rsidRDefault="00AA3897" w:rsidP="003202D6">
      <w:pPr>
        <w:jc w:val="both"/>
        <w:rPr>
          <w:b/>
          <w:sz w:val="20"/>
          <w:szCs w:val="20"/>
          <w:lang w:val="ro-RO"/>
        </w:rPr>
      </w:pPr>
      <w:r w:rsidRPr="00F74768">
        <w:rPr>
          <w:b/>
          <w:sz w:val="20"/>
          <w:szCs w:val="20"/>
          <w:lang w:val="ro-RO"/>
        </w:rPr>
        <w:t xml:space="preserve">Cuvinte cheie: </w:t>
      </w:r>
      <w:r w:rsidR="008B4A1F" w:rsidRPr="00F74768">
        <w:rPr>
          <w:sz w:val="20"/>
          <w:szCs w:val="20"/>
          <w:lang w:val="ro-RO"/>
        </w:rPr>
        <w:t>vulnerabilitate</w:t>
      </w:r>
      <w:r w:rsidR="00AE4BEB" w:rsidRPr="00F74768">
        <w:rPr>
          <w:sz w:val="20"/>
          <w:szCs w:val="20"/>
          <w:lang w:val="ro-RO"/>
        </w:rPr>
        <w:t>, situații financiare, model econometric, analiză financiară, previziuni</w:t>
      </w:r>
      <w:r w:rsidR="008B4A1F" w:rsidRPr="00F74768">
        <w:rPr>
          <w:sz w:val="20"/>
          <w:szCs w:val="20"/>
          <w:lang w:val="ro-RO"/>
        </w:rPr>
        <w:t>.</w:t>
      </w:r>
    </w:p>
    <w:p w:rsidR="00EA1025" w:rsidRDefault="00EA1025" w:rsidP="003202D6">
      <w:pPr>
        <w:jc w:val="both"/>
        <w:rPr>
          <w:b/>
          <w:sz w:val="20"/>
          <w:lang w:val="en-GB"/>
        </w:rPr>
      </w:pPr>
    </w:p>
    <w:p w:rsidR="00F74768" w:rsidRPr="00EA1025" w:rsidRDefault="00EA1025" w:rsidP="003202D6">
      <w:pPr>
        <w:jc w:val="both"/>
        <w:rPr>
          <w:b/>
          <w:sz w:val="20"/>
          <w:lang w:val="en-GB"/>
        </w:rPr>
      </w:pPr>
      <w:r w:rsidRPr="00EA1025">
        <w:rPr>
          <w:b/>
          <w:sz w:val="20"/>
          <w:lang w:val="en-GB"/>
        </w:rPr>
        <w:t>JEL classification</w:t>
      </w:r>
      <w:r w:rsidRPr="00EA1025">
        <w:rPr>
          <w:sz w:val="20"/>
          <w:lang w:val="en-GB"/>
        </w:rPr>
        <w:t>: M40, C58</w:t>
      </w:r>
    </w:p>
    <w:p w:rsidR="00B500A1" w:rsidRPr="00F74768" w:rsidRDefault="00B500A1" w:rsidP="003202D6">
      <w:pPr>
        <w:jc w:val="both"/>
        <w:rPr>
          <w:b/>
          <w:lang w:val="ro-RO"/>
        </w:rPr>
      </w:pPr>
    </w:p>
    <w:p w:rsidR="00D762B2" w:rsidRPr="00F74768" w:rsidRDefault="003202D6" w:rsidP="003202D6">
      <w:pPr>
        <w:rPr>
          <w:b/>
          <w:lang w:val="en-GB"/>
        </w:rPr>
      </w:pPr>
      <w:r w:rsidRPr="00F74768">
        <w:rPr>
          <w:b/>
          <w:lang w:val="en-GB"/>
        </w:rPr>
        <w:t>INTRODUC</w:t>
      </w:r>
      <w:r w:rsidR="00F97DD9" w:rsidRPr="00F74768">
        <w:rPr>
          <w:b/>
          <w:lang w:val="en-GB"/>
        </w:rPr>
        <w:t>TION</w:t>
      </w:r>
    </w:p>
    <w:p w:rsidR="003202D6" w:rsidRPr="00F74768" w:rsidRDefault="003202D6" w:rsidP="003202D6">
      <w:pPr>
        <w:rPr>
          <w:b/>
          <w:lang w:val="ro-RO"/>
        </w:rPr>
      </w:pPr>
    </w:p>
    <w:p w:rsidR="00D762B2" w:rsidRDefault="00AE4BEB" w:rsidP="003202D6">
      <w:pPr>
        <w:jc w:val="both"/>
        <w:rPr>
          <w:lang w:val="ro-RO"/>
        </w:rPr>
      </w:pPr>
      <w:r w:rsidRPr="00F74768">
        <w:rPr>
          <w:lang w:val="ro-RO"/>
        </w:rPr>
        <w:tab/>
        <w:t xml:space="preserve">Conceptele de vulnerabilitate pe segmentul dezvoltării economice a companiilor dintr-o anumită </w:t>
      </w:r>
      <w:r w:rsidRPr="00F74768">
        <w:rPr>
          <w:color w:val="000000" w:themeColor="text1"/>
          <w:lang w:val="ro-RO"/>
        </w:rPr>
        <w:t>regiune au suferit modificări de percepție pe măsură ce independența financiară a firmelor era mai angrenată în contextul macroeconomic global și în relațiile cu actorii din mediu</w:t>
      </w:r>
      <w:r w:rsidR="00D46A57" w:rsidRPr="00F74768">
        <w:rPr>
          <w:color w:val="000000" w:themeColor="text1"/>
          <w:lang w:val="ro-RO"/>
        </w:rPr>
        <w:t>l economic în care ace</w:t>
      </w:r>
      <w:r w:rsidRPr="00F74768">
        <w:rPr>
          <w:color w:val="000000" w:themeColor="text1"/>
          <w:lang w:val="ro-RO"/>
        </w:rPr>
        <w:t>st</w:t>
      </w:r>
      <w:r w:rsidR="00D46A57" w:rsidRPr="00F74768">
        <w:rPr>
          <w:color w:val="000000" w:themeColor="text1"/>
          <w:lang w:val="ro-RO"/>
        </w:rPr>
        <w:t>e</w:t>
      </w:r>
      <w:r w:rsidRPr="00F74768">
        <w:rPr>
          <w:color w:val="000000" w:themeColor="text1"/>
          <w:lang w:val="ro-RO"/>
        </w:rPr>
        <w:t>a își desfășoară activitatea.</w:t>
      </w:r>
      <w:r w:rsidR="00D46A57" w:rsidRPr="00F74768">
        <w:rPr>
          <w:color w:val="000000" w:themeColor="text1"/>
          <w:lang w:val="ro-RO"/>
        </w:rPr>
        <w:t xml:space="preserve"> Având în vedere climatul macroeconomic dominat de o instabilitate monetară și o volatilitate ridicată a cursului de schimb în relație cu frecventele schimbări de politică fiscală din România, gradul de incertitudine al agenților economici în abordarea unor strategii pe termen mediu și lung a crescut și în același timp a atras un comportament atipic (specific perioadelor premergătoare crizelor economice) în ceea ce privește cucerirea de noi piețe comerciale și fructificarea avantajului competitiv. Aceste </w:t>
      </w:r>
      <w:r w:rsidR="00D46A57" w:rsidRPr="00F74768">
        <w:rPr>
          <w:lang w:val="ro-RO"/>
        </w:rPr>
        <w:t xml:space="preserve">aspecte constatate prin analiza în dinamică a informațiilor financiare raportate de cele mai mari 15 societăți comerciale din județul Suceava au generat o problematică pe care cercetarea realizată își propune să o canalizeze către un model conceptual de identificare a incertitudinii comerciale și a vulnerabilităților financiare cu care se confruntă agenții economici din regiune. </w:t>
      </w:r>
      <w:r w:rsidR="009C1E7E" w:rsidRPr="00F74768">
        <w:rPr>
          <w:lang w:val="ro-RO"/>
        </w:rPr>
        <w:t>A</w:t>
      </w:r>
      <w:r w:rsidR="00996268" w:rsidRPr="00F74768">
        <w:rPr>
          <w:lang w:val="ro-RO"/>
        </w:rPr>
        <w:t xml:space="preserve">stfel, </w:t>
      </w:r>
      <w:r w:rsidR="00D43113" w:rsidRPr="00F74768">
        <w:rPr>
          <w:lang w:val="ro-RO"/>
        </w:rPr>
        <w:t xml:space="preserve">în cadrul </w:t>
      </w:r>
      <w:r w:rsidR="008B4A1F" w:rsidRPr="00F74768">
        <w:rPr>
          <w:lang w:val="ro-RO"/>
        </w:rPr>
        <w:t xml:space="preserve">cercetării au fost fixate </w:t>
      </w:r>
      <w:r w:rsidR="009C1E7E" w:rsidRPr="00F74768">
        <w:rPr>
          <w:lang w:val="ro-RO"/>
        </w:rPr>
        <w:t>următoarele obiective:</w:t>
      </w:r>
      <w:r w:rsidR="009C1E7E" w:rsidRPr="003202D6">
        <w:rPr>
          <w:lang w:val="ro-RO"/>
        </w:rPr>
        <w:t xml:space="preserve"> </w:t>
      </w:r>
    </w:p>
    <w:p w:rsidR="00D43113" w:rsidRPr="00F74768" w:rsidRDefault="005159F2" w:rsidP="00D43113">
      <w:pPr>
        <w:ind w:left="1418" w:hanging="1418"/>
        <w:jc w:val="both"/>
        <w:rPr>
          <w:lang w:val="ro-RO"/>
        </w:rPr>
      </w:pPr>
      <w:bookmarkStart w:id="0" w:name="OLE_LINK2"/>
      <w:bookmarkStart w:id="1" w:name="OLE_LINK3"/>
      <w:r w:rsidRPr="00F74768">
        <w:rPr>
          <w:lang w:val="ro-RO"/>
        </w:rPr>
        <w:t xml:space="preserve">Obiectivul 1 - </w:t>
      </w:r>
      <w:r w:rsidR="009C1E7E" w:rsidRPr="00F74768">
        <w:rPr>
          <w:lang w:val="ro-RO"/>
        </w:rPr>
        <w:t>Evaluarea comparativă a performanțelor financiare în raport cu costurile resurselor utilizate în vederea stabilirii sincopelor de evoluție pe dreptele de prognoză a rezultatelor financiare ale agenților economici;</w:t>
      </w:r>
    </w:p>
    <w:p w:rsidR="00D43113" w:rsidRPr="00F74768" w:rsidRDefault="005159F2" w:rsidP="00D43113">
      <w:pPr>
        <w:ind w:left="1418" w:hanging="1418"/>
        <w:jc w:val="both"/>
        <w:rPr>
          <w:lang w:val="ro-RO"/>
        </w:rPr>
      </w:pPr>
      <w:r w:rsidRPr="00F74768">
        <w:rPr>
          <w:lang w:val="ro-RO"/>
        </w:rPr>
        <w:t xml:space="preserve">Obiectivul 2 - </w:t>
      </w:r>
      <w:r w:rsidR="009C1E7E" w:rsidRPr="00F74768">
        <w:rPr>
          <w:lang w:val="ro-RO"/>
        </w:rPr>
        <w:t>Evaluarea în relație cu sincopele identificate a condițiilor cauzale materializate în componente de risc financiar pentru agenții economici;</w:t>
      </w:r>
    </w:p>
    <w:p w:rsidR="009C1E7E" w:rsidRPr="00F74768" w:rsidRDefault="005159F2" w:rsidP="00D43113">
      <w:pPr>
        <w:ind w:left="1418" w:hanging="1418"/>
        <w:jc w:val="both"/>
        <w:rPr>
          <w:lang w:val="ro-RO"/>
        </w:rPr>
      </w:pPr>
      <w:r w:rsidRPr="00F74768">
        <w:rPr>
          <w:lang w:val="ro-RO"/>
        </w:rPr>
        <w:t xml:space="preserve">Obiectivul 3 - </w:t>
      </w:r>
      <w:r w:rsidR="009C1E7E" w:rsidRPr="00F74768">
        <w:rPr>
          <w:lang w:val="ro-RO"/>
        </w:rPr>
        <w:t>Testarea în urma modelării econometrice a bonității financiare în prezența și în absența riscului identificat.</w:t>
      </w:r>
    </w:p>
    <w:bookmarkEnd w:id="0"/>
    <w:bookmarkEnd w:id="1"/>
    <w:p w:rsidR="00AE4BEB" w:rsidRDefault="009C1E7E" w:rsidP="00B500A1">
      <w:pPr>
        <w:ind w:firstLine="720"/>
        <w:jc w:val="both"/>
        <w:rPr>
          <w:lang w:val="ro-RO"/>
        </w:rPr>
      </w:pPr>
      <w:r w:rsidRPr="00F74768">
        <w:rPr>
          <w:lang w:val="ro-RO"/>
        </w:rPr>
        <w:t>Scopul studiului îl constituie validarea instrumentului econometric conceptualizat prin testarea rezultatelor modelului pe firmele din eșantionul prezentat.</w:t>
      </w:r>
    </w:p>
    <w:p w:rsidR="00F74768" w:rsidRDefault="00F74768" w:rsidP="00B500A1">
      <w:pPr>
        <w:ind w:firstLine="720"/>
        <w:jc w:val="both"/>
        <w:rPr>
          <w:lang w:val="ro-RO"/>
        </w:rPr>
      </w:pPr>
    </w:p>
    <w:p w:rsidR="003202D6" w:rsidRPr="00623C9D" w:rsidRDefault="003202D6" w:rsidP="003202D6">
      <w:pPr>
        <w:rPr>
          <w:lang w:val="en-GB"/>
        </w:rPr>
      </w:pPr>
    </w:p>
    <w:p w:rsidR="00D762B2" w:rsidRPr="00F97DD9" w:rsidRDefault="003202D6" w:rsidP="003202D6">
      <w:pPr>
        <w:rPr>
          <w:b/>
          <w:lang w:val="en-GB"/>
        </w:rPr>
      </w:pPr>
      <w:r w:rsidRPr="00F97DD9">
        <w:rPr>
          <w:b/>
          <w:lang w:val="en-GB"/>
        </w:rPr>
        <w:t>LITERATURE REVIEW</w:t>
      </w:r>
    </w:p>
    <w:p w:rsidR="005E18FD" w:rsidRDefault="005E18FD" w:rsidP="00DB594D">
      <w:pPr>
        <w:rPr>
          <w:lang w:val="ro-RO"/>
        </w:rPr>
      </w:pPr>
    </w:p>
    <w:p w:rsidR="000B6B4C" w:rsidRDefault="00F4563F" w:rsidP="0011451C">
      <w:pPr>
        <w:jc w:val="both"/>
        <w:rPr>
          <w:color w:val="000000" w:themeColor="text1"/>
          <w:lang w:val="ro-RO"/>
        </w:rPr>
      </w:pPr>
      <w:r>
        <w:rPr>
          <w:lang w:val="ro-RO"/>
        </w:rPr>
        <w:tab/>
      </w:r>
      <w:r w:rsidR="00806C98">
        <w:rPr>
          <w:lang w:val="ro-RO"/>
        </w:rPr>
        <w:t xml:space="preserve">În prezent, conceptul de economie durabilă și sustenabilă este din ce în ce mai promovat în rândul actorilor de </w:t>
      </w:r>
      <w:r w:rsidR="00ED29C7">
        <w:rPr>
          <w:lang w:val="ro-RO"/>
        </w:rPr>
        <w:t xml:space="preserve">pe </w:t>
      </w:r>
      <w:r w:rsidR="00806C98">
        <w:rPr>
          <w:lang w:val="ro-RO"/>
        </w:rPr>
        <w:t>piața bunurilor și serviciilor.</w:t>
      </w:r>
      <w:r w:rsidR="00684085">
        <w:rPr>
          <w:lang w:val="ro-RO"/>
        </w:rPr>
        <w:t xml:space="preserve"> Capacitatea companiilor de a face faț</w:t>
      </w:r>
      <w:r w:rsidR="008B54A1">
        <w:rPr>
          <w:lang w:val="ro-RO"/>
        </w:rPr>
        <w:t>ă provocărilor și fluctuațiilor,</w:t>
      </w:r>
      <w:r w:rsidR="0048238C">
        <w:rPr>
          <w:lang w:val="ro-RO"/>
        </w:rPr>
        <w:t xml:space="preserve"> de</w:t>
      </w:r>
      <w:r w:rsidR="00ED29C7">
        <w:rPr>
          <w:lang w:val="ro-RO"/>
        </w:rPr>
        <w:t xml:space="preserve"> a-și menține poziția pe piaț</w:t>
      </w:r>
      <w:r w:rsidR="008B54A1">
        <w:rPr>
          <w:lang w:val="ro-RO"/>
        </w:rPr>
        <w:t>ă</w:t>
      </w:r>
      <w:r w:rsidR="0048238C">
        <w:rPr>
          <w:lang w:val="ro-RO"/>
        </w:rPr>
        <w:t xml:space="preserve"> și de a da dovadă de randament le garantează, mai mult sau mai puțin, succesul și performanța.</w:t>
      </w:r>
      <w:r w:rsidR="00A742D6">
        <w:rPr>
          <w:lang w:val="ro-RO"/>
        </w:rPr>
        <w:t xml:space="preserve"> </w:t>
      </w:r>
      <w:r w:rsidR="00806C98">
        <w:rPr>
          <w:lang w:val="ro-RO"/>
        </w:rPr>
        <w:t xml:space="preserve">Cu toate acestea, </w:t>
      </w:r>
      <w:r w:rsidR="000D29DA">
        <w:rPr>
          <w:lang w:val="ro-RO"/>
        </w:rPr>
        <w:t>în funcție de</w:t>
      </w:r>
      <w:r w:rsidR="00783518">
        <w:rPr>
          <w:lang w:val="ro-RO"/>
        </w:rPr>
        <w:t xml:space="preserve"> </w:t>
      </w:r>
      <w:r w:rsidR="000D29DA">
        <w:rPr>
          <w:lang w:val="ro-RO"/>
        </w:rPr>
        <w:t xml:space="preserve">poziția geografică și de caracteristicile regiunii în care activează acestea, eficiența economică și socială a entităților </w:t>
      </w:r>
      <w:r w:rsidR="0048238C">
        <w:rPr>
          <w:lang w:val="ro-RO"/>
        </w:rPr>
        <w:t>poate fi afectată de</w:t>
      </w:r>
      <w:r w:rsidR="00A742D6">
        <w:rPr>
          <w:lang w:val="ro-RO"/>
        </w:rPr>
        <w:t xml:space="preserve"> diverși</w:t>
      </w:r>
      <w:r w:rsidR="0048238C">
        <w:rPr>
          <w:lang w:val="ro-RO"/>
        </w:rPr>
        <w:t xml:space="preserve"> factori </w:t>
      </w:r>
      <w:r w:rsidR="000D29DA">
        <w:rPr>
          <w:lang w:val="ro-RO"/>
        </w:rPr>
        <w:t xml:space="preserve">de influență </w:t>
      </w:r>
      <w:r w:rsidR="0002743B" w:rsidRPr="0002743B">
        <w:rPr>
          <w:color w:val="0070C0"/>
          <w:lang w:val="ro-RO"/>
        </w:rPr>
        <w:t>(</w:t>
      </w:r>
      <w:proofErr w:type="spellStart"/>
      <w:r w:rsidR="0002743B" w:rsidRPr="0002743B">
        <w:rPr>
          <w:color w:val="0070C0"/>
          <w:lang w:val="ro-RO"/>
        </w:rPr>
        <w:t>Hahm</w:t>
      </w:r>
      <w:proofErr w:type="spellEnd"/>
      <w:r w:rsidR="0002743B" w:rsidRPr="0002743B">
        <w:rPr>
          <w:color w:val="0070C0"/>
          <w:lang w:val="ro-RO"/>
        </w:rPr>
        <w:t xml:space="preserve">, </w:t>
      </w:r>
      <w:proofErr w:type="spellStart"/>
      <w:r w:rsidR="0002743B" w:rsidRPr="0002743B">
        <w:rPr>
          <w:color w:val="0070C0"/>
          <w:lang w:val="ro-RO"/>
        </w:rPr>
        <w:t>Shin</w:t>
      </w:r>
      <w:proofErr w:type="spellEnd"/>
      <w:r w:rsidR="0002743B" w:rsidRPr="0002743B">
        <w:rPr>
          <w:color w:val="0070C0"/>
          <w:lang w:val="ro-RO"/>
        </w:rPr>
        <w:t xml:space="preserve"> &amp; </w:t>
      </w:r>
      <w:proofErr w:type="spellStart"/>
      <w:r w:rsidR="0002743B" w:rsidRPr="0002743B">
        <w:rPr>
          <w:color w:val="0070C0"/>
          <w:lang w:val="ro-RO"/>
        </w:rPr>
        <w:t>Shin</w:t>
      </w:r>
      <w:proofErr w:type="spellEnd"/>
      <w:r w:rsidR="0002743B" w:rsidRPr="0002743B">
        <w:rPr>
          <w:color w:val="0070C0"/>
          <w:lang w:val="ro-RO"/>
        </w:rPr>
        <w:t>, 2013</w:t>
      </w:r>
      <w:r w:rsidR="0002743B">
        <w:rPr>
          <w:color w:val="0070C0"/>
          <w:lang w:val="ro-RO"/>
        </w:rPr>
        <w:t>,</w:t>
      </w:r>
      <w:r w:rsidR="0002743B" w:rsidRPr="0002743B">
        <w:rPr>
          <w:color w:val="0070C0"/>
          <w:lang w:val="ro-RO"/>
        </w:rPr>
        <w:t xml:space="preserve"> </w:t>
      </w:r>
      <w:proofErr w:type="spellStart"/>
      <w:r w:rsidR="00386080">
        <w:rPr>
          <w:color w:val="0070C0"/>
          <w:lang w:val="ro-RO"/>
        </w:rPr>
        <w:t>Zhao</w:t>
      </w:r>
      <w:proofErr w:type="spellEnd"/>
      <w:r w:rsidR="00386080">
        <w:rPr>
          <w:color w:val="0070C0"/>
          <w:lang w:val="ro-RO"/>
        </w:rPr>
        <w:t>, 2018)</w:t>
      </w:r>
      <w:r w:rsidR="00BB5FBC">
        <w:rPr>
          <w:color w:val="000000" w:themeColor="text1"/>
          <w:lang w:val="ro-RO"/>
        </w:rPr>
        <w:t>.</w:t>
      </w:r>
    </w:p>
    <w:p w:rsidR="00F74768" w:rsidRDefault="00D02C02" w:rsidP="0011451C">
      <w:pPr>
        <w:jc w:val="both"/>
        <w:rPr>
          <w:color w:val="000000" w:themeColor="text1"/>
          <w:lang w:val="ro-RO"/>
        </w:rPr>
      </w:pPr>
      <w:r>
        <w:rPr>
          <w:color w:val="000000" w:themeColor="text1"/>
          <w:lang w:val="ro-RO"/>
        </w:rPr>
        <w:tab/>
      </w:r>
      <w:r w:rsidR="005D10CD">
        <w:rPr>
          <w:color w:val="000000" w:themeColor="text1"/>
          <w:lang w:val="ro-RO"/>
        </w:rPr>
        <w:t>În timpul crizei economice</w:t>
      </w:r>
      <w:r w:rsidR="00F74768" w:rsidRPr="00F74768">
        <w:rPr>
          <w:color w:val="000000" w:themeColor="text1"/>
          <w:lang w:val="ro-RO"/>
        </w:rPr>
        <w:t xml:space="preserve"> </w:t>
      </w:r>
      <w:r w:rsidR="009B17DE">
        <w:rPr>
          <w:color w:val="000000" w:themeColor="text1"/>
          <w:lang w:val="ro-RO"/>
        </w:rPr>
        <w:t>s-au manifestat</w:t>
      </w:r>
      <w:r w:rsidR="00F74768" w:rsidRPr="00F74768">
        <w:rPr>
          <w:color w:val="000000" w:themeColor="text1"/>
          <w:lang w:val="ro-RO"/>
        </w:rPr>
        <w:t xml:space="preserve"> mai multe fenomene precum șomajul, inflația, inegalitatea în distribuția veniturilor, fiind foarte vizibile în țările dezvoltate și în re</w:t>
      </w:r>
      <w:r w:rsidR="005D10CD">
        <w:rPr>
          <w:color w:val="000000" w:themeColor="text1"/>
          <w:lang w:val="ro-RO"/>
        </w:rPr>
        <w:t xml:space="preserve">lațiile </w:t>
      </w:r>
      <w:proofErr w:type="spellStart"/>
      <w:r w:rsidR="005D10CD">
        <w:rPr>
          <w:color w:val="000000" w:themeColor="text1"/>
          <w:lang w:val="ro-RO"/>
        </w:rPr>
        <w:t>macroregionale</w:t>
      </w:r>
      <w:proofErr w:type="spellEnd"/>
      <w:r w:rsidR="005D10CD">
        <w:rPr>
          <w:color w:val="000000" w:themeColor="text1"/>
          <w:lang w:val="ro-RO"/>
        </w:rPr>
        <w:t xml:space="preserve"> mondiale</w:t>
      </w:r>
      <w:r w:rsidR="00F74768" w:rsidRPr="00F74768">
        <w:rPr>
          <w:color w:val="000000" w:themeColor="text1"/>
          <w:lang w:val="ro-RO"/>
        </w:rPr>
        <w:t xml:space="preserve"> (Bostan și Grosu, 2010). Acestea au accentuat instabilitatea și vulnerabilitatea sistemului economic de atunci.</w:t>
      </w:r>
    </w:p>
    <w:p w:rsidR="00D02C02" w:rsidRDefault="00D02C02" w:rsidP="00F74768">
      <w:pPr>
        <w:ind w:firstLine="720"/>
        <w:jc w:val="both"/>
        <w:rPr>
          <w:color w:val="0D0D0D" w:themeColor="text1" w:themeTint="F2"/>
          <w:lang w:val="ro-RO"/>
        </w:rPr>
      </w:pPr>
      <w:r>
        <w:rPr>
          <w:color w:val="000000" w:themeColor="text1"/>
          <w:lang w:val="ro-RO"/>
        </w:rPr>
        <w:t xml:space="preserve">Multe țări europene au avut de suferit în urma crizei din 2009, turbulențe considerabile macroeconomice înregistrându-se în țările de la periferii, în timp ce țările principale ale UE (cum ar fi Germania) au înregistrat rate de creștere relativ ridicate. </w:t>
      </w:r>
      <w:r w:rsidRPr="00D02C02">
        <w:rPr>
          <w:color w:val="000000" w:themeColor="text1"/>
          <w:lang w:val="ro-RO"/>
        </w:rPr>
        <w:t xml:space="preserve">În consecință, </w:t>
      </w:r>
      <w:r>
        <w:rPr>
          <w:color w:val="000000" w:themeColor="text1"/>
          <w:lang w:val="ro-RO"/>
        </w:rPr>
        <w:t xml:space="preserve">în ultimii ani </w:t>
      </w:r>
      <w:r w:rsidRPr="00D02C02">
        <w:rPr>
          <w:color w:val="000000" w:themeColor="text1"/>
          <w:lang w:val="ro-RO"/>
        </w:rPr>
        <w:t xml:space="preserve">volatilitatea ratelor de creștere economică </w:t>
      </w:r>
      <w:r>
        <w:rPr>
          <w:color w:val="000000" w:themeColor="text1"/>
          <w:lang w:val="ro-RO"/>
        </w:rPr>
        <w:t xml:space="preserve">în țările </w:t>
      </w:r>
      <w:r w:rsidR="00094C33">
        <w:rPr>
          <w:color w:val="000000" w:themeColor="text1"/>
          <w:lang w:val="ro-RO"/>
        </w:rPr>
        <w:t>Uniunii Europene</w:t>
      </w:r>
      <w:r>
        <w:rPr>
          <w:color w:val="000000" w:themeColor="text1"/>
          <w:lang w:val="ro-RO"/>
        </w:rPr>
        <w:t xml:space="preserve"> a crescut. </w:t>
      </w:r>
      <w:r w:rsidRPr="00D02C02">
        <w:rPr>
          <w:color w:val="0070C0"/>
          <w:lang w:val="ro-RO"/>
        </w:rPr>
        <w:t>(</w:t>
      </w:r>
      <w:proofErr w:type="spellStart"/>
      <w:r w:rsidRPr="00D02C02">
        <w:rPr>
          <w:color w:val="0070C0"/>
          <w:lang w:val="ro-RO"/>
        </w:rPr>
        <w:t>Hafner</w:t>
      </w:r>
      <w:proofErr w:type="spellEnd"/>
      <w:r w:rsidRPr="00D02C02">
        <w:rPr>
          <w:color w:val="0070C0"/>
          <w:lang w:val="ro-RO"/>
        </w:rPr>
        <w:t>, 2018)</w:t>
      </w:r>
      <w:r>
        <w:rPr>
          <w:color w:val="0070C0"/>
          <w:lang w:val="ro-RO"/>
        </w:rPr>
        <w:t xml:space="preserve"> </w:t>
      </w:r>
      <w:r>
        <w:rPr>
          <w:color w:val="0D0D0D" w:themeColor="text1" w:themeTint="F2"/>
          <w:lang w:val="ro-RO"/>
        </w:rPr>
        <w:t>Scopul în sine al UE a fost</w:t>
      </w:r>
      <w:r w:rsidR="00A62940">
        <w:rPr>
          <w:color w:val="0D0D0D" w:themeColor="text1" w:themeTint="F2"/>
          <w:lang w:val="ro-RO"/>
        </w:rPr>
        <w:t xml:space="preserve"> dintotdeauna crearea unei economii comune și uniformizarea acesteia la nivel de uniune.</w:t>
      </w:r>
      <w:r w:rsidR="00C10CCE">
        <w:rPr>
          <w:color w:val="0D0D0D" w:themeColor="text1" w:themeTint="F2"/>
          <w:lang w:val="ro-RO"/>
        </w:rPr>
        <w:t xml:space="preserve"> În acest sens, este esențial înțelegerea mecanismul</w:t>
      </w:r>
      <w:r w:rsidR="007E150E">
        <w:rPr>
          <w:color w:val="0D0D0D" w:themeColor="text1" w:themeTint="F2"/>
          <w:lang w:val="ro-RO"/>
        </w:rPr>
        <w:t>ui</w:t>
      </w:r>
      <w:r w:rsidR="00C10CCE">
        <w:rPr>
          <w:color w:val="0D0D0D" w:themeColor="text1" w:themeTint="F2"/>
          <w:lang w:val="ro-RO"/>
        </w:rPr>
        <w:t xml:space="preserve"> care poate duce la un eventual declin, pentr</w:t>
      </w:r>
      <w:r w:rsidR="00094C33">
        <w:rPr>
          <w:color w:val="0D0D0D" w:themeColor="text1" w:themeTint="F2"/>
          <w:lang w:val="ro-RO"/>
        </w:rPr>
        <w:t>u a putea lua măsuri preventive</w:t>
      </w:r>
      <w:r w:rsidR="00C10CCE">
        <w:rPr>
          <w:color w:val="0D0D0D" w:themeColor="text1" w:themeTint="F2"/>
          <w:lang w:val="ro-RO"/>
        </w:rPr>
        <w:t xml:space="preserve"> </w:t>
      </w:r>
      <w:r w:rsidR="00C10CCE" w:rsidRPr="00C10CCE">
        <w:rPr>
          <w:color w:val="2E74B5" w:themeColor="accent1" w:themeShade="BF"/>
          <w:lang w:val="ro-RO"/>
        </w:rPr>
        <w:t>(</w:t>
      </w:r>
      <w:proofErr w:type="spellStart"/>
      <w:r w:rsidR="00C10CCE" w:rsidRPr="00C10CCE">
        <w:rPr>
          <w:color w:val="2E74B5" w:themeColor="accent1" w:themeShade="BF"/>
          <w:lang w:val="ro-RO"/>
        </w:rPr>
        <w:t>Maziarz</w:t>
      </w:r>
      <w:proofErr w:type="spellEnd"/>
      <w:r w:rsidR="00C10CCE" w:rsidRPr="00C10CCE">
        <w:rPr>
          <w:color w:val="2E74B5" w:themeColor="accent1" w:themeShade="BF"/>
          <w:lang w:val="ro-RO"/>
        </w:rPr>
        <w:t>, 2019)</w:t>
      </w:r>
      <w:r w:rsidR="00094C33">
        <w:rPr>
          <w:color w:val="0D0D0D" w:themeColor="text1" w:themeTint="F2"/>
          <w:lang w:val="ro-RO"/>
        </w:rPr>
        <w:t xml:space="preserve">. </w:t>
      </w:r>
      <w:r w:rsidR="00F74768" w:rsidRPr="00F74768">
        <w:rPr>
          <w:color w:val="0D0D0D" w:themeColor="text1" w:themeTint="F2"/>
          <w:lang w:val="ro-RO"/>
        </w:rPr>
        <w:t>Măsurile de stat nu sunt întotdeauna în favoarea întreprinderilor, iar provocările cu care se confruntă nu fac decât să accentueze instabilitatea și vulnerabilitatea lor.</w:t>
      </w:r>
    </w:p>
    <w:p w:rsidR="00F74768" w:rsidRPr="008525A7" w:rsidRDefault="00F74768" w:rsidP="00F74768">
      <w:pPr>
        <w:ind w:firstLine="720"/>
        <w:jc w:val="both"/>
        <w:rPr>
          <w:color w:val="000000" w:themeColor="text1"/>
          <w:lang w:val="ro-RO"/>
        </w:rPr>
      </w:pPr>
      <w:r w:rsidRPr="00F74768">
        <w:rPr>
          <w:color w:val="000000" w:themeColor="text1"/>
          <w:lang w:val="ro-RO"/>
        </w:rPr>
        <w:t>Vulnerabilitatea fiscală este legată de vulnerabilitatea la crize în general. FMI (1998) susține că vulnerabilitatea depinde de: dimensiunea dezechilibrelor economice în ceea ce privește stocurile și fluxurile; dezechilibrele prețurilor activelor, inclusiv cursul de schimb; magnitudinea distorsiunilor din sectorul financiar și rigiditățile structurale; și credibilitatea politicilor. Vulnerabilitatea fiscală poate fi considerată ca o componentă a vulnerabilității globale care rezultă din proiectarea și implementarea politicii fiscale. Allen și colab. (2002) adoptă o definiție mai precisă, și anume riscul de încălcare a situațiilor de lichiditate sau de solvabilitate și de apariție a unei crize.</w:t>
      </w:r>
    </w:p>
    <w:p w:rsidR="00C23E3F" w:rsidRDefault="00C23E3F" w:rsidP="008525A7">
      <w:pPr>
        <w:ind w:firstLine="720"/>
        <w:jc w:val="both"/>
        <w:rPr>
          <w:color w:val="2E74B5" w:themeColor="accent1" w:themeShade="BF"/>
          <w:lang w:val="ro-RO"/>
        </w:rPr>
      </w:pPr>
      <w:r>
        <w:rPr>
          <w:color w:val="000000" w:themeColor="text1"/>
          <w:lang w:val="ro-RO"/>
        </w:rPr>
        <w:t xml:space="preserve">Politicile fiscale pot fi </w:t>
      </w:r>
      <w:r w:rsidR="00F0440A">
        <w:rPr>
          <w:color w:val="000000" w:themeColor="text1"/>
          <w:lang w:val="ro-RO"/>
        </w:rPr>
        <w:t>instrumente binevenite în conturarea unei economii sănătoase și în stimularea creșterii bunăstării întreprinderilor. Însă, din păcate, de cele mai multe ori nu este a</w:t>
      </w:r>
      <w:r w:rsidR="00715549">
        <w:rPr>
          <w:color w:val="000000" w:themeColor="text1"/>
          <w:lang w:val="ro-RO"/>
        </w:rPr>
        <w:t xml:space="preserve">șa, acestea fiind privite ca </w:t>
      </w:r>
      <w:r w:rsidR="00F0440A">
        <w:rPr>
          <w:color w:val="000000" w:themeColor="text1"/>
          <w:lang w:val="ro-RO"/>
        </w:rPr>
        <w:t xml:space="preserve">niște „capcane” prin care statul dorește să inducă economia într-o direcție sau alta. </w:t>
      </w:r>
      <w:r w:rsidR="00F0440A" w:rsidRPr="00CC6104">
        <w:rPr>
          <w:color w:val="2E74B5" w:themeColor="accent1" w:themeShade="BF"/>
          <w:lang w:val="ro-RO"/>
        </w:rPr>
        <w:t>(</w:t>
      </w:r>
      <w:proofErr w:type="spellStart"/>
      <w:r w:rsidR="00F0440A" w:rsidRPr="00CC6104">
        <w:rPr>
          <w:color w:val="2E74B5" w:themeColor="accent1" w:themeShade="BF"/>
          <w:lang w:val="ro-RO"/>
        </w:rPr>
        <w:t>Ivanya</w:t>
      </w:r>
      <w:proofErr w:type="spellEnd"/>
      <w:r w:rsidR="00F0440A" w:rsidRPr="00CC6104">
        <w:rPr>
          <w:color w:val="2E74B5" w:themeColor="accent1" w:themeShade="BF"/>
          <w:lang w:val="ro-RO"/>
        </w:rPr>
        <w:t>, 2017)</w:t>
      </w:r>
      <w:r w:rsidR="00F0440A" w:rsidRPr="00F0440A">
        <w:rPr>
          <w:color w:val="2E74B5" w:themeColor="accent1" w:themeShade="BF"/>
          <w:lang w:val="ro-RO"/>
        </w:rPr>
        <w:t xml:space="preserve"> </w:t>
      </w:r>
      <w:r w:rsidR="00F0440A">
        <w:rPr>
          <w:color w:val="000000" w:themeColor="text1"/>
          <w:lang w:val="ro-RO"/>
        </w:rPr>
        <w:t>Așadar, u</w:t>
      </w:r>
      <w:r w:rsidR="00F0440A" w:rsidRPr="00F0440A">
        <w:rPr>
          <w:color w:val="000000" w:themeColor="text1"/>
          <w:lang w:val="ro-RO"/>
        </w:rPr>
        <w:t>tilizarea unei reguli fiscale adecvate ajută la raționalizarea eforturilor de consolidare fiscală prin promovarea unui medi</w:t>
      </w:r>
      <w:r w:rsidR="00F0440A">
        <w:rPr>
          <w:color w:val="000000" w:themeColor="text1"/>
          <w:lang w:val="ro-RO"/>
        </w:rPr>
        <w:t xml:space="preserve">u favorabil creșterii economice, și implicit, al performanței întreprinderilor. </w:t>
      </w:r>
      <w:r w:rsidR="00F0440A" w:rsidRPr="00F0440A">
        <w:rPr>
          <w:color w:val="2E74B5" w:themeColor="accent1" w:themeShade="BF"/>
          <w:lang w:val="ro-RO"/>
        </w:rPr>
        <w:t>(</w:t>
      </w:r>
      <w:proofErr w:type="spellStart"/>
      <w:r w:rsidR="001F49DA" w:rsidRPr="001F49DA">
        <w:rPr>
          <w:color w:val="2E74B5" w:themeColor="accent1" w:themeShade="BF"/>
          <w:lang w:val="ro-RO"/>
        </w:rPr>
        <w:t>Díaz-Roldán</w:t>
      </w:r>
      <w:proofErr w:type="spellEnd"/>
      <w:r w:rsidR="001F49DA">
        <w:rPr>
          <w:color w:val="2E74B5" w:themeColor="accent1" w:themeShade="BF"/>
          <w:lang w:val="ro-RO"/>
        </w:rPr>
        <w:t xml:space="preserve"> et. al</w:t>
      </w:r>
      <w:r w:rsidR="00F0440A" w:rsidRPr="00F0440A">
        <w:rPr>
          <w:color w:val="2E74B5" w:themeColor="accent1" w:themeShade="BF"/>
          <w:lang w:val="ro-RO"/>
        </w:rPr>
        <w:t>, 2018)</w:t>
      </w:r>
    </w:p>
    <w:p w:rsidR="00F0440A" w:rsidRDefault="006D54B1" w:rsidP="008525A7">
      <w:pPr>
        <w:ind w:firstLine="720"/>
        <w:jc w:val="both"/>
        <w:rPr>
          <w:color w:val="000000" w:themeColor="text1"/>
          <w:lang w:val="ro-RO"/>
        </w:rPr>
      </w:pPr>
      <w:r w:rsidRPr="006D54B1">
        <w:rPr>
          <w:color w:val="000000" w:themeColor="text1"/>
          <w:lang w:val="ro-RO"/>
        </w:rPr>
        <w:t xml:space="preserve">O analiză privind interacțiunea dintre regulile fiscale și spațiul fiscal </w:t>
      </w:r>
      <w:r>
        <w:rPr>
          <w:color w:val="2E74B5" w:themeColor="accent1" w:themeShade="BF"/>
          <w:lang w:val="ro-RO"/>
        </w:rPr>
        <w:t>(</w:t>
      </w:r>
      <w:proofErr w:type="spellStart"/>
      <w:r>
        <w:rPr>
          <w:color w:val="2E74B5" w:themeColor="accent1" w:themeShade="BF"/>
          <w:lang w:val="ro-RO"/>
        </w:rPr>
        <w:t>Nerlich</w:t>
      </w:r>
      <w:proofErr w:type="spellEnd"/>
      <w:r>
        <w:rPr>
          <w:color w:val="2E74B5" w:themeColor="accent1" w:themeShade="BF"/>
          <w:lang w:val="ro-RO"/>
        </w:rPr>
        <w:t xml:space="preserve">, 2016) </w:t>
      </w:r>
      <w:r w:rsidRPr="006D54B1">
        <w:rPr>
          <w:color w:val="000000" w:themeColor="text1"/>
          <w:lang w:val="ro-RO"/>
        </w:rPr>
        <w:t>arată că țările cu un spațiu fiscal mai mare tind să aibă cheltuieli discreționare mai mari, dar acest efect este redus semnificativ dacă există reguli fiscale.</w:t>
      </w:r>
      <w:r>
        <w:rPr>
          <w:color w:val="000000" w:themeColor="text1"/>
          <w:lang w:val="ro-RO"/>
        </w:rPr>
        <w:t xml:space="preserve"> </w:t>
      </w:r>
      <w:r w:rsidRPr="006D54B1">
        <w:rPr>
          <w:color w:val="000000" w:themeColor="text1"/>
          <w:lang w:val="ro-RO"/>
        </w:rPr>
        <w:t>Cu toate acestea, această legătură între spațiul fiscal și cheltuielile / veniturile discreționare pare să existe numai în perioade economice bune, nu</w:t>
      </w:r>
      <w:r w:rsidR="00094C33">
        <w:rPr>
          <w:color w:val="000000" w:themeColor="text1"/>
          <w:lang w:val="ro-RO"/>
        </w:rPr>
        <w:t xml:space="preserve"> și</w:t>
      </w:r>
      <w:r w:rsidRPr="006D54B1">
        <w:rPr>
          <w:color w:val="000000" w:themeColor="text1"/>
          <w:lang w:val="ro-RO"/>
        </w:rPr>
        <w:t xml:space="preserve"> în timpul crizelor. În plus, </w:t>
      </w:r>
      <w:r>
        <w:rPr>
          <w:color w:val="000000" w:themeColor="text1"/>
          <w:lang w:val="ro-RO"/>
        </w:rPr>
        <w:t xml:space="preserve">studiul susține </w:t>
      </w:r>
      <w:r w:rsidRPr="006D54B1">
        <w:rPr>
          <w:color w:val="000000" w:themeColor="text1"/>
          <w:lang w:val="ro-RO"/>
        </w:rPr>
        <w:t>ipoteza că cheltuielile discreționare și veniturile se mișcă odată cu ciclul economic, și anume, în contextul creșterii economice, cheltuielile discreționare sunt mai mari (mai mici), iar veniturile discreționare sunt mai mici.</w:t>
      </w:r>
    </w:p>
    <w:p w:rsidR="00A52528" w:rsidRPr="008525A7" w:rsidRDefault="00BB5FBC" w:rsidP="008525A7">
      <w:pPr>
        <w:ind w:firstLine="720"/>
        <w:jc w:val="both"/>
        <w:rPr>
          <w:lang w:val="ro-RO"/>
        </w:rPr>
      </w:pPr>
      <w:r w:rsidRPr="00BB5FBC">
        <w:rPr>
          <w:color w:val="000000" w:themeColor="text1"/>
          <w:lang w:val="ro-RO"/>
        </w:rPr>
        <w:t xml:space="preserve">În studiul său, </w:t>
      </w:r>
      <w:proofErr w:type="spellStart"/>
      <w:r>
        <w:rPr>
          <w:color w:val="0070C0"/>
          <w:lang w:val="ro-RO"/>
        </w:rPr>
        <w:t>Malesios</w:t>
      </w:r>
      <w:proofErr w:type="spellEnd"/>
      <w:r>
        <w:rPr>
          <w:color w:val="0070C0"/>
          <w:lang w:val="ro-RO"/>
        </w:rPr>
        <w:t xml:space="preserve"> (2018) </w:t>
      </w:r>
      <w:r>
        <w:rPr>
          <w:color w:val="000000" w:themeColor="text1"/>
          <w:lang w:val="ro-RO"/>
        </w:rPr>
        <w:t xml:space="preserve">evaluând relația dintre practicile sociale, de mediu, operaționale și de performanță </w:t>
      </w:r>
      <w:r w:rsidRPr="0022029E">
        <w:rPr>
          <w:lang w:val="ro-RO"/>
        </w:rPr>
        <w:t>cu performanța financiară</w:t>
      </w:r>
      <w:r>
        <w:rPr>
          <w:lang w:val="ro-RO"/>
        </w:rPr>
        <w:t xml:space="preserve">, </w:t>
      </w:r>
      <w:r>
        <w:rPr>
          <w:color w:val="000000" w:themeColor="text1"/>
          <w:lang w:val="ro-RO"/>
        </w:rPr>
        <w:t xml:space="preserve">a încercat să stabilească o relație între </w:t>
      </w:r>
      <w:r w:rsidRPr="0022029E">
        <w:rPr>
          <w:lang w:val="ro-RO"/>
        </w:rPr>
        <w:t>durabilitatea și performanța financiară a IMM-urilor în dezvoltarea economică</w:t>
      </w:r>
      <w:r>
        <w:rPr>
          <w:lang w:val="ro-RO"/>
        </w:rPr>
        <w:t xml:space="preserve">. Aceasta a fost definită prin indicatorii de cifră de afaceri și </w:t>
      </w:r>
      <w:r w:rsidR="008525A7">
        <w:rPr>
          <w:lang w:val="ro-RO"/>
        </w:rPr>
        <w:t xml:space="preserve">indicatori de </w:t>
      </w:r>
      <w:r>
        <w:rPr>
          <w:lang w:val="ro-RO"/>
        </w:rPr>
        <w:t>creștere</w:t>
      </w:r>
      <w:r w:rsidR="008525A7">
        <w:rPr>
          <w:lang w:val="ro-RO"/>
        </w:rPr>
        <w:t xml:space="preserve"> a afacerii</w:t>
      </w:r>
      <w:r>
        <w:rPr>
          <w:lang w:val="ro-RO"/>
        </w:rPr>
        <w:t xml:space="preserve">. Rezultatele </w:t>
      </w:r>
      <w:r w:rsidR="0011451C">
        <w:rPr>
          <w:lang w:val="ro-RO"/>
        </w:rPr>
        <w:t>au arătat că există o corelație pozitivă între elementele de sustenabilitate (</w:t>
      </w:r>
      <w:proofErr w:type="spellStart"/>
      <w:r w:rsidR="0011451C" w:rsidRPr="0011451C">
        <w:rPr>
          <w:lang w:val="ro-RO"/>
        </w:rPr>
        <w:t>standardized</w:t>
      </w:r>
      <w:proofErr w:type="spellEnd"/>
      <w:r w:rsidR="0011451C" w:rsidRPr="0011451C">
        <w:rPr>
          <w:lang w:val="ro-RO"/>
        </w:rPr>
        <w:t xml:space="preserve"> business </w:t>
      </w:r>
      <w:proofErr w:type="spellStart"/>
      <w:r w:rsidR="0011451C" w:rsidRPr="0011451C">
        <w:rPr>
          <w:lang w:val="ro-RO"/>
        </w:rPr>
        <w:t>processes</w:t>
      </w:r>
      <w:proofErr w:type="spellEnd"/>
      <w:r w:rsidR="0011451C">
        <w:rPr>
          <w:lang w:val="ro-RO"/>
        </w:rPr>
        <w:t xml:space="preserve">, </w:t>
      </w:r>
      <w:proofErr w:type="spellStart"/>
      <w:r w:rsidR="0011451C">
        <w:rPr>
          <w:lang w:val="ro-RO"/>
        </w:rPr>
        <w:t>health</w:t>
      </w:r>
      <w:proofErr w:type="spellEnd"/>
      <w:r w:rsidR="0011451C">
        <w:rPr>
          <w:lang w:val="ro-RO"/>
        </w:rPr>
        <w:t xml:space="preserve"> </w:t>
      </w:r>
      <w:proofErr w:type="spellStart"/>
      <w:r w:rsidR="0011451C" w:rsidRPr="0011451C">
        <w:rPr>
          <w:lang w:val="ro-RO"/>
        </w:rPr>
        <w:t>and</w:t>
      </w:r>
      <w:proofErr w:type="spellEnd"/>
      <w:r w:rsidR="0011451C" w:rsidRPr="0011451C">
        <w:rPr>
          <w:lang w:val="ro-RO"/>
        </w:rPr>
        <w:t xml:space="preserve"> </w:t>
      </w:r>
      <w:proofErr w:type="spellStart"/>
      <w:r w:rsidR="0011451C" w:rsidRPr="0011451C">
        <w:rPr>
          <w:lang w:val="ro-RO"/>
        </w:rPr>
        <w:t>safety</w:t>
      </w:r>
      <w:proofErr w:type="spellEnd"/>
      <w:r w:rsidR="0011451C" w:rsidRPr="0011451C">
        <w:rPr>
          <w:lang w:val="ro-RO"/>
        </w:rPr>
        <w:t xml:space="preserve"> </w:t>
      </w:r>
      <w:proofErr w:type="spellStart"/>
      <w:r w:rsidR="0011451C" w:rsidRPr="0011451C">
        <w:rPr>
          <w:lang w:val="ro-RO"/>
        </w:rPr>
        <w:t>practice</w:t>
      </w:r>
      <w:r w:rsidR="0011451C">
        <w:rPr>
          <w:lang w:val="ro-RO"/>
        </w:rPr>
        <w:t>s</w:t>
      </w:r>
      <w:proofErr w:type="spellEnd"/>
      <w:r w:rsidR="0011451C" w:rsidRPr="0011451C">
        <w:rPr>
          <w:lang w:val="ro-RO"/>
        </w:rPr>
        <w:t xml:space="preserve"> </w:t>
      </w:r>
      <w:r w:rsidR="0011451C">
        <w:rPr>
          <w:lang w:val="ro-RO"/>
        </w:rPr>
        <w:t>etc) și performanța financiară (cifra de afaceri</w:t>
      </w:r>
      <w:r w:rsidR="00A52528">
        <w:rPr>
          <w:lang w:val="ro-RO"/>
        </w:rPr>
        <w:t>), deoarece s-a constatat că diverși indicatori de durabilitate și economici pot influența performanța companiilor.</w:t>
      </w:r>
    </w:p>
    <w:p w:rsidR="005037B3" w:rsidRPr="003E1086" w:rsidRDefault="005037B3" w:rsidP="008525A7">
      <w:pPr>
        <w:ind w:firstLine="720"/>
        <w:jc w:val="both"/>
        <w:rPr>
          <w:color w:val="000000" w:themeColor="text1"/>
          <w:lang w:val="ro-RO"/>
        </w:rPr>
      </w:pPr>
      <w:r w:rsidRPr="00A52528">
        <w:rPr>
          <w:color w:val="000000" w:themeColor="text1"/>
          <w:lang w:val="ro-RO"/>
        </w:rPr>
        <w:t>În opinia lui Burde „</w:t>
      </w:r>
      <w:r w:rsidRPr="00A52528">
        <w:rPr>
          <w:i/>
          <w:color w:val="000000" w:themeColor="text1"/>
          <w:lang w:val="ro-RO"/>
        </w:rPr>
        <w:t xml:space="preserve">instabilitatea financiară este caracterizată de timpul în situație de risc, care măsoară nivelul instabilității financiare cu care se confruntă o entitate și reflectă diferitele </w:t>
      </w:r>
      <w:r w:rsidRPr="00A52528">
        <w:rPr>
          <w:i/>
          <w:color w:val="000000" w:themeColor="text1"/>
          <w:lang w:val="ro-RO"/>
        </w:rPr>
        <w:lastRenderedPageBreak/>
        <w:t>situații de finanțare pe care le întâmpină.</w:t>
      </w:r>
      <w:r w:rsidRPr="00A52528">
        <w:rPr>
          <w:color w:val="000000" w:themeColor="text1"/>
          <w:lang w:val="ro-RO"/>
        </w:rPr>
        <w:t>”</w:t>
      </w:r>
      <w:r w:rsidR="00A52528">
        <w:rPr>
          <w:color w:val="000000" w:themeColor="text1"/>
          <w:lang w:val="ro-RO"/>
        </w:rPr>
        <w:t xml:space="preserve">. </w:t>
      </w:r>
      <w:r w:rsidR="00A52528" w:rsidRPr="00A52528">
        <w:rPr>
          <w:color w:val="000000" w:themeColor="text1"/>
          <w:lang w:val="ro-RO"/>
        </w:rPr>
        <w:t>Prin urmare</w:t>
      </w:r>
      <w:r w:rsidR="00A52528">
        <w:rPr>
          <w:color w:val="000000" w:themeColor="text1"/>
          <w:lang w:val="ro-RO"/>
        </w:rPr>
        <w:t>, v</w:t>
      </w:r>
      <w:r>
        <w:rPr>
          <w:color w:val="000000" w:themeColor="text1"/>
          <w:lang w:val="ro-RO"/>
        </w:rPr>
        <w:t xml:space="preserve">ulnerabilitatea este </w:t>
      </w:r>
      <w:r w:rsidR="00A52528">
        <w:rPr>
          <w:color w:val="000000" w:themeColor="text1"/>
          <w:lang w:val="ro-RO"/>
        </w:rPr>
        <w:t>exprimată prin</w:t>
      </w:r>
      <w:r>
        <w:rPr>
          <w:color w:val="000000" w:themeColor="text1"/>
          <w:lang w:val="ro-RO"/>
        </w:rPr>
        <w:t xml:space="preserve"> rata de risc</w:t>
      </w:r>
      <w:r w:rsidR="00A52528">
        <w:rPr>
          <w:color w:val="000000" w:themeColor="text1"/>
          <w:lang w:val="ro-RO"/>
        </w:rPr>
        <w:t xml:space="preserve"> și se</w:t>
      </w:r>
      <w:r>
        <w:rPr>
          <w:color w:val="000000" w:themeColor="text1"/>
          <w:lang w:val="ro-RO"/>
        </w:rPr>
        <w:t xml:space="preserve"> are în vedere timpul generalizat la risc care măsoară nivelul de instabilitate cu care se confruntă o societate. Astfel se introduce termenul de optimizare, care se referă la ideea d</w:t>
      </w:r>
      <w:r w:rsidRPr="005037B3">
        <w:rPr>
          <w:color w:val="000000" w:themeColor="text1"/>
          <w:lang w:val="ro-RO"/>
        </w:rPr>
        <w:t>e a testa posibilitatea utilizării rezultatelor pentru estimarea vulnerabilității financiare</w:t>
      </w:r>
      <w:r>
        <w:rPr>
          <w:color w:val="000000" w:themeColor="text1"/>
          <w:lang w:val="ro-RO"/>
        </w:rPr>
        <w:t xml:space="preserve"> </w:t>
      </w:r>
      <w:r w:rsidRPr="005037B3">
        <w:rPr>
          <w:color w:val="0070C0"/>
          <w:lang w:val="ro-RO"/>
        </w:rPr>
        <w:t>(</w:t>
      </w:r>
      <w:r>
        <w:rPr>
          <w:color w:val="0070C0"/>
          <w:lang w:val="ro-RO"/>
        </w:rPr>
        <w:t>Burde, 2018)</w:t>
      </w:r>
      <w:r w:rsidR="00A52528">
        <w:rPr>
          <w:color w:val="0070C0"/>
          <w:lang w:val="ro-RO"/>
        </w:rPr>
        <w:t>.</w:t>
      </w:r>
    </w:p>
    <w:p w:rsidR="000B6B4C" w:rsidRDefault="008525A7" w:rsidP="000B6B4C">
      <w:pPr>
        <w:jc w:val="both"/>
        <w:rPr>
          <w:lang w:val="ro-RO"/>
        </w:rPr>
      </w:pPr>
      <w:r>
        <w:rPr>
          <w:lang w:val="ro-RO"/>
        </w:rPr>
        <w:tab/>
        <w:t>Alte</w:t>
      </w:r>
      <w:r w:rsidR="00486F86" w:rsidRPr="003E1086">
        <w:rPr>
          <w:lang w:val="ro-RO"/>
        </w:rPr>
        <w:t xml:space="preserve"> studii</w:t>
      </w:r>
      <w:r w:rsidR="003E1086" w:rsidRPr="003E1086">
        <w:rPr>
          <w:lang w:val="ro-RO"/>
        </w:rPr>
        <w:t xml:space="preserve">  </w:t>
      </w:r>
      <w:r w:rsidR="003E1086" w:rsidRPr="00197D8B">
        <w:rPr>
          <w:color w:val="0070C0"/>
          <w:lang w:val="ro-RO"/>
        </w:rPr>
        <w:t>(</w:t>
      </w:r>
      <w:proofErr w:type="spellStart"/>
      <w:r w:rsidR="003E1086" w:rsidRPr="00197D8B">
        <w:rPr>
          <w:color w:val="0070C0"/>
          <w:lang w:val="ro-RO"/>
        </w:rPr>
        <w:t>Hahm</w:t>
      </w:r>
      <w:proofErr w:type="spellEnd"/>
      <w:r w:rsidR="003E1086" w:rsidRPr="00197D8B">
        <w:rPr>
          <w:color w:val="0070C0"/>
          <w:lang w:val="ro-RO"/>
        </w:rPr>
        <w:t xml:space="preserve">, </w:t>
      </w:r>
      <w:proofErr w:type="spellStart"/>
      <w:r w:rsidR="003E1086" w:rsidRPr="00197D8B">
        <w:rPr>
          <w:color w:val="0070C0"/>
          <w:lang w:val="ro-RO"/>
        </w:rPr>
        <w:t>Shin</w:t>
      </w:r>
      <w:proofErr w:type="spellEnd"/>
      <w:r w:rsidR="003E1086" w:rsidRPr="00197D8B">
        <w:rPr>
          <w:color w:val="0070C0"/>
          <w:lang w:val="ro-RO"/>
        </w:rPr>
        <w:t xml:space="preserve"> &amp; </w:t>
      </w:r>
      <w:proofErr w:type="spellStart"/>
      <w:r w:rsidR="003E1086" w:rsidRPr="00197D8B">
        <w:rPr>
          <w:color w:val="0070C0"/>
          <w:lang w:val="ro-RO"/>
        </w:rPr>
        <w:t>Shin</w:t>
      </w:r>
      <w:proofErr w:type="spellEnd"/>
      <w:r w:rsidR="003E1086" w:rsidRPr="00197D8B">
        <w:rPr>
          <w:color w:val="0070C0"/>
          <w:lang w:val="ro-RO"/>
        </w:rPr>
        <w:t>, 2013, Al-</w:t>
      </w:r>
      <w:proofErr w:type="spellStart"/>
      <w:r w:rsidR="003E1086" w:rsidRPr="00197D8B">
        <w:rPr>
          <w:color w:val="0070C0"/>
          <w:lang w:val="ro-RO"/>
        </w:rPr>
        <w:t>Mamun</w:t>
      </w:r>
      <w:proofErr w:type="spellEnd"/>
      <w:r w:rsidR="003E1086" w:rsidRPr="00197D8B">
        <w:rPr>
          <w:color w:val="0070C0"/>
          <w:lang w:val="ro-RO"/>
        </w:rPr>
        <w:t xml:space="preserve"> &amp; </w:t>
      </w:r>
      <w:proofErr w:type="spellStart"/>
      <w:r w:rsidR="003E1086" w:rsidRPr="00197D8B">
        <w:rPr>
          <w:color w:val="0070C0"/>
          <w:lang w:val="ro-RO"/>
        </w:rPr>
        <w:t>Mazumder</w:t>
      </w:r>
      <w:proofErr w:type="spellEnd"/>
      <w:r w:rsidR="003E1086" w:rsidRPr="00197D8B">
        <w:rPr>
          <w:color w:val="0070C0"/>
          <w:lang w:val="ro-RO"/>
        </w:rPr>
        <w:t xml:space="preserve">, 2015) </w:t>
      </w:r>
      <w:r w:rsidR="00486F86" w:rsidRPr="003E1086">
        <w:rPr>
          <w:lang w:val="ro-RO"/>
        </w:rPr>
        <w:t>au</w:t>
      </w:r>
      <w:r w:rsidR="00486F86">
        <w:rPr>
          <w:lang w:val="ro-RO"/>
        </w:rPr>
        <w:t xml:space="preserve"> arătat că sunt identificate drept fiind vulnerabile din punct de vedere financiar, entitățile</w:t>
      </w:r>
      <w:r w:rsidR="00486F86" w:rsidRPr="00486F86">
        <w:rPr>
          <w:lang w:val="ro-RO"/>
        </w:rPr>
        <w:t xml:space="preserve"> care au tendința de a avea venituri scăzute sau active cu lichiditate scăzută, efectul ridicat al bilanțului</w:t>
      </w:r>
      <w:r w:rsidR="00486F86">
        <w:rPr>
          <w:lang w:val="ro-RO"/>
        </w:rPr>
        <w:t xml:space="preserve"> manifestându-se prin</w:t>
      </w:r>
      <w:r w:rsidR="00486F86" w:rsidRPr="00486F86">
        <w:rPr>
          <w:lang w:val="ro-RO"/>
        </w:rPr>
        <w:t xml:space="preserve"> </w:t>
      </w:r>
      <w:r w:rsidR="00486F86">
        <w:rPr>
          <w:lang w:val="ro-RO"/>
        </w:rPr>
        <w:t>incapacitatea</w:t>
      </w:r>
      <w:r w:rsidR="00486F86" w:rsidRPr="00486F86">
        <w:rPr>
          <w:lang w:val="ro-RO"/>
        </w:rPr>
        <w:t xml:space="preserve"> de a face f</w:t>
      </w:r>
      <w:r w:rsidR="00486F86">
        <w:rPr>
          <w:lang w:val="ro-RO"/>
        </w:rPr>
        <w:t>ață stresului financiar și crizei financiare.</w:t>
      </w:r>
      <w:r w:rsidR="00486F86" w:rsidRPr="00486F86">
        <w:rPr>
          <w:lang w:val="ro-RO"/>
        </w:rPr>
        <w:t xml:space="preserve"> </w:t>
      </w:r>
    </w:p>
    <w:p w:rsidR="00A52528" w:rsidRDefault="00715549" w:rsidP="00715549">
      <w:pPr>
        <w:jc w:val="both"/>
        <w:rPr>
          <w:lang w:val="ro-RO"/>
        </w:rPr>
      </w:pPr>
      <w:r>
        <w:rPr>
          <w:lang w:val="ro-RO"/>
        </w:rPr>
        <w:tab/>
        <w:t>În acest sens</w:t>
      </w:r>
      <w:r w:rsidR="00FD04B9">
        <w:rPr>
          <w:lang w:val="ro-RO"/>
        </w:rPr>
        <w:t>,</w:t>
      </w:r>
      <w:r>
        <w:rPr>
          <w:lang w:val="ro-RO"/>
        </w:rPr>
        <w:t xml:space="preserve"> </w:t>
      </w:r>
      <w:r w:rsidR="00FD04B9">
        <w:rPr>
          <w:lang w:val="ro-RO"/>
        </w:rPr>
        <w:t>prin studiu</w:t>
      </w:r>
      <w:r w:rsidR="000A7C9A">
        <w:rPr>
          <w:lang w:val="ro-RO"/>
        </w:rPr>
        <w:t>l realizat</w:t>
      </w:r>
      <w:r w:rsidR="00FD04B9">
        <w:rPr>
          <w:lang w:val="ro-RO"/>
        </w:rPr>
        <w:t xml:space="preserve"> </w:t>
      </w:r>
      <w:r>
        <w:rPr>
          <w:lang w:val="ro-RO"/>
        </w:rPr>
        <w:t xml:space="preserve">ne propunem </w:t>
      </w:r>
      <w:r w:rsidR="00FD04B9">
        <w:rPr>
          <w:lang w:val="ro-RO"/>
        </w:rPr>
        <w:t>să arătăm</w:t>
      </w:r>
      <w:r>
        <w:rPr>
          <w:lang w:val="ro-RO"/>
        </w:rPr>
        <w:t xml:space="preserve"> că </w:t>
      </w:r>
      <w:r w:rsidR="00FD04B9">
        <w:rPr>
          <w:lang w:val="ro-RO"/>
        </w:rPr>
        <w:t xml:space="preserve">vulnerabilitatea poate fi evaluată și cuantificată, oferind în cele din urmă </w:t>
      </w:r>
      <w:r w:rsidR="000A7C9A">
        <w:rPr>
          <w:lang w:val="ro-RO"/>
        </w:rPr>
        <w:t>posibilitatea de a gestiona prudențial strategiile viitoare de dezvoltare economică a întreprinderilor.</w:t>
      </w:r>
    </w:p>
    <w:p w:rsidR="00F74768" w:rsidRPr="000A7C9A" w:rsidRDefault="00F74768" w:rsidP="00715549">
      <w:pPr>
        <w:jc w:val="both"/>
        <w:rPr>
          <w:lang w:val="ro-RO"/>
        </w:rPr>
      </w:pPr>
    </w:p>
    <w:p w:rsidR="00D54735" w:rsidRPr="00F97DD9" w:rsidRDefault="003202D6" w:rsidP="003202D6">
      <w:pPr>
        <w:rPr>
          <w:b/>
          <w:lang w:val="en-GB"/>
        </w:rPr>
      </w:pPr>
      <w:r w:rsidRPr="00F97DD9">
        <w:rPr>
          <w:b/>
          <w:lang w:val="en-GB"/>
        </w:rPr>
        <w:t>MET</w:t>
      </w:r>
      <w:r w:rsidR="00F97DD9">
        <w:rPr>
          <w:b/>
          <w:lang w:val="en-GB"/>
        </w:rPr>
        <w:t>H</w:t>
      </w:r>
      <w:r w:rsidRPr="00F97DD9">
        <w:rPr>
          <w:b/>
          <w:lang w:val="en-GB"/>
        </w:rPr>
        <w:t>ODOLOG</w:t>
      </w:r>
      <w:r w:rsidR="00F97DD9" w:rsidRPr="00F97DD9">
        <w:rPr>
          <w:b/>
          <w:lang w:val="en-GB"/>
        </w:rPr>
        <w:t>Y</w:t>
      </w:r>
    </w:p>
    <w:p w:rsidR="009C1E7E" w:rsidRPr="003202D6" w:rsidRDefault="009C1E7E" w:rsidP="003202D6">
      <w:pPr>
        <w:rPr>
          <w:lang w:val="ro-RO"/>
        </w:rPr>
      </w:pPr>
    </w:p>
    <w:p w:rsidR="009C1E7E" w:rsidRDefault="00B301E9" w:rsidP="0091699A">
      <w:pPr>
        <w:ind w:firstLine="720"/>
        <w:jc w:val="both"/>
        <w:rPr>
          <w:lang w:val="ro-RO"/>
        </w:rPr>
      </w:pPr>
      <w:r>
        <w:rPr>
          <w:lang w:val="ro-RO"/>
        </w:rPr>
        <w:t>Pentru evaluarea vulnerabilităților manifestate la nivelul dezvoltării economice a companiilor am elaborat pe baza obiectivelor prezentate în secțiunea introductivă un model econometric de identificare a sincopelor financiare</w:t>
      </w:r>
      <w:r w:rsidR="00CC6104">
        <w:rPr>
          <w:lang w:val="ro-RO"/>
        </w:rPr>
        <w:t>. Acest model este</w:t>
      </w:r>
      <w:r>
        <w:rPr>
          <w:lang w:val="ro-RO"/>
        </w:rPr>
        <w:t xml:space="preserve"> bazat pe comparația trendurilor de evoluție a veniturilor obținute de companii în relație cu cheltuielile efectuate pentru realizarea acestor venituri. În fapt, </w:t>
      </w:r>
      <w:r w:rsidR="00975D8B">
        <w:rPr>
          <w:lang w:val="ro-RO"/>
        </w:rPr>
        <w:t xml:space="preserve">am cuantificat evoluția cheltuielilor realizate pentru producerea a 1000 de unități monetare venituri, obținând astfel pe structura conturilor </w:t>
      </w:r>
      <w:r w:rsidR="009A6368">
        <w:rPr>
          <w:lang w:val="ro-RO"/>
        </w:rPr>
        <w:t>de venituri și cheltuieli</w:t>
      </w:r>
      <w:r w:rsidR="00975D8B">
        <w:rPr>
          <w:lang w:val="ro-RO"/>
        </w:rPr>
        <w:t xml:space="preserve"> un tablou dinamic al evoluției acestora, tablou în care maximizarea cheltuielilor simbolizează zonele de vulnerabilitate, iar maximizarea veniturilor simbolizează zonele de securitate. Punctul de echilibru reprezintă nivelul optim dorit de top management și este asimilat zonei de maximă productivitate economică, respectiv zonei de profitabilitate ridicată. Matematic, modelul poate fi definit prin funcțiile de minim – maxim, astfel: </w:t>
      </w:r>
    </w:p>
    <w:p w:rsidR="009B17DE" w:rsidRDefault="009B17DE" w:rsidP="0091699A">
      <w:pPr>
        <w:ind w:firstLine="720"/>
        <w:jc w:val="both"/>
        <w:rPr>
          <w:lang w:val="ro-RO"/>
        </w:rPr>
      </w:pPr>
    </w:p>
    <w:p w:rsidR="00975D8B" w:rsidRDefault="00975D8B" w:rsidP="00CC6104">
      <w:pPr>
        <w:jc w:val="right"/>
        <w:rPr>
          <w:lang w:val="ro-RO"/>
        </w:rPr>
      </w:pPr>
      <m:oMath>
        <m:r>
          <w:rPr>
            <w:rFonts w:ascii="Cambria Math" w:hAnsi="Cambria Math"/>
            <w:lang w:val="ro-RO"/>
          </w:rPr>
          <m:t xml:space="preserve">max(p) = </m:t>
        </m:r>
        <w:bookmarkStart w:id="2" w:name="OLE_LINK4"/>
        <w:bookmarkStart w:id="3" w:name="OLE_LINK5"/>
        <w:bookmarkStart w:id="4" w:name="OLE_LINK6"/>
        <m:func>
          <m:funcPr>
            <m:ctrlPr>
              <w:rPr>
                <w:rFonts w:ascii="Cambria Math" w:hAnsi="Cambria Math"/>
                <w:i/>
                <w:lang w:val="ro-RO"/>
              </w:rPr>
            </m:ctrlPr>
          </m:funcPr>
          <m:fName>
            <m:limLow>
              <m:limLowPr>
                <m:ctrlPr>
                  <w:rPr>
                    <w:rFonts w:ascii="Cambria Math" w:hAnsi="Cambria Math"/>
                    <w:i/>
                    <w:lang w:val="ro-RO"/>
                  </w:rPr>
                </m:ctrlPr>
              </m:limLowPr>
              <m:e>
                <m:r>
                  <m:rPr>
                    <m:sty m:val="p"/>
                  </m:rPr>
                  <w:rPr>
                    <w:rFonts w:ascii="Cambria Math" w:hAnsi="Cambria Math"/>
                    <w:lang w:val="ro-RO"/>
                  </w:rPr>
                  <m:t>lim</m:t>
                </m:r>
              </m:e>
              <m:lim>
                <m:r>
                  <w:rPr>
                    <w:rFonts w:ascii="Cambria Math" w:hAnsi="Cambria Math"/>
                    <w:lang w:val="ro-RO"/>
                  </w:rPr>
                  <m:t>n→∞</m:t>
                </m:r>
              </m:lim>
            </m:limLow>
          </m:fName>
          <m:e>
            <m:sSup>
              <m:sSupPr>
                <m:ctrlPr>
                  <w:rPr>
                    <w:rFonts w:ascii="Cambria Math" w:hAnsi="Cambria Math"/>
                    <w:i/>
                    <w:lang w:val="ro-RO"/>
                  </w:rPr>
                </m:ctrlPr>
              </m:sSupPr>
              <m:e>
                <m:d>
                  <m:dPr>
                    <m:ctrlPr>
                      <w:rPr>
                        <w:rFonts w:ascii="Cambria Math" w:hAnsi="Cambria Math"/>
                        <w:i/>
                        <w:lang w:val="ro-RO"/>
                      </w:rPr>
                    </m:ctrlPr>
                  </m:dPr>
                  <m:e>
                    <m:r>
                      <w:rPr>
                        <w:rFonts w:ascii="Cambria Math" w:hAnsi="Cambria Math"/>
                        <w:lang w:val="ro-RO"/>
                      </w:rPr>
                      <m:t>1+</m:t>
                    </m:r>
                    <m:f>
                      <m:fPr>
                        <m:ctrlPr>
                          <w:rPr>
                            <w:rFonts w:ascii="Cambria Math" w:hAnsi="Cambria Math"/>
                            <w:i/>
                            <w:lang w:val="ro-RO"/>
                          </w:rPr>
                        </m:ctrlPr>
                      </m:fPr>
                      <m:num>
                        <m:r>
                          <w:rPr>
                            <w:rFonts w:ascii="Cambria Math" w:hAnsi="Cambria Math"/>
                            <w:lang w:val="ro-RO"/>
                          </w:rPr>
                          <m:t>1</m:t>
                        </m:r>
                      </m:num>
                      <m:den>
                        <m:r>
                          <w:rPr>
                            <w:rFonts w:ascii="Cambria Math" w:hAnsi="Cambria Math"/>
                            <w:lang w:val="ro-RO"/>
                          </w:rPr>
                          <m:t>v</m:t>
                        </m:r>
                      </m:den>
                    </m:f>
                  </m:e>
                </m:d>
              </m:e>
              <m:sup>
                <m:r>
                  <w:rPr>
                    <w:rFonts w:ascii="Cambria Math" w:hAnsi="Cambria Math"/>
                    <w:lang w:val="ro-RO"/>
                  </w:rPr>
                  <m:t>n</m:t>
                </m:r>
              </m:sup>
            </m:sSup>
            <m:r>
              <w:rPr>
                <w:rFonts w:ascii="Cambria Math" w:hAnsi="Cambria Math"/>
                <w:lang w:val="ro-RO"/>
              </w:rPr>
              <m:t>-</m:t>
            </m:r>
          </m:e>
        </m:func>
        <w:bookmarkEnd w:id="2"/>
        <w:bookmarkEnd w:id="3"/>
        <w:bookmarkEnd w:id="4"/>
        <m:func>
          <m:funcPr>
            <m:ctrlPr>
              <w:rPr>
                <w:rFonts w:ascii="Cambria Math" w:hAnsi="Cambria Math"/>
                <w:i/>
                <w:lang w:val="ro-RO"/>
              </w:rPr>
            </m:ctrlPr>
          </m:funcPr>
          <m:fName>
            <m:limLow>
              <m:limLowPr>
                <m:ctrlPr>
                  <w:rPr>
                    <w:rFonts w:ascii="Cambria Math" w:hAnsi="Cambria Math"/>
                    <w:i/>
                    <w:lang w:val="ro-RO"/>
                  </w:rPr>
                </m:ctrlPr>
              </m:limLowPr>
              <m:e>
                <m:r>
                  <m:rPr>
                    <m:sty m:val="p"/>
                  </m:rPr>
                  <w:rPr>
                    <w:rFonts w:ascii="Cambria Math" w:hAnsi="Cambria Math"/>
                    <w:lang w:val="ro-RO"/>
                  </w:rPr>
                  <m:t>lim</m:t>
                </m:r>
              </m:e>
              <m:lim>
                <m:r>
                  <w:rPr>
                    <w:rFonts w:ascii="Cambria Math" w:hAnsi="Cambria Math"/>
                    <w:lang w:val="ro-RO"/>
                  </w:rPr>
                  <m:t>n→∞</m:t>
                </m:r>
              </m:lim>
            </m:limLow>
          </m:fName>
          <m:e>
            <m:sSup>
              <m:sSupPr>
                <m:ctrlPr>
                  <w:rPr>
                    <w:rFonts w:ascii="Cambria Math" w:hAnsi="Cambria Math"/>
                    <w:i/>
                    <w:lang w:val="ro-RO"/>
                  </w:rPr>
                </m:ctrlPr>
              </m:sSupPr>
              <m:e>
                <m:d>
                  <m:dPr>
                    <m:ctrlPr>
                      <w:rPr>
                        <w:rFonts w:ascii="Cambria Math" w:hAnsi="Cambria Math"/>
                        <w:i/>
                        <w:lang w:val="ro-RO"/>
                      </w:rPr>
                    </m:ctrlPr>
                  </m:dPr>
                  <m:e>
                    <m:r>
                      <w:rPr>
                        <w:rFonts w:ascii="Cambria Math" w:hAnsi="Cambria Math"/>
                        <w:lang w:val="ro-RO"/>
                      </w:rPr>
                      <m:t>1-</m:t>
                    </m:r>
                    <m:f>
                      <m:fPr>
                        <m:ctrlPr>
                          <w:rPr>
                            <w:rFonts w:ascii="Cambria Math" w:hAnsi="Cambria Math"/>
                            <w:i/>
                            <w:lang w:val="ro-RO"/>
                          </w:rPr>
                        </m:ctrlPr>
                      </m:fPr>
                      <m:num>
                        <m:r>
                          <w:rPr>
                            <w:rFonts w:ascii="Cambria Math" w:hAnsi="Cambria Math"/>
                            <w:lang w:val="ro-RO"/>
                          </w:rPr>
                          <m:t>1</m:t>
                        </m:r>
                      </m:num>
                      <m:den>
                        <m:r>
                          <w:rPr>
                            <w:rFonts w:ascii="Cambria Math" w:hAnsi="Cambria Math"/>
                            <w:lang w:val="ro-RO"/>
                          </w:rPr>
                          <m:t>c</m:t>
                        </m:r>
                      </m:den>
                    </m:f>
                  </m:e>
                </m:d>
              </m:e>
              <m:sup>
                <m:r>
                  <w:rPr>
                    <w:rFonts w:ascii="Cambria Math" w:hAnsi="Cambria Math"/>
                    <w:lang w:val="ro-RO"/>
                  </w:rPr>
                  <m:t>n</m:t>
                </m:r>
              </m:sup>
            </m:sSup>
          </m:e>
        </m:func>
      </m:oMath>
      <w:r>
        <w:rPr>
          <w:lang w:val="ro-RO"/>
        </w:rPr>
        <w:t>;</w:t>
      </w:r>
      <w:r w:rsidR="00CC6104">
        <w:rPr>
          <w:lang w:val="ro-RO"/>
        </w:rPr>
        <w:tab/>
      </w:r>
      <w:r w:rsidR="00CC6104">
        <w:rPr>
          <w:lang w:val="ro-RO"/>
        </w:rPr>
        <w:tab/>
      </w:r>
      <w:r w:rsidR="00CC6104">
        <w:rPr>
          <w:lang w:val="ro-RO"/>
        </w:rPr>
        <w:tab/>
      </w:r>
      <w:r w:rsidR="00CC6104">
        <w:rPr>
          <w:lang w:val="ro-RO"/>
        </w:rPr>
        <w:tab/>
        <w:t>(1)</w:t>
      </w:r>
    </w:p>
    <w:p w:rsidR="009B17DE" w:rsidRDefault="009B17DE" w:rsidP="00B301E9">
      <w:pPr>
        <w:jc w:val="both"/>
        <w:rPr>
          <w:lang w:val="ro-RO"/>
        </w:rPr>
      </w:pPr>
    </w:p>
    <w:p w:rsidR="00CC6104" w:rsidRDefault="009B17DE" w:rsidP="00B301E9">
      <w:pPr>
        <w:jc w:val="both"/>
        <w:rPr>
          <w:lang w:val="ro-RO"/>
        </w:rPr>
      </w:pPr>
      <w:r>
        <w:rPr>
          <w:lang w:val="ro-RO"/>
        </w:rPr>
        <w:t>U</w:t>
      </w:r>
      <w:r w:rsidR="00975D8B">
        <w:rPr>
          <w:lang w:val="ro-RO"/>
        </w:rPr>
        <w:t xml:space="preserve">nde </w:t>
      </w:r>
    </w:p>
    <w:p w:rsidR="00DB594D" w:rsidRDefault="00975D8B" w:rsidP="009B17DE">
      <w:pPr>
        <w:ind w:firstLine="720"/>
        <w:jc w:val="both"/>
        <w:rPr>
          <w:lang w:val="ro-RO"/>
        </w:rPr>
      </w:pPr>
      <w:r>
        <w:rPr>
          <w:lang w:val="ro-RO"/>
        </w:rPr>
        <w:t xml:space="preserve">n – numărul de centre de profit </w:t>
      </w:r>
      <w:r w:rsidR="00DB594D">
        <w:rPr>
          <w:lang w:val="ro-RO"/>
        </w:rPr>
        <w:t>existente la nivelul companiei;</w:t>
      </w:r>
    </w:p>
    <w:p w:rsidR="00DB594D" w:rsidRDefault="00975D8B" w:rsidP="009B17DE">
      <w:pPr>
        <w:ind w:firstLine="720"/>
        <w:jc w:val="both"/>
        <w:rPr>
          <w:lang w:val="ro-RO"/>
        </w:rPr>
      </w:pPr>
      <w:r>
        <w:rPr>
          <w:lang w:val="ro-RO"/>
        </w:rPr>
        <w:t xml:space="preserve">v – valoarea unitară a rentabilității prin prisma funcției de maximizare a veniturilor (elemente de </w:t>
      </w:r>
      <w:proofErr w:type="spellStart"/>
      <w:r>
        <w:rPr>
          <w:lang w:val="ro-RO"/>
        </w:rPr>
        <w:t>goodwill</w:t>
      </w:r>
      <w:proofErr w:type="spellEnd"/>
      <w:r w:rsidR="00DB594D">
        <w:rPr>
          <w:lang w:val="ro-RO"/>
        </w:rPr>
        <w:t>);</w:t>
      </w:r>
    </w:p>
    <w:p w:rsidR="00975D8B" w:rsidRDefault="00975D8B" w:rsidP="009B17DE">
      <w:pPr>
        <w:ind w:firstLine="720"/>
        <w:jc w:val="both"/>
        <w:rPr>
          <w:lang w:val="ro-RO"/>
        </w:rPr>
      </w:pPr>
      <w:r>
        <w:rPr>
          <w:lang w:val="ro-RO"/>
        </w:rPr>
        <w:t xml:space="preserve">c – valoarea unitară a excedentului de cost în condițiile utilizării raționale a resurselor (elemente de </w:t>
      </w:r>
      <w:proofErr w:type="spellStart"/>
      <w:r>
        <w:rPr>
          <w:lang w:val="ro-RO"/>
        </w:rPr>
        <w:t>badwill</w:t>
      </w:r>
      <w:proofErr w:type="spellEnd"/>
      <w:r>
        <w:rPr>
          <w:lang w:val="ro-RO"/>
        </w:rPr>
        <w:t>)</w:t>
      </w:r>
      <w:r w:rsidR="008947AA">
        <w:rPr>
          <w:lang w:val="ro-RO"/>
        </w:rPr>
        <w:t>.</w:t>
      </w:r>
    </w:p>
    <w:p w:rsidR="008947AA" w:rsidRDefault="008947AA" w:rsidP="00B301E9">
      <w:pPr>
        <w:jc w:val="both"/>
        <w:rPr>
          <w:lang w:val="ro-RO"/>
        </w:rPr>
      </w:pPr>
      <w:r>
        <w:rPr>
          <w:lang w:val="ro-RO"/>
        </w:rPr>
        <w:tab/>
        <w:t xml:space="preserve">Modelul prezentat identifică zonele de securitate și de vulnerabilitate prin componenta sa spațială bazată pe modificarea în dinamică a elementelor de venituri și cheltuieli contabilizate în conturile </w:t>
      </w:r>
      <w:r w:rsidR="009A6368">
        <w:rPr>
          <w:lang w:val="ro-RO"/>
        </w:rPr>
        <w:t xml:space="preserve">de venituri și cheltuieli </w:t>
      </w:r>
      <w:r>
        <w:rPr>
          <w:lang w:val="ro-RO"/>
        </w:rPr>
        <w:t xml:space="preserve">în balanțele lunare ale agenților economici. </w:t>
      </w:r>
    </w:p>
    <w:p w:rsidR="009B17DE" w:rsidRDefault="004417AD" w:rsidP="00B301E9">
      <w:pPr>
        <w:jc w:val="both"/>
        <w:rPr>
          <w:lang w:val="ro-RO"/>
        </w:rPr>
      </w:pPr>
      <w:r>
        <w:rPr>
          <w:lang w:val="ro-RO"/>
        </w:rPr>
        <w:tab/>
        <w:t>Pentru realizarea modelului, indicatorii de venituri și cheltuieli colectați în dinamică pentru perioada 2013-2017 pentru top 15 întreprinderi din județul Suceava au fost transformați în ponderi relative de creștere pe modelul mediilor mo</w:t>
      </w:r>
      <w:r w:rsidR="00CC6104">
        <w:rPr>
          <w:lang w:val="ro-RO"/>
        </w:rPr>
        <w:t>bile. Aceste</w:t>
      </w:r>
      <w:r>
        <w:rPr>
          <w:lang w:val="ro-RO"/>
        </w:rPr>
        <w:t xml:space="preserve"> ponderi au fost comparate pentru conturile de venituri și cheltuieli, obținându-se un tablou de evoluție al veniturilor raportat la tabloul de evoluție al cheltuielilor. Acest tablou a fost clasificat pe coduri CAEN de activitate a întreprinderilor din top 15, observându-se</w:t>
      </w:r>
      <w:r w:rsidR="00CC6104">
        <w:rPr>
          <w:lang w:val="ro-RO"/>
        </w:rPr>
        <w:t xml:space="preserve"> astfel</w:t>
      </w:r>
      <w:r>
        <w:rPr>
          <w:lang w:val="ro-RO"/>
        </w:rPr>
        <w:t xml:space="preserve"> că greutatea specifică a sectorului </w:t>
      </w:r>
      <w:r w:rsidR="00CC6104" w:rsidRPr="00542A54">
        <w:rPr>
          <w:i/>
          <w:lang w:val="ro-RO"/>
        </w:rPr>
        <w:t>I</w:t>
      </w:r>
      <w:r w:rsidRPr="00542A54">
        <w:rPr>
          <w:i/>
          <w:lang w:val="ro-RO"/>
        </w:rPr>
        <w:t>ndustrie prelucrătoare</w:t>
      </w:r>
      <w:r w:rsidRPr="00542A54">
        <w:rPr>
          <w:lang w:val="ro-RO"/>
        </w:rPr>
        <w:t xml:space="preserve"> (B) în total eșantion este 5, al segmentului de </w:t>
      </w:r>
      <w:r w:rsidR="00CC6104" w:rsidRPr="00542A54">
        <w:rPr>
          <w:i/>
          <w:lang w:val="ro-RO"/>
        </w:rPr>
        <w:t>C</w:t>
      </w:r>
      <w:r w:rsidR="00737935" w:rsidRPr="00542A54">
        <w:rPr>
          <w:i/>
          <w:lang w:val="ro-RO"/>
        </w:rPr>
        <w:t>omerț cu ridicata și cu amă</w:t>
      </w:r>
      <w:r w:rsidR="0036518F" w:rsidRPr="00542A54">
        <w:rPr>
          <w:i/>
          <w:lang w:val="ro-RO"/>
        </w:rPr>
        <w:t>nun</w:t>
      </w:r>
      <w:r w:rsidR="00737935" w:rsidRPr="00542A54">
        <w:rPr>
          <w:i/>
          <w:lang w:val="ro-RO"/>
        </w:rPr>
        <w:t>tul; repararea autovehiculelor ș</w:t>
      </w:r>
      <w:r w:rsidR="0036518F" w:rsidRPr="00542A54">
        <w:rPr>
          <w:i/>
          <w:lang w:val="ro-RO"/>
        </w:rPr>
        <w:t>i motocicletelor</w:t>
      </w:r>
      <w:r w:rsidR="0036518F" w:rsidRPr="00542A54">
        <w:rPr>
          <w:lang w:val="ro-RO"/>
        </w:rPr>
        <w:t xml:space="preserve"> </w:t>
      </w:r>
      <w:r w:rsidRPr="00542A54">
        <w:rPr>
          <w:lang w:val="ro-RO"/>
        </w:rPr>
        <w:t>(G) în total eșantion este 8, iar a se</w:t>
      </w:r>
      <w:r w:rsidR="00CC6104" w:rsidRPr="00542A54">
        <w:rPr>
          <w:lang w:val="ro-RO"/>
        </w:rPr>
        <w:t xml:space="preserve">ctoarelor </w:t>
      </w:r>
      <w:r w:rsidR="00CC6104" w:rsidRPr="00542A54">
        <w:rPr>
          <w:i/>
          <w:lang w:val="ro-RO"/>
        </w:rPr>
        <w:t>Construcții</w:t>
      </w:r>
      <w:r w:rsidR="00CC6104" w:rsidRPr="00542A54">
        <w:rPr>
          <w:lang w:val="ro-RO"/>
        </w:rPr>
        <w:t xml:space="preserve"> (F) și </w:t>
      </w:r>
      <w:r w:rsidR="00CC6104" w:rsidRPr="00542A54">
        <w:rPr>
          <w:i/>
          <w:lang w:val="ro-RO"/>
        </w:rPr>
        <w:t>T</w:t>
      </w:r>
      <w:r w:rsidRPr="00542A54">
        <w:rPr>
          <w:i/>
          <w:lang w:val="ro-RO"/>
        </w:rPr>
        <w:t>ransport</w:t>
      </w:r>
      <w:r w:rsidR="00CC6104" w:rsidRPr="00542A54">
        <w:rPr>
          <w:i/>
          <w:lang w:val="ro-RO"/>
        </w:rPr>
        <w:t xml:space="preserve"> și depozitare</w:t>
      </w:r>
      <w:r w:rsidR="00CC6104" w:rsidRPr="00542A54">
        <w:rPr>
          <w:lang w:val="ro-RO"/>
        </w:rPr>
        <w:t xml:space="preserve"> (H</w:t>
      </w:r>
      <w:r w:rsidR="00CC6104">
        <w:rPr>
          <w:lang w:val="ro-RO"/>
        </w:rPr>
        <w:t>)</w:t>
      </w:r>
      <w:r>
        <w:rPr>
          <w:lang w:val="ro-RO"/>
        </w:rPr>
        <w:t xml:space="preserve"> au greutăți specifice mici de tip rezidual în total eșantion. A</w:t>
      </w:r>
      <w:r w:rsidR="00CC6104">
        <w:rPr>
          <w:lang w:val="ro-RO"/>
        </w:rPr>
        <w:t>șadar</w:t>
      </w:r>
      <w:r>
        <w:rPr>
          <w:lang w:val="ro-RO"/>
        </w:rPr>
        <w:t xml:space="preserve">, au fost grupate mediile de evoluție pe sectoare de activitate, rezultând variabila dependentă a modelului, dinamica evoluției pe sectorul </w:t>
      </w:r>
      <w:r w:rsidR="00CC6104" w:rsidRPr="00542A54">
        <w:rPr>
          <w:lang w:val="ro-RO"/>
        </w:rPr>
        <w:t>I</w:t>
      </w:r>
      <w:r w:rsidRPr="00542A54">
        <w:rPr>
          <w:lang w:val="ro-RO"/>
        </w:rPr>
        <w:t>ndust</w:t>
      </w:r>
      <w:r w:rsidR="00CC6104" w:rsidRPr="00542A54">
        <w:rPr>
          <w:lang w:val="ro-RO"/>
        </w:rPr>
        <w:t>rie</w:t>
      </w:r>
      <w:r w:rsidRPr="00542A54">
        <w:rPr>
          <w:lang w:val="ro-RO"/>
        </w:rPr>
        <w:t xml:space="preserve"> prelucrătoare (</w:t>
      </w:r>
      <w:proofErr w:type="spellStart"/>
      <w:r w:rsidRPr="00542A54">
        <w:rPr>
          <w:lang w:val="ro-RO"/>
        </w:rPr>
        <w:t>B</w:t>
      </w:r>
      <w:r w:rsidR="0036518F" w:rsidRPr="00542A54">
        <w:rPr>
          <w:lang w:val="ro-RO"/>
        </w:rPr>
        <w:t>_dep</w:t>
      </w:r>
      <w:proofErr w:type="spellEnd"/>
      <w:r w:rsidRPr="00542A54">
        <w:rPr>
          <w:lang w:val="ro-RO"/>
        </w:rPr>
        <w:t xml:space="preserve">) în raport cu regresorul </w:t>
      </w:r>
      <w:r w:rsidR="00CC6104" w:rsidRPr="00542A54">
        <w:rPr>
          <w:lang w:val="ro-RO"/>
        </w:rPr>
        <w:t>C</w:t>
      </w:r>
      <w:r w:rsidR="00737935" w:rsidRPr="00542A54">
        <w:rPr>
          <w:lang w:val="ro-RO"/>
        </w:rPr>
        <w:t>omerț cu ridicata și cu amănuntul</w:t>
      </w:r>
      <w:r w:rsidR="0036518F" w:rsidRPr="00542A54">
        <w:rPr>
          <w:lang w:val="ro-RO"/>
        </w:rPr>
        <w:t xml:space="preserve"> (</w:t>
      </w:r>
      <w:proofErr w:type="spellStart"/>
      <w:r w:rsidR="0036518F" w:rsidRPr="00542A54">
        <w:rPr>
          <w:lang w:val="ro-RO"/>
        </w:rPr>
        <w:t>G_reg</w:t>
      </w:r>
      <w:proofErr w:type="spellEnd"/>
      <w:r w:rsidR="0036518F" w:rsidRPr="00542A54">
        <w:rPr>
          <w:lang w:val="ro-RO"/>
        </w:rPr>
        <w:t xml:space="preserve">). Variabilele </w:t>
      </w:r>
      <w:proofErr w:type="spellStart"/>
      <w:r w:rsidR="0036518F" w:rsidRPr="00542A54">
        <w:rPr>
          <w:lang w:val="ro-RO"/>
        </w:rPr>
        <w:t>F_ind</w:t>
      </w:r>
      <w:proofErr w:type="spellEnd"/>
      <w:r w:rsidR="00CC6104" w:rsidRPr="00542A54">
        <w:rPr>
          <w:lang w:val="ro-RO"/>
        </w:rPr>
        <w:t xml:space="preserve"> (Construcții)</w:t>
      </w:r>
      <w:r w:rsidR="0036518F" w:rsidRPr="00542A54">
        <w:rPr>
          <w:lang w:val="ro-RO"/>
        </w:rPr>
        <w:t xml:space="preserve"> și </w:t>
      </w:r>
      <w:proofErr w:type="spellStart"/>
      <w:r w:rsidR="0036518F" w:rsidRPr="00542A54">
        <w:rPr>
          <w:lang w:val="ro-RO"/>
        </w:rPr>
        <w:t>H_ind</w:t>
      </w:r>
      <w:proofErr w:type="spellEnd"/>
      <w:r w:rsidR="00CC6104" w:rsidRPr="00542A54">
        <w:rPr>
          <w:lang w:val="ro-RO"/>
        </w:rPr>
        <w:t xml:space="preserve"> (Transport</w:t>
      </w:r>
      <w:r w:rsidR="00CC6104" w:rsidRPr="00CC6104">
        <w:rPr>
          <w:lang w:val="ro-RO"/>
        </w:rPr>
        <w:t>)</w:t>
      </w:r>
      <w:r w:rsidR="0036518F">
        <w:rPr>
          <w:lang w:val="ro-RO"/>
        </w:rPr>
        <w:t xml:space="preserve"> sunt variabile instrumentate în model. </w:t>
      </w:r>
    </w:p>
    <w:p w:rsidR="009B17DE" w:rsidRDefault="009B17DE" w:rsidP="00B301E9">
      <w:pPr>
        <w:jc w:val="both"/>
        <w:rPr>
          <w:lang w:val="ro-RO"/>
        </w:rPr>
      </w:pPr>
    </w:p>
    <w:p w:rsidR="009B17DE" w:rsidRDefault="009B17DE" w:rsidP="00B301E9">
      <w:pPr>
        <w:jc w:val="both"/>
        <w:rPr>
          <w:lang w:val="ro-RO"/>
        </w:rPr>
      </w:pPr>
    </w:p>
    <w:p w:rsidR="009B17DE" w:rsidRDefault="009B17DE" w:rsidP="00B301E9">
      <w:pPr>
        <w:jc w:val="both"/>
        <w:rPr>
          <w:lang w:val="ro-RO"/>
        </w:rPr>
      </w:pPr>
    </w:p>
    <w:p w:rsidR="004417AD" w:rsidRPr="00F74768" w:rsidRDefault="004417AD" w:rsidP="00737935">
      <w:pPr>
        <w:ind w:firstLine="720"/>
        <w:jc w:val="both"/>
        <w:rPr>
          <w:lang w:val="ro-RO"/>
        </w:rPr>
      </w:pPr>
      <w:r>
        <w:rPr>
          <w:lang w:val="ro-RO"/>
        </w:rPr>
        <w:t xml:space="preserve">Ecuația de model </w:t>
      </w:r>
      <w:r w:rsidRPr="00F74768">
        <w:rPr>
          <w:lang w:val="ro-RO"/>
        </w:rPr>
        <w:t>de tip multiplicativ este:</w:t>
      </w:r>
    </w:p>
    <w:p w:rsidR="004417AD" w:rsidRPr="00F74768" w:rsidRDefault="004417AD" w:rsidP="00B301E9">
      <w:pPr>
        <w:jc w:val="both"/>
        <w:rPr>
          <w:lang w:val="ro-RO"/>
        </w:rPr>
      </w:pPr>
    </w:p>
    <w:p w:rsidR="004417AD" w:rsidRPr="00F74768" w:rsidRDefault="0036518F" w:rsidP="008E31DC">
      <w:pPr>
        <w:jc w:val="right"/>
        <w:rPr>
          <w:lang w:val="ro-RO"/>
        </w:rPr>
      </w:pPr>
      <w:r w:rsidRPr="00F74768">
        <w:rPr>
          <w:lang w:val="ro-RO"/>
        </w:rPr>
        <w:t>^</w:t>
      </w:r>
      <w:proofErr w:type="spellStart"/>
      <w:r w:rsidRPr="00F74768">
        <w:rPr>
          <w:lang w:val="ro-RO"/>
        </w:rPr>
        <w:t>B_dep</w:t>
      </w:r>
      <w:proofErr w:type="spellEnd"/>
      <w:r w:rsidR="004417AD" w:rsidRPr="00F74768">
        <w:rPr>
          <w:lang w:val="ro-RO"/>
        </w:rPr>
        <w:t xml:space="preserve"> =  + 1,01*</w:t>
      </w:r>
      <w:proofErr w:type="spellStart"/>
      <w:r w:rsidR="004417AD" w:rsidRPr="00F74768">
        <w:rPr>
          <w:lang w:val="ro-RO"/>
        </w:rPr>
        <w:t>G_</w:t>
      </w:r>
      <w:r w:rsidRPr="00F74768">
        <w:rPr>
          <w:lang w:val="ro-RO"/>
        </w:rPr>
        <w:t>reg</w:t>
      </w:r>
      <w:proofErr w:type="spellEnd"/>
      <w:r w:rsidR="008E31DC" w:rsidRPr="00F74768">
        <w:rPr>
          <w:lang w:val="ro-RO"/>
        </w:rPr>
        <w:tab/>
      </w:r>
      <w:r w:rsidR="008E31DC" w:rsidRPr="00F74768">
        <w:rPr>
          <w:lang w:val="ro-RO"/>
        </w:rPr>
        <w:tab/>
      </w:r>
      <w:r w:rsidR="008E31DC" w:rsidRPr="00F74768">
        <w:rPr>
          <w:lang w:val="ro-RO"/>
        </w:rPr>
        <w:tab/>
      </w:r>
      <w:r w:rsidR="008E31DC" w:rsidRPr="00F74768">
        <w:rPr>
          <w:lang w:val="ro-RO"/>
        </w:rPr>
        <w:tab/>
      </w:r>
      <w:r w:rsidR="008E31DC" w:rsidRPr="00F74768">
        <w:rPr>
          <w:lang w:val="ro-RO"/>
        </w:rPr>
        <w:tab/>
        <w:t>(2)</w:t>
      </w:r>
    </w:p>
    <w:p w:rsidR="004417AD" w:rsidRPr="00F74768" w:rsidRDefault="004417AD" w:rsidP="0036518F">
      <w:pPr>
        <w:jc w:val="center"/>
        <w:rPr>
          <w:lang w:val="ro-RO"/>
        </w:rPr>
      </w:pPr>
      <w:r w:rsidRPr="00F74768">
        <w:rPr>
          <w:lang w:val="ro-RO"/>
        </w:rPr>
        <w:t>(0,0255)</w:t>
      </w:r>
    </w:p>
    <w:p w:rsidR="004417AD" w:rsidRPr="00F74768" w:rsidRDefault="004417AD" w:rsidP="0036518F">
      <w:pPr>
        <w:jc w:val="center"/>
        <w:rPr>
          <w:lang w:val="ro-RO"/>
        </w:rPr>
      </w:pPr>
    </w:p>
    <w:p w:rsidR="004417AD" w:rsidRPr="00F74768" w:rsidRDefault="004417AD" w:rsidP="0036518F">
      <w:pPr>
        <w:jc w:val="center"/>
        <w:rPr>
          <w:lang w:val="ro-RO"/>
        </w:rPr>
      </w:pPr>
      <w:r w:rsidRPr="00F74768">
        <w:rPr>
          <w:lang w:val="ro-RO"/>
        </w:rPr>
        <w:t>n = 4, R-</w:t>
      </w:r>
      <w:proofErr w:type="spellStart"/>
      <w:r w:rsidRPr="00F74768">
        <w:rPr>
          <w:lang w:val="ro-RO"/>
        </w:rPr>
        <w:t>squared</w:t>
      </w:r>
      <w:proofErr w:type="spellEnd"/>
      <w:r w:rsidRPr="00F74768">
        <w:rPr>
          <w:lang w:val="ro-RO"/>
        </w:rPr>
        <w:t xml:space="preserve"> = 0,008</w:t>
      </w:r>
    </w:p>
    <w:p w:rsidR="004417AD" w:rsidRDefault="004417AD" w:rsidP="0036518F">
      <w:pPr>
        <w:jc w:val="center"/>
        <w:rPr>
          <w:lang w:val="ro-RO"/>
        </w:rPr>
      </w:pPr>
      <w:r w:rsidRPr="00F74768">
        <w:rPr>
          <w:lang w:val="ro-RO"/>
        </w:rPr>
        <w:t xml:space="preserve">(standard </w:t>
      </w:r>
      <w:proofErr w:type="spellStart"/>
      <w:r w:rsidRPr="00F74768">
        <w:rPr>
          <w:lang w:val="ro-RO"/>
        </w:rPr>
        <w:t>errors</w:t>
      </w:r>
      <w:proofErr w:type="spellEnd"/>
      <w:r w:rsidRPr="00F74768">
        <w:rPr>
          <w:lang w:val="ro-RO"/>
        </w:rPr>
        <w:t xml:space="preserve"> in </w:t>
      </w:r>
      <w:proofErr w:type="spellStart"/>
      <w:r w:rsidRPr="00F74768">
        <w:rPr>
          <w:lang w:val="ro-RO"/>
        </w:rPr>
        <w:t>parentheses</w:t>
      </w:r>
      <w:proofErr w:type="spellEnd"/>
      <w:r w:rsidRPr="00F74768">
        <w:rPr>
          <w:lang w:val="ro-RO"/>
        </w:rPr>
        <w:t>)</w:t>
      </w:r>
    </w:p>
    <w:p w:rsidR="004417AD" w:rsidRDefault="004417AD" w:rsidP="0036518F">
      <w:pPr>
        <w:jc w:val="center"/>
        <w:rPr>
          <w:lang w:val="ro-RO"/>
        </w:rPr>
      </w:pPr>
    </w:p>
    <w:p w:rsidR="0049530D" w:rsidRDefault="0036518F" w:rsidP="00737935">
      <w:pPr>
        <w:ind w:firstLine="720"/>
        <w:jc w:val="both"/>
        <w:rPr>
          <w:lang w:val="ro-RO"/>
        </w:rPr>
      </w:pPr>
      <w:r>
        <w:rPr>
          <w:lang w:val="ro-RO"/>
        </w:rPr>
        <w:t>Ecuația de mai sus obținută prin intermediul model</w:t>
      </w:r>
      <w:r w:rsidR="0030054E">
        <w:rPr>
          <w:lang w:val="ro-RO"/>
        </w:rPr>
        <w:t>ului celor mai mici pătrate în două</w:t>
      </w:r>
      <w:r>
        <w:rPr>
          <w:lang w:val="ro-RO"/>
        </w:rPr>
        <w:t xml:space="preserve"> faze (TSLS) a fost testată cu ajutorul programului informatic </w:t>
      </w:r>
      <w:proofErr w:type="spellStart"/>
      <w:r>
        <w:rPr>
          <w:lang w:val="ro-RO"/>
        </w:rPr>
        <w:t>Gretl</w:t>
      </w:r>
      <w:proofErr w:type="spellEnd"/>
      <w:r>
        <w:rPr>
          <w:lang w:val="ro-RO"/>
        </w:rPr>
        <w:t xml:space="preserve">, obținându-se un model valid cu un înalt grad de semnificație (p </w:t>
      </w:r>
      <w:proofErr w:type="spellStart"/>
      <w:r>
        <w:rPr>
          <w:lang w:val="ro-RO"/>
        </w:rPr>
        <w:t>value</w:t>
      </w:r>
      <w:proofErr w:type="spellEnd"/>
      <w:r w:rsidR="00737935">
        <w:rPr>
          <w:lang w:val="ro-RO"/>
        </w:rPr>
        <w:t xml:space="preserve"> </w:t>
      </w:r>
      <w:r w:rsidRPr="006C1E61">
        <w:rPr>
          <w:lang w:val="ro-RO"/>
        </w:rPr>
        <w:t>&lt;</w:t>
      </w:r>
      <w:r w:rsidR="00737935" w:rsidRPr="006C1E61">
        <w:rPr>
          <w:lang w:val="ro-RO"/>
        </w:rPr>
        <w:t xml:space="preserve"> </w:t>
      </w:r>
      <w:r>
        <w:rPr>
          <w:lang w:val="ro-RO"/>
        </w:rPr>
        <w:t xml:space="preserve">0,0001 cu testul </w:t>
      </w:r>
      <w:proofErr w:type="spellStart"/>
      <w:r w:rsidRPr="0036518F">
        <w:rPr>
          <w:lang w:val="ro-RO"/>
        </w:rPr>
        <w:t>heteroskedasticity</w:t>
      </w:r>
      <w:proofErr w:type="spellEnd"/>
      <w:r>
        <w:rPr>
          <w:lang w:val="ro-RO"/>
        </w:rPr>
        <w:t xml:space="preserve"> valid, ipoteza nulă confirmând absența fenomenului, estimările OLS prin testul </w:t>
      </w:r>
      <w:proofErr w:type="spellStart"/>
      <w:r w:rsidRPr="0036518F">
        <w:rPr>
          <w:lang w:val="ro-RO"/>
        </w:rPr>
        <w:t>Hausman</w:t>
      </w:r>
      <w:proofErr w:type="spellEnd"/>
      <w:r>
        <w:rPr>
          <w:lang w:val="ro-RO"/>
        </w:rPr>
        <w:t xml:space="preserve"> fiind consistente și valide prin testul </w:t>
      </w:r>
      <w:proofErr w:type="spellStart"/>
      <w:r w:rsidRPr="0036518F">
        <w:rPr>
          <w:lang w:val="ro-RO"/>
        </w:rPr>
        <w:t>Sargan</w:t>
      </w:r>
      <w:proofErr w:type="spellEnd"/>
      <w:r w:rsidR="0030054E">
        <w:rPr>
          <w:lang w:val="ro-RO"/>
        </w:rPr>
        <w:t>)</w:t>
      </w:r>
      <w:r>
        <w:rPr>
          <w:lang w:val="ro-RO"/>
        </w:rPr>
        <w:t>. Testele statistice ale modelului propus sunt prezentate în continuare astfel:</w:t>
      </w:r>
    </w:p>
    <w:p w:rsidR="0036518F" w:rsidRDefault="0036518F" w:rsidP="0036518F">
      <w:pPr>
        <w:jc w:val="both"/>
        <w:rPr>
          <w:lang w:val="ro-RO"/>
        </w:rPr>
      </w:pPr>
    </w:p>
    <w:p w:rsidR="0036518F" w:rsidRDefault="0036518F" w:rsidP="0036518F">
      <w:pPr>
        <w:jc w:val="both"/>
        <w:rPr>
          <w:lang w:val="ro-RO"/>
        </w:rPr>
      </w:pPr>
    </w:p>
    <w:p w:rsidR="00FB4E12" w:rsidRPr="00F74768" w:rsidRDefault="00FB4E12" w:rsidP="00FB4E12">
      <w:pPr>
        <w:autoSpaceDE w:val="0"/>
        <w:autoSpaceDN w:val="0"/>
        <w:adjustRightInd w:val="0"/>
        <w:jc w:val="center"/>
      </w:pPr>
      <w:r w:rsidRPr="00F74768">
        <w:t>Model 1: TSLS, using observations 1-4</w:t>
      </w:r>
    </w:p>
    <w:p w:rsidR="00FB4E12" w:rsidRPr="00F74768" w:rsidRDefault="00FB4E12" w:rsidP="00FB4E12">
      <w:pPr>
        <w:autoSpaceDE w:val="0"/>
        <w:autoSpaceDN w:val="0"/>
        <w:adjustRightInd w:val="0"/>
        <w:jc w:val="center"/>
      </w:pPr>
      <w:r w:rsidRPr="00F74768">
        <w:t xml:space="preserve">Dependent variable: </w:t>
      </w:r>
      <w:proofErr w:type="spellStart"/>
      <w:r w:rsidR="00737935" w:rsidRPr="00F74768">
        <w:t>B_dep</w:t>
      </w:r>
      <w:proofErr w:type="spellEnd"/>
      <w:r w:rsidR="00737935" w:rsidRPr="00F74768">
        <w:t xml:space="preserve"> </w:t>
      </w:r>
    </w:p>
    <w:p w:rsidR="00FB4E12" w:rsidRPr="00F74768" w:rsidRDefault="00737935" w:rsidP="00FB4E12">
      <w:pPr>
        <w:autoSpaceDE w:val="0"/>
        <w:autoSpaceDN w:val="0"/>
        <w:adjustRightInd w:val="0"/>
        <w:jc w:val="center"/>
      </w:pPr>
      <w:r w:rsidRPr="00F74768">
        <w:t xml:space="preserve">Instrumented: </w:t>
      </w:r>
      <w:proofErr w:type="spellStart"/>
      <w:r w:rsidRPr="00F74768">
        <w:t>G_reg</w:t>
      </w:r>
      <w:proofErr w:type="spellEnd"/>
      <w:r w:rsidR="00FB4E12" w:rsidRPr="00F74768">
        <w:t xml:space="preserve"> </w:t>
      </w:r>
    </w:p>
    <w:p w:rsidR="00FB4E12" w:rsidRPr="00F74768" w:rsidRDefault="00737935" w:rsidP="00FB4E12">
      <w:pPr>
        <w:autoSpaceDE w:val="0"/>
        <w:autoSpaceDN w:val="0"/>
        <w:adjustRightInd w:val="0"/>
        <w:jc w:val="center"/>
      </w:pPr>
      <w:r w:rsidRPr="00F74768">
        <w:t xml:space="preserve">Instruments: </w:t>
      </w:r>
      <w:proofErr w:type="spellStart"/>
      <w:r w:rsidRPr="00F74768">
        <w:t>F_</w:t>
      </w:r>
      <w:proofErr w:type="gramStart"/>
      <w:r w:rsidRPr="00F74768">
        <w:t>ind</w:t>
      </w:r>
      <w:proofErr w:type="spellEnd"/>
      <w:r w:rsidRPr="00F74768">
        <w:t xml:space="preserve">  </w:t>
      </w:r>
      <w:proofErr w:type="spellStart"/>
      <w:r w:rsidRPr="00F74768">
        <w:t>H</w:t>
      </w:r>
      <w:proofErr w:type="gramEnd"/>
      <w:r w:rsidRPr="00F74768">
        <w:t>_ind</w:t>
      </w:r>
      <w:proofErr w:type="spellEnd"/>
      <w:r w:rsidR="00FB4E12" w:rsidRPr="00F74768">
        <w:t xml:space="preserve"> </w:t>
      </w:r>
    </w:p>
    <w:p w:rsidR="00FB4E12" w:rsidRPr="00F74768" w:rsidRDefault="00FB4E12" w:rsidP="00FB4E12">
      <w:pPr>
        <w:autoSpaceDE w:val="0"/>
        <w:autoSpaceDN w:val="0"/>
        <w:adjustRightInd w:val="0"/>
        <w:jc w:val="center"/>
      </w:pPr>
    </w:p>
    <w:tbl>
      <w:tblPr>
        <w:tblW w:w="0" w:type="auto"/>
        <w:jc w:val="center"/>
        <w:tblLayout w:type="fixed"/>
        <w:tblCellMar>
          <w:left w:w="30" w:type="dxa"/>
          <w:right w:w="30" w:type="dxa"/>
        </w:tblCellMar>
        <w:tblLook w:val="0000" w:firstRow="0" w:lastRow="0" w:firstColumn="0" w:lastColumn="0" w:noHBand="0" w:noVBand="0"/>
      </w:tblPr>
      <w:tblGrid>
        <w:gridCol w:w="1930"/>
        <w:gridCol w:w="1400"/>
        <w:gridCol w:w="1400"/>
        <w:gridCol w:w="1400"/>
        <w:gridCol w:w="1400"/>
        <w:gridCol w:w="500"/>
      </w:tblGrid>
      <w:tr w:rsidR="00FB4E12" w:rsidRPr="00F74768" w:rsidTr="00CE6580">
        <w:trPr>
          <w:trHeight w:val="262"/>
          <w:jc w:val="center"/>
        </w:trPr>
        <w:tc>
          <w:tcPr>
            <w:tcW w:w="1930" w:type="dxa"/>
            <w:tcBorders>
              <w:top w:val="nil"/>
              <w:left w:val="nil"/>
              <w:bottom w:val="nil"/>
              <w:right w:val="nil"/>
            </w:tcBorders>
          </w:tcPr>
          <w:p w:rsidR="00FB4E12" w:rsidRPr="00F74768" w:rsidRDefault="00FB4E12" w:rsidP="00CE6580">
            <w:pPr>
              <w:autoSpaceDE w:val="0"/>
              <w:autoSpaceDN w:val="0"/>
              <w:adjustRightInd w:val="0"/>
              <w:jc w:val="center"/>
            </w:pPr>
            <w:r w:rsidRPr="00F74768">
              <w:rPr>
                <w:i/>
                <w:iCs/>
              </w:rPr>
              <w:t xml:space="preserve"> </w:t>
            </w:r>
          </w:p>
        </w:tc>
        <w:tc>
          <w:tcPr>
            <w:tcW w:w="1400" w:type="dxa"/>
            <w:tcBorders>
              <w:top w:val="nil"/>
              <w:left w:val="nil"/>
              <w:bottom w:val="nil"/>
              <w:right w:val="nil"/>
            </w:tcBorders>
          </w:tcPr>
          <w:p w:rsidR="00FB4E12" w:rsidRPr="00F74768" w:rsidRDefault="00FB4E12" w:rsidP="00CE6580">
            <w:pPr>
              <w:autoSpaceDE w:val="0"/>
              <w:autoSpaceDN w:val="0"/>
              <w:adjustRightInd w:val="0"/>
              <w:jc w:val="center"/>
            </w:pPr>
            <w:r w:rsidRPr="00F74768">
              <w:rPr>
                <w:i/>
                <w:iCs/>
              </w:rPr>
              <w:t>Coefficient</w:t>
            </w:r>
          </w:p>
        </w:tc>
        <w:tc>
          <w:tcPr>
            <w:tcW w:w="1400" w:type="dxa"/>
            <w:tcBorders>
              <w:top w:val="nil"/>
              <w:left w:val="nil"/>
              <w:bottom w:val="nil"/>
              <w:right w:val="nil"/>
            </w:tcBorders>
          </w:tcPr>
          <w:p w:rsidR="00FB4E12" w:rsidRPr="00F74768" w:rsidRDefault="00FB4E12" w:rsidP="00CE6580">
            <w:pPr>
              <w:autoSpaceDE w:val="0"/>
              <w:autoSpaceDN w:val="0"/>
              <w:adjustRightInd w:val="0"/>
              <w:jc w:val="center"/>
            </w:pPr>
            <w:r w:rsidRPr="00F74768">
              <w:rPr>
                <w:i/>
                <w:iCs/>
              </w:rPr>
              <w:t>Std. Error</w:t>
            </w:r>
          </w:p>
        </w:tc>
        <w:tc>
          <w:tcPr>
            <w:tcW w:w="1400" w:type="dxa"/>
            <w:tcBorders>
              <w:top w:val="nil"/>
              <w:left w:val="nil"/>
              <w:bottom w:val="nil"/>
              <w:right w:val="nil"/>
            </w:tcBorders>
          </w:tcPr>
          <w:p w:rsidR="00FB4E12" w:rsidRPr="00F74768" w:rsidRDefault="00FB4E12" w:rsidP="00CE6580">
            <w:pPr>
              <w:autoSpaceDE w:val="0"/>
              <w:autoSpaceDN w:val="0"/>
              <w:adjustRightInd w:val="0"/>
              <w:jc w:val="center"/>
            </w:pPr>
            <w:r w:rsidRPr="00F74768">
              <w:rPr>
                <w:i/>
                <w:iCs/>
              </w:rPr>
              <w:t>z</w:t>
            </w:r>
          </w:p>
        </w:tc>
        <w:tc>
          <w:tcPr>
            <w:tcW w:w="1400" w:type="dxa"/>
            <w:tcBorders>
              <w:top w:val="nil"/>
              <w:left w:val="nil"/>
              <w:bottom w:val="nil"/>
              <w:right w:val="nil"/>
            </w:tcBorders>
          </w:tcPr>
          <w:p w:rsidR="00FB4E12" w:rsidRPr="00F74768" w:rsidRDefault="00FB4E12" w:rsidP="00CE6580">
            <w:pPr>
              <w:autoSpaceDE w:val="0"/>
              <w:autoSpaceDN w:val="0"/>
              <w:adjustRightInd w:val="0"/>
              <w:jc w:val="center"/>
            </w:pPr>
            <w:r w:rsidRPr="00F74768">
              <w:rPr>
                <w:i/>
                <w:iCs/>
              </w:rPr>
              <w:t>p-value</w:t>
            </w:r>
          </w:p>
        </w:tc>
        <w:tc>
          <w:tcPr>
            <w:tcW w:w="500" w:type="dxa"/>
            <w:tcBorders>
              <w:top w:val="nil"/>
              <w:left w:val="nil"/>
              <w:bottom w:val="nil"/>
              <w:right w:val="nil"/>
            </w:tcBorders>
          </w:tcPr>
          <w:p w:rsidR="00FB4E12" w:rsidRPr="00F74768" w:rsidRDefault="00FB4E12" w:rsidP="00CE6580">
            <w:pPr>
              <w:autoSpaceDE w:val="0"/>
              <w:autoSpaceDN w:val="0"/>
              <w:adjustRightInd w:val="0"/>
            </w:pPr>
          </w:p>
        </w:tc>
      </w:tr>
      <w:tr w:rsidR="00FB4E12" w:rsidRPr="00F74768" w:rsidTr="00CE6580">
        <w:trPr>
          <w:trHeight w:val="262"/>
          <w:jc w:val="center"/>
        </w:trPr>
        <w:tc>
          <w:tcPr>
            <w:tcW w:w="1930" w:type="dxa"/>
            <w:tcBorders>
              <w:top w:val="nil"/>
              <w:left w:val="nil"/>
              <w:bottom w:val="nil"/>
              <w:right w:val="nil"/>
            </w:tcBorders>
          </w:tcPr>
          <w:p w:rsidR="00FB4E12" w:rsidRPr="00F74768" w:rsidRDefault="00737935" w:rsidP="00737935">
            <w:pPr>
              <w:autoSpaceDE w:val="0"/>
              <w:autoSpaceDN w:val="0"/>
              <w:adjustRightInd w:val="0"/>
            </w:pPr>
            <w:proofErr w:type="spellStart"/>
            <w:r w:rsidRPr="00F74768">
              <w:t>G_reg</w:t>
            </w:r>
            <w:proofErr w:type="spellEnd"/>
          </w:p>
        </w:tc>
        <w:tc>
          <w:tcPr>
            <w:tcW w:w="1400" w:type="dxa"/>
            <w:tcBorders>
              <w:top w:val="nil"/>
              <w:left w:val="nil"/>
              <w:bottom w:val="nil"/>
              <w:right w:val="nil"/>
            </w:tcBorders>
          </w:tcPr>
          <w:p w:rsidR="00FB4E12" w:rsidRPr="00F74768" w:rsidRDefault="00FB4E12" w:rsidP="00CE6580">
            <w:pPr>
              <w:autoSpaceDE w:val="0"/>
              <w:autoSpaceDN w:val="0"/>
              <w:adjustRightInd w:val="0"/>
              <w:jc w:val="center"/>
            </w:pPr>
            <w:r w:rsidRPr="00F74768">
              <w:t>1,00707</w:t>
            </w:r>
          </w:p>
        </w:tc>
        <w:tc>
          <w:tcPr>
            <w:tcW w:w="1400" w:type="dxa"/>
            <w:tcBorders>
              <w:top w:val="nil"/>
              <w:left w:val="nil"/>
              <w:bottom w:val="nil"/>
              <w:right w:val="nil"/>
            </w:tcBorders>
          </w:tcPr>
          <w:p w:rsidR="00FB4E12" w:rsidRPr="00F74768" w:rsidRDefault="00FB4E12" w:rsidP="00CE6580">
            <w:pPr>
              <w:autoSpaceDE w:val="0"/>
              <w:autoSpaceDN w:val="0"/>
              <w:adjustRightInd w:val="0"/>
              <w:jc w:val="center"/>
            </w:pPr>
            <w:r w:rsidRPr="00F74768">
              <w:t>0,0254671</w:t>
            </w:r>
          </w:p>
        </w:tc>
        <w:tc>
          <w:tcPr>
            <w:tcW w:w="1400" w:type="dxa"/>
            <w:tcBorders>
              <w:top w:val="nil"/>
              <w:left w:val="nil"/>
              <w:bottom w:val="nil"/>
              <w:right w:val="nil"/>
            </w:tcBorders>
          </w:tcPr>
          <w:p w:rsidR="00FB4E12" w:rsidRPr="00F74768" w:rsidRDefault="00FB4E12" w:rsidP="00CE6580">
            <w:pPr>
              <w:autoSpaceDE w:val="0"/>
              <w:autoSpaceDN w:val="0"/>
              <w:adjustRightInd w:val="0"/>
              <w:jc w:val="center"/>
            </w:pPr>
            <w:r w:rsidRPr="00F74768">
              <w:t>39,5440</w:t>
            </w:r>
          </w:p>
        </w:tc>
        <w:tc>
          <w:tcPr>
            <w:tcW w:w="1400" w:type="dxa"/>
            <w:tcBorders>
              <w:top w:val="nil"/>
              <w:left w:val="nil"/>
              <w:bottom w:val="nil"/>
              <w:right w:val="nil"/>
            </w:tcBorders>
          </w:tcPr>
          <w:p w:rsidR="00FB4E12" w:rsidRPr="00F74768" w:rsidRDefault="00FB4E12" w:rsidP="00CE6580">
            <w:pPr>
              <w:autoSpaceDE w:val="0"/>
              <w:autoSpaceDN w:val="0"/>
              <w:adjustRightInd w:val="0"/>
              <w:jc w:val="center"/>
            </w:pPr>
            <w:r w:rsidRPr="00F74768">
              <w:t>&lt;0,00001</w:t>
            </w:r>
          </w:p>
        </w:tc>
        <w:tc>
          <w:tcPr>
            <w:tcW w:w="500" w:type="dxa"/>
            <w:tcBorders>
              <w:top w:val="nil"/>
              <w:left w:val="nil"/>
              <w:bottom w:val="nil"/>
              <w:right w:val="nil"/>
            </w:tcBorders>
          </w:tcPr>
          <w:p w:rsidR="00FB4E12" w:rsidRPr="00F74768" w:rsidRDefault="00FB4E12" w:rsidP="00CE6580">
            <w:pPr>
              <w:autoSpaceDE w:val="0"/>
              <w:autoSpaceDN w:val="0"/>
              <w:adjustRightInd w:val="0"/>
            </w:pPr>
            <w:r w:rsidRPr="00F74768">
              <w:t>***</w:t>
            </w:r>
          </w:p>
        </w:tc>
      </w:tr>
    </w:tbl>
    <w:p w:rsidR="00FB4E12" w:rsidRPr="00F74768" w:rsidRDefault="00FB4E12" w:rsidP="00FB4E12">
      <w:pPr>
        <w:autoSpaceDE w:val="0"/>
        <w:autoSpaceDN w:val="0"/>
        <w:adjustRightInd w:val="0"/>
        <w:jc w:val="center"/>
      </w:pPr>
    </w:p>
    <w:tbl>
      <w:tblPr>
        <w:tblW w:w="0" w:type="auto"/>
        <w:jc w:val="center"/>
        <w:tblLayout w:type="fixed"/>
        <w:tblCellMar>
          <w:left w:w="30" w:type="dxa"/>
          <w:right w:w="30" w:type="dxa"/>
        </w:tblCellMar>
        <w:tblLook w:val="0000" w:firstRow="0" w:lastRow="0" w:firstColumn="0" w:lastColumn="0" w:noHBand="0" w:noVBand="0"/>
      </w:tblPr>
      <w:tblGrid>
        <w:gridCol w:w="2530"/>
        <w:gridCol w:w="1300"/>
        <w:gridCol w:w="400"/>
        <w:gridCol w:w="2500"/>
        <w:gridCol w:w="1300"/>
      </w:tblGrid>
      <w:tr w:rsidR="00FB4E12" w:rsidRPr="00F74768" w:rsidTr="00CE6580">
        <w:trPr>
          <w:trHeight w:val="262"/>
          <w:jc w:val="center"/>
        </w:trPr>
        <w:tc>
          <w:tcPr>
            <w:tcW w:w="2530" w:type="dxa"/>
            <w:tcBorders>
              <w:top w:val="nil"/>
              <w:left w:val="nil"/>
              <w:bottom w:val="nil"/>
              <w:right w:val="nil"/>
            </w:tcBorders>
          </w:tcPr>
          <w:p w:rsidR="00FB4E12" w:rsidRPr="00F74768" w:rsidRDefault="00FB4E12" w:rsidP="00CE6580">
            <w:pPr>
              <w:autoSpaceDE w:val="0"/>
              <w:autoSpaceDN w:val="0"/>
              <w:adjustRightInd w:val="0"/>
            </w:pPr>
            <w:r w:rsidRPr="00F74768">
              <w:t xml:space="preserve">Mean dependent </w:t>
            </w:r>
            <w:proofErr w:type="spellStart"/>
            <w:r w:rsidRPr="00F74768">
              <w:t>var</w:t>
            </w:r>
            <w:proofErr w:type="spellEnd"/>
          </w:p>
        </w:tc>
        <w:tc>
          <w:tcPr>
            <w:tcW w:w="1300" w:type="dxa"/>
            <w:tcBorders>
              <w:top w:val="nil"/>
              <w:left w:val="nil"/>
              <w:bottom w:val="nil"/>
              <w:right w:val="nil"/>
            </w:tcBorders>
          </w:tcPr>
          <w:p w:rsidR="00FB4E12" w:rsidRPr="00F74768" w:rsidRDefault="00FB4E12" w:rsidP="00CE6580">
            <w:pPr>
              <w:autoSpaceDE w:val="0"/>
              <w:autoSpaceDN w:val="0"/>
              <w:adjustRightInd w:val="0"/>
              <w:jc w:val="right"/>
            </w:pPr>
            <w:r w:rsidRPr="00F74768">
              <w:t xml:space="preserve"> 1,019471</w:t>
            </w:r>
          </w:p>
        </w:tc>
        <w:tc>
          <w:tcPr>
            <w:tcW w:w="400" w:type="dxa"/>
            <w:tcBorders>
              <w:top w:val="nil"/>
              <w:left w:val="nil"/>
              <w:bottom w:val="nil"/>
              <w:right w:val="nil"/>
            </w:tcBorders>
          </w:tcPr>
          <w:p w:rsidR="00FB4E12" w:rsidRPr="00F74768" w:rsidRDefault="00FB4E12" w:rsidP="00CE6580">
            <w:pPr>
              <w:autoSpaceDE w:val="0"/>
              <w:autoSpaceDN w:val="0"/>
              <w:adjustRightInd w:val="0"/>
              <w:jc w:val="center"/>
            </w:pPr>
          </w:p>
        </w:tc>
        <w:tc>
          <w:tcPr>
            <w:tcW w:w="2500" w:type="dxa"/>
            <w:tcBorders>
              <w:top w:val="nil"/>
              <w:left w:val="nil"/>
              <w:bottom w:val="nil"/>
              <w:right w:val="nil"/>
            </w:tcBorders>
          </w:tcPr>
          <w:p w:rsidR="00FB4E12" w:rsidRPr="00F74768" w:rsidRDefault="00FB4E12" w:rsidP="00CE6580">
            <w:pPr>
              <w:autoSpaceDE w:val="0"/>
              <w:autoSpaceDN w:val="0"/>
              <w:adjustRightInd w:val="0"/>
            </w:pPr>
            <w:r w:rsidRPr="00F74768">
              <w:t xml:space="preserve">S.D. dependent </w:t>
            </w:r>
            <w:proofErr w:type="spellStart"/>
            <w:r w:rsidRPr="00F74768">
              <w:t>var</w:t>
            </w:r>
            <w:proofErr w:type="spellEnd"/>
          </w:p>
        </w:tc>
        <w:tc>
          <w:tcPr>
            <w:tcW w:w="1300" w:type="dxa"/>
            <w:tcBorders>
              <w:top w:val="nil"/>
              <w:left w:val="nil"/>
              <w:bottom w:val="nil"/>
              <w:right w:val="nil"/>
            </w:tcBorders>
          </w:tcPr>
          <w:p w:rsidR="00FB4E12" w:rsidRPr="00F74768" w:rsidRDefault="00FB4E12" w:rsidP="00CE6580">
            <w:pPr>
              <w:autoSpaceDE w:val="0"/>
              <w:autoSpaceDN w:val="0"/>
              <w:adjustRightInd w:val="0"/>
              <w:jc w:val="right"/>
            </w:pPr>
            <w:r w:rsidRPr="00F74768">
              <w:t xml:space="preserve"> 0,044683</w:t>
            </w:r>
          </w:p>
        </w:tc>
      </w:tr>
      <w:tr w:rsidR="00FB4E12" w:rsidRPr="00F74768" w:rsidTr="00CE6580">
        <w:trPr>
          <w:trHeight w:val="262"/>
          <w:jc w:val="center"/>
        </w:trPr>
        <w:tc>
          <w:tcPr>
            <w:tcW w:w="2530" w:type="dxa"/>
            <w:tcBorders>
              <w:top w:val="nil"/>
              <w:left w:val="nil"/>
              <w:bottom w:val="nil"/>
              <w:right w:val="nil"/>
            </w:tcBorders>
          </w:tcPr>
          <w:p w:rsidR="00FB4E12" w:rsidRPr="00F74768" w:rsidRDefault="00FB4E12" w:rsidP="00CE6580">
            <w:pPr>
              <w:autoSpaceDE w:val="0"/>
              <w:autoSpaceDN w:val="0"/>
              <w:adjustRightInd w:val="0"/>
            </w:pPr>
            <w:r w:rsidRPr="00F74768">
              <w:t xml:space="preserve">Sum squared </w:t>
            </w:r>
            <w:proofErr w:type="spellStart"/>
            <w:r w:rsidRPr="00F74768">
              <w:t>resid</w:t>
            </w:r>
            <w:proofErr w:type="spellEnd"/>
          </w:p>
        </w:tc>
        <w:tc>
          <w:tcPr>
            <w:tcW w:w="1300" w:type="dxa"/>
            <w:tcBorders>
              <w:top w:val="nil"/>
              <w:left w:val="nil"/>
              <w:bottom w:val="nil"/>
              <w:right w:val="nil"/>
            </w:tcBorders>
          </w:tcPr>
          <w:p w:rsidR="00FB4E12" w:rsidRPr="00F74768" w:rsidRDefault="00FB4E12" w:rsidP="00CE6580">
            <w:pPr>
              <w:autoSpaceDE w:val="0"/>
              <w:autoSpaceDN w:val="0"/>
              <w:adjustRightInd w:val="0"/>
              <w:jc w:val="right"/>
            </w:pPr>
            <w:r w:rsidRPr="00F74768">
              <w:t xml:space="preserve"> 0,007972</w:t>
            </w:r>
          </w:p>
        </w:tc>
        <w:tc>
          <w:tcPr>
            <w:tcW w:w="400" w:type="dxa"/>
            <w:tcBorders>
              <w:top w:val="nil"/>
              <w:left w:val="nil"/>
              <w:bottom w:val="nil"/>
              <w:right w:val="nil"/>
            </w:tcBorders>
          </w:tcPr>
          <w:p w:rsidR="00FB4E12" w:rsidRPr="00F74768" w:rsidRDefault="00FB4E12" w:rsidP="00CE6580">
            <w:pPr>
              <w:autoSpaceDE w:val="0"/>
              <w:autoSpaceDN w:val="0"/>
              <w:adjustRightInd w:val="0"/>
              <w:jc w:val="center"/>
            </w:pPr>
          </w:p>
        </w:tc>
        <w:tc>
          <w:tcPr>
            <w:tcW w:w="2500" w:type="dxa"/>
            <w:tcBorders>
              <w:top w:val="nil"/>
              <w:left w:val="nil"/>
              <w:bottom w:val="nil"/>
              <w:right w:val="nil"/>
            </w:tcBorders>
          </w:tcPr>
          <w:p w:rsidR="00FB4E12" w:rsidRPr="00F74768" w:rsidRDefault="00FB4E12" w:rsidP="00CE6580">
            <w:pPr>
              <w:autoSpaceDE w:val="0"/>
              <w:autoSpaceDN w:val="0"/>
              <w:adjustRightInd w:val="0"/>
            </w:pPr>
            <w:r w:rsidRPr="00F74768">
              <w:t>S.E. of regression</w:t>
            </w:r>
          </w:p>
        </w:tc>
        <w:tc>
          <w:tcPr>
            <w:tcW w:w="1300" w:type="dxa"/>
            <w:tcBorders>
              <w:top w:val="nil"/>
              <w:left w:val="nil"/>
              <w:bottom w:val="nil"/>
              <w:right w:val="nil"/>
            </w:tcBorders>
          </w:tcPr>
          <w:p w:rsidR="00FB4E12" w:rsidRPr="00F74768" w:rsidRDefault="00FB4E12" w:rsidP="00CE6580">
            <w:pPr>
              <w:autoSpaceDE w:val="0"/>
              <w:autoSpaceDN w:val="0"/>
              <w:adjustRightInd w:val="0"/>
              <w:jc w:val="right"/>
            </w:pPr>
            <w:r w:rsidRPr="00F74768">
              <w:t xml:space="preserve"> 0,051548</w:t>
            </w:r>
          </w:p>
        </w:tc>
      </w:tr>
      <w:tr w:rsidR="00FB4E12" w:rsidRPr="00F74768" w:rsidTr="00CE6580">
        <w:trPr>
          <w:trHeight w:val="262"/>
          <w:jc w:val="center"/>
        </w:trPr>
        <w:tc>
          <w:tcPr>
            <w:tcW w:w="2530" w:type="dxa"/>
            <w:tcBorders>
              <w:top w:val="nil"/>
              <w:left w:val="nil"/>
              <w:bottom w:val="nil"/>
              <w:right w:val="nil"/>
            </w:tcBorders>
          </w:tcPr>
          <w:p w:rsidR="00FB4E12" w:rsidRPr="00F74768" w:rsidRDefault="00FB4E12" w:rsidP="00CE6580">
            <w:pPr>
              <w:autoSpaceDE w:val="0"/>
              <w:autoSpaceDN w:val="0"/>
              <w:adjustRightInd w:val="0"/>
            </w:pPr>
            <w:r w:rsidRPr="00F74768">
              <w:t>R-squared</w:t>
            </w:r>
          </w:p>
        </w:tc>
        <w:tc>
          <w:tcPr>
            <w:tcW w:w="1300" w:type="dxa"/>
            <w:tcBorders>
              <w:top w:val="nil"/>
              <w:left w:val="nil"/>
              <w:bottom w:val="nil"/>
              <w:right w:val="nil"/>
            </w:tcBorders>
          </w:tcPr>
          <w:p w:rsidR="00FB4E12" w:rsidRPr="00F74768" w:rsidRDefault="00FB4E12" w:rsidP="00CE6580">
            <w:pPr>
              <w:autoSpaceDE w:val="0"/>
              <w:autoSpaceDN w:val="0"/>
              <w:adjustRightInd w:val="0"/>
              <w:jc w:val="right"/>
            </w:pPr>
            <w:r w:rsidRPr="00F74768">
              <w:t xml:space="preserve"> 0,007928</w:t>
            </w:r>
          </w:p>
        </w:tc>
        <w:tc>
          <w:tcPr>
            <w:tcW w:w="400" w:type="dxa"/>
            <w:tcBorders>
              <w:top w:val="nil"/>
              <w:left w:val="nil"/>
              <w:bottom w:val="nil"/>
              <w:right w:val="nil"/>
            </w:tcBorders>
          </w:tcPr>
          <w:p w:rsidR="00FB4E12" w:rsidRPr="00F74768" w:rsidRDefault="00FB4E12" w:rsidP="00CE6580">
            <w:pPr>
              <w:autoSpaceDE w:val="0"/>
              <w:autoSpaceDN w:val="0"/>
              <w:adjustRightInd w:val="0"/>
              <w:jc w:val="center"/>
            </w:pPr>
          </w:p>
        </w:tc>
        <w:tc>
          <w:tcPr>
            <w:tcW w:w="2500" w:type="dxa"/>
            <w:tcBorders>
              <w:top w:val="nil"/>
              <w:left w:val="nil"/>
              <w:bottom w:val="nil"/>
              <w:right w:val="nil"/>
            </w:tcBorders>
          </w:tcPr>
          <w:p w:rsidR="00FB4E12" w:rsidRPr="00F74768" w:rsidRDefault="00FB4E12" w:rsidP="00CE6580">
            <w:pPr>
              <w:autoSpaceDE w:val="0"/>
              <w:autoSpaceDN w:val="0"/>
              <w:adjustRightInd w:val="0"/>
            </w:pPr>
            <w:r w:rsidRPr="00F74768">
              <w:t>Adjusted R-squared</w:t>
            </w:r>
          </w:p>
        </w:tc>
        <w:tc>
          <w:tcPr>
            <w:tcW w:w="1300" w:type="dxa"/>
            <w:tcBorders>
              <w:top w:val="nil"/>
              <w:left w:val="nil"/>
              <w:bottom w:val="nil"/>
              <w:right w:val="nil"/>
            </w:tcBorders>
          </w:tcPr>
          <w:p w:rsidR="00FB4E12" w:rsidRPr="00F74768" w:rsidRDefault="00FB4E12" w:rsidP="00CE6580">
            <w:pPr>
              <w:autoSpaceDE w:val="0"/>
              <w:autoSpaceDN w:val="0"/>
              <w:adjustRightInd w:val="0"/>
              <w:jc w:val="right"/>
            </w:pPr>
            <w:r w:rsidRPr="00F74768">
              <w:t xml:space="preserve"> 0,007928</w:t>
            </w:r>
          </w:p>
        </w:tc>
      </w:tr>
    </w:tbl>
    <w:p w:rsidR="00FB4E12" w:rsidRPr="00F74768" w:rsidRDefault="00FB4E12" w:rsidP="00FB4E12">
      <w:pPr>
        <w:autoSpaceDE w:val="0"/>
        <w:autoSpaceDN w:val="0"/>
        <w:adjustRightInd w:val="0"/>
        <w:jc w:val="center"/>
      </w:pPr>
    </w:p>
    <w:p w:rsidR="00FB4E12" w:rsidRPr="00F74768" w:rsidRDefault="00FB4E12" w:rsidP="00FB4E12">
      <w:pPr>
        <w:autoSpaceDE w:val="0"/>
        <w:autoSpaceDN w:val="0"/>
        <w:adjustRightInd w:val="0"/>
      </w:pPr>
      <w:proofErr w:type="spellStart"/>
      <w:r w:rsidRPr="00F74768">
        <w:t>Hausman</w:t>
      </w:r>
      <w:proofErr w:type="spellEnd"/>
      <w:r w:rsidRPr="00F74768">
        <w:t xml:space="preserve"> test -</w:t>
      </w:r>
    </w:p>
    <w:p w:rsidR="00FB4E12" w:rsidRPr="00F74768" w:rsidRDefault="00FB4E12" w:rsidP="00FB4E12">
      <w:pPr>
        <w:autoSpaceDE w:val="0"/>
        <w:autoSpaceDN w:val="0"/>
        <w:adjustRightInd w:val="0"/>
      </w:pPr>
      <w:r w:rsidRPr="00F74768">
        <w:t xml:space="preserve"> Null hypothesis: OLS estimates are consistent</w:t>
      </w:r>
    </w:p>
    <w:p w:rsidR="00FB4E12" w:rsidRPr="00F74768" w:rsidRDefault="00FB4E12" w:rsidP="00FB4E12">
      <w:pPr>
        <w:autoSpaceDE w:val="0"/>
        <w:autoSpaceDN w:val="0"/>
        <w:adjustRightInd w:val="0"/>
      </w:pPr>
      <w:r w:rsidRPr="00F74768">
        <w:t xml:space="preserve"> Asymptotic test statistic: Chi-</w:t>
      </w:r>
      <w:proofErr w:type="gramStart"/>
      <w:r w:rsidRPr="00F74768">
        <w:t>square(</w:t>
      </w:r>
      <w:proofErr w:type="gramEnd"/>
      <w:r w:rsidRPr="00F74768">
        <w:t>1) = 0,239942</w:t>
      </w:r>
    </w:p>
    <w:p w:rsidR="00FB4E12" w:rsidRPr="00F74768" w:rsidRDefault="00FB4E12" w:rsidP="00FB4E12">
      <w:pPr>
        <w:autoSpaceDE w:val="0"/>
        <w:autoSpaceDN w:val="0"/>
        <w:adjustRightInd w:val="0"/>
      </w:pPr>
      <w:r w:rsidRPr="00F74768">
        <w:t xml:space="preserve"> with p-value = 0,624248</w:t>
      </w:r>
    </w:p>
    <w:p w:rsidR="00FB4E12" w:rsidRPr="00F74768" w:rsidRDefault="00FB4E12" w:rsidP="00FB4E12">
      <w:pPr>
        <w:autoSpaceDE w:val="0"/>
        <w:autoSpaceDN w:val="0"/>
        <w:adjustRightInd w:val="0"/>
      </w:pPr>
    </w:p>
    <w:p w:rsidR="00FB4E12" w:rsidRPr="00F74768" w:rsidRDefault="00FB4E12" w:rsidP="00FB4E12">
      <w:pPr>
        <w:autoSpaceDE w:val="0"/>
        <w:autoSpaceDN w:val="0"/>
        <w:adjustRightInd w:val="0"/>
      </w:pPr>
      <w:proofErr w:type="spellStart"/>
      <w:r w:rsidRPr="00F74768">
        <w:t>Sargan</w:t>
      </w:r>
      <w:proofErr w:type="spellEnd"/>
      <w:r w:rsidRPr="00F74768">
        <w:t xml:space="preserve"> over-identification test -</w:t>
      </w:r>
    </w:p>
    <w:p w:rsidR="00FB4E12" w:rsidRPr="00F74768" w:rsidRDefault="00FB4E12" w:rsidP="00FB4E12">
      <w:pPr>
        <w:autoSpaceDE w:val="0"/>
        <w:autoSpaceDN w:val="0"/>
        <w:adjustRightInd w:val="0"/>
      </w:pPr>
      <w:r w:rsidRPr="00F74768">
        <w:t xml:space="preserve"> Null hypothesis: all instruments are valid</w:t>
      </w:r>
    </w:p>
    <w:p w:rsidR="00FB4E12" w:rsidRPr="00F74768" w:rsidRDefault="00FB4E12" w:rsidP="00FB4E12">
      <w:pPr>
        <w:autoSpaceDE w:val="0"/>
        <w:autoSpaceDN w:val="0"/>
        <w:adjustRightInd w:val="0"/>
      </w:pPr>
      <w:r w:rsidRPr="00F74768">
        <w:t xml:space="preserve"> Test statistic: LM = 1,9494</w:t>
      </w:r>
    </w:p>
    <w:p w:rsidR="00FB4E12" w:rsidRPr="00F74768" w:rsidRDefault="00FB4E12" w:rsidP="00FB4E12">
      <w:pPr>
        <w:autoSpaceDE w:val="0"/>
        <w:autoSpaceDN w:val="0"/>
        <w:adjustRightInd w:val="0"/>
      </w:pPr>
      <w:r w:rsidRPr="00F74768">
        <w:t xml:space="preserve"> with p-value = P(Chi-</w:t>
      </w:r>
      <w:proofErr w:type="gramStart"/>
      <w:r w:rsidRPr="00F74768">
        <w:t>square(</w:t>
      </w:r>
      <w:proofErr w:type="gramEnd"/>
      <w:r w:rsidRPr="00F74768">
        <w:t>1) &gt; 1,9494) = 0,162652</w:t>
      </w:r>
    </w:p>
    <w:p w:rsidR="00FB4E12" w:rsidRPr="00F74768" w:rsidRDefault="00FB4E12" w:rsidP="00FB4E12">
      <w:pPr>
        <w:autoSpaceDE w:val="0"/>
        <w:autoSpaceDN w:val="0"/>
        <w:adjustRightInd w:val="0"/>
      </w:pPr>
    </w:p>
    <w:p w:rsidR="00FB4E12" w:rsidRPr="00F74768" w:rsidRDefault="00FB4E12" w:rsidP="00FB4E12">
      <w:pPr>
        <w:autoSpaceDE w:val="0"/>
        <w:autoSpaceDN w:val="0"/>
        <w:adjustRightInd w:val="0"/>
      </w:pPr>
      <w:proofErr w:type="spellStart"/>
      <w:r w:rsidRPr="00F74768">
        <w:t>Pesaran</w:t>
      </w:r>
      <w:proofErr w:type="spellEnd"/>
      <w:r w:rsidRPr="00F74768">
        <w:t xml:space="preserve">-Taylor test for </w:t>
      </w:r>
      <w:proofErr w:type="spellStart"/>
      <w:r w:rsidRPr="00F74768">
        <w:t>heteroskedasticity</w:t>
      </w:r>
      <w:proofErr w:type="spellEnd"/>
      <w:r w:rsidRPr="00F74768">
        <w:t xml:space="preserve"> -</w:t>
      </w:r>
    </w:p>
    <w:p w:rsidR="00FB4E12" w:rsidRPr="00F74768" w:rsidRDefault="00FB4E12" w:rsidP="00FB4E12">
      <w:pPr>
        <w:autoSpaceDE w:val="0"/>
        <w:autoSpaceDN w:val="0"/>
        <w:adjustRightInd w:val="0"/>
      </w:pPr>
      <w:r w:rsidRPr="00F74768">
        <w:t xml:space="preserve"> Null hypothesis: </w:t>
      </w:r>
      <w:proofErr w:type="spellStart"/>
      <w:r w:rsidRPr="00F74768">
        <w:t>heteroskedasticity</w:t>
      </w:r>
      <w:proofErr w:type="spellEnd"/>
      <w:r w:rsidRPr="00F74768">
        <w:t xml:space="preserve"> not present</w:t>
      </w:r>
    </w:p>
    <w:p w:rsidR="00FB4E12" w:rsidRPr="00F74768" w:rsidRDefault="00FB4E12" w:rsidP="00FB4E12">
      <w:pPr>
        <w:autoSpaceDE w:val="0"/>
        <w:autoSpaceDN w:val="0"/>
        <w:adjustRightInd w:val="0"/>
      </w:pPr>
      <w:r w:rsidRPr="00F74768">
        <w:t xml:space="preserve"> Asymptotic test statistic: z = 0,40514</w:t>
      </w:r>
    </w:p>
    <w:p w:rsidR="00FB4E12" w:rsidRPr="00F74768" w:rsidRDefault="00FB4E12" w:rsidP="00FB4E12">
      <w:pPr>
        <w:autoSpaceDE w:val="0"/>
        <w:autoSpaceDN w:val="0"/>
        <w:adjustRightInd w:val="0"/>
      </w:pPr>
      <w:r w:rsidRPr="00F74768">
        <w:t xml:space="preserve"> with p-value = 0,685374</w:t>
      </w:r>
    </w:p>
    <w:p w:rsidR="00FB4E12" w:rsidRPr="00F74768" w:rsidRDefault="00FB4E12" w:rsidP="00FB4E12">
      <w:pPr>
        <w:autoSpaceDE w:val="0"/>
        <w:autoSpaceDN w:val="0"/>
        <w:adjustRightInd w:val="0"/>
      </w:pPr>
      <w:r w:rsidRPr="00F74768">
        <w:t xml:space="preserve">Weak instrument test - </w:t>
      </w:r>
    </w:p>
    <w:p w:rsidR="00FB4E12" w:rsidRPr="00AC0168" w:rsidRDefault="00FB4E12" w:rsidP="00FB4E12">
      <w:r w:rsidRPr="00F74768">
        <w:t xml:space="preserve">  First-stage F-statistic (2, 2) = 1998,18</w:t>
      </w:r>
    </w:p>
    <w:p w:rsidR="00FB4E12" w:rsidRPr="00AC0168" w:rsidRDefault="00FB4E12" w:rsidP="00FB4E12"/>
    <w:p w:rsidR="008947AA" w:rsidRDefault="00FB4E12" w:rsidP="0030054E">
      <w:pPr>
        <w:ind w:firstLine="720"/>
        <w:jc w:val="both"/>
        <w:rPr>
          <w:lang w:val="ro-RO"/>
        </w:rPr>
      </w:pPr>
      <w:r>
        <w:rPr>
          <w:lang w:val="ro-RO"/>
        </w:rPr>
        <w:t>Distribuția prin procedeul de previzionare (</w:t>
      </w:r>
      <w:proofErr w:type="spellStart"/>
      <w:r>
        <w:rPr>
          <w:lang w:val="ro-RO"/>
        </w:rPr>
        <w:t>Forecast</w:t>
      </w:r>
      <w:proofErr w:type="spellEnd"/>
      <w:r>
        <w:rPr>
          <w:lang w:val="ro-RO"/>
        </w:rPr>
        <w:t xml:space="preserve">) relevă pe intervalul de confidență de 95% o evoluție de </w:t>
      </w:r>
      <w:r w:rsidR="0030054E">
        <w:rPr>
          <w:lang w:val="ro-RO"/>
        </w:rPr>
        <w:t>±</w:t>
      </w:r>
      <w:r>
        <w:rPr>
          <w:lang w:val="ro-RO"/>
        </w:rPr>
        <w:t xml:space="preserve">10 unități pe axa </w:t>
      </w:r>
      <w:r w:rsidRPr="0030054E">
        <w:rPr>
          <w:i/>
          <w:lang w:val="ro-RO"/>
        </w:rPr>
        <w:t>y</w:t>
      </w:r>
      <w:r>
        <w:rPr>
          <w:lang w:val="ro-RO"/>
        </w:rPr>
        <w:t xml:space="preserve"> și o distribuție pe 4 intervale </w:t>
      </w:r>
      <w:proofErr w:type="spellStart"/>
      <w:r>
        <w:rPr>
          <w:lang w:val="ro-RO"/>
        </w:rPr>
        <w:t>cuartilice</w:t>
      </w:r>
      <w:proofErr w:type="spellEnd"/>
      <w:r>
        <w:rPr>
          <w:lang w:val="ro-RO"/>
        </w:rPr>
        <w:t xml:space="preserve"> pe axa </w:t>
      </w:r>
      <w:r w:rsidRPr="0030054E">
        <w:rPr>
          <w:i/>
          <w:lang w:val="ro-RO"/>
        </w:rPr>
        <w:t>x</w:t>
      </w:r>
      <w:r w:rsidR="0030054E">
        <w:rPr>
          <w:lang w:val="ro-RO"/>
        </w:rPr>
        <w:t>, conform graficului de mai jos (</w:t>
      </w:r>
      <w:proofErr w:type="spellStart"/>
      <w:r w:rsidR="0030054E">
        <w:rPr>
          <w:lang w:val="ro-RO"/>
        </w:rPr>
        <w:t>see</w:t>
      </w:r>
      <w:proofErr w:type="spellEnd"/>
      <w:r w:rsidR="0030054E">
        <w:rPr>
          <w:lang w:val="ro-RO"/>
        </w:rPr>
        <w:t xml:space="preserve"> </w:t>
      </w:r>
      <w:proofErr w:type="spellStart"/>
      <w:r w:rsidR="0030054E">
        <w:rPr>
          <w:lang w:val="ro-RO"/>
        </w:rPr>
        <w:t>figure</w:t>
      </w:r>
      <w:proofErr w:type="spellEnd"/>
      <w:r w:rsidR="0030054E">
        <w:rPr>
          <w:lang w:val="ro-RO"/>
        </w:rPr>
        <w:t xml:space="preserve"> 1).</w:t>
      </w:r>
    </w:p>
    <w:p w:rsidR="00FB4E12" w:rsidRDefault="00FB4E12" w:rsidP="003202D6">
      <w:pPr>
        <w:rPr>
          <w:lang w:val="ro-RO"/>
        </w:rPr>
      </w:pPr>
    </w:p>
    <w:p w:rsidR="00FB4E12" w:rsidRDefault="00FB4E12" w:rsidP="00FB4E12">
      <w:pPr>
        <w:jc w:val="center"/>
        <w:rPr>
          <w:lang w:val="ro-RO"/>
        </w:rPr>
      </w:pPr>
      <w:r>
        <w:rPr>
          <w:noProof/>
        </w:rPr>
        <w:lastRenderedPageBreak/>
        <w:drawing>
          <wp:inline distT="0" distB="0" distL="0" distR="0" wp14:anchorId="2458B2C5" wp14:editId="79CEE48A">
            <wp:extent cx="3935539" cy="2984500"/>
            <wp:effectExtent l="0" t="0" r="8255" b="635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944917" cy="2991612"/>
                    </a:xfrm>
                    <a:prstGeom prst="rect">
                      <a:avLst/>
                    </a:prstGeom>
                  </pic:spPr>
                </pic:pic>
              </a:graphicData>
            </a:graphic>
          </wp:inline>
        </w:drawing>
      </w:r>
    </w:p>
    <w:p w:rsidR="003F31EB" w:rsidRDefault="00FB4E12" w:rsidP="003F31EB">
      <w:pPr>
        <w:jc w:val="center"/>
        <w:rPr>
          <w:lang w:val="ro-RO"/>
        </w:rPr>
      </w:pPr>
      <w:r w:rsidRPr="0030054E">
        <w:rPr>
          <w:b/>
          <w:lang w:val="ro-RO"/>
        </w:rPr>
        <w:t>Fig</w:t>
      </w:r>
      <w:r w:rsidR="00C866A0" w:rsidRPr="0030054E">
        <w:rPr>
          <w:b/>
          <w:lang w:val="ro-RO"/>
        </w:rPr>
        <w:t>ura nr.</w:t>
      </w:r>
      <w:r w:rsidRPr="0030054E">
        <w:rPr>
          <w:b/>
          <w:lang w:val="ro-RO"/>
        </w:rPr>
        <w:t xml:space="preserve"> 1</w:t>
      </w:r>
      <w:r>
        <w:rPr>
          <w:lang w:val="ro-RO"/>
        </w:rPr>
        <w:t xml:space="preserve"> – Distribuția previzionată pe interval de confidență de 95% a variabilei dependente în raport cu variabila de regresie</w:t>
      </w:r>
      <w:r w:rsidR="003F31EB">
        <w:rPr>
          <w:lang w:val="ro-RO"/>
        </w:rPr>
        <w:t xml:space="preserve"> </w:t>
      </w:r>
    </w:p>
    <w:p w:rsidR="009C1E7E" w:rsidRPr="00F97DD9" w:rsidRDefault="003202D6" w:rsidP="003202D6">
      <w:pPr>
        <w:rPr>
          <w:b/>
          <w:lang w:val="en-GB"/>
        </w:rPr>
      </w:pPr>
      <w:r w:rsidRPr="00F97DD9">
        <w:rPr>
          <w:b/>
          <w:lang w:val="en-GB"/>
        </w:rPr>
        <w:t>RE</w:t>
      </w:r>
      <w:r w:rsidR="00F97DD9" w:rsidRPr="00F97DD9">
        <w:rPr>
          <w:b/>
          <w:lang w:val="en-GB"/>
        </w:rPr>
        <w:t>S</w:t>
      </w:r>
      <w:r w:rsidRPr="00F97DD9">
        <w:rPr>
          <w:b/>
          <w:lang w:val="en-GB"/>
        </w:rPr>
        <w:t>ULT</w:t>
      </w:r>
      <w:r w:rsidR="00F97DD9" w:rsidRPr="00F97DD9">
        <w:rPr>
          <w:b/>
          <w:lang w:val="en-GB"/>
        </w:rPr>
        <w:t>S</w:t>
      </w:r>
    </w:p>
    <w:p w:rsidR="003202D6" w:rsidRPr="003202D6" w:rsidRDefault="003202D6" w:rsidP="003202D6">
      <w:pPr>
        <w:rPr>
          <w:lang w:val="ro-RO"/>
        </w:rPr>
      </w:pPr>
    </w:p>
    <w:p w:rsidR="008947AA" w:rsidRDefault="008947AA" w:rsidP="005D10CD">
      <w:pPr>
        <w:jc w:val="both"/>
        <w:rPr>
          <w:lang w:val="ro-RO"/>
        </w:rPr>
      </w:pPr>
      <w:r>
        <w:rPr>
          <w:lang w:val="ro-RO"/>
        </w:rPr>
        <w:tab/>
        <w:t>Pentru aplicarea practică a modelului propus s-a definit un eșa</w:t>
      </w:r>
      <w:r w:rsidR="00E325CA">
        <w:rPr>
          <w:lang w:val="ro-RO"/>
        </w:rPr>
        <w:t>ntion de 15 companii (top 15 cele mai mari comp</w:t>
      </w:r>
      <w:r w:rsidR="0030054E">
        <w:rPr>
          <w:lang w:val="ro-RO"/>
        </w:rPr>
        <w:t>anii din județul Suceava după cifra de afaceri</w:t>
      </w:r>
      <w:r w:rsidR="00E325CA">
        <w:rPr>
          <w:lang w:val="ro-RO"/>
        </w:rPr>
        <w:t>),</w:t>
      </w:r>
      <w:r>
        <w:rPr>
          <w:lang w:val="ro-RO"/>
        </w:rPr>
        <w:t xml:space="preserve"> care active</w:t>
      </w:r>
      <w:r w:rsidR="00DB594D">
        <w:rPr>
          <w:lang w:val="ro-RO"/>
        </w:rPr>
        <w:t>ază în județul S</w:t>
      </w:r>
      <w:r>
        <w:rPr>
          <w:lang w:val="ro-RO"/>
        </w:rPr>
        <w:t>uceava în sectoarele</w:t>
      </w:r>
      <w:r w:rsidR="00537DE2">
        <w:rPr>
          <w:lang w:val="ro-RO"/>
        </w:rPr>
        <w:t>:</w:t>
      </w:r>
      <w:r w:rsidR="0047474E">
        <w:rPr>
          <w:lang w:val="ro-RO"/>
        </w:rPr>
        <w:t xml:space="preserve"> Industria prelucrătoare, Construcții, Comerț cu ridicata și cu amănuntul, Transport și depozitare. Structura acestora poate fi v</w:t>
      </w:r>
      <w:r w:rsidR="0030054E">
        <w:rPr>
          <w:lang w:val="ro-RO"/>
        </w:rPr>
        <w:t>izualizată în figura de mai jos (</w:t>
      </w:r>
      <w:proofErr w:type="spellStart"/>
      <w:r w:rsidR="0030054E">
        <w:rPr>
          <w:lang w:val="ro-RO"/>
        </w:rPr>
        <w:t>see</w:t>
      </w:r>
      <w:proofErr w:type="spellEnd"/>
      <w:r w:rsidR="0030054E">
        <w:rPr>
          <w:lang w:val="ro-RO"/>
        </w:rPr>
        <w:t xml:space="preserve"> </w:t>
      </w:r>
      <w:proofErr w:type="spellStart"/>
      <w:r w:rsidR="0030054E">
        <w:rPr>
          <w:lang w:val="ro-RO"/>
        </w:rPr>
        <w:t>figure</w:t>
      </w:r>
      <w:proofErr w:type="spellEnd"/>
      <w:r w:rsidR="0030054E">
        <w:rPr>
          <w:lang w:val="ro-RO"/>
        </w:rPr>
        <w:t xml:space="preserve"> 2).</w:t>
      </w:r>
    </w:p>
    <w:p w:rsidR="005D10CD" w:rsidRDefault="005D10CD" w:rsidP="005D10CD">
      <w:pPr>
        <w:jc w:val="both"/>
        <w:rPr>
          <w:lang w:val="ro-RO"/>
        </w:rPr>
      </w:pPr>
      <w:bookmarkStart w:id="5" w:name="_GoBack"/>
      <w:bookmarkEnd w:id="5"/>
    </w:p>
    <w:p w:rsidR="008947AA" w:rsidRDefault="005D10CD" w:rsidP="003202D6">
      <w:pPr>
        <w:rPr>
          <w:lang w:val="ro-RO"/>
        </w:rPr>
      </w:pPr>
      <w:r>
        <w:rPr>
          <w:noProof/>
        </w:rPr>
        <w:drawing>
          <wp:inline distT="0" distB="0" distL="0" distR="0" wp14:anchorId="7BD89B88" wp14:editId="3FD3AFDC">
            <wp:extent cx="6096000" cy="2682240"/>
            <wp:effectExtent l="0" t="0" r="0" b="3810"/>
            <wp:docPr id="5" name="Diagramă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866A0" w:rsidRDefault="00C866A0" w:rsidP="00FB4E12">
      <w:pPr>
        <w:jc w:val="center"/>
        <w:rPr>
          <w:lang w:val="ro-RO"/>
        </w:rPr>
      </w:pPr>
    </w:p>
    <w:p w:rsidR="008947AA" w:rsidRDefault="00C866A0" w:rsidP="00FB4E12">
      <w:pPr>
        <w:jc w:val="center"/>
        <w:rPr>
          <w:lang w:val="ro-RO"/>
        </w:rPr>
      </w:pPr>
      <w:r w:rsidRPr="00D0380B">
        <w:rPr>
          <w:b/>
          <w:lang w:val="ro-RO"/>
        </w:rPr>
        <w:t xml:space="preserve">Figura nr. </w:t>
      </w:r>
      <w:r w:rsidR="00FB4E12" w:rsidRPr="00D0380B">
        <w:rPr>
          <w:b/>
          <w:lang w:val="ro-RO"/>
        </w:rPr>
        <w:t>2</w:t>
      </w:r>
      <w:r w:rsidR="00FB4E12">
        <w:rPr>
          <w:lang w:val="ro-RO"/>
        </w:rPr>
        <w:t xml:space="preserve"> – </w:t>
      </w:r>
      <w:r w:rsidR="00241A2F">
        <w:rPr>
          <w:lang w:val="ro-RO"/>
        </w:rPr>
        <w:t>Greutatea specifică a sectoarelor de activitate pentru top 15 întreprinderi din</w:t>
      </w:r>
      <w:r w:rsidR="0030054E">
        <w:rPr>
          <w:lang w:val="ro-RO"/>
        </w:rPr>
        <w:t xml:space="preserve"> județul</w:t>
      </w:r>
      <w:r w:rsidR="00241A2F">
        <w:rPr>
          <w:lang w:val="ro-RO"/>
        </w:rPr>
        <w:t xml:space="preserve"> Suceava</w:t>
      </w:r>
    </w:p>
    <w:p w:rsidR="008947AA" w:rsidRDefault="008947AA" w:rsidP="003202D6">
      <w:pPr>
        <w:rPr>
          <w:lang w:val="ro-RO"/>
        </w:rPr>
      </w:pPr>
    </w:p>
    <w:p w:rsidR="008947AA" w:rsidRDefault="002673BF" w:rsidP="00DB594D">
      <w:pPr>
        <w:ind w:firstLine="720"/>
        <w:jc w:val="both"/>
        <w:rPr>
          <w:lang w:val="ro-RO"/>
        </w:rPr>
      </w:pPr>
      <w:r>
        <w:rPr>
          <w:lang w:val="ro-RO"/>
        </w:rPr>
        <w:t>Distribuția pe coduri CAEN a</w:t>
      </w:r>
      <w:r w:rsidR="0030054E">
        <w:rPr>
          <w:lang w:val="ro-RO"/>
        </w:rPr>
        <w:t xml:space="preserve"> t</w:t>
      </w:r>
      <w:r w:rsidR="008947AA">
        <w:rPr>
          <w:lang w:val="ro-RO"/>
        </w:rPr>
        <w:t xml:space="preserve">op 15 </w:t>
      </w:r>
      <w:r w:rsidR="00DB594D">
        <w:rPr>
          <w:lang w:val="ro-RO"/>
        </w:rPr>
        <w:t>companii din județul</w:t>
      </w:r>
      <w:r>
        <w:rPr>
          <w:lang w:val="ro-RO"/>
        </w:rPr>
        <w:t xml:space="preserve"> Suceava indică</w:t>
      </w:r>
      <w:r w:rsidR="008947AA">
        <w:rPr>
          <w:lang w:val="ro-RO"/>
        </w:rPr>
        <w:t xml:space="preserve"> predispoziția activității econo</w:t>
      </w:r>
      <w:r w:rsidR="009C692C">
        <w:rPr>
          <w:lang w:val="ro-RO"/>
        </w:rPr>
        <w:t>mice din regiune către zona de C</w:t>
      </w:r>
      <w:r w:rsidR="008947AA">
        <w:rPr>
          <w:lang w:val="ro-RO"/>
        </w:rPr>
        <w:t>omerț cu ridi</w:t>
      </w:r>
      <w:r w:rsidR="009C692C">
        <w:rPr>
          <w:lang w:val="ro-RO"/>
        </w:rPr>
        <w:t>cata și cu amănuntul, urmat de I</w:t>
      </w:r>
      <w:r w:rsidR="008947AA">
        <w:rPr>
          <w:lang w:val="ro-RO"/>
        </w:rPr>
        <w:t xml:space="preserve">ndustria prelucrătoare. </w:t>
      </w:r>
    </w:p>
    <w:p w:rsidR="00CA2667" w:rsidRDefault="00CA2667" w:rsidP="00DB594D">
      <w:pPr>
        <w:ind w:firstLine="720"/>
        <w:jc w:val="both"/>
        <w:rPr>
          <w:lang w:val="ro-RO"/>
        </w:rPr>
      </w:pPr>
      <w:r>
        <w:rPr>
          <w:lang w:val="ro-RO"/>
        </w:rPr>
        <w:t xml:space="preserve">Datele </w:t>
      </w:r>
      <w:r w:rsidR="00241A2F">
        <w:rPr>
          <w:lang w:val="ro-RO"/>
        </w:rPr>
        <w:t>calculate pe medii mobile de evoluție la nivel de ra</w:t>
      </w:r>
      <w:r w:rsidR="00542A54">
        <w:rPr>
          <w:lang w:val="ro-RO"/>
        </w:rPr>
        <w:t>mură indică faptul că sectorul T</w:t>
      </w:r>
      <w:r w:rsidR="00241A2F">
        <w:rPr>
          <w:lang w:val="ro-RO"/>
        </w:rPr>
        <w:t>ransportu</w:t>
      </w:r>
      <w:r w:rsidR="00542A54">
        <w:rPr>
          <w:lang w:val="ro-RO"/>
        </w:rPr>
        <w:t>ri și sectorul I</w:t>
      </w:r>
      <w:r w:rsidR="00241A2F">
        <w:rPr>
          <w:lang w:val="ro-RO"/>
        </w:rPr>
        <w:t>ndustrial prezintă rate de creștere peste media generală, acumulând o deviație standard pe dreapta de tendință de 5%. Cele mai favorabile evoluții anuale au fost înregistrate la nivel</w:t>
      </w:r>
      <w:r w:rsidR="009C692C">
        <w:rPr>
          <w:lang w:val="ro-RO"/>
        </w:rPr>
        <w:t>ul anului 2014 pentru sectorul I</w:t>
      </w:r>
      <w:r w:rsidR="00241A2F">
        <w:rPr>
          <w:lang w:val="ro-RO"/>
        </w:rPr>
        <w:t>ndustrial, 2015-201</w:t>
      </w:r>
      <w:r w:rsidR="00542A54">
        <w:rPr>
          <w:lang w:val="ro-RO"/>
        </w:rPr>
        <w:t>6 pentru sectorul Construcții</w:t>
      </w:r>
      <w:r w:rsidR="009C692C">
        <w:rPr>
          <w:lang w:val="ro-RO"/>
        </w:rPr>
        <w:t xml:space="preserve">, </w:t>
      </w:r>
      <w:r w:rsidR="009C692C">
        <w:rPr>
          <w:lang w:val="ro-RO"/>
        </w:rPr>
        <w:lastRenderedPageBreak/>
        <w:t>2017 pentru sectorul C</w:t>
      </w:r>
      <w:r w:rsidR="00241A2F">
        <w:rPr>
          <w:lang w:val="ro-RO"/>
        </w:rPr>
        <w:t xml:space="preserve">omerțului și, </w:t>
      </w:r>
      <w:r w:rsidR="00542A54">
        <w:rPr>
          <w:lang w:val="ro-RO"/>
        </w:rPr>
        <w:t>respectiv 2016 pentru sectorul Transporturi</w:t>
      </w:r>
      <w:r w:rsidR="00241A2F">
        <w:rPr>
          <w:lang w:val="ro-RO"/>
        </w:rPr>
        <w:t xml:space="preserve">. Dinamica multianuală la nivel global reflectă polii de creștere grupați pe începutul și sfârșitul perioadei, media generală de creștere fiind de aproximativ de 10% pe an pe sector. </w:t>
      </w:r>
    </w:p>
    <w:p w:rsidR="00AF15AC" w:rsidRDefault="00AF15AC" w:rsidP="00DB594D">
      <w:pPr>
        <w:ind w:firstLine="720"/>
        <w:jc w:val="both"/>
        <w:rPr>
          <w:lang w:val="ro-RO"/>
        </w:rPr>
      </w:pPr>
    </w:p>
    <w:p w:rsidR="00241A2F" w:rsidRDefault="00241A2F" w:rsidP="003049C1">
      <w:pPr>
        <w:jc w:val="center"/>
        <w:rPr>
          <w:lang w:val="ro-RO"/>
        </w:rPr>
      </w:pPr>
      <w:r w:rsidRPr="00D0380B">
        <w:rPr>
          <w:b/>
          <w:lang w:val="ro-RO"/>
        </w:rPr>
        <w:t>Tabel</w:t>
      </w:r>
      <w:r w:rsidR="003049C1" w:rsidRPr="00D0380B">
        <w:rPr>
          <w:b/>
          <w:lang w:val="ro-RO"/>
        </w:rPr>
        <w:t xml:space="preserve"> nr.</w:t>
      </w:r>
      <w:r w:rsidRPr="00D0380B">
        <w:rPr>
          <w:b/>
          <w:lang w:val="ro-RO"/>
        </w:rPr>
        <w:t xml:space="preserve"> 1</w:t>
      </w:r>
      <w:r>
        <w:rPr>
          <w:lang w:val="ro-RO"/>
        </w:rPr>
        <w:t xml:space="preserve"> – Tabloul de evoluție al cifrei de afaceri pe sectoare de activitate pentru top 15 întreprinderi din județul Suceava</w:t>
      </w:r>
    </w:p>
    <w:p w:rsidR="00241A2F" w:rsidRDefault="00241A2F" w:rsidP="00DB594D">
      <w:pPr>
        <w:ind w:firstLine="720"/>
        <w:jc w:val="both"/>
        <w:rPr>
          <w:lang w:val="ro-RO"/>
        </w:rPr>
      </w:pPr>
    </w:p>
    <w:tbl>
      <w:tblPr>
        <w:tblW w:w="5000" w:type="pct"/>
        <w:tblLook w:val="04A0" w:firstRow="1" w:lastRow="0" w:firstColumn="1" w:lastColumn="0" w:noHBand="0" w:noVBand="1"/>
      </w:tblPr>
      <w:tblGrid>
        <w:gridCol w:w="1039"/>
        <w:gridCol w:w="1207"/>
        <w:gridCol w:w="1417"/>
        <w:gridCol w:w="1831"/>
        <w:gridCol w:w="1843"/>
        <w:gridCol w:w="1311"/>
        <w:gridCol w:w="1206"/>
      </w:tblGrid>
      <w:tr w:rsidR="00CA2667" w:rsidRPr="00D0380B" w:rsidTr="00542A54">
        <w:trPr>
          <w:trHeight w:val="876"/>
        </w:trPr>
        <w:tc>
          <w:tcPr>
            <w:tcW w:w="527" w:type="pct"/>
            <w:tcBorders>
              <w:top w:val="single" w:sz="8" w:space="0" w:color="DDDDDD"/>
              <w:left w:val="single" w:sz="8" w:space="0" w:color="DDDDDD"/>
              <w:bottom w:val="single" w:sz="8" w:space="0" w:color="DDDDDD"/>
              <w:right w:val="single" w:sz="8" w:space="0" w:color="DDDDDD"/>
            </w:tcBorders>
            <w:shd w:val="clear" w:color="000000" w:fill="FFF2CC"/>
            <w:vAlign w:val="center"/>
            <w:hideMark/>
          </w:tcPr>
          <w:p w:rsidR="00CA2667" w:rsidRPr="00D0380B" w:rsidRDefault="00CA2667" w:rsidP="00D0380B">
            <w:pPr>
              <w:jc w:val="center"/>
              <w:rPr>
                <w:b/>
                <w:bCs/>
                <w:color w:val="000000"/>
                <w:sz w:val="20"/>
                <w:szCs w:val="20"/>
              </w:rPr>
            </w:pPr>
            <w:r w:rsidRPr="00D0380B">
              <w:rPr>
                <w:b/>
                <w:bCs/>
                <w:color w:val="000000"/>
                <w:sz w:val="20"/>
                <w:szCs w:val="20"/>
              </w:rPr>
              <w:t>Turnover</w:t>
            </w:r>
          </w:p>
        </w:tc>
        <w:tc>
          <w:tcPr>
            <w:tcW w:w="613" w:type="pct"/>
            <w:tcBorders>
              <w:top w:val="nil"/>
              <w:left w:val="nil"/>
              <w:bottom w:val="nil"/>
              <w:right w:val="nil"/>
            </w:tcBorders>
            <w:shd w:val="clear" w:color="auto" w:fill="auto"/>
            <w:vAlign w:val="bottom"/>
            <w:hideMark/>
          </w:tcPr>
          <w:p w:rsidR="00CA2667" w:rsidRPr="00D0380B" w:rsidRDefault="00CA2667" w:rsidP="00D0380B">
            <w:pPr>
              <w:jc w:val="center"/>
              <w:rPr>
                <w:b/>
                <w:bCs/>
                <w:color w:val="000000"/>
                <w:sz w:val="20"/>
                <w:szCs w:val="20"/>
              </w:rPr>
            </w:pPr>
            <w:r w:rsidRPr="00D0380B">
              <w:rPr>
                <w:b/>
                <w:bCs/>
                <w:color w:val="000000"/>
                <w:sz w:val="20"/>
                <w:szCs w:val="20"/>
              </w:rPr>
              <w:t>B - The Processing Industry</w:t>
            </w:r>
          </w:p>
        </w:tc>
        <w:tc>
          <w:tcPr>
            <w:tcW w:w="719" w:type="pct"/>
            <w:tcBorders>
              <w:top w:val="nil"/>
              <w:left w:val="nil"/>
              <w:bottom w:val="nil"/>
              <w:right w:val="nil"/>
            </w:tcBorders>
            <w:shd w:val="clear" w:color="auto" w:fill="auto"/>
            <w:vAlign w:val="bottom"/>
            <w:hideMark/>
          </w:tcPr>
          <w:p w:rsidR="00CA2667" w:rsidRPr="00D0380B" w:rsidRDefault="00CA2667" w:rsidP="00D0380B">
            <w:pPr>
              <w:jc w:val="center"/>
              <w:rPr>
                <w:b/>
                <w:bCs/>
                <w:color w:val="000000"/>
                <w:sz w:val="20"/>
                <w:szCs w:val="20"/>
              </w:rPr>
            </w:pPr>
            <w:r w:rsidRPr="00D0380B">
              <w:rPr>
                <w:b/>
                <w:bCs/>
                <w:color w:val="000000"/>
                <w:sz w:val="20"/>
                <w:szCs w:val="20"/>
              </w:rPr>
              <w:t>F - Constructions</w:t>
            </w:r>
          </w:p>
        </w:tc>
        <w:tc>
          <w:tcPr>
            <w:tcW w:w="929" w:type="pct"/>
            <w:tcBorders>
              <w:top w:val="nil"/>
              <w:left w:val="nil"/>
              <w:bottom w:val="nil"/>
              <w:right w:val="nil"/>
            </w:tcBorders>
            <w:shd w:val="clear" w:color="auto" w:fill="auto"/>
            <w:vAlign w:val="bottom"/>
            <w:hideMark/>
          </w:tcPr>
          <w:p w:rsidR="00CA2667" w:rsidRPr="00D0380B" w:rsidRDefault="00CA2667" w:rsidP="00D0380B">
            <w:pPr>
              <w:jc w:val="center"/>
              <w:rPr>
                <w:b/>
                <w:bCs/>
                <w:color w:val="000000"/>
                <w:sz w:val="20"/>
                <w:szCs w:val="20"/>
              </w:rPr>
            </w:pPr>
            <w:r w:rsidRPr="00D0380B">
              <w:rPr>
                <w:b/>
                <w:bCs/>
                <w:color w:val="000000"/>
                <w:sz w:val="20"/>
                <w:szCs w:val="20"/>
              </w:rPr>
              <w:t>G - Wholesale and retail trade</w:t>
            </w:r>
          </w:p>
        </w:tc>
        <w:tc>
          <w:tcPr>
            <w:tcW w:w="935" w:type="pct"/>
            <w:tcBorders>
              <w:top w:val="nil"/>
              <w:left w:val="nil"/>
              <w:bottom w:val="nil"/>
              <w:right w:val="nil"/>
            </w:tcBorders>
            <w:shd w:val="clear" w:color="auto" w:fill="auto"/>
            <w:vAlign w:val="bottom"/>
            <w:hideMark/>
          </w:tcPr>
          <w:p w:rsidR="00CA2667" w:rsidRPr="00D0380B" w:rsidRDefault="00CA2667" w:rsidP="00D0380B">
            <w:pPr>
              <w:jc w:val="center"/>
              <w:rPr>
                <w:b/>
                <w:bCs/>
                <w:color w:val="000000"/>
                <w:sz w:val="20"/>
                <w:szCs w:val="20"/>
              </w:rPr>
            </w:pPr>
            <w:r w:rsidRPr="00D0380B">
              <w:rPr>
                <w:b/>
                <w:bCs/>
                <w:color w:val="000000"/>
                <w:sz w:val="20"/>
                <w:szCs w:val="20"/>
              </w:rPr>
              <w:t>H - Transport and storage</w:t>
            </w:r>
          </w:p>
        </w:tc>
        <w:tc>
          <w:tcPr>
            <w:tcW w:w="665" w:type="pct"/>
            <w:tcBorders>
              <w:top w:val="nil"/>
              <w:left w:val="nil"/>
              <w:bottom w:val="nil"/>
              <w:right w:val="nil"/>
            </w:tcBorders>
            <w:shd w:val="clear" w:color="auto" w:fill="auto"/>
            <w:vAlign w:val="bottom"/>
            <w:hideMark/>
          </w:tcPr>
          <w:p w:rsidR="00CA2667" w:rsidRPr="00D0380B" w:rsidRDefault="00CA2667" w:rsidP="00D0380B">
            <w:pPr>
              <w:jc w:val="center"/>
              <w:rPr>
                <w:b/>
                <w:bCs/>
                <w:color w:val="000000"/>
                <w:sz w:val="20"/>
                <w:szCs w:val="20"/>
              </w:rPr>
            </w:pPr>
            <w:r w:rsidRPr="00D0380B">
              <w:rPr>
                <w:b/>
                <w:bCs/>
                <w:color w:val="000000"/>
                <w:sz w:val="20"/>
                <w:szCs w:val="20"/>
              </w:rPr>
              <w:t>Average</w:t>
            </w:r>
          </w:p>
        </w:tc>
        <w:tc>
          <w:tcPr>
            <w:tcW w:w="612" w:type="pct"/>
            <w:tcBorders>
              <w:top w:val="nil"/>
              <w:left w:val="nil"/>
              <w:bottom w:val="nil"/>
              <w:right w:val="nil"/>
            </w:tcBorders>
            <w:shd w:val="clear" w:color="auto" w:fill="auto"/>
            <w:vAlign w:val="bottom"/>
            <w:hideMark/>
          </w:tcPr>
          <w:p w:rsidR="00CA2667" w:rsidRPr="00D0380B" w:rsidRDefault="00CA2667" w:rsidP="00D0380B">
            <w:pPr>
              <w:jc w:val="center"/>
              <w:rPr>
                <w:b/>
                <w:bCs/>
                <w:color w:val="000000"/>
                <w:sz w:val="20"/>
                <w:szCs w:val="20"/>
              </w:rPr>
            </w:pPr>
            <w:r w:rsidRPr="00D0380B">
              <w:rPr>
                <w:b/>
                <w:bCs/>
                <w:color w:val="000000"/>
                <w:sz w:val="20"/>
                <w:szCs w:val="20"/>
              </w:rPr>
              <w:t>Standard deviation</w:t>
            </w:r>
          </w:p>
        </w:tc>
      </w:tr>
      <w:tr w:rsidR="00CA2667" w:rsidRPr="00D0380B" w:rsidTr="00542A54">
        <w:trPr>
          <w:trHeight w:val="300"/>
        </w:trPr>
        <w:tc>
          <w:tcPr>
            <w:tcW w:w="527" w:type="pct"/>
            <w:tcBorders>
              <w:top w:val="nil"/>
              <w:left w:val="single" w:sz="8" w:space="0" w:color="DDDDDD"/>
              <w:bottom w:val="single" w:sz="8" w:space="0" w:color="DDDDDD"/>
              <w:right w:val="single" w:sz="8" w:space="0" w:color="DDDDDD"/>
            </w:tcBorders>
            <w:shd w:val="clear" w:color="000000" w:fill="F9F9F9"/>
            <w:hideMark/>
          </w:tcPr>
          <w:p w:rsidR="00CA2667" w:rsidRPr="00D0380B" w:rsidRDefault="00CA2667" w:rsidP="00CA2667">
            <w:pPr>
              <w:jc w:val="right"/>
              <w:rPr>
                <w:color w:val="000000"/>
                <w:sz w:val="20"/>
                <w:szCs w:val="20"/>
              </w:rPr>
            </w:pPr>
            <w:r w:rsidRPr="00D0380B">
              <w:rPr>
                <w:color w:val="000000"/>
                <w:sz w:val="20"/>
                <w:szCs w:val="20"/>
              </w:rPr>
              <w:t>2017</w:t>
            </w:r>
          </w:p>
        </w:tc>
        <w:tc>
          <w:tcPr>
            <w:tcW w:w="613" w:type="pct"/>
            <w:tcBorders>
              <w:top w:val="single" w:sz="8" w:space="0" w:color="DDDDDD"/>
              <w:left w:val="nil"/>
              <w:bottom w:val="single" w:sz="8" w:space="0" w:color="DDDDDD"/>
              <w:right w:val="single" w:sz="8" w:space="0" w:color="DDDDDD"/>
            </w:tcBorders>
            <w:shd w:val="clear" w:color="000000" w:fill="F9F9F9"/>
            <w:hideMark/>
          </w:tcPr>
          <w:p w:rsidR="00CA2667" w:rsidRPr="00D0380B" w:rsidRDefault="00CA2667" w:rsidP="00CA2667">
            <w:pPr>
              <w:jc w:val="right"/>
              <w:rPr>
                <w:color w:val="000000"/>
                <w:sz w:val="20"/>
                <w:szCs w:val="20"/>
              </w:rPr>
            </w:pPr>
            <w:r w:rsidRPr="00D0380B">
              <w:rPr>
                <w:color w:val="000000"/>
                <w:sz w:val="20"/>
                <w:szCs w:val="20"/>
              </w:rPr>
              <w:t>112.56%</w:t>
            </w:r>
          </w:p>
        </w:tc>
        <w:tc>
          <w:tcPr>
            <w:tcW w:w="719" w:type="pct"/>
            <w:tcBorders>
              <w:top w:val="single" w:sz="8" w:space="0" w:color="DDDDDD"/>
              <w:left w:val="nil"/>
              <w:bottom w:val="single" w:sz="8" w:space="0" w:color="DDDDDD"/>
              <w:right w:val="single" w:sz="8" w:space="0" w:color="DDDDDD"/>
            </w:tcBorders>
            <w:shd w:val="clear" w:color="000000" w:fill="F9F9F9"/>
            <w:hideMark/>
          </w:tcPr>
          <w:p w:rsidR="00CA2667" w:rsidRPr="00D0380B" w:rsidRDefault="00CA2667" w:rsidP="00CA2667">
            <w:pPr>
              <w:jc w:val="right"/>
              <w:rPr>
                <w:color w:val="000000"/>
                <w:sz w:val="20"/>
                <w:szCs w:val="20"/>
              </w:rPr>
            </w:pPr>
            <w:r w:rsidRPr="00D0380B">
              <w:rPr>
                <w:color w:val="000000"/>
                <w:sz w:val="20"/>
                <w:szCs w:val="20"/>
              </w:rPr>
              <w:t>102.47%</w:t>
            </w:r>
          </w:p>
        </w:tc>
        <w:tc>
          <w:tcPr>
            <w:tcW w:w="929" w:type="pct"/>
            <w:tcBorders>
              <w:top w:val="single" w:sz="8" w:space="0" w:color="DDDDDD"/>
              <w:left w:val="nil"/>
              <w:bottom w:val="single" w:sz="8" w:space="0" w:color="DDDDDD"/>
              <w:right w:val="single" w:sz="8" w:space="0" w:color="DDDDDD"/>
            </w:tcBorders>
            <w:shd w:val="clear" w:color="000000" w:fill="F9F9F9"/>
            <w:hideMark/>
          </w:tcPr>
          <w:p w:rsidR="00CA2667" w:rsidRPr="00D0380B" w:rsidRDefault="00CA2667" w:rsidP="00CA2667">
            <w:pPr>
              <w:jc w:val="right"/>
              <w:rPr>
                <w:color w:val="000000"/>
                <w:sz w:val="20"/>
                <w:szCs w:val="20"/>
              </w:rPr>
            </w:pPr>
            <w:r w:rsidRPr="00D0380B">
              <w:rPr>
                <w:color w:val="000000"/>
                <w:sz w:val="20"/>
                <w:szCs w:val="20"/>
              </w:rPr>
              <w:t>118.73%</w:t>
            </w:r>
          </w:p>
        </w:tc>
        <w:tc>
          <w:tcPr>
            <w:tcW w:w="935" w:type="pct"/>
            <w:tcBorders>
              <w:top w:val="single" w:sz="8" w:space="0" w:color="DDDDDD"/>
              <w:left w:val="nil"/>
              <w:bottom w:val="single" w:sz="8" w:space="0" w:color="DDDDDD"/>
              <w:right w:val="single" w:sz="8" w:space="0" w:color="DDDDDD"/>
            </w:tcBorders>
            <w:shd w:val="clear" w:color="000000" w:fill="F9F9F9"/>
            <w:hideMark/>
          </w:tcPr>
          <w:p w:rsidR="00CA2667" w:rsidRPr="00D0380B" w:rsidRDefault="00CA2667" w:rsidP="00CA2667">
            <w:pPr>
              <w:jc w:val="right"/>
              <w:rPr>
                <w:color w:val="000000"/>
                <w:sz w:val="20"/>
                <w:szCs w:val="20"/>
              </w:rPr>
            </w:pPr>
            <w:r w:rsidRPr="00D0380B">
              <w:rPr>
                <w:color w:val="000000"/>
                <w:sz w:val="20"/>
                <w:szCs w:val="20"/>
              </w:rPr>
              <w:t>117.13%</w:t>
            </w:r>
          </w:p>
        </w:tc>
        <w:tc>
          <w:tcPr>
            <w:tcW w:w="665" w:type="pct"/>
            <w:tcBorders>
              <w:top w:val="nil"/>
              <w:left w:val="nil"/>
              <w:bottom w:val="nil"/>
              <w:right w:val="nil"/>
            </w:tcBorders>
            <w:shd w:val="clear" w:color="auto" w:fill="auto"/>
            <w:vAlign w:val="bottom"/>
            <w:hideMark/>
          </w:tcPr>
          <w:p w:rsidR="00CA2667" w:rsidRPr="00D0380B" w:rsidRDefault="00CA2667" w:rsidP="00CA2667">
            <w:pPr>
              <w:jc w:val="right"/>
              <w:rPr>
                <w:color w:val="000000"/>
                <w:sz w:val="20"/>
                <w:szCs w:val="20"/>
              </w:rPr>
            </w:pPr>
            <w:r w:rsidRPr="00D0380B">
              <w:rPr>
                <w:color w:val="000000"/>
                <w:sz w:val="20"/>
                <w:szCs w:val="20"/>
              </w:rPr>
              <w:t>112.72%</w:t>
            </w:r>
          </w:p>
        </w:tc>
        <w:tc>
          <w:tcPr>
            <w:tcW w:w="612" w:type="pct"/>
            <w:tcBorders>
              <w:top w:val="nil"/>
              <w:left w:val="nil"/>
              <w:bottom w:val="nil"/>
              <w:right w:val="nil"/>
            </w:tcBorders>
            <w:shd w:val="clear" w:color="auto" w:fill="auto"/>
            <w:vAlign w:val="bottom"/>
            <w:hideMark/>
          </w:tcPr>
          <w:p w:rsidR="00CA2667" w:rsidRPr="00D0380B" w:rsidRDefault="00CA2667" w:rsidP="00CA2667">
            <w:pPr>
              <w:jc w:val="right"/>
              <w:rPr>
                <w:color w:val="000000"/>
                <w:sz w:val="20"/>
                <w:szCs w:val="20"/>
              </w:rPr>
            </w:pPr>
            <w:r w:rsidRPr="00D0380B">
              <w:rPr>
                <w:color w:val="000000"/>
                <w:sz w:val="20"/>
                <w:szCs w:val="20"/>
              </w:rPr>
              <w:t>-2.28%</w:t>
            </w:r>
          </w:p>
        </w:tc>
      </w:tr>
      <w:tr w:rsidR="00CA2667" w:rsidRPr="00D0380B" w:rsidTr="00542A54">
        <w:trPr>
          <w:trHeight w:val="300"/>
        </w:trPr>
        <w:tc>
          <w:tcPr>
            <w:tcW w:w="527" w:type="pct"/>
            <w:tcBorders>
              <w:top w:val="nil"/>
              <w:left w:val="single" w:sz="8" w:space="0" w:color="DDDDDD"/>
              <w:bottom w:val="single" w:sz="8" w:space="0" w:color="DDDDDD"/>
              <w:right w:val="single" w:sz="8" w:space="0" w:color="DDDDDD"/>
            </w:tcBorders>
            <w:shd w:val="clear" w:color="000000" w:fill="FFFFFF"/>
            <w:hideMark/>
          </w:tcPr>
          <w:p w:rsidR="00CA2667" w:rsidRPr="00D0380B" w:rsidRDefault="00CA2667" w:rsidP="00CA2667">
            <w:pPr>
              <w:jc w:val="right"/>
              <w:rPr>
                <w:color w:val="000000"/>
                <w:sz w:val="20"/>
                <w:szCs w:val="20"/>
              </w:rPr>
            </w:pPr>
            <w:r w:rsidRPr="00D0380B">
              <w:rPr>
                <w:color w:val="000000"/>
                <w:sz w:val="20"/>
                <w:szCs w:val="20"/>
              </w:rPr>
              <w:t>2016</w:t>
            </w:r>
          </w:p>
        </w:tc>
        <w:tc>
          <w:tcPr>
            <w:tcW w:w="613" w:type="pct"/>
            <w:tcBorders>
              <w:top w:val="nil"/>
              <w:left w:val="nil"/>
              <w:bottom w:val="single" w:sz="8" w:space="0" w:color="DDDDDD"/>
              <w:right w:val="single" w:sz="8" w:space="0" w:color="DDDDDD"/>
            </w:tcBorders>
            <w:shd w:val="clear" w:color="000000" w:fill="F9F9F9"/>
            <w:hideMark/>
          </w:tcPr>
          <w:p w:rsidR="00CA2667" w:rsidRPr="00D0380B" w:rsidRDefault="00CA2667" w:rsidP="00CA2667">
            <w:pPr>
              <w:jc w:val="right"/>
              <w:rPr>
                <w:color w:val="000000"/>
                <w:sz w:val="20"/>
                <w:szCs w:val="20"/>
              </w:rPr>
            </w:pPr>
            <w:r w:rsidRPr="00D0380B">
              <w:rPr>
                <w:color w:val="000000"/>
                <w:sz w:val="20"/>
                <w:szCs w:val="20"/>
              </w:rPr>
              <w:t>104.20%</w:t>
            </w:r>
          </w:p>
        </w:tc>
        <w:tc>
          <w:tcPr>
            <w:tcW w:w="719" w:type="pct"/>
            <w:tcBorders>
              <w:top w:val="nil"/>
              <w:left w:val="nil"/>
              <w:bottom w:val="single" w:sz="8" w:space="0" w:color="DDDDDD"/>
              <w:right w:val="single" w:sz="8" w:space="0" w:color="DDDDDD"/>
            </w:tcBorders>
            <w:shd w:val="clear" w:color="000000" w:fill="F9F9F9"/>
            <w:hideMark/>
          </w:tcPr>
          <w:p w:rsidR="00CA2667" w:rsidRPr="00D0380B" w:rsidRDefault="00CA2667" w:rsidP="00CA2667">
            <w:pPr>
              <w:jc w:val="right"/>
              <w:rPr>
                <w:color w:val="000000"/>
                <w:sz w:val="20"/>
                <w:szCs w:val="20"/>
              </w:rPr>
            </w:pPr>
            <w:r w:rsidRPr="00D0380B">
              <w:rPr>
                <w:color w:val="000000"/>
                <w:sz w:val="20"/>
                <w:szCs w:val="20"/>
              </w:rPr>
              <w:t>117.72%</w:t>
            </w:r>
          </w:p>
        </w:tc>
        <w:tc>
          <w:tcPr>
            <w:tcW w:w="929" w:type="pct"/>
            <w:tcBorders>
              <w:top w:val="nil"/>
              <w:left w:val="nil"/>
              <w:bottom w:val="single" w:sz="8" w:space="0" w:color="DDDDDD"/>
              <w:right w:val="single" w:sz="8" w:space="0" w:color="DDDDDD"/>
            </w:tcBorders>
            <w:shd w:val="clear" w:color="000000" w:fill="F9F9F9"/>
            <w:hideMark/>
          </w:tcPr>
          <w:p w:rsidR="00CA2667" w:rsidRPr="00D0380B" w:rsidRDefault="00CA2667" w:rsidP="00CA2667">
            <w:pPr>
              <w:jc w:val="right"/>
              <w:rPr>
                <w:color w:val="000000"/>
                <w:sz w:val="20"/>
                <w:szCs w:val="20"/>
              </w:rPr>
            </w:pPr>
            <w:r w:rsidRPr="00D0380B">
              <w:rPr>
                <w:color w:val="000000"/>
                <w:sz w:val="20"/>
                <w:szCs w:val="20"/>
              </w:rPr>
              <w:t>93.78%</w:t>
            </w:r>
          </w:p>
        </w:tc>
        <w:tc>
          <w:tcPr>
            <w:tcW w:w="935" w:type="pct"/>
            <w:tcBorders>
              <w:top w:val="nil"/>
              <w:left w:val="nil"/>
              <w:bottom w:val="single" w:sz="8" w:space="0" w:color="DDDDDD"/>
              <w:right w:val="single" w:sz="8" w:space="0" w:color="DDDDDD"/>
            </w:tcBorders>
            <w:shd w:val="clear" w:color="000000" w:fill="F9F9F9"/>
            <w:hideMark/>
          </w:tcPr>
          <w:p w:rsidR="00CA2667" w:rsidRPr="00D0380B" w:rsidRDefault="00CA2667" w:rsidP="00CA2667">
            <w:pPr>
              <w:jc w:val="right"/>
              <w:rPr>
                <w:color w:val="000000"/>
                <w:sz w:val="20"/>
                <w:szCs w:val="20"/>
              </w:rPr>
            </w:pPr>
            <w:r w:rsidRPr="00D0380B">
              <w:rPr>
                <w:color w:val="000000"/>
                <w:sz w:val="20"/>
                <w:szCs w:val="20"/>
              </w:rPr>
              <w:t>120.21%</w:t>
            </w:r>
          </w:p>
        </w:tc>
        <w:tc>
          <w:tcPr>
            <w:tcW w:w="665" w:type="pct"/>
            <w:tcBorders>
              <w:top w:val="nil"/>
              <w:left w:val="nil"/>
              <w:bottom w:val="nil"/>
              <w:right w:val="nil"/>
            </w:tcBorders>
            <w:shd w:val="clear" w:color="auto" w:fill="auto"/>
            <w:vAlign w:val="bottom"/>
            <w:hideMark/>
          </w:tcPr>
          <w:p w:rsidR="00CA2667" w:rsidRPr="00D0380B" w:rsidRDefault="00CA2667" w:rsidP="00CA2667">
            <w:pPr>
              <w:jc w:val="right"/>
              <w:rPr>
                <w:color w:val="000000"/>
                <w:sz w:val="20"/>
                <w:szCs w:val="20"/>
              </w:rPr>
            </w:pPr>
            <w:r w:rsidRPr="00D0380B">
              <w:rPr>
                <w:color w:val="000000"/>
                <w:sz w:val="20"/>
                <w:szCs w:val="20"/>
              </w:rPr>
              <w:t>108.98%</w:t>
            </w:r>
          </w:p>
        </w:tc>
        <w:tc>
          <w:tcPr>
            <w:tcW w:w="612" w:type="pct"/>
            <w:tcBorders>
              <w:top w:val="nil"/>
              <w:left w:val="nil"/>
              <w:bottom w:val="nil"/>
              <w:right w:val="nil"/>
            </w:tcBorders>
            <w:shd w:val="clear" w:color="auto" w:fill="auto"/>
            <w:vAlign w:val="bottom"/>
            <w:hideMark/>
          </w:tcPr>
          <w:p w:rsidR="00CA2667" w:rsidRPr="00D0380B" w:rsidRDefault="00CA2667" w:rsidP="00CA2667">
            <w:pPr>
              <w:jc w:val="right"/>
              <w:rPr>
                <w:color w:val="000000"/>
                <w:sz w:val="20"/>
                <w:szCs w:val="20"/>
              </w:rPr>
            </w:pPr>
            <w:r w:rsidRPr="00D0380B">
              <w:rPr>
                <w:color w:val="000000"/>
                <w:sz w:val="20"/>
                <w:szCs w:val="20"/>
              </w:rPr>
              <w:t>1.47%</w:t>
            </w:r>
          </w:p>
        </w:tc>
      </w:tr>
      <w:tr w:rsidR="00CA2667" w:rsidRPr="00D0380B" w:rsidTr="00542A54">
        <w:trPr>
          <w:trHeight w:val="300"/>
        </w:trPr>
        <w:tc>
          <w:tcPr>
            <w:tcW w:w="527" w:type="pct"/>
            <w:tcBorders>
              <w:top w:val="nil"/>
              <w:left w:val="single" w:sz="8" w:space="0" w:color="DDDDDD"/>
              <w:bottom w:val="single" w:sz="8" w:space="0" w:color="DDDDDD"/>
              <w:right w:val="single" w:sz="8" w:space="0" w:color="DDDDDD"/>
            </w:tcBorders>
            <w:shd w:val="clear" w:color="000000" w:fill="F9F9F9"/>
            <w:hideMark/>
          </w:tcPr>
          <w:p w:rsidR="00CA2667" w:rsidRPr="00D0380B" w:rsidRDefault="00CA2667" w:rsidP="00CA2667">
            <w:pPr>
              <w:jc w:val="right"/>
              <w:rPr>
                <w:color w:val="000000"/>
                <w:sz w:val="20"/>
                <w:szCs w:val="20"/>
              </w:rPr>
            </w:pPr>
            <w:r w:rsidRPr="00D0380B">
              <w:rPr>
                <w:color w:val="000000"/>
                <w:sz w:val="20"/>
                <w:szCs w:val="20"/>
              </w:rPr>
              <w:t>2015</w:t>
            </w:r>
          </w:p>
        </w:tc>
        <w:tc>
          <w:tcPr>
            <w:tcW w:w="613" w:type="pct"/>
            <w:tcBorders>
              <w:top w:val="nil"/>
              <w:left w:val="nil"/>
              <w:bottom w:val="single" w:sz="8" w:space="0" w:color="DDDDDD"/>
              <w:right w:val="single" w:sz="8" w:space="0" w:color="DDDDDD"/>
            </w:tcBorders>
            <w:shd w:val="clear" w:color="000000" w:fill="F9F9F9"/>
            <w:hideMark/>
          </w:tcPr>
          <w:p w:rsidR="00CA2667" w:rsidRPr="00D0380B" w:rsidRDefault="00CA2667" w:rsidP="00CA2667">
            <w:pPr>
              <w:jc w:val="right"/>
              <w:rPr>
                <w:color w:val="000000"/>
                <w:sz w:val="20"/>
                <w:szCs w:val="20"/>
              </w:rPr>
            </w:pPr>
            <w:r w:rsidRPr="00D0380B">
              <w:rPr>
                <w:color w:val="000000"/>
                <w:sz w:val="20"/>
                <w:szCs w:val="20"/>
              </w:rPr>
              <w:t>98.29%</w:t>
            </w:r>
          </w:p>
        </w:tc>
        <w:tc>
          <w:tcPr>
            <w:tcW w:w="719" w:type="pct"/>
            <w:tcBorders>
              <w:top w:val="nil"/>
              <w:left w:val="nil"/>
              <w:bottom w:val="single" w:sz="8" w:space="0" w:color="DDDDDD"/>
              <w:right w:val="single" w:sz="8" w:space="0" w:color="DDDDDD"/>
            </w:tcBorders>
            <w:shd w:val="clear" w:color="000000" w:fill="F9F9F9"/>
            <w:hideMark/>
          </w:tcPr>
          <w:p w:rsidR="00CA2667" w:rsidRPr="00D0380B" w:rsidRDefault="00CA2667" w:rsidP="00CA2667">
            <w:pPr>
              <w:jc w:val="right"/>
              <w:rPr>
                <w:color w:val="000000"/>
                <w:sz w:val="20"/>
                <w:szCs w:val="20"/>
              </w:rPr>
            </w:pPr>
            <w:r w:rsidRPr="00D0380B">
              <w:rPr>
                <w:color w:val="000000"/>
                <w:sz w:val="20"/>
                <w:szCs w:val="20"/>
              </w:rPr>
              <w:t>114.17%</w:t>
            </w:r>
          </w:p>
        </w:tc>
        <w:tc>
          <w:tcPr>
            <w:tcW w:w="929" w:type="pct"/>
            <w:tcBorders>
              <w:top w:val="nil"/>
              <w:left w:val="nil"/>
              <w:bottom w:val="single" w:sz="8" w:space="0" w:color="DDDDDD"/>
              <w:right w:val="single" w:sz="8" w:space="0" w:color="DDDDDD"/>
            </w:tcBorders>
            <w:shd w:val="clear" w:color="000000" w:fill="F9F9F9"/>
            <w:hideMark/>
          </w:tcPr>
          <w:p w:rsidR="00CA2667" w:rsidRPr="00D0380B" w:rsidRDefault="00CA2667" w:rsidP="00CA2667">
            <w:pPr>
              <w:jc w:val="right"/>
              <w:rPr>
                <w:color w:val="000000"/>
                <w:sz w:val="20"/>
                <w:szCs w:val="20"/>
              </w:rPr>
            </w:pPr>
            <w:r w:rsidRPr="00D0380B">
              <w:rPr>
                <w:color w:val="000000"/>
                <w:sz w:val="20"/>
                <w:szCs w:val="20"/>
              </w:rPr>
              <w:t>100.13%</w:t>
            </w:r>
          </w:p>
        </w:tc>
        <w:tc>
          <w:tcPr>
            <w:tcW w:w="935" w:type="pct"/>
            <w:tcBorders>
              <w:top w:val="nil"/>
              <w:left w:val="nil"/>
              <w:bottom w:val="single" w:sz="8" w:space="0" w:color="DDDDDD"/>
              <w:right w:val="single" w:sz="8" w:space="0" w:color="DDDDDD"/>
            </w:tcBorders>
            <w:shd w:val="clear" w:color="000000" w:fill="F9F9F9"/>
            <w:hideMark/>
          </w:tcPr>
          <w:p w:rsidR="00CA2667" w:rsidRPr="00D0380B" w:rsidRDefault="00CA2667" w:rsidP="00CA2667">
            <w:pPr>
              <w:jc w:val="right"/>
              <w:rPr>
                <w:color w:val="000000"/>
                <w:sz w:val="20"/>
                <w:szCs w:val="20"/>
              </w:rPr>
            </w:pPr>
            <w:r w:rsidRPr="00D0380B">
              <w:rPr>
                <w:color w:val="000000"/>
                <w:sz w:val="20"/>
                <w:szCs w:val="20"/>
              </w:rPr>
              <w:t>113.91%</w:t>
            </w:r>
          </w:p>
        </w:tc>
        <w:tc>
          <w:tcPr>
            <w:tcW w:w="665" w:type="pct"/>
            <w:tcBorders>
              <w:top w:val="nil"/>
              <w:left w:val="nil"/>
              <w:bottom w:val="nil"/>
              <w:right w:val="nil"/>
            </w:tcBorders>
            <w:shd w:val="clear" w:color="auto" w:fill="auto"/>
            <w:vAlign w:val="bottom"/>
            <w:hideMark/>
          </w:tcPr>
          <w:p w:rsidR="00CA2667" w:rsidRPr="00D0380B" w:rsidRDefault="00CA2667" w:rsidP="00CA2667">
            <w:pPr>
              <w:jc w:val="right"/>
              <w:rPr>
                <w:color w:val="000000"/>
                <w:sz w:val="20"/>
                <w:szCs w:val="20"/>
              </w:rPr>
            </w:pPr>
            <w:r w:rsidRPr="00D0380B">
              <w:rPr>
                <w:color w:val="000000"/>
                <w:sz w:val="20"/>
                <w:szCs w:val="20"/>
              </w:rPr>
              <w:t>106.63%</w:t>
            </w:r>
          </w:p>
        </w:tc>
        <w:tc>
          <w:tcPr>
            <w:tcW w:w="612" w:type="pct"/>
            <w:tcBorders>
              <w:top w:val="nil"/>
              <w:left w:val="nil"/>
              <w:bottom w:val="nil"/>
              <w:right w:val="nil"/>
            </w:tcBorders>
            <w:shd w:val="clear" w:color="auto" w:fill="auto"/>
            <w:vAlign w:val="bottom"/>
            <w:hideMark/>
          </w:tcPr>
          <w:p w:rsidR="00CA2667" w:rsidRPr="00D0380B" w:rsidRDefault="00CA2667" w:rsidP="00CA2667">
            <w:pPr>
              <w:jc w:val="right"/>
              <w:rPr>
                <w:color w:val="000000"/>
                <w:sz w:val="20"/>
                <w:szCs w:val="20"/>
              </w:rPr>
            </w:pPr>
            <w:r w:rsidRPr="00D0380B">
              <w:rPr>
                <w:color w:val="000000"/>
                <w:sz w:val="20"/>
                <w:szCs w:val="20"/>
              </w:rPr>
              <w:t>3.82%</w:t>
            </w:r>
          </w:p>
        </w:tc>
      </w:tr>
      <w:tr w:rsidR="00CA2667" w:rsidRPr="00D0380B" w:rsidTr="00542A54">
        <w:trPr>
          <w:trHeight w:val="300"/>
        </w:trPr>
        <w:tc>
          <w:tcPr>
            <w:tcW w:w="527" w:type="pct"/>
            <w:tcBorders>
              <w:top w:val="nil"/>
              <w:left w:val="single" w:sz="8" w:space="0" w:color="DDDDDD"/>
              <w:bottom w:val="single" w:sz="8" w:space="0" w:color="DDDDDD"/>
              <w:right w:val="single" w:sz="8" w:space="0" w:color="DDDDDD"/>
            </w:tcBorders>
            <w:shd w:val="clear" w:color="000000" w:fill="FFFFFF"/>
            <w:hideMark/>
          </w:tcPr>
          <w:p w:rsidR="00CA2667" w:rsidRPr="00D0380B" w:rsidRDefault="00CA2667" w:rsidP="00CA2667">
            <w:pPr>
              <w:jc w:val="right"/>
              <w:rPr>
                <w:color w:val="000000"/>
                <w:sz w:val="20"/>
                <w:szCs w:val="20"/>
              </w:rPr>
            </w:pPr>
            <w:r w:rsidRPr="00D0380B">
              <w:rPr>
                <w:color w:val="000000"/>
                <w:sz w:val="20"/>
                <w:szCs w:val="20"/>
              </w:rPr>
              <w:t>2014</w:t>
            </w:r>
          </w:p>
        </w:tc>
        <w:tc>
          <w:tcPr>
            <w:tcW w:w="613" w:type="pct"/>
            <w:tcBorders>
              <w:top w:val="nil"/>
              <w:left w:val="nil"/>
              <w:bottom w:val="single" w:sz="8" w:space="0" w:color="DDDDDD"/>
              <w:right w:val="single" w:sz="8" w:space="0" w:color="DDDDDD"/>
            </w:tcBorders>
            <w:shd w:val="clear" w:color="000000" w:fill="F9F9F9"/>
            <w:hideMark/>
          </w:tcPr>
          <w:p w:rsidR="00CA2667" w:rsidRPr="00D0380B" w:rsidRDefault="00CA2667" w:rsidP="00CA2667">
            <w:pPr>
              <w:jc w:val="right"/>
              <w:rPr>
                <w:color w:val="000000"/>
                <w:sz w:val="20"/>
                <w:szCs w:val="20"/>
              </w:rPr>
            </w:pPr>
            <w:r w:rsidRPr="00D0380B">
              <w:rPr>
                <w:color w:val="000000"/>
                <w:sz w:val="20"/>
                <w:szCs w:val="20"/>
              </w:rPr>
              <w:t>143.37%</w:t>
            </w:r>
          </w:p>
        </w:tc>
        <w:tc>
          <w:tcPr>
            <w:tcW w:w="719" w:type="pct"/>
            <w:tcBorders>
              <w:top w:val="nil"/>
              <w:left w:val="nil"/>
              <w:bottom w:val="single" w:sz="8" w:space="0" w:color="DDDDDD"/>
              <w:right w:val="single" w:sz="8" w:space="0" w:color="DDDDDD"/>
            </w:tcBorders>
            <w:shd w:val="clear" w:color="000000" w:fill="F9F9F9"/>
            <w:hideMark/>
          </w:tcPr>
          <w:p w:rsidR="00CA2667" w:rsidRPr="00D0380B" w:rsidRDefault="00CA2667" w:rsidP="00CA2667">
            <w:pPr>
              <w:jc w:val="right"/>
              <w:rPr>
                <w:color w:val="000000"/>
                <w:sz w:val="20"/>
                <w:szCs w:val="20"/>
              </w:rPr>
            </w:pPr>
            <w:r w:rsidRPr="00D0380B">
              <w:rPr>
                <w:color w:val="000000"/>
                <w:sz w:val="20"/>
                <w:szCs w:val="20"/>
              </w:rPr>
              <w:t>100.96%</w:t>
            </w:r>
          </w:p>
        </w:tc>
        <w:tc>
          <w:tcPr>
            <w:tcW w:w="929" w:type="pct"/>
            <w:tcBorders>
              <w:top w:val="nil"/>
              <w:left w:val="nil"/>
              <w:bottom w:val="single" w:sz="8" w:space="0" w:color="DDDDDD"/>
              <w:right w:val="single" w:sz="8" w:space="0" w:color="DDDDDD"/>
            </w:tcBorders>
            <w:shd w:val="clear" w:color="000000" w:fill="F9F9F9"/>
            <w:hideMark/>
          </w:tcPr>
          <w:p w:rsidR="00CA2667" w:rsidRPr="00D0380B" w:rsidRDefault="00CA2667" w:rsidP="00CA2667">
            <w:pPr>
              <w:jc w:val="right"/>
              <w:rPr>
                <w:color w:val="000000"/>
                <w:sz w:val="20"/>
                <w:szCs w:val="20"/>
              </w:rPr>
            </w:pPr>
            <w:r w:rsidRPr="00D0380B">
              <w:rPr>
                <w:color w:val="000000"/>
                <w:sz w:val="20"/>
                <w:szCs w:val="20"/>
              </w:rPr>
              <w:t>99.29%</w:t>
            </w:r>
          </w:p>
        </w:tc>
        <w:tc>
          <w:tcPr>
            <w:tcW w:w="935" w:type="pct"/>
            <w:tcBorders>
              <w:top w:val="nil"/>
              <w:left w:val="nil"/>
              <w:bottom w:val="single" w:sz="8" w:space="0" w:color="DDDDDD"/>
              <w:right w:val="single" w:sz="8" w:space="0" w:color="DDDDDD"/>
            </w:tcBorders>
            <w:shd w:val="clear" w:color="000000" w:fill="F9F9F9"/>
            <w:hideMark/>
          </w:tcPr>
          <w:p w:rsidR="00CA2667" w:rsidRPr="00D0380B" w:rsidRDefault="00CA2667" w:rsidP="00CA2667">
            <w:pPr>
              <w:jc w:val="right"/>
              <w:rPr>
                <w:color w:val="000000"/>
                <w:sz w:val="20"/>
                <w:szCs w:val="20"/>
              </w:rPr>
            </w:pPr>
            <w:r w:rsidRPr="00D0380B">
              <w:rPr>
                <w:color w:val="000000"/>
                <w:sz w:val="20"/>
                <w:szCs w:val="20"/>
              </w:rPr>
              <w:t>110.23%</w:t>
            </w:r>
          </w:p>
        </w:tc>
        <w:tc>
          <w:tcPr>
            <w:tcW w:w="665" w:type="pct"/>
            <w:tcBorders>
              <w:top w:val="nil"/>
              <w:left w:val="nil"/>
              <w:bottom w:val="nil"/>
              <w:right w:val="nil"/>
            </w:tcBorders>
            <w:shd w:val="clear" w:color="auto" w:fill="auto"/>
            <w:vAlign w:val="bottom"/>
            <w:hideMark/>
          </w:tcPr>
          <w:p w:rsidR="00CA2667" w:rsidRPr="00D0380B" w:rsidRDefault="00CA2667" w:rsidP="00CA2667">
            <w:pPr>
              <w:jc w:val="right"/>
              <w:rPr>
                <w:color w:val="000000"/>
                <w:sz w:val="20"/>
                <w:szCs w:val="20"/>
              </w:rPr>
            </w:pPr>
            <w:r w:rsidRPr="00D0380B">
              <w:rPr>
                <w:color w:val="000000"/>
                <w:sz w:val="20"/>
                <w:szCs w:val="20"/>
              </w:rPr>
              <w:t>113.46%</w:t>
            </w:r>
          </w:p>
        </w:tc>
        <w:tc>
          <w:tcPr>
            <w:tcW w:w="612" w:type="pct"/>
            <w:tcBorders>
              <w:top w:val="nil"/>
              <w:left w:val="nil"/>
              <w:bottom w:val="nil"/>
              <w:right w:val="nil"/>
            </w:tcBorders>
            <w:shd w:val="clear" w:color="auto" w:fill="auto"/>
            <w:vAlign w:val="bottom"/>
            <w:hideMark/>
          </w:tcPr>
          <w:p w:rsidR="00CA2667" w:rsidRPr="00D0380B" w:rsidRDefault="00CA2667" w:rsidP="00CA2667">
            <w:pPr>
              <w:jc w:val="right"/>
              <w:rPr>
                <w:color w:val="000000"/>
                <w:sz w:val="20"/>
                <w:szCs w:val="20"/>
              </w:rPr>
            </w:pPr>
            <w:r w:rsidRPr="00D0380B">
              <w:rPr>
                <w:color w:val="000000"/>
                <w:sz w:val="20"/>
                <w:szCs w:val="20"/>
              </w:rPr>
              <w:t>-3.02%</w:t>
            </w:r>
          </w:p>
        </w:tc>
      </w:tr>
      <w:tr w:rsidR="00CA2667" w:rsidRPr="00D0380B" w:rsidTr="00542A54">
        <w:trPr>
          <w:trHeight w:val="288"/>
        </w:trPr>
        <w:tc>
          <w:tcPr>
            <w:tcW w:w="527" w:type="pct"/>
            <w:tcBorders>
              <w:top w:val="nil"/>
              <w:left w:val="nil"/>
              <w:bottom w:val="nil"/>
              <w:right w:val="nil"/>
            </w:tcBorders>
            <w:shd w:val="clear" w:color="auto" w:fill="auto"/>
            <w:vAlign w:val="bottom"/>
            <w:hideMark/>
          </w:tcPr>
          <w:p w:rsidR="00CA2667" w:rsidRPr="00D0380B" w:rsidRDefault="00CA2667" w:rsidP="00CA2667">
            <w:pPr>
              <w:rPr>
                <w:color w:val="000000"/>
                <w:sz w:val="20"/>
                <w:szCs w:val="20"/>
              </w:rPr>
            </w:pPr>
            <w:r w:rsidRPr="00D0380B">
              <w:rPr>
                <w:color w:val="000000"/>
                <w:sz w:val="20"/>
                <w:szCs w:val="20"/>
              </w:rPr>
              <w:t>Average</w:t>
            </w:r>
          </w:p>
        </w:tc>
        <w:tc>
          <w:tcPr>
            <w:tcW w:w="613" w:type="pct"/>
            <w:tcBorders>
              <w:top w:val="nil"/>
              <w:left w:val="nil"/>
              <w:bottom w:val="nil"/>
              <w:right w:val="nil"/>
            </w:tcBorders>
            <w:shd w:val="clear" w:color="auto" w:fill="auto"/>
            <w:vAlign w:val="bottom"/>
            <w:hideMark/>
          </w:tcPr>
          <w:p w:rsidR="00CA2667" w:rsidRPr="00D0380B" w:rsidRDefault="00CA2667" w:rsidP="00CA2667">
            <w:pPr>
              <w:jc w:val="right"/>
              <w:rPr>
                <w:color w:val="000000"/>
                <w:sz w:val="20"/>
                <w:szCs w:val="20"/>
              </w:rPr>
            </w:pPr>
            <w:r w:rsidRPr="00D0380B">
              <w:rPr>
                <w:color w:val="000000"/>
                <w:sz w:val="20"/>
                <w:szCs w:val="20"/>
              </w:rPr>
              <w:t>114.61%</w:t>
            </w:r>
          </w:p>
        </w:tc>
        <w:tc>
          <w:tcPr>
            <w:tcW w:w="719" w:type="pct"/>
            <w:tcBorders>
              <w:top w:val="nil"/>
              <w:left w:val="nil"/>
              <w:bottom w:val="nil"/>
              <w:right w:val="nil"/>
            </w:tcBorders>
            <w:shd w:val="clear" w:color="auto" w:fill="auto"/>
            <w:vAlign w:val="bottom"/>
            <w:hideMark/>
          </w:tcPr>
          <w:p w:rsidR="00CA2667" w:rsidRPr="00D0380B" w:rsidRDefault="00CA2667" w:rsidP="00CA2667">
            <w:pPr>
              <w:jc w:val="right"/>
              <w:rPr>
                <w:color w:val="000000"/>
                <w:sz w:val="20"/>
                <w:szCs w:val="20"/>
              </w:rPr>
            </w:pPr>
            <w:r w:rsidRPr="00D0380B">
              <w:rPr>
                <w:color w:val="000000"/>
                <w:sz w:val="20"/>
                <w:szCs w:val="20"/>
              </w:rPr>
              <w:t>108.83%</w:t>
            </w:r>
          </w:p>
        </w:tc>
        <w:tc>
          <w:tcPr>
            <w:tcW w:w="929" w:type="pct"/>
            <w:tcBorders>
              <w:top w:val="nil"/>
              <w:left w:val="nil"/>
              <w:bottom w:val="nil"/>
              <w:right w:val="nil"/>
            </w:tcBorders>
            <w:shd w:val="clear" w:color="auto" w:fill="auto"/>
            <w:vAlign w:val="bottom"/>
            <w:hideMark/>
          </w:tcPr>
          <w:p w:rsidR="00CA2667" w:rsidRPr="00D0380B" w:rsidRDefault="00CA2667" w:rsidP="00CA2667">
            <w:pPr>
              <w:jc w:val="right"/>
              <w:rPr>
                <w:color w:val="000000"/>
                <w:sz w:val="20"/>
                <w:szCs w:val="20"/>
              </w:rPr>
            </w:pPr>
            <w:r w:rsidRPr="00D0380B">
              <w:rPr>
                <w:color w:val="000000"/>
                <w:sz w:val="20"/>
                <w:szCs w:val="20"/>
              </w:rPr>
              <w:t>102.98%</w:t>
            </w:r>
          </w:p>
        </w:tc>
        <w:tc>
          <w:tcPr>
            <w:tcW w:w="935" w:type="pct"/>
            <w:tcBorders>
              <w:top w:val="nil"/>
              <w:left w:val="nil"/>
              <w:bottom w:val="nil"/>
              <w:right w:val="nil"/>
            </w:tcBorders>
            <w:shd w:val="clear" w:color="auto" w:fill="auto"/>
            <w:vAlign w:val="bottom"/>
            <w:hideMark/>
          </w:tcPr>
          <w:p w:rsidR="00CA2667" w:rsidRPr="00D0380B" w:rsidRDefault="00CA2667" w:rsidP="00CA2667">
            <w:pPr>
              <w:jc w:val="right"/>
              <w:rPr>
                <w:color w:val="000000"/>
                <w:sz w:val="20"/>
                <w:szCs w:val="20"/>
              </w:rPr>
            </w:pPr>
            <w:r w:rsidRPr="00D0380B">
              <w:rPr>
                <w:color w:val="000000"/>
                <w:sz w:val="20"/>
                <w:szCs w:val="20"/>
              </w:rPr>
              <w:t>115.37%</w:t>
            </w:r>
          </w:p>
        </w:tc>
        <w:tc>
          <w:tcPr>
            <w:tcW w:w="665" w:type="pct"/>
            <w:tcBorders>
              <w:top w:val="nil"/>
              <w:left w:val="nil"/>
              <w:bottom w:val="nil"/>
              <w:right w:val="nil"/>
            </w:tcBorders>
            <w:shd w:val="clear" w:color="000000" w:fill="FFFF00"/>
            <w:vAlign w:val="bottom"/>
            <w:hideMark/>
          </w:tcPr>
          <w:p w:rsidR="00CA2667" w:rsidRPr="00D0380B" w:rsidRDefault="00CA2667" w:rsidP="00CA2667">
            <w:pPr>
              <w:jc w:val="right"/>
              <w:rPr>
                <w:color w:val="000000"/>
                <w:sz w:val="20"/>
                <w:szCs w:val="20"/>
              </w:rPr>
            </w:pPr>
            <w:r w:rsidRPr="00D0380B">
              <w:rPr>
                <w:color w:val="000000"/>
                <w:sz w:val="20"/>
                <w:szCs w:val="20"/>
              </w:rPr>
              <w:t>110.45%</w:t>
            </w:r>
          </w:p>
        </w:tc>
        <w:tc>
          <w:tcPr>
            <w:tcW w:w="612" w:type="pct"/>
            <w:tcBorders>
              <w:top w:val="nil"/>
              <w:left w:val="nil"/>
              <w:bottom w:val="nil"/>
              <w:right w:val="nil"/>
            </w:tcBorders>
            <w:shd w:val="clear" w:color="auto" w:fill="auto"/>
            <w:vAlign w:val="bottom"/>
            <w:hideMark/>
          </w:tcPr>
          <w:p w:rsidR="00CA2667" w:rsidRPr="00D0380B" w:rsidRDefault="00CA2667" w:rsidP="00CA2667">
            <w:pPr>
              <w:jc w:val="right"/>
              <w:rPr>
                <w:color w:val="000000"/>
                <w:sz w:val="20"/>
                <w:szCs w:val="20"/>
              </w:rPr>
            </w:pPr>
          </w:p>
        </w:tc>
      </w:tr>
      <w:tr w:rsidR="00CA2667" w:rsidRPr="00D0380B" w:rsidTr="00542A54">
        <w:trPr>
          <w:trHeight w:val="576"/>
        </w:trPr>
        <w:tc>
          <w:tcPr>
            <w:tcW w:w="527" w:type="pct"/>
            <w:tcBorders>
              <w:top w:val="nil"/>
              <w:left w:val="nil"/>
              <w:bottom w:val="nil"/>
              <w:right w:val="nil"/>
            </w:tcBorders>
            <w:shd w:val="clear" w:color="auto" w:fill="auto"/>
            <w:vAlign w:val="bottom"/>
            <w:hideMark/>
          </w:tcPr>
          <w:p w:rsidR="00CA2667" w:rsidRPr="00D0380B" w:rsidRDefault="00CA2667" w:rsidP="00CA2667">
            <w:pPr>
              <w:rPr>
                <w:color w:val="000000"/>
                <w:sz w:val="20"/>
                <w:szCs w:val="20"/>
              </w:rPr>
            </w:pPr>
            <w:r w:rsidRPr="00D0380B">
              <w:rPr>
                <w:color w:val="000000"/>
                <w:sz w:val="20"/>
                <w:szCs w:val="20"/>
              </w:rPr>
              <w:t>Standard deviation</w:t>
            </w:r>
          </w:p>
        </w:tc>
        <w:tc>
          <w:tcPr>
            <w:tcW w:w="613" w:type="pct"/>
            <w:tcBorders>
              <w:top w:val="nil"/>
              <w:left w:val="nil"/>
              <w:bottom w:val="nil"/>
              <w:right w:val="nil"/>
            </w:tcBorders>
            <w:shd w:val="clear" w:color="auto" w:fill="auto"/>
            <w:vAlign w:val="bottom"/>
            <w:hideMark/>
          </w:tcPr>
          <w:p w:rsidR="00CA2667" w:rsidRPr="00D0380B" w:rsidRDefault="00CA2667" w:rsidP="00CA2667">
            <w:pPr>
              <w:jc w:val="right"/>
              <w:rPr>
                <w:color w:val="000000"/>
                <w:sz w:val="20"/>
                <w:szCs w:val="20"/>
              </w:rPr>
            </w:pPr>
            <w:r w:rsidRPr="00D0380B">
              <w:rPr>
                <w:color w:val="000000"/>
                <w:sz w:val="20"/>
                <w:szCs w:val="20"/>
              </w:rPr>
              <w:t>-4.16%</w:t>
            </w:r>
          </w:p>
        </w:tc>
        <w:tc>
          <w:tcPr>
            <w:tcW w:w="719" w:type="pct"/>
            <w:tcBorders>
              <w:top w:val="nil"/>
              <w:left w:val="nil"/>
              <w:bottom w:val="nil"/>
              <w:right w:val="nil"/>
            </w:tcBorders>
            <w:shd w:val="clear" w:color="auto" w:fill="auto"/>
            <w:vAlign w:val="bottom"/>
            <w:hideMark/>
          </w:tcPr>
          <w:p w:rsidR="00CA2667" w:rsidRPr="00D0380B" w:rsidRDefault="00CA2667" w:rsidP="00CA2667">
            <w:pPr>
              <w:jc w:val="right"/>
              <w:rPr>
                <w:color w:val="000000"/>
                <w:sz w:val="20"/>
                <w:szCs w:val="20"/>
              </w:rPr>
            </w:pPr>
            <w:r w:rsidRPr="00D0380B">
              <w:rPr>
                <w:color w:val="000000"/>
                <w:sz w:val="20"/>
                <w:szCs w:val="20"/>
              </w:rPr>
              <w:t>1.62%</w:t>
            </w:r>
          </w:p>
        </w:tc>
        <w:tc>
          <w:tcPr>
            <w:tcW w:w="929" w:type="pct"/>
            <w:tcBorders>
              <w:top w:val="nil"/>
              <w:left w:val="nil"/>
              <w:bottom w:val="nil"/>
              <w:right w:val="nil"/>
            </w:tcBorders>
            <w:shd w:val="clear" w:color="auto" w:fill="auto"/>
            <w:vAlign w:val="bottom"/>
            <w:hideMark/>
          </w:tcPr>
          <w:p w:rsidR="00CA2667" w:rsidRPr="00D0380B" w:rsidRDefault="00CA2667" w:rsidP="00CA2667">
            <w:pPr>
              <w:jc w:val="right"/>
              <w:rPr>
                <w:color w:val="000000"/>
                <w:sz w:val="20"/>
                <w:szCs w:val="20"/>
              </w:rPr>
            </w:pPr>
            <w:r w:rsidRPr="00D0380B">
              <w:rPr>
                <w:color w:val="000000"/>
                <w:sz w:val="20"/>
                <w:szCs w:val="20"/>
              </w:rPr>
              <w:t>7.46%</w:t>
            </w:r>
          </w:p>
        </w:tc>
        <w:tc>
          <w:tcPr>
            <w:tcW w:w="935" w:type="pct"/>
            <w:tcBorders>
              <w:top w:val="nil"/>
              <w:left w:val="nil"/>
              <w:bottom w:val="nil"/>
              <w:right w:val="nil"/>
            </w:tcBorders>
            <w:shd w:val="clear" w:color="auto" w:fill="auto"/>
            <w:vAlign w:val="bottom"/>
            <w:hideMark/>
          </w:tcPr>
          <w:p w:rsidR="00CA2667" w:rsidRPr="00D0380B" w:rsidRDefault="00CA2667" w:rsidP="00CA2667">
            <w:pPr>
              <w:jc w:val="right"/>
              <w:rPr>
                <w:color w:val="000000"/>
                <w:sz w:val="20"/>
                <w:szCs w:val="20"/>
              </w:rPr>
            </w:pPr>
            <w:r w:rsidRPr="00D0380B">
              <w:rPr>
                <w:color w:val="000000"/>
                <w:sz w:val="20"/>
                <w:szCs w:val="20"/>
              </w:rPr>
              <w:t>-4.92%</w:t>
            </w:r>
          </w:p>
        </w:tc>
        <w:tc>
          <w:tcPr>
            <w:tcW w:w="665" w:type="pct"/>
            <w:tcBorders>
              <w:top w:val="nil"/>
              <w:left w:val="nil"/>
              <w:bottom w:val="nil"/>
              <w:right w:val="nil"/>
            </w:tcBorders>
            <w:shd w:val="clear" w:color="auto" w:fill="auto"/>
            <w:vAlign w:val="bottom"/>
            <w:hideMark/>
          </w:tcPr>
          <w:p w:rsidR="00CA2667" w:rsidRPr="00D0380B" w:rsidRDefault="00CA2667" w:rsidP="00CA2667">
            <w:pPr>
              <w:jc w:val="right"/>
              <w:rPr>
                <w:color w:val="000000"/>
                <w:sz w:val="20"/>
                <w:szCs w:val="20"/>
              </w:rPr>
            </w:pPr>
          </w:p>
        </w:tc>
        <w:tc>
          <w:tcPr>
            <w:tcW w:w="612" w:type="pct"/>
            <w:tcBorders>
              <w:top w:val="nil"/>
              <w:left w:val="nil"/>
              <w:bottom w:val="nil"/>
              <w:right w:val="nil"/>
            </w:tcBorders>
            <w:shd w:val="clear" w:color="auto" w:fill="auto"/>
            <w:vAlign w:val="bottom"/>
            <w:hideMark/>
          </w:tcPr>
          <w:p w:rsidR="00CA2667" w:rsidRPr="00D0380B" w:rsidRDefault="00CA2667" w:rsidP="00CA2667">
            <w:pPr>
              <w:rPr>
                <w:sz w:val="20"/>
                <w:szCs w:val="20"/>
              </w:rPr>
            </w:pPr>
          </w:p>
        </w:tc>
      </w:tr>
    </w:tbl>
    <w:p w:rsidR="00FB4E12" w:rsidRDefault="00FB4E12" w:rsidP="00DB594D">
      <w:pPr>
        <w:ind w:firstLine="720"/>
        <w:jc w:val="both"/>
        <w:rPr>
          <w:lang w:val="ro-RO"/>
        </w:rPr>
      </w:pPr>
    </w:p>
    <w:p w:rsidR="00ED740E" w:rsidRDefault="00241A2F" w:rsidP="00ED740E">
      <w:pPr>
        <w:jc w:val="both"/>
        <w:rPr>
          <w:lang w:val="ro-RO"/>
        </w:rPr>
      </w:pPr>
      <w:r>
        <w:rPr>
          <w:lang w:val="ro-RO"/>
        </w:rPr>
        <w:tab/>
        <w:t>Similar, au fost calculate mediile mobile privind evoluția indicatorilor de profitabilitate. La nivelul profitului brut se observă rate negative de creștere pe majoritatea sectoarelor de activitate</w:t>
      </w:r>
      <w:r w:rsidR="0030054E">
        <w:rPr>
          <w:lang w:val="ro-RO"/>
        </w:rPr>
        <w:t xml:space="preserve"> (75%)</w:t>
      </w:r>
      <w:r>
        <w:rPr>
          <w:lang w:val="ro-RO"/>
        </w:rPr>
        <w:t xml:space="preserve"> în anul 20</w:t>
      </w:r>
      <w:r w:rsidR="009C692C">
        <w:rPr>
          <w:lang w:val="ro-RO"/>
        </w:rPr>
        <w:t>17 comparativ cu anul 2016. În I</w:t>
      </w:r>
      <w:r>
        <w:rPr>
          <w:lang w:val="ro-RO"/>
        </w:rPr>
        <w:t>ndustria prelucrătoare trendul este de trecere, dinamica creșterii fiind semnificativă (24,08% față de anul precedent). În dinamică</w:t>
      </w:r>
      <w:r w:rsidR="0030054E">
        <w:rPr>
          <w:lang w:val="ro-RO"/>
        </w:rPr>
        <w:t>,</w:t>
      </w:r>
      <w:r>
        <w:rPr>
          <w:lang w:val="ro-RO"/>
        </w:rPr>
        <w:t xml:space="preserve"> pe total</w:t>
      </w:r>
      <w:r w:rsidR="009C692C">
        <w:rPr>
          <w:lang w:val="ro-RO"/>
        </w:rPr>
        <w:t xml:space="preserve"> perioadă, I</w:t>
      </w:r>
      <w:r>
        <w:rPr>
          <w:lang w:val="ro-RO"/>
        </w:rPr>
        <w:t>nd</w:t>
      </w:r>
      <w:r w:rsidR="00024DA7">
        <w:rPr>
          <w:lang w:val="ro-RO"/>
        </w:rPr>
        <w:t>ustri</w:t>
      </w:r>
      <w:r w:rsidR="009C692C">
        <w:rPr>
          <w:lang w:val="ro-RO"/>
        </w:rPr>
        <w:t>a</w:t>
      </w:r>
      <w:r>
        <w:rPr>
          <w:lang w:val="ro-RO"/>
        </w:rPr>
        <w:t xml:space="preserve"> prelucrătoare ocupă cel mai bun loc din prisma creșterilor de profitabilitate anuale cu 17,48% pe an. Situația cea mai nefa</w:t>
      </w:r>
      <w:r w:rsidR="009C692C">
        <w:rPr>
          <w:lang w:val="ro-RO"/>
        </w:rPr>
        <w:t>vorabilă este cea din sectorul C</w:t>
      </w:r>
      <w:r>
        <w:rPr>
          <w:lang w:val="ro-RO"/>
        </w:rPr>
        <w:t xml:space="preserve">omerțului cu ridicata și amănuntul unde </w:t>
      </w:r>
      <w:proofErr w:type="spellStart"/>
      <w:r>
        <w:rPr>
          <w:lang w:val="ro-RO"/>
        </w:rPr>
        <w:t>dinamicile</w:t>
      </w:r>
      <w:proofErr w:type="spellEnd"/>
      <w:r>
        <w:rPr>
          <w:lang w:val="ro-RO"/>
        </w:rPr>
        <w:t xml:space="preserve"> de profitabilitate nu reușesc să atingă o rată de creștere mai mare de -16% pe an.</w:t>
      </w:r>
      <w:r w:rsidR="00ED740E">
        <w:rPr>
          <w:lang w:val="ro-RO"/>
        </w:rPr>
        <w:t xml:space="preserve"> Din punct de vedere al profitului net, se observă că componenta fiscală aplatizează curbele de evoluție cu cel puțin 10% pe fiecare sector de activitate prin politica fiscală de impozitare a profitului relativ constantă în perioada analizată. Astfel, față de media de creștere a profitului brut de 3,76% pe an pentru toate sectoarele de activitate analizate (top 15 întreprinderi din județul Suceava), ratele de creștere a profitului net (după impozitare) reflectă o acumulare de 4,58% în dinamică pe an pe toate sectoarele de activitate. </w:t>
      </w:r>
    </w:p>
    <w:p w:rsidR="00ED740E" w:rsidRDefault="00ED740E" w:rsidP="00241A2F">
      <w:pPr>
        <w:jc w:val="both"/>
        <w:rPr>
          <w:lang w:val="ro-RO"/>
        </w:rPr>
      </w:pPr>
    </w:p>
    <w:p w:rsidR="00ED740E" w:rsidRDefault="00ED740E" w:rsidP="003049C1">
      <w:pPr>
        <w:jc w:val="center"/>
        <w:rPr>
          <w:lang w:val="ro-RO"/>
        </w:rPr>
      </w:pPr>
      <w:r w:rsidRPr="00D0380B">
        <w:rPr>
          <w:b/>
          <w:lang w:val="ro-RO"/>
        </w:rPr>
        <w:t>Tabel</w:t>
      </w:r>
      <w:r w:rsidR="003049C1" w:rsidRPr="00D0380B">
        <w:rPr>
          <w:b/>
          <w:lang w:val="ro-RO"/>
        </w:rPr>
        <w:t xml:space="preserve"> nr.</w:t>
      </w:r>
      <w:r w:rsidRPr="00D0380B">
        <w:rPr>
          <w:b/>
          <w:lang w:val="ro-RO"/>
        </w:rPr>
        <w:t xml:space="preserve"> 2</w:t>
      </w:r>
      <w:r>
        <w:rPr>
          <w:lang w:val="ro-RO"/>
        </w:rPr>
        <w:t xml:space="preserve"> – Tabloul de evoluție al profitabilității pe sectoare de activitate pentru top 15 întreprinderi din județul Suceava</w:t>
      </w:r>
    </w:p>
    <w:p w:rsidR="003049C1" w:rsidRDefault="003049C1" w:rsidP="00ED740E">
      <w:pPr>
        <w:ind w:firstLine="720"/>
        <w:jc w:val="both"/>
        <w:rPr>
          <w:lang w:val="ro-RO"/>
        </w:rPr>
      </w:pPr>
    </w:p>
    <w:tbl>
      <w:tblPr>
        <w:tblW w:w="5000" w:type="pct"/>
        <w:tblLook w:val="04A0" w:firstRow="1" w:lastRow="0" w:firstColumn="1" w:lastColumn="0" w:noHBand="0" w:noVBand="1"/>
      </w:tblPr>
      <w:tblGrid>
        <w:gridCol w:w="1911"/>
        <w:gridCol w:w="1295"/>
        <w:gridCol w:w="1439"/>
        <w:gridCol w:w="1561"/>
        <w:gridCol w:w="1553"/>
        <w:gridCol w:w="1005"/>
        <w:gridCol w:w="1090"/>
      </w:tblGrid>
      <w:tr w:rsidR="00ED740E" w:rsidRPr="00D0380B" w:rsidTr="00D0380B">
        <w:trPr>
          <w:trHeight w:val="876"/>
        </w:trPr>
        <w:tc>
          <w:tcPr>
            <w:tcW w:w="970" w:type="pct"/>
            <w:tcBorders>
              <w:top w:val="single" w:sz="8" w:space="0" w:color="DDDDDD"/>
              <w:left w:val="single" w:sz="8" w:space="0" w:color="DDDDDD"/>
              <w:bottom w:val="single" w:sz="8" w:space="0" w:color="DDDDDD"/>
              <w:right w:val="single" w:sz="8" w:space="0" w:color="DDDDDD"/>
            </w:tcBorders>
            <w:shd w:val="clear" w:color="000000" w:fill="FFF2CC"/>
            <w:vAlign w:val="center"/>
            <w:hideMark/>
          </w:tcPr>
          <w:p w:rsidR="00241A2F" w:rsidRPr="00D0380B" w:rsidRDefault="00241A2F" w:rsidP="00D0380B">
            <w:pPr>
              <w:jc w:val="center"/>
              <w:rPr>
                <w:b/>
                <w:bCs/>
                <w:color w:val="000000"/>
                <w:sz w:val="20"/>
                <w:szCs w:val="20"/>
              </w:rPr>
            </w:pPr>
            <w:r w:rsidRPr="00D0380B">
              <w:rPr>
                <w:b/>
                <w:bCs/>
                <w:color w:val="000000"/>
                <w:sz w:val="20"/>
                <w:szCs w:val="20"/>
              </w:rPr>
              <w:t>Profitability before tax</w:t>
            </w:r>
          </w:p>
        </w:tc>
        <w:tc>
          <w:tcPr>
            <w:tcW w:w="657" w:type="pct"/>
            <w:tcBorders>
              <w:top w:val="nil"/>
              <w:left w:val="nil"/>
              <w:bottom w:val="nil"/>
              <w:right w:val="nil"/>
            </w:tcBorders>
            <w:shd w:val="clear" w:color="auto" w:fill="auto"/>
            <w:vAlign w:val="bottom"/>
            <w:hideMark/>
          </w:tcPr>
          <w:p w:rsidR="00241A2F" w:rsidRPr="00D0380B" w:rsidRDefault="00241A2F" w:rsidP="00D0380B">
            <w:pPr>
              <w:jc w:val="center"/>
              <w:rPr>
                <w:b/>
                <w:bCs/>
                <w:color w:val="000000"/>
                <w:sz w:val="20"/>
                <w:szCs w:val="20"/>
              </w:rPr>
            </w:pPr>
            <w:r w:rsidRPr="00D0380B">
              <w:rPr>
                <w:b/>
                <w:bCs/>
                <w:color w:val="000000"/>
                <w:sz w:val="20"/>
                <w:szCs w:val="20"/>
              </w:rPr>
              <w:t>B - The Processing Industry</w:t>
            </w:r>
          </w:p>
        </w:tc>
        <w:tc>
          <w:tcPr>
            <w:tcW w:w="730" w:type="pct"/>
            <w:tcBorders>
              <w:top w:val="nil"/>
              <w:left w:val="nil"/>
              <w:bottom w:val="nil"/>
              <w:right w:val="nil"/>
            </w:tcBorders>
            <w:shd w:val="clear" w:color="auto" w:fill="auto"/>
            <w:vAlign w:val="bottom"/>
            <w:hideMark/>
          </w:tcPr>
          <w:p w:rsidR="00241A2F" w:rsidRPr="00D0380B" w:rsidRDefault="00241A2F" w:rsidP="00D0380B">
            <w:pPr>
              <w:jc w:val="center"/>
              <w:rPr>
                <w:b/>
                <w:bCs/>
                <w:color w:val="000000"/>
                <w:sz w:val="20"/>
                <w:szCs w:val="20"/>
              </w:rPr>
            </w:pPr>
            <w:r w:rsidRPr="00D0380B">
              <w:rPr>
                <w:b/>
                <w:bCs/>
                <w:color w:val="000000"/>
                <w:sz w:val="20"/>
                <w:szCs w:val="20"/>
              </w:rPr>
              <w:t>F - Constructions</w:t>
            </w:r>
          </w:p>
        </w:tc>
        <w:tc>
          <w:tcPr>
            <w:tcW w:w="792" w:type="pct"/>
            <w:tcBorders>
              <w:top w:val="nil"/>
              <w:left w:val="nil"/>
              <w:bottom w:val="nil"/>
              <w:right w:val="nil"/>
            </w:tcBorders>
            <w:shd w:val="clear" w:color="auto" w:fill="auto"/>
            <w:vAlign w:val="bottom"/>
            <w:hideMark/>
          </w:tcPr>
          <w:p w:rsidR="00241A2F" w:rsidRPr="00D0380B" w:rsidRDefault="00241A2F" w:rsidP="00D0380B">
            <w:pPr>
              <w:jc w:val="center"/>
              <w:rPr>
                <w:b/>
                <w:bCs/>
                <w:color w:val="000000"/>
                <w:sz w:val="20"/>
                <w:szCs w:val="20"/>
              </w:rPr>
            </w:pPr>
            <w:r w:rsidRPr="00D0380B">
              <w:rPr>
                <w:b/>
                <w:bCs/>
                <w:color w:val="000000"/>
                <w:sz w:val="20"/>
                <w:szCs w:val="20"/>
              </w:rPr>
              <w:t>G - Wholesale and retail trade</w:t>
            </w:r>
          </w:p>
        </w:tc>
        <w:tc>
          <w:tcPr>
            <w:tcW w:w="788" w:type="pct"/>
            <w:tcBorders>
              <w:top w:val="nil"/>
              <w:left w:val="nil"/>
              <w:bottom w:val="nil"/>
              <w:right w:val="nil"/>
            </w:tcBorders>
            <w:shd w:val="clear" w:color="auto" w:fill="auto"/>
            <w:vAlign w:val="bottom"/>
            <w:hideMark/>
          </w:tcPr>
          <w:p w:rsidR="00241A2F" w:rsidRPr="00D0380B" w:rsidRDefault="00241A2F" w:rsidP="00D0380B">
            <w:pPr>
              <w:jc w:val="center"/>
              <w:rPr>
                <w:b/>
                <w:bCs/>
                <w:color w:val="000000"/>
                <w:sz w:val="20"/>
                <w:szCs w:val="20"/>
              </w:rPr>
            </w:pPr>
            <w:r w:rsidRPr="00D0380B">
              <w:rPr>
                <w:b/>
                <w:bCs/>
                <w:color w:val="000000"/>
                <w:sz w:val="20"/>
                <w:szCs w:val="20"/>
              </w:rPr>
              <w:t>H - Transport and storage</w:t>
            </w:r>
          </w:p>
        </w:tc>
        <w:tc>
          <w:tcPr>
            <w:tcW w:w="510" w:type="pct"/>
            <w:tcBorders>
              <w:top w:val="single" w:sz="8" w:space="0" w:color="DDDDDD"/>
              <w:left w:val="single" w:sz="8" w:space="0" w:color="DDDDDD"/>
              <w:bottom w:val="single" w:sz="8" w:space="0" w:color="DDDDDD"/>
              <w:right w:val="single" w:sz="8" w:space="0" w:color="DDDDDD"/>
            </w:tcBorders>
            <w:shd w:val="clear" w:color="000000" w:fill="FFFFFF"/>
            <w:vAlign w:val="center"/>
            <w:hideMark/>
          </w:tcPr>
          <w:p w:rsidR="00241A2F" w:rsidRPr="00D0380B" w:rsidRDefault="00241A2F" w:rsidP="00D0380B">
            <w:pPr>
              <w:jc w:val="center"/>
              <w:rPr>
                <w:b/>
                <w:bCs/>
                <w:color w:val="000000"/>
                <w:sz w:val="20"/>
                <w:szCs w:val="20"/>
              </w:rPr>
            </w:pPr>
            <w:r w:rsidRPr="00D0380B">
              <w:rPr>
                <w:b/>
                <w:bCs/>
                <w:color w:val="000000"/>
                <w:sz w:val="20"/>
                <w:szCs w:val="20"/>
              </w:rPr>
              <w:t>Average</w:t>
            </w:r>
          </w:p>
        </w:tc>
        <w:tc>
          <w:tcPr>
            <w:tcW w:w="554" w:type="pct"/>
            <w:tcBorders>
              <w:top w:val="single" w:sz="8" w:space="0" w:color="DDDDDD"/>
              <w:left w:val="nil"/>
              <w:bottom w:val="single" w:sz="8" w:space="0" w:color="DDDDDD"/>
              <w:right w:val="single" w:sz="8" w:space="0" w:color="DDDDDD"/>
            </w:tcBorders>
            <w:shd w:val="clear" w:color="000000" w:fill="FFFFFF"/>
            <w:vAlign w:val="center"/>
            <w:hideMark/>
          </w:tcPr>
          <w:p w:rsidR="00241A2F" w:rsidRPr="00D0380B" w:rsidRDefault="00241A2F" w:rsidP="00D0380B">
            <w:pPr>
              <w:jc w:val="center"/>
              <w:rPr>
                <w:b/>
                <w:bCs/>
                <w:color w:val="000000"/>
                <w:sz w:val="20"/>
                <w:szCs w:val="20"/>
              </w:rPr>
            </w:pPr>
            <w:r w:rsidRPr="00D0380B">
              <w:rPr>
                <w:b/>
                <w:bCs/>
                <w:color w:val="000000"/>
                <w:sz w:val="20"/>
                <w:szCs w:val="20"/>
              </w:rPr>
              <w:t>Standard deviation</w:t>
            </w:r>
          </w:p>
        </w:tc>
      </w:tr>
      <w:tr w:rsidR="00241A2F" w:rsidRPr="00D0380B" w:rsidTr="00D0380B">
        <w:trPr>
          <w:trHeight w:val="300"/>
        </w:trPr>
        <w:tc>
          <w:tcPr>
            <w:tcW w:w="970" w:type="pct"/>
            <w:tcBorders>
              <w:top w:val="nil"/>
              <w:left w:val="single" w:sz="8" w:space="0" w:color="DDDDDD"/>
              <w:bottom w:val="single" w:sz="8" w:space="0" w:color="DDDDDD"/>
              <w:right w:val="single" w:sz="8" w:space="0" w:color="DDDDDD"/>
            </w:tcBorders>
            <w:shd w:val="clear" w:color="000000" w:fill="F9F9F9"/>
            <w:hideMark/>
          </w:tcPr>
          <w:p w:rsidR="00241A2F" w:rsidRPr="00D0380B" w:rsidRDefault="00241A2F" w:rsidP="00241A2F">
            <w:pPr>
              <w:jc w:val="right"/>
              <w:rPr>
                <w:color w:val="000000"/>
                <w:sz w:val="20"/>
                <w:szCs w:val="20"/>
              </w:rPr>
            </w:pPr>
            <w:r w:rsidRPr="00D0380B">
              <w:rPr>
                <w:color w:val="000000"/>
                <w:sz w:val="20"/>
                <w:szCs w:val="20"/>
              </w:rPr>
              <w:t>2017</w:t>
            </w:r>
          </w:p>
        </w:tc>
        <w:tc>
          <w:tcPr>
            <w:tcW w:w="657" w:type="pct"/>
            <w:tcBorders>
              <w:top w:val="single" w:sz="8" w:space="0" w:color="DDDDDD"/>
              <w:left w:val="nil"/>
              <w:bottom w:val="single" w:sz="8" w:space="0" w:color="DDDDDD"/>
              <w:right w:val="single" w:sz="8" w:space="0" w:color="DDDDDD"/>
            </w:tcBorders>
            <w:shd w:val="clear" w:color="000000" w:fill="F9F9F9"/>
            <w:hideMark/>
          </w:tcPr>
          <w:p w:rsidR="00241A2F" w:rsidRPr="00D0380B" w:rsidRDefault="00241A2F" w:rsidP="00241A2F">
            <w:pPr>
              <w:jc w:val="right"/>
              <w:rPr>
                <w:color w:val="000000"/>
                <w:sz w:val="20"/>
                <w:szCs w:val="20"/>
              </w:rPr>
            </w:pPr>
            <w:r w:rsidRPr="00D0380B">
              <w:rPr>
                <w:color w:val="000000"/>
                <w:sz w:val="20"/>
                <w:szCs w:val="20"/>
              </w:rPr>
              <w:t>124.08%</w:t>
            </w:r>
          </w:p>
        </w:tc>
        <w:tc>
          <w:tcPr>
            <w:tcW w:w="730" w:type="pct"/>
            <w:tcBorders>
              <w:top w:val="single" w:sz="8" w:space="0" w:color="DDDDDD"/>
              <w:left w:val="nil"/>
              <w:bottom w:val="single" w:sz="8" w:space="0" w:color="DDDDDD"/>
              <w:right w:val="single" w:sz="8" w:space="0" w:color="DDDDDD"/>
            </w:tcBorders>
            <w:shd w:val="clear" w:color="000000" w:fill="F9F9F9"/>
            <w:hideMark/>
          </w:tcPr>
          <w:p w:rsidR="00241A2F" w:rsidRPr="00D0380B" w:rsidRDefault="00241A2F" w:rsidP="00241A2F">
            <w:pPr>
              <w:jc w:val="right"/>
              <w:rPr>
                <w:color w:val="000000"/>
                <w:sz w:val="20"/>
                <w:szCs w:val="20"/>
              </w:rPr>
            </w:pPr>
            <w:r w:rsidRPr="00D0380B">
              <w:rPr>
                <w:color w:val="000000"/>
                <w:sz w:val="20"/>
                <w:szCs w:val="20"/>
              </w:rPr>
              <w:t>92.48%</w:t>
            </w:r>
          </w:p>
        </w:tc>
        <w:tc>
          <w:tcPr>
            <w:tcW w:w="792" w:type="pct"/>
            <w:tcBorders>
              <w:top w:val="single" w:sz="8" w:space="0" w:color="DDDDDD"/>
              <w:left w:val="nil"/>
              <w:bottom w:val="single" w:sz="8" w:space="0" w:color="DDDDDD"/>
              <w:right w:val="single" w:sz="8" w:space="0" w:color="DDDDDD"/>
            </w:tcBorders>
            <w:shd w:val="clear" w:color="000000" w:fill="F9F9F9"/>
            <w:hideMark/>
          </w:tcPr>
          <w:p w:rsidR="00241A2F" w:rsidRPr="00D0380B" w:rsidRDefault="00241A2F" w:rsidP="00241A2F">
            <w:pPr>
              <w:jc w:val="right"/>
              <w:rPr>
                <w:color w:val="000000"/>
                <w:sz w:val="20"/>
                <w:szCs w:val="20"/>
              </w:rPr>
            </w:pPr>
            <w:r w:rsidRPr="00D0380B">
              <w:rPr>
                <w:color w:val="000000"/>
                <w:sz w:val="20"/>
                <w:szCs w:val="20"/>
              </w:rPr>
              <w:t>42.02%</w:t>
            </w:r>
          </w:p>
        </w:tc>
        <w:tc>
          <w:tcPr>
            <w:tcW w:w="788" w:type="pct"/>
            <w:tcBorders>
              <w:top w:val="single" w:sz="8" w:space="0" w:color="DDDDDD"/>
              <w:left w:val="nil"/>
              <w:bottom w:val="single" w:sz="8" w:space="0" w:color="DDDDDD"/>
              <w:right w:val="single" w:sz="8" w:space="0" w:color="DDDDDD"/>
            </w:tcBorders>
            <w:shd w:val="clear" w:color="000000" w:fill="F9F9F9"/>
            <w:hideMark/>
          </w:tcPr>
          <w:p w:rsidR="00241A2F" w:rsidRPr="00D0380B" w:rsidRDefault="00241A2F" w:rsidP="00241A2F">
            <w:pPr>
              <w:jc w:val="right"/>
              <w:rPr>
                <w:color w:val="000000"/>
                <w:sz w:val="20"/>
                <w:szCs w:val="20"/>
              </w:rPr>
            </w:pPr>
            <w:r w:rsidRPr="00D0380B">
              <w:rPr>
                <w:color w:val="000000"/>
                <w:sz w:val="20"/>
                <w:szCs w:val="20"/>
              </w:rPr>
              <w:t>85.30%</w:t>
            </w:r>
          </w:p>
        </w:tc>
        <w:tc>
          <w:tcPr>
            <w:tcW w:w="510" w:type="pct"/>
            <w:tcBorders>
              <w:top w:val="nil"/>
              <w:left w:val="nil"/>
              <w:bottom w:val="nil"/>
              <w:right w:val="nil"/>
            </w:tcBorders>
            <w:shd w:val="clear" w:color="auto" w:fill="auto"/>
            <w:vAlign w:val="bottom"/>
            <w:hideMark/>
          </w:tcPr>
          <w:p w:rsidR="00241A2F" w:rsidRPr="00D0380B" w:rsidRDefault="00241A2F" w:rsidP="00241A2F">
            <w:pPr>
              <w:jc w:val="right"/>
              <w:rPr>
                <w:color w:val="000000"/>
                <w:sz w:val="20"/>
                <w:szCs w:val="20"/>
              </w:rPr>
            </w:pPr>
            <w:r w:rsidRPr="00D0380B">
              <w:rPr>
                <w:color w:val="000000"/>
                <w:sz w:val="20"/>
                <w:szCs w:val="20"/>
              </w:rPr>
              <w:t>85.97%</w:t>
            </w:r>
          </w:p>
        </w:tc>
        <w:tc>
          <w:tcPr>
            <w:tcW w:w="554" w:type="pct"/>
            <w:tcBorders>
              <w:top w:val="nil"/>
              <w:left w:val="nil"/>
              <w:bottom w:val="nil"/>
              <w:right w:val="nil"/>
            </w:tcBorders>
            <w:shd w:val="clear" w:color="auto" w:fill="auto"/>
            <w:vAlign w:val="bottom"/>
            <w:hideMark/>
          </w:tcPr>
          <w:p w:rsidR="00241A2F" w:rsidRPr="00D0380B" w:rsidRDefault="00241A2F" w:rsidP="00241A2F">
            <w:pPr>
              <w:jc w:val="right"/>
              <w:rPr>
                <w:color w:val="000000"/>
                <w:sz w:val="20"/>
                <w:szCs w:val="20"/>
              </w:rPr>
            </w:pPr>
            <w:r w:rsidRPr="00D0380B">
              <w:rPr>
                <w:color w:val="000000"/>
                <w:sz w:val="20"/>
                <w:szCs w:val="20"/>
              </w:rPr>
              <w:t>24.48%</w:t>
            </w:r>
          </w:p>
        </w:tc>
      </w:tr>
      <w:tr w:rsidR="00241A2F" w:rsidRPr="00D0380B" w:rsidTr="00D0380B">
        <w:trPr>
          <w:trHeight w:val="300"/>
        </w:trPr>
        <w:tc>
          <w:tcPr>
            <w:tcW w:w="970" w:type="pct"/>
            <w:tcBorders>
              <w:top w:val="nil"/>
              <w:left w:val="single" w:sz="8" w:space="0" w:color="DDDDDD"/>
              <w:bottom w:val="single" w:sz="8" w:space="0" w:color="DDDDDD"/>
              <w:right w:val="single" w:sz="8" w:space="0" w:color="DDDDDD"/>
            </w:tcBorders>
            <w:shd w:val="clear" w:color="000000" w:fill="FFFFFF"/>
            <w:hideMark/>
          </w:tcPr>
          <w:p w:rsidR="00241A2F" w:rsidRPr="00D0380B" w:rsidRDefault="00241A2F" w:rsidP="00241A2F">
            <w:pPr>
              <w:jc w:val="right"/>
              <w:rPr>
                <w:color w:val="000000"/>
                <w:sz w:val="20"/>
                <w:szCs w:val="20"/>
              </w:rPr>
            </w:pPr>
            <w:r w:rsidRPr="00D0380B">
              <w:rPr>
                <w:color w:val="000000"/>
                <w:sz w:val="20"/>
                <w:szCs w:val="20"/>
              </w:rPr>
              <w:t>2016</w:t>
            </w:r>
          </w:p>
        </w:tc>
        <w:tc>
          <w:tcPr>
            <w:tcW w:w="657" w:type="pct"/>
            <w:tcBorders>
              <w:top w:val="nil"/>
              <w:left w:val="nil"/>
              <w:bottom w:val="single" w:sz="8" w:space="0" w:color="DDDDDD"/>
              <w:right w:val="single" w:sz="8" w:space="0" w:color="DDDDDD"/>
            </w:tcBorders>
            <w:shd w:val="clear" w:color="000000" w:fill="F9F9F9"/>
            <w:hideMark/>
          </w:tcPr>
          <w:p w:rsidR="00241A2F" w:rsidRPr="00D0380B" w:rsidRDefault="00241A2F" w:rsidP="00241A2F">
            <w:pPr>
              <w:jc w:val="right"/>
              <w:rPr>
                <w:color w:val="000000"/>
                <w:sz w:val="20"/>
                <w:szCs w:val="20"/>
              </w:rPr>
            </w:pPr>
            <w:r w:rsidRPr="00D0380B">
              <w:rPr>
                <w:color w:val="000000"/>
                <w:sz w:val="20"/>
                <w:szCs w:val="20"/>
              </w:rPr>
              <w:t>104.20%</w:t>
            </w:r>
          </w:p>
        </w:tc>
        <w:tc>
          <w:tcPr>
            <w:tcW w:w="730" w:type="pct"/>
            <w:tcBorders>
              <w:top w:val="nil"/>
              <w:left w:val="nil"/>
              <w:bottom w:val="single" w:sz="8" w:space="0" w:color="DDDDDD"/>
              <w:right w:val="single" w:sz="8" w:space="0" w:color="DDDDDD"/>
            </w:tcBorders>
            <w:shd w:val="clear" w:color="000000" w:fill="F9F9F9"/>
            <w:hideMark/>
          </w:tcPr>
          <w:p w:rsidR="00241A2F" w:rsidRPr="00D0380B" w:rsidRDefault="00241A2F" w:rsidP="00241A2F">
            <w:pPr>
              <w:jc w:val="right"/>
              <w:rPr>
                <w:color w:val="000000"/>
                <w:sz w:val="20"/>
                <w:szCs w:val="20"/>
              </w:rPr>
            </w:pPr>
            <w:r w:rsidRPr="00D0380B">
              <w:rPr>
                <w:color w:val="000000"/>
                <w:sz w:val="20"/>
                <w:szCs w:val="20"/>
              </w:rPr>
              <w:t>117.72%</w:t>
            </w:r>
          </w:p>
        </w:tc>
        <w:tc>
          <w:tcPr>
            <w:tcW w:w="792" w:type="pct"/>
            <w:tcBorders>
              <w:top w:val="nil"/>
              <w:left w:val="nil"/>
              <w:bottom w:val="single" w:sz="8" w:space="0" w:color="DDDDDD"/>
              <w:right w:val="single" w:sz="8" w:space="0" w:color="DDDDDD"/>
            </w:tcBorders>
            <w:shd w:val="clear" w:color="000000" w:fill="F9F9F9"/>
            <w:hideMark/>
          </w:tcPr>
          <w:p w:rsidR="00241A2F" w:rsidRPr="00D0380B" w:rsidRDefault="00241A2F" w:rsidP="00241A2F">
            <w:pPr>
              <w:jc w:val="right"/>
              <w:rPr>
                <w:color w:val="000000"/>
                <w:sz w:val="20"/>
                <w:szCs w:val="20"/>
              </w:rPr>
            </w:pPr>
            <w:r w:rsidRPr="00D0380B">
              <w:rPr>
                <w:color w:val="000000"/>
                <w:sz w:val="20"/>
                <w:szCs w:val="20"/>
              </w:rPr>
              <w:t>93.78%</w:t>
            </w:r>
          </w:p>
        </w:tc>
        <w:tc>
          <w:tcPr>
            <w:tcW w:w="788" w:type="pct"/>
            <w:tcBorders>
              <w:top w:val="nil"/>
              <w:left w:val="nil"/>
              <w:bottom w:val="single" w:sz="8" w:space="0" w:color="DDDDDD"/>
              <w:right w:val="single" w:sz="8" w:space="0" w:color="DDDDDD"/>
            </w:tcBorders>
            <w:shd w:val="clear" w:color="000000" w:fill="F9F9F9"/>
            <w:hideMark/>
          </w:tcPr>
          <w:p w:rsidR="00241A2F" w:rsidRPr="00D0380B" w:rsidRDefault="00241A2F" w:rsidP="00241A2F">
            <w:pPr>
              <w:jc w:val="right"/>
              <w:rPr>
                <w:color w:val="000000"/>
                <w:sz w:val="20"/>
                <w:szCs w:val="20"/>
              </w:rPr>
            </w:pPr>
            <w:r w:rsidRPr="00D0380B">
              <w:rPr>
                <w:color w:val="000000"/>
                <w:sz w:val="20"/>
                <w:szCs w:val="20"/>
              </w:rPr>
              <w:t>120.21%</w:t>
            </w:r>
          </w:p>
        </w:tc>
        <w:tc>
          <w:tcPr>
            <w:tcW w:w="510" w:type="pct"/>
            <w:tcBorders>
              <w:top w:val="nil"/>
              <w:left w:val="nil"/>
              <w:bottom w:val="nil"/>
              <w:right w:val="nil"/>
            </w:tcBorders>
            <w:shd w:val="clear" w:color="auto" w:fill="auto"/>
            <w:vAlign w:val="bottom"/>
            <w:hideMark/>
          </w:tcPr>
          <w:p w:rsidR="00241A2F" w:rsidRPr="00D0380B" w:rsidRDefault="00241A2F" w:rsidP="00241A2F">
            <w:pPr>
              <w:jc w:val="right"/>
              <w:rPr>
                <w:color w:val="000000"/>
                <w:sz w:val="20"/>
                <w:szCs w:val="20"/>
              </w:rPr>
            </w:pPr>
            <w:r w:rsidRPr="00D0380B">
              <w:rPr>
                <w:color w:val="000000"/>
                <w:sz w:val="20"/>
                <w:szCs w:val="20"/>
              </w:rPr>
              <w:t>108.98%</w:t>
            </w:r>
          </w:p>
        </w:tc>
        <w:tc>
          <w:tcPr>
            <w:tcW w:w="554" w:type="pct"/>
            <w:tcBorders>
              <w:top w:val="nil"/>
              <w:left w:val="nil"/>
              <w:bottom w:val="nil"/>
              <w:right w:val="nil"/>
            </w:tcBorders>
            <w:shd w:val="clear" w:color="auto" w:fill="auto"/>
            <w:vAlign w:val="bottom"/>
            <w:hideMark/>
          </w:tcPr>
          <w:p w:rsidR="00241A2F" w:rsidRPr="00D0380B" w:rsidRDefault="00241A2F" w:rsidP="00241A2F">
            <w:pPr>
              <w:jc w:val="right"/>
              <w:rPr>
                <w:color w:val="000000"/>
                <w:sz w:val="20"/>
                <w:szCs w:val="20"/>
              </w:rPr>
            </w:pPr>
            <w:r w:rsidRPr="00D0380B">
              <w:rPr>
                <w:color w:val="000000"/>
                <w:sz w:val="20"/>
                <w:szCs w:val="20"/>
              </w:rPr>
              <w:t>1.47%</w:t>
            </w:r>
          </w:p>
        </w:tc>
      </w:tr>
      <w:tr w:rsidR="00241A2F" w:rsidRPr="00D0380B" w:rsidTr="00D0380B">
        <w:trPr>
          <w:trHeight w:val="300"/>
        </w:trPr>
        <w:tc>
          <w:tcPr>
            <w:tcW w:w="970" w:type="pct"/>
            <w:tcBorders>
              <w:top w:val="nil"/>
              <w:left w:val="single" w:sz="8" w:space="0" w:color="DDDDDD"/>
              <w:bottom w:val="single" w:sz="8" w:space="0" w:color="DDDDDD"/>
              <w:right w:val="single" w:sz="8" w:space="0" w:color="DDDDDD"/>
            </w:tcBorders>
            <w:shd w:val="clear" w:color="000000" w:fill="F9F9F9"/>
            <w:hideMark/>
          </w:tcPr>
          <w:p w:rsidR="00241A2F" w:rsidRPr="00D0380B" w:rsidRDefault="00241A2F" w:rsidP="00241A2F">
            <w:pPr>
              <w:jc w:val="right"/>
              <w:rPr>
                <w:color w:val="000000"/>
                <w:sz w:val="20"/>
                <w:szCs w:val="20"/>
              </w:rPr>
            </w:pPr>
            <w:r w:rsidRPr="00D0380B">
              <w:rPr>
                <w:color w:val="000000"/>
                <w:sz w:val="20"/>
                <w:szCs w:val="20"/>
              </w:rPr>
              <w:t>2015</w:t>
            </w:r>
          </w:p>
        </w:tc>
        <w:tc>
          <w:tcPr>
            <w:tcW w:w="657" w:type="pct"/>
            <w:tcBorders>
              <w:top w:val="nil"/>
              <w:left w:val="nil"/>
              <w:bottom w:val="single" w:sz="8" w:space="0" w:color="DDDDDD"/>
              <w:right w:val="single" w:sz="8" w:space="0" w:color="DDDDDD"/>
            </w:tcBorders>
            <w:shd w:val="clear" w:color="000000" w:fill="F9F9F9"/>
            <w:hideMark/>
          </w:tcPr>
          <w:p w:rsidR="00241A2F" w:rsidRPr="00D0380B" w:rsidRDefault="00241A2F" w:rsidP="00241A2F">
            <w:pPr>
              <w:jc w:val="right"/>
              <w:rPr>
                <w:color w:val="000000"/>
                <w:sz w:val="20"/>
                <w:szCs w:val="20"/>
              </w:rPr>
            </w:pPr>
            <w:r w:rsidRPr="00D0380B">
              <w:rPr>
                <w:color w:val="000000"/>
                <w:sz w:val="20"/>
                <w:szCs w:val="20"/>
              </w:rPr>
              <w:t>98.29%</w:t>
            </w:r>
          </w:p>
        </w:tc>
        <w:tc>
          <w:tcPr>
            <w:tcW w:w="730" w:type="pct"/>
            <w:tcBorders>
              <w:top w:val="nil"/>
              <w:left w:val="nil"/>
              <w:bottom w:val="single" w:sz="8" w:space="0" w:color="DDDDDD"/>
              <w:right w:val="single" w:sz="8" w:space="0" w:color="DDDDDD"/>
            </w:tcBorders>
            <w:shd w:val="clear" w:color="000000" w:fill="F9F9F9"/>
            <w:hideMark/>
          </w:tcPr>
          <w:p w:rsidR="00241A2F" w:rsidRPr="00D0380B" w:rsidRDefault="00241A2F" w:rsidP="00241A2F">
            <w:pPr>
              <w:jc w:val="right"/>
              <w:rPr>
                <w:color w:val="000000"/>
                <w:sz w:val="20"/>
                <w:szCs w:val="20"/>
              </w:rPr>
            </w:pPr>
            <w:r w:rsidRPr="00D0380B">
              <w:rPr>
                <w:color w:val="000000"/>
                <w:sz w:val="20"/>
                <w:szCs w:val="20"/>
              </w:rPr>
              <w:t>114.17%</w:t>
            </w:r>
          </w:p>
        </w:tc>
        <w:tc>
          <w:tcPr>
            <w:tcW w:w="792" w:type="pct"/>
            <w:tcBorders>
              <w:top w:val="nil"/>
              <w:left w:val="nil"/>
              <w:bottom w:val="single" w:sz="8" w:space="0" w:color="DDDDDD"/>
              <w:right w:val="single" w:sz="8" w:space="0" w:color="DDDDDD"/>
            </w:tcBorders>
            <w:shd w:val="clear" w:color="000000" w:fill="F9F9F9"/>
            <w:hideMark/>
          </w:tcPr>
          <w:p w:rsidR="00241A2F" w:rsidRPr="00D0380B" w:rsidRDefault="00241A2F" w:rsidP="00241A2F">
            <w:pPr>
              <w:jc w:val="right"/>
              <w:rPr>
                <w:color w:val="000000"/>
                <w:sz w:val="20"/>
                <w:szCs w:val="20"/>
              </w:rPr>
            </w:pPr>
            <w:r w:rsidRPr="00D0380B">
              <w:rPr>
                <w:color w:val="000000"/>
                <w:sz w:val="20"/>
                <w:szCs w:val="20"/>
              </w:rPr>
              <w:t>100.13%</w:t>
            </w:r>
          </w:p>
        </w:tc>
        <w:tc>
          <w:tcPr>
            <w:tcW w:w="788" w:type="pct"/>
            <w:tcBorders>
              <w:top w:val="nil"/>
              <w:left w:val="nil"/>
              <w:bottom w:val="single" w:sz="8" w:space="0" w:color="DDDDDD"/>
              <w:right w:val="single" w:sz="8" w:space="0" w:color="DDDDDD"/>
            </w:tcBorders>
            <w:shd w:val="clear" w:color="000000" w:fill="F9F9F9"/>
            <w:hideMark/>
          </w:tcPr>
          <w:p w:rsidR="00241A2F" w:rsidRPr="00D0380B" w:rsidRDefault="00241A2F" w:rsidP="00241A2F">
            <w:pPr>
              <w:jc w:val="right"/>
              <w:rPr>
                <w:color w:val="000000"/>
                <w:sz w:val="20"/>
                <w:szCs w:val="20"/>
              </w:rPr>
            </w:pPr>
            <w:r w:rsidRPr="00D0380B">
              <w:rPr>
                <w:color w:val="000000"/>
                <w:sz w:val="20"/>
                <w:szCs w:val="20"/>
              </w:rPr>
              <w:t>113.91%</w:t>
            </w:r>
          </w:p>
        </w:tc>
        <w:tc>
          <w:tcPr>
            <w:tcW w:w="510" w:type="pct"/>
            <w:tcBorders>
              <w:top w:val="nil"/>
              <w:left w:val="nil"/>
              <w:bottom w:val="nil"/>
              <w:right w:val="nil"/>
            </w:tcBorders>
            <w:shd w:val="clear" w:color="auto" w:fill="auto"/>
            <w:vAlign w:val="bottom"/>
            <w:hideMark/>
          </w:tcPr>
          <w:p w:rsidR="00241A2F" w:rsidRPr="00D0380B" w:rsidRDefault="00241A2F" w:rsidP="00241A2F">
            <w:pPr>
              <w:jc w:val="right"/>
              <w:rPr>
                <w:color w:val="000000"/>
                <w:sz w:val="20"/>
                <w:szCs w:val="20"/>
              </w:rPr>
            </w:pPr>
            <w:r w:rsidRPr="00D0380B">
              <w:rPr>
                <w:color w:val="000000"/>
                <w:sz w:val="20"/>
                <w:szCs w:val="20"/>
              </w:rPr>
              <w:t>106.63%</w:t>
            </w:r>
          </w:p>
        </w:tc>
        <w:tc>
          <w:tcPr>
            <w:tcW w:w="554" w:type="pct"/>
            <w:tcBorders>
              <w:top w:val="nil"/>
              <w:left w:val="nil"/>
              <w:bottom w:val="nil"/>
              <w:right w:val="nil"/>
            </w:tcBorders>
            <w:shd w:val="clear" w:color="auto" w:fill="auto"/>
            <w:vAlign w:val="bottom"/>
            <w:hideMark/>
          </w:tcPr>
          <w:p w:rsidR="00241A2F" w:rsidRPr="00D0380B" w:rsidRDefault="00241A2F" w:rsidP="00241A2F">
            <w:pPr>
              <w:jc w:val="right"/>
              <w:rPr>
                <w:color w:val="000000"/>
                <w:sz w:val="20"/>
                <w:szCs w:val="20"/>
              </w:rPr>
            </w:pPr>
            <w:r w:rsidRPr="00D0380B">
              <w:rPr>
                <w:color w:val="000000"/>
                <w:sz w:val="20"/>
                <w:szCs w:val="20"/>
              </w:rPr>
              <w:t>3.82%</w:t>
            </w:r>
          </w:p>
        </w:tc>
      </w:tr>
      <w:tr w:rsidR="00241A2F" w:rsidRPr="00D0380B" w:rsidTr="00D0380B">
        <w:trPr>
          <w:trHeight w:val="300"/>
        </w:trPr>
        <w:tc>
          <w:tcPr>
            <w:tcW w:w="970" w:type="pct"/>
            <w:tcBorders>
              <w:top w:val="nil"/>
              <w:left w:val="single" w:sz="8" w:space="0" w:color="DDDDDD"/>
              <w:bottom w:val="single" w:sz="8" w:space="0" w:color="DDDDDD"/>
              <w:right w:val="single" w:sz="8" w:space="0" w:color="DDDDDD"/>
            </w:tcBorders>
            <w:shd w:val="clear" w:color="000000" w:fill="FFFFFF"/>
            <w:hideMark/>
          </w:tcPr>
          <w:p w:rsidR="00241A2F" w:rsidRPr="00D0380B" w:rsidRDefault="00241A2F" w:rsidP="00241A2F">
            <w:pPr>
              <w:jc w:val="right"/>
              <w:rPr>
                <w:color w:val="000000"/>
                <w:sz w:val="20"/>
                <w:szCs w:val="20"/>
              </w:rPr>
            </w:pPr>
            <w:r w:rsidRPr="00D0380B">
              <w:rPr>
                <w:color w:val="000000"/>
                <w:sz w:val="20"/>
                <w:szCs w:val="20"/>
              </w:rPr>
              <w:t>2014</w:t>
            </w:r>
          </w:p>
        </w:tc>
        <w:tc>
          <w:tcPr>
            <w:tcW w:w="657" w:type="pct"/>
            <w:tcBorders>
              <w:top w:val="nil"/>
              <w:left w:val="nil"/>
              <w:bottom w:val="single" w:sz="8" w:space="0" w:color="DDDDDD"/>
              <w:right w:val="single" w:sz="8" w:space="0" w:color="DDDDDD"/>
            </w:tcBorders>
            <w:shd w:val="clear" w:color="000000" w:fill="F9F9F9"/>
            <w:hideMark/>
          </w:tcPr>
          <w:p w:rsidR="00241A2F" w:rsidRPr="00D0380B" w:rsidRDefault="00241A2F" w:rsidP="00241A2F">
            <w:pPr>
              <w:jc w:val="right"/>
              <w:rPr>
                <w:color w:val="000000"/>
                <w:sz w:val="20"/>
                <w:szCs w:val="20"/>
              </w:rPr>
            </w:pPr>
            <w:r w:rsidRPr="00D0380B">
              <w:rPr>
                <w:color w:val="000000"/>
                <w:sz w:val="20"/>
                <w:szCs w:val="20"/>
              </w:rPr>
              <w:t>143.37%</w:t>
            </w:r>
          </w:p>
        </w:tc>
        <w:tc>
          <w:tcPr>
            <w:tcW w:w="730" w:type="pct"/>
            <w:tcBorders>
              <w:top w:val="nil"/>
              <w:left w:val="nil"/>
              <w:bottom w:val="single" w:sz="8" w:space="0" w:color="DDDDDD"/>
              <w:right w:val="single" w:sz="8" w:space="0" w:color="DDDDDD"/>
            </w:tcBorders>
            <w:shd w:val="clear" w:color="000000" w:fill="F9F9F9"/>
            <w:hideMark/>
          </w:tcPr>
          <w:p w:rsidR="00241A2F" w:rsidRPr="00D0380B" w:rsidRDefault="00241A2F" w:rsidP="00241A2F">
            <w:pPr>
              <w:jc w:val="right"/>
              <w:rPr>
                <w:color w:val="000000"/>
                <w:sz w:val="20"/>
                <w:szCs w:val="20"/>
              </w:rPr>
            </w:pPr>
            <w:r w:rsidRPr="00D0380B">
              <w:rPr>
                <w:color w:val="000000"/>
                <w:sz w:val="20"/>
                <w:szCs w:val="20"/>
              </w:rPr>
              <w:t>100.96%</w:t>
            </w:r>
          </w:p>
        </w:tc>
        <w:tc>
          <w:tcPr>
            <w:tcW w:w="792" w:type="pct"/>
            <w:tcBorders>
              <w:top w:val="nil"/>
              <w:left w:val="nil"/>
              <w:bottom w:val="single" w:sz="8" w:space="0" w:color="DDDDDD"/>
              <w:right w:val="single" w:sz="8" w:space="0" w:color="DDDDDD"/>
            </w:tcBorders>
            <w:shd w:val="clear" w:color="000000" w:fill="F9F9F9"/>
            <w:hideMark/>
          </w:tcPr>
          <w:p w:rsidR="00241A2F" w:rsidRPr="00D0380B" w:rsidRDefault="00241A2F" w:rsidP="00241A2F">
            <w:pPr>
              <w:jc w:val="right"/>
              <w:rPr>
                <w:color w:val="000000"/>
                <w:sz w:val="20"/>
                <w:szCs w:val="20"/>
              </w:rPr>
            </w:pPr>
            <w:r w:rsidRPr="00D0380B">
              <w:rPr>
                <w:color w:val="000000"/>
                <w:sz w:val="20"/>
                <w:szCs w:val="20"/>
              </w:rPr>
              <w:t>99.29%</w:t>
            </w:r>
          </w:p>
        </w:tc>
        <w:tc>
          <w:tcPr>
            <w:tcW w:w="788" w:type="pct"/>
            <w:tcBorders>
              <w:top w:val="nil"/>
              <w:left w:val="nil"/>
              <w:bottom w:val="single" w:sz="8" w:space="0" w:color="DDDDDD"/>
              <w:right w:val="single" w:sz="8" w:space="0" w:color="DDDDDD"/>
            </w:tcBorders>
            <w:shd w:val="clear" w:color="000000" w:fill="F9F9F9"/>
            <w:hideMark/>
          </w:tcPr>
          <w:p w:rsidR="00241A2F" w:rsidRPr="00D0380B" w:rsidRDefault="00241A2F" w:rsidP="00241A2F">
            <w:pPr>
              <w:jc w:val="right"/>
              <w:rPr>
                <w:color w:val="000000"/>
                <w:sz w:val="20"/>
                <w:szCs w:val="20"/>
              </w:rPr>
            </w:pPr>
            <w:r w:rsidRPr="00D0380B">
              <w:rPr>
                <w:color w:val="000000"/>
                <w:sz w:val="20"/>
                <w:szCs w:val="20"/>
              </w:rPr>
              <w:t>110.23%</w:t>
            </w:r>
          </w:p>
        </w:tc>
        <w:tc>
          <w:tcPr>
            <w:tcW w:w="510" w:type="pct"/>
            <w:tcBorders>
              <w:top w:val="nil"/>
              <w:left w:val="nil"/>
              <w:bottom w:val="nil"/>
              <w:right w:val="nil"/>
            </w:tcBorders>
            <w:shd w:val="clear" w:color="auto" w:fill="auto"/>
            <w:vAlign w:val="bottom"/>
            <w:hideMark/>
          </w:tcPr>
          <w:p w:rsidR="00241A2F" w:rsidRPr="00D0380B" w:rsidRDefault="00241A2F" w:rsidP="00241A2F">
            <w:pPr>
              <w:jc w:val="right"/>
              <w:rPr>
                <w:color w:val="000000"/>
                <w:sz w:val="20"/>
                <w:szCs w:val="20"/>
              </w:rPr>
            </w:pPr>
            <w:r w:rsidRPr="00D0380B">
              <w:rPr>
                <w:color w:val="000000"/>
                <w:sz w:val="20"/>
                <w:szCs w:val="20"/>
              </w:rPr>
              <w:t>113.46%</w:t>
            </w:r>
          </w:p>
        </w:tc>
        <w:tc>
          <w:tcPr>
            <w:tcW w:w="554" w:type="pct"/>
            <w:tcBorders>
              <w:top w:val="nil"/>
              <w:left w:val="nil"/>
              <w:bottom w:val="nil"/>
              <w:right w:val="nil"/>
            </w:tcBorders>
            <w:shd w:val="clear" w:color="auto" w:fill="auto"/>
            <w:vAlign w:val="bottom"/>
            <w:hideMark/>
          </w:tcPr>
          <w:p w:rsidR="00241A2F" w:rsidRPr="00D0380B" w:rsidRDefault="00241A2F" w:rsidP="00241A2F">
            <w:pPr>
              <w:jc w:val="right"/>
              <w:rPr>
                <w:color w:val="000000"/>
                <w:sz w:val="20"/>
                <w:szCs w:val="20"/>
              </w:rPr>
            </w:pPr>
            <w:r w:rsidRPr="00D0380B">
              <w:rPr>
                <w:color w:val="000000"/>
                <w:sz w:val="20"/>
                <w:szCs w:val="20"/>
              </w:rPr>
              <w:t>-3.02%</w:t>
            </w:r>
          </w:p>
        </w:tc>
      </w:tr>
      <w:tr w:rsidR="00ED740E" w:rsidRPr="00D0380B" w:rsidTr="00D0380B">
        <w:trPr>
          <w:trHeight w:val="288"/>
        </w:trPr>
        <w:tc>
          <w:tcPr>
            <w:tcW w:w="970" w:type="pct"/>
            <w:tcBorders>
              <w:top w:val="nil"/>
              <w:left w:val="nil"/>
              <w:bottom w:val="nil"/>
              <w:right w:val="nil"/>
            </w:tcBorders>
            <w:shd w:val="clear" w:color="auto" w:fill="auto"/>
            <w:noWrap/>
            <w:vAlign w:val="bottom"/>
            <w:hideMark/>
          </w:tcPr>
          <w:p w:rsidR="00241A2F" w:rsidRPr="00D0380B" w:rsidRDefault="00241A2F" w:rsidP="00241A2F">
            <w:pPr>
              <w:rPr>
                <w:color w:val="000000"/>
                <w:sz w:val="20"/>
                <w:szCs w:val="20"/>
              </w:rPr>
            </w:pPr>
            <w:r w:rsidRPr="00D0380B">
              <w:rPr>
                <w:color w:val="000000"/>
                <w:sz w:val="20"/>
                <w:szCs w:val="20"/>
              </w:rPr>
              <w:t>Average</w:t>
            </w:r>
          </w:p>
        </w:tc>
        <w:tc>
          <w:tcPr>
            <w:tcW w:w="657" w:type="pct"/>
            <w:tcBorders>
              <w:top w:val="nil"/>
              <w:left w:val="nil"/>
              <w:bottom w:val="nil"/>
              <w:right w:val="nil"/>
            </w:tcBorders>
            <w:shd w:val="clear" w:color="auto" w:fill="auto"/>
            <w:vAlign w:val="bottom"/>
            <w:hideMark/>
          </w:tcPr>
          <w:p w:rsidR="00241A2F" w:rsidRPr="00D0380B" w:rsidRDefault="00241A2F" w:rsidP="00241A2F">
            <w:pPr>
              <w:jc w:val="right"/>
              <w:rPr>
                <w:color w:val="000000"/>
                <w:sz w:val="20"/>
                <w:szCs w:val="20"/>
              </w:rPr>
            </w:pPr>
            <w:r w:rsidRPr="00D0380B">
              <w:rPr>
                <w:color w:val="000000"/>
                <w:sz w:val="20"/>
                <w:szCs w:val="20"/>
              </w:rPr>
              <w:t>117.48%</w:t>
            </w:r>
          </w:p>
        </w:tc>
        <w:tc>
          <w:tcPr>
            <w:tcW w:w="730" w:type="pct"/>
            <w:tcBorders>
              <w:top w:val="nil"/>
              <w:left w:val="nil"/>
              <w:bottom w:val="nil"/>
              <w:right w:val="nil"/>
            </w:tcBorders>
            <w:shd w:val="clear" w:color="auto" w:fill="auto"/>
            <w:vAlign w:val="bottom"/>
            <w:hideMark/>
          </w:tcPr>
          <w:p w:rsidR="00241A2F" w:rsidRPr="00D0380B" w:rsidRDefault="00241A2F" w:rsidP="00241A2F">
            <w:pPr>
              <w:jc w:val="right"/>
              <w:rPr>
                <w:color w:val="000000"/>
                <w:sz w:val="20"/>
                <w:szCs w:val="20"/>
              </w:rPr>
            </w:pPr>
            <w:r w:rsidRPr="00D0380B">
              <w:rPr>
                <w:color w:val="000000"/>
                <w:sz w:val="20"/>
                <w:szCs w:val="20"/>
              </w:rPr>
              <w:t>106.33%</w:t>
            </w:r>
          </w:p>
        </w:tc>
        <w:tc>
          <w:tcPr>
            <w:tcW w:w="792" w:type="pct"/>
            <w:tcBorders>
              <w:top w:val="nil"/>
              <w:left w:val="nil"/>
              <w:bottom w:val="nil"/>
              <w:right w:val="nil"/>
            </w:tcBorders>
            <w:shd w:val="clear" w:color="auto" w:fill="auto"/>
            <w:vAlign w:val="bottom"/>
            <w:hideMark/>
          </w:tcPr>
          <w:p w:rsidR="00241A2F" w:rsidRPr="00D0380B" w:rsidRDefault="00241A2F" w:rsidP="00241A2F">
            <w:pPr>
              <w:jc w:val="right"/>
              <w:rPr>
                <w:color w:val="000000"/>
                <w:sz w:val="20"/>
                <w:szCs w:val="20"/>
              </w:rPr>
            </w:pPr>
            <w:r w:rsidRPr="00D0380B">
              <w:rPr>
                <w:color w:val="000000"/>
                <w:sz w:val="20"/>
                <w:szCs w:val="20"/>
              </w:rPr>
              <w:t>83.81%</w:t>
            </w:r>
          </w:p>
        </w:tc>
        <w:tc>
          <w:tcPr>
            <w:tcW w:w="788" w:type="pct"/>
            <w:tcBorders>
              <w:top w:val="nil"/>
              <w:left w:val="nil"/>
              <w:bottom w:val="nil"/>
              <w:right w:val="nil"/>
            </w:tcBorders>
            <w:shd w:val="clear" w:color="auto" w:fill="auto"/>
            <w:vAlign w:val="bottom"/>
            <w:hideMark/>
          </w:tcPr>
          <w:p w:rsidR="00241A2F" w:rsidRPr="00D0380B" w:rsidRDefault="00241A2F" w:rsidP="00241A2F">
            <w:pPr>
              <w:jc w:val="right"/>
              <w:rPr>
                <w:color w:val="000000"/>
                <w:sz w:val="20"/>
                <w:szCs w:val="20"/>
              </w:rPr>
            </w:pPr>
            <w:r w:rsidRPr="00D0380B">
              <w:rPr>
                <w:color w:val="000000"/>
                <w:sz w:val="20"/>
                <w:szCs w:val="20"/>
              </w:rPr>
              <w:t>107.41%</w:t>
            </w:r>
          </w:p>
        </w:tc>
        <w:tc>
          <w:tcPr>
            <w:tcW w:w="510" w:type="pct"/>
            <w:tcBorders>
              <w:top w:val="nil"/>
              <w:left w:val="nil"/>
              <w:bottom w:val="nil"/>
              <w:right w:val="nil"/>
            </w:tcBorders>
            <w:shd w:val="clear" w:color="000000" w:fill="FFFF00"/>
            <w:vAlign w:val="bottom"/>
            <w:hideMark/>
          </w:tcPr>
          <w:p w:rsidR="00241A2F" w:rsidRPr="00D0380B" w:rsidRDefault="00241A2F" w:rsidP="00241A2F">
            <w:pPr>
              <w:jc w:val="right"/>
              <w:rPr>
                <w:color w:val="000000"/>
                <w:sz w:val="20"/>
                <w:szCs w:val="20"/>
              </w:rPr>
            </w:pPr>
            <w:r w:rsidRPr="00D0380B">
              <w:rPr>
                <w:color w:val="000000"/>
                <w:sz w:val="20"/>
                <w:szCs w:val="20"/>
              </w:rPr>
              <w:t>103.76%</w:t>
            </w:r>
          </w:p>
        </w:tc>
        <w:tc>
          <w:tcPr>
            <w:tcW w:w="554" w:type="pct"/>
            <w:tcBorders>
              <w:top w:val="nil"/>
              <w:left w:val="nil"/>
              <w:bottom w:val="nil"/>
              <w:right w:val="nil"/>
            </w:tcBorders>
            <w:shd w:val="clear" w:color="auto" w:fill="auto"/>
            <w:vAlign w:val="bottom"/>
            <w:hideMark/>
          </w:tcPr>
          <w:p w:rsidR="00241A2F" w:rsidRPr="00D0380B" w:rsidRDefault="00241A2F" w:rsidP="00241A2F">
            <w:pPr>
              <w:jc w:val="right"/>
              <w:rPr>
                <w:color w:val="000000"/>
                <w:sz w:val="20"/>
                <w:szCs w:val="20"/>
              </w:rPr>
            </w:pPr>
          </w:p>
        </w:tc>
      </w:tr>
      <w:tr w:rsidR="00ED740E" w:rsidRPr="00D0380B" w:rsidTr="00D0380B">
        <w:trPr>
          <w:trHeight w:val="288"/>
        </w:trPr>
        <w:tc>
          <w:tcPr>
            <w:tcW w:w="970" w:type="pct"/>
            <w:tcBorders>
              <w:top w:val="nil"/>
              <w:left w:val="nil"/>
              <w:bottom w:val="nil"/>
              <w:right w:val="nil"/>
            </w:tcBorders>
            <w:shd w:val="clear" w:color="auto" w:fill="auto"/>
            <w:noWrap/>
            <w:vAlign w:val="bottom"/>
            <w:hideMark/>
          </w:tcPr>
          <w:p w:rsidR="00241A2F" w:rsidRPr="00D0380B" w:rsidRDefault="00241A2F" w:rsidP="00241A2F">
            <w:pPr>
              <w:rPr>
                <w:color w:val="000000"/>
                <w:sz w:val="20"/>
                <w:szCs w:val="20"/>
              </w:rPr>
            </w:pPr>
            <w:r w:rsidRPr="00D0380B">
              <w:rPr>
                <w:color w:val="000000"/>
                <w:sz w:val="20"/>
                <w:szCs w:val="20"/>
              </w:rPr>
              <w:t>Standard deviation</w:t>
            </w:r>
          </w:p>
        </w:tc>
        <w:tc>
          <w:tcPr>
            <w:tcW w:w="657" w:type="pct"/>
            <w:tcBorders>
              <w:top w:val="nil"/>
              <w:left w:val="nil"/>
              <w:bottom w:val="nil"/>
              <w:right w:val="nil"/>
            </w:tcBorders>
            <w:shd w:val="clear" w:color="auto" w:fill="auto"/>
            <w:vAlign w:val="bottom"/>
            <w:hideMark/>
          </w:tcPr>
          <w:p w:rsidR="00241A2F" w:rsidRPr="00D0380B" w:rsidRDefault="00241A2F" w:rsidP="00241A2F">
            <w:pPr>
              <w:jc w:val="right"/>
              <w:rPr>
                <w:color w:val="000000"/>
                <w:sz w:val="20"/>
                <w:szCs w:val="20"/>
              </w:rPr>
            </w:pPr>
            <w:r w:rsidRPr="00D0380B">
              <w:rPr>
                <w:color w:val="000000"/>
                <w:sz w:val="20"/>
                <w:szCs w:val="20"/>
              </w:rPr>
              <w:t>-13.72%</w:t>
            </w:r>
          </w:p>
        </w:tc>
        <w:tc>
          <w:tcPr>
            <w:tcW w:w="730" w:type="pct"/>
            <w:tcBorders>
              <w:top w:val="nil"/>
              <w:left w:val="nil"/>
              <w:bottom w:val="nil"/>
              <w:right w:val="nil"/>
            </w:tcBorders>
            <w:shd w:val="clear" w:color="auto" w:fill="auto"/>
            <w:vAlign w:val="bottom"/>
            <w:hideMark/>
          </w:tcPr>
          <w:p w:rsidR="00241A2F" w:rsidRPr="00D0380B" w:rsidRDefault="00241A2F" w:rsidP="00241A2F">
            <w:pPr>
              <w:jc w:val="right"/>
              <w:rPr>
                <w:color w:val="000000"/>
                <w:sz w:val="20"/>
                <w:szCs w:val="20"/>
              </w:rPr>
            </w:pPr>
            <w:r w:rsidRPr="00D0380B">
              <w:rPr>
                <w:color w:val="000000"/>
                <w:sz w:val="20"/>
                <w:szCs w:val="20"/>
              </w:rPr>
              <w:t>-2.57%</w:t>
            </w:r>
          </w:p>
        </w:tc>
        <w:tc>
          <w:tcPr>
            <w:tcW w:w="792" w:type="pct"/>
            <w:tcBorders>
              <w:top w:val="nil"/>
              <w:left w:val="nil"/>
              <w:bottom w:val="nil"/>
              <w:right w:val="nil"/>
            </w:tcBorders>
            <w:shd w:val="clear" w:color="auto" w:fill="auto"/>
            <w:vAlign w:val="bottom"/>
            <w:hideMark/>
          </w:tcPr>
          <w:p w:rsidR="00241A2F" w:rsidRPr="00D0380B" w:rsidRDefault="00241A2F" w:rsidP="00241A2F">
            <w:pPr>
              <w:jc w:val="right"/>
              <w:rPr>
                <w:color w:val="000000"/>
                <w:sz w:val="20"/>
                <w:szCs w:val="20"/>
              </w:rPr>
            </w:pPr>
            <w:r w:rsidRPr="00D0380B">
              <w:rPr>
                <w:color w:val="000000"/>
                <w:sz w:val="20"/>
                <w:szCs w:val="20"/>
              </w:rPr>
              <w:t>19.95%</w:t>
            </w:r>
          </w:p>
        </w:tc>
        <w:tc>
          <w:tcPr>
            <w:tcW w:w="788" w:type="pct"/>
            <w:tcBorders>
              <w:top w:val="nil"/>
              <w:left w:val="nil"/>
              <w:bottom w:val="nil"/>
              <w:right w:val="nil"/>
            </w:tcBorders>
            <w:shd w:val="clear" w:color="auto" w:fill="auto"/>
            <w:vAlign w:val="bottom"/>
            <w:hideMark/>
          </w:tcPr>
          <w:p w:rsidR="00241A2F" w:rsidRPr="00D0380B" w:rsidRDefault="00241A2F" w:rsidP="00241A2F">
            <w:pPr>
              <w:jc w:val="right"/>
              <w:rPr>
                <w:color w:val="000000"/>
                <w:sz w:val="20"/>
                <w:szCs w:val="20"/>
              </w:rPr>
            </w:pPr>
            <w:r w:rsidRPr="00D0380B">
              <w:rPr>
                <w:color w:val="000000"/>
                <w:sz w:val="20"/>
                <w:szCs w:val="20"/>
              </w:rPr>
              <w:t>-3.65%</w:t>
            </w:r>
          </w:p>
        </w:tc>
        <w:tc>
          <w:tcPr>
            <w:tcW w:w="510" w:type="pct"/>
            <w:tcBorders>
              <w:top w:val="nil"/>
              <w:left w:val="nil"/>
              <w:bottom w:val="nil"/>
              <w:right w:val="nil"/>
            </w:tcBorders>
            <w:shd w:val="clear" w:color="auto" w:fill="auto"/>
            <w:vAlign w:val="bottom"/>
            <w:hideMark/>
          </w:tcPr>
          <w:p w:rsidR="00241A2F" w:rsidRPr="00D0380B" w:rsidRDefault="00241A2F" w:rsidP="00241A2F">
            <w:pPr>
              <w:jc w:val="right"/>
              <w:rPr>
                <w:color w:val="000000"/>
                <w:sz w:val="20"/>
                <w:szCs w:val="20"/>
              </w:rPr>
            </w:pPr>
          </w:p>
        </w:tc>
        <w:tc>
          <w:tcPr>
            <w:tcW w:w="554" w:type="pct"/>
            <w:tcBorders>
              <w:top w:val="nil"/>
              <w:left w:val="nil"/>
              <w:bottom w:val="nil"/>
              <w:right w:val="nil"/>
            </w:tcBorders>
            <w:shd w:val="clear" w:color="auto" w:fill="auto"/>
            <w:vAlign w:val="bottom"/>
            <w:hideMark/>
          </w:tcPr>
          <w:p w:rsidR="00241A2F" w:rsidRPr="00D0380B" w:rsidRDefault="00241A2F" w:rsidP="00241A2F">
            <w:pPr>
              <w:rPr>
                <w:sz w:val="20"/>
                <w:szCs w:val="20"/>
              </w:rPr>
            </w:pPr>
          </w:p>
        </w:tc>
      </w:tr>
      <w:tr w:rsidR="00241A2F" w:rsidRPr="00D0380B" w:rsidTr="00D0380B">
        <w:trPr>
          <w:trHeight w:val="857"/>
        </w:trPr>
        <w:tc>
          <w:tcPr>
            <w:tcW w:w="970" w:type="pct"/>
            <w:tcBorders>
              <w:top w:val="single" w:sz="8" w:space="0" w:color="DDDDDD"/>
              <w:left w:val="single" w:sz="8" w:space="0" w:color="DDDDDD"/>
              <w:bottom w:val="single" w:sz="8" w:space="0" w:color="DDDDDD"/>
              <w:right w:val="single" w:sz="8" w:space="0" w:color="DDDDDD"/>
            </w:tcBorders>
            <w:shd w:val="clear" w:color="000000" w:fill="FFF2CC"/>
            <w:vAlign w:val="center"/>
            <w:hideMark/>
          </w:tcPr>
          <w:p w:rsidR="00241A2F" w:rsidRPr="00D0380B" w:rsidRDefault="00241A2F" w:rsidP="00D0380B">
            <w:pPr>
              <w:jc w:val="center"/>
              <w:rPr>
                <w:b/>
                <w:bCs/>
                <w:color w:val="000000"/>
                <w:sz w:val="20"/>
                <w:szCs w:val="20"/>
              </w:rPr>
            </w:pPr>
            <w:r w:rsidRPr="00D0380B">
              <w:rPr>
                <w:b/>
                <w:bCs/>
                <w:color w:val="000000"/>
                <w:sz w:val="20"/>
                <w:szCs w:val="20"/>
              </w:rPr>
              <w:t>Profitability after tax</w:t>
            </w:r>
          </w:p>
        </w:tc>
        <w:tc>
          <w:tcPr>
            <w:tcW w:w="657" w:type="pct"/>
            <w:tcBorders>
              <w:top w:val="single" w:sz="8" w:space="0" w:color="DDDDDD"/>
              <w:left w:val="nil"/>
              <w:bottom w:val="single" w:sz="8" w:space="0" w:color="DDDDDD"/>
              <w:right w:val="single" w:sz="8" w:space="0" w:color="DDDDDD"/>
            </w:tcBorders>
            <w:shd w:val="clear" w:color="000000" w:fill="FFFFFF"/>
            <w:vAlign w:val="center"/>
            <w:hideMark/>
          </w:tcPr>
          <w:p w:rsidR="00241A2F" w:rsidRPr="00D0380B" w:rsidRDefault="00241A2F" w:rsidP="00D0380B">
            <w:pPr>
              <w:jc w:val="center"/>
              <w:rPr>
                <w:b/>
                <w:bCs/>
                <w:color w:val="000000"/>
                <w:sz w:val="20"/>
                <w:szCs w:val="20"/>
              </w:rPr>
            </w:pPr>
            <w:r w:rsidRPr="00D0380B">
              <w:rPr>
                <w:b/>
                <w:bCs/>
                <w:color w:val="000000"/>
                <w:sz w:val="20"/>
                <w:szCs w:val="20"/>
              </w:rPr>
              <w:t>B - The Processing Industry</w:t>
            </w:r>
          </w:p>
        </w:tc>
        <w:tc>
          <w:tcPr>
            <w:tcW w:w="730" w:type="pct"/>
            <w:tcBorders>
              <w:top w:val="single" w:sz="8" w:space="0" w:color="DDDDDD"/>
              <w:left w:val="nil"/>
              <w:bottom w:val="single" w:sz="8" w:space="0" w:color="DDDDDD"/>
              <w:right w:val="single" w:sz="8" w:space="0" w:color="DDDDDD"/>
            </w:tcBorders>
            <w:shd w:val="clear" w:color="000000" w:fill="FFFFFF"/>
            <w:vAlign w:val="center"/>
            <w:hideMark/>
          </w:tcPr>
          <w:p w:rsidR="00241A2F" w:rsidRPr="00D0380B" w:rsidRDefault="00241A2F" w:rsidP="00D0380B">
            <w:pPr>
              <w:jc w:val="center"/>
              <w:rPr>
                <w:b/>
                <w:bCs/>
                <w:color w:val="000000"/>
                <w:sz w:val="20"/>
                <w:szCs w:val="20"/>
              </w:rPr>
            </w:pPr>
            <w:r w:rsidRPr="00D0380B">
              <w:rPr>
                <w:b/>
                <w:bCs/>
                <w:color w:val="000000"/>
                <w:sz w:val="20"/>
                <w:szCs w:val="20"/>
              </w:rPr>
              <w:t>F - Constructions</w:t>
            </w:r>
          </w:p>
        </w:tc>
        <w:tc>
          <w:tcPr>
            <w:tcW w:w="792" w:type="pct"/>
            <w:tcBorders>
              <w:top w:val="single" w:sz="8" w:space="0" w:color="DDDDDD"/>
              <w:left w:val="nil"/>
              <w:bottom w:val="single" w:sz="8" w:space="0" w:color="DDDDDD"/>
              <w:right w:val="single" w:sz="8" w:space="0" w:color="DDDDDD"/>
            </w:tcBorders>
            <w:shd w:val="clear" w:color="000000" w:fill="FFFFFF"/>
            <w:vAlign w:val="center"/>
            <w:hideMark/>
          </w:tcPr>
          <w:p w:rsidR="00241A2F" w:rsidRPr="00D0380B" w:rsidRDefault="00241A2F" w:rsidP="00D0380B">
            <w:pPr>
              <w:jc w:val="center"/>
              <w:rPr>
                <w:b/>
                <w:bCs/>
                <w:color w:val="000000"/>
                <w:sz w:val="20"/>
                <w:szCs w:val="20"/>
              </w:rPr>
            </w:pPr>
            <w:r w:rsidRPr="00D0380B">
              <w:rPr>
                <w:b/>
                <w:bCs/>
                <w:color w:val="000000"/>
                <w:sz w:val="20"/>
                <w:szCs w:val="20"/>
              </w:rPr>
              <w:t>G - Wholesale and retail trade</w:t>
            </w:r>
          </w:p>
        </w:tc>
        <w:tc>
          <w:tcPr>
            <w:tcW w:w="788" w:type="pct"/>
            <w:tcBorders>
              <w:top w:val="single" w:sz="8" w:space="0" w:color="DDDDDD"/>
              <w:left w:val="nil"/>
              <w:bottom w:val="single" w:sz="8" w:space="0" w:color="DDDDDD"/>
              <w:right w:val="single" w:sz="8" w:space="0" w:color="DDDDDD"/>
            </w:tcBorders>
            <w:shd w:val="clear" w:color="000000" w:fill="FFFFFF"/>
            <w:vAlign w:val="center"/>
            <w:hideMark/>
          </w:tcPr>
          <w:p w:rsidR="00241A2F" w:rsidRPr="00D0380B" w:rsidRDefault="00241A2F" w:rsidP="00D0380B">
            <w:pPr>
              <w:jc w:val="center"/>
              <w:rPr>
                <w:b/>
                <w:bCs/>
                <w:color w:val="000000"/>
                <w:sz w:val="20"/>
                <w:szCs w:val="20"/>
              </w:rPr>
            </w:pPr>
            <w:r w:rsidRPr="00D0380B">
              <w:rPr>
                <w:b/>
                <w:bCs/>
                <w:color w:val="000000"/>
                <w:sz w:val="20"/>
                <w:szCs w:val="20"/>
              </w:rPr>
              <w:t>H - Transport and storage</w:t>
            </w:r>
          </w:p>
        </w:tc>
        <w:tc>
          <w:tcPr>
            <w:tcW w:w="510" w:type="pct"/>
            <w:tcBorders>
              <w:top w:val="single" w:sz="8" w:space="0" w:color="DDDDDD"/>
              <w:left w:val="nil"/>
              <w:bottom w:val="single" w:sz="8" w:space="0" w:color="DDDDDD"/>
              <w:right w:val="single" w:sz="8" w:space="0" w:color="DDDDDD"/>
            </w:tcBorders>
            <w:shd w:val="clear" w:color="000000" w:fill="FFFFFF"/>
            <w:vAlign w:val="center"/>
            <w:hideMark/>
          </w:tcPr>
          <w:p w:rsidR="00241A2F" w:rsidRPr="00D0380B" w:rsidRDefault="00241A2F" w:rsidP="00D0380B">
            <w:pPr>
              <w:jc w:val="center"/>
              <w:rPr>
                <w:b/>
                <w:bCs/>
                <w:color w:val="000000"/>
                <w:sz w:val="20"/>
                <w:szCs w:val="20"/>
              </w:rPr>
            </w:pPr>
            <w:r w:rsidRPr="00D0380B">
              <w:rPr>
                <w:b/>
                <w:bCs/>
                <w:color w:val="000000"/>
                <w:sz w:val="20"/>
                <w:szCs w:val="20"/>
              </w:rPr>
              <w:t>Average</w:t>
            </w:r>
          </w:p>
        </w:tc>
        <w:tc>
          <w:tcPr>
            <w:tcW w:w="554" w:type="pct"/>
            <w:tcBorders>
              <w:top w:val="single" w:sz="8" w:space="0" w:color="DDDDDD"/>
              <w:left w:val="nil"/>
              <w:bottom w:val="single" w:sz="8" w:space="0" w:color="DDDDDD"/>
              <w:right w:val="single" w:sz="8" w:space="0" w:color="DDDDDD"/>
            </w:tcBorders>
            <w:shd w:val="clear" w:color="000000" w:fill="FFFFFF"/>
            <w:vAlign w:val="center"/>
            <w:hideMark/>
          </w:tcPr>
          <w:p w:rsidR="00241A2F" w:rsidRPr="00D0380B" w:rsidRDefault="00241A2F" w:rsidP="00D0380B">
            <w:pPr>
              <w:jc w:val="center"/>
              <w:rPr>
                <w:b/>
                <w:bCs/>
                <w:color w:val="000000"/>
                <w:sz w:val="20"/>
                <w:szCs w:val="20"/>
              </w:rPr>
            </w:pPr>
            <w:r w:rsidRPr="00D0380B">
              <w:rPr>
                <w:b/>
                <w:bCs/>
                <w:color w:val="000000"/>
                <w:sz w:val="20"/>
                <w:szCs w:val="20"/>
              </w:rPr>
              <w:t>Standard deviation</w:t>
            </w:r>
          </w:p>
        </w:tc>
      </w:tr>
      <w:tr w:rsidR="00241A2F" w:rsidRPr="00D0380B" w:rsidTr="00D0380B">
        <w:trPr>
          <w:trHeight w:val="300"/>
        </w:trPr>
        <w:tc>
          <w:tcPr>
            <w:tcW w:w="970" w:type="pct"/>
            <w:tcBorders>
              <w:top w:val="nil"/>
              <w:left w:val="single" w:sz="8" w:space="0" w:color="DDDDDD"/>
              <w:bottom w:val="single" w:sz="8" w:space="0" w:color="DDDDDD"/>
              <w:right w:val="single" w:sz="8" w:space="0" w:color="DDDDDD"/>
            </w:tcBorders>
            <w:shd w:val="clear" w:color="000000" w:fill="F9F9F9"/>
            <w:hideMark/>
          </w:tcPr>
          <w:p w:rsidR="00241A2F" w:rsidRPr="00D0380B" w:rsidRDefault="00241A2F" w:rsidP="00241A2F">
            <w:pPr>
              <w:jc w:val="right"/>
              <w:rPr>
                <w:color w:val="000000"/>
                <w:sz w:val="20"/>
                <w:szCs w:val="20"/>
              </w:rPr>
            </w:pPr>
            <w:r w:rsidRPr="00D0380B">
              <w:rPr>
                <w:color w:val="000000"/>
                <w:sz w:val="20"/>
                <w:szCs w:val="20"/>
              </w:rPr>
              <w:t>2017</w:t>
            </w:r>
          </w:p>
        </w:tc>
        <w:tc>
          <w:tcPr>
            <w:tcW w:w="657" w:type="pct"/>
            <w:tcBorders>
              <w:top w:val="nil"/>
              <w:left w:val="nil"/>
              <w:bottom w:val="single" w:sz="8" w:space="0" w:color="DDDDDD"/>
              <w:right w:val="single" w:sz="8" w:space="0" w:color="DDDDDD"/>
            </w:tcBorders>
            <w:shd w:val="clear" w:color="000000" w:fill="F9F9F9"/>
            <w:hideMark/>
          </w:tcPr>
          <w:p w:rsidR="00241A2F" w:rsidRPr="00D0380B" w:rsidRDefault="00241A2F" w:rsidP="00241A2F">
            <w:pPr>
              <w:jc w:val="right"/>
              <w:rPr>
                <w:color w:val="000000"/>
                <w:sz w:val="20"/>
                <w:szCs w:val="20"/>
              </w:rPr>
            </w:pPr>
            <w:r w:rsidRPr="00D0380B">
              <w:rPr>
                <w:color w:val="000000"/>
                <w:sz w:val="20"/>
                <w:szCs w:val="20"/>
              </w:rPr>
              <w:t>120.84%</w:t>
            </w:r>
          </w:p>
        </w:tc>
        <w:tc>
          <w:tcPr>
            <w:tcW w:w="730" w:type="pct"/>
            <w:tcBorders>
              <w:top w:val="nil"/>
              <w:left w:val="nil"/>
              <w:bottom w:val="single" w:sz="8" w:space="0" w:color="DDDDDD"/>
              <w:right w:val="single" w:sz="8" w:space="0" w:color="DDDDDD"/>
            </w:tcBorders>
            <w:shd w:val="clear" w:color="000000" w:fill="F9F9F9"/>
            <w:hideMark/>
          </w:tcPr>
          <w:p w:rsidR="00241A2F" w:rsidRPr="00D0380B" w:rsidRDefault="00241A2F" w:rsidP="00241A2F">
            <w:pPr>
              <w:jc w:val="right"/>
              <w:rPr>
                <w:color w:val="000000"/>
                <w:sz w:val="20"/>
                <w:szCs w:val="20"/>
              </w:rPr>
            </w:pPr>
            <w:r w:rsidRPr="00D0380B">
              <w:rPr>
                <w:color w:val="000000"/>
                <w:sz w:val="20"/>
                <w:szCs w:val="20"/>
              </w:rPr>
              <w:t>92.58%</w:t>
            </w:r>
          </w:p>
        </w:tc>
        <w:tc>
          <w:tcPr>
            <w:tcW w:w="792" w:type="pct"/>
            <w:tcBorders>
              <w:top w:val="nil"/>
              <w:left w:val="nil"/>
              <w:bottom w:val="single" w:sz="8" w:space="0" w:color="DDDDDD"/>
              <w:right w:val="single" w:sz="8" w:space="0" w:color="DDDDDD"/>
            </w:tcBorders>
            <w:shd w:val="clear" w:color="000000" w:fill="F9F9F9"/>
            <w:hideMark/>
          </w:tcPr>
          <w:p w:rsidR="00241A2F" w:rsidRPr="00D0380B" w:rsidRDefault="00241A2F" w:rsidP="00241A2F">
            <w:pPr>
              <w:jc w:val="right"/>
              <w:rPr>
                <w:color w:val="000000"/>
                <w:sz w:val="20"/>
                <w:szCs w:val="20"/>
              </w:rPr>
            </w:pPr>
            <w:r w:rsidRPr="00D0380B">
              <w:rPr>
                <w:color w:val="000000"/>
                <w:sz w:val="20"/>
                <w:szCs w:val="20"/>
              </w:rPr>
              <w:t>59.48%</w:t>
            </w:r>
          </w:p>
        </w:tc>
        <w:tc>
          <w:tcPr>
            <w:tcW w:w="788" w:type="pct"/>
            <w:tcBorders>
              <w:top w:val="nil"/>
              <w:left w:val="nil"/>
              <w:bottom w:val="single" w:sz="8" w:space="0" w:color="DDDDDD"/>
              <w:right w:val="single" w:sz="8" w:space="0" w:color="DDDDDD"/>
            </w:tcBorders>
            <w:shd w:val="clear" w:color="000000" w:fill="F9F9F9"/>
            <w:hideMark/>
          </w:tcPr>
          <w:p w:rsidR="00241A2F" w:rsidRPr="00D0380B" w:rsidRDefault="00241A2F" w:rsidP="00241A2F">
            <w:pPr>
              <w:jc w:val="right"/>
              <w:rPr>
                <w:color w:val="000000"/>
                <w:sz w:val="20"/>
                <w:szCs w:val="20"/>
              </w:rPr>
            </w:pPr>
            <w:r w:rsidRPr="00D0380B">
              <w:rPr>
                <w:color w:val="000000"/>
                <w:sz w:val="20"/>
                <w:szCs w:val="20"/>
              </w:rPr>
              <w:t>84.06%</w:t>
            </w:r>
          </w:p>
        </w:tc>
        <w:tc>
          <w:tcPr>
            <w:tcW w:w="510" w:type="pct"/>
            <w:tcBorders>
              <w:top w:val="nil"/>
              <w:left w:val="nil"/>
              <w:bottom w:val="nil"/>
              <w:right w:val="nil"/>
            </w:tcBorders>
            <w:shd w:val="clear" w:color="auto" w:fill="auto"/>
            <w:vAlign w:val="bottom"/>
            <w:hideMark/>
          </w:tcPr>
          <w:p w:rsidR="00241A2F" w:rsidRPr="00D0380B" w:rsidRDefault="00241A2F" w:rsidP="00241A2F">
            <w:pPr>
              <w:jc w:val="right"/>
              <w:rPr>
                <w:color w:val="000000"/>
                <w:sz w:val="20"/>
                <w:szCs w:val="20"/>
              </w:rPr>
            </w:pPr>
            <w:r w:rsidRPr="00D0380B">
              <w:rPr>
                <w:color w:val="000000"/>
                <w:sz w:val="20"/>
                <w:szCs w:val="20"/>
              </w:rPr>
              <w:t>89.24%</w:t>
            </w:r>
          </w:p>
        </w:tc>
        <w:tc>
          <w:tcPr>
            <w:tcW w:w="554" w:type="pct"/>
            <w:tcBorders>
              <w:top w:val="nil"/>
              <w:left w:val="nil"/>
              <w:bottom w:val="nil"/>
              <w:right w:val="nil"/>
            </w:tcBorders>
            <w:shd w:val="clear" w:color="auto" w:fill="auto"/>
            <w:vAlign w:val="bottom"/>
            <w:hideMark/>
          </w:tcPr>
          <w:p w:rsidR="00241A2F" w:rsidRPr="00D0380B" w:rsidRDefault="00241A2F" w:rsidP="00241A2F">
            <w:pPr>
              <w:jc w:val="right"/>
              <w:rPr>
                <w:color w:val="000000"/>
                <w:sz w:val="20"/>
                <w:szCs w:val="20"/>
              </w:rPr>
            </w:pPr>
            <w:r w:rsidRPr="00D0380B">
              <w:rPr>
                <w:color w:val="000000"/>
                <w:sz w:val="20"/>
                <w:szCs w:val="20"/>
              </w:rPr>
              <w:t>21.21%</w:t>
            </w:r>
          </w:p>
        </w:tc>
      </w:tr>
      <w:tr w:rsidR="00241A2F" w:rsidRPr="00D0380B" w:rsidTr="00D0380B">
        <w:trPr>
          <w:trHeight w:val="300"/>
        </w:trPr>
        <w:tc>
          <w:tcPr>
            <w:tcW w:w="970" w:type="pct"/>
            <w:tcBorders>
              <w:top w:val="nil"/>
              <w:left w:val="single" w:sz="8" w:space="0" w:color="DDDDDD"/>
              <w:bottom w:val="single" w:sz="8" w:space="0" w:color="DDDDDD"/>
              <w:right w:val="single" w:sz="8" w:space="0" w:color="DDDDDD"/>
            </w:tcBorders>
            <w:shd w:val="clear" w:color="000000" w:fill="FFFFFF"/>
            <w:hideMark/>
          </w:tcPr>
          <w:p w:rsidR="00241A2F" w:rsidRPr="00D0380B" w:rsidRDefault="00241A2F" w:rsidP="00241A2F">
            <w:pPr>
              <w:jc w:val="right"/>
              <w:rPr>
                <w:color w:val="000000"/>
                <w:sz w:val="20"/>
                <w:szCs w:val="20"/>
              </w:rPr>
            </w:pPr>
            <w:r w:rsidRPr="00D0380B">
              <w:rPr>
                <w:color w:val="000000"/>
                <w:sz w:val="20"/>
                <w:szCs w:val="20"/>
              </w:rPr>
              <w:t>2016</w:t>
            </w:r>
          </w:p>
        </w:tc>
        <w:tc>
          <w:tcPr>
            <w:tcW w:w="657" w:type="pct"/>
            <w:tcBorders>
              <w:top w:val="nil"/>
              <w:left w:val="nil"/>
              <w:bottom w:val="single" w:sz="8" w:space="0" w:color="DDDDDD"/>
              <w:right w:val="single" w:sz="8" w:space="0" w:color="DDDDDD"/>
            </w:tcBorders>
            <w:shd w:val="clear" w:color="000000" w:fill="F9F9F9"/>
            <w:hideMark/>
          </w:tcPr>
          <w:p w:rsidR="00241A2F" w:rsidRPr="00D0380B" w:rsidRDefault="00241A2F" w:rsidP="00241A2F">
            <w:pPr>
              <w:jc w:val="right"/>
              <w:rPr>
                <w:color w:val="000000"/>
                <w:sz w:val="20"/>
                <w:szCs w:val="20"/>
              </w:rPr>
            </w:pPr>
            <w:r w:rsidRPr="00D0380B">
              <w:rPr>
                <w:color w:val="000000"/>
                <w:sz w:val="20"/>
                <w:szCs w:val="20"/>
              </w:rPr>
              <w:t>104.20%</w:t>
            </w:r>
          </w:p>
        </w:tc>
        <w:tc>
          <w:tcPr>
            <w:tcW w:w="730" w:type="pct"/>
            <w:tcBorders>
              <w:top w:val="nil"/>
              <w:left w:val="nil"/>
              <w:bottom w:val="single" w:sz="8" w:space="0" w:color="DDDDDD"/>
              <w:right w:val="single" w:sz="8" w:space="0" w:color="DDDDDD"/>
            </w:tcBorders>
            <w:shd w:val="clear" w:color="000000" w:fill="F9F9F9"/>
            <w:hideMark/>
          </w:tcPr>
          <w:p w:rsidR="00241A2F" w:rsidRPr="00D0380B" w:rsidRDefault="00241A2F" w:rsidP="00241A2F">
            <w:pPr>
              <w:jc w:val="right"/>
              <w:rPr>
                <w:color w:val="000000"/>
                <w:sz w:val="20"/>
                <w:szCs w:val="20"/>
              </w:rPr>
            </w:pPr>
            <w:r w:rsidRPr="00D0380B">
              <w:rPr>
                <w:color w:val="000000"/>
                <w:sz w:val="20"/>
                <w:szCs w:val="20"/>
              </w:rPr>
              <w:t>117.72%</w:t>
            </w:r>
          </w:p>
        </w:tc>
        <w:tc>
          <w:tcPr>
            <w:tcW w:w="792" w:type="pct"/>
            <w:tcBorders>
              <w:top w:val="nil"/>
              <w:left w:val="nil"/>
              <w:bottom w:val="single" w:sz="8" w:space="0" w:color="DDDDDD"/>
              <w:right w:val="single" w:sz="8" w:space="0" w:color="DDDDDD"/>
            </w:tcBorders>
            <w:shd w:val="clear" w:color="000000" w:fill="F9F9F9"/>
            <w:hideMark/>
          </w:tcPr>
          <w:p w:rsidR="00241A2F" w:rsidRPr="00D0380B" w:rsidRDefault="00241A2F" w:rsidP="00241A2F">
            <w:pPr>
              <w:jc w:val="right"/>
              <w:rPr>
                <w:color w:val="000000"/>
                <w:sz w:val="20"/>
                <w:szCs w:val="20"/>
              </w:rPr>
            </w:pPr>
            <w:r w:rsidRPr="00D0380B">
              <w:rPr>
                <w:color w:val="000000"/>
                <w:sz w:val="20"/>
                <w:szCs w:val="20"/>
              </w:rPr>
              <w:t>93.78%</w:t>
            </w:r>
          </w:p>
        </w:tc>
        <w:tc>
          <w:tcPr>
            <w:tcW w:w="788" w:type="pct"/>
            <w:tcBorders>
              <w:top w:val="nil"/>
              <w:left w:val="nil"/>
              <w:bottom w:val="single" w:sz="8" w:space="0" w:color="DDDDDD"/>
              <w:right w:val="single" w:sz="8" w:space="0" w:color="DDDDDD"/>
            </w:tcBorders>
            <w:shd w:val="clear" w:color="000000" w:fill="F9F9F9"/>
            <w:hideMark/>
          </w:tcPr>
          <w:p w:rsidR="00241A2F" w:rsidRPr="00D0380B" w:rsidRDefault="00241A2F" w:rsidP="00241A2F">
            <w:pPr>
              <w:jc w:val="right"/>
              <w:rPr>
                <w:color w:val="000000"/>
                <w:sz w:val="20"/>
                <w:szCs w:val="20"/>
              </w:rPr>
            </w:pPr>
            <w:r w:rsidRPr="00D0380B">
              <w:rPr>
                <w:color w:val="000000"/>
                <w:sz w:val="20"/>
                <w:szCs w:val="20"/>
              </w:rPr>
              <w:t>120.21%</w:t>
            </w:r>
          </w:p>
        </w:tc>
        <w:tc>
          <w:tcPr>
            <w:tcW w:w="510" w:type="pct"/>
            <w:tcBorders>
              <w:top w:val="nil"/>
              <w:left w:val="nil"/>
              <w:bottom w:val="nil"/>
              <w:right w:val="nil"/>
            </w:tcBorders>
            <w:shd w:val="clear" w:color="auto" w:fill="auto"/>
            <w:vAlign w:val="bottom"/>
            <w:hideMark/>
          </w:tcPr>
          <w:p w:rsidR="00241A2F" w:rsidRPr="00D0380B" w:rsidRDefault="00241A2F" w:rsidP="00241A2F">
            <w:pPr>
              <w:jc w:val="right"/>
              <w:rPr>
                <w:color w:val="000000"/>
                <w:sz w:val="20"/>
                <w:szCs w:val="20"/>
              </w:rPr>
            </w:pPr>
            <w:r w:rsidRPr="00D0380B">
              <w:rPr>
                <w:color w:val="000000"/>
                <w:sz w:val="20"/>
                <w:szCs w:val="20"/>
              </w:rPr>
              <w:t>108.98%</w:t>
            </w:r>
          </w:p>
        </w:tc>
        <w:tc>
          <w:tcPr>
            <w:tcW w:w="554" w:type="pct"/>
            <w:tcBorders>
              <w:top w:val="nil"/>
              <w:left w:val="nil"/>
              <w:bottom w:val="nil"/>
              <w:right w:val="nil"/>
            </w:tcBorders>
            <w:shd w:val="clear" w:color="auto" w:fill="auto"/>
            <w:vAlign w:val="bottom"/>
            <w:hideMark/>
          </w:tcPr>
          <w:p w:rsidR="00241A2F" w:rsidRPr="00D0380B" w:rsidRDefault="00241A2F" w:rsidP="00241A2F">
            <w:pPr>
              <w:jc w:val="right"/>
              <w:rPr>
                <w:color w:val="000000"/>
                <w:sz w:val="20"/>
                <w:szCs w:val="20"/>
              </w:rPr>
            </w:pPr>
            <w:r w:rsidRPr="00D0380B">
              <w:rPr>
                <w:color w:val="000000"/>
                <w:sz w:val="20"/>
                <w:szCs w:val="20"/>
              </w:rPr>
              <w:t>1.47%</w:t>
            </w:r>
          </w:p>
        </w:tc>
      </w:tr>
      <w:tr w:rsidR="00241A2F" w:rsidRPr="00D0380B" w:rsidTr="00D0380B">
        <w:trPr>
          <w:trHeight w:val="300"/>
        </w:trPr>
        <w:tc>
          <w:tcPr>
            <w:tcW w:w="970" w:type="pct"/>
            <w:tcBorders>
              <w:top w:val="nil"/>
              <w:left w:val="single" w:sz="8" w:space="0" w:color="DDDDDD"/>
              <w:bottom w:val="single" w:sz="8" w:space="0" w:color="DDDDDD"/>
              <w:right w:val="single" w:sz="8" w:space="0" w:color="DDDDDD"/>
            </w:tcBorders>
            <w:shd w:val="clear" w:color="000000" w:fill="F9F9F9"/>
            <w:hideMark/>
          </w:tcPr>
          <w:p w:rsidR="00241A2F" w:rsidRPr="00D0380B" w:rsidRDefault="00241A2F" w:rsidP="00241A2F">
            <w:pPr>
              <w:jc w:val="right"/>
              <w:rPr>
                <w:color w:val="000000"/>
                <w:sz w:val="20"/>
                <w:szCs w:val="20"/>
              </w:rPr>
            </w:pPr>
            <w:r w:rsidRPr="00D0380B">
              <w:rPr>
                <w:color w:val="000000"/>
                <w:sz w:val="20"/>
                <w:szCs w:val="20"/>
              </w:rPr>
              <w:lastRenderedPageBreak/>
              <w:t>2015</w:t>
            </w:r>
          </w:p>
        </w:tc>
        <w:tc>
          <w:tcPr>
            <w:tcW w:w="657" w:type="pct"/>
            <w:tcBorders>
              <w:top w:val="nil"/>
              <w:left w:val="nil"/>
              <w:bottom w:val="single" w:sz="8" w:space="0" w:color="DDDDDD"/>
              <w:right w:val="single" w:sz="8" w:space="0" w:color="DDDDDD"/>
            </w:tcBorders>
            <w:shd w:val="clear" w:color="000000" w:fill="F9F9F9"/>
            <w:hideMark/>
          </w:tcPr>
          <w:p w:rsidR="00241A2F" w:rsidRPr="00D0380B" w:rsidRDefault="00241A2F" w:rsidP="00241A2F">
            <w:pPr>
              <w:jc w:val="right"/>
              <w:rPr>
                <w:color w:val="000000"/>
                <w:sz w:val="20"/>
                <w:szCs w:val="20"/>
              </w:rPr>
            </w:pPr>
            <w:r w:rsidRPr="00D0380B">
              <w:rPr>
                <w:color w:val="000000"/>
                <w:sz w:val="20"/>
                <w:szCs w:val="20"/>
              </w:rPr>
              <w:t>98.29%</w:t>
            </w:r>
          </w:p>
        </w:tc>
        <w:tc>
          <w:tcPr>
            <w:tcW w:w="730" w:type="pct"/>
            <w:tcBorders>
              <w:top w:val="nil"/>
              <w:left w:val="nil"/>
              <w:bottom w:val="single" w:sz="8" w:space="0" w:color="DDDDDD"/>
              <w:right w:val="single" w:sz="8" w:space="0" w:color="DDDDDD"/>
            </w:tcBorders>
            <w:shd w:val="clear" w:color="000000" w:fill="F9F9F9"/>
            <w:hideMark/>
          </w:tcPr>
          <w:p w:rsidR="00241A2F" w:rsidRPr="00D0380B" w:rsidRDefault="00241A2F" w:rsidP="00241A2F">
            <w:pPr>
              <w:jc w:val="right"/>
              <w:rPr>
                <w:color w:val="000000"/>
                <w:sz w:val="20"/>
                <w:szCs w:val="20"/>
              </w:rPr>
            </w:pPr>
            <w:r w:rsidRPr="00D0380B">
              <w:rPr>
                <w:color w:val="000000"/>
                <w:sz w:val="20"/>
                <w:szCs w:val="20"/>
              </w:rPr>
              <w:t>114.17%</w:t>
            </w:r>
          </w:p>
        </w:tc>
        <w:tc>
          <w:tcPr>
            <w:tcW w:w="792" w:type="pct"/>
            <w:tcBorders>
              <w:top w:val="nil"/>
              <w:left w:val="nil"/>
              <w:bottom w:val="single" w:sz="8" w:space="0" w:color="DDDDDD"/>
              <w:right w:val="single" w:sz="8" w:space="0" w:color="DDDDDD"/>
            </w:tcBorders>
            <w:shd w:val="clear" w:color="000000" w:fill="F9F9F9"/>
            <w:hideMark/>
          </w:tcPr>
          <w:p w:rsidR="00241A2F" w:rsidRPr="00D0380B" w:rsidRDefault="00241A2F" w:rsidP="00241A2F">
            <w:pPr>
              <w:jc w:val="right"/>
              <w:rPr>
                <w:color w:val="000000"/>
                <w:sz w:val="20"/>
                <w:szCs w:val="20"/>
              </w:rPr>
            </w:pPr>
            <w:r w:rsidRPr="00D0380B">
              <w:rPr>
                <w:color w:val="000000"/>
                <w:sz w:val="20"/>
                <w:szCs w:val="20"/>
              </w:rPr>
              <w:t>100.13%</w:t>
            </w:r>
          </w:p>
        </w:tc>
        <w:tc>
          <w:tcPr>
            <w:tcW w:w="788" w:type="pct"/>
            <w:tcBorders>
              <w:top w:val="nil"/>
              <w:left w:val="nil"/>
              <w:bottom w:val="single" w:sz="8" w:space="0" w:color="DDDDDD"/>
              <w:right w:val="single" w:sz="8" w:space="0" w:color="DDDDDD"/>
            </w:tcBorders>
            <w:shd w:val="clear" w:color="000000" w:fill="F9F9F9"/>
            <w:hideMark/>
          </w:tcPr>
          <w:p w:rsidR="00241A2F" w:rsidRPr="00D0380B" w:rsidRDefault="00241A2F" w:rsidP="00241A2F">
            <w:pPr>
              <w:jc w:val="right"/>
              <w:rPr>
                <w:color w:val="000000"/>
                <w:sz w:val="20"/>
                <w:szCs w:val="20"/>
              </w:rPr>
            </w:pPr>
            <w:r w:rsidRPr="00D0380B">
              <w:rPr>
                <w:color w:val="000000"/>
                <w:sz w:val="20"/>
                <w:szCs w:val="20"/>
              </w:rPr>
              <w:t>113.91%</w:t>
            </w:r>
          </w:p>
        </w:tc>
        <w:tc>
          <w:tcPr>
            <w:tcW w:w="510" w:type="pct"/>
            <w:tcBorders>
              <w:top w:val="nil"/>
              <w:left w:val="nil"/>
              <w:bottom w:val="nil"/>
              <w:right w:val="nil"/>
            </w:tcBorders>
            <w:shd w:val="clear" w:color="auto" w:fill="auto"/>
            <w:vAlign w:val="bottom"/>
            <w:hideMark/>
          </w:tcPr>
          <w:p w:rsidR="00241A2F" w:rsidRPr="00D0380B" w:rsidRDefault="00241A2F" w:rsidP="00241A2F">
            <w:pPr>
              <w:jc w:val="right"/>
              <w:rPr>
                <w:color w:val="000000"/>
                <w:sz w:val="20"/>
                <w:szCs w:val="20"/>
              </w:rPr>
            </w:pPr>
            <w:r w:rsidRPr="00D0380B">
              <w:rPr>
                <w:color w:val="000000"/>
                <w:sz w:val="20"/>
                <w:szCs w:val="20"/>
              </w:rPr>
              <w:t>106.63%</w:t>
            </w:r>
          </w:p>
        </w:tc>
        <w:tc>
          <w:tcPr>
            <w:tcW w:w="554" w:type="pct"/>
            <w:tcBorders>
              <w:top w:val="nil"/>
              <w:left w:val="nil"/>
              <w:bottom w:val="nil"/>
              <w:right w:val="nil"/>
            </w:tcBorders>
            <w:shd w:val="clear" w:color="auto" w:fill="auto"/>
            <w:vAlign w:val="bottom"/>
            <w:hideMark/>
          </w:tcPr>
          <w:p w:rsidR="00241A2F" w:rsidRPr="00D0380B" w:rsidRDefault="00241A2F" w:rsidP="00241A2F">
            <w:pPr>
              <w:jc w:val="right"/>
              <w:rPr>
                <w:color w:val="000000"/>
                <w:sz w:val="20"/>
                <w:szCs w:val="20"/>
              </w:rPr>
            </w:pPr>
            <w:r w:rsidRPr="00D0380B">
              <w:rPr>
                <w:color w:val="000000"/>
                <w:sz w:val="20"/>
                <w:szCs w:val="20"/>
              </w:rPr>
              <w:t>3.82%</w:t>
            </w:r>
          </w:p>
        </w:tc>
      </w:tr>
      <w:tr w:rsidR="00241A2F" w:rsidRPr="00D0380B" w:rsidTr="00D0380B">
        <w:trPr>
          <w:trHeight w:val="300"/>
        </w:trPr>
        <w:tc>
          <w:tcPr>
            <w:tcW w:w="970" w:type="pct"/>
            <w:tcBorders>
              <w:top w:val="nil"/>
              <w:left w:val="single" w:sz="8" w:space="0" w:color="DDDDDD"/>
              <w:bottom w:val="single" w:sz="8" w:space="0" w:color="DDDDDD"/>
              <w:right w:val="single" w:sz="8" w:space="0" w:color="DDDDDD"/>
            </w:tcBorders>
            <w:shd w:val="clear" w:color="000000" w:fill="FFFFFF"/>
            <w:hideMark/>
          </w:tcPr>
          <w:p w:rsidR="00241A2F" w:rsidRPr="00D0380B" w:rsidRDefault="00241A2F" w:rsidP="00241A2F">
            <w:pPr>
              <w:jc w:val="right"/>
              <w:rPr>
                <w:color w:val="000000"/>
                <w:sz w:val="20"/>
                <w:szCs w:val="20"/>
              </w:rPr>
            </w:pPr>
            <w:r w:rsidRPr="00D0380B">
              <w:rPr>
                <w:color w:val="000000"/>
                <w:sz w:val="20"/>
                <w:szCs w:val="20"/>
              </w:rPr>
              <w:t>2014</w:t>
            </w:r>
          </w:p>
        </w:tc>
        <w:tc>
          <w:tcPr>
            <w:tcW w:w="657" w:type="pct"/>
            <w:tcBorders>
              <w:top w:val="nil"/>
              <w:left w:val="nil"/>
              <w:bottom w:val="single" w:sz="8" w:space="0" w:color="DDDDDD"/>
              <w:right w:val="single" w:sz="8" w:space="0" w:color="DDDDDD"/>
            </w:tcBorders>
            <w:shd w:val="clear" w:color="000000" w:fill="F9F9F9"/>
            <w:hideMark/>
          </w:tcPr>
          <w:p w:rsidR="00241A2F" w:rsidRPr="00D0380B" w:rsidRDefault="00241A2F" w:rsidP="00241A2F">
            <w:pPr>
              <w:jc w:val="right"/>
              <w:rPr>
                <w:color w:val="000000"/>
                <w:sz w:val="20"/>
                <w:szCs w:val="20"/>
              </w:rPr>
            </w:pPr>
            <w:r w:rsidRPr="00D0380B">
              <w:rPr>
                <w:color w:val="000000"/>
                <w:sz w:val="20"/>
                <w:szCs w:val="20"/>
              </w:rPr>
              <w:t>143.37%</w:t>
            </w:r>
          </w:p>
        </w:tc>
        <w:tc>
          <w:tcPr>
            <w:tcW w:w="730" w:type="pct"/>
            <w:tcBorders>
              <w:top w:val="nil"/>
              <w:left w:val="nil"/>
              <w:bottom w:val="single" w:sz="8" w:space="0" w:color="DDDDDD"/>
              <w:right w:val="single" w:sz="8" w:space="0" w:color="DDDDDD"/>
            </w:tcBorders>
            <w:shd w:val="clear" w:color="000000" w:fill="F9F9F9"/>
            <w:hideMark/>
          </w:tcPr>
          <w:p w:rsidR="00241A2F" w:rsidRPr="00D0380B" w:rsidRDefault="00241A2F" w:rsidP="00241A2F">
            <w:pPr>
              <w:jc w:val="right"/>
              <w:rPr>
                <w:color w:val="000000"/>
                <w:sz w:val="20"/>
                <w:szCs w:val="20"/>
              </w:rPr>
            </w:pPr>
            <w:r w:rsidRPr="00D0380B">
              <w:rPr>
                <w:color w:val="000000"/>
                <w:sz w:val="20"/>
                <w:szCs w:val="20"/>
              </w:rPr>
              <w:t>100.96%</w:t>
            </w:r>
          </w:p>
        </w:tc>
        <w:tc>
          <w:tcPr>
            <w:tcW w:w="792" w:type="pct"/>
            <w:tcBorders>
              <w:top w:val="nil"/>
              <w:left w:val="nil"/>
              <w:bottom w:val="single" w:sz="8" w:space="0" w:color="DDDDDD"/>
              <w:right w:val="single" w:sz="8" w:space="0" w:color="DDDDDD"/>
            </w:tcBorders>
            <w:shd w:val="clear" w:color="000000" w:fill="F9F9F9"/>
            <w:hideMark/>
          </w:tcPr>
          <w:p w:rsidR="00241A2F" w:rsidRPr="00D0380B" w:rsidRDefault="00241A2F" w:rsidP="00241A2F">
            <w:pPr>
              <w:jc w:val="right"/>
              <w:rPr>
                <w:color w:val="000000"/>
                <w:sz w:val="20"/>
                <w:szCs w:val="20"/>
              </w:rPr>
            </w:pPr>
            <w:r w:rsidRPr="00D0380B">
              <w:rPr>
                <w:color w:val="000000"/>
                <w:sz w:val="20"/>
                <w:szCs w:val="20"/>
              </w:rPr>
              <w:t>99.29%</w:t>
            </w:r>
          </w:p>
        </w:tc>
        <w:tc>
          <w:tcPr>
            <w:tcW w:w="788" w:type="pct"/>
            <w:tcBorders>
              <w:top w:val="nil"/>
              <w:left w:val="nil"/>
              <w:bottom w:val="single" w:sz="8" w:space="0" w:color="DDDDDD"/>
              <w:right w:val="single" w:sz="8" w:space="0" w:color="DDDDDD"/>
            </w:tcBorders>
            <w:shd w:val="clear" w:color="000000" w:fill="F9F9F9"/>
            <w:hideMark/>
          </w:tcPr>
          <w:p w:rsidR="00241A2F" w:rsidRPr="00D0380B" w:rsidRDefault="00241A2F" w:rsidP="00241A2F">
            <w:pPr>
              <w:jc w:val="right"/>
              <w:rPr>
                <w:color w:val="000000"/>
                <w:sz w:val="20"/>
                <w:szCs w:val="20"/>
              </w:rPr>
            </w:pPr>
            <w:r w:rsidRPr="00D0380B">
              <w:rPr>
                <w:color w:val="000000"/>
                <w:sz w:val="20"/>
                <w:szCs w:val="20"/>
              </w:rPr>
              <w:t>110.23%</w:t>
            </w:r>
          </w:p>
        </w:tc>
        <w:tc>
          <w:tcPr>
            <w:tcW w:w="510" w:type="pct"/>
            <w:tcBorders>
              <w:top w:val="nil"/>
              <w:left w:val="nil"/>
              <w:bottom w:val="nil"/>
              <w:right w:val="nil"/>
            </w:tcBorders>
            <w:shd w:val="clear" w:color="auto" w:fill="auto"/>
            <w:vAlign w:val="bottom"/>
            <w:hideMark/>
          </w:tcPr>
          <w:p w:rsidR="00241A2F" w:rsidRPr="00D0380B" w:rsidRDefault="00241A2F" w:rsidP="00241A2F">
            <w:pPr>
              <w:jc w:val="right"/>
              <w:rPr>
                <w:color w:val="000000"/>
                <w:sz w:val="20"/>
                <w:szCs w:val="20"/>
              </w:rPr>
            </w:pPr>
            <w:r w:rsidRPr="00D0380B">
              <w:rPr>
                <w:color w:val="000000"/>
                <w:sz w:val="20"/>
                <w:szCs w:val="20"/>
              </w:rPr>
              <w:t>113.46%</w:t>
            </w:r>
          </w:p>
        </w:tc>
        <w:tc>
          <w:tcPr>
            <w:tcW w:w="554" w:type="pct"/>
            <w:tcBorders>
              <w:top w:val="nil"/>
              <w:left w:val="nil"/>
              <w:bottom w:val="nil"/>
              <w:right w:val="nil"/>
            </w:tcBorders>
            <w:shd w:val="clear" w:color="auto" w:fill="auto"/>
            <w:vAlign w:val="bottom"/>
            <w:hideMark/>
          </w:tcPr>
          <w:p w:rsidR="00241A2F" w:rsidRPr="00D0380B" w:rsidRDefault="00241A2F" w:rsidP="00241A2F">
            <w:pPr>
              <w:jc w:val="right"/>
              <w:rPr>
                <w:color w:val="000000"/>
                <w:sz w:val="20"/>
                <w:szCs w:val="20"/>
              </w:rPr>
            </w:pPr>
            <w:r w:rsidRPr="00D0380B">
              <w:rPr>
                <w:color w:val="000000"/>
                <w:sz w:val="20"/>
                <w:szCs w:val="20"/>
              </w:rPr>
              <w:t>-3.02%</w:t>
            </w:r>
          </w:p>
        </w:tc>
      </w:tr>
      <w:tr w:rsidR="00ED740E" w:rsidRPr="00D0380B" w:rsidTr="00D0380B">
        <w:trPr>
          <w:trHeight w:val="288"/>
        </w:trPr>
        <w:tc>
          <w:tcPr>
            <w:tcW w:w="970" w:type="pct"/>
            <w:tcBorders>
              <w:top w:val="nil"/>
              <w:left w:val="nil"/>
              <w:bottom w:val="nil"/>
              <w:right w:val="nil"/>
            </w:tcBorders>
            <w:shd w:val="clear" w:color="auto" w:fill="auto"/>
            <w:noWrap/>
            <w:vAlign w:val="bottom"/>
            <w:hideMark/>
          </w:tcPr>
          <w:p w:rsidR="00241A2F" w:rsidRPr="00D0380B" w:rsidRDefault="00241A2F" w:rsidP="00241A2F">
            <w:pPr>
              <w:rPr>
                <w:color w:val="000000"/>
                <w:sz w:val="20"/>
                <w:szCs w:val="20"/>
              </w:rPr>
            </w:pPr>
            <w:r w:rsidRPr="00D0380B">
              <w:rPr>
                <w:color w:val="000000"/>
                <w:sz w:val="20"/>
                <w:szCs w:val="20"/>
              </w:rPr>
              <w:t>Average</w:t>
            </w:r>
          </w:p>
        </w:tc>
        <w:tc>
          <w:tcPr>
            <w:tcW w:w="657" w:type="pct"/>
            <w:tcBorders>
              <w:top w:val="nil"/>
              <w:left w:val="nil"/>
              <w:bottom w:val="nil"/>
              <w:right w:val="nil"/>
            </w:tcBorders>
            <w:shd w:val="clear" w:color="auto" w:fill="auto"/>
            <w:vAlign w:val="bottom"/>
            <w:hideMark/>
          </w:tcPr>
          <w:p w:rsidR="00241A2F" w:rsidRPr="00D0380B" w:rsidRDefault="00241A2F" w:rsidP="00241A2F">
            <w:pPr>
              <w:jc w:val="right"/>
              <w:rPr>
                <w:color w:val="000000"/>
                <w:sz w:val="20"/>
                <w:szCs w:val="20"/>
              </w:rPr>
            </w:pPr>
            <w:r w:rsidRPr="00D0380B">
              <w:rPr>
                <w:color w:val="000000"/>
                <w:sz w:val="20"/>
                <w:szCs w:val="20"/>
              </w:rPr>
              <w:t>116.67%</w:t>
            </w:r>
          </w:p>
        </w:tc>
        <w:tc>
          <w:tcPr>
            <w:tcW w:w="730" w:type="pct"/>
            <w:tcBorders>
              <w:top w:val="nil"/>
              <w:left w:val="nil"/>
              <w:bottom w:val="nil"/>
              <w:right w:val="nil"/>
            </w:tcBorders>
            <w:shd w:val="clear" w:color="auto" w:fill="auto"/>
            <w:vAlign w:val="bottom"/>
            <w:hideMark/>
          </w:tcPr>
          <w:p w:rsidR="00241A2F" w:rsidRPr="00D0380B" w:rsidRDefault="00241A2F" w:rsidP="00241A2F">
            <w:pPr>
              <w:jc w:val="right"/>
              <w:rPr>
                <w:color w:val="000000"/>
                <w:sz w:val="20"/>
                <w:szCs w:val="20"/>
              </w:rPr>
            </w:pPr>
            <w:r w:rsidRPr="00D0380B">
              <w:rPr>
                <w:color w:val="000000"/>
                <w:sz w:val="20"/>
                <w:szCs w:val="20"/>
              </w:rPr>
              <w:t>106.36%</w:t>
            </w:r>
          </w:p>
        </w:tc>
        <w:tc>
          <w:tcPr>
            <w:tcW w:w="792" w:type="pct"/>
            <w:tcBorders>
              <w:top w:val="nil"/>
              <w:left w:val="nil"/>
              <w:bottom w:val="nil"/>
              <w:right w:val="nil"/>
            </w:tcBorders>
            <w:shd w:val="clear" w:color="auto" w:fill="auto"/>
            <w:vAlign w:val="bottom"/>
            <w:hideMark/>
          </w:tcPr>
          <w:p w:rsidR="00241A2F" w:rsidRPr="00D0380B" w:rsidRDefault="00241A2F" w:rsidP="00241A2F">
            <w:pPr>
              <w:jc w:val="right"/>
              <w:rPr>
                <w:color w:val="000000"/>
                <w:sz w:val="20"/>
                <w:szCs w:val="20"/>
              </w:rPr>
            </w:pPr>
            <w:r w:rsidRPr="00D0380B">
              <w:rPr>
                <w:color w:val="000000"/>
                <w:sz w:val="20"/>
                <w:szCs w:val="20"/>
              </w:rPr>
              <w:t>88.17%</w:t>
            </w:r>
          </w:p>
        </w:tc>
        <w:tc>
          <w:tcPr>
            <w:tcW w:w="788" w:type="pct"/>
            <w:tcBorders>
              <w:top w:val="nil"/>
              <w:left w:val="nil"/>
              <w:bottom w:val="nil"/>
              <w:right w:val="nil"/>
            </w:tcBorders>
            <w:shd w:val="clear" w:color="auto" w:fill="auto"/>
            <w:vAlign w:val="bottom"/>
            <w:hideMark/>
          </w:tcPr>
          <w:p w:rsidR="00241A2F" w:rsidRPr="00D0380B" w:rsidRDefault="00241A2F" w:rsidP="00241A2F">
            <w:pPr>
              <w:jc w:val="right"/>
              <w:rPr>
                <w:color w:val="000000"/>
                <w:sz w:val="20"/>
                <w:szCs w:val="20"/>
              </w:rPr>
            </w:pPr>
            <w:r w:rsidRPr="00D0380B">
              <w:rPr>
                <w:color w:val="000000"/>
                <w:sz w:val="20"/>
                <w:szCs w:val="20"/>
              </w:rPr>
              <w:t>107.10%</w:t>
            </w:r>
          </w:p>
        </w:tc>
        <w:tc>
          <w:tcPr>
            <w:tcW w:w="510" w:type="pct"/>
            <w:tcBorders>
              <w:top w:val="nil"/>
              <w:left w:val="nil"/>
              <w:bottom w:val="nil"/>
              <w:right w:val="nil"/>
            </w:tcBorders>
            <w:shd w:val="clear" w:color="000000" w:fill="FFFF00"/>
            <w:vAlign w:val="bottom"/>
            <w:hideMark/>
          </w:tcPr>
          <w:p w:rsidR="00241A2F" w:rsidRPr="00D0380B" w:rsidRDefault="00241A2F" w:rsidP="00241A2F">
            <w:pPr>
              <w:jc w:val="right"/>
              <w:rPr>
                <w:color w:val="000000"/>
                <w:sz w:val="20"/>
                <w:szCs w:val="20"/>
              </w:rPr>
            </w:pPr>
            <w:r w:rsidRPr="00D0380B">
              <w:rPr>
                <w:color w:val="000000"/>
                <w:sz w:val="20"/>
                <w:szCs w:val="20"/>
              </w:rPr>
              <w:t>104.58%</w:t>
            </w:r>
          </w:p>
        </w:tc>
        <w:tc>
          <w:tcPr>
            <w:tcW w:w="554" w:type="pct"/>
            <w:tcBorders>
              <w:top w:val="nil"/>
              <w:left w:val="nil"/>
              <w:bottom w:val="nil"/>
              <w:right w:val="nil"/>
            </w:tcBorders>
            <w:shd w:val="clear" w:color="auto" w:fill="auto"/>
            <w:vAlign w:val="bottom"/>
            <w:hideMark/>
          </w:tcPr>
          <w:p w:rsidR="00241A2F" w:rsidRPr="00D0380B" w:rsidRDefault="00241A2F" w:rsidP="00241A2F">
            <w:pPr>
              <w:jc w:val="right"/>
              <w:rPr>
                <w:color w:val="000000"/>
                <w:sz w:val="20"/>
                <w:szCs w:val="20"/>
              </w:rPr>
            </w:pPr>
          </w:p>
        </w:tc>
      </w:tr>
      <w:tr w:rsidR="00ED740E" w:rsidRPr="00D0380B" w:rsidTr="00D0380B">
        <w:trPr>
          <w:trHeight w:val="288"/>
        </w:trPr>
        <w:tc>
          <w:tcPr>
            <w:tcW w:w="970" w:type="pct"/>
            <w:tcBorders>
              <w:top w:val="nil"/>
              <w:left w:val="nil"/>
              <w:bottom w:val="nil"/>
              <w:right w:val="nil"/>
            </w:tcBorders>
            <w:shd w:val="clear" w:color="auto" w:fill="auto"/>
            <w:noWrap/>
            <w:vAlign w:val="bottom"/>
            <w:hideMark/>
          </w:tcPr>
          <w:p w:rsidR="00241A2F" w:rsidRPr="00D0380B" w:rsidRDefault="00241A2F" w:rsidP="00241A2F">
            <w:pPr>
              <w:rPr>
                <w:color w:val="000000"/>
                <w:sz w:val="20"/>
                <w:szCs w:val="20"/>
              </w:rPr>
            </w:pPr>
            <w:r w:rsidRPr="00D0380B">
              <w:rPr>
                <w:color w:val="000000"/>
                <w:sz w:val="20"/>
                <w:szCs w:val="20"/>
              </w:rPr>
              <w:t>Standard deviation</w:t>
            </w:r>
          </w:p>
        </w:tc>
        <w:tc>
          <w:tcPr>
            <w:tcW w:w="657" w:type="pct"/>
            <w:tcBorders>
              <w:top w:val="nil"/>
              <w:left w:val="nil"/>
              <w:bottom w:val="nil"/>
              <w:right w:val="nil"/>
            </w:tcBorders>
            <w:shd w:val="clear" w:color="auto" w:fill="auto"/>
            <w:vAlign w:val="bottom"/>
            <w:hideMark/>
          </w:tcPr>
          <w:p w:rsidR="00241A2F" w:rsidRPr="00D0380B" w:rsidRDefault="00241A2F" w:rsidP="00241A2F">
            <w:pPr>
              <w:jc w:val="right"/>
              <w:rPr>
                <w:color w:val="000000"/>
                <w:sz w:val="20"/>
                <w:szCs w:val="20"/>
              </w:rPr>
            </w:pPr>
            <w:r w:rsidRPr="00D0380B">
              <w:rPr>
                <w:color w:val="000000"/>
                <w:sz w:val="20"/>
                <w:szCs w:val="20"/>
              </w:rPr>
              <w:t>-12.10%</w:t>
            </w:r>
          </w:p>
        </w:tc>
        <w:tc>
          <w:tcPr>
            <w:tcW w:w="730" w:type="pct"/>
            <w:tcBorders>
              <w:top w:val="nil"/>
              <w:left w:val="nil"/>
              <w:bottom w:val="nil"/>
              <w:right w:val="nil"/>
            </w:tcBorders>
            <w:shd w:val="clear" w:color="auto" w:fill="auto"/>
            <w:vAlign w:val="bottom"/>
            <w:hideMark/>
          </w:tcPr>
          <w:p w:rsidR="00241A2F" w:rsidRPr="00D0380B" w:rsidRDefault="00241A2F" w:rsidP="00241A2F">
            <w:pPr>
              <w:jc w:val="right"/>
              <w:rPr>
                <w:color w:val="000000"/>
                <w:sz w:val="20"/>
                <w:szCs w:val="20"/>
              </w:rPr>
            </w:pPr>
            <w:r w:rsidRPr="00D0380B">
              <w:rPr>
                <w:color w:val="000000"/>
                <w:sz w:val="20"/>
                <w:szCs w:val="20"/>
              </w:rPr>
              <w:t>-1.78%</w:t>
            </w:r>
          </w:p>
        </w:tc>
        <w:tc>
          <w:tcPr>
            <w:tcW w:w="792" w:type="pct"/>
            <w:tcBorders>
              <w:top w:val="nil"/>
              <w:left w:val="nil"/>
              <w:bottom w:val="nil"/>
              <w:right w:val="nil"/>
            </w:tcBorders>
            <w:shd w:val="clear" w:color="auto" w:fill="auto"/>
            <w:vAlign w:val="bottom"/>
            <w:hideMark/>
          </w:tcPr>
          <w:p w:rsidR="00241A2F" w:rsidRPr="00D0380B" w:rsidRDefault="00241A2F" w:rsidP="00241A2F">
            <w:pPr>
              <w:jc w:val="right"/>
              <w:rPr>
                <w:color w:val="000000"/>
                <w:sz w:val="20"/>
                <w:szCs w:val="20"/>
              </w:rPr>
            </w:pPr>
            <w:r w:rsidRPr="00D0380B">
              <w:rPr>
                <w:color w:val="000000"/>
                <w:sz w:val="20"/>
                <w:szCs w:val="20"/>
              </w:rPr>
              <w:t>16.41%</w:t>
            </w:r>
          </w:p>
        </w:tc>
        <w:tc>
          <w:tcPr>
            <w:tcW w:w="788" w:type="pct"/>
            <w:tcBorders>
              <w:top w:val="nil"/>
              <w:left w:val="nil"/>
              <w:bottom w:val="nil"/>
              <w:right w:val="nil"/>
            </w:tcBorders>
            <w:shd w:val="clear" w:color="auto" w:fill="auto"/>
            <w:vAlign w:val="bottom"/>
            <w:hideMark/>
          </w:tcPr>
          <w:p w:rsidR="00241A2F" w:rsidRPr="00D0380B" w:rsidRDefault="00241A2F" w:rsidP="00241A2F">
            <w:pPr>
              <w:jc w:val="right"/>
              <w:rPr>
                <w:color w:val="000000"/>
                <w:sz w:val="20"/>
                <w:szCs w:val="20"/>
              </w:rPr>
            </w:pPr>
            <w:r w:rsidRPr="00D0380B">
              <w:rPr>
                <w:color w:val="000000"/>
                <w:sz w:val="20"/>
                <w:szCs w:val="20"/>
              </w:rPr>
              <w:t>-2.53%</w:t>
            </w:r>
          </w:p>
        </w:tc>
        <w:tc>
          <w:tcPr>
            <w:tcW w:w="510" w:type="pct"/>
            <w:tcBorders>
              <w:top w:val="nil"/>
              <w:left w:val="nil"/>
              <w:bottom w:val="nil"/>
              <w:right w:val="nil"/>
            </w:tcBorders>
            <w:shd w:val="clear" w:color="auto" w:fill="auto"/>
            <w:vAlign w:val="bottom"/>
            <w:hideMark/>
          </w:tcPr>
          <w:p w:rsidR="00241A2F" w:rsidRPr="00D0380B" w:rsidRDefault="00241A2F" w:rsidP="00241A2F">
            <w:pPr>
              <w:jc w:val="right"/>
              <w:rPr>
                <w:color w:val="000000"/>
                <w:sz w:val="20"/>
                <w:szCs w:val="20"/>
              </w:rPr>
            </w:pPr>
          </w:p>
        </w:tc>
        <w:tc>
          <w:tcPr>
            <w:tcW w:w="554" w:type="pct"/>
            <w:tcBorders>
              <w:top w:val="nil"/>
              <w:left w:val="nil"/>
              <w:bottom w:val="nil"/>
              <w:right w:val="nil"/>
            </w:tcBorders>
            <w:shd w:val="clear" w:color="auto" w:fill="auto"/>
            <w:vAlign w:val="bottom"/>
            <w:hideMark/>
          </w:tcPr>
          <w:p w:rsidR="00241A2F" w:rsidRPr="00D0380B" w:rsidRDefault="00241A2F" w:rsidP="00241A2F">
            <w:pPr>
              <w:rPr>
                <w:sz w:val="20"/>
                <w:szCs w:val="20"/>
              </w:rPr>
            </w:pPr>
          </w:p>
        </w:tc>
      </w:tr>
    </w:tbl>
    <w:p w:rsidR="003202D6" w:rsidRDefault="003202D6" w:rsidP="003202D6">
      <w:pPr>
        <w:rPr>
          <w:lang w:val="ro-RO"/>
        </w:rPr>
      </w:pPr>
    </w:p>
    <w:p w:rsidR="00ED740E" w:rsidRDefault="00ED740E" w:rsidP="00ED740E">
      <w:pPr>
        <w:ind w:firstLine="720"/>
        <w:jc w:val="both"/>
        <w:rPr>
          <w:lang w:val="ro-RO"/>
        </w:rPr>
      </w:pPr>
      <w:r>
        <w:rPr>
          <w:lang w:val="ro-RO"/>
        </w:rPr>
        <w:t>Îngrijorătoare din punct de vedere al vulnerabi</w:t>
      </w:r>
      <w:r w:rsidR="0030054E">
        <w:rPr>
          <w:lang w:val="ro-RO"/>
        </w:rPr>
        <w:t>lităților propuse a fi evaluate</w:t>
      </w:r>
      <w:r>
        <w:rPr>
          <w:lang w:val="ro-RO"/>
        </w:rPr>
        <w:t xml:space="preserve"> </w:t>
      </w:r>
      <w:r w:rsidR="0030054E">
        <w:rPr>
          <w:lang w:val="ro-RO"/>
        </w:rPr>
        <w:t>sunt</w:t>
      </w:r>
      <w:r>
        <w:rPr>
          <w:lang w:val="ro-RO"/>
        </w:rPr>
        <w:t xml:space="preserve"> trendurile de evoluție a celor două ra</w:t>
      </w:r>
      <w:r w:rsidR="00C9656D">
        <w:rPr>
          <w:lang w:val="ro-RO"/>
        </w:rPr>
        <w:t>te de profitabilitate, respectâ</w:t>
      </w:r>
      <w:r>
        <w:rPr>
          <w:lang w:val="ro-RO"/>
        </w:rPr>
        <w:t>nd trenduri cons</w:t>
      </w:r>
      <w:r w:rsidR="00C9656D">
        <w:rPr>
          <w:lang w:val="ro-RO"/>
        </w:rPr>
        <w:t>tant negative de la începutul până</w:t>
      </w:r>
      <w:r>
        <w:rPr>
          <w:lang w:val="ro-RO"/>
        </w:rPr>
        <w:t xml:space="preserve"> la sfârșitul</w:t>
      </w:r>
      <w:r w:rsidR="00D0380B">
        <w:rPr>
          <w:lang w:val="ro-RO"/>
        </w:rPr>
        <w:t xml:space="preserve"> perioadei și astfel, </w:t>
      </w:r>
      <w:r w:rsidR="00C9656D">
        <w:rPr>
          <w:lang w:val="ro-RO"/>
        </w:rPr>
        <w:t>atingâ</w:t>
      </w:r>
      <w:r>
        <w:rPr>
          <w:lang w:val="ro-RO"/>
        </w:rPr>
        <w:t>nd punct criti</w:t>
      </w:r>
      <w:r w:rsidR="00D0380B">
        <w:rPr>
          <w:lang w:val="ro-RO"/>
        </w:rPr>
        <w:t xml:space="preserve">c de inflexiune în anul 2017 </w:t>
      </w:r>
      <w:r w:rsidR="00C9656D">
        <w:rPr>
          <w:lang w:val="ro-RO"/>
        </w:rPr>
        <w:t>câ</w:t>
      </w:r>
      <w:r>
        <w:rPr>
          <w:lang w:val="ro-RO"/>
        </w:rPr>
        <w:t>nd valoarea de creștere devine subunitară. Acest aspect coroborat c</w:t>
      </w:r>
      <w:r w:rsidR="00C9656D">
        <w:rPr>
          <w:lang w:val="ro-RO"/>
        </w:rPr>
        <w:t>u</w:t>
      </w:r>
      <w:r>
        <w:rPr>
          <w:lang w:val="ro-RO"/>
        </w:rPr>
        <w:t xml:space="preserve"> dinamica general</w:t>
      </w:r>
      <w:r w:rsidR="00C9656D">
        <w:rPr>
          <w:lang w:val="ro-RO"/>
        </w:rPr>
        <w:t>ă a cifrei de afaceri semnalează</w:t>
      </w:r>
      <w:r>
        <w:rPr>
          <w:lang w:val="ro-RO"/>
        </w:rPr>
        <w:t xml:space="preserve"> vulnerabilitatea economică la care sunt expuși agenții pe un climat macroeconomic instabil, caracterizat de inflație (cea mai mare la nivelul UE în 2016-2017), politică monetară bugetară instabilă și deficit al balanței de plăți. </w:t>
      </w:r>
    </w:p>
    <w:p w:rsidR="00ED740E" w:rsidRDefault="00ED740E" w:rsidP="00ED740E">
      <w:pPr>
        <w:ind w:firstLine="720"/>
        <w:jc w:val="both"/>
        <w:rPr>
          <w:lang w:val="ro-RO"/>
        </w:rPr>
      </w:pPr>
      <w:r>
        <w:rPr>
          <w:lang w:val="ro-RO"/>
        </w:rPr>
        <w:t>Același trend se constată pentru creșterea capitalurilor proprii ale companiilor care înregistrează pe medie aceeași evoluție descrescătoare cu o rată de capitalizare de doar 9% pe an la nivelul eșantionului analizat cu mențiunea că tendințe de stabilizare a trendului spre sf</w:t>
      </w:r>
      <w:r w:rsidR="00C9656D">
        <w:rPr>
          <w:lang w:val="ro-RO"/>
        </w:rPr>
        <w:t>ârșitul</w:t>
      </w:r>
      <w:r>
        <w:rPr>
          <w:lang w:val="ro-RO"/>
        </w:rPr>
        <w:t xml:space="preserve"> perioadei au fost observate pentru 75% din sec</w:t>
      </w:r>
      <w:r w:rsidR="00C9656D">
        <w:rPr>
          <w:lang w:val="ro-RO"/>
        </w:rPr>
        <w:t>t</w:t>
      </w:r>
      <w:r>
        <w:rPr>
          <w:lang w:val="ro-RO"/>
        </w:rPr>
        <w:t>oarele analizate (B</w:t>
      </w:r>
      <w:r w:rsidR="00D0380B">
        <w:rPr>
          <w:lang w:val="ro-RO"/>
        </w:rPr>
        <w:t xml:space="preserve"> – </w:t>
      </w:r>
      <w:r w:rsidR="00C9656D">
        <w:rPr>
          <w:lang w:val="ro-RO"/>
        </w:rPr>
        <w:t>Industria prelucrătoare</w:t>
      </w:r>
      <w:r>
        <w:rPr>
          <w:lang w:val="ro-RO"/>
        </w:rPr>
        <w:t>, F</w:t>
      </w:r>
      <w:r w:rsidR="00D0380B">
        <w:rPr>
          <w:lang w:val="ro-RO"/>
        </w:rPr>
        <w:t xml:space="preserve"> –  </w:t>
      </w:r>
      <w:r>
        <w:rPr>
          <w:lang w:val="ro-RO"/>
        </w:rPr>
        <w:t>Constr</w:t>
      </w:r>
      <w:r w:rsidR="00C9656D">
        <w:rPr>
          <w:lang w:val="ro-RO"/>
        </w:rPr>
        <w:t>ucții, G</w:t>
      </w:r>
      <w:r w:rsidR="00D0380B">
        <w:rPr>
          <w:lang w:val="ro-RO"/>
        </w:rPr>
        <w:t xml:space="preserve"> – </w:t>
      </w:r>
      <w:r w:rsidR="00C9656D">
        <w:rPr>
          <w:lang w:val="ro-RO"/>
        </w:rPr>
        <w:t>Comerț</w:t>
      </w:r>
      <w:r>
        <w:rPr>
          <w:lang w:val="ro-RO"/>
        </w:rPr>
        <w:t>), în timp ce pent</w:t>
      </w:r>
      <w:r w:rsidR="00C9656D">
        <w:rPr>
          <w:lang w:val="ro-RO"/>
        </w:rPr>
        <w:t xml:space="preserve">ru sectorul </w:t>
      </w:r>
      <w:r w:rsidR="00D0380B">
        <w:rPr>
          <w:lang w:val="ro-RO"/>
        </w:rPr>
        <w:t>H – T</w:t>
      </w:r>
      <w:r w:rsidR="00C9656D">
        <w:rPr>
          <w:lang w:val="ro-RO"/>
        </w:rPr>
        <w:t>ransport</w:t>
      </w:r>
      <w:r w:rsidR="00542A54">
        <w:rPr>
          <w:lang w:val="ro-RO"/>
        </w:rPr>
        <w:t>uri</w:t>
      </w:r>
      <w:r w:rsidR="00D0380B">
        <w:rPr>
          <w:lang w:val="ro-RO"/>
        </w:rPr>
        <w:t xml:space="preserve"> </w:t>
      </w:r>
      <w:r w:rsidR="00C9656D">
        <w:rPr>
          <w:lang w:val="ro-RO"/>
        </w:rPr>
        <w:t>evoluția este una constant negativă respectiv de scă</w:t>
      </w:r>
      <w:r>
        <w:rPr>
          <w:lang w:val="ro-RO"/>
        </w:rPr>
        <w:t>dere a capitaliz</w:t>
      </w:r>
      <w:r w:rsidR="00C9656D">
        <w:rPr>
          <w:lang w:val="ro-RO"/>
        </w:rPr>
        <w:t>ării la nivel de ramur</w:t>
      </w:r>
      <w:r w:rsidR="00D0380B">
        <w:rPr>
          <w:lang w:val="ro-RO"/>
        </w:rPr>
        <w:t>ă</w:t>
      </w:r>
      <w:r w:rsidR="00C9656D">
        <w:rPr>
          <w:lang w:val="ro-RO"/>
        </w:rPr>
        <w:t xml:space="preserve"> cu până la 50% în anul 2017 față de evoluția din anul preced</w:t>
      </w:r>
      <w:r w:rsidR="00D0380B">
        <w:rPr>
          <w:lang w:val="ro-RO"/>
        </w:rPr>
        <w:t>ent. Datele sunt prezentate în T</w:t>
      </w:r>
      <w:r w:rsidR="00C9656D">
        <w:rPr>
          <w:lang w:val="ro-RO"/>
        </w:rPr>
        <w:t>abelul</w:t>
      </w:r>
      <w:r w:rsidR="00D0380B">
        <w:rPr>
          <w:lang w:val="ro-RO"/>
        </w:rPr>
        <w:t xml:space="preserve"> nr.</w:t>
      </w:r>
      <w:r w:rsidR="00C9656D">
        <w:rPr>
          <w:lang w:val="ro-RO"/>
        </w:rPr>
        <w:t xml:space="preserve"> 3.</w:t>
      </w:r>
    </w:p>
    <w:p w:rsidR="00C9656D" w:rsidRDefault="00C9656D" w:rsidP="00ED740E">
      <w:pPr>
        <w:ind w:firstLine="720"/>
        <w:jc w:val="both"/>
        <w:rPr>
          <w:lang w:val="ro-RO"/>
        </w:rPr>
      </w:pPr>
    </w:p>
    <w:p w:rsidR="00ED740E" w:rsidRDefault="00C9656D" w:rsidP="00C866A0">
      <w:pPr>
        <w:jc w:val="center"/>
        <w:rPr>
          <w:lang w:val="ro-RO"/>
        </w:rPr>
      </w:pPr>
      <w:r w:rsidRPr="00D0380B">
        <w:rPr>
          <w:b/>
          <w:lang w:val="ro-RO"/>
        </w:rPr>
        <w:t>Tabel</w:t>
      </w:r>
      <w:r w:rsidR="00C866A0" w:rsidRPr="00D0380B">
        <w:rPr>
          <w:b/>
          <w:lang w:val="ro-RO"/>
        </w:rPr>
        <w:t xml:space="preserve"> nr.</w:t>
      </w:r>
      <w:r w:rsidRPr="00D0380B">
        <w:rPr>
          <w:b/>
          <w:lang w:val="ro-RO"/>
        </w:rPr>
        <w:t xml:space="preserve"> 3</w:t>
      </w:r>
      <w:r>
        <w:rPr>
          <w:lang w:val="ro-RO"/>
        </w:rPr>
        <w:t xml:space="preserve"> – Tabloul de evoluție al capitalizării pe sectoare de activitate pentru top 15 întreprinderi din județul Suceava</w:t>
      </w:r>
    </w:p>
    <w:p w:rsidR="00AF15AC" w:rsidRDefault="00AF15AC" w:rsidP="00ED740E">
      <w:pPr>
        <w:jc w:val="both"/>
        <w:rPr>
          <w:lang w:val="ro-RO"/>
        </w:rPr>
      </w:pPr>
    </w:p>
    <w:tbl>
      <w:tblPr>
        <w:tblW w:w="5000" w:type="pct"/>
        <w:tblLook w:val="04A0" w:firstRow="1" w:lastRow="0" w:firstColumn="1" w:lastColumn="0" w:noHBand="0" w:noVBand="1"/>
      </w:tblPr>
      <w:tblGrid>
        <w:gridCol w:w="1723"/>
        <w:gridCol w:w="1127"/>
        <w:gridCol w:w="1417"/>
        <w:gridCol w:w="1937"/>
        <w:gridCol w:w="1466"/>
        <w:gridCol w:w="1090"/>
        <w:gridCol w:w="1094"/>
      </w:tblGrid>
      <w:tr w:rsidR="00C9656D" w:rsidRPr="00D0380B" w:rsidTr="00D0380B">
        <w:trPr>
          <w:trHeight w:val="855"/>
        </w:trPr>
        <w:tc>
          <w:tcPr>
            <w:tcW w:w="874" w:type="pct"/>
            <w:tcBorders>
              <w:top w:val="single" w:sz="8" w:space="0" w:color="DDDDDD"/>
              <w:left w:val="single" w:sz="8" w:space="0" w:color="DDDDDD"/>
              <w:bottom w:val="single" w:sz="8" w:space="0" w:color="DDDDDD"/>
              <w:right w:val="single" w:sz="8" w:space="0" w:color="DDDDDD"/>
            </w:tcBorders>
            <w:shd w:val="clear" w:color="000000" w:fill="FFF2CC"/>
            <w:vAlign w:val="center"/>
            <w:hideMark/>
          </w:tcPr>
          <w:p w:rsidR="00C9656D" w:rsidRPr="00D0380B" w:rsidRDefault="00C9656D" w:rsidP="00C9656D">
            <w:pPr>
              <w:jc w:val="center"/>
              <w:rPr>
                <w:b/>
                <w:bCs/>
                <w:color w:val="000000"/>
                <w:sz w:val="20"/>
                <w:szCs w:val="20"/>
              </w:rPr>
            </w:pPr>
            <w:r w:rsidRPr="00D0380B">
              <w:rPr>
                <w:b/>
                <w:bCs/>
                <w:color w:val="000000"/>
                <w:sz w:val="20"/>
                <w:szCs w:val="20"/>
              </w:rPr>
              <w:t>Equity</w:t>
            </w:r>
          </w:p>
        </w:tc>
        <w:tc>
          <w:tcPr>
            <w:tcW w:w="572" w:type="pct"/>
            <w:tcBorders>
              <w:top w:val="single" w:sz="8" w:space="0" w:color="DDDDDD"/>
              <w:left w:val="nil"/>
              <w:bottom w:val="single" w:sz="8" w:space="0" w:color="DDDDDD"/>
              <w:right w:val="single" w:sz="8" w:space="0" w:color="DDDDDD"/>
            </w:tcBorders>
            <w:shd w:val="clear" w:color="000000" w:fill="FFFFFF"/>
            <w:vAlign w:val="center"/>
            <w:hideMark/>
          </w:tcPr>
          <w:p w:rsidR="00C9656D" w:rsidRPr="00D0380B" w:rsidRDefault="00C9656D" w:rsidP="00C9656D">
            <w:pPr>
              <w:jc w:val="center"/>
              <w:rPr>
                <w:b/>
                <w:bCs/>
                <w:color w:val="000000"/>
                <w:sz w:val="20"/>
                <w:szCs w:val="20"/>
              </w:rPr>
            </w:pPr>
            <w:r w:rsidRPr="00D0380B">
              <w:rPr>
                <w:b/>
                <w:bCs/>
                <w:color w:val="000000"/>
                <w:sz w:val="20"/>
                <w:szCs w:val="20"/>
              </w:rPr>
              <w:t>B - The Processing Industry</w:t>
            </w:r>
          </w:p>
        </w:tc>
        <w:tc>
          <w:tcPr>
            <w:tcW w:w="719" w:type="pct"/>
            <w:tcBorders>
              <w:top w:val="single" w:sz="8" w:space="0" w:color="DDDDDD"/>
              <w:left w:val="nil"/>
              <w:bottom w:val="single" w:sz="8" w:space="0" w:color="DDDDDD"/>
              <w:right w:val="single" w:sz="8" w:space="0" w:color="DDDDDD"/>
            </w:tcBorders>
            <w:shd w:val="clear" w:color="000000" w:fill="FFFFFF"/>
            <w:vAlign w:val="center"/>
            <w:hideMark/>
          </w:tcPr>
          <w:p w:rsidR="00C9656D" w:rsidRPr="00D0380B" w:rsidRDefault="00C9656D" w:rsidP="00C9656D">
            <w:pPr>
              <w:jc w:val="center"/>
              <w:rPr>
                <w:b/>
                <w:bCs/>
                <w:color w:val="000000"/>
                <w:sz w:val="20"/>
                <w:szCs w:val="20"/>
              </w:rPr>
            </w:pPr>
            <w:r w:rsidRPr="00D0380B">
              <w:rPr>
                <w:b/>
                <w:bCs/>
                <w:color w:val="000000"/>
                <w:sz w:val="20"/>
                <w:szCs w:val="20"/>
              </w:rPr>
              <w:t>F - Constructions</w:t>
            </w:r>
          </w:p>
        </w:tc>
        <w:tc>
          <w:tcPr>
            <w:tcW w:w="983" w:type="pct"/>
            <w:tcBorders>
              <w:top w:val="single" w:sz="8" w:space="0" w:color="DDDDDD"/>
              <w:left w:val="nil"/>
              <w:bottom w:val="single" w:sz="8" w:space="0" w:color="DDDDDD"/>
              <w:right w:val="single" w:sz="8" w:space="0" w:color="DDDDDD"/>
            </w:tcBorders>
            <w:shd w:val="clear" w:color="000000" w:fill="FFFFFF"/>
            <w:vAlign w:val="center"/>
            <w:hideMark/>
          </w:tcPr>
          <w:p w:rsidR="00C9656D" w:rsidRPr="00D0380B" w:rsidRDefault="00C9656D" w:rsidP="00C9656D">
            <w:pPr>
              <w:jc w:val="center"/>
              <w:rPr>
                <w:b/>
                <w:bCs/>
                <w:color w:val="000000"/>
                <w:sz w:val="20"/>
                <w:szCs w:val="20"/>
              </w:rPr>
            </w:pPr>
            <w:r w:rsidRPr="00D0380B">
              <w:rPr>
                <w:b/>
                <w:bCs/>
                <w:color w:val="000000"/>
                <w:sz w:val="20"/>
                <w:szCs w:val="20"/>
              </w:rPr>
              <w:t>G - Wholesale and retail trade</w:t>
            </w:r>
          </w:p>
        </w:tc>
        <w:tc>
          <w:tcPr>
            <w:tcW w:w="744" w:type="pct"/>
            <w:tcBorders>
              <w:top w:val="single" w:sz="8" w:space="0" w:color="DDDDDD"/>
              <w:left w:val="nil"/>
              <w:bottom w:val="single" w:sz="8" w:space="0" w:color="DDDDDD"/>
              <w:right w:val="single" w:sz="8" w:space="0" w:color="DDDDDD"/>
            </w:tcBorders>
            <w:shd w:val="clear" w:color="000000" w:fill="FFFFFF"/>
            <w:vAlign w:val="center"/>
            <w:hideMark/>
          </w:tcPr>
          <w:p w:rsidR="00C9656D" w:rsidRPr="00D0380B" w:rsidRDefault="00C9656D" w:rsidP="00C9656D">
            <w:pPr>
              <w:jc w:val="center"/>
              <w:rPr>
                <w:b/>
                <w:bCs/>
                <w:color w:val="000000"/>
                <w:sz w:val="20"/>
                <w:szCs w:val="20"/>
              </w:rPr>
            </w:pPr>
            <w:r w:rsidRPr="00D0380B">
              <w:rPr>
                <w:b/>
                <w:bCs/>
                <w:color w:val="000000"/>
                <w:sz w:val="20"/>
                <w:szCs w:val="20"/>
              </w:rPr>
              <w:t>H - Transport and storage</w:t>
            </w:r>
          </w:p>
        </w:tc>
        <w:tc>
          <w:tcPr>
            <w:tcW w:w="553" w:type="pct"/>
            <w:tcBorders>
              <w:top w:val="single" w:sz="8" w:space="0" w:color="DDDDDD"/>
              <w:left w:val="nil"/>
              <w:bottom w:val="single" w:sz="8" w:space="0" w:color="DDDDDD"/>
              <w:right w:val="single" w:sz="8" w:space="0" w:color="DDDDDD"/>
            </w:tcBorders>
            <w:shd w:val="clear" w:color="000000" w:fill="FFFFFF"/>
            <w:vAlign w:val="center"/>
            <w:hideMark/>
          </w:tcPr>
          <w:p w:rsidR="00C9656D" w:rsidRPr="00D0380B" w:rsidRDefault="00C9656D" w:rsidP="00C9656D">
            <w:pPr>
              <w:jc w:val="center"/>
              <w:rPr>
                <w:b/>
                <w:bCs/>
                <w:color w:val="000000"/>
                <w:sz w:val="20"/>
                <w:szCs w:val="20"/>
              </w:rPr>
            </w:pPr>
            <w:r w:rsidRPr="00D0380B">
              <w:rPr>
                <w:b/>
                <w:bCs/>
                <w:color w:val="000000"/>
                <w:sz w:val="20"/>
                <w:szCs w:val="20"/>
              </w:rPr>
              <w:t>Average</w:t>
            </w:r>
          </w:p>
        </w:tc>
        <w:tc>
          <w:tcPr>
            <w:tcW w:w="556" w:type="pct"/>
            <w:tcBorders>
              <w:top w:val="single" w:sz="8" w:space="0" w:color="DDDDDD"/>
              <w:left w:val="nil"/>
              <w:bottom w:val="single" w:sz="8" w:space="0" w:color="DDDDDD"/>
              <w:right w:val="single" w:sz="8" w:space="0" w:color="DDDDDD"/>
            </w:tcBorders>
            <w:shd w:val="clear" w:color="000000" w:fill="FFFFFF"/>
            <w:vAlign w:val="center"/>
            <w:hideMark/>
          </w:tcPr>
          <w:p w:rsidR="00C9656D" w:rsidRPr="00D0380B" w:rsidRDefault="00C9656D" w:rsidP="00C9656D">
            <w:pPr>
              <w:jc w:val="center"/>
              <w:rPr>
                <w:b/>
                <w:bCs/>
                <w:color w:val="000000"/>
                <w:sz w:val="20"/>
                <w:szCs w:val="20"/>
              </w:rPr>
            </w:pPr>
            <w:r w:rsidRPr="00D0380B">
              <w:rPr>
                <w:b/>
                <w:bCs/>
                <w:color w:val="000000"/>
                <w:sz w:val="20"/>
                <w:szCs w:val="20"/>
              </w:rPr>
              <w:t>Standard deviation</w:t>
            </w:r>
          </w:p>
        </w:tc>
      </w:tr>
      <w:tr w:rsidR="00C9656D" w:rsidRPr="00D0380B" w:rsidTr="00D0380B">
        <w:trPr>
          <w:trHeight w:val="300"/>
        </w:trPr>
        <w:tc>
          <w:tcPr>
            <w:tcW w:w="874" w:type="pct"/>
            <w:tcBorders>
              <w:top w:val="nil"/>
              <w:left w:val="single" w:sz="8" w:space="0" w:color="DDDDDD"/>
              <w:bottom w:val="single" w:sz="8" w:space="0" w:color="DDDDDD"/>
              <w:right w:val="single" w:sz="8" w:space="0" w:color="DDDDDD"/>
            </w:tcBorders>
            <w:shd w:val="clear" w:color="000000" w:fill="F9F9F9"/>
            <w:hideMark/>
          </w:tcPr>
          <w:p w:rsidR="00C9656D" w:rsidRPr="00D0380B" w:rsidRDefault="00C9656D" w:rsidP="00C9656D">
            <w:pPr>
              <w:jc w:val="right"/>
              <w:rPr>
                <w:color w:val="000000"/>
                <w:sz w:val="20"/>
                <w:szCs w:val="20"/>
              </w:rPr>
            </w:pPr>
            <w:r w:rsidRPr="00D0380B">
              <w:rPr>
                <w:color w:val="000000"/>
                <w:sz w:val="20"/>
                <w:szCs w:val="20"/>
              </w:rPr>
              <w:t>2017</w:t>
            </w:r>
          </w:p>
        </w:tc>
        <w:tc>
          <w:tcPr>
            <w:tcW w:w="572" w:type="pct"/>
            <w:tcBorders>
              <w:top w:val="nil"/>
              <w:left w:val="nil"/>
              <w:bottom w:val="single" w:sz="8" w:space="0" w:color="DDDDDD"/>
              <w:right w:val="single" w:sz="8" w:space="0" w:color="DDDDDD"/>
            </w:tcBorders>
            <w:shd w:val="clear" w:color="000000" w:fill="F9F9F9"/>
            <w:hideMark/>
          </w:tcPr>
          <w:p w:rsidR="00C9656D" w:rsidRPr="00D0380B" w:rsidRDefault="00C9656D" w:rsidP="00C9656D">
            <w:pPr>
              <w:jc w:val="right"/>
              <w:rPr>
                <w:color w:val="000000"/>
                <w:sz w:val="20"/>
                <w:szCs w:val="20"/>
              </w:rPr>
            </w:pPr>
            <w:r w:rsidRPr="00D0380B">
              <w:rPr>
                <w:color w:val="000000"/>
                <w:sz w:val="20"/>
                <w:szCs w:val="20"/>
              </w:rPr>
              <w:t>118.24%</w:t>
            </w:r>
          </w:p>
        </w:tc>
        <w:tc>
          <w:tcPr>
            <w:tcW w:w="719" w:type="pct"/>
            <w:tcBorders>
              <w:top w:val="nil"/>
              <w:left w:val="nil"/>
              <w:bottom w:val="single" w:sz="8" w:space="0" w:color="DDDDDD"/>
              <w:right w:val="single" w:sz="8" w:space="0" w:color="DDDDDD"/>
            </w:tcBorders>
            <w:shd w:val="clear" w:color="000000" w:fill="F9F9F9"/>
            <w:hideMark/>
          </w:tcPr>
          <w:p w:rsidR="00C9656D" w:rsidRPr="00D0380B" w:rsidRDefault="00C9656D" w:rsidP="00C9656D">
            <w:pPr>
              <w:jc w:val="right"/>
              <w:rPr>
                <w:color w:val="000000"/>
                <w:sz w:val="20"/>
                <w:szCs w:val="20"/>
              </w:rPr>
            </w:pPr>
            <w:r w:rsidRPr="00D0380B">
              <w:rPr>
                <w:color w:val="000000"/>
                <w:sz w:val="20"/>
                <w:szCs w:val="20"/>
              </w:rPr>
              <w:t>116.55%</w:t>
            </w:r>
          </w:p>
        </w:tc>
        <w:tc>
          <w:tcPr>
            <w:tcW w:w="983" w:type="pct"/>
            <w:tcBorders>
              <w:top w:val="nil"/>
              <w:left w:val="nil"/>
              <w:bottom w:val="single" w:sz="8" w:space="0" w:color="DDDDDD"/>
              <w:right w:val="single" w:sz="8" w:space="0" w:color="DDDDDD"/>
            </w:tcBorders>
            <w:shd w:val="clear" w:color="000000" w:fill="F9F9F9"/>
            <w:hideMark/>
          </w:tcPr>
          <w:p w:rsidR="00C9656D" w:rsidRPr="00D0380B" w:rsidRDefault="00C9656D" w:rsidP="00C9656D">
            <w:pPr>
              <w:jc w:val="right"/>
              <w:rPr>
                <w:color w:val="000000"/>
                <w:sz w:val="20"/>
                <w:szCs w:val="20"/>
              </w:rPr>
            </w:pPr>
            <w:r w:rsidRPr="00D0380B">
              <w:rPr>
                <w:color w:val="000000"/>
                <w:sz w:val="20"/>
                <w:szCs w:val="20"/>
              </w:rPr>
              <w:t>110.23%</w:t>
            </w:r>
          </w:p>
        </w:tc>
        <w:tc>
          <w:tcPr>
            <w:tcW w:w="744" w:type="pct"/>
            <w:tcBorders>
              <w:top w:val="nil"/>
              <w:left w:val="nil"/>
              <w:bottom w:val="single" w:sz="8" w:space="0" w:color="DDDDDD"/>
              <w:right w:val="single" w:sz="8" w:space="0" w:color="DDDDDD"/>
            </w:tcBorders>
            <w:shd w:val="clear" w:color="000000" w:fill="F9F9F9"/>
            <w:hideMark/>
          </w:tcPr>
          <w:p w:rsidR="00C9656D" w:rsidRPr="00D0380B" w:rsidRDefault="00C9656D" w:rsidP="00C9656D">
            <w:pPr>
              <w:jc w:val="right"/>
              <w:rPr>
                <w:color w:val="000000"/>
                <w:sz w:val="20"/>
                <w:szCs w:val="20"/>
              </w:rPr>
            </w:pPr>
            <w:r w:rsidRPr="00D0380B">
              <w:rPr>
                <w:color w:val="000000"/>
                <w:sz w:val="20"/>
                <w:szCs w:val="20"/>
              </w:rPr>
              <w:t>84.53%</w:t>
            </w:r>
          </w:p>
        </w:tc>
        <w:tc>
          <w:tcPr>
            <w:tcW w:w="553" w:type="pct"/>
            <w:tcBorders>
              <w:top w:val="nil"/>
              <w:left w:val="nil"/>
              <w:bottom w:val="nil"/>
              <w:right w:val="nil"/>
            </w:tcBorders>
            <w:shd w:val="clear" w:color="auto" w:fill="auto"/>
            <w:vAlign w:val="bottom"/>
            <w:hideMark/>
          </w:tcPr>
          <w:p w:rsidR="00C9656D" w:rsidRPr="00D0380B" w:rsidRDefault="00C9656D" w:rsidP="00C9656D">
            <w:pPr>
              <w:jc w:val="right"/>
              <w:rPr>
                <w:color w:val="000000"/>
                <w:sz w:val="20"/>
                <w:szCs w:val="20"/>
              </w:rPr>
            </w:pPr>
            <w:r w:rsidRPr="00D0380B">
              <w:rPr>
                <w:color w:val="000000"/>
                <w:sz w:val="20"/>
                <w:szCs w:val="20"/>
              </w:rPr>
              <w:t>107.39%</w:t>
            </w:r>
          </w:p>
        </w:tc>
        <w:tc>
          <w:tcPr>
            <w:tcW w:w="556" w:type="pct"/>
            <w:tcBorders>
              <w:top w:val="nil"/>
              <w:left w:val="nil"/>
              <w:bottom w:val="nil"/>
              <w:right w:val="nil"/>
            </w:tcBorders>
            <w:shd w:val="clear" w:color="auto" w:fill="auto"/>
            <w:vAlign w:val="bottom"/>
            <w:hideMark/>
          </w:tcPr>
          <w:p w:rsidR="00C9656D" w:rsidRPr="00D0380B" w:rsidRDefault="00C9656D" w:rsidP="00C9656D">
            <w:pPr>
              <w:jc w:val="right"/>
              <w:rPr>
                <w:color w:val="000000"/>
                <w:sz w:val="20"/>
                <w:szCs w:val="20"/>
              </w:rPr>
            </w:pPr>
            <w:r w:rsidRPr="00D0380B">
              <w:rPr>
                <w:color w:val="000000"/>
                <w:sz w:val="20"/>
                <w:szCs w:val="20"/>
              </w:rPr>
              <w:t>3.06%</w:t>
            </w:r>
          </w:p>
        </w:tc>
      </w:tr>
      <w:tr w:rsidR="00C9656D" w:rsidRPr="00D0380B" w:rsidTr="00D0380B">
        <w:trPr>
          <w:trHeight w:val="300"/>
        </w:trPr>
        <w:tc>
          <w:tcPr>
            <w:tcW w:w="874" w:type="pct"/>
            <w:tcBorders>
              <w:top w:val="nil"/>
              <w:left w:val="single" w:sz="8" w:space="0" w:color="DDDDDD"/>
              <w:bottom w:val="single" w:sz="8" w:space="0" w:color="DDDDDD"/>
              <w:right w:val="single" w:sz="8" w:space="0" w:color="DDDDDD"/>
            </w:tcBorders>
            <w:shd w:val="clear" w:color="000000" w:fill="FFFFFF"/>
            <w:hideMark/>
          </w:tcPr>
          <w:p w:rsidR="00C9656D" w:rsidRPr="00D0380B" w:rsidRDefault="00C9656D" w:rsidP="00C9656D">
            <w:pPr>
              <w:jc w:val="right"/>
              <w:rPr>
                <w:color w:val="000000"/>
                <w:sz w:val="20"/>
                <w:szCs w:val="20"/>
              </w:rPr>
            </w:pPr>
            <w:r w:rsidRPr="00D0380B">
              <w:rPr>
                <w:color w:val="000000"/>
                <w:sz w:val="20"/>
                <w:szCs w:val="20"/>
              </w:rPr>
              <w:t>2016</w:t>
            </w:r>
          </w:p>
        </w:tc>
        <w:tc>
          <w:tcPr>
            <w:tcW w:w="572" w:type="pct"/>
            <w:tcBorders>
              <w:top w:val="nil"/>
              <w:left w:val="nil"/>
              <w:bottom w:val="single" w:sz="8" w:space="0" w:color="DDDDDD"/>
              <w:right w:val="single" w:sz="8" w:space="0" w:color="DDDDDD"/>
            </w:tcBorders>
            <w:shd w:val="clear" w:color="000000" w:fill="F9F9F9"/>
            <w:hideMark/>
          </w:tcPr>
          <w:p w:rsidR="00C9656D" w:rsidRPr="00D0380B" w:rsidRDefault="00C9656D" w:rsidP="00C9656D">
            <w:pPr>
              <w:jc w:val="right"/>
              <w:rPr>
                <w:color w:val="000000"/>
                <w:sz w:val="20"/>
                <w:szCs w:val="20"/>
              </w:rPr>
            </w:pPr>
            <w:r w:rsidRPr="00D0380B">
              <w:rPr>
                <w:color w:val="000000"/>
                <w:sz w:val="20"/>
                <w:szCs w:val="20"/>
              </w:rPr>
              <w:t>104.20%</w:t>
            </w:r>
          </w:p>
        </w:tc>
        <w:tc>
          <w:tcPr>
            <w:tcW w:w="719" w:type="pct"/>
            <w:tcBorders>
              <w:top w:val="nil"/>
              <w:left w:val="nil"/>
              <w:bottom w:val="single" w:sz="8" w:space="0" w:color="DDDDDD"/>
              <w:right w:val="single" w:sz="8" w:space="0" w:color="DDDDDD"/>
            </w:tcBorders>
            <w:shd w:val="clear" w:color="000000" w:fill="F9F9F9"/>
            <w:hideMark/>
          </w:tcPr>
          <w:p w:rsidR="00C9656D" w:rsidRPr="00D0380B" w:rsidRDefault="00C9656D" w:rsidP="00C9656D">
            <w:pPr>
              <w:jc w:val="right"/>
              <w:rPr>
                <w:color w:val="000000"/>
                <w:sz w:val="20"/>
                <w:szCs w:val="20"/>
              </w:rPr>
            </w:pPr>
            <w:r w:rsidRPr="00D0380B">
              <w:rPr>
                <w:color w:val="000000"/>
                <w:sz w:val="20"/>
                <w:szCs w:val="20"/>
              </w:rPr>
              <w:t>117.72%</w:t>
            </w:r>
          </w:p>
        </w:tc>
        <w:tc>
          <w:tcPr>
            <w:tcW w:w="983" w:type="pct"/>
            <w:tcBorders>
              <w:top w:val="nil"/>
              <w:left w:val="nil"/>
              <w:bottom w:val="single" w:sz="8" w:space="0" w:color="DDDDDD"/>
              <w:right w:val="single" w:sz="8" w:space="0" w:color="DDDDDD"/>
            </w:tcBorders>
            <w:shd w:val="clear" w:color="000000" w:fill="F9F9F9"/>
            <w:hideMark/>
          </w:tcPr>
          <w:p w:rsidR="00C9656D" w:rsidRPr="00D0380B" w:rsidRDefault="00C9656D" w:rsidP="00C9656D">
            <w:pPr>
              <w:jc w:val="right"/>
              <w:rPr>
                <w:color w:val="000000"/>
                <w:sz w:val="20"/>
                <w:szCs w:val="20"/>
              </w:rPr>
            </w:pPr>
            <w:r w:rsidRPr="00D0380B">
              <w:rPr>
                <w:color w:val="000000"/>
                <w:sz w:val="20"/>
                <w:szCs w:val="20"/>
              </w:rPr>
              <w:t>93.78%</w:t>
            </w:r>
          </w:p>
        </w:tc>
        <w:tc>
          <w:tcPr>
            <w:tcW w:w="744" w:type="pct"/>
            <w:tcBorders>
              <w:top w:val="nil"/>
              <w:left w:val="nil"/>
              <w:bottom w:val="single" w:sz="8" w:space="0" w:color="DDDDDD"/>
              <w:right w:val="single" w:sz="8" w:space="0" w:color="DDDDDD"/>
            </w:tcBorders>
            <w:shd w:val="clear" w:color="000000" w:fill="F9F9F9"/>
            <w:hideMark/>
          </w:tcPr>
          <w:p w:rsidR="00C9656D" w:rsidRPr="00D0380B" w:rsidRDefault="00C9656D" w:rsidP="00C9656D">
            <w:pPr>
              <w:jc w:val="right"/>
              <w:rPr>
                <w:color w:val="000000"/>
                <w:sz w:val="20"/>
                <w:szCs w:val="20"/>
              </w:rPr>
            </w:pPr>
            <w:r w:rsidRPr="00D0380B">
              <w:rPr>
                <w:color w:val="000000"/>
                <w:sz w:val="20"/>
                <w:szCs w:val="20"/>
              </w:rPr>
              <w:t>120.21%</w:t>
            </w:r>
          </w:p>
        </w:tc>
        <w:tc>
          <w:tcPr>
            <w:tcW w:w="553" w:type="pct"/>
            <w:tcBorders>
              <w:top w:val="nil"/>
              <w:left w:val="nil"/>
              <w:bottom w:val="nil"/>
              <w:right w:val="nil"/>
            </w:tcBorders>
            <w:shd w:val="clear" w:color="auto" w:fill="auto"/>
            <w:vAlign w:val="bottom"/>
            <w:hideMark/>
          </w:tcPr>
          <w:p w:rsidR="00C9656D" w:rsidRPr="00D0380B" w:rsidRDefault="00C9656D" w:rsidP="00C9656D">
            <w:pPr>
              <w:jc w:val="right"/>
              <w:rPr>
                <w:color w:val="000000"/>
                <w:sz w:val="20"/>
                <w:szCs w:val="20"/>
              </w:rPr>
            </w:pPr>
            <w:r w:rsidRPr="00D0380B">
              <w:rPr>
                <w:color w:val="000000"/>
                <w:sz w:val="20"/>
                <w:szCs w:val="20"/>
              </w:rPr>
              <w:t>108.98%</w:t>
            </w:r>
          </w:p>
        </w:tc>
        <w:tc>
          <w:tcPr>
            <w:tcW w:w="556" w:type="pct"/>
            <w:tcBorders>
              <w:top w:val="nil"/>
              <w:left w:val="nil"/>
              <w:bottom w:val="nil"/>
              <w:right w:val="nil"/>
            </w:tcBorders>
            <w:shd w:val="clear" w:color="auto" w:fill="auto"/>
            <w:vAlign w:val="bottom"/>
            <w:hideMark/>
          </w:tcPr>
          <w:p w:rsidR="00C9656D" w:rsidRPr="00D0380B" w:rsidRDefault="00C9656D" w:rsidP="00C9656D">
            <w:pPr>
              <w:jc w:val="right"/>
              <w:rPr>
                <w:color w:val="000000"/>
                <w:sz w:val="20"/>
                <w:szCs w:val="20"/>
              </w:rPr>
            </w:pPr>
            <w:r w:rsidRPr="00D0380B">
              <w:rPr>
                <w:color w:val="000000"/>
                <w:sz w:val="20"/>
                <w:szCs w:val="20"/>
              </w:rPr>
              <w:t>1.47%</w:t>
            </w:r>
          </w:p>
        </w:tc>
      </w:tr>
      <w:tr w:rsidR="00C9656D" w:rsidRPr="00D0380B" w:rsidTr="00D0380B">
        <w:trPr>
          <w:trHeight w:val="300"/>
        </w:trPr>
        <w:tc>
          <w:tcPr>
            <w:tcW w:w="874" w:type="pct"/>
            <w:tcBorders>
              <w:top w:val="nil"/>
              <w:left w:val="single" w:sz="8" w:space="0" w:color="DDDDDD"/>
              <w:bottom w:val="single" w:sz="8" w:space="0" w:color="DDDDDD"/>
              <w:right w:val="single" w:sz="8" w:space="0" w:color="DDDDDD"/>
            </w:tcBorders>
            <w:shd w:val="clear" w:color="000000" w:fill="F9F9F9"/>
            <w:hideMark/>
          </w:tcPr>
          <w:p w:rsidR="00C9656D" w:rsidRPr="00D0380B" w:rsidRDefault="00C9656D" w:rsidP="00C9656D">
            <w:pPr>
              <w:jc w:val="right"/>
              <w:rPr>
                <w:color w:val="000000"/>
                <w:sz w:val="20"/>
                <w:szCs w:val="20"/>
              </w:rPr>
            </w:pPr>
            <w:r w:rsidRPr="00D0380B">
              <w:rPr>
                <w:color w:val="000000"/>
                <w:sz w:val="20"/>
                <w:szCs w:val="20"/>
              </w:rPr>
              <w:t>2015</w:t>
            </w:r>
          </w:p>
        </w:tc>
        <w:tc>
          <w:tcPr>
            <w:tcW w:w="572" w:type="pct"/>
            <w:tcBorders>
              <w:top w:val="nil"/>
              <w:left w:val="nil"/>
              <w:bottom w:val="single" w:sz="8" w:space="0" w:color="DDDDDD"/>
              <w:right w:val="single" w:sz="8" w:space="0" w:color="DDDDDD"/>
            </w:tcBorders>
            <w:shd w:val="clear" w:color="000000" w:fill="F9F9F9"/>
            <w:hideMark/>
          </w:tcPr>
          <w:p w:rsidR="00C9656D" w:rsidRPr="00D0380B" w:rsidRDefault="00C9656D" w:rsidP="00C9656D">
            <w:pPr>
              <w:jc w:val="right"/>
              <w:rPr>
                <w:color w:val="000000"/>
                <w:sz w:val="20"/>
                <w:szCs w:val="20"/>
              </w:rPr>
            </w:pPr>
            <w:r w:rsidRPr="00D0380B">
              <w:rPr>
                <w:color w:val="000000"/>
                <w:sz w:val="20"/>
                <w:szCs w:val="20"/>
              </w:rPr>
              <w:t>98.29%</w:t>
            </w:r>
          </w:p>
        </w:tc>
        <w:tc>
          <w:tcPr>
            <w:tcW w:w="719" w:type="pct"/>
            <w:tcBorders>
              <w:top w:val="nil"/>
              <w:left w:val="nil"/>
              <w:bottom w:val="single" w:sz="8" w:space="0" w:color="DDDDDD"/>
              <w:right w:val="single" w:sz="8" w:space="0" w:color="DDDDDD"/>
            </w:tcBorders>
            <w:shd w:val="clear" w:color="000000" w:fill="F9F9F9"/>
            <w:hideMark/>
          </w:tcPr>
          <w:p w:rsidR="00C9656D" w:rsidRPr="00D0380B" w:rsidRDefault="00C9656D" w:rsidP="00C9656D">
            <w:pPr>
              <w:jc w:val="right"/>
              <w:rPr>
                <w:color w:val="000000"/>
                <w:sz w:val="20"/>
                <w:szCs w:val="20"/>
              </w:rPr>
            </w:pPr>
            <w:r w:rsidRPr="00D0380B">
              <w:rPr>
                <w:color w:val="000000"/>
                <w:sz w:val="20"/>
                <w:szCs w:val="20"/>
              </w:rPr>
              <w:t>114.17%</w:t>
            </w:r>
          </w:p>
        </w:tc>
        <w:tc>
          <w:tcPr>
            <w:tcW w:w="983" w:type="pct"/>
            <w:tcBorders>
              <w:top w:val="nil"/>
              <w:left w:val="nil"/>
              <w:bottom w:val="single" w:sz="8" w:space="0" w:color="DDDDDD"/>
              <w:right w:val="single" w:sz="8" w:space="0" w:color="DDDDDD"/>
            </w:tcBorders>
            <w:shd w:val="clear" w:color="000000" w:fill="F9F9F9"/>
            <w:hideMark/>
          </w:tcPr>
          <w:p w:rsidR="00C9656D" w:rsidRPr="00D0380B" w:rsidRDefault="00C9656D" w:rsidP="00C9656D">
            <w:pPr>
              <w:jc w:val="right"/>
              <w:rPr>
                <w:color w:val="000000"/>
                <w:sz w:val="20"/>
                <w:szCs w:val="20"/>
              </w:rPr>
            </w:pPr>
            <w:r w:rsidRPr="00D0380B">
              <w:rPr>
                <w:color w:val="000000"/>
                <w:sz w:val="20"/>
                <w:szCs w:val="20"/>
              </w:rPr>
              <w:t>100.13%</w:t>
            </w:r>
          </w:p>
        </w:tc>
        <w:tc>
          <w:tcPr>
            <w:tcW w:w="744" w:type="pct"/>
            <w:tcBorders>
              <w:top w:val="nil"/>
              <w:left w:val="nil"/>
              <w:bottom w:val="single" w:sz="8" w:space="0" w:color="DDDDDD"/>
              <w:right w:val="single" w:sz="8" w:space="0" w:color="DDDDDD"/>
            </w:tcBorders>
            <w:shd w:val="clear" w:color="000000" w:fill="F9F9F9"/>
            <w:hideMark/>
          </w:tcPr>
          <w:p w:rsidR="00C9656D" w:rsidRPr="00D0380B" w:rsidRDefault="00C9656D" w:rsidP="00C9656D">
            <w:pPr>
              <w:jc w:val="right"/>
              <w:rPr>
                <w:color w:val="000000"/>
                <w:sz w:val="20"/>
                <w:szCs w:val="20"/>
              </w:rPr>
            </w:pPr>
            <w:r w:rsidRPr="00D0380B">
              <w:rPr>
                <w:color w:val="000000"/>
                <w:sz w:val="20"/>
                <w:szCs w:val="20"/>
              </w:rPr>
              <w:t>113.91%</w:t>
            </w:r>
          </w:p>
        </w:tc>
        <w:tc>
          <w:tcPr>
            <w:tcW w:w="553" w:type="pct"/>
            <w:tcBorders>
              <w:top w:val="nil"/>
              <w:left w:val="nil"/>
              <w:bottom w:val="nil"/>
              <w:right w:val="nil"/>
            </w:tcBorders>
            <w:shd w:val="clear" w:color="auto" w:fill="auto"/>
            <w:vAlign w:val="bottom"/>
            <w:hideMark/>
          </w:tcPr>
          <w:p w:rsidR="00C9656D" w:rsidRPr="00D0380B" w:rsidRDefault="00C9656D" w:rsidP="00C9656D">
            <w:pPr>
              <w:jc w:val="right"/>
              <w:rPr>
                <w:color w:val="000000"/>
                <w:sz w:val="20"/>
                <w:szCs w:val="20"/>
              </w:rPr>
            </w:pPr>
            <w:r w:rsidRPr="00D0380B">
              <w:rPr>
                <w:color w:val="000000"/>
                <w:sz w:val="20"/>
                <w:szCs w:val="20"/>
              </w:rPr>
              <w:t>106.63%</w:t>
            </w:r>
          </w:p>
        </w:tc>
        <w:tc>
          <w:tcPr>
            <w:tcW w:w="556" w:type="pct"/>
            <w:tcBorders>
              <w:top w:val="nil"/>
              <w:left w:val="nil"/>
              <w:bottom w:val="nil"/>
              <w:right w:val="nil"/>
            </w:tcBorders>
            <w:shd w:val="clear" w:color="auto" w:fill="auto"/>
            <w:vAlign w:val="bottom"/>
            <w:hideMark/>
          </w:tcPr>
          <w:p w:rsidR="00C9656D" w:rsidRPr="00D0380B" w:rsidRDefault="00C9656D" w:rsidP="00C9656D">
            <w:pPr>
              <w:jc w:val="right"/>
              <w:rPr>
                <w:color w:val="000000"/>
                <w:sz w:val="20"/>
                <w:szCs w:val="20"/>
              </w:rPr>
            </w:pPr>
            <w:r w:rsidRPr="00D0380B">
              <w:rPr>
                <w:color w:val="000000"/>
                <w:sz w:val="20"/>
                <w:szCs w:val="20"/>
              </w:rPr>
              <w:t>3.82%</w:t>
            </w:r>
          </w:p>
        </w:tc>
      </w:tr>
      <w:tr w:rsidR="00C9656D" w:rsidRPr="00D0380B" w:rsidTr="00D0380B">
        <w:trPr>
          <w:trHeight w:val="300"/>
        </w:trPr>
        <w:tc>
          <w:tcPr>
            <w:tcW w:w="874" w:type="pct"/>
            <w:tcBorders>
              <w:top w:val="nil"/>
              <w:left w:val="single" w:sz="8" w:space="0" w:color="DDDDDD"/>
              <w:bottom w:val="single" w:sz="8" w:space="0" w:color="DDDDDD"/>
              <w:right w:val="single" w:sz="8" w:space="0" w:color="DDDDDD"/>
            </w:tcBorders>
            <w:shd w:val="clear" w:color="000000" w:fill="FFFFFF"/>
            <w:hideMark/>
          </w:tcPr>
          <w:p w:rsidR="00C9656D" w:rsidRPr="00D0380B" w:rsidRDefault="00C9656D" w:rsidP="00C9656D">
            <w:pPr>
              <w:jc w:val="right"/>
              <w:rPr>
                <w:color w:val="000000"/>
                <w:sz w:val="20"/>
                <w:szCs w:val="20"/>
              </w:rPr>
            </w:pPr>
            <w:r w:rsidRPr="00D0380B">
              <w:rPr>
                <w:color w:val="000000"/>
                <w:sz w:val="20"/>
                <w:szCs w:val="20"/>
              </w:rPr>
              <w:t>2014</w:t>
            </w:r>
          </w:p>
        </w:tc>
        <w:tc>
          <w:tcPr>
            <w:tcW w:w="572" w:type="pct"/>
            <w:tcBorders>
              <w:top w:val="nil"/>
              <w:left w:val="nil"/>
              <w:bottom w:val="single" w:sz="8" w:space="0" w:color="DDDDDD"/>
              <w:right w:val="single" w:sz="8" w:space="0" w:color="DDDDDD"/>
            </w:tcBorders>
            <w:shd w:val="clear" w:color="000000" w:fill="F9F9F9"/>
            <w:hideMark/>
          </w:tcPr>
          <w:p w:rsidR="00C9656D" w:rsidRPr="00D0380B" w:rsidRDefault="00C9656D" w:rsidP="00C9656D">
            <w:pPr>
              <w:jc w:val="right"/>
              <w:rPr>
                <w:color w:val="000000"/>
                <w:sz w:val="20"/>
                <w:szCs w:val="20"/>
              </w:rPr>
            </w:pPr>
            <w:r w:rsidRPr="00D0380B">
              <w:rPr>
                <w:color w:val="000000"/>
                <w:sz w:val="20"/>
                <w:szCs w:val="20"/>
              </w:rPr>
              <w:t>143.37%</w:t>
            </w:r>
          </w:p>
        </w:tc>
        <w:tc>
          <w:tcPr>
            <w:tcW w:w="719" w:type="pct"/>
            <w:tcBorders>
              <w:top w:val="nil"/>
              <w:left w:val="nil"/>
              <w:bottom w:val="single" w:sz="8" w:space="0" w:color="DDDDDD"/>
              <w:right w:val="single" w:sz="8" w:space="0" w:color="DDDDDD"/>
            </w:tcBorders>
            <w:shd w:val="clear" w:color="000000" w:fill="F9F9F9"/>
            <w:hideMark/>
          </w:tcPr>
          <w:p w:rsidR="00C9656D" w:rsidRPr="00D0380B" w:rsidRDefault="00C9656D" w:rsidP="00C9656D">
            <w:pPr>
              <w:jc w:val="right"/>
              <w:rPr>
                <w:color w:val="000000"/>
                <w:sz w:val="20"/>
                <w:szCs w:val="20"/>
              </w:rPr>
            </w:pPr>
            <w:r w:rsidRPr="00D0380B">
              <w:rPr>
                <w:color w:val="000000"/>
                <w:sz w:val="20"/>
                <w:szCs w:val="20"/>
              </w:rPr>
              <w:t>100.96%</w:t>
            </w:r>
          </w:p>
        </w:tc>
        <w:tc>
          <w:tcPr>
            <w:tcW w:w="983" w:type="pct"/>
            <w:tcBorders>
              <w:top w:val="nil"/>
              <w:left w:val="nil"/>
              <w:bottom w:val="single" w:sz="8" w:space="0" w:color="DDDDDD"/>
              <w:right w:val="single" w:sz="8" w:space="0" w:color="DDDDDD"/>
            </w:tcBorders>
            <w:shd w:val="clear" w:color="000000" w:fill="F9F9F9"/>
            <w:hideMark/>
          </w:tcPr>
          <w:p w:rsidR="00C9656D" w:rsidRPr="00D0380B" w:rsidRDefault="00C9656D" w:rsidP="00C9656D">
            <w:pPr>
              <w:jc w:val="right"/>
              <w:rPr>
                <w:color w:val="000000"/>
                <w:sz w:val="20"/>
                <w:szCs w:val="20"/>
              </w:rPr>
            </w:pPr>
            <w:r w:rsidRPr="00D0380B">
              <w:rPr>
                <w:color w:val="000000"/>
                <w:sz w:val="20"/>
                <w:szCs w:val="20"/>
              </w:rPr>
              <w:t>99.29%</w:t>
            </w:r>
          </w:p>
        </w:tc>
        <w:tc>
          <w:tcPr>
            <w:tcW w:w="744" w:type="pct"/>
            <w:tcBorders>
              <w:top w:val="nil"/>
              <w:left w:val="nil"/>
              <w:bottom w:val="single" w:sz="8" w:space="0" w:color="DDDDDD"/>
              <w:right w:val="single" w:sz="8" w:space="0" w:color="DDDDDD"/>
            </w:tcBorders>
            <w:shd w:val="clear" w:color="000000" w:fill="F9F9F9"/>
            <w:hideMark/>
          </w:tcPr>
          <w:p w:rsidR="00C9656D" w:rsidRPr="00D0380B" w:rsidRDefault="00C9656D" w:rsidP="00C9656D">
            <w:pPr>
              <w:jc w:val="right"/>
              <w:rPr>
                <w:color w:val="000000"/>
                <w:sz w:val="20"/>
                <w:szCs w:val="20"/>
              </w:rPr>
            </w:pPr>
            <w:r w:rsidRPr="00D0380B">
              <w:rPr>
                <w:color w:val="000000"/>
                <w:sz w:val="20"/>
                <w:szCs w:val="20"/>
              </w:rPr>
              <w:t>110.23%</w:t>
            </w:r>
          </w:p>
        </w:tc>
        <w:tc>
          <w:tcPr>
            <w:tcW w:w="553" w:type="pct"/>
            <w:tcBorders>
              <w:top w:val="nil"/>
              <w:left w:val="nil"/>
              <w:bottom w:val="nil"/>
              <w:right w:val="nil"/>
            </w:tcBorders>
            <w:shd w:val="clear" w:color="auto" w:fill="auto"/>
            <w:vAlign w:val="bottom"/>
            <w:hideMark/>
          </w:tcPr>
          <w:p w:rsidR="00C9656D" w:rsidRPr="00D0380B" w:rsidRDefault="00C9656D" w:rsidP="00C9656D">
            <w:pPr>
              <w:jc w:val="right"/>
              <w:rPr>
                <w:color w:val="000000"/>
                <w:sz w:val="20"/>
                <w:szCs w:val="20"/>
              </w:rPr>
            </w:pPr>
            <w:r w:rsidRPr="00D0380B">
              <w:rPr>
                <w:color w:val="000000"/>
                <w:sz w:val="20"/>
                <w:szCs w:val="20"/>
              </w:rPr>
              <w:t>113.46%</w:t>
            </w:r>
          </w:p>
        </w:tc>
        <w:tc>
          <w:tcPr>
            <w:tcW w:w="556" w:type="pct"/>
            <w:tcBorders>
              <w:top w:val="nil"/>
              <w:left w:val="nil"/>
              <w:bottom w:val="nil"/>
              <w:right w:val="nil"/>
            </w:tcBorders>
            <w:shd w:val="clear" w:color="auto" w:fill="auto"/>
            <w:vAlign w:val="bottom"/>
            <w:hideMark/>
          </w:tcPr>
          <w:p w:rsidR="00C9656D" w:rsidRPr="00D0380B" w:rsidRDefault="00C9656D" w:rsidP="00C9656D">
            <w:pPr>
              <w:jc w:val="right"/>
              <w:rPr>
                <w:color w:val="000000"/>
                <w:sz w:val="20"/>
                <w:szCs w:val="20"/>
              </w:rPr>
            </w:pPr>
            <w:r w:rsidRPr="00D0380B">
              <w:rPr>
                <w:color w:val="000000"/>
                <w:sz w:val="20"/>
                <w:szCs w:val="20"/>
              </w:rPr>
              <w:t>-3.02%</w:t>
            </w:r>
          </w:p>
        </w:tc>
      </w:tr>
      <w:tr w:rsidR="00C9656D" w:rsidRPr="00D0380B" w:rsidTr="00D0380B">
        <w:trPr>
          <w:trHeight w:val="288"/>
        </w:trPr>
        <w:tc>
          <w:tcPr>
            <w:tcW w:w="874" w:type="pct"/>
            <w:tcBorders>
              <w:top w:val="nil"/>
              <w:left w:val="nil"/>
              <w:bottom w:val="nil"/>
              <w:right w:val="nil"/>
            </w:tcBorders>
            <w:shd w:val="clear" w:color="auto" w:fill="auto"/>
            <w:noWrap/>
            <w:vAlign w:val="bottom"/>
            <w:hideMark/>
          </w:tcPr>
          <w:p w:rsidR="00C9656D" w:rsidRPr="00D0380B" w:rsidRDefault="00C9656D" w:rsidP="00C9656D">
            <w:pPr>
              <w:rPr>
                <w:color w:val="000000"/>
                <w:sz w:val="20"/>
                <w:szCs w:val="20"/>
              </w:rPr>
            </w:pPr>
            <w:r w:rsidRPr="00D0380B">
              <w:rPr>
                <w:color w:val="000000"/>
                <w:sz w:val="20"/>
                <w:szCs w:val="20"/>
              </w:rPr>
              <w:t>Average</w:t>
            </w:r>
          </w:p>
        </w:tc>
        <w:tc>
          <w:tcPr>
            <w:tcW w:w="572" w:type="pct"/>
            <w:tcBorders>
              <w:top w:val="nil"/>
              <w:left w:val="nil"/>
              <w:bottom w:val="nil"/>
              <w:right w:val="nil"/>
            </w:tcBorders>
            <w:shd w:val="clear" w:color="auto" w:fill="auto"/>
            <w:vAlign w:val="bottom"/>
            <w:hideMark/>
          </w:tcPr>
          <w:p w:rsidR="00C9656D" w:rsidRPr="00D0380B" w:rsidRDefault="00C9656D" w:rsidP="00C9656D">
            <w:pPr>
              <w:jc w:val="right"/>
              <w:rPr>
                <w:color w:val="000000"/>
                <w:sz w:val="20"/>
                <w:szCs w:val="20"/>
              </w:rPr>
            </w:pPr>
            <w:r w:rsidRPr="00D0380B">
              <w:rPr>
                <w:color w:val="000000"/>
                <w:sz w:val="20"/>
                <w:szCs w:val="20"/>
              </w:rPr>
              <w:t>116.03%</w:t>
            </w:r>
          </w:p>
        </w:tc>
        <w:tc>
          <w:tcPr>
            <w:tcW w:w="719" w:type="pct"/>
            <w:tcBorders>
              <w:top w:val="nil"/>
              <w:left w:val="nil"/>
              <w:bottom w:val="nil"/>
              <w:right w:val="nil"/>
            </w:tcBorders>
            <w:shd w:val="clear" w:color="auto" w:fill="auto"/>
            <w:vAlign w:val="bottom"/>
            <w:hideMark/>
          </w:tcPr>
          <w:p w:rsidR="00C9656D" w:rsidRPr="00D0380B" w:rsidRDefault="00C9656D" w:rsidP="00C9656D">
            <w:pPr>
              <w:jc w:val="right"/>
              <w:rPr>
                <w:color w:val="000000"/>
                <w:sz w:val="20"/>
                <w:szCs w:val="20"/>
              </w:rPr>
            </w:pPr>
            <w:r w:rsidRPr="00D0380B">
              <w:rPr>
                <w:color w:val="000000"/>
                <w:sz w:val="20"/>
                <w:szCs w:val="20"/>
              </w:rPr>
              <w:t>112.35%</w:t>
            </w:r>
          </w:p>
        </w:tc>
        <w:tc>
          <w:tcPr>
            <w:tcW w:w="983" w:type="pct"/>
            <w:tcBorders>
              <w:top w:val="nil"/>
              <w:left w:val="nil"/>
              <w:bottom w:val="nil"/>
              <w:right w:val="nil"/>
            </w:tcBorders>
            <w:shd w:val="clear" w:color="auto" w:fill="auto"/>
            <w:vAlign w:val="bottom"/>
            <w:hideMark/>
          </w:tcPr>
          <w:p w:rsidR="00C9656D" w:rsidRPr="00D0380B" w:rsidRDefault="00C9656D" w:rsidP="00C9656D">
            <w:pPr>
              <w:jc w:val="right"/>
              <w:rPr>
                <w:color w:val="000000"/>
                <w:sz w:val="20"/>
                <w:szCs w:val="20"/>
              </w:rPr>
            </w:pPr>
            <w:r w:rsidRPr="00D0380B">
              <w:rPr>
                <w:color w:val="000000"/>
                <w:sz w:val="20"/>
                <w:szCs w:val="20"/>
              </w:rPr>
              <w:t>100.86%</w:t>
            </w:r>
          </w:p>
        </w:tc>
        <w:tc>
          <w:tcPr>
            <w:tcW w:w="744" w:type="pct"/>
            <w:tcBorders>
              <w:top w:val="nil"/>
              <w:left w:val="nil"/>
              <w:bottom w:val="nil"/>
              <w:right w:val="nil"/>
            </w:tcBorders>
            <w:shd w:val="clear" w:color="auto" w:fill="auto"/>
            <w:vAlign w:val="bottom"/>
            <w:hideMark/>
          </w:tcPr>
          <w:p w:rsidR="00C9656D" w:rsidRPr="00D0380B" w:rsidRDefault="00C9656D" w:rsidP="00C9656D">
            <w:pPr>
              <w:jc w:val="right"/>
              <w:rPr>
                <w:color w:val="000000"/>
                <w:sz w:val="20"/>
                <w:szCs w:val="20"/>
              </w:rPr>
            </w:pPr>
            <w:r w:rsidRPr="00D0380B">
              <w:rPr>
                <w:color w:val="000000"/>
                <w:sz w:val="20"/>
                <w:szCs w:val="20"/>
              </w:rPr>
              <w:t>107.22%</w:t>
            </w:r>
          </w:p>
        </w:tc>
        <w:tc>
          <w:tcPr>
            <w:tcW w:w="553" w:type="pct"/>
            <w:tcBorders>
              <w:top w:val="nil"/>
              <w:left w:val="nil"/>
              <w:bottom w:val="nil"/>
              <w:right w:val="nil"/>
            </w:tcBorders>
            <w:shd w:val="clear" w:color="000000" w:fill="FFFF00"/>
            <w:vAlign w:val="bottom"/>
            <w:hideMark/>
          </w:tcPr>
          <w:p w:rsidR="00C9656D" w:rsidRPr="00D0380B" w:rsidRDefault="00C9656D" w:rsidP="00C9656D">
            <w:pPr>
              <w:jc w:val="right"/>
              <w:rPr>
                <w:color w:val="000000"/>
                <w:sz w:val="20"/>
                <w:szCs w:val="20"/>
              </w:rPr>
            </w:pPr>
            <w:r w:rsidRPr="00D0380B">
              <w:rPr>
                <w:color w:val="000000"/>
                <w:sz w:val="20"/>
                <w:szCs w:val="20"/>
              </w:rPr>
              <w:t>109.11%</w:t>
            </w:r>
          </w:p>
        </w:tc>
        <w:tc>
          <w:tcPr>
            <w:tcW w:w="556" w:type="pct"/>
            <w:tcBorders>
              <w:top w:val="nil"/>
              <w:left w:val="nil"/>
              <w:bottom w:val="nil"/>
              <w:right w:val="nil"/>
            </w:tcBorders>
            <w:shd w:val="clear" w:color="auto" w:fill="auto"/>
            <w:vAlign w:val="bottom"/>
            <w:hideMark/>
          </w:tcPr>
          <w:p w:rsidR="00C9656D" w:rsidRPr="00D0380B" w:rsidRDefault="00C9656D" w:rsidP="00C9656D">
            <w:pPr>
              <w:jc w:val="right"/>
              <w:rPr>
                <w:color w:val="000000"/>
                <w:sz w:val="20"/>
                <w:szCs w:val="20"/>
              </w:rPr>
            </w:pPr>
          </w:p>
        </w:tc>
      </w:tr>
      <w:tr w:rsidR="00C9656D" w:rsidRPr="00D0380B" w:rsidTr="00D0380B">
        <w:trPr>
          <w:trHeight w:val="288"/>
        </w:trPr>
        <w:tc>
          <w:tcPr>
            <w:tcW w:w="874" w:type="pct"/>
            <w:tcBorders>
              <w:top w:val="nil"/>
              <w:left w:val="nil"/>
              <w:bottom w:val="nil"/>
              <w:right w:val="nil"/>
            </w:tcBorders>
            <w:shd w:val="clear" w:color="auto" w:fill="auto"/>
            <w:noWrap/>
            <w:vAlign w:val="bottom"/>
            <w:hideMark/>
          </w:tcPr>
          <w:p w:rsidR="00C9656D" w:rsidRPr="00D0380B" w:rsidRDefault="00C9656D" w:rsidP="00C9656D">
            <w:pPr>
              <w:rPr>
                <w:color w:val="000000"/>
                <w:sz w:val="20"/>
                <w:szCs w:val="20"/>
              </w:rPr>
            </w:pPr>
            <w:r w:rsidRPr="00D0380B">
              <w:rPr>
                <w:color w:val="000000"/>
                <w:sz w:val="20"/>
                <w:szCs w:val="20"/>
              </w:rPr>
              <w:t>Standard deviation</w:t>
            </w:r>
          </w:p>
        </w:tc>
        <w:tc>
          <w:tcPr>
            <w:tcW w:w="572" w:type="pct"/>
            <w:tcBorders>
              <w:top w:val="nil"/>
              <w:left w:val="nil"/>
              <w:bottom w:val="nil"/>
              <w:right w:val="nil"/>
            </w:tcBorders>
            <w:shd w:val="clear" w:color="auto" w:fill="auto"/>
            <w:vAlign w:val="bottom"/>
            <w:hideMark/>
          </w:tcPr>
          <w:p w:rsidR="00C9656D" w:rsidRPr="00D0380B" w:rsidRDefault="00C9656D" w:rsidP="00C9656D">
            <w:pPr>
              <w:jc w:val="right"/>
              <w:rPr>
                <w:color w:val="000000"/>
                <w:sz w:val="20"/>
                <w:szCs w:val="20"/>
              </w:rPr>
            </w:pPr>
            <w:r w:rsidRPr="00D0380B">
              <w:rPr>
                <w:color w:val="000000"/>
                <w:sz w:val="20"/>
                <w:szCs w:val="20"/>
              </w:rPr>
              <w:t>-6.91%</w:t>
            </w:r>
          </w:p>
        </w:tc>
        <w:tc>
          <w:tcPr>
            <w:tcW w:w="719" w:type="pct"/>
            <w:tcBorders>
              <w:top w:val="nil"/>
              <w:left w:val="nil"/>
              <w:bottom w:val="nil"/>
              <w:right w:val="nil"/>
            </w:tcBorders>
            <w:shd w:val="clear" w:color="auto" w:fill="auto"/>
            <w:vAlign w:val="bottom"/>
            <w:hideMark/>
          </w:tcPr>
          <w:p w:rsidR="00C9656D" w:rsidRPr="00D0380B" w:rsidRDefault="00C9656D" w:rsidP="00C9656D">
            <w:pPr>
              <w:jc w:val="right"/>
              <w:rPr>
                <w:color w:val="000000"/>
                <w:sz w:val="20"/>
                <w:szCs w:val="20"/>
              </w:rPr>
            </w:pPr>
            <w:r w:rsidRPr="00D0380B">
              <w:rPr>
                <w:color w:val="000000"/>
                <w:sz w:val="20"/>
                <w:szCs w:val="20"/>
              </w:rPr>
              <w:t>-3.24%</w:t>
            </w:r>
          </w:p>
        </w:tc>
        <w:tc>
          <w:tcPr>
            <w:tcW w:w="983" w:type="pct"/>
            <w:tcBorders>
              <w:top w:val="nil"/>
              <w:left w:val="nil"/>
              <w:bottom w:val="nil"/>
              <w:right w:val="nil"/>
            </w:tcBorders>
            <w:shd w:val="clear" w:color="auto" w:fill="auto"/>
            <w:vAlign w:val="bottom"/>
            <w:hideMark/>
          </w:tcPr>
          <w:p w:rsidR="00C9656D" w:rsidRPr="00D0380B" w:rsidRDefault="00C9656D" w:rsidP="00C9656D">
            <w:pPr>
              <w:jc w:val="right"/>
              <w:rPr>
                <w:color w:val="000000"/>
                <w:sz w:val="20"/>
                <w:szCs w:val="20"/>
              </w:rPr>
            </w:pPr>
            <w:r w:rsidRPr="00D0380B">
              <w:rPr>
                <w:color w:val="000000"/>
                <w:sz w:val="20"/>
                <w:szCs w:val="20"/>
              </w:rPr>
              <w:t>8.26%</w:t>
            </w:r>
          </w:p>
        </w:tc>
        <w:tc>
          <w:tcPr>
            <w:tcW w:w="744" w:type="pct"/>
            <w:tcBorders>
              <w:top w:val="nil"/>
              <w:left w:val="nil"/>
              <w:bottom w:val="nil"/>
              <w:right w:val="nil"/>
            </w:tcBorders>
            <w:shd w:val="clear" w:color="auto" w:fill="auto"/>
            <w:vAlign w:val="bottom"/>
            <w:hideMark/>
          </w:tcPr>
          <w:p w:rsidR="00C9656D" w:rsidRPr="00D0380B" w:rsidRDefault="00C9656D" w:rsidP="00C9656D">
            <w:pPr>
              <w:jc w:val="right"/>
              <w:rPr>
                <w:color w:val="000000"/>
                <w:sz w:val="20"/>
                <w:szCs w:val="20"/>
              </w:rPr>
            </w:pPr>
            <w:r w:rsidRPr="00D0380B">
              <w:rPr>
                <w:color w:val="000000"/>
                <w:sz w:val="20"/>
                <w:szCs w:val="20"/>
              </w:rPr>
              <w:t>1.89%</w:t>
            </w:r>
          </w:p>
        </w:tc>
        <w:tc>
          <w:tcPr>
            <w:tcW w:w="553" w:type="pct"/>
            <w:tcBorders>
              <w:top w:val="nil"/>
              <w:left w:val="nil"/>
              <w:bottom w:val="nil"/>
              <w:right w:val="nil"/>
            </w:tcBorders>
            <w:shd w:val="clear" w:color="auto" w:fill="auto"/>
            <w:vAlign w:val="bottom"/>
            <w:hideMark/>
          </w:tcPr>
          <w:p w:rsidR="00C9656D" w:rsidRPr="00D0380B" w:rsidRDefault="00C9656D" w:rsidP="00C9656D">
            <w:pPr>
              <w:jc w:val="right"/>
              <w:rPr>
                <w:color w:val="000000"/>
                <w:sz w:val="20"/>
                <w:szCs w:val="20"/>
              </w:rPr>
            </w:pPr>
          </w:p>
        </w:tc>
        <w:tc>
          <w:tcPr>
            <w:tcW w:w="556" w:type="pct"/>
            <w:tcBorders>
              <w:top w:val="nil"/>
              <w:left w:val="nil"/>
              <w:bottom w:val="nil"/>
              <w:right w:val="nil"/>
            </w:tcBorders>
            <w:shd w:val="clear" w:color="auto" w:fill="auto"/>
            <w:vAlign w:val="bottom"/>
            <w:hideMark/>
          </w:tcPr>
          <w:p w:rsidR="00C9656D" w:rsidRPr="00D0380B" w:rsidRDefault="00C9656D" w:rsidP="00C9656D">
            <w:pPr>
              <w:rPr>
                <w:sz w:val="20"/>
                <w:szCs w:val="20"/>
              </w:rPr>
            </w:pPr>
          </w:p>
        </w:tc>
      </w:tr>
    </w:tbl>
    <w:p w:rsidR="003202D6" w:rsidRDefault="003202D6" w:rsidP="003202D6">
      <w:pPr>
        <w:rPr>
          <w:lang w:val="ro-RO"/>
        </w:rPr>
      </w:pPr>
    </w:p>
    <w:p w:rsidR="00241A2F" w:rsidRDefault="00C9656D" w:rsidP="00C9656D">
      <w:pPr>
        <w:jc w:val="both"/>
        <w:rPr>
          <w:lang w:val="ro-RO"/>
        </w:rPr>
      </w:pPr>
      <w:r>
        <w:rPr>
          <w:lang w:val="ro-RO"/>
        </w:rPr>
        <w:tab/>
        <w:t xml:space="preserve">Analiza evoluției veniturilor și cheltuielilor răspunde obiectivului fixat cercetării și se dovedește a fi una în favoarea trendului de evoluție a cheltuielilor pentru </w:t>
      </w:r>
      <w:r w:rsidR="000F5110">
        <w:rPr>
          <w:lang w:val="ro-RO"/>
        </w:rPr>
        <w:t xml:space="preserve">perioada analizată. </w:t>
      </w:r>
    </w:p>
    <w:p w:rsidR="00241A2F" w:rsidRDefault="00241A2F" w:rsidP="003202D6">
      <w:pPr>
        <w:rPr>
          <w:lang w:val="ro-RO"/>
        </w:rPr>
      </w:pPr>
    </w:p>
    <w:p w:rsidR="000F5110" w:rsidRDefault="000F5110" w:rsidP="00C866A0">
      <w:pPr>
        <w:jc w:val="center"/>
        <w:rPr>
          <w:lang w:val="ro-RO"/>
        </w:rPr>
      </w:pPr>
      <w:r w:rsidRPr="00D0380B">
        <w:rPr>
          <w:b/>
          <w:lang w:val="ro-RO"/>
        </w:rPr>
        <w:t>Tabe</w:t>
      </w:r>
      <w:r w:rsidR="00C866A0" w:rsidRPr="00D0380B">
        <w:rPr>
          <w:b/>
          <w:lang w:val="ro-RO"/>
        </w:rPr>
        <w:t>l nr.</w:t>
      </w:r>
      <w:r w:rsidRPr="00D0380B">
        <w:rPr>
          <w:b/>
          <w:lang w:val="ro-RO"/>
        </w:rPr>
        <w:t xml:space="preserve"> 4</w:t>
      </w:r>
      <w:r>
        <w:rPr>
          <w:lang w:val="ro-RO"/>
        </w:rPr>
        <w:t xml:space="preserve"> – Tabloul de evoluție al elementelor de venituri și cheltuieli pe sectoare de activitate pentru top 15 întreprinderi din județul Suceava</w:t>
      </w:r>
    </w:p>
    <w:p w:rsidR="000F5110" w:rsidRDefault="000F5110" w:rsidP="003202D6">
      <w:pPr>
        <w:rPr>
          <w:lang w:val="ro-RO"/>
        </w:rPr>
      </w:pPr>
    </w:p>
    <w:tbl>
      <w:tblPr>
        <w:tblW w:w="5000" w:type="pct"/>
        <w:tblLook w:val="04A0" w:firstRow="1" w:lastRow="0" w:firstColumn="1" w:lastColumn="0" w:noHBand="0" w:noVBand="1"/>
      </w:tblPr>
      <w:tblGrid>
        <w:gridCol w:w="1723"/>
        <w:gridCol w:w="1409"/>
        <w:gridCol w:w="1590"/>
        <w:gridCol w:w="1624"/>
        <w:gridCol w:w="1387"/>
        <w:gridCol w:w="1017"/>
        <w:gridCol w:w="1104"/>
      </w:tblGrid>
      <w:tr w:rsidR="00D0380B" w:rsidRPr="00D0380B" w:rsidTr="00542A54">
        <w:trPr>
          <w:trHeight w:val="1068"/>
        </w:trPr>
        <w:tc>
          <w:tcPr>
            <w:tcW w:w="874" w:type="pct"/>
            <w:tcBorders>
              <w:top w:val="single" w:sz="8" w:space="0" w:color="DDDDDD"/>
              <w:left w:val="single" w:sz="8" w:space="0" w:color="DDDDDD"/>
              <w:bottom w:val="single" w:sz="8" w:space="0" w:color="DDDDDD"/>
              <w:right w:val="single" w:sz="8" w:space="0" w:color="DDDDDD"/>
            </w:tcBorders>
            <w:shd w:val="clear" w:color="000000" w:fill="FFF2CC"/>
            <w:vAlign w:val="center"/>
            <w:hideMark/>
          </w:tcPr>
          <w:p w:rsidR="00C9656D" w:rsidRPr="00D0380B" w:rsidRDefault="00C9656D" w:rsidP="00C9656D">
            <w:pPr>
              <w:jc w:val="center"/>
              <w:rPr>
                <w:b/>
                <w:bCs/>
                <w:color w:val="000000"/>
                <w:sz w:val="20"/>
                <w:szCs w:val="20"/>
              </w:rPr>
            </w:pPr>
            <w:r w:rsidRPr="00D0380B">
              <w:rPr>
                <w:b/>
                <w:bCs/>
                <w:color w:val="000000"/>
                <w:sz w:val="20"/>
                <w:szCs w:val="20"/>
              </w:rPr>
              <w:t xml:space="preserve">Incomes </w:t>
            </w:r>
          </w:p>
        </w:tc>
        <w:tc>
          <w:tcPr>
            <w:tcW w:w="715" w:type="pct"/>
            <w:tcBorders>
              <w:top w:val="single" w:sz="8" w:space="0" w:color="DDDDDD"/>
              <w:left w:val="nil"/>
              <w:bottom w:val="single" w:sz="8" w:space="0" w:color="DDDDDD"/>
              <w:right w:val="single" w:sz="8" w:space="0" w:color="DDDDDD"/>
            </w:tcBorders>
            <w:shd w:val="clear" w:color="000000" w:fill="FFFFFF"/>
            <w:vAlign w:val="center"/>
            <w:hideMark/>
          </w:tcPr>
          <w:p w:rsidR="00C9656D" w:rsidRPr="00D0380B" w:rsidRDefault="00C9656D" w:rsidP="00C9656D">
            <w:pPr>
              <w:jc w:val="center"/>
              <w:rPr>
                <w:b/>
                <w:bCs/>
                <w:color w:val="000000"/>
                <w:sz w:val="20"/>
                <w:szCs w:val="20"/>
              </w:rPr>
            </w:pPr>
            <w:r w:rsidRPr="00D0380B">
              <w:rPr>
                <w:b/>
                <w:bCs/>
                <w:color w:val="000000"/>
                <w:sz w:val="20"/>
                <w:szCs w:val="20"/>
              </w:rPr>
              <w:t>B - The Processing Industry</w:t>
            </w:r>
          </w:p>
        </w:tc>
        <w:tc>
          <w:tcPr>
            <w:tcW w:w="807" w:type="pct"/>
            <w:tcBorders>
              <w:top w:val="single" w:sz="8" w:space="0" w:color="DDDDDD"/>
              <w:left w:val="nil"/>
              <w:bottom w:val="single" w:sz="8" w:space="0" w:color="DDDDDD"/>
              <w:right w:val="single" w:sz="8" w:space="0" w:color="DDDDDD"/>
            </w:tcBorders>
            <w:shd w:val="clear" w:color="000000" w:fill="FFFFFF"/>
            <w:vAlign w:val="center"/>
            <w:hideMark/>
          </w:tcPr>
          <w:p w:rsidR="00C9656D" w:rsidRPr="00D0380B" w:rsidRDefault="00C9656D" w:rsidP="00C9656D">
            <w:pPr>
              <w:jc w:val="center"/>
              <w:rPr>
                <w:b/>
                <w:bCs/>
                <w:color w:val="000000"/>
                <w:sz w:val="20"/>
                <w:szCs w:val="20"/>
              </w:rPr>
            </w:pPr>
            <w:r w:rsidRPr="00D0380B">
              <w:rPr>
                <w:b/>
                <w:bCs/>
                <w:color w:val="000000"/>
                <w:sz w:val="20"/>
                <w:szCs w:val="20"/>
              </w:rPr>
              <w:t>F - Constructions</w:t>
            </w:r>
          </w:p>
        </w:tc>
        <w:tc>
          <w:tcPr>
            <w:tcW w:w="824" w:type="pct"/>
            <w:tcBorders>
              <w:top w:val="single" w:sz="8" w:space="0" w:color="DDDDDD"/>
              <w:left w:val="nil"/>
              <w:bottom w:val="single" w:sz="8" w:space="0" w:color="DDDDDD"/>
              <w:right w:val="single" w:sz="8" w:space="0" w:color="DDDDDD"/>
            </w:tcBorders>
            <w:shd w:val="clear" w:color="000000" w:fill="FFFFFF"/>
            <w:vAlign w:val="center"/>
            <w:hideMark/>
          </w:tcPr>
          <w:p w:rsidR="00C9656D" w:rsidRPr="00D0380B" w:rsidRDefault="00C9656D" w:rsidP="00C9656D">
            <w:pPr>
              <w:jc w:val="center"/>
              <w:rPr>
                <w:b/>
                <w:bCs/>
                <w:color w:val="000000"/>
                <w:sz w:val="20"/>
                <w:szCs w:val="20"/>
              </w:rPr>
            </w:pPr>
            <w:r w:rsidRPr="00D0380B">
              <w:rPr>
                <w:b/>
                <w:bCs/>
                <w:color w:val="000000"/>
                <w:sz w:val="20"/>
                <w:szCs w:val="20"/>
              </w:rPr>
              <w:t>G - Wholesale and retail trade</w:t>
            </w:r>
          </w:p>
        </w:tc>
        <w:tc>
          <w:tcPr>
            <w:tcW w:w="704" w:type="pct"/>
            <w:tcBorders>
              <w:top w:val="single" w:sz="8" w:space="0" w:color="DDDDDD"/>
              <w:left w:val="nil"/>
              <w:bottom w:val="single" w:sz="8" w:space="0" w:color="DDDDDD"/>
              <w:right w:val="single" w:sz="8" w:space="0" w:color="DDDDDD"/>
            </w:tcBorders>
            <w:shd w:val="clear" w:color="000000" w:fill="FFFFFF"/>
            <w:vAlign w:val="center"/>
            <w:hideMark/>
          </w:tcPr>
          <w:p w:rsidR="00C9656D" w:rsidRPr="00D0380B" w:rsidRDefault="00C9656D" w:rsidP="00C9656D">
            <w:pPr>
              <w:jc w:val="center"/>
              <w:rPr>
                <w:b/>
                <w:bCs/>
                <w:color w:val="000000"/>
                <w:sz w:val="20"/>
                <w:szCs w:val="20"/>
              </w:rPr>
            </w:pPr>
            <w:r w:rsidRPr="00D0380B">
              <w:rPr>
                <w:b/>
                <w:bCs/>
                <w:color w:val="000000"/>
                <w:sz w:val="20"/>
                <w:szCs w:val="20"/>
              </w:rPr>
              <w:t>H - Transport and storage</w:t>
            </w:r>
          </w:p>
        </w:tc>
        <w:tc>
          <w:tcPr>
            <w:tcW w:w="516" w:type="pct"/>
            <w:tcBorders>
              <w:top w:val="single" w:sz="8" w:space="0" w:color="DDDDDD"/>
              <w:left w:val="nil"/>
              <w:bottom w:val="single" w:sz="8" w:space="0" w:color="DDDDDD"/>
              <w:right w:val="single" w:sz="8" w:space="0" w:color="DDDDDD"/>
            </w:tcBorders>
            <w:shd w:val="clear" w:color="000000" w:fill="FFFFFF"/>
            <w:vAlign w:val="center"/>
            <w:hideMark/>
          </w:tcPr>
          <w:p w:rsidR="00C9656D" w:rsidRPr="00D0380B" w:rsidRDefault="00C9656D" w:rsidP="00C9656D">
            <w:pPr>
              <w:jc w:val="center"/>
              <w:rPr>
                <w:b/>
                <w:bCs/>
                <w:color w:val="000000"/>
                <w:sz w:val="20"/>
                <w:szCs w:val="20"/>
              </w:rPr>
            </w:pPr>
            <w:r w:rsidRPr="00D0380B">
              <w:rPr>
                <w:b/>
                <w:bCs/>
                <w:color w:val="000000"/>
                <w:sz w:val="20"/>
                <w:szCs w:val="20"/>
              </w:rPr>
              <w:t>Average</w:t>
            </w:r>
          </w:p>
        </w:tc>
        <w:tc>
          <w:tcPr>
            <w:tcW w:w="560" w:type="pct"/>
            <w:tcBorders>
              <w:top w:val="single" w:sz="8" w:space="0" w:color="DDDDDD"/>
              <w:left w:val="nil"/>
              <w:bottom w:val="single" w:sz="8" w:space="0" w:color="DDDDDD"/>
              <w:right w:val="single" w:sz="8" w:space="0" w:color="DDDDDD"/>
            </w:tcBorders>
            <w:shd w:val="clear" w:color="000000" w:fill="FFFFFF"/>
            <w:vAlign w:val="center"/>
            <w:hideMark/>
          </w:tcPr>
          <w:p w:rsidR="00C9656D" w:rsidRPr="00D0380B" w:rsidRDefault="00C9656D" w:rsidP="00C9656D">
            <w:pPr>
              <w:jc w:val="center"/>
              <w:rPr>
                <w:b/>
                <w:bCs/>
                <w:color w:val="000000"/>
                <w:sz w:val="20"/>
                <w:szCs w:val="20"/>
              </w:rPr>
            </w:pPr>
            <w:r w:rsidRPr="00D0380B">
              <w:rPr>
                <w:b/>
                <w:bCs/>
                <w:color w:val="000000"/>
                <w:sz w:val="20"/>
                <w:szCs w:val="20"/>
              </w:rPr>
              <w:t>Standard deviation</w:t>
            </w:r>
          </w:p>
        </w:tc>
      </w:tr>
      <w:tr w:rsidR="00D0380B" w:rsidRPr="00D0380B" w:rsidTr="00542A54">
        <w:trPr>
          <w:trHeight w:val="300"/>
        </w:trPr>
        <w:tc>
          <w:tcPr>
            <w:tcW w:w="874" w:type="pct"/>
            <w:tcBorders>
              <w:top w:val="nil"/>
              <w:left w:val="single" w:sz="8" w:space="0" w:color="DDDDDD"/>
              <w:bottom w:val="single" w:sz="8" w:space="0" w:color="DDDDDD"/>
              <w:right w:val="single" w:sz="8" w:space="0" w:color="DDDDDD"/>
            </w:tcBorders>
            <w:shd w:val="clear" w:color="000000" w:fill="F9F9F9"/>
            <w:hideMark/>
          </w:tcPr>
          <w:p w:rsidR="00C9656D" w:rsidRPr="00D0380B" w:rsidRDefault="00C9656D" w:rsidP="00C9656D">
            <w:pPr>
              <w:jc w:val="right"/>
              <w:rPr>
                <w:color w:val="000000"/>
                <w:sz w:val="20"/>
                <w:szCs w:val="20"/>
              </w:rPr>
            </w:pPr>
            <w:r w:rsidRPr="00D0380B">
              <w:rPr>
                <w:color w:val="000000"/>
                <w:sz w:val="20"/>
                <w:szCs w:val="20"/>
              </w:rPr>
              <w:t>2017</w:t>
            </w:r>
          </w:p>
        </w:tc>
        <w:tc>
          <w:tcPr>
            <w:tcW w:w="715" w:type="pct"/>
            <w:tcBorders>
              <w:top w:val="nil"/>
              <w:left w:val="nil"/>
              <w:bottom w:val="single" w:sz="8" w:space="0" w:color="DDDDDD"/>
              <w:right w:val="single" w:sz="8" w:space="0" w:color="DDDDDD"/>
            </w:tcBorders>
            <w:shd w:val="clear" w:color="000000" w:fill="F9F9F9"/>
            <w:hideMark/>
          </w:tcPr>
          <w:p w:rsidR="00C9656D" w:rsidRPr="00D0380B" w:rsidRDefault="00C9656D" w:rsidP="00C9656D">
            <w:pPr>
              <w:jc w:val="right"/>
              <w:rPr>
                <w:color w:val="000000"/>
                <w:sz w:val="20"/>
                <w:szCs w:val="20"/>
              </w:rPr>
            </w:pPr>
            <w:r w:rsidRPr="00D0380B">
              <w:rPr>
                <w:color w:val="000000"/>
                <w:sz w:val="20"/>
                <w:szCs w:val="20"/>
              </w:rPr>
              <w:t>112.97%</w:t>
            </w:r>
          </w:p>
        </w:tc>
        <w:tc>
          <w:tcPr>
            <w:tcW w:w="807" w:type="pct"/>
            <w:tcBorders>
              <w:top w:val="nil"/>
              <w:left w:val="nil"/>
              <w:bottom w:val="single" w:sz="8" w:space="0" w:color="DDDDDD"/>
              <w:right w:val="single" w:sz="8" w:space="0" w:color="DDDDDD"/>
            </w:tcBorders>
            <w:shd w:val="clear" w:color="000000" w:fill="F9F9F9"/>
            <w:hideMark/>
          </w:tcPr>
          <w:p w:rsidR="00C9656D" w:rsidRPr="00D0380B" w:rsidRDefault="00C9656D" w:rsidP="00C9656D">
            <w:pPr>
              <w:jc w:val="right"/>
              <w:rPr>
                <w:color w:val="000000"/>
                <w:sz w:val="20"/>
                <w:szCs w:val="20"/>
              </w:rPr>
            </w:pPr>
            <w:r w:rsidRPr="00D0380B">
              <w:rPr>
                <w:color w:val="000000"/>
                <w:sz w:val="20"/>
                <w:szCs w:val="20"/>
              </w:rPr>
              <w:t>101.82%</w:t>
            </w:r>
          </w:p>
        </w:tc>
        <w:tc>
          <w:tcPr>
            <w:tcW w:w="824" w:type="pct"/>
            <w:tcBorders>
              <w:top w:val="nil"/>
              <w:left w:val="nil"/>
              <w:bottom w:val="single" w:sz="8" w:space="0" w:color="DDDDDD"/>
              <w:right w:val="single" w:sz="8" w:space="0" w:color="DDDDDD"/>
            </w:tcBorders>
            <w:shd w:val="clear" w:color="000000" w:fill="F9F9F9"/>
            <w:hideMark/>
          </w:tcPr>
          <w:p w:rsidR="00C9656D" w:rsidRPr="00D0380B" w:rsidRDefault="00C9656D" w:rsidP="00C9656D">
            <w:pPr>
              <w:jc w:val="right"/>
              <w:rPr>
                <w:color w:val="000000"/>
                <w:sz w:val="20"/>
                <w:szCs w:val="20"/>
              </w:rPr>
            </w:pPr>
            <w:r w:rsidRPr="00D0380B">
              <w:rPr>
                <w:color w:val="000000"/>
                <w:sz w:val="20"/>
                <w:szCs w:val="20"/>
              </w:rPr>
              <w:t>118.70%</w:t>
            </w:r>
          </w:p>
        </w:tc>
        <w:tc>
          <w:tcPr>
            <w:tcW w:w="704" w:type="pct"/>
            <w:tcBorders>
              <w:top w:val="nil"/>
              <w:left w:val="nil"/>
              <w:bottom w:val="single" w:sz="8" w:space="0" w:color="DDDDDD"/>
              <w:right w:val="single" w:sz="8" w:space="0" w:color="DDDDDD"/>
            </w:tcBorders>
            <w:shd w:val="clear" w:color="000000" w:fill="F9F9F9"/>
            <w:hideMark/>
          </w:tcPr>
          <w:p w:rsidR="00C9656D" w:rsidRPr="00D0380B" w:rsidRDefault="00C9656D" w:rsidP="00C9656D">
            <w:pPr>
              <w:jc w:val="right"/>
              <w:rPr>
                <w:color w:val="000000"/>
                <w:sz w:val="20"/>
                <w:szCs w:val="20"/>
              </w:rPr>
            </w:pPr>
            <w:r w:rsidRPr="00D0380B">
              <w:rPr>
                <w:color w:val="000000"/>
                <w:sz w:val="20"/>
                <w:szCs w:val="20"/>
              </w:rPr>
              <w:t>120.78%</w:t>
            </w:r>
          </w:p>
        </w:tc>
        <w:tc>
          <w:tcPr>
            <w:tcW w:w="516" w:type="pct"/>
            <w:tcBorders>
              <w:top w:val="nil"/>
              <w:left w:val="nil"/>
              <w:bottom w:val="nil"/>
              <w:right w:val="nil"/>
            </w:tcBorders>
            <w:shd w:val="clear" w:color="auto" w:fill="auto"/>
            <w:vAlign w:val="bottom"/>
            <w:hideMark/>
          </w:tcPr>
          <w:p w:rsidR="00C9656D" w:rsidRPr="00D0380B" w:rsidRDefault="00C9656D" w:rsidP="00C9656D">
            <w:pPr>
              <w:jc w:val="right"/>
              <w:rPr>
                <w:color w:val="000000"/>
                <w:sz w:val="20"/>
                <w:szCs w:val="20"/>
              </w:rPr>
            </w:pPr>
            <w:r w:rsidRPr="00D0380B">
              <w:rPr>
                <w:color w:val="000000"/>
                <w:sz w:val="20"/>
                <w:szCs w:val="20"/>
              </w:rPr>
              <w:t>113.57%</w:t>
            </w:r>
          </w:p>
        </w:tc>
        <w:tc>
          <w:tcPr>
            <w:tcW w:w="560" w:type="pct"/>
            <w:tcBorders>
              <w:top w:val="nil"/>
              <w:left w:val="nil"/>
              <w:bottom w:val="nil"/>
              <w:right w:val="nil"/>
            </w:tcBorders>
            <w:shd w:val="clear" w:color="auto" w:fill="auto"/>
            <w:vAlign w:val="bottom"/>
            <w:hideMark/>
          </w:tcPr>
          <w:p w:rsidR="00C9656D" w:rsidRPr="00D0380B" w:rsidRDefault="00C9656D" w:rsidP="00C9656D">
            <w:pPr>
              <w:jc w:val="right"/>
              <w:rPr>
                <w:color w:val="000000"/>
                <w:sz w:val="20"/>
                <w:szCs w:val="20"/>
              </w:rPr>
            </w:pPr>
            <w:r w:rsidRPr="00D0380B">
              <w:rPr>
                <w:color w:val="000000"/>
                <w:sz w:val="20"/>
                <w:szCs w:val="20"/>
              </w:rPr>
              <w:t>-3.12%</w:t>
            </w:r>
          </w:p>
        </w:tc>
      </w:tr>
      <w:tr w:rsidR="00D0380B" w:rsidRPr="00D0380B" w:rsidTr="00542A54">
        <w:trPr>
          <w:trHeight w:val="300"/>
        </w:trPr>
        <w:tc>
          <w:tcPr>
            <w:tcW w:w="874" w:type="pct"/>
            <w:tcBorders>
              <w:top w:val="nil"/>
              <w:left w:val="single" w:sz="8" w:space="0" w:color="DDDDDD"/>
              <w:bottom w:val="single" w:sz="8" w:space="0" w:color="DDDDDD"/>
              <w:right w:val="single" w:sz="8" w:space="0" w:color="DDDDDD"/>
            </w:tcBorders>
            <w:shd w:val="clear" w:color="000000" w:fill="FFFFFF"/>
            <w:hideMark/>
          </w:tcPr>
          <w:p w:rsidR="00C9656D" w:rsidRPr="00D0380B" w:rsidRDefault="00C9656D" w:rsidP="00C9656D">
            <w:pPr>
              <w:jc w:val="right"/>
              <w:rPr>
                <w:color w:val="000000"/>
                <w:sz w:val="20"/>
                <w:szCs w:val="20"/>
              </w:rPr>
            </w:pPr>
            <w:r w:rsidRPr="00D0380B">
              <w:rPr>
                <w:color w:val="000000"/>
                <w:sz w:val="20"/>
                <w:szCs w:val="20"/>
              </w:rPr>
              <w:t>2016</w:t>
            </w:r>
          </w:p>
        </w:tc>
        <w:tc>
          <w:tcPr>
            <w:tcW w:w="715" w:type="pct"/>
            <w:tcBorders>
              <w:top w:val="nil"/>
              <w:left w:val="nil"/>
              <w:bottom w:val="single" w:sz="8" w:space="0" w:color="DDDDDD"/>
              <w:right w:val="single" w:sz="8" w:space="0" w:color="DDDDDD"/>
            </w:tcBorders>
            <w:shd w:val="clear" w:color="000000" w:fill="F9F9F9"/>
            <w:hideMark/>
          </w:tcPr>
          <w:p w:rsidR="00C9656D" w:rsidRPr="00D0380B" w:rsidRDefault="00C9656D" w:rsidP="00C9656D">
            <w:pPr>
              <w:jc w:val="right"/>
              <w:rPr>
                <w:color w:val="000000"/>
                <w:sz w:val="20"/>
                <w:szCs w:val="20"/>
              </w:rPr>
            </w:pPr>
            <w:r w:rsidRPr="00D0380B">
              <w:rPr>
                <w:color w:val="000000"/>
                <w:sz w:val="20"/>
                <w:szCs w:val="20"/>
              </w:rPr>
              <w:t>104.20%</w:t>
            </w:r>
          </w:p>
        </w:tc>
        <w:tc>
          <w:tcPr>
            <w:tcW w:w="807" w:type="pct"/>
            <w:tcBorders>
              <w:top w:val="nil"/>
              <w:left w:val="nil"/>
              <w:bottom w:val="single" w:sz="8" w:space="0" w:color="DDDDDD"/>
              <w:right w:val="single" w:sz="8" w:space="0" w:color="DDDDDD"/>
            </w:tcBorders>
            <w:shd w:val="clear" w:color="000000" w:fill="F9F9F9"/>
            <w:hideMark/>
          </w:tcPr>
          <w:p w:rsidR="00C9656D" w:rsidRPr="00D0380B" w:rsidRDefault="00C9656D" w:rsidP="00C9656D">
            <w:pPr>
              <w:jc w:val="right"/>
              <w:rPr>
                <w:color w:val="000000"/>
                <w:sz w:val="20"/>
                <w:szCs w:val="20"/>
              </w:rPr>
            </w:pPr>
            <w:r w:rsidRPr="00D0380B">
              <w:rPr>
                <w:color w:val="000000"/>
                <w:sz w:val="20"/>
                <w:szCs w:val="20"/>
              </w:rPr>
              <w:t>117.72%</w:t>
            </w:r>
          </w:p>
        </w:tc>
        <w:tc>
          <w:tcPr>
            <w:tcW w:w="824" w:type="pct"/>
            <w:tcBorders>
              <w:top w:val="nil"/>
              <w:left w:val="nil"/>
              <w:bottom w:val="single" w:sz="8" w:space="0" w:color="DDDDDD"/>
              <w:right w:val="single" w:sz="8" w:space="0" w:color="DDDDDD"/>
            </w:tcBorders>
            <w:shd w:val="clear" w:color="000000" w:fill="F9F9F9"/>
            <w:hideMark/>
          </w:tcPr>
          <w:p w:rsidR="00C9656D" w:rsidRPr="00D0380B" w:rsidRDefault="00C9656D" w:rsidP="00C9656D">
            <w:pPr>
              <w:jc w:val="right"/>
              <w:rPr>
                <w:color w:val="000000"/>
                <w:sz w:val="20"/>
                <w:szCs w:val="20"/>
              </w:rPr>
            </w:pPr>
            <w:r w:rsidRPr="00D0380B">
              <w:rPr>
                <w:color w:val="000000"/>
                <w:sz w:val="20"/>
                <w:szCs w:val="20"/>
              </w:rPr>
              <w:t>93.78%</w:t>
            </w:r>
          </w:p>
        </w:tc>
        <w:tc>
          <w:tcPr>
            <w:tcW w:w="704" w:type="pct"/>
            <w:tcBorders>
              <w:top w:val="nil"/>
              <w:left w:val="nil"/>
              <w:bottom w:val="single" w:sz="8" w:space="0" w:color="DDDDDD"/>
              <w:right w:val="single" w:sz="8" w:space="0" w:color="DDDDDD"/>
            </w:tcBorders>
            <w:shd w:val="clear" w:color="000000" w:fill="F9F9F9"/>
            <w:hideMark/>
          </w:tcPr>
          <w:p w:rsidR="00C9656D" w:rsidRPr="00D0380B" w:rsidRDefault="00C9656D" w:rsidP="00C9656D">
            <w:pPr>
              <w:jc w:val="right"/>
              <w:rPr>
                <w:color w:val="000000"/>
                <w:sz w:val="20"/>
                <w:szCs w:val="20"/>
              </w:rPr>
            </w:pPr>
            <w:r w:rsidRPr="00D0380B">
              <w:rPr>
                <w:color w:val="000000"/>
                <w:sz w:val="20"/>
                <w:szCs w:val="20"/>
              </w:rPr>
              <w:t>120.21%</w:t>
            </w:r>
          </w:p>
        </w:tc>
        <w:tc>
          <w:tcPr>
            <w:tcW w:w="516" w:type="pct"/>
            <w:tcBorders>
              <w:top w:val="nil"/>
              <w:left w:val="nil"/>
              <w:bottom w:val="nil"/>
              <w:right w:val="nil"/>
            </w:tcBorders>
            <w:shd w:val="clear" w:color="auto" w:fill="auto"/>
            <w:vAlign w:val="bottom"/>
            <w:hideMark/>
          </w:tcPr>
          <w:p w:rsidR="00C9656D" w:rsidRPr="00D0380B" w:rsidRDefault="00C9656D" w:rsidP="00C9656D">
            <w:pPr>
              <w:jc w:val="right"/>
              <w:rPr>
                <w:color w:val="000000"/>
                <w:sz w:val="20"/>
                <w:szCs w:val="20"/>
              </w:rPr>
            </w:pPr>
            <w:r w:rsidRPr="00D0380B">
              <w:rPr>
                <w:color w:val="000000"/>
                <w:sz w:val="20"/>
                <w:szCs w:val="20"/>
              </w:rPr>
              <w:t>108.98%</w:t>
            </w:r>
          </w:p>
        </w:tc>
        <w:tc>
          <w:tcPr>
            <w:tcW w:w="560" w:type="pct"/>
            <w:tcBorders>
              <w:top w:val="nil"/>
              <w:left w:val="nil"/>
              <w:bottom w:val="nil"/>
              <w:right w:val="nil"/>
            </w:tcBorders>
            <w:shd w:val="clear" w:color="auto" w:fill="auto"/>
            <w:vAlign w:val="bottom"/>
            <w:hideMark/>
          </w:tcPr>
          <w:p w:rsidR="00C9656D" w:rsidRPr="00D0380B" w:rsidRDefault="00C9656D" w:rsidP="00C9656D">
            <w:pPr>
              <w:jc w:val="right"/>
              <w:rPr>
                <w:color w:val="000000"/>
                <w:sz w:val="20"/>
                <w:szCs w:val="20"/>
              </w:rPr>
            </w:pPr>
            <w:r w:rsidRPr="00D0380B">
              <w:rPr>
                <w:color w:val="000000"/>
                <w:sz w:val="20"/>
                <w:szCs w:val="20"/>
              </w:rPr>
              <w:t>1.47%</w:t>
            </w:r>
          </w:p>
        </w:tc>
      </w:tr>
      <w:tr w:rsidR="00D0380B" w:rsidRPr="00D0380B" w:rsidTr="00542A54">
        <w:trPr>
          <w:trHeight w:val="300"/>
        </w:trPr>
        <w:tc>
          <w:tcPr>
            <w:tcW w:w="874" w:type="pct"/>
            <w:tcBorders>
              <w:top w:val="nil"/>
              <w:left w:val="single" w:sz="8" w:space="0" w:color="DDDDDD"/>
              <w:bottom w:val="single" w:sz="8" w:space="0" w:color="DDDDDD"/>
              <w:right w:val="single" w:sz="8" w:space="0" w:color="DDDDDD"/>
            </w:tcBorders>
            <w:shd w:val="clear" w:color="000000" w:fill="F9F9F9"/>
            <w:hideMark/>
          </w:tcPr>
          <w:p w:rsidR="00C9656D" w:rsidRPr="00D0380B" w:rsidRDefault="00C9656D" w:rsidP="00C9656D">
            <w:pPr>
              <w:jc w:val="right"/>
              <w:rPr>
                <w:color w:val="000000"/>
                <w:sz w:val="20"/>
                <w:szCs w:val="20"/>
              </w:rPr>
            </w:pPr>
            <w:r w:rsidRPr="00D0380B">
              <w:rPr>
                <w:color w:val="000000"/>
                <w:sz w:val="20"/>
                <w:szCs w:val="20"/>
              </w:rPr>
              <w:t>2015</w:t>
            </w:r>
          </w:p>
        </w:tc>
        <w:tc>
          <w:tcPr>
            <w:tcW w:w="715" w:type="pct"/>
            <w:tcBorders>
              <w:top w:val="nil"/>
              <w:left w:val="nil"/>
              <w:bottom w:val="single" w:sz="8" w:space="0" w:color="DDDDDD"/>
              <w:right w:val="single" w:sz="8" w:space="0" w:color="DDDDDD"/>
            </w:tcBorders>
            <w:shd w:val="clear" w:color="000000" w:fill="F9F9F9"/>
            <w:hideMark/>
          </w:tcPr>
          <w:p w:rsidR="00C9656D" w:rsidRPr="00D0380B" w:rsidRDefault="00C9656D" w:rsidP="00C9656D">
            <w:pPr>
              <w:jc w:val="right"/>
              <w:rPr>
                <w:color w:val="000000"/>
                <w:sz w:val="20"/>
                <w:szCs w:val="20"/>
              </w:rPr>
            </w:pPr>
            <w:r w:rsidRPr="00D0380B">
              <w:rPr>
                <w:color w:val="000000"/>
                <w:sz w:val="20"/>
                <w:szCs w:val="20"/>
              </w:rPr>
              <w:t>98.29%</w:t>
            </w:r>
          </w:p>
        </w:tc>
        <w:tc>
          <w:tcPr>
            <w:tcW w:w="807" w:type="pct"/>
            <w:tcBorders>
              <w:top w:val="nil"/>
              <w:left w:val="nil"/>
              <w:bottom w:val="single" w:sz="8" w:space="0" w:color="DDDDDD"/>
              <w:right w:val="single" w:sz="8" w:space="0" w:color="DDDDDD"/>
            </w:tcBorders>
            <w:shd w:val="clear" w:color="000000" w:fill="F9F9F9"/>
            <w:hideMark/>
          </w:tcPr>
          <w:p w:rsidR="00C9656D" w:rsidRPr="00D0380B" w:rsidRDefault="00C9656D" w:rsidP="00C9656D">
            <w:pPr>
              <w:jc w:val="right"/>
              <w:rPr>
                <w:color w:val="000000"/>
                <w:sz w:val="20"/>
                <w:szCs w:val="20"/>
              </w:rPr>
            </w:pPr>
            <w:r w:rsidRPr="00D0380B">
              <w:rPr>
                <w:color w:val="000000"/>
                <w:sz w:val="20"/>
                <w:szCs w:val="20"/>
              </w:rPr>
              <w:t>114.17%</w:t>
            </w:r>
          </w:p>
        </w:tc>
        <w:tc>
          <w:tcPr>
            <w:tcW w:w="824" w:type="pct"/>
            <w:tcBorders>
              <w:top w:val="nil"/>
              <w:left w:val="nil"/>
              <w:bottom w:val="single" w:sz="8" w:space="0" w:color="DDDDDD"/>
              <w:right w:val="single" w:sz="8" w:space="0" w:color="DDDDDD"/>
            </w:tcBorders>
            <w:shd w:val="clear" w:color="000000" w:fill="F9F9F9"/>
            <w:hideMark/>
          </w:tcPr>
          <w:p w:rsidR="00C9656D" w:rsidRPr="00D0380B" w:rsidRDefault="00C9656D" w:rsidP="00C9656D">
            <w:pPr>
              <w:jc w:val="right"/>
              <w:rPr>
                <w:color w:val="000000"/>
                <w:sz w:val="20"/>
                <w:szCs w:val="20"/>
              </w:rPr>
            </w:pPr>
            <w:r w:rsidRPr="00D0380B">
              <w:rPr>
                <w:color w:val="000000"/>
                <w:sz w:val="20"/>
                <w:szCs w:val="20"/>
              </w:rPr>
              <w:t>100.13%</w:t>
            </w:r>
          </w:p>
        </w:tc>
        <w:tc>
          <w:tcPr>
            <w:tcW w:w="704" w:type="pct"/>
            <w:tcBorders>
              <w:top w:val="nil"/>
              <w:left w:val="nil"/>
              <w:bottom w:val="single" w:sz="8" w:space="0" w:color="DDDDDD"/>
              <w:right w:val="single" w:sz="8" w:space="0" w:color="DDDDDD"/>
            </w:tcBorders>
            <w:shd w:val="clear" w:color="000000" w:fill="F9F9F9"/>
            <w:hideMark/>
          </w:tcPr>
          <w:p w:rsidR="00C9656D" w:rsidRPr="00D0380B" w:rsidRDefault="00C9656D" w:rsidP="00C9656D">
            <w:pPr>
              <w:jc w:val="right"/>
              <w:rPr>
                <w:color w:val="000000"/>
                <w:sz w:val="20"/>
                <w:szCs w:val="20"/>
              </w:rPr>
            </w:pPr>
            <w:r w:rsidRPr="00D0380B">
              <w:rPr>
                <w:color w:val="000000"/>
                <w:sz w:val="20"/>
                <w:szCs w:val="20"/>
              </w:rPr>
              <w:t>113.91%</w:t>
            </w:r>
          </w:p>
        </w:tc>
        <w:tc>
          <w:tcPr>
            <w:tcW w:w="516" w:type="pct"/>
            <w:tcBorders>
              <w:top w:val="nil"/>
              <w:left w:val="nil"/>
              <w:bottom w:val="nil"/>
              <w:right w:val="nil"/>
            </w:tcBorders>
            <w:shd w:val="clear" w:color="auto" w:fill="auto"/>
            <w:vAlign w:val="bottom"/>
            <w:hideMark/>
          </w:tcPr>
          <w:p w:rsidR="00C9656D" w:rsidRPr="00D0380B" w:rsidRDefault="00C9656D" w:rsidP="00C9656D">
            <w:pPr>
              <w:jc w:val="right"/>
              <w:rPr>
                <w:color w:val="000000"/>
                <w:sz w:val="20"/>
                <w:szCs w:val="20"/>
              </w:rPr>
            </w:pPr>
            <w:r w:rsidRPr="00D0380B">
              <w:rPr>
                <w:color w:val="000000"/>
                <w:sz w:val="20"/>
                <w:szCs w:val="20"/>
              </w:rPr>
              <w:t>106.63%</w:t>
            </w:r>
          </w:p>
        </w:tc>
        <w:tc>
          <w:tcPr>
            <w:tcW w:w="560" w:type="pct"/>
            <w:tcBorders>
              <w:top w:val="nil"/>
              <w:left w:val="nil"/>
              <w:bottom w:val="nil"/>
              <w:right w:val="nil"/>
            </w:tcBorders>
            <w:shd w:val="clear" w:color="auto" w:fill="auto"/>
            <w:vAlign w:val="bottom"/>
            <w:hideMark/>
          </w:tcPr>
          <w:p w:rsidR="00C9656D" w:rsidRPr="00D0380B" w:rsidRDefault="00C9656D" w:rsidP="00C9656D">
            <w:pPr>
              <w:jc w:val="right"/>
              <w:rPr>
                <w:color w:val="000000"/>
                <w:sz w:val="20"/>
                <w:szCs w:val="20"/>
              </w:rPr>
            </w:pPr>
            <w:r w:rsidRPr="00D0380B">
              <w:rPr>
                <w:color w:val="000000"/>
                <w:sz w:val="20"/>
                <w:szCs w:val="20"/>
              </w:rPr>
              <w:t>3.82%</w:t>
            </w:r>
          </w:p>
        </w:tc>
      </w:tr>
      <w:tr w:rsidR="00D0380B" w:rsidRPr="00D0380B" w:rsidTr="00542A54">
        <w:trPr>
          <w:trHeight w:val="300"/>
        </w:trPr>
        <w:tc>
          <w:tcPr>
            <w:tcW w:w="874" w:type="pct"/>
            <w:tcBorders>
              <w:top w:val="nil"/>
              <w:left w:val="single" w:sz="8" w:space="0" w:color="DDDDDD"/>
              <w:bottom w:val="single" w:sz="8" w:space="0" w:color="DDDDDD"/>
              <w:right w:val="single" w:sz="8" w:space="0" w:color="DDDDDD"/>
            </w:tcBorders>
            <w:shd w:val="clear" w:color="000000" w:fill="FFFFFF"/>
            <w:hideMark/>
          </w:tcPr>
          <w:p w:rsidR="00C9656D" w:rsidRPr="00D0380B" w:rsidRDefault="00C9656D" w:rsidP="00C9656D">
            <w:pPr>
              <w:jc w:val="right"/>
              <w:rPr>
                <w:color w:val="000000"/>
                <w:sz w:val="20"/>
                <w:szCs w:val="20"/>
              </w:rPr>
            </w:pPr>
            <w:r w:rsidRPr="00D0380B">
              <w:rPr>
                <w:color w:val="000000"/>
                <w:sz w:val="20"/>
                <w:szCs w:val="20"/>
              </w:rPr>
              <w:t>2014</w:t>
            </w:r>
          </w:p>
        </w:tc>
        <w:tc>
          <w:tcPr>
            <w:tcW w:w="715" w:type="pct"/>
            <w:tcBorders>
              <w:top w:val="nil"/>
              <w:left w:val="nil"/>
              <w:bottom w:val="single" w:sz="8" w:space="0" w:color="DDDDDD"/>
              <w:right w:val="single" w:sz="8" w:space="0" w:color="DDDDDD"/>
            </w:tcBorders>
            <w:shd w:val="clear" w:color="000000" w:fill="F9F9F9"/>
            <w:hideMark/>
          </w:tcPr>
          <w:p w:rsidR="00C9656D" w:rsidRPr="00D0380B" w:rsidRDefault="00C9656D" w:rsidP="00C9656D">
            <w:pPr>
              <w:jc w:val="right"/>
              <w:rPr>
                <w:color w:val="000000"/>
                <w:sz w:val="20"/>
                <w:szCs w:val="20"/>
              </w:rPr>
            </w:pPr>
            <w:r w:rsidRPr="00D0380B">
              <w:rPr>
                <w:color w:val="000000"/>
                <w:sz w:val="20"/>
                <w:szCs w:val="20"/>
              </w:rPr>
              <w:t>143.37%</w:t>
            </w:r>
          </w:p>
        </w:tc>
        <w:tc>
          <w:tcPr>
            <w:tcW w:w="807" w:type="pct"/>
            <w:tcBorders>
              <w:top w:val="nil"/>
              <w:left w:val="nil"/>
              <w:bottom w:val="single" w:sz="8" w:space="0" w:color="DDDDDD"/>
              <w:right w:val="single" w:sz="8" w:space="0" w:color="DDDDDD"/>
            </w:tcBorders>
            <w:shd w:val="clear" w:color="000000" w:fill="F9F9F9"/>
            <w:hideMark/>
          </w:tcPr>
          <w:p w:rsidR="00C9656D" w:rsidRPr="00D0380B" w:rsidRDefault="00C9656D" w:rsidP="00C9656D">
            <w:pPr>
              <w:jc w:val="right"/>
              <w:rPr>
                <w:color w:val="000000"/>
                <w:sz w:val="20"/>
                <w:szCs w:val="20"/>
              </w:rPr>
            </w:pPr>
            <w:r w:rsidRPr="00D0380B">
              <w:rPr>
                <w:color w:val="000000"/>
                <w:sz w:val="20"/>
                <w:szCs w:val="20"/>
              </w:rPr>
              <w:t>100.96%</w:t>
            </w:r>
          </w:p>
        </w:tc>
        <w:tc>
          <w:tcPr>
            <w:tcW w:w="824" w:type="pct"/>
            <w:tcBorders>
              <w:top w:val="nil"/>
              <w:left w:val="nil"/>
              <w:bottom w:val="single" w:sz="8" w:space="0" w:color="DDDDDD"/>
              <w:right w:val="single" w:sz="8" w:space="0" w:color="DDDDDD"/>
            </w:tcBorders>
            <w:shd w:val="clear" w:color="000000" w:fill="F9F9F9"/>
            <w:hideMark/>
          </w:tcPr>
          <w:p w:rsidR="00C9656D" w:rsidRPr="00D0380B" w:rsidRDefault="00C9656D" w:rsidP="00C9656D">
            <w:pPr>
              <w:jc w:val="right"/>
              <w:rPr>
                <w:color w:val="000000"/>
                <w:sz w:val="20"/>
                <w:szCs w:val="20"/>
              </w:rPr>
            </w:pPr>
            <w:r w:rsidRPr="00D0380B">
              <w:rPr>
                <w:color w:val="000000"/>
                <w:sz w:val="20"/>
                <w:szCs w:val="20"/>
              </w:rPr>
              <w:t>99.29%</w:t>
            </w:r>
          </w:p>
        </w:tc>
        <w:tc>
          <w:tcPr>
            <w:tcW w:w="704" w:type="pct"/>
            <w:tcBorders>
              <w:top w:val="nil"/>
              <w:left w:val="nil"/>
              <w:bottom w:val="single" w:sz="8" w:space="0" w:color="DDDDDD"/>
              <w:right w:val="single" w:sz="8" w:space="0" w:color="DDDDDD"/>
            </w:tcBorders>
            <w:shd w:val="clear" w:color="000000" w:fill="F9F9F9"/>
            <w:hideMark/>
          </w:tcPr>
          <w:p w:rsidR="00C9656D" w:rsidRPr="00D0380B" w:rsidRDefault="00C9656D" w:rsidP="00C9656D">
            <w:pPr>
              <w:jc w:val="right"/>
              <w:rPr>
                <w:color w:val="000000"/>
                <w:sz w:val="20"/>
                <w:szCs w:val="20"/>
              </w:rPr>
            </w:pPr>
            <w:r w:rsidRPr="00D0380B">
              <w:rPr>
                <w:color w:val="000000"/>
                <w:sz w:val="20"/>
                <w:szCs w:val="20"/>
              </w:rPr>
              <w:t>110.23%</w:t>
            </w:r>
          </w:p>
        </w:tc>
        <w:tc>
          <w:tcPr>
            <w:tcW w:w="516" w:type="pct"/>
            <w:tcBorders>
              <w:top w:val="nil"/>
              <w:left w:val="nil"/>
              <w:bottom w:val="nil"/>
              <w:right w:val="nil"/>
            </w:tcBorders>
            <w:shd w:val="clear" w:color="auto" w:fill="auto"/>
            <w:vAlign w:val="bottom"/>
            <w:hideMark/>
          </w:tcPr>
          <w:p w:rsidR="00C9656D" w:rsidRPr="00D0380B" w:rsidRDefault="00C9656D" w:rsidP="00C9656D">
            <w:pPr>
              <w:jc w:val="right"/>
              <w:rPr>
                <w:color w:val="000000"/>
                <w:sz w:val="20"/>
                <w:szCs w:val="20"/>
              </w:rPr>
            </w:pPr>
            <w:r w:rsidRPr="00D0380B">
              <w:rPr>
                <w:color w:val="000000"/>
                <w:sz w:val="20"/>
                <w:szCs w:val="20"/>
              </w:rPr>
              <w:t>113.46%</w:t>
            </w:r>
          </w:p>
        </w:tc>
        <w:tc>
          <w:tcPr>
            <w:tcW w:w="560" w:type="pct"/>
            <w:tcBorders>
              <w:top w:val="nil"/>
              <w:left w:val="nil"/>
              <w:bottom w:val="nil"/>
              <w:right w:val="nil"/>
            </w:tcBorders>
            <w:shd w:val="clear" w:color="auto" w:fill="auto"/>
            <w:vAlign w:val="bottom"/>
            <w:hideMark/>
          </w:tcPr>
          <w:p w:rsidR="00C9656D" w:rsidRPr="00D0380B" w:rsidRDefault="00C9656D" w:rsidP="00C9656D">
            <w:pPr>
              <w:jc w:val="right"/>
              <w:rPr>
                <w:color w:val="000000"/>
                <w:sz w:val="20"/>
                <w:szCs w:val="20"/>
              </w:rPr>
            </w:pPr>
            <w:r w:rsidRPr="00D0380B">
              <w:rPr>
                <w:color w:val="000000"/>
                <w:sz w:val="20"/>
                <w:szCs w:val="20"/>
              </w:rPr>
              <w:t>-3.02%</w:t>
            </w:r>
          </w:p>
        </w:tc>
      </w:tr>
      <w:tr w:rsidR="00D0380B" w:rsidRPr="00D0380B" w:rsidTr="00542A54">
        <w:trPr>
          <w:trHeight w:val="288"/>
        </w:trPr>
        <w:tc>
          <w:tcPr>
            <w:tcW w:w="874" w:type="pct"/>
            <w:tcBorders>
              <w:top w:val="nil"/>
              <w:left w:val="nil"/>
              <w:bottom w:val="nil"/>
              <w:right w:val="nil"/>
            </w:tcBorders>
            <w:shd w:val="clear" w:color="auto" w:fill="auto"/>
            <w:noWrap/>
            <w:vAlign w:val="bottom"/>
            <w:hideMark/>
          </w:tcPr>
          <w:p w:rsidR="00C9656D" w:rsidRPr="00D0380B" w:rsidRDefault="00C9656D" w:rsidP="00C9656D">
            <w:pPr>
              <w:rPr>
                <w:color w:val="000000"/>
                <w:sz w:val="20"/>
                <w:szCs w:val="20"/>
              </w:rPr>
            </w:pPr>
            <w:r w:rsidRPr="00D0380B">
              <w:rPr>
                <w:color w:val="000000"/>
                <w:sz w:val="20"/>
                <w:szCs w:val="20"/>
              </w:rPr>
              <w:t>Average</w:t>
            </w:r>
          </w:p>
        </w:tc>
        <w:tc>
          <w:tcPr>
            <w:tcW w:w="715" w:type="pct"/>
            <w:tcBorders>
              <w:top w:val="nil"/>
              <w:left w:val="nil"/>
              <w:bottom w:val="nil"/>
              <w:right w:val="nil"/>
            </w:tcBorders>
            <w:shd w:val="clear" w:color="auto" w:fill="auto"/>
            <w:vAlign w:val="bottom"/>
            <w:hideMark/>
          </w:tcPr>
          <w:p w:rsidR="00C9656D" w:rsidRPr="00D0380B" w:rsidRDefault="00C9656D" w:rsidP="00C9656D">
            <w:pPr>
              <w:jc w:val="right"/>
              <w:rPr>
                <w:color w:val="000000"/>
                <w:sz w:val="20"/>
                <w:szCs w:val="20"/>
              </w:rPr>
            </w:pPr>
            <w:r w:rsidRPr="00D0380B">
              <w:rPr>
                <w:color w:val="000000"/>
                <w:sz w:val="20"/>
                <w:szCs w:val="20"/>
              </w:rPr>
              <w:t>114.71%</w:t>
            </w:r>
          </w:p>
        </w:tc>
        <w:tc>
          <w:tcPr>
            <w:tcW w:w="807" w:type="pct"/>
            <w:tcBorders>
              <w:top w:val="nil"/>
              <w:left w:val="nil"/>
              <w:bottom w:val="nil"/>
              <w:right w:val="nil"/>
            </w:tcBorders>
            <w:shd w:val="clear" w:color="auto" w:fill="auto"/>
            <w:vAlign w:val="bottom"/>
            <w:hideMark/>
          </w:tcPr>
          <w:p w:rsidR="00C9656D" w:rsidRPr="00D0380B" w:rsidRDefault="00C9656D" w:rsidP="00C9656D">
            <w:pPr>
              <w:jc w:val="right"/>
              <w:rPr>
                <w:color w:val="000000"/>
                <w:sz w:val="20"/>
                <w:szCs w:val="20"/>
              </w:rPr>
            </w:pPr>
            <w:r w:rsidRPr="00D0380B">
              <w:rPr>
                <w:color w:val="000000"/>
                <w:sz w:val="20"/>
                <w:szCs w:val="20"/>
              </w:rPr>
              <w:t>108.67%</w:t>
            </w:r>
          </w:p>
        </w:tc>
        <w:tc>
          <w:tcPr>
            <w:tcW w:w="824" w:type="pct"/>
            <w:tcBorders>
              <w:top w:val="nil"/>
              <w:left w:val="nil"/>
              <w:bottom w:val="nil"/>
              <w:right w:val="nil"/>
            </w:tcBorders>
            <w:shd w:val="clear" w:color="auto" w:fill="auto"/>
            <w:vAlign w:val="bottom"/>
            <w:hideMark/>
          </w:tcPr>
          <w:p w:rsidR="00C9656D" w:rsidRPr="00D0380B" w:rsidRDefault="00C9656D" w:rsidP="00C9656D">
            <w:pPr>
              <w:jc w:val="right"/>
              <w:rPr>
                <w:color w:val="000000"/>
                <w:sz w:val="20"/>
                <w:szCs w:val="20"/>
              </w:rPr>
            </w:pPr>
            <w:r w:rsidRPr="00D0380B">
              <w:rPr>
                <w:color w:val="000000"/>
                <w:sz w:val="20"/>
                <w:szCs w:val="20"/>
              </w:rPr>
              <w:t>102.98%</w:t>
            </w:r>
          </w:p>
        </w:tc>
        <w:tc>
          <w:tcPr>
            <w:tcW w:w="704" w:type="pct"/>
            <w:tcBorders>
              <w:top w:val="nil"/>
              <w:left w:val="nil"/>
              <w:bottom w:val="nil"/>
              <w:right w:val="nil"/>
            </w:tcBorders>
            <w:shd w:val="clear" w:color="auto" w:fill="auto"/>
            <w:vAlign w:val="bottom"/>
            <w:hideMark/>
          </w:tcPr>
          <w:p w:rsidR="00C9656D" w:rsidRPr="00D0380B" w:rsidRDefault="00C9656D" w:rsidP="00C9656D">
            <w:pPr>
              <w:jc w:val="right"/>
              <w:rPr>
                <w:color w:val="000000"/>
                <w:sz w:val="20"/>
                <w:szCs w:val="20"/>
              </w:rPr>
            </w:pPr>
            <w:r w:rsidRPr="00D0380B">
              <w:rPr>
                <w:color w:val="000000"/>
                <w:sz w:val="20"/>
                <w:szCs w:val="20"/>
              </w:rPr>
              <w:t>116.28%</w:t>
            </w:r>
          </w:p>
        </w:tc>
        <w:tc>
          <w:tcPr>
            <w:tcW w:w="516" w:type="pct"/>
            <w:tcBorders>
              <w:top w:val="nil"/>
              <w:left w:val="nil"/>
              <w:bottom w:val="nil"/>
              <w:right w:val="nil"/>
            </w:tcBorders>
            <w:shd w:val="clear" w:color="000000" w:fill="FFFF00"/>
            <w:vAlign w:val="bottom"/>
            <w:hideMark/>
          </w:tcPr>
          <w:p w:rsidR="00C9656D" w:rsidRPr="00D0380B" w:rsidRDefault="00C9656D" w:rsidP="00C9656D">
            <w:pPr>
              <w:jc w:val="right"/>
              <w:rPr>
                <w:color w:val="000000"/>
                <w:sz w:val="20"/>
                <w:szCs w:val="20"/>
              </w:rPr>
            </w:pPr>
            <w:r w:rsidRPr="00D0380B">
              <w:rPr>
                <w:color w:val="000000"/>
                <w:sz w:val="20"/>
                <w:szCs w:val="20"/>
              </w:rPr>
              <w:t>110.66%</w:t>
            </w:r>
          </w:p>
        </w:tc>
        <w:tc>
          <w:tcPr>
            <w:tcW w:w="560" w:type="pct"/>
            <w:tcBorders>
              <w:top w:val="nil"/>
              <w:left w:val="nil"/>
              <w:bottom w:val="nil"/>
              <w:right w:val="nil"/>
            </w:tcBorders>
            <w:shd w:val="clear" w:color="auto" w:fill="auto"/>
            <w:vAlign w:val="bottom"/>
            <w:hideMark/>
          </w:tcPr>
          <w:p w:rsidR="00C9656D" w:rsidRPr="00D0380B" w:rsidRDefault="00C9656D" w:rsidP="00C9656D">
            <w:pPr>
              <w:jc w:val="right"/>
              <w:rPr>
                <w:color w:val="000000"/>
                <w:sz w:val="20"/>
                <w:szCs w:val="20"/>
              </w:rPr>
            </w:pPr>
          </w:p>
        </w:tc>
      </w:tr>
      <w:tr w:rsidR="00D0380B" w:rsidRPr="00D0380B" w:rsidTr="00542A54">
        <w:trPr>
          <w:trHeight w:val="288"/>
        </w:trPr>
        <w:tc>
          <w:tcPr>
            <w:tcW w:w="874" w:type="pct"/>
            <w:tcBorders>
              <w:top w:val="nil"/>
              <w:left w:val="nil"/>
              <w:bottom w:val="nil"/>
              <w:right w:val="nil"/>
            </w:tcBorders>
            <w:shd w:val="clear" w:color="auto" w:fill="auto"/>
            <w:noWrap/>
            <w:vAlign w:val="bottom"/>
            <w:hideMark/>
          </w:tcPr>
          <w:p w:rsidR="00C9656D" w:rsidRPr="00D0380B" w:rsidRDefault="00C9656D" w:rsidP="00C9656D">
            <w:pPr>
              <w:rPr>
                <w:color w:val="000000"/>
                <w:sz w:val="20"/>
                <w:szCs w:val="20"/>
              </w:rPr>
            </w:pPr>
            <w:r w:rsidRPr="00D0380B">
              <w:rPr>
                <w:color w:val="000000"/>
                <w:sz w:val="20"/>
                <w:szCs w:val="20"/>
              </w:rPr>
              <w:t>Standard deviation</w:t>
            </w:r>
          </w:p>
        </w:tc>
        <w:tc>
          <w:tcPr>
            <w:tcW w:w="715" w:type="pct"/>
            <w:tcBorders>
              <w:top w:val="nil"/>
              <w:left w:val="nil"/>
              <w:bottom w:val="nil"/>
              <w:right w:val="nil"/>
            </w:tcBorders>
            <w:shd w:val="clear" w:color="auto" w:fill="auto"/>
            <w:vAlign w:val="bottom"/>
            <w:hideMark/>
          </w:tcPr>
          <w:p w:rsidR="00C9656D" w:rsidRPr="00D0380B" w:rsidRDefault="00C9656D" w:rsidP="00C9656D">
            <w:pPr>
              <w:jc w:val="right"/>
              <w:rPr>
                <w:color w:val="000000"/>
                <w:sz w:val="20"/>
                <w:szCs w:val="20"/>
              </w:rPr>
            </w:pPr>
            <w:r w:rsidRPr="00D0380B">
              <w:rPr>
                <w:color w:val="000000"/>
                <w:sz w:val="20"/>
                <w:szCs w:val="20"/>
              </w:rPr>
              <w:t>-4.05%</w:t>
            </w:r>
          </w:p>
        </w:tc>
        <w:tc>
          <w:tcPr>
            <w:tcW w:w="807" w:type="pct"/>
            <w:tcBorders>
              <w:top w:val="nil"/>
              <w:left w:val="nil"/>
              <w:bottom w:val="nil"/>
              <w:right w:val="nil"/>
            </w:tcBorders>
            <w:shd w:val="clear" w:color="auto" w:fill="auto"/>
            <w:vAlign w:val="bottom"/>
            <w:hideMark/>
          </w:tcPr>
          <w:p w:rsidR="00C9656D" w:rsidRPr="00D0380B" w:rsidRDefault="00C9656D" w:rsidP="00C9656D">
            <w:pPr>
              <w:jc w:val="right"/>
              <w:rPr>
                <w:color w:val="000000"/>
                <w:sz w:val="20"/>
                <w:szCs w:val="20"/>
              </w:rPr>
            </w:pPr>
            <w:r w:rsidRPr="00D0380B">
              <w:rPr>
                <w:color w:val="000000"/>
                <w:sz w:val="20"/>
                <w:szCs w:val="20"/>
              </w:rPr>
              <w:t>1.99%</w:t>
            </w:r>
          </w:p>
        </w:tc>
        <w:tc>
          <w:tcPr>
            <w:tcW w:w="824" w:type="pct"/>
            <w:tcBorders>
              <w:top w:val="nil"/>
              <w:left w:val="nil"/>
              <w:bottom w:val="nil"/>
              <w:right w:val="nil"/>
            </w:tcBorders>
            <w:shd w:val="clear" w:color="auto" w:fill="auto"/>
            <w:vAlign w:val="bottom"/>
            <w:hideMark/>
          </w:tcPr>
          <w:p w:rsidR="00C9656D" w:rsidRPr="00D0380B" w:rsidRDefault="00C9656D" w:rsidP="00C9656D">
            <w:pPr>
              <w:jc w:val="right"/>
              <w:rPr>
                <w:color w:val="000000"/>
                <w:sz w:val="20"/>
                <w:szCs w:val="20"/>
              </w:rPr>
            </w:pPr>
            <w:r w:rsidRPr="00D0380B">
              <w:rPr>
                <w:color w:val="000000"/>
                <w:sz w:val="20"/>
                <w:szCs w:val="20"/>
              </w:rPr>
              <w:t>7.68%</w:t>
            </w:r>
          </w:p>
        </w:tc>
        <w:tc>
          <w:tcPr>
            <w:tcW w:w="704" w:type="pct"/>
            <w:tcBorders>
              <w:top w:val="nil"/>
              <w:left w:val="nil"/>
              <w:bottom w:val="nil"/>
              <w:right w:val="nil"/>
            </w:tcBorders>
            <w:shd w:val="clear" w:color="auto" w:fill="auto"/>
            <w:vAlign w:val="bottom"/>
            <w:hideMark/>
          </w:tcPr>
          <w:p w:rsidR="00C9656D" w:rsidRPr="00D0380B" w:rsidRDefault="00C9656D" w:rsidP="00C9656D">
            <w:pPr>
              <w:jc w:val="right"/>
              <w:rPr>
                <w:color w:val="000000"/>
                <w:sz w:val="20"/>
                <w:szCs w:val="20"/>
              </w:rPr>
            </w:pPr>
            <w:r w:rsidRPr="00D0380B">
              <w:rPr>
                <w:color w:val="000000"/>
                <w:sz w:val="20"/>
                <w:szCs w:val="20"/>
              </w:rPr>
              <w:t>-5.62%</w:t>
            </w:r>
          </w:p>
        </w:tc>
        <w:tc>
          <w:tcPr>
            <w:tcW w:w="516" w:type="pct"/>
            <w:tcBorders>
              <w:top w:val="nil"/>
              <w:left w:val="nil"/>
              <w:bottom w:val="nil"/>
              <w:right w:val="nil"/>
            </w:tcBorders>
            <w:shd w:val="clear" w:color="auto" w:fill="auto"/>
            <w:vAlign w:val="bottom"/>
            <w:hideMark/>
          </w:tcPr>
          <w:p w:rsidR="00C9656D" w:rsidRPr="00D0380B" w:rsidRDefault="00C9656D" w:rsidP="00C9656D">
            <w:pPr>
              <w:jc w:val="right"/>
              <w:rPr>
                <w:color w:val="000000"/>
                <w:sz w:val="20"/>
                <w:szCs w:val="20"/>
              </w:rPr>
            </w:pPr>
          </w:p>
        </w:tc>
        <w:tc>
          <w:tcPr>
            <w:tcW w:w="560" w:type="pct"/>
            <w:tcBorders>
              <w:top w:val="nil"/>
              <w:left w:val="nil"/>
              <w:bottom w:val="nil"/>
              <w:right w:val="nil"/>
            </w:tcBorders>
            <w:shd w:val="clear" w:color="auto" w:fill="auto"/>
            <w:vAlign w:val="bottom"/>
            <w:hideMark/>
          </w:tcPr>
          <w:p w:rsidR="00C9656D" w:rsidRPr="00D0380B" w:rsidRDefault="00C9656D" w:rsidP="00C9656D">
            <w:pPr>
              <w:rPr>
                <w:sz w:val="20"/>
                <w:szCs w:val="20"/>
              </w:rPr>
            </w:pPr>
          </w:p>
        </w:tc>
      </w:tr>
      <w:tr w:rsidR="00D0380B" w:rsidRPr="00D0380B" w:rsidTr="00542A54">
        <w:trPr>
          <w:trHeight w:val="1068"/>
        </w:trPr>
        <w:tc>
          <w:tcPr>
            <w:tcW w:w="874" w:type="pct"/>
            <w:tcBorders>
              <w:top w:val="single" w:sz="8" w:space="0" w:color="DDDDDD"/>
              <w:left w:val="single" w:sz="8" w:space="0" w:color="DDDDDD"/>
              <w:bottom w:val="single" w:sz="8" w:space="0" w:color="DDDDDD"/>
              <w:right w:val="single" w:sz="8" w:space="0" w:color="DDDDDD"/>
            </w:tcBorders>
            <w:shd w:val="clear" w:color="000000" w:fill="FFF2CC"/>
            <w:vAlign w:val="center"/>
            <w:hideMark/>
          </w:tcPr>
          <w:p w:rsidR="00C9656D" w:rsidRPr="00D0380B" w:rsidRDefault="00C866A0" w:rsidP="00C9656D">
            <w:pPr>
              <w:jc w:val="center"/>
              <w:rPr>
                <w:b/>
                <w:bCs/>
                <w:color w:val="000000"/>
                <w:sz w:val="20"/>
                <w:szCs w:val="20"/>
              </w:rPr>
            </w:pPr>
            <w:r w:rsidRPr="00D0380B">
              <w:rPr>
                <w:b/>
                <w:bCs/>
                <w:color w:val="000000"/>
                <w:sz w:val="20"/>
                <w:szCs w:val="20"/>
              </w:rPr>
              <w:lastRenderedPageBreak/>
              <w:t>Expenses</w:t>
            </w:r>
          </w:p>
        </w:tc>
        <w:tc>
          <w:tcPr>
            <w:tcW w:w="715" w:type="pct"/>
            <w:tcBorders>
              <w:top w:val="single" w:sz="8" w:space="0" w:color="DDDDDD"/>
              <w:left w:val="nil"/>
              <w:bottom w:val="single" w:sz="8" w:space="0" w:color="DDDDDD"/>
              <w:right w:val="single" w:sz="8" w:space="0" w:color="DDDDDD"/>
            </w:tcBorders>
            <w:shd w:val="clear" w:color="000000" w:fill="FFFFFF"/>
            <w:vAlign w:val="center"/>
            <w:hideMark/>
          </w:tcPr>
          <w:p w:rsidR="00C9656D" w:rsidRPr="00D0380B" w:rsidRDefault="00C9656D" w:rsidP="00C9656D">
            <w:pPr>
              <w:jc w:val="center"/>
              <w:rPr>
                <w:b/>
                <w:bCs/>
                <w:color w:val="000000"/>
                <w:sz w:val="20"/>
                <w:szCs w:val="20"/>
              </w:rPr>
            </w:pPr>
            <w:r w:rsidRPr="00D0380B">
              <w:rPr>
                <w:b/>
                <w:bCs/>
                <w:color w:val="000000"/>
                <w:sz w:val="20"/>
                <w:szCs w:val="20"/>
              </w:rPr>
              <w:t>B - The Processing Industry</w:t>
            </w:r>
          </w:p>
        </w:tc>
        <w:tc>
          <w:tcPr>
            <w:tcW w:w="807" w:type="pct"/>
            <w:tcBorders>
              <w:top w:val="single" w:sz="8" w:space="0" w:color="DDDDDD"/>
              <w:left w:val="nil"/>
              <w:bottom w:val="single" w:sz="8" w:space="0" w:color="DDDDDD"/>
              <w:right w:val="single" w:sz="8" w:space="0" w:color="DDDDDD"/>
            </w:tcBorders>
            <w:shd w:val="clear" w:color="000000" w:fill="FFFFFF"/>
            <w:vAlign w:val="center"/>
            <w:hideMark/>
          </w:tcPr>
          <w:p w:rsidR="00C9656D" w:rsidRPr="00D0380B" w:rsidRDefault="00C9656D" w:rsidP="00C9656D">
            <w:pPr>
              <w:jc w:val="center"/>
              <w:rPr>
                <w:b/>
                <w:bCs/>
                <w:color w:val="000000"/>
                <w:sz w:val="20"/>
                <w:szCs w:val="20"/>
              </w:rPr>
            </w:pPr>
            <w:r w:rsidRPr="00D0380B">
              <w:rPr>
                <w:b/>
                <w:bCs/>
                <w:color w:val="000000"/>
                <w:sz w:val="20"/>
                <w:szCs w:val="20"/>
              </w:rPr>
              <w:t>F - Constructions</w:t>
            </w:r>
          </w:p>
        </w:tc>
        <w:tc>
          <w:tcPr>
            <w:tcW w:w="824" w:type="pct"/>
            <w:tcBorders>
              <w:top w:val="single" w:sz="8" w:space="0" w:color="DDDDDD"/>
              <w:left w:val="nil"/>
              <w:bottom w:val="single" w:sz="8" w:space="0" w:color="DDDDDD"/>
              <w:right w:val="single" w:sz="8" w:space="0" w:color="DDDDDD"/>
            </w:tcBorders>
            <w:shd w:val="clear" w:color="000000" w:fill="FFFFFF"/>
            <w:vAlign w:val="center"/>
            <w:hideMark/>
          </w:tcPr>
          <w:p w:rsidR="00C9656D" w:rsidRPr="00D0380B" w:rsidRDefault="00C9656D" w:rsidP="00C9656D">
            <w:pPr>
              <w:jc w:val="center"/>
              <w:rPr>
                <w:b/>
                <w:bCs/>
                <w:color w:val="000000"/>
                <w:sz w:val="20"/>
                <w:szCs w:val="20"/>
              </w:rPr>
            </w:pPr>
            <w:r w:rsidRPr="00D0380B">
              <w:rPr>
                <w:b/>
                <w:bCs/>
                <w:color w:val="000000"/>
                <w:sz w:val="20"/>
                <w:szCs w:val="20"/>
              </w:rPr>
              <w:t>G - Wholesale and retail trade</w:t>
            </w:r>
          </w:p>
        </w:tc>
        <w:tc>
          <w:tcPr>
            <w:tcW w:w="704" w:type="pct"/>
            <w:tcBorders>
              <w:top w:val="single" w:sz="8" w:space="0" w:color="DDDDDD"/>
              <w:left w:val="nil"/>
              <w:bottom w:val="single" w:sz="8" w:space="0" w:color="DDDDDD"/>
              <w:right w:val="single" w:sz="8" w:space="0" w:color="DDDDDD"/>
            </w:tcBorders>
            <w:shd w:val="clear" w:color="000000" w:fill="FFFFFF"/>
            <w:vAlign w:val="center"/>
            <w:hideMark/>
          </w:tcPr>
          <w:p w:rsidR="00C9656D" w:rsidRPr="00D0380B" w:rsidRDefault="00C9656D" w:rsidP="00C9656D">
            <w:pPr>
              <w:jc w:val="center"/>
              <w:rPr>
                <w:b/>
                <w:bCs/>
                <w:color w:val="000000"/>
                <w:sz w:val="20"/>
                <w:szCs w:val="20"/>
              </w:rPr>
            </w:pPr>
            <w:r w:rsidRPr="00D0380B">
              <w:rPr>
                <w:b/>
                <w:bCs/>
                <w:color w:val="000000"/>
                <w:sz w:val="20"/>
                <w:szCs w:val="20"/>
              </w:rPr>
              <w:t>H - Transport and storage</w:t>
            </w:r>
          </w:p>
        </w:tc>
        <w:tc>
          <w:tcPr>
            <w:tcW w:w="516" w:type="pct"/>
            <w:tcBorders>
              <w:top w:val="single" w:sz="8" w:space="0" w:color="DDDDDD"/>
              <w:left w:val="nil"/>
              <w:bottom w:val="single" w:sz="8" w:space="0" w:color="DDDDDD"/>
              <w:right w:val="single" w:sz="8" w:space="0" w:color="DDDDDD"/>
            </w:tcBorders>
            <w:shd w:val="clear" w:color="000000" w:fill="FFFFFF"/>
            <w:vAlign w:val="center"/>
            <w:hideMark/>
          </w:tcPr>
          <w:p w:rsidR="00C9656D" w:rsidRPr="00D0380B" w:rsidRDefault="00C9656D" w:rsidP="00C9656D">
            <w:pPr>
              <w:jc w:val="center"/>
              <w:rPr>
                <w:b/>
                <w:bCs/>
                <w:color w:val="000000"/>
                <w:sz w:val="20"/>
                <w:szCs w:val="20"/>
              </w:rPr>
            </w:pPr>
            <w:r w:rsidRPr="00D0380B">
              <w:rPr>
                <w:b/>
                <w:bCs/>
                <w:color w:val="000000"/>
                <w:sz w:val="20"/>
                <w:szCs w:val="20"/>
              </w:rPr>
              <w:t>Average</w:t>
            </w:r>
          </w:p>
        </w:tc>
        <w:tc>
          <w:tcPr>
            <w:tcW w:w="560" w:type="pct"/>
            <w:tcBorders>
              <w:top w:val="single" w:sz="8" w:space="0" w:color="DDDDDD"/>
              <w:left w:val="nil"/>
              <w:bottom w:val="single" w:sz="8" w:space="0" w:color="DDDDDD"/>
              <w:right w:val="single" w:sz="8" w:space="0" w:color="DDDDDD"/>
            </w:tcBorders>
            <w:shd w:val="clear" w:color="000000" w:fill="FFFFFF"/>
            <w:vAlign w:val="center"/>
            <w:hideMark/>
          </w:tcPr>
          <w:p w:rsidR="00C9656D" w:rsidRPr="00D0380B" w:rsidRDefault="00C9656D" w:rsidP="00C9656D">
            <w:pPr>
              <w:jc w:val="center"/>
              <w:rPr>
                <w:b/>
                <w:bCs/>
                <w:color w:val="000000"/>
                <w:sz w:val="20"/>
                <w:szCs w:val="20"/>
              </w:rPr>
            </w:pPr>
            <w:r w:rsidRPr="00D0380B">
              <w:rPr>
                <w:b/>
                <w:bCs/>
                <w:color w:val="000000"/>
                <w:sz w:val="20"/>
                <w:szCs w:val="20"/>
              </w:rPr>
              <w:t>Standard deviation</w:t>
            </w:r>
          </w:p>
        </w:tc>
      </w:tr>
      <w:tr w:rsidR="00D0380B" w:rsidRPr="00D0380B" w:rsidTr="00542A54">
        <w:trPr>
          <w:trHeight w:val="300"/>
        </w:trPr>
        <w:tc>
          <w:tcPr>
            <w:tcW w:w="874" w:type="pct"/>
            <w:tcBorders>
              <w:top w:val="nil"/>
              <w:left w:val="single" w:sz="8" w:space="0" w:color="DDDDDD"/>
              <w:bottom w:val="single" w:sz="8" w:space="0" w:color="DDDDDD"/>
              <w:right w:val="single" w:sz="8" w:space="0" w:color="DDDDDD"/>
            </w:tcBorders>
            <w:shd w:val="clear" w:color="000000" w:fill="F9F9F9"/>
            <w:hideMark/>
          </w:tcPr>
          <w:p w:rsidR="00C9656D" w:rsidRPr="00D0380B" w:rsidRDefault="00C9656D" w:rsidP="00C9656D">
            <w:pPr>
              <w:jc w:val="right"/>
              <w:rPr>
                <w:color w:val="000000"/>
                <w:sz w:val="20"/>
                <w:szCs w:val="20"/>
              </w:rPr>
            </w:pPr>
            <w:r w:rsidRPr="00D0380B">
              <w:rPr>
                <w:color w:val="000000"/>
                <w:sz w:val="20"/>
                <w:szCs w:val="20"/>
              </w:rPr>
              <w:t>2017</w:t>
            </w:r>
          </w:p>
        </w:tc>
        <w:tc>
          <w:tcPr>
            <w:tcW w:w="715" w:type="pct"/>
            <w:tcBorders>
              <w:top w:val="nil"/>
              <w:left w:val="nil"/>
              <w:bottom w:val="single" w:sz="8" w:space="0" w:color="DDDDDD"/>
              <w:right w:val="single" w:sz="8" w:space="0" w:color="DDDDDD"/>
            </w:tcBorders>
            <w:shd w:val="clear" w:color="000000" w:fill="F9F9F9"/>
            <w:hideMark/>
          </w:tcPr>
          <w:p w:rsidR="00C9656D" w:rsidRPr="00D0380B" w:rsidRDefault="00C9656D" w:rsidP="00C9656D">
            <w:pPr>
              <w:jc w:val="right"/>
              <w:rPr>
                <w:color w:val="000000"/>
                <w:sz w:val="20"/>
                <w:szCs w:val="20"/>
              </w:rPr>
            </w:pPr>
            <w:r w:rsidRPr="00D0380B">
              <w:rPr>
                <w:color w:val="000000"/>
                <w:sz w:val="20"/>
                <w:szCs w:val="20"/>
              </w:rPr>
              <w:t>111.89%</w:t>
            </w:r>
          </w:p>
        </w:tc>
        <w:tc>
          <w:tcPr>
            <w:tcW w:w="807" w:type="pct"/>
            <w:tcBorders>
              <w:top w:val="nil"/>
              <w:left w:val="nil"/>
              <w:bottom w:val="single" w:sz="8" w:space="0" w:color="DDDDDD"/>
              <w:right w:val="single" w:sz="8" w:space="0" w:color="DDDDDD"/>
            </w:tcBorders>
            <w:shd w:val="clear" w:color="000000" w:fill="F9F9F9"/>
            <w:hideMark/>
          </w:tcPr>
          <w:p w:rsidR="00C9656D" w:rsidRPr="00D0380B" w:rsidRDefault="00C9656D" w:rsidP="00C9656D">
            <w:pPr>
              <w:jc w:val="right"/>
              <w:rPr>
                <w:color w:val="000000"/>
                <w:sz w:val="20"/>
                <w:szCs w:val="20"/>
              </w:rPr>
            </w:pPr>
            <w:r w:rsidRPr="00D0380B">
              <w:rPr>
                <w:color w:val="000000"/>
                <w:sz w:val="20"/>
                <w:szCs w:val="20"/>
              </w:rPr>
              <w:t>102.59%</w:t>
            </w:r>
          </w:p>
        </w:tc>
        <w:tc>
          <w:tcPr>
            <w:tcW w:w="824" w:type="pct"/>
            <w:tcBorders>
              <w:top w:val="nil"/>
              <w:left w:val="nil"/>
              <w:bottom w:val="single" w:sz="8" w:space="0" w:color="DDDDDD"/>
              <w:right w:val="single" w:sz="8" w:space="0" w:color="DDDDDD"/>
            </w:tcBorders>
            <w:shd w:val="clear" w:color="000000" w:fill="F9F9F9"/>
            <w:hideMark/>
          </w:tcPr>
          <w:p w:rsidR="00C9656D" w:rsidRPr="00D0380B" w:rsidRDefault="00C9656D" w:rsidP="00C9656D">
            <w:pPr>
              <w:jc w:val="right"/>
              <w:rPr>
                <w:color w:val="000000"/>
                <w:sz w:val="20"/>
                <w:szCs w:val="20"/>
              </w:rPr>
            </w:pPr>
            <w:r w:rsidRPr="00D0380B">
              <w:rPr>
                <w:color w:val="000000"/>
                <w:sz w:val="20"/>
                <w:szCs w:val="20"/>
              </w:rPr>
              <w:t>120.68%</w:t>
            </w:r>
          </w:p>
        </w:tc>
        <w:tc>
          <w:tcPr>
            <w:tcW w:w="704" w:type="pct"/>
            <w:tcBorders>
              <w:top w:val="nil"/>
              <w:left w:val="nil"/>
              <w:bottom w:val="single" w:sz="8" w:space="0" w:color="DDDDDD"/>
              <w:right w:val="single" w:sz="8" w:space="0" w:color="DDDDDD"/>
            </w:tcBorders>
            <w:shd w:val="clear" w:color="000000" w:fill="F9F9F9"/>
            <w:hideMark/>
          </w:tcPr>
          <w:p w:rsidR="00C9656D" w:rsidRPr="00D0380B" w:rsidRDefault="00C9656D" w:rsidP="00C9656D">
            <w:pPr>
              <w:jc w:val="right"/>
              <w:rPr>
                <w:color w:val="000000"/>
                <w:sz w:val="20"/>
                <w:szCs w:val="20"/>
              </w:rPr>
            </w:pPr>
            <w:r w:rsidRPr="00D0380B">
              <w:rPr>
                <w:color w:val="000000"/>
                <w:sz w:val="20"/>
                <w:szCs w:val="20"/>
              </w:rPr>
              <w:t>129.01%</w:t>
            </w:r>
          </w:p>
        </w:tc>
        <w:tc>
          <w:tcPr>
            <w:tcW w:w="516" w:type="pct"/>
            <w:tcBorders>
              <w:top w:val="nil"/>
              <w:left w:val="nil"/>
              <w:bottom w:val="nil"/>
              <w:right w:val="nil"/>
            </w:tcBorders>
            <w:shd w:val="clear" w:color="auto" w:fill="auto"/>
            <w:vAlign w:val="bottom"/>
            <w:hideMark/>
          </w:tcPr>
          <w:p w:rsidR="00C9656D" w:rsidRPr="00D0380B" w:rsidRDefault="00C9656D" w:rsidP="00C9656D">
            <w:pPr>
              <w:jc w:val="right"/>
              <w:rPr>
                <w:color w:val="000000"/>
                <w:sz w:val="20"/>
                <w:szCs w:val="20"/>
              </w:rPr>
            </w:pPr>
            <w:r w:rsidRPr="00D0380B">
              <w:rPr>
                <w:color w:val="000000"/>
                <w:sz w:val="20"/>
                <w:szCs w:val="20"/>
              </w:rPr>
              <w:t>116.04%</w:t>
            </w:r>
          </w:p>
        </w:tc>
        <w:tc>
          <w:tcPr>
            <w:tcW w:w="560" w:type="pct"/>
            <w:tcBorders>
              <w:top w:val="nil"/>
              <w:left w:val="nil"/>
              <w:bottom w:val="nil"/>
              <w:right w:val="nil"/>
            </w:tcBorders>
            <w:shd w:val="clear" w:color="auto" w:fill="auto"/>
            <w:vAlign w:val="bottom"/>
            <w:hideMark/>
          </w:tcPr>
          <w:p w:rsidR="00C9656D" w:rsidRPr="00D0380B" w:rsidRDefault="00C9656D" w:rsidP="00C9656D">
            <w:pPr>
              <w:jc w:val="right"/>
              <w:rPr>
                <w:color w:val="000000"/>
                <w:sz w:val="20"/>
                <w:szCs w:val="20"/>
              </w:rPr>
            </w:pPr>
            <w:r w:rsidRPr="00D0380B">
              <w:rPr>
                <w:color w:val="000000"/>
                <w:sz w:val="20"/>
                <w:szCs w:val="20"/>
              </w:rPr>
              <w:t>-5.60%</w:t>
            </w:r>
          </w:p>
        </w:tc>
      </w:tr>
      <w:tr w:rsidR="00D0380B" w:rsidRPr="00D0380B" w:rsidTr="00542A54">
        <w:trPr>
          <w:trHeight w:val="300"/>
        </w:trPr>
        <w:tc>
          <w:tcPr>
            <w:tcW w:w="874" w:type="pct"/>
            <w:tcBorders>
              <w:top w:val="nil"/>
              <w:left w:val="single" w:sz="8" w:space="0" w:color="DDDDDD"/>
              <w:bottom w:val="single" w:sz="8" w:space="0" w:color="DDDDDD"/>
              <w:right w:val="single" w:sz="8" w:space="0" w:color="DDDDDD"/>
            </w:tcBorders>
            <w:shd w:val="clear" w:color="000000" w:fill="FFFFFF"/>
            <w:hideMark/>
          </w:tcPr>
          <w:p w:rsidR="00C9656D" w:rsidRPr="00D0380B" w:rsidRDefault="00C9656D" w:rsidP="00C9656D">
            <w:pPr>
              <w:jc w:val="right"/>
              <w:rPr>
                <w:color w:val="000000"/>
                <w:sz w:val="20"/>
                <w:szCs w:val="20"/>
              </w:rPr>
            </w:pPr>
            <w:r w:rsidRPr="00D0380B">
              <w:rPr>
                <w:color w:val="000000"/>
                <w:sz w:val="20"/>
                <w:szCs w:val="20"/>
              </w:rPr>
              <w:t>2016</w:t>
            </w:r>
          </w:p>
        </w:tc>
        <w:tc>
          <w:tcPr>
            <w:tcW w:w="715" w:type="pct"/>
            <w:tcBorders>
              <w:top w:val="nil"/>
              <w:left w:val="nil"/>
              <w:bottom w:val="single" w:sz="8" w:space="0" w:color="DDDDDD"/>
              <w:right w:val="single" w:sz="8" w:space="0" w:color="DDDDDD"/>
            </w:tcBorders>
            <w:shd w:val="clear" w:color="000000" w:fill="F9F9F9"/>
            <w:hideMark/>
          </w:tcPr>
          <w:p w:rsidR="00C9656D" w:rsidRPr="00D0380B" w:rsidRDefault="00C9656D" w:rsidP="00C9656D">
            <w:pPr>
              <w:jc w:val="right"/>
              <w:rPr>
                <w:color w:val="000000"/>
                <w:sz w:val="20"/>
                <w:szCs w:val="20"/>
              </w:rPr>
            </w:pPr>
            <w:r w:rsidRPr="00D0380B">
              <w:rPr>
                <w:color w:val="000000"/>
                <w:sz w:val="20"/>
                <w:szCs w:val="20"/>
              </w:rPr>
              <w:t>104.20%</w:t>
            </w:r>
          </w:p>
        </w:tc>
        <w:tc>
          <w:tcPr>
            <w:tcW w:w="807" w:type="pct"/>
            <w:tcBorders>
              <w:top w:val="nil"/>
              <w:left w:val="nil"/>
              <w:bottom w:val="single" w:sz="8" w:space="0" w:color="DDDDDD"/>
              <w:right w:val="single" w:sz="8" w:space="0" w:color="DDDDDD"/>
            </w:tcBorders>
            <w:shd w:val="clear" w:color="000000" w:fill="F9F9F9"/>
            <w:hideMark/>
          </w:tcPr>
          <w:p w:rsidR="00C9656D" w:rsidRPr="00D0380B" w:rsidRDefault="00C9656D" w:rsidP="00C9656D">
            <w:pPr>
              <w:jc w:val="right"/>
              <w:rPr>
                <w:color w:val="000000"/>
                <w:sz w:val="20"/>
                <w:szCs w:val="20"/>
              </w:rPr>
            </w:pPr>
            <w:r w:rsidRPr="00D0380B">
              <w:rPr>
                <w:color w:val="000000"/>
                <w:sz w:val="20"/>
                <w:szCs w:val="20"/>
              </w:rPr>
              <w:t>117.72%</w:t>
            </w:r>
          </w:p>
        </w:tc>
        <w:tc>
          <w:tcPr>
            <w:tcW w:w="824" w:type="pct"/>
            <w:tcBorders>
              <w:top w:val="nil"/>
              <w:left w:val="nil"/>
              <w:bottom w:val="single" w:sz="8" w:space="0" w:color="DDDDDD"/>
              <w:right w:val="single" w:sz="8" w:space="0" w:color="DDDDDD"/>
            </w:tcBorders>
            <w:shd w:val="clear" w:color="000000" w:fill="F9F9F9"/>
            <w:hideMark/>
          </w:tcPr>
          <w:p w:rsidR="00C9656D" w:rsidRPr="00D0380B" w:rsidRDefault="00C9656D" w:rsidP="00C9656D">
            <w:pPr>
              <w:jc w:val="right"/>
              <w:rPr>
                <w:color w:val="000000"/>
                <w:sz w:val="20"/>
                <w:szCs w:val="20"/>
              </w:rPr>
            </w:pPr>
            <w:r w:rsidRPr="00D0380B">
              <w:rPr>
                <w:color w:val="000000"/>
                <w:sz w:val="20"/>
                <w:szCs w:val="20"/>
              </w:rPr>
              <w:t>93.78%</w:t>
            </w:r>
          </w:p>
        </w:tc>
        <w:tc>
          <w:tcPr>
            <w:tcW w:w="704" w:type="pct"/>
            <w:tcBorders>
              <w:top w:val="nil"/>
              <w:left w:val="nil"/>
              <w:bottom w:val="single" w:sz="8" w:space="0" w:color="DDDDDD"/>
              <w:right w:val="single" w:sz="8" w:space="0" w:color="DDDDDD"/>
            </w:tcBorders>
            <w:shd w:val="clear" w:color="000000" w:fill="F9F9F9"/>
            <w:hideMark/>
          </w:tcPr>
          <w:p w:rsidR="00C9656D" w:rsidRPr="00D0380B" w:rsidRDefault="00C9656D" w:rsidP="00C9656D">
            <w:pPr>
              <w:jc w:val="right"/>
              <w:rPr>
                <w:color w:val="000000"/>
                <w:sz w:val="20"/>
                <w:szCs w:val="20"/>
              </w:rPr>
            </w:pPr>
            <w:r w:rsidRPr="00D0380B">
              <w:rPr>
                <w:color w:val="000000"/>
                <w:sz w:val="20"/>
                <w:szCs w:val="20"/>
              </w:rPr>
              <w:t>120.21%</w:t>
            </w:r>
          </w:p>
        </w:tc>
        <w:tc>
          <w:tcPr>
            <w:tcW w:w="516" w:type="pct"/>
            <w:tcBorders>
              <w:top w:val="nil"/>
              <w:left w:val="nil"/>
              <w:bottom w:val="nil"/>
              <w:right w:val="nil"/>
            </w:tcBorders>
            <w:shd w:val="clear" w:color="auto" w:fill="auto"/>
            <w:vAlign w:val="bottom"/>
            <w:hideMark/>
          </w:tcPr>
          <w:p w:rsidR="00C9656D" w:rsidRPr="00D0380B" w:rsidRDefault="00C9656D" w:rsidP="00C9656D">
            <w:pPr>
              <w:jc w:val="right"/>
              <w:rPr>
                <w:color w:val="000000"/>
                <w:sz w:val="20"/>
                <w:szCs w:val="20"/>
              </w:rPr>
            </w:pPr>
            <w:r w:rsidRPr="00D0380B">
              <w:rPr>
                <w:color w:val="000000"/>
                <w:sz w:val="20"/>
                <w:szCs w:val="20"/>
              </w:rPr>
              <w:t>108.98%</w:t>
            </w:r>
          </w:p>
        </w:tc>
        <w:tc>
          <w:tcPr>
            <w:tcW w:w="560" w:type="pct"/>
            <w:tcBorders>
              <w:top w:val="nil"/>
              <w:left w:val="nil"/>
              <w:bottom w:val="nil"/>
              <w:right w:val="nil"/>
            </w:tcBorders>
            <w:shd w:val="clear" w:color="auto" w:fill="auto"/>
            <w:vAlign w:val="bottom"/>
            <w:hideMark/>
          </w:tcPr>
          <w:p w:rsidR="00C9656D" w:rsidRPr="00D0380B" w:rsidRDefault="00C9656D" w:rsidP="00C9656D">
            <w:pPr>
              <w:jc w:val="right"/>
              <w:rPr>
                <w:color w:val="000000"/>
                <w:sz w:val="20"/>
                <w:szCs w:val="20"/>
              </w:rPr>
            </w:pPr>
            <w:r w:rsidRPr="00D0380B">
              <w:rPr>
                <w:color w:val="000000"/>
                <w:sz w:val="20"/>
                <w:szCs w:val="20"/>
              </w:rPr>
              <w:t>1.47%</w:t>
            </w:r>
          </w:p>
        </w:tc>
      </w:tr>
      <w:tr w:rsidR="00D0380B" w:rsidRPr="00D0380B" w:rsidTr="00542A54">
        <w:trPr>
          <w:trHeight w:val="300"/>
        </w:trPr>
        <w:tc>
          <w:tcPr>
            <w:tcW w:w="874" w:type="pct"/>
            <w:tcBorders>
              <w:top w:val="nil"/>
              <w:left w:val="single" w:sz="8" w:space="0" w:color="DDDDDD"/>
              <w:bottom w:val="single" w:sz="8" w:space="0" w:color="DDDDDD"/>
              <w:right w:val="single" w:sz="8" w:space="0" w:color="DDDDDD"/>
            </w:tcBorders>
            <w:shd w:val="clear" w:color="000000" w:fill="F9F9F9"/>
            <w:hideMark/>
          </w:tcPr>
          <w:p w:rsidR="00C9656D" w:rsidRPr="00D0380B" w:rsidRDefault="00C9656D" w:rsidP="00C9656D">
            <w:pPr>
              <w:jc w:val="right"/>
              <w:rPr>
                <w:color w:val="000000"/>
                <w:sz w:val="20"/>
                <w:szCs w:val="20"/>
              </w:rPr>
            </w:pPr>
            <w:r w:rsidRPr="00D0380B">
              <w:rPr>
                <w:color w:val="000000"/>
                <w:sz w:val="20"/>
                <w:szCs w:val="20"/>
              </w:rPr>
              <w:t>2015</w:t>
            </w:r>
          </w:p>
        </w:tc>
        <w:tc>
          <w:tcPr>
            <w:tcW w:w="715" w:type="pct"/>
            <w:tcBorders>
              <w:top w:val="nil"/>
              <w:left w:val="nil"/>
              <w:bottom w:val="single" w:sz="8" w:space="0" w:color="DDDDDD"/>
              <w:right w:val="single" w:sz="8" w:space="0" w:color="DDDDDD"/>
            </w:tcBorders>
            <w:shd w:val="clear" w:color="000000" w:fill="F9F9F9"/>
            <w:hideMark/>
          </w:tcPr>
          <w:p w:rsidR="00C9656D" w:rsidRPr="00D0380B" w:rsidRDefault="00C9656D" w:rsidP="00C9656D">
            <w:pPr>
              <w:jc w:val="right"/>
              <w:rPr>
                <w:color w:val="000000"/>
                <w:sz w:val="20"/>
                <w:szCs w:val="20"/>
              </w:rPr>
            </w:pPr>
            <w:r w:rsidRPr="00D0380B">
              <w:rPr>
                <w:color w:val="000000"/>
                <w:sz w:val="20"/>
                <w:szCs w:val="20"/>
              </w:rPr>
              <w:t>98.29%</w:t>
            </w:r>
          </w:p>
        </w:tc>
        <w:tc>
          <w:tcPr>
            <w:tcW w:w="807" w:type="pct"/>
            <w:tcBorders>
              <w:top w:val="nil"/>
              <w:left w:val="nil"/>
              <w:bottom w:val="single" w:sz="8" w:space="0" w:color="DDDDDD"/>
              <w:right w:val="single" w:sz="8" w:space="0" w:color="DDDDDD"/>
            </w:tcBorders>
            <w:shd w:val="clear" w:color="000000" w:fill="F9F9F9"/>
            <w:hideMark/>
          </w:tcPr>
          <w:p w:rsidR="00C9656D" w:rsidRPr="00D0380B" w:rsidRDefault="00C9656D" w:rsidP="00C9656D">
            <w:pPr>
              <w:jc w:val="right"/>
              <w:rPr>
                <w:color w:val="000000"/>
                <w:sz w:val="20"/>
                <w:szCs w:val="20"/>
              </w:rPr>
            </w:pPr>
            <w:r w:rsidRPr="00D0380B">
              <w:rPr>
                <w:color w:val="000000"/>
                <w:sz w:val="20"/>
                <w:szCs w:val="20"/>
              </w:rPr>
              <w:t>114.17%</w:t>
            </w:r>
          </w:p>
        </w:tc>
        <w:tc>
          <w:tcPr>
            <w:tcW w:w="824" w:type="pct"/>
            <w:tcBorders>
              <w:top w:val="nil"/>
              <w:left w:val="nil"/>
              <w:bottom w:val="single" w:sz="8" w:space="0" w:color="DDDDDD"/>
              <w:right w:val="single" w:sz="8" w:space="0" w:color="DDDDDD"/>
            </w:tcBorders>
            <w:shd w:val="clear" w:color="000000" w:fill="F9F9F9"/>
            <w:hideMark/>
          </w:tcPr>
          <w:p w:rsidR="00C9656D" w:rsidRPr="00D0380B" w:rsidRDefault="00C9656D" w:rsidP="00C9656D">
            <w:pPr>
              <w:jc w:val="right"/>
              <w:rPr>
                <w:color w:val="000000"/>
                <w:sz w:val="20"/>
                <w:szCs w:val="20"/>
              </w:rPr>
            </w:pPr>
            <w:r w:rsidRPr="00D0380B">
              <w:rPr>
                <w:color w:val="000000"/>
                <w:sz w:val="20"/>
                <w:szCs w:val="20"/>
              </w:rPr>
              <w:t>100.13%</w:t>
            </w:r>
          </w:p>
        </w:tc>
        <w:tc>
          <w:tcPr>
            <w:tcW w:w="704" w:type="pct"/>
            <w:tcBorders>
              <w:top w:val="nil"/>
              <w:left w:val="nil"/>
              <w:bottom w:val="single" w:sz="8" w:space="0" w:color="DDDDDD"/>
              <w:right w:val="single" w:sz="8" w:space="0" w:color="DDDDDD"/>
            </w:tcBorders>
            <w:shd w:val="clear" w:color="000000" w:fill="F9F9F9"/>
            <w:hideMark/>
          </w:tcPr>
          <w:p w:rsidR="00C9656D" w:rsidRPr="00D0380B" w:rsidRDefault="00C9656D" w:rsidP="00C9656D">
            <w:pPr>
              <w:jc w:val="right"/>
              <w:rPr>
                <w:color w:val="000000"/>
                <w:sz w:val="20"/>
                <w:szCs w:val="20"/>
              </w:rPr>
            </w:pPr>
            <w:r w:rsidRPr="00D0380B">
              <w:rPr>
                <w:color w:val="000000"/>
                <w:sz w:val="20"/>
                <w:szCs w:val="20"/>
              </w:rPr>
              <w:t>113.91%</w:t>
            </w:r>
          </w:p>
        </w:tc>
        <w:tc>
          <w:tcPr>
            <w:tcW w:w="516" w:type="pct"/>
            <w:tcBorders>
              <w:top w:val="nil"/>
              <w:left w:val="nil"/>
              <w:bottom w:val="nil"/>
              <w:right w:val="nil"/>
            </w:tcBorders>
            <w:shd w:val="clear" w:color="auto" w:fill="auto"/>
            <w:vAlign w:val="bottom"/>
            <w:hideMark/>
          </w:tcPr>
          <w:p w:rsidR="00C9656D" w:rsidRPr="00D0380B" w:rsidRDefault="00C9656D" w:rsidP="00C9656D">
            <w:pPr>
              <w:jc w:val="right"/>
              <w:rPr>
                <w:color w:val="000000"/>
                <w:sz w:val="20"/>
                <w:szCs w:val="20"/>
              </w:rPr>
            </w:pPr>
            <w:r w:rsidRPr="00D0380B">
              <w:rPr>
                <w:color w:val="000000"/>
                <w:sz w:val="20"/>
                <w:szCs w:val="20"/>
              </w:rPr>
              <w:t>106.63%</w:t>
            </w:r>
          </w:p>
        </w:tc>
        <w:tc>
          <w:tcPr>
            <w:tcW w:w="560" w:type="pct"/>
            <w:tcBorders>
              <w:top w:val="nil"/>
              <w:left w:val="nil"/>
              <w:bottom w:val="nil"/>
              <w:right w:val="nil"/>
            </w:tcBorders>
            <w:shd w:val="clear" w:color="auto" w:fill="auto"/>
            <w:vAlign w:val="bottom"/>
            <w:hideMark/>
          </w:tcPr>
          <w:p w:rsidR="00C9656D" w:rsidRPr="00D0380B" w:rsidRDefault="00C9656D" w:rsidP="00C9656D">
            <w:pPr>
              <w:jc w:val="right"/>
              <w:rPr>
                <w:color w:val="000000"/>
                <w:sz w:val="20"/>
                <w:szCs w:val="20"/>
              </w:rPr>
            </w:pPr>
            <w:r w:rsidRPr="00D0380B">
              <w:rPr>
                <w:color w:val="000000"/>
                <w:sz w:val="20"/>
                <w:szCs w:val="20"/>
              </w:rPr>
              <w:t>3.82%</w:t>
            </w:r>
          </w:p>
        </w:tc>
      </w:tr>
      <w:tr w:rsidR="00D0380B" w:rsidRPr="00D0380B" w:rsidTr="00542A54">
        <w:trPr>
          <w:trHeight w:val="300"/>
        </w:trPr>
        <w:tc>
          <w:tcPr>
            <w:tcW w:w="874" w:type="pct"/>
            <w:tcBorders>
              <w:top w:val="nil"/>
              <w:left w:val="single" w:sz="8" w:space="0" w:color="DDDDDD"/>
              <w:bottom w:val="single" w:sz="8" w:space="0" w:color="DDDDDD"/>
              <w:right w:val="single" w:sz="8" w:space="0" w:color="DDDDDD"/>
            </w:tcBorders>
            <w:shd w:val="clear" w:color="000000" w:fill="FFFFFF"/>
            <w:hideMark/>
          </w:tcPr>
          <w:p w:rsidR="00C9656D" w:rsidRPr="00D0380B" w:rsidRDefault="00C9656D" w:rsidP="00C9656D">
            <w:pPr>
              <w:jc w:val="right"/>
              <w:rPr>
                <w:color w:val="000000"/>
                <w:sz w:val="20"/>
                <w:szCs w:val="20"/>
              </w:rPr>
            </w:pPr>
            <w:r w:rsidRPr="00D0380B">
              <w:rPr>
                <w:color w:val="000000"/>
                <w:sz w:val="20"/>
                <w:szCs w:val="20"/>
              </w:rPr>
              <w:t>2014</w:t>
            </w:r>
          </w:p>
        </w:tc>
        <w:tc>
          <w:tcPr>
            <w:tcW w:w="715" w:type="pct"/>
            <w:tcBorders>
              <w:top w:val="nil"/>
              <w:left w:val="nil"/>
              <w:bottom w:val="single" w:sz="8" w:space="0" w:color="DDDDDD"/>
              <w:right w:val="single" w:sz="8" w:space="0" w:color="DDDDDD"/>
            </w:tcBorders>
            <w:shd w:val="clear" w:color="000000" w:fill="F9F9F9"/>
            <w:hideMark/>
          </w:tcPr>
          <w:p w:rsidR="00C9656D" w:rsidRPr="00D0380B" w:rsidRDefault="00C9656D" w:rsidP="00C9656D">
            <w:pPr>
              <w:jc w:val="right"/>
              <w:rPr>
                <w:color w:val="000000"/>
                <w:sz w:val="20"/>
                <w:szCs w:val="20"/>
              </w:rPr>
            </w:pPr>
            <w:r w:rsidRPr="00D0380B">
              <w:rPr>
                <w:color w:val="000000"/>
                <w:sz w:val="20"/>
                <w:szCs w:val="20"/>
              </w:rPr>
              <w:t>143.37%</w:t>
            </w:r>
          </w:p>
        </w:tc>
        <w:tc>
          <w:tcPr>
            <w:tcW w:w="807" w:type="pct"/>
            <w:tcBorders>
              <w:top w:val="nil"/>
              <w:left w:val="nil"/>
              <w:bottom w:val="single" w:sz="8" w:space="0" w:color="DDDDDD"/>
              <w:right w:val="single" w:sz="8" w:space="0" w:color="DDDDDD"/>
            </w:tcBorders>
            <w:shd w:val="clear" w:color="000000" w:fill="F9F9F9"/>
            <w:hideMark/>
          </w:tcPr>
          <w:p w:rsidR="00C9656D" w:rsidRPr="00D0380B" w:rsidRDefault="00C9656D" w:rsidP="00C9656D">
            <w:pPr>
              <w:jc w:val="right"/>
              <w:rPr>
                <w:color w:val="000000"/>
                <w:sz w:val="20"/>
                <w:szCs w:val="20"/>
              </w:rPr>
            </w:pPr>
            <w:r w:rsidRPr="00D0380B">
              <w:rPr>
                <w:color w:val="000000"/>
                <w:sz w:val="20"/>
                <w:szCs w:val="20"/>
              </w:rPr>
              <w:t>100.96%</w:t>
            </w:r>
          </w:p>
        </w:tc>
        <w:tc>
          <w:tcPr>
            <w:tcW w:w="824" w:type="pct"/>
            <w:tcBorders>
              <w:top w:val="nil"/>
              <w:left w:val="nil"/>
              <w:bottom w:val="single" w:sz="8" w:space="0" w:color="DDDDDD"/>
              <w:right w:val="single" w:sz="8" w:space="0" w:color="DDDDDD"/>
            </w:tcBorders>
            <w:shd w:val="clear" w:color="000000" w:fill="F9F9F9"/>
            <w:hideMark/>
          </w:tcPr>
          <w:p w:rsidR="00C9656D" w:rsidRPr="00D0380B" w:rsidRDefault="00C9656D" w:rsidP="00C9656D">
            <w:pPr>
              <w:jc w:val="right"/>
              <w:rPr>
                <w:color w:val="000000"/>
                <w:sz w:val="20"/>
                <w:szCs w:val="20"/>
              </w:rPr>
            </w:pPr>
            <w:r w:rsidRPr="00D0380B">
              <w:rPr>
                <w:color w:val="000000"/>
                <w:sz w:val="20"/>
                <w:szCs w:val="20"/>
              </w:rPr>
              <w:t>99.29%</w:t>
            </w:r>
          </w:p>
        </w:tc>
        <w:tc>
          <w:tcPr>
            <w:tcW w:w="704" w:type="pct"/>
            <w:tcBorders>
              <w:top w:val="nil"/>
              <w:left w:val="nil"/>
              <w:bottom w:val="single" w:sz="8" w:space="0" w:color="DDDDDD"/>
              <w:right w:val="single" w:sz="8" w:space="0" w:color="DDDDDD"/>
            </w:tcBorders>
            <w:shd w:val="clear" w:color="000000" w:fill="F9F9F9"/>
            <w:hideMark/>
          </w:tcPr>
          <w:p w:rsidR="00C9656D" w:rsidRPr="00D0380B" w:rsidRDefault="00C9656D" w:rsidP="00C9656D">
            <w:pPr>
              <w:jc w:val="right"/>
              <w:rPr>
                <w:color w:val="000000"/>
                <w:sz w:val="20"/>
                <w:szCs w:val="20"/>
              </w:rPr>
            </w:pPr>
            <w:r w:rsidRPr="00D0380B">
              <w:rPr>
                <w:color w:val="000000"/>
                <w:sz w:val="20"/>
                <w:szCs w:val="20"/>
              </w:rPr>
              <w:t>110.23%</w:t>
            </w:r>
          </w:p>
        </w:tc>
        <w:tc>
          <w:tcPr>
            <w:tcW w:w="516" w:type="pct"/>
            <w:tcBorders>
              <w:top w:val="nil"/>
              <w:left w:val="nil"/>
              <w:bottom w:val="nil"/>
              <w:right w:val="nil"/>
            </w:tcBorders>
            <w:shd w:val="clear" w:color="auto" w:fill="auto"/>
            <w:vAlign w:val="bottom"/>
            <w:hideMark/>
          </w:tcPr>
          <w:p w:rsidR="00C9656D" w:rsidRPr="00D0380B" w:rsidRDefault="00C9656D" w:rsidP="00C9656D">
            <w:pPr>
              <w:jc w:val="right"/>
              <w:rPr>
                <w:color w:val="000000"/>
                <w:sz w:val="20"/>
                <w:szCs w:val="20"/>
              </w:rPr>
            </w:pPr>
            <w:r w:rsidRPr="00D0380B">
              <w:rPr>
                <w:color w:val="000000"/>
                <w:sz w:val="20"/>
                <w:szCs w:val="20"/>
              </w:rPr>
              <w:t>113.46%</w:t>
            </w:r>
          </w:p>
        </w:tc>
        <w:tc>
          <w:tcPr>
            <w:tcW w:w="560" w:type="pct"/>
            <w:tcBorders>
              <w:top w:val="nil"/>
              <w:left w:val="nil"/>
              <w:bottom w:val="nil"/>
              <w:right w:val="nil"/>
            </w:tcBorders>
            <w:shd w:val="clear" w:color="auto" w:fill="auto"/>
            <w:vAlign w:val="bottom"/>
            <w:hideMark/>
          </w:tcPr>
          <w:p w:rsidR="00C9656D" w:rsidRPr="00D0380B" w:rsidRDefault="00C9656D" w:rsidP="00C9656D">
            <w:pPr>
              <w:jc w:val="right"/>
              <w:rPr>
                <w:color w:val="000000"/>
                <w:sz w:val="20"/>
                <w:szCs w:val="20"/>
              </w:rPr>
            </w:pPr>
            <w:r w:rsidRPr="00D0380B">
              <w:rPr>
                <w:color w:val="000000"/>
                <w:sz w:val="20"/>
                <w:szCs w:val="20"/>
              </w:rPr>
              <w:t>-3.02%</w:t>
            </w:r>
          </w:p>
        </w:tc>
      </w:tr>
      <w:tr w:rsidR="00D0380B" w:rsidRPr="00D0380B" w:rsidTr="00542A54">
        <w:trPr>
          <w:trHeight w:val="288"/>
        </w:trPr>
        <w:tc>
          <w:tcPr>
            <w:tcW w:w="874" w:type="pct"/>
            <w:tcBorders>
              <w:top w:val="nil"/>
              <w:left w:val="nil"/>
              <w:bottom w:val="nil"/>
              <w:right w:val="nil"/>
            </w:tcBorders>
            <w:shd w:val="clear" w:color="auto" w:fill="auto"/>
            <w:noWrap/>
            <w:vAlign w:val="bottom"/>
            <w:hideMark/>
          </w:tcPr>
          <w:p w:rsidR="00C9656D" w:rsidRPr="00D0380B" w:rsidRDefault="00C9656D" w:rsidP="00C9656D">
            <w:pPr>
              <w:rPr>
                <w:color w:val="000000"/>
                <w:sz w:val="20"/>
                <w:szCs w:val="20"/>
              </w:rPr>
            </w:pPr>
            <w:r w:rsidRPr="00D0380B">
              <w:rPr>
                <w:color w:val="000000"/>
                <w:sz w:val="20"/>
                <w:szCs w:val="20"/>
              </w:rPr>
              <w:t>Average</w:t>
            </w:r>
          </w:p>
        </w:tc>
        <w:tc>
          <w:tcPr>
            <w:tcW w:w="715" w:type="pct"/>
            <w:tcBorders>
              <w:top w:val="nil"/>
              <w:left w:val="nil"/>
              <w:bottom w:val="nil"/>
              <w:right w:val="nil"/>
            </w:tcBorders>
            <w:shd w:val="clear" w:color="auto" w:fill="auto"/>
            <w:vAlign w:val="bottom"/>
            <w:hideMark/>
          </w:tcPr>
          <w:p w:rsidR="00C9656D" w:rsidRPr="00D0380B" w:rsidRDefault="00C9656D" w:rsidP="00C9656D">
            <w:pPr>
              <w:jc w:val="right"/>
              <w:rPr>
                <w:color w:val="000000"/>
                <w:sz w:val="20"/>
                <w:szCs w:val="20"/>
              </w:rPr>
            </w:pPr>
            <w:r w:rsidRPr="00D0380B">
              <w:rPr>
                <w:color w:val="000000"/>
                <w:sz w:val="20"/>
                <w:szCs w:val="20"/>
              </w:rPr>
              <w:t>114.44%</w:t>
            </w:r>
          </w:p>
        </w:tc>
        <w:tc>
          <w:tcPr>
            <w:tcW w:w="807" w:type="pct"/>
            <w:tcBorders>
              <w:top w:val="nil"/>
              <w:left w:val="nil"/>
              <w:bottom w:val="nil"/>
              <w:right w:val="nil"/>
            </w:tcBorders>
            <w:shd w:val="clear" w:color="auto" w:fill="auto"/>
            <w:vAlign w:val="bottom"/>
            <w:hideMark/>
          </w:tcPr>
          <w:p w:rsidR="00C9656D" w:rsidRPr="00D0380B" w:rsidRDefault="00C9656D" w:rsidP="00C9656D">
            <w:pPr>
              <w:jc w:val="right"/>
              <w:rPr>
                <w:color w:val="000000"/>
                <w:sz w:val="20"/>
                <w:szCs w:val="20"/>
              </w:rPr>
            </w:pPr>
            <w:r w:rsidRPr="00D0380B">
              <w:rPr>
                <w:color w:val="000000"/>
                <w:sz w:val="20"/>
                <w:szCs w:val="20"/>
              </w:rPr>
              <w:t>108.86%</w:t>
            </w:r>
          </w:p>
        </w:tc>
        <w:tc>
          <w:tcPr>
            <w:tcW w:w="824" w:type="pct"/>
            <w:tcBorders>
              <w:top w:val="nil"/>
              <w:left w:val="nil"/>
              <w:bottom w:val="nil"/>
              <w:right w:val="nil"/>
            </w:tcBorders>
            <w:shd w:val="clear" w:color="auto" w:fill="auto"/>
            <w:vAlign w:val="bottom"/>
            <w:hideMark/>
          </w:tcPr>
          <w:p w:rsidR="00C9656D" w:rsidRPr="00D0380B" w:rsidRDefault="00C9656D" w:rsidP="00C9656D">
            <w:pPr>
              <w:jc w:val="right"/>
              <w:rPr>
                <w:color w:val="000000"/>
                <w:sz w:val="20"/>
                <w:szCs w:val="20"/>
              </w:rPr>
            </w:pPr>
            <w:r w:rsidRPr="00D0380B">
              <w:rPr>
                <w:color w:val="000000"/>
                <w:sz w:val="20"/>
                <w:szCs w:val="20"/>
              </w:rPr>
              <w:t>103.47%</w:t>
            </w:r>
          </w:p>
        </w:tc>
        <w:tc>
          <w:tcPr>
            <w:tcW w:w="704" w:type="pct"/>
            <w:tcBorders>
              <w:top w:val="nil"/>
              <w:left w:val="nil"/>
              <w:bottom w:val="nil"/>
              <w:right w:val="nil"/>
            </w:tcBorders>
            <w:shd w:val="clear" w:color="auto" w:fill="auto"/>
            <w:vAlign w:val="bottom"/>
            <w:hideMark/>
          </w:tcPr>
          <w:p w:rsidR="00C9656D" w:rsidRPr="00D0380B" w:rsidRDefault="00C9656D" w:rsidP="00C9656D">
            <w:pPr>
              <w:jc w:val="right"/>
              <w:rPr>
                <w:color w:val="000000"/>
                <w:sz w:val="20"/>
                <w:szCs w:val="20"/>
              </w:rPr>
            </w:pPr>
            <w:r w:rsidRPr="00D0380B">
              <w:rPr>
                <w:color w:val="000000"/>
                <w:sz w:val="20"/>
                <w:szCs w:val="20"/>
              </w:rPr>
              <w:t>118.34%</w:t>
            </w:r>
          </w:p>
        </w:tc>
        <w:tc>
          <w:tcPr>
            <w:tcW w:w="516" w:type="pct"/>
            <w:tcBorders>
              <w:top w:val="nil"/>
              <w:left w:val="nil"/>
              <w:bottom w:val="nil"/>
              <w:right w:val="nil"/>
            </w:tcBorders>
            <w:shd w:val="clear" w:color="000000" w:fill="FFFF00"/>
            <w:vAlign w:val="bottom"/>
            <w:hideMark/>
          </w:tcPr>
          <w:p w:rsidR="00C9656D" w:rsidRPr="00D0380B" w:rsidRDefault="00C9656D" w:rsidP="00C9656D">
            <w:pPr>
              <w:jc w:val="right"/>
              <w:rPr>
                <w:color w:val="000000"/>
                <w:sz w:val="20"/>
                <w:szCs w:val="20"/>
              </w:rPr>
            </w:pPr>
            <w:r w:rsidRPr="00D0380B">
              <w:rPr>
                <w:color w:val="000000"/>
                <w:sz w:val="20"/>
                <w:szCs w:val="20"/>
              </w:rPr>
              <w:t>111.28%</w:t>
            </w:r>
          </w:p>
        </w:tc>
        <w:tc>
          <w:tcPr>
            <w:tcW w:w="560" w:type="pct"/>
            <w:tcBorders>
              <w:top w:val="nil"/>
              <w:left w:val="nil"/>
              <w:bottom w:val="nil"/>
              <w:right w:val="nil"/>
            </w:tcBorders>
            <w:shd w:val="clear" w:color="auto" w:fill="auto"/>
            <w:vAlign w:val="bottom"/>
            <w:hideMark/>
          </w:tcPr>
          <w:p w:rsidR="00C9656D" w:rsidRPr="00D0380B" w:rsidRDefault="00C9656D" w:rsidP="00C9656D">
            <w:pPr>
              <w:jc w:val="right"/>
              <w:rPr>
                <w:color w:val="000000"/>
                <w:sz w:val="20"/>
                <w:szCs w:val="20"/>
              </w:rPr>
            </w:pPr>
          </w:p>
        </w:tc>
      </w:tr>
      <w:tr w:rsidR="00D0380B" w:rsidRPr="00D0380B" w:rsidTr="00542A54">
        <w:trPr>
          <w:trHeight w:val="288"/>
        </w:trPr>
        <w:tc>
          <w:tcPr>
            <w:tcW w:w="874" w:type="pct"/>
            <w:tcBorders>
              <w:top w:val="nil"/>
              <w:left w:val="nil"/>
              <w:bottom w:val="nil"/>
              <w:right w:val="nil"/>
            </w:tcBorders>
            <w:shd w:val="clear" w:color="auto" w:fill="auto"/>
            <w:noWrap/>
            <w:vAlign w:val="bottom"/>
            <w:hideMark/>
          </w:tcPr>
          <w:p w:rsidR="00C9656D" w:rsidRPr="00D0380B" w:rsidRDefault="00C9656D" w:rsidP="00C9656D">
            <w:pPr>
              <w:rPr>
                <w:color w:val="000000"/>
                <w:sz w:val="20"/>
                <w:szCs w:val="20"/>
              </w:rPr>
            </w:pPr>
            <w:r w:rsidRPr="00D0380B">
              <w:rPr>
                <w:color w:val="000000"/>
                <w:sz w:val="20"/>
                <w:szCs w:val="20"/>
              </w:rPr>
              <w:t>Standard deviation</w:t>
            </w:r>
          </w:p>
        </w:tc>
        <w:tc>
          <w:tcPr>
            <w:tcW w:w="715" w:type="pct"/>
            <w:tcBorders>
              <w:top w:val="nil"/>
              <w:left w:val="nil"/>
              <w:bottom w:val="nil"/>
              <w:right w:val="nil"/>
            </w:tcBorders>
            <w:shd w:val="clear" w:color="auto" w:fill="auto"/>
            <w:vAlign w:val="bottom"/>
            <w:hideMark/>
          </w:tcPr>
          <w:p w:rsidR="00C9656D" w:rsidRPr="00D0380B" w:rsidRDefault="00C9656D" w:rsidP="00C9656D">
            <w:pPr>
              <w:jc w:val="right"/>
              <w:rPr>
                <w:color w:val="000000"/>
                <w:sz w:val="20"/>
                <w:szCs w:val="20"/>
              </w:rPr>
            </w:pPr>
            <w:r w:rsidRPr="00D0380B">
              <w:rPr>
                <w:color w:val="000000"/>
                <w:sz w:val="20"/>
                <w:szCs w:val="20"/>
              </w:rPr>
              <w:t>-3.16%</w:t>
            </w:r>
          </w:p>
        </w:tc>
        <w:tc>
          <w:tcPr>
            <w:tcW w:w="807" w:type="pct"/>
            <w:tcBorders>
              <w:top w:val="nil"/>
              <w:left w:val="nil"/>
              <w:bottom w:val="nil"/>
              <w:right w:val="nil"/>
            </w:tcBorders>
            <w:shd w:val="clear" w:color="auto" w:fill="auto"/>
            <w:vAlign w:val="bottom"/>
            <w:hideMark/>
          </w:tcPr>
          <w:p w:rsidR="00C9656D" w:rsidRPr="00D0380B" w:rsidRDefault="00C9656D" w:rsidP="00C9656D">
            <w:pPr>
              <w:jc w:val="right"/>
              <w:rPr>
                <w:color w:val="000000"/>
                <w:sz w:val="20"/>
                <w:szCs w:val="20"/>
              </w:rPr>
            </w:pPr>
            <w:r w:rsidRPr="00D0380B">
              <w:rPr>
                <w:color w:val="000000"/>
                <w:sz w:val="20"/>
                <w:szCs w:val="20"/>
              </w:rPr>
              <w:t>2.42%</w:t>
            </w:r>
          </w:p>
        </w:tc>
        <w:tc>
          <w:tcPr>
            <w:tcW w:w="824" w:type="pct"/>
            <w:tcBorders>
              <w:top w:val="nil"/>
              <w:left w:val="nil"/>
              <w:bottom w:val="nil"/>
              <w:right w:val="nil"/>
            </w:tcBorders>
            <w:shd w:val="clear" w:color="auto" w:fill="auto"/>
            <w:vAlign w:val="bottom"/>
            <w:hideMark/>
          </w:tcPr>
          <w:p w:rsidR="00C9656D" w:rsidRPr="00D0380B" w:rsidRDefault="00C9656D" w:rsidP="00C9656D">
            <w:pPr>
              <w:jc w:val="right"/>
              <w:rPr>
                <w:color w:val="000000"/>
                <w:sz w:val="20"/>
                <w:szCs w:val="20"/>
              </w:rPr>
            </w:pPr>
            <w:r w:rsidRPr="00D0380B">
              <w:rPr>
                <w:color w:val="000000"/>
                <w:sz w:val="20"/>
                <w:szCs w:val="20"/>
              </w:rPr>
              <w:t>7.81%</w:t>
            </w:r>
          </w:p>
        </w:tc>
        <w:tc>
          <w:tcPr>
            <w:tcW w:w="704" w:type="pct"/>
            <w:tcBorders>
              <w:top w:val="nil"/>
              <w:left w:val="nil"/>
              <w:bottom w:val="nil"/>
              <w:right w:val="nil"/>
            </w:tcBorders>
            <w:shd w:val="clear" w:color="auto" w:fill="auto"/>
            <w:vAlign w:val="bottom"/>
            <w:hideMark/>
          </w:tcPr>
          <w:p w:rsidR="00C9656D" w:rsidRPr="00D0380B" w:rsidRDefault="00C9656D" w:rsidP="00C9656D">
            <w:pPr>
              <w:jc w:val="right"/>
              <w:rPr>
                <w:color w:val="000000"/>
                <w:sz w:val="20"/>
                <w:szCs w:val="20"/>
              </w:rPr>
            </w:pPr>
            <w:r w:rsidRPr="00D0380B">
              <w:rPr>
                <w:color w:val="000000"/>
                <w:sz w:val="20"/>
                <w:szCs w:val="20"/>
              </w:rPr>
              <w:t>-7.06%</w:t>
            </w:r>
          </w:p>
        </w:tc>
        <w:tc>
          <w:tcPr>
            <w:tcW w:w="516" w:type="pct"/>
            <w:tcBorders>
              <w:top w:val="nil"/>
              <w:left w:val="nil"/>
              <w:bottom w:val="nil"/>
              <w:right w:val="nil"/>
            </w:tcBorders>
            <w:shd w:val="clear" w:color="auto" w:fill="auto"/>
            <w:vAlign w:val="bottom"/>
            <w:hideMark/>
          </w:tcPr>
          <w:p w:rsidR="00C9656D" w:rsidRPr="00D0380B" w:rsidRDefault="00C9656D" w:rsidP="00C9656D">
            <w:pPr>
              <w:jc w:val="right"/>
              <w:rPr>
                <w:color w:val="000000"/>
                <w:sz w:val="20"/>
                <w:szCs w:val="20"/>
              </w:rPr>
            </w:pPr>
          </w:p>
        </w:tc>
        <w:tc>
          <w:tcPr>
            <w:tcW w:w="560" w:type="pct"/>
            <w:tcBorders>
              <w:top w:val="nil"/>
              <w:left w:val="nil"/>
              <w:bottom w:val="nil"/>
              <w:right w:val="nil"/>
            </w:tcBorders>
            <w:shd w:val="clear" w:color="auto" w:fill="auto"/>
            <w:vAlign w:val="bottom"/>
            <w:hideMark/>
          </w:tcPr>
          <w:p w:rsidR="00C9656D" w:rsidRPr="00D0380B" w:rsidRDefault="00C9656D" w:rsidP="00C9656D">
            <w:pPr>
              <w:rPr>
                <w:sz w:val="20"/>
                <w:szCs w:val="20"/>
              </w:rPr>
            </w:pPr>
          </w:p>
        </w:tc>
      </w:tr>
      <w:tr w:rsidR="00D0380B" w:rsidRPr="00D0380B" w:rsidTr="00542A54">
        <w:trPr>
          <w:trHeight w:val="804"/>
        </w:trPr>
        <w:tc>
          <w:tcPr>
            <w:tcW w:w="874" w:type="pct"/>
            <w:tcBorders>
              <w:top w:val="single" w:sz="8" w:space="0" w:color="DDDDDD"/>
              <w:left w:val="single" w:sz="8" w:space="0" w:color="DDDDDD"/>
              <w:bottom w:val="single" w:sz="8" w:space="0" w:color="DDDDDD"/>
              <w:right w:val="single" w:sz="8" w:space="0" w:color="DDDDDD"/>
            </w:tcBorders>
            <w:shd w:val="clear" w:color="000000" w:fill="FFF2CC"/>
            <w:vAlign w:val="center"/>
            <w:hideMark/>
          </w:tcPr>
          <w:p w:rsidR="00C9656D" w:rsidRPr="00D0380B" w:rsidRDefault="00C9656D" w:rsidP="00C9656D">
            <w:pPr>
              <w:jc w:val="center"/>
              <w:rPr>
                <w:b/>
                <w:bCs/>
                <w:color w:val="000000"/>
                <w:sz w:val="20"/>
                <w:szCs w:val="20"/>
              </w:rPr>
            </w:pPr>
            <w:r w:rsidRPr="00D0380B">
              <w:rPr>
                <w:b/>
                <w:bCs/>
                <w:color w:val="000000"/>
                <w:sz w:val="20"/>
                <w:szCs w:val="20"/>
              </w:rPr>
              <w:t>Net Incomes</w:t>
            </w:r>
          </w:p>
        </w:tc>
        <w:tc>
          <w:tcPr>
            <w:tcW w:w="715" w:type="pct"/>
            <w:tcBorders>
              <w:top w:val="single" w:sz="8" w:space="0" w:color="DDDDDD"/>
              <w:left w:val="nil"/>
              <w:bottom w:val="single" w:sz="8" w:space="0" w:color="DDDDDD"/>
              <w:right w:val="single" w:sz="8" w:space="0" w:color="DDDDDD"/>
            </w:tcBorders>
            <w:shd w:val="clear" w:color="000000" w:fill="FFFFFF"/>
            <w:vAlign w:val="center"/>
            <w:hideMark/>
          </w:tcPr>
          <w:p w:rsidR="00C9656D" w:rsidRPr="00D0380B" w:rsidRDefault="00C9656D" w:rsidP="00C9656D">
            <w:pPr>
              <w:jc w:val="center"/>
              <w:rPr>
                <w:b/>
                <w:bCs/>
                <w:color w:val="000000"/>
                <w:sz w:val="20"/>
                <w:szCs w:val="20"/>
              </w:rPr>
            </w:pPr>
            <w:r w:rsidRPr="00D0380B">
              <w:rPr>
                <w:b/>
                <w:bCs/>
                <w:color w:val="000000"/>
                <w:sz w:val="20"/>
                <w:szCs w:val="20"/>
              </w:rPr>
              <w:t>B - The Processing Industry</w:t>
            </w:r>
          </w:p>
        </w:tc>
        <w:tc>
          <w:tcPr>
            <w:tcW w:w="807" w:type="pct"/>
            <w:tcBorders>
              <w:top w:val="single" w:sz="8" w:space="0" w:color="DDDDDD"/>
              <w:left w:val="nil"/>
              <w:bottom w:val="single" w:sz="8" w:space="0" w:color="DDDDDD"/>
              <w:right w:val="single" w:sz="8" w:space="0" w:color="DDDDDD"/>
            </w:tcBorders>
            <w:shd w:val="clear" w:color="000000" w:fill="FFFFFF"/>
            <w:vAlign w:val="center"/>
            <w:hideMark/>
          </w:tcPr>
          <w:p w:rsidR="00C9656D" w:rsidRPr="00D0380B" w:rsidRDefault="00C9656D" w:rsidP="00C9656D">
            <w:pPr>
              <w:jc w:val="center"/>
              <w:rPr>
                <w:b/>
                <w:bCs/>
                <w:color w:val="000000"/>
                <w:sz w:val="20"/>
                <w:szCs w:val="20"/>
              </w:rPr>
            </w:pPr>
            <w:r w:rsidRPr="00D0380B">
              <w:rPr>
                <w:b/>
                <w:bCs/>
                <w:color w:val="000000"/>
                <w:sz w:val="20"/>
                <w:szCs w:val="20"/>
              </w:rPr>
              <w:t>F - Constructions</w:t>
            </w:r>
          </w:p>
        </w:tc>
        <w:tc>
          <w:tcPr>
            <w:tcW w:w="824" w:type="pct"/>
            <w:tcBorders>
              <w:top w:val="single" w:sz="8" w:space="0" w:color="DDDDDD"/>
              <w:left w:val="nil"/>
              <w:bottom w:val="single" w:sz="8" w:space="0" w:color="DDDDDD"/>
              <w:right w:val="single" w:sz="8" w:space="0" w:color="DDDDDD"/>
            </w:tcBorders>
            <w:shd w:val="clear" w:color="000000" w:fill="FFFFFF"/>
            <w:vAlign w:val="center"/>
            <w:hideMark/>
          </w:tcPr>
          <w:p w:rsidR="00C9656D" w:rsidRPr="00D0380B" w:rsidRDefault="00C9656D" w:rsidP="00C9656D">
            <w:pPr>
              <w:jc w:val="center"/>
              <w:rPr>
                <w:b/>
                <w:bCs/>
                <w:color w:val="000000"/>
                <w:sz w:val="20"/>
                <w:szCs w:val="20"/>
              </w:rPr>
            </w:pPr>
            <w:r w:rsidRPr="00D0380B">
              <w:rPr>
                <w:b/>
                <w:bCs/>
                <w:color w:val="000000"/>
                <w:sz w:val="20"/>
                <w:szCs w:val="20"/>
              </w:rPr>
              <w:t>G - Wholesale and retail trade</w:t>
            </w:r>
          </w:p>
        </w:tc>
        <w:tc>
          <w:tcPr>
            <w:tcW w:w="704" w:type="pct"/>
            <w:tcBorders>
              <w:top w:val="single" w:sz="8" w:space="0" w:color="DDDDDD"/>
              <w:left w:val="nil"/>
              <w:bottom w:val="single" w:sz="8" w:space="0" w:color="DDDDDD"/>
              <w:right w:val="single" w:sz="8" w:space="0" w:color="DDDDDD"/>
            </w:tcBorders>
            <w:shd w:val="clear" w:color="000000" w:fill="FFFFFF"/>
            <w:vAlign w:val="center"/>
            <w:hideMark/>
          </w:tcPr>
          <w:p w:rsidR="00C9656D" w:rsidRPr="00D0380B" w:rsidRDefault="00C9656D" w:rsidP="00C9656D">
            <w:pPr>
              <w:jc w:val="center"/>
              <w:rPr>
                <w:b/>
                <w:bCs/>
                <w:color w:val="000000"/>
                <w:sz w:val="20"/>
                <w:szCs w:val="20"/>
              </w:rPr>
            </w:pPr>
            <w:r w:rsidRPr="00D0380B">
              <w:rPr>
                <w:b/>
                <w:bCs/>
                <w:color w:val="000000"/>
                <w:sz w:val="20"/>
                <w:szCs w:val="20"/>
              </w:rPr>
              <w:t>H - Transport and storage</w:t>
            </w:r>
          </w:p>
        </w:tc>
        <w:tc>
          <w:tcPr>
            <w:tcW w:w="516" w:type="pct"/>
            <w:tcBorders>
              <w:top w:val="single" w:sz="8" w:space="0" w:color="DDDDDD"/>
              <w:left w:val="nil"/>
              <w:bottom w:val="single" w:sz="8" w:space="0" w:color="DDDDDD"/>
              <w:right w:val="single" w:sz="8" w:space="0" w:color="DDDDDD"/>
            </w:tcBorders>
            <w:shd w:val="clear" w:color="000000" w:fill="FFFFFF"/>
            <w:vAlign w:val="center"/>
            <w:hideMark/>
          </w:tcPr>
          <w:p w:rsidR="00C9656D" w:rsidRPr="00D0380B" w:rsidRDefault="00C9656D" w:rsidP="00C9656D">
            <w:pPr>
              <w:jc w:val="center"/>
              <w:rPr>
                <w:b/>
                <w:bCs/>
                <w:color w:val="000000"/>
                <w:sz w:val="20"/>
                <w:szCs w:val="20"/>
              </w:rPr>
            </w:pPr>
            <w:r w:rsidRPr="00D0380B">
              <w:rPr>
                <w:b/>
                <w:bCs/>
                <w:color w:val="000000"/>
                <w:sz w:val="20"/>
                <w:szCs w:val="20"/>
              </w:rPr>
              <w:t>Average</w:t>
            </w:r>
          </w:p>
        </w:tc>
        <w:tc>
          <w:tcPr>
            <w:tcW w:w="560" w:type="pct"/>
            <w:tcBorders>
              <w:top w:val="single" w:sz="8" w:space="0" w:color="DDDDDD"/>
              <w:left w:val="nil"/>
              <w:bottom w:val="single" w:sz="8" w:space="0" w:color="DDDDDD"/>
              <w:right w:val="single" w:sz="8" w:space="0" w:color="DDDDDD"/>
            </w:tcBorders>
            <w:shd w:val="clear" w:color="000000" w:fill="FFFFFF"/>
            <w:vAlign w:val="center"/>
            <w:hideMark/>
          </w:tcPr>
          <w:p w:rsidR="00C9656D" w:rsidRPr="00D0380B" w:rsidRDefault="00C9656D" w:rsidP="00C9656D">
            <w:pPr>
              <w:jc w:val="center"/>
              <w:rPr>
                <w:b/>
                <w:bCs/>
                <w:color w:val="000000"/>
                <w:sz w:val="20"/>
                <w:szCs w:val="20"/>
              </w:rPr>
            </w:pPr>
            <w:r w:rsidRPr="00D0380B">
              <w:rPr>
                <w:b/>
                <w:bCs/>
                <w:color w:val="000000"/>
                <w:sz w:val="20"/>
                <w:szCs w:val="20"/>
              </w:rPr>
              <w:t>Standard deviation</w:t>
            </w:r>
          </w:p>
        </w:tc>
      </w:tr>
      <w:tr w:rsidR="00D0380B" w:rsidRPr="00D0380B" w:rsidTr="00542A54">
        <w:trPr>
          <w:trHeight w:val="300"/>
        </w:trPr>
        <w:tc>
          <w:tcPr>
            <w:tcW w:w="874" w:type="pct"/>
            <w:tcBorders>
              <w:top w:val="nil"/>
              <w:left w:val="single" w:sz="8" w:space="0" w:color="DDDDDD"/>
              <w:bottom w:val="single" w:sz="8" w:space="0" w:color="DDDDDD"/>
              <w:right w:val="single" w:sz="8" w:space="0" w:color="DDDDDD"/>
            </w:tcBorders>
            <w:shd w:val="clear" w:color="000000" w:fill="F9F9F9"/>
            <w:vAlign w:val="center"/>
            <w:hideMark/>
          </w:tcPr>
          <w:p w:rsidR="00C9656D" w:rsidRPr="00D0380B" w:rsidRDefault="00C9656D" w:rsidP="00C9656D">
            <w:pPr>
              <w:jc w:val="right"/>
              <w:rPr>
                <w:color w:val="000000"/>
                <w:sz w:val="20"/>
                <w:szCs w:val="20"/>
              </w:rPr>
            </w:pPr>
            <w:r w:rsidRPr="00D0380B">
              <w:rPr>
                <w:color w:val="000000"/>
                <w:sz w:val="20"/>
                <w:szCs w:val="20"/>
              </w:rPr>
              <w:t>2017</w:t>
            </w:r>
          </w:p>
        </w:tc>
        <w:tc>
          <w:tcPr>
            <w:tcW w:w="715" w:type="pct"/>
            <w:tcBorders>
              <w:top w:val="nil"/>
              <w:left w:val="nil"/>
              <w:bottom w:val="nil"/>
              <w:right w:val="nil"/>
            </w:tcBorders>
            <w:shd w:val="clear" w:color="auto" w:fill="auto"/>
            <w:noWrap/>
            <w:vAlign w:val="center"/>
            <w:hideMark/>
          </w:tcPr>
          <w:p w:rsidR="00C9656D" w:rsidRPr="00D0380B" w:rsidRDefault="00C9656D" w:rsidP="00C9656D">
            <w:pPr>
              <w:jc w:val="right"/>
              <w:rPr>
                <w:color w:val="000000"/>
                <w:sz w:val="20"/>
                <w:szCs w:val="20"/>
              </w:rPr>
            </w:pPr>
            <w:r w:rsidRPr="00D0380B">
              <w:rPr>
                <w:color w:val="000000"/>
                <w:sz w:val="20"/>
                <w:szCs w:val="20"/>
              </w:rPr>
              <w:t>99,83%</w:t>
            </w:r>
          </w:p>
        </w:tc>
        <w:tc>
          <w:tcPr>
            <w:tcW w:w="807" w:type="pct"/>
            <w:tcBorders>
              <w:top w:val="nil"/>
              <w:left w:val="nil"/>
              <w:bottom w:val="nil"/>
              <w:right w:val="nil"/>
            </w:tcBorders>
            <w:shd w:val="clear" w:color="auto" w:fill="auto"/>
            <w:noWrap/>
            <w:vAlign w:val="center"/>
            <w:hideMark/>
          </w:tcPr>
          <w:p w:rsidR="00C9656D" w:rsidRPr="00D0380B" w:rsidRDefault="00C9656D" w:rsidP="00C9656D">
            <w:pPr>
              <w:jc w:val="right"/>
              <w:rPr>
                <w:color w:val="000000"/>
                <w:sz w:val="20"/>
                <w:szCs w:val="20"/>
              </w:rPr>
            </w:pPr>
            <w:r w:rsidRPr="00D0380B">
              <w:rPr>
                <w:color w:val="000000"/>
                <w:sz w:val="20"/>
                <w:szCs w:val="20"/>
              </w:rPr>
              <w:t>100,49%</w:t>
            </w:r>
          </w:p>
        </w:tc>
        <w:tc>
          <w:tcPr>
            <w:tcW w:w="824" w:type="pct"/>
            <w:tcBorders>
              <w:top w:val="nil"/>
              <w:left w:val="nil"/>
              <w:bottom w:val="nil"/>
              <w:right w:val="nil"/>
            </w:tcBorders>
            <w:shd w:val="clear" w:color="auto" w:fill="auto"/>
            <w:noWrap/>
            <w:vAlign w:val="center"/>
            <w:hideMark/>
          </w:tcPr>
          <w:p w:rsidR="00C9656D" w:rsidRPr="00D0380B" w:rsidRDefault="00C9656D" w:rsidP="00C9656D">
            <w:pPr>
              <w:jc w:val="right"/>
              <w:rPr>
                <w:color w:val="000000"/>
                <w:sz w:val="20"/>
                <w:szCs w:val="20"/>
              </w:rPr>
            </w:pPr>
            <w:r w:rsidRPr="00D0380B">
              <w:rPr>
                <w:color w:val="000000"/>
                <w:sz w:val="20"/>
                <w:szCs w:val="20"/>
              </w:rPr>
              <w:t>98,44%</w:t>
            </w:r>
          </w:p>
        </w:tc>
        <w:tc>
          <w:tcPr>
            <w:tcW w:w="704" w:type="pct"/>
            <w:tcBorders>
              <w:top w:val="nil"/>
              <w:left w:val="nil"/>
              <w:bottom w:val="nil"/>
              <w:right w:val="nil"/>
            </w:tcBorders>
            <w:shd w:val="clear" w:color="auto" w:fill="auto"/>
            <w:noWrap/>
            <w:vAlign w:val="center"/>
            <w:hideMark/>
          </w:tcPr>
          <w:p w:rsidR="00C9656D" w:rsidRPr="00D0380B" w:rsidRDefault="00C9656D" w:rsidP="00C9656D">
            <w:pPr>
              <w:jc w:val="right"/>
              <w:rPr>
                <w:color w:val="000000"/>
                <w:sz w:val="20"/>
                <w:szCs w:val="20"/>
              </w:rPr>
            </w:pPr>
            <w:r w:rsidRPr="00D0380B">
              <w:rPr>
                <w:color w:val="000000"/>
                <w:sz w:val="20"/>
                <w:szCs w:val="20"/>
              </w:rPr>
              <w:t>98,84%</w:t>
            </w:r>
          </w:p>
        </w:tc>
        <w:tc>
          <w:tcPr>
            <w:tcW w:w="516" w:type="pct"/>
            <w:tcBorders>
              <w:top w:val="nil"/>
              <w:left w:val="nil"/>
              <w:bottom w:val="nil"/>
              <w:right w:val="nil"/>
            </w:tcBorders>
            <w:shd w:val="clear" w:color="auto" w:fill="auto"/>
            <w:noWrap/>
            <w:vAlign w:val="center"/>
            <w:hideMark/>
          </w:tcPr>
          <w:p w:rsidR="00C9656D" w:rsidRPr="00D0380B" w:rsidRDefault="00C9656D" w:rsidP="00C9656D">
            <w:pPr>
              <w:jc w:val="right"/>
              <w:rPr>
                <w:color w:val="000000"/>
                <w:sz w:val="20"/>
                <w:szCs w:val="20"/>
              </w:rPr>
            </w:pPr>
            <w:r w:rsidRPr="00D0380B">
              <w:rPr>
                <w:color w:val="000000"/>
                <w:sz w:val="20"/>
                <w:szCs w:val="20"/>
              </w:rPr>
              <w:t>99,40%</w:t>
            </w:r>
          </w:p>
        </w:tc>
        <w:tc>
          <w:tcPr>
            <w:tcW w:w="560" w:type="pct"/>
            <w:tcBorders>
              <w:top w:val="nil"/>
              <w:left w:val="nil"/>
              <w:bottom w:val="nil"/>
              <w:right w:val="nil"/>
            </w:tcBorders>
            <w:shd w:val="clear" w:color="auto" w:fill="auto"/>
            <w:noWrap/>
            <w:vAlign w:val="center"/>
            <w:hideMark/>
          </w:tcPr>
          <w:p w:rsidR="00C9656D" w:rsidRPr="00D0380B" w:rsidRDefault="00C9656D" w:rsidP="00C9656D">
            <w:pPr>
              <w:jc w:val="right"/>
              <w:rPr>
                <w:color w:val="000000"/>
                <w:sz w:val="20"/>
                <w:szCs w:val="20"/>
              </w:rPr>
            </w:pPr>
            <w:r w:rsidRPr="00D0380B">
              <w:rPr>
                <w:color w:val="000000"/>
                <w:sz w:val="20"/>
                <w:szCs w:val="20"/>
              </w:rPr>
              <w:t>2,25%</w:t>
            </w:r>
          </w:p>
        </w:tc>
      </w:tr>
      <w:tr w:rsidR="00D0380B" w:rsidRPr="00D0380B" w:rsidTr="00542A54">
        <w:trPr>
          <w:trHeight w:val="300"/>
        </w:trPr>
        <w:tc>
          <w:tcPr>
            <w:tcW w:w="874" w:type="pct"/>
            <w:tcBorders>
              <w:top w:val="nil"/>
              <w:left w:val="single" w:sz="8" w:space="0" w:color="DDDDDD"/>
              <w:bottom w:val="single" w:sz="8" w:space="0" w:color="DDDDDD"/>
              <w:right w:val="single" w:sz="8" w:space="0" w:color="DDDDDD"/>
            </w:tcBorders>
            <w:shd w:val="clear" w:color="000000" w:fill="FFFFFF"/>
            <w:vAlign w:val="center"/>
            <w:hideMark/>
          </w:tcPr>
          <w:p w:rsidR="00C9656D" w:rsidRPr="00D0380B" w:rsidRDefault="00C9656D" w:rsidP="00C9656D">
            <w:pPr>
              <w:jc w:val="right"/>
              <w:rPr>
                <w:color w:val="000000"/>
                <w:sz w:val="20"/>
                <w:szCs w:val="20"/>
              </w:rPr>
            </w:pPr>
            <w:r w:rsidRPr="00D0380B">
              <w:rPr>
                <w:color w:val="000000"/>
                <w:sz w:val="20"/>
                <w:szCs w:val="20"/>
              </w:rPr>
              <w:t>2016</w:t>
            </w:r>
          </w:p>
        </w:tc>
        <w:tc>
          <w:tcPr>
            <w:tcW w:w="715" w:type="pct"/>
            <w:tcBorders>
              <w:top w:val="nil"/>
              <w:left w:val="nil"/>
              <w:bottom w:val="nil"/>
              <w:right w:val="nil"/>
            </w:tcBorders>
            <w:shd w:val="clear" w:color="auto" w:fill="auto"/>
            <w:noWrap/>
            <w:vAlign w:val="center"/>
            <w:hideMark/>
          </w:tcPr>
          <w:p w:rsidR="00C9656D" w:rsidRPr="00D0380B" w:rsidRDefault="00C9656D" w:rsidP="00C9656D">
            <w:pPr>
              <w:jc w:val="right"/>
              <w:rPr>
                <w:color w:val="000000"/>
                <w:sz w:val="20"/>
                <w:szCs w:val="20"/>
              </w:rPr>
            </w:pPr>
            <w:r w:rsidRPr="00D0380B">
              <w:rPr>
                <w:color w:val="000000"/>
                <w:sz w:val="20"/>
                <w:szCs w:val="20"/>
              </w:rPr>
              <w:t>108,58%</w:t>
            </w:r>
          </w:p>
        </w:tc>
        <w:tc>
          <w:tcPr>
            <w:tcW w:w="807" w:type="pct"/>
            <w:tcBorders>
              <w:top w:val="nil"/>
              <w:left w:val="nil"/>
              <w:bottom w:val="nil"/>
              <w:right w:val="nil"/>
            </w:tcBorders>
            <w:shd w:val="clear" w:color="auto" w:fill="auto"/>
            <w:noWrap/>
            <w:vAlign w:val="center"/>
            <w:hideMark/>
          </w:tcPr>
          <w:p w:rsidR="00C9656D" w:rsidRPr="00D0380B" w:rsidRDefault="00C9656D" w:rsidP="00C9656D">
            <w:pPr>
              <w:jc w:val="right"/>
              <w:rPr>
                <w:color w:val="000000"/>
                <w:sz w:val="20"/>
                <w:szCs w:val="20"/>
              </w:rPr>
            </w:pPr>
            <w:r w:rsidRPr="00D0380B">
              <w:rPr>
                <w:color w:val="000000"/>
                <w:sz w:val="20"/>
                <w:szCs w:val="20"/>
              </w:rPr>
              <w:t>100,66%</w:t>
            </w:r>
          </w:p>
        </w:tc>
        <w:tc>
          <w:tcPr>
            <w:tcW w:w="824" w:type="pct"/>
            <w:tcBorders>
              <w:top w:val="nil"/>
              <w:left w:val="nil"/>
              <w:bottom w:val="nil"/>
              <w:right w:val="nil"/>
            </w:tcBorders>
            <w:shd w:val="clear" w:color="auto" w:fill="auto"/>
            <w:noWrap/>
            <w:vAlign w:val="center"/>
            <w:hideMark/>
          </w:tcPr>
          <w:p w:rsidR="00C9656D" w:rsidRPr="00D0380B" w:rsidRDefault="00C9656D" w:rsidP="00C9656D">
            <w:pPr>
              <w:jc w:val="right"/>
              <w:rPr>
                <w:color w:val="000000"/>
                <w:sz w:val="20"/>
                <w:szCs w:val="20"/>
              </w:rPr>
            </w:pPr>
            <w:r w:rsidRPr="00D0380B">
              <w:rPr>
                <w:color w:val="000000"/>
                <w:sz w:val="20"/>
                <w:szCs w:val="20"/>
              </w:rPr>
              <w:t>102,16%</w:t>
            </w:r>
          </w:p>
        </w:tc>
        <w:tc>
          <w:tcPr>
            <w:tcW w:w="704" w:type="pct"/>
            <w:tcBorders>
              <w:top w:val="nil"/>
              <w:left w:val="nil"/>
              <w:bottom w:val="nil"/>
              <w:right w:val="nil"/>
            </w:tcBorders>
            <w:shd w:val="clear" w:color="auto" w:fill="auto"/>
            <w:noWrap/>
            <w:vAlign w:val="center"/>
            <w:hideMark/>
          </w:tcPr>
          <w:p w:rsidR="00C9656D" w:rsidRPr="00D0380B" w:rsidRDefault="00C9656D" w:rsidP="00C9656D">
            <w:pPr>
              <w:jc w:val="right"/>
              <w:rPr>
                <w:color w:val="000000"/>
                <w:sz w:val="20"/>
                <w:szCs w:val="20"/>
              </w:rPr>
            </w:pPr>
            <w:r w:rsidRPr="00D0380B">
              <w:rPr>
                <w:color w:val="000000"/>
                <w:sz w:val="20"/>
                <w:szCs w:val="20"/>
              </w:rPr>
              <w:t>99,47%</w:t>
            </w:r>
          </w:p>
        </w:tc>
        <w:tc>
          <w:tcPr>
            <w:tcW w:w="516" w:type="pct"/>
            <w:tcBorders>
              <w:top w:val="nil"/>
              <w:left w:val="nil"/>
              <w:bottom w:val="nil"/>
              <w:right w:val="nil"/>
            </w:tcBorders>
            <w:shd w:val="clear" w:color="auto" w:fill="auto"/>
            <w:noWrap/>
            <w:vAlign w:val="center"/>
            <w:hideMark/>
          </w:tcPr>
          <w:p w:rsidR="00C9656D" w:rsidRPr="00D0380B" w:rsidRDefault="00C9656D" w:rsidP="00C9656D">
            <w:pPr>
              <w:jc w:val="right"/>
              <w:rPr>
                <w:color w:val="000000"/>
                <w:sz w:val="20"/>
                <w:szCs w:val="20"/>
              </w:rPr>
            </w:pPr>
            <w:r w:rsidRPr="00D0380B">
              <w:rPr>
                <w:color w:val="000000"/>
                <w:sz w:val="20"/>
                <w:szCs w:val="20"/>
              </w:rPr>
              <w:t>102,72%</w:t>
            </w:r>
          </w:p>
        </w:tc>
        <w:tc>
          <w:tcPr>
            <w:tcW w:w="560" w:type="pct"/>
            <w:tcBorders>
              <w:top w:val="nil"/>
              <w:left w:val="nil"/>
              <w:bottom w:val="nil"/>
              <w:right w:val="nil"/>
            </w:tcBorders>
            <w:shd w:val="clear" w:color="auto" w:fill="auto"/>
            <w:noWrap/>
            <w:vAlign w:val="center"/>
            <w:hideMark/>
          </w:tcPr>
          <w:p w:rsidR="00C9656D" w:rsidRPr="00D0380B" w:rsidRDefault="00C9656D" w:rsidP="00C9656D">
            <w:pPr>
              <w:jc w:val="right"/>
              <w:rPr>
                <w:color w:val="000000"/>
                <w:sz w:val="20"/>
                <w:szCs w:val="20"/>
              </w:rPr>
            </w:pPr>
            <w:r w:rsidRPr="00D0380B">
              <w:rPr>
                <w:color w:val="000000"/>
                <w:sz w:val="20"/>
                <w:szCs w:val="20"/>
              </w:rPr>
              <w:t>-2,70%</w:t>
            </w:r>
          </w:p>
        </w:tc>
      </w:tr>
      <w:tr w:rsidR="00D0380B" w:rsidRPr="00D0380B" w:rsidTr="00542A54">
        <w:trPr>
          <w:trHeight w:val="300"/>
        </w:trPr>
        <w:tc>
          <w:tcPr>
            <w:tcW w:w="874" w:type="pct"/>
            <w:tcBorders>
              <w:top w:val="nil"/>
              <w:left w:val="single" w:sz="8" w:space="0" w:color="DDDDDD"/>
              <w:bottom w:val="single" w:sz="8" w:space="0" w:color="DDDDDD"/>
              <w:right w:val="single" w:sz="8" w:space="0" w:color="DDDDDD"/>
            </w:tcBorders>
            <w:shd w:val="clear" w:color="000000" w:fill="F9F9F9"/>
            <w:vAlign w:val="center"/>
            <w:hideMark/>
          </w:tcPr>
          <w:p w:rsidR="00C9656D" w:rsidRPr="00D0380B" w:rsidRDefault="00C9656D" w:rsidP="00C9656D">
            <w:pPr>
              <w:jc w:val="right"/>
              <w:rPr>
                <w:color w:val="000000"/>
                <w:sz w:val="20"/>
                <w:szCs w:val="20"/>
              </w:rPr>
            </w:pPr>
            <w:r w:rsidRPr="00D0380B">
              <w:rPr>
                <w:color w:val="000000"/>
                <w:sz w:val="20"/>
                <w:szCs w:val="20"/>
              </w:rPr>
              <w:t>2015</w:t>
            </w:r>
          </w:p>
        </w:tc>
        <w:tc>
          <w:tcPr>
            <w:tcW w:w="715" w:type="pct"/>
            <w:tcBorders>
              <w:top w:val="nil"/>
              <w:left w:val="nil"/>
              <w:bottom w:val="nil"/>
              <w:right w:val="nil"/>
            </w:tcBorders>
            <w:shd w:val="clear" w:color="auto" w:fill="auto"/>
            <w:noWrap/>
            <w:vAlign w:val="center"/>
            <w:hideMark/>
          </w:tcPr>
          <w:p w:rsidR="00C9656D" w:rsidRPr="00D0380B" w:rsidRDefault="00C9656D" w:rsidP="00C9656D">
            <w:pPr>
              <w:jc w:val="right"/>
              <w:rPr>
                <w:color w:val="000000"/>
                <w:sz w:val="20"/>
                <w:szCs w:val="20"/>
              </w:rPr>
            </w:pPr>
            <w:r w:rsidRPr="00D0380B">
              <w:rPr>
                <w:color w:val="000000"/>
                <w:sz w:val="20"/>
                <w:szCs w:val="20"/>
              </w:rPr>
              <w:t>100,50%</w:t>
            </w:r>
          </w:p>
        </w:tc>
        <w:tc>
          <w:tcPr>
            <w:tcW w:w="807" w:type="pct"/>
            <w:tcBorders>
              <w:top w:val="nil"/>
              <w:left w:val="nil"/>
              <w:bottom w:val="nil"/>
              <w:right w:val="nil"/>
            </w:tcBorders>
            <w:shd w:val="clear" w:color="auto" w:fill="auto"/>
            <w:noWrap/>
            <w:vAlign w:val="center"/>
            <w:hideMark/>
          </w:tcPr>
          <w:p w:rsidR="00C9656D" w:rsidRPr="00D0380B" w:rsidRDefault="00C9656D" w:rsidP="00C9656D">
            <w:pPr>
              <w:jc w:val="right"/>
              <w:rPr>
                <w:color w:val="000000"/>
                <w:sz w:val="20"/>
                <w:szCs w:val="20"/>
              </w:rPr>
            </w:pPr>
            <w:r w:rsidRPr="00D0380B">
              <w:rPr>
                <w:color w:val="000000"/>
                <w:sz w:val="20"/>
                <w:szCs w:val="20"/>
              </w:rPr>
              <w:t>99,94%</w:t>
            </w:r>
          </w:p>
        </w:tc>
        <w:tc>
          <w:tcPr>
            <w:tcW w:w="824" w:type="pct"/>
            <w:tcBorders>
              <w:top w:val="nil"/>
              <w:left w:val="nil"/>
              <w:bottom w:val="nil"/>
              <w:right w:val="nil"/>
            </w:tcBorders>
            <w:shd w:val="clear" w:color="auto" w:fill="auto"/>
            <w:noWrap/>
            <w:vAlign w:val="center"/>
            <w:hideMark/>
          </w:tcPr>
          <w:p w:rsidR="00C9656D" w:rsidRPr="00D0380B" w:rsidRDefault="00C9656D" w:rsidP="00C9656D">
            <w:pPr>
              <w:jc w:val="right"/>
              <w:rPr>
                <w:color w:val="000000"/>
                <w:sz w:val="20"/>
                <w:szCs w:val="20"/>
              </w:rPr>
            </w:pPr>
            <w:r w:rsidRPr="00D0380B">
              <w:rPr>
                <w:color w:val="000000"/>
                <w:sz w:val="20"/>
                <w:szCs w:val="20"/>
              </w:rPr>
              <w:t>99,23%</w:t>
            </w:r>
          </w:p>
        </w:tc>
        <w:tc>
          <w:tcPr>
            <w:tcW w:w="704" w:type="pct"/>
            <w:tcBorders>
              <w:top w:val="nil"/>
              <w:left w:val="nil"/>
              <w:bottom w:val="nil"/>
              <w:right w:val="nil"/>
            </w:tcBorders>
            <w:shd w:val="clear" w:color="auto" w:fill="auto"/>
            <w:noWrap/>
            <w:vAlign w:val="center"/>
            <w:hideMark/>
          </w:tcPr>
          <w:p w:rsidR="00C9656D" w:rsidRPr="00D0380B" w:rsidRDefault="00C9656D" w:rsidP="00C9656D">
            <w:pPr>
              <w:jc w:val="right"/>
              <w:rPr>
                <w:color w:val="000000"/>
                <w:sz w:val="20"/>
                <w:szCs w:val="20"/>
              </w:rPr>
            </w:pPr>
            <w:r w:rsidRPr="00D0380B">
              <w:rPr>
                <w:color w:val="000000"/>
                <w:sz w:val="20"/>
                <w:szCs w:val="20"/>
              </w:rPr>
              <w:t>101,18%</w:t>
            </w:r>
          </w:p>
        </w:tc>
        <w:tc>
          <w:tcPr>
            <w:tcW w:w="516" w:type="pct"/>
            <w:tcBorders>
              <w:top w:val="nil"/>
              <w:left w:val="nil"/>
              <w:bottom w:val="nil"/>
              <w:right w:val="nil"/>
            </w:tcBorders>
            <w:shd w:val="clear" w:color="auto" w:fill="auto"/>
            <w:noWrap/>
            <w:vAlign w:val="center"/>
            <w:hideMark/>
          </w:tcPr>
          <w:p w:rsidR="00C9656D" w:rsidRPr="00D0380B" w:rsidRDefault="00C9656D" w:rsidP="00C9656D">
            <w:pPr>
              <w:jc w:val="right"/>
              <w:rPr>
                <w:color w:val="000000"/>
                <w:sz w:val="20"/>
                <w:szCs w:val="20"/>
              </w:rPr>
            </w:pPr>
            <w:r w:rsidRPr="00D0380B">
              <w:rPr>
                <w:color w:val="000000"/>
                <w:sz w:val="20"/>
                <w:szCs w:val="20"/>
              </w:rPr>
              <w:t>100,21%</w:t>
            </w:r>
          </w:p>
        </w:tc>
        <w:tc>
          <w:tcPr>
            <w:tcW w:w="560" w:type="pct"/>
            <w:tcBorders>
              <w:top w:val="nil"/>
              <w:left w:val="nil"/>
              <w:bottom w:val="nil"/>
              <w:right w:val="nil"/>
            </w:tcBorders>
            <w:shd w:val="clear" w:color="auto" w:fill="auto"/>
            <w:noWrap/>
            <w:vAlign w:val="center"/>
            <w:hideMark/>
          </w:tcPr>
          <w:p w:rsidR="00C9656D" w:rsidRPr="00D0380B" w:rsidRDefault="00C9656D" w:rsidP="00C9656D">
            <w:pPr>
              <w:jc w:val="right"/>
              <w:rPr>
                <w:color w:val="000000"/>
                <w:sz w:val="20"/>
                <w:szCs w:val="20"/>
              </w:rPr>
            </w:pPr>
            <w:r w:rsidRPr="00D0380B">
              <w:rPr>
                <w:color w:val="000000"/>
                <w:sz w:val="20"/>
                <w:szCs w:val="20"/>
              </w:rPr>
              <w:t>1,49%</w:t>
            </w:r>
          </w:p>
        </w:tc>
      </w:tr>
      <w:tr w:rsidR="00D0380B" w:rsidRPr="00D0380B" w:rsidTr="00542A54">
        <w:trPr>
          <w:trHeight w:val="300"/>
        </w:trPr>
        <w:tc>
          <w:tcPr>
            <w:tcW w:w="874" w:type="pct"/>
            <w:tcBorders>
              <w:top w:val="nil"/>
              <w:left w:val="single" w:sz="8" w:space="0" w:color="DDDDDD"/>
              <w:bottom w:val="single" w:sz="8" w:space="0" w:color="DDDDDD"/>
              <w:right w:val="single" w:sz="8" w:space="0" w:color="DDDDDD"/>
            </w:tcBorders>
            <w:shd w:val="clear" w:color="000000" w:fill="FFFFFF"/>
            <w:vAlign w:val="center"/>
            <w:hideMark/>
          </w:tcPr>
          <w:p w:rsidR="00C9656D" w:rsidRPr="00D0380B" w:rsidRDefault="00C9656D" w:rsidP="00C9656D">
            <w:pPr>
              <w:jc w:val="right"/>
              <w:rPr>
                <w:color w:val="000000"/>
                <w:sz w:val="20"/>
                <w:szCs w:val="20"/>
              </w:rPr>
            </w:pPr>
            <w:r w:rsidRPr="00D0380B">
              <w:rPr>
                <w:color w:val="000000"/>
                <w:sz w:val="20"/>
                <w:szCs w:val="20"/>
              </w:rPr>
              <w:t>2014</w:t>
            </w:r>
          </w:p>
        </w:tc>
        <w:tc>
          <w:tcPr>
            <w:tcW w:w="715" w:type="pct"/>
            <w:tcBorders>
              <w:top w:val="nil"/>
              <w:left w:val="nil"/>
              <w:bottom w:val="nil"/>
              <w:right w:val="nil"/>
            </w:tcBorders>
            <w:shd w:val="clear" w:color="auto" w:fill="auto"/>
            <w:noWrap/>
            <w:vAlign w:val="center"/>
            <w:hideMark/>
          </w:tcPr>
          <w:p w:rsidR="00C9656D" w:rsidRPr="00D0380B" w:rsidRDefault="00C9656D" w:rsidP="00C9656D">
            <w:pPr>
              <w:jc w:val="right"/>
              <w:rPr>
                <w:color w:val="000000"/>
                <w:sz w:val="20"/>
                <w:szCs w:val="20"/>
              </w:rPr>
            </w:pPr>
            <w:r w:rsidRPr="00D0380B">
              <w:rPr>
                <w:color w:val="000000"/>
                <w:sz w:val="20"/>
                <w:szCs w:val="20"/>
              </w:rPr>
              <w:t>98,88%</w:t>
            </w:r>
          </w:p>
        </w:tc>
        <w:tc>
          <w:tcPr>
            <w:tcW w:w="807" w:type="pct"/>
            <w:tcBorders>
              <w:top w:val="nil"/>
              <w:left w:val="nil"/>
              <w:bottom w:val="nil"/>
              <w:right w:val="nil"/>
            </w:tcBorders>
            <w:shd w:val="clear" w:color="auto" w:fill="auto"/>
            <w:noWrap/>
            <w:vAlign w:val="center"/>
            <w:hideMark/>
          </w:tcPr>
          <w:p w:rsidR="00C9656D" w:rsidRPr="00D0380B" w:rsidRDefault="00C9656D" w:rsidP="00C9656D">
            <w:pPr>
              <w:jc w:val="right"/>
              <w:rPr>
                <w:color w:val="000000"/>
                <w:sz w:val="20"/>
                <w:szCs w:val="20"/>
              </w:rPr>
            </w:pPr>
            <w:r w:rsidRPr="00D0380B">
              <w:rPr>
                <w:color w:val="000000"/>
                <w:sz w:val="20"/>
                <w:szCs w:val="20"/>
              </w:rPr>
              <w:t>99,79%</w:t>
            </w:r>
          </w:p>
        </w:tc>
        <w:tc>
          <w:tcPr>
            <w:tcW w:w="824" w:type="pct"/>
            <w:tcBorders>
              <w:top w:val="nil"/>
              <w:left w:val="nil"/>
              <w:bottom w:val="nil"/>
              <w:right w:val="nil"/>
            </w:tcBorders>
            <w:shd w:val="clear" w:color="auto" w:fill="auto"/>
            <w:noWrap/>
            <w:vAlign w:val="center"/>
            <w:hideMark/>
          </w:tcPr>
          <w:p w:rsidR="00C9656D" w:rsidRPr="00D0380B" w:rsidRDefault="00C9656D" w:rsidP="00C9656D">
            <w:pPr>
              <w:jc w:val="right"/>
              <w:rPr>
                <w:color w:val="000000"/>
                <w:sz w:val="20"/>
                <w:szCs w:val="20"/>
              </w:rPr>
            </w:pPr>
            <w:r w:rsidRPr="00D0380B">
              <w:rPr>
                <w:color w:val="000000"/>
                <w:sz w:val="20"/>
                <w:szCs w:val="20"/>
              </w:rPr>
              <w:t>104,96%</w:t>
            </w:r>
          </w:p>
        </w:tc>
        <w:tc>
          <w:tcPr>
            <w:tcW w:w="704" w:type="pct"/>
            <w:tcBorders>
              <w:top w:val="nil"/>
              <w:left w:val="nil"/>
              <w:bottom w:val="nil"/>
              <w:right w:val="nil"/>
            </w:tcBorders>
            <w:shd w:val="clear" w:color="auto" w:fill="auto"/>
            <w:noWrap/>
            <w:vAlign w:val="center"/>
            <w:hideMark/>
          </w:tcPr>
          <w:p w:rsidR="00C9656D" w:rsidRPr="00D0380B" w:rsidRDefault="00C9656D" w:rsidP="00C9656D">
            <w:pPr>
              <w:jc w:val="right"/>
              <w:rPr>
                <w:color w:val="000000"/>
                <w:sz w:val="20"/>
                <w:szCs w:val="20"/>
              </w:rPr>
            </w:pPr>
            <w:r w:rsidRPr="00D0380B">
              <w:rPr>
                <w:color w:val="000000"/>
                <w:sz w:val="20"/>
                <w:szCs w:val="20"/>
              </w:rPr>
              <w:t>101,32%</w:t>
            </w:r>
          </w:p>
        </w:tc>
        <w:tc>
          <w:tcPr>
            <w:tcW w:w="516" w:type="pct"/>
            <w:tcBorders>
              <w:top w:val="nil"/>
              <w:left w:val="nil"/>
              <w:bottom w:val="nil"/>
              <w:right w:val="nil"/>
            </w:tcBorders>
            <w:shd w:val="clear" w:color="auto" w:fill="auto"/>
            <w:noWrap/>
            <w:vAlign w:val="center"/>
            <w:hideMark/>
          </w:tcPr>
          <w:p w:rsidR="00C9656D" w:rsidRPr="00D0380B" w:rsidRDefault="00C9656D" w:rsidP="00C9656D">
            <w:pPr>
              <w:jc w:val="right"/>
              <w:rPr>
                <w:color w:val="000000"/>
                <w:sz w:val="20"/>
                <w:szCs w:val="20"/>
              </w:rPr>
            </w:pPr>
            <w:r w:rsidRPr="00D0380B">
              <w:rPr>
                <w:color w:val="000000"/>
                <w:sz w:val="20"/>
                <w:szCs w:val="20"/>
              </w:rPr>
              <w:t>101,24%</w:t>
            </w:r>
          </w:p>
        </w:tc>
        <w:tc>
          <w:tcPr>
            <w:tcW w:w="560" w:type="pct"/>
            <w:tcBorders>
              <w:top w:val="nil"/>
              <w:left w:val="nil"/>
              <w:bottom w:val="nil"/>
              <w:right w:val="nil"/>
            </w:tcBorders>
            <w:shd w:val="clear" w:color="auto" w:fill="auto"/>
            <w:noWrap/>
            <w:vAlign w:val="center"/>
            <w:hideMark/>
          </w:tcPr>
          <w:p w:rsidR="00C9656D" w:rsidRPr="00D0380B" w:rsidRDefault="00C9656D" w:rsidP="00C9656D">
            <w:pPr>
              <w:jc w:val="right"/>
              <w:rPr>
                <w:color w:val="000000"/>
                <w:sz w:val="20"/>
                <w:szCs w:val="20"/>
              </w:rPr>
            </w:pPr>
            <w:r w:rsidRPr="00D0380B">
              <w:rPr>
                <w:color w:val="000000"/>
                <w:sz w:val="20"/>
                <w:szCs w:val="20"/>
              </w:rPr>
              <w:t>-1,03%</w:t>
            </w:r>
          </w:p>
        </w:tc>
      </w:tr>
      <w:tr w:rsidR="00D0380B" w:rsidRPr="00D0380B" w:rsidTr="00542A54">
        <w:trPr>
          <w:trHeight w:val="288"/>
        </w:trPr>
        <w:tc>
          <w:tcPr>
            <w:tcW w:w="874" w:type="pct"/>
            <w:tcBorders>
              <w:top w:val="nil"/>
              <w:left w:val="nil"/>
              <w:bottom w:val="nil"/>
              <w:right w:val="nil"/>
            </w:tcBorders>
            <w:shd w:val="clear" w:color="auto" w:fill="auto"/>
            <w:noWrap/>
            <w:vAlign w:val="bottom"/>
            <w:hideMark/>
          </w:tcPr>
          <w:p w:rsidR="00C9656D" w:rsidRPr="00D0380B" w:rsidRDefault="00C9656D" w:rsidP="00C9656D">
            <w:pPr>
              <w:rPr>
                <w:color w:val="000000"/>
                <w:sz w:val="20"/>
                <w:szCs w:val="20"/>
              </w:rPr>
            </w:pPr>
            <w:r w:rsidRPr="00D0380B">
              <w:rPr>
                <w:color w:val="000000"/>
                <w:sz w:val="20"/>
                <w:szCs w:val="20"/>
              </w:rPr>
              <w:t>Average</w:t>
            </w:r>
          </w:p>
        </w:tc>
        <w:tc>
          <w:tcPr>
            <w:tcW w:w="715" w:type="pct"/>
            <w:tcBorders>
              <w:top w:val="nil"/>
              <w:left w:val="nil"/>
              <w:bottom w:val="nil"/>
              <w:right w:val="nil"/>
            </w:tcBorders>
            <w:shd w:val="clear" w:color="auto" w:fill="auto"/>
            <w:noWrap/>
            <w:vAlign w:val="center"/>
            <w:hideMark/>
          </w:tcPr>
          <w:p w:rsidR="00C9656D" w:rsidRPr="00D0380B" w:rsidRDefault="00C9656D" w:rsidP="00C9656D">
            <w:pPr>
              <w:jc w:val="right"/>
              <w:rPr>
                <w:color w:val="000000"/>
                <w:sz w:val="20"/>
                <w:szCs w:val="20"/>
              </w:rPr>
            </w:pPr>
            <w:r w:rsidRPr="00D0380B">
              <w:rPr>
                <w:color w:val="000000"/>
                <w:sz w:val="20"/>
                <w:szCs w:val="20"/>
              </w:rPr>
              <w:t>101,95%</w:t>
            </w:r>
          </w:p>
        </w:tc>
        <w:tc>
          <w:tcPr>
            <w:tcW w:w="807" w:type="pct"/>
            <w:tcBorders>
              <w:top w:val="nil"/>
              <w:left w:val="nil"/>
              <w:bottom w:val="nil"/>
              <w:right w:val="nil"/>
            </w:tcBorders>
            <w:shd w:val="clear" w:color="auto" w:fill="auto"/>
            <w:noWrap/>
            <w:vAlign w:val="center"/>
            <w:hideMark/>
          </w:tcPr>
          <w:p w:rsidR="00C9656D" w:rsidRPr="00D0380B" w:rsidRDefault="00C9656D" w:rsidP="00C9656D">
            <w:pPr>
              <w:jc w:val="right"/>
              <w:rPr>
                <w:color w:val="000000"/>
                <w:sz w:val="20"/>
                <w:szCs w:val="20"/>
              </w:rPr>
            </w:pPr>
            <w:r w:rsidRPr="00D0380B">
              <w:rPr>
                <w:color w:val="000000"/>
                <w:sz w:val="20"/>
                <w:szCs w:val="20"/>
              </w:rPr>
              <w:t>100,22%</w:t>
            </w:r>
          </w:p>
        </w:tc>
        <w:tc>
          <w:tcPr>
            <w:tcW w:w="824" w:type="pct"/>
            <w:tcBorders>
              <w:top w:val="nil"/>
              <w:left w:val="nil"/>
              <w:bottom w:val="nil"/>
              <w:right w:val="nil"/>
            </w:tcBorders>
            <w:shd w:val="clear" w:color="auto" w:fill="auto"/>
            <w:noWrap/>
            <w:vAlign w:val="center"/>
            <w:hideMark/>
          </w:tcPr>
          <w:p w:rsidR="00C9656D" w:rsidRPr="00D0380B" w:rsidRDefault="00C9656D" w:rsidP="00C9656D">
            <w:pPr>
              <w:jc w:val="right"/>
              <w:rPr>
                <w:color w:val="000000"/>
                <w:sz w:val="20"/>
                <w:szCs w:val="20"/>
              </w:rPr>
            </w:pPr>
            <w:r w:rsidRPr="00D0380B">
              <w:rPr>
                <w:color w:val="000000"/>
                <w:sz w:val="20"/>
                <w:szCs w:val="20"/>
              </w:rPr>
              <w:t>101,20%</w:t>
            </w:r>
          </w:p>
        </w:tc>
        <w:tc>
          <w:tcPr>
            <w:tcW w:w="704" w:type="pct"/>
            <w:tcBorders>
              <w:top w:val="nil"/>
              <w:left w:val="nil"/>
              <w:bottom w:val="nil"/>
              <w:right w:val="nil"/>
            </w:tcBorders>
            <w:shd w:val="clear" w:color="auto" w:fill="auto"/>
            <w:noWrap/>
            <w:vAlign w:val="center"/>
            <w:hideMark/>
          </w:tcPr>
          <w:p w:rsidR="00C9656D" w:rsidRPr="00D0380B" w:rsidRDefault="00C9656D" w:rsidP="00C9656D">
            <w:pPr>
              <w:jc w:val="right"/>
              <w:rPr>
                <w:color w:val="000000"/>
                <w:sz w:val="20"/>
                <w:szCs w:val="20"/>
              </w:rPr>
            </w:pPr>
            <w:r w:rsidRPr="00D0380B">
              <w:rPr>
                <w:color w:val="000000"/>
                <w:sz w:val="20"/>
                <w:szCs w:val="20"/>
              </w:rPr>
              <w:t>100,20%</w:t>
            </w:r>
          </w:p>
        </w:tc>
        <w:tc>
          <w:tcPr>
            <w:tcW w:w="516" w:type="pct"/>
            <w:tcBorders>
              <w:top w:val="nil"/>
              <w:left w:val="nil"/>
              <w:bottom w:val="nil"/>
              <w:right w:val="nil"/>
            </w:tcBorders>
            <w:shd w:val="clear" w:color="000000" w:fill="FFFF00"/>
            <w:noWrap/>
            <w:vAlign w:val="center"/>
            <w:hideMark/>
          </w:tcPr>
          <w:p w:rsidR="00C9656D" w:rsidRPr="00D0380B" w:rsidRDefault="00C9656D" w:rsidP="00C9656D">
            <w:pPr>
              <w:jc w:val="right"/>
              <w:rPr>
                <w:color w:val="000000"/>
                <w:sz w:val="20"/>
                <w:szCs w:val="20"/>
              </w:rPr>
            </w:pPr>
            <w:r w:rsidRPr="00D0380B">
              <w:rPr>
                <w:color w:val="000000"/>
                <w:sz w:val="20"/>
                <w:szCs w:val="20"/>
              </w:rPr>
              <w:t>100,89%</w:t>
            </w:r>
          </w:p>
        </w:tc>
        <w:tc>
          <w:tcPr>
            <w:tcW w:w="560" w:type="pct"/>
            <w:tcBorders>
              <w:top w:val="nil"/>
              <w:left w:val="nil"/>
              <w:bottom w:val="nil"/>
              <w:right w:val="nil"/>
            </w:tcBorders>
            <w:shd w:val="clear" w:color="auto" w:fill="auto"/>
            <w:noWrap/>
            <w:vAlign w:val="bottom"/>
            <w:hideMark/>
          </w:tcPr>
          <w:p w:rsidR="00C9656D" w:rsidRPr="00D0380B" w:rsidRDefault="00C9656D" w:rsidP="00C9656D">
            <w:pPr>
              <w:jc w:val="right"/>
              <w:rPr>
                <w:color w:val="000000"/>
                <w:sz w:val="20"/>
                <w:szCs w:val="20"/>
              </w:rPr>
            </w:pPr>
          </w:p>
        </w:tc>
      </w:tr>
      <w:tr w:rsidR="00D0380B" w:rsidRPr="00D0380B" w:rsidTr="00542A54">
        <w:trPr>
          <w:trHeight w:val="288"/>
        </w:trPr>
        <w:tc>
          <w:tcPr>
            <w:tcW w:w="874" w:type="pct"/>
            <w:tcBorders>
              <w:top w:val="nil"/>
              <w:left w:val="nil"/>
              <w:bottom w:val="nil"/>
              <w:right w:val="nil"/>
            </w:tcBorders>
            <w:shd w:val="clear" w:color="auto" w:fill="auto"/>
            <w:noWrap/>
            <w:vAlign w:val="bottom"/>
            <w:hideMark/>
          </w:tcPr>
          <w:p w:rsidR="00C9656D" w:rsidRPr="00D0380B" w:rsidRDefault="00C9656D" w:rsidP="00C9656D">
            <w:pPr>
              <w:rPr>
                <w:color w:val="000000"/>
                <w:sz w:val="20"/>
                <w:szCs w:val="20"/>
              </w:rPr>
            </w:pPr>
            <w:r w:rsidRPr="00D0380B">
              <w:rPr>
                <w:color w:val="000000"/>
                <w:sz w:val="20"/>
                <w:szCs w:val="20"/>
              </w:rPr>
              <w:t>Standard deviation</w:t>
            </w:r>
          </w:p>
        </w:tc>
        <w:tc>
          <w:tcPr>
            <w:tcW w:w="715" w:type="pct"/>
            <w:tcBorders>
              <w:top w:val="nil"/>
              <w:left w:val="nil"/>
              <w:bottom w:val="nil"/>
              <w:right w:val="nil"/>
            </w:tcBorders>
            <w:shd w:val="clear" w:color="auto" w:fill="auto"/>
            <w:noWrap/>
            <w:vAlign w:val="center"/>
            <w:hideMark/>
          </w:tcPr>
          <w:p w:rsidR="00C9656D" w:rsidRPr="00D0380B" w:rsidRDefault="00C9656D" w:rsidP="00C9656D">
            <w:pPr>
              <w:jc w:val="right"/>
              <w:rPr>
                <w:color w:val="000000"/>
                <w:sz w:val="20"/>
                <w:szCs w:val="20"/>
              </w:rPr>
            </w:pPr>
            <w:r w:rsidRPr="00D0380B">
              <w:rPr>
                <w:color w:val="000000"/>
                <w:sz w:val="20"/>
                <w:szCs w:val="20"/>
              </w:rPr>
              <w:t>1,05%</w:t>
            </w:r>
          </w:p>
        </w:tc>
        <w:tc>
          <w:tcPr>
            <w:tcW w:w="807" w:type="pct"/>
            <w:tcBorders>
              <w:top w:val="nil"/>
              <w:left w:val="nil"/>
              <w:bottom w:val="nil"/>
              <w:right w:val="nil"/>
            </w:tcBorders>
            <w:shd w:val="clear" w:color="auto" w:fill="auto"/>
            <w:noWrap/>
            <w:vAlign w:val="center"/>
            <w:hideMark/>
          </w:tcPr>
          <w:p w:rsidR="00C9656D" w:rsidRPr="00D0380B" w:rsidRDefault="00C9656D" w:rsidP="00C9656D">
            <w:pPr>
              <w:jc w:val="right"/>
              <w:rPr>
                <w:color w:val="000000"/>
                <w:sz w:val="20"/>
                <w:szCs w:val="20"/>
              </w:rPr>
            </w:pPr>
            <w:r w:rsidRPr="00D0380B">
              <w:rPr>
                <w:color w:val="000000"/>
                <w:sz w:val="20"/>
                <w:szCs w:val="20"/>
              </w:rPr>
              <w:t>-0,67%</w:t>
            </w:r>
          </w:p>
        </w:tc>
        <w:tc>
          <w:tcPr>
            <w:tcW w:w="824" w:type="pct"/>
            <w:tcBorders>
              <w:top w:val="nil"/>
              <w:left w:val="nil"/>
              <w:bottom w:val="nil"/>
              <w:right w:val="nil"/>
            </w:tcBorders>
            <w:shd w:val="clear" w:color="auto" w:fill="auto"/>
            <w:noWrap/>
            <w:vAlign w:val="center"/>
            <w:hideMark/>
          </w:tcPr>
          <w:p w:rsidR="00C9656D" w:rsidRPr="00D0380B" w:rsidRDefault="00C9656D" w:rsidP="00C9656D">
            <w:pPr>
              <w:jc w:val="right"/>
              <w:rPr>
                <w:color w:val="000000"/>
                <w:sz w:val="20"/>
                <w:szCs w:val="20"/>
              </w:rPr>
            </w:pPr>
            <w:r w:rsidRPr="00D0380B">
              <w:rPr>
                <w:color w:val="000000"/>
                <w:sz w:val="20"/>
                <w:szCs w:val="20"/>
              </w:rPr>
              <w:t>0,31%</w:t>
            </w:r>
          </w:p>
        </w:tc>
        <w:tc>
          <w:tcPr>
            <w:tcW w:w="704" w:type="pct"/>
            <w:tcBorders>
              <w:top w:val="nil"/>
              <w:left w:val="nil"/>
              <w:bottom w:val="nil"/>
              <w:right w:val="nil"/>
            </w:tcBorders>
            <w:shd w:val="clear" w:color="auto" w:fill="auto"/>
            <w:noWrap/>
            <w:vAlign w:val="center"/>
            <w:hideMark/>
          </w:tcPr>
          <w:p w:rsidR="00C9656D" w:rsidRPr="00D0380B" w:rsidRDefault="00C9656D" w:rsidP="00C9656D">
            <w:pPr>
              <w:jc w:val="right"/>
              <w:rPr>
                <w:color w:val="000000"/>
                <w:sz w:val="20"/>
                <w:szCs w:val="20"/>
              </w:rPr>
            </w:pPr>
            <w:r w:rsidRPr="00D0380B">
              <w:rPr>
                <w:color w:val="000000"/>
                <w:sz w:val="20"/>
                <w:szCs w:val="20"/>
              </w:rPr>
              <w:t>-0,69%</w:t>
            </w:r>
          </w:p>
        </w:tc>
        <w:tc>
          <w:tcPr>
            <w:tcW w:w="516" w:type="pct"/>
            <w:tcBorders>
              <w:top w:val="nil"/>
              <w:left w:val="nil"/>
              <w:bottom w:val="nil"/>
              <w:right w:val="nil"/>
            </w:tcBorders>
            <w:shd w:val="clear" w:color="auto" w:fill="auto"/>
            <w:noWrap/>
            <w:vAlign w:val="center"/>
            <w:hideMark/>
          </w:tcPr>
          <w:p w:rsidR="00C9656D" w:rsidRPr="00D0380B" w:rsidRDefault="00C9656D" w:rsidP="00C9656D">
            <w:pPr>
              <w:jc w:val="right"/>
              <w:rPr>
                <w:color w:val="000000"/>
                <w:sz w:val="20"/>
                <w:szCs w:val="20"/>
              </w:rPr>
            </w:pPr>
            <w:r w:rsidRPr="00D0380B">
              <w:rPr>
                <w:color w:val="000000"/>
                <w:sz w:val="20"/>
                <w:szCs w:val="20"/>
              </w:rPr>
              <w:t>0,00%</w:t>
            </w:r>
          </w:p>
        </w:tc>
        <w:tc>
          <w:tcPr>
            <w:tcW w:w="560" w:type="pct"/>
            <w:tcBorders>
              <w:top w:val="nil"/>
              <w:left w:val="nil"/>
              <w:bottom w:val="nil"/>
              <w:right w:val="nil"/>
            </w:tcBorders>
            <w:shd w:val="clear" w:color="auto" w:fill="auto"/>
            <w:noWrap/>
            <w:vAlign w:val="bottom"/>
            <w:hideMark/>
          </w:tcPr>
          <w:p w:rsidR="00C9656D" w:rsidRPr="00D0380B" w:rsidRDefault="00C9656D" w:rsidP="00C9656D">
            <w:pPr>
              <w:jc w:val="right"/>
              <w:rPr>
                <w:color w:val="000000"/>
                <w:sz w:val="20"/>
                <w:szCs w:val="20"/>
              </w:rPr>
            </w:pPr>
          </w:p>
        </w:tc>
      </w:tr>
    </w:tbl>
    <w:p w:rsidR="00241A2F" w:rsidRDefault="00241A2F" w:rsidP="003202D6">
      <w:pPr>
        <w:rPr>
          <w:lang w:val="ro-RO"/>
        </w:rPr>
      </w:pPr>
    </w:p>
    <w:p w:rsidR="000F5110" w:rsidRDefault="000F5110" w:rsidP="000F5110">
      <w:pPr>
        <w:jc w:val="both"/>
        <w:rPr>
          <w:lang w:val="ro-RO"/>
        </w:rPr>
      </w:pPr>
      <w:r>
        <w:rPr>
          <w:lang w:val="ro-RO"/>
        </w:rPr>
        <w:tab/>
        <w:t>Datele prezentate reflectă o evoluție as</w:t>
      </w:r>
      <w:r w:rsidR="000D3F2A">
        <w:rPr>
          <w:lang w:val="ro-RO"/>
        </w:rPr>
        <w:t>imptotică a raportului venituri-</w:t>
      </w:r>
      <w:r>
        <w:rPr>
          <w:lang w:val="ro-RO"/>
        </w:rPr>
        <w:t>cheltuieli cu evidențierea perioadelor de macrostabilitate pe punctul de inflexiune marcat de anul 2016 pentru s</w:t>
      </w:r>
      <w:r w:rsidR="009F2557">
        <w:rPr>
          <w:lang w:val="ro-RO"/>
        </w:rPr>
        <w:t>ectorul I</w:t>
      </w:r>
      <w:r w:rsidR="00542A54">
        <w:rPr>
          <w:lang w:val="ro-RO"/>
        </w:rPr>
        <w:t>ndustrial și sectorul Construcții</w:t>
      </w:r>
      <w:r>
        <w:rPr>
          <w:lang w:val="ro-RO"/>
        </w:rPr>
        <w:t>, r</w:t>
      </w:r>
      <w:r w:rsidR="00542A54">
        <w:rPr>
          <w:lang w:val="ro-RO"/>
        </w:rPr>
        <w:t>espectiv 2015 pentru sectorul T</w:t>
      </w:r>
      <w:r>
        <w:rPr>
          <w:lang w:val="ro-RO"/>
        </w:rPr>
        <w:t>ransport</w:t>
      </w:r>
      <w:r w:rsidR="00542A54">
        <w:rPr>
          <w:lang w:val="ro-RO"/>
        </w:rPr>
        <w:t>uri</w:t>
      </w:r>
      <w:r w:rsidR="009C692C">
        <w:rPr>
          <w:lang w:val="ro-RO"/>
        </w:rPr>
        <w:t>. În sectorul de C</w:t>
      </w:r>
      <w:r w:rsidR="000D3F2A">
        <w:rPr>
          <w:lang w:val="ro-RO"/>
        </w:rPr>
        <w:t>omerț situația</w:t>
      </w:r>
      <w:r>
        <w:rPr>
          <w:lang w:val="ro-RO"/>
        </w:rPr>
        <w:t xml:space="preserve"> este fluctuantă, nestabilizată i</w:t>
      </w:r>
      <w:r w:rsidR="000D3F2A">
        <w:rPr>
          <w:lang w:val="ro-RO"/>
        </w:rPr>
        <w:t>ndicând o sensibilitate ridicată</w:t>
      </w:r>
      <w:r>
        <w:rPr>
          <w:lang w:val="ro-RO"/>
        </w:rPr>
        <w:t xml:space="preserve"> a întreprinderilor din ramură la condițiile macroeconomice, acest sector fiind cel mai sensibil în relație cu comportamentul consumatorului și elementele de politică socială promovate de autoritățile publice. Evoluțiile venituri-cheltuieli comparate în dinamică la nivel global pentru top 15, se dovedesc a fi unitare cu o creștere anuală de sub 1% în favoarea veniturilor. La nivel de ramură cel mai bine poziționată pe</w:t>
      </w:r>
      <w:r w:rsidR="009F2557">
        <w:rPr>
          <w:lang w:val="ro-RO"/>
        </w:rPr>
        <w:t xml:space="preserve"> medii multianuale este ramura I</w:t>
      </w:r>
      <w:r>
        <w:rPr>
          <w:lang w:val="ro-RO"/>
        </w:rPr>
        <w:t>ndustrială, existând o egalitate între mediile multi</w:t>
      </w:r>
      <w:r w:rsidR="00542A54">
        <w:rPr>
          <w:lang w:val="ro-RO"/>
        </w:rPr>
        <w:t>anuale de evoluție în sectorul C</w:t>
      </w:r>
      <w:r>
        <w:rPr>
          <w:lang w:val="ro-RO"/>
        </w:rPr>
        <w:t>onstrucții</w:t>
      </w:r>
      <w:r w:rsidR="00542A54">
        <w:rPr>
          <w:lang w:val="ro-RO"/>
        </w:rPr>
        <w:t xml:space="preserve"> și T</w:t>
      </w:r>
      <w:r>
        <w:rPr>
          <w:lang w:val="ro-RO"/>
        </w:rPr>
        <w:t xml:space="preserve">ransporturi. Tabloul de vulnerabilitate însă se activează atunci când analizăm în dinamică anuală evoluția generală a raportului venituri-cheltuieli. Aceasta este una descrescătoare care pe finalul perioadei (anul 2017) înclină balanța de vulnerabilitate pentru 3 din 4 sectoare de activitate prin creșterea cheltuielilor suplimentar creșterii veniturilor. </w:t>
      </w:r>
    </w:p>
    <w:p w:rsidR="00241A2F" w:rsidRDefault="000F5110" w:rsidP="000F5110">
      <w:pPr>
        <w:ind w:firstLine="720"/>
        <w:jc w:val="both"/>
        <w:rPr>
          <w:lang w:val="ro-RO"/>
        </w:rPr>
      </w:pPr>
      <w:r>
        <w:rPr>
          <w:lang w:val="ro-RO"/>
        </w:rPr>
        <w:t xml:space="preserve">Trendul general impune managerilor precauții privind politicile de dezvoltare economică în primul rând prin protejarea patrimoniului propriu în relație cu </w:t>
      </w:r>
      <w:r w:rsidR="00104039">
        <w:rPr>
          <w:lang w:val="ro-RO"/>
        </w:rPr>
        <w:t>protecția forței de muncă (remunerarea atractivă), și fructificarea avantajului competitiv. Tabloul de vulnerabilitate așa cum a fost observat inclusiv prin aplicarea modelului econometric propus, se prezintă în tabelul de mai jos.</w:t>
      </w:r>
      <w:r w:rsidR="00D0380B">
        <w:rPr>
          <w:lang w:val="ro-RO"/>
        </w:rPr>
        <w:t xml:space="preserve"> (</w:t>
      </w:r>
      <w:proofErr w:type="spellStart"/>
      <w:r w:rsidR="00D0380B">
        <w:rPr>
          <w:lang w:val="ro-RO"/>
        </w:rPr>
        <w:t>see</w:t>
      </w:r>
      <w:proofErr w:type="spellEnd"/>
      <w:r w:rsidR="00D0380B">
        <w:rPr>
          <w:lang w:val="ro-RO"/>
        </w:rPr>
        <w:t xml:space="preserve"> Table 5).</w:t>
      </w:r>
    </w:p>
    <w:p w:rsidR="00104039" w:rsidRDefault="00104039" w:rsidP="000F5110">
      <w:pPr>
        <w:ind w:firstLine="720"/>
        <w:jc w:val="both"/>
        <w:rPr>
          <w:lang w:val="ro-RO"/>
        </w:rPr>
      </w:pPr>
    </w:p>
    <w:p w:rsidR="000E551D" w:rsidRDefault="000E551D" w:rsidP="000E551D">
      <w:pPr>
        <w:jc w:val="center"/>
        <w:rPr>
          <w:lang w:val="ro-RO"/>
        </w:rPr>
      </w:pPr>
      <w:r w:rsidRPr="00D0380B">
        <w:rPr>
          <w:b/>
          <w:lang w:val="ro-RO"/>
        </w:rPr>
        <w:t>Tabel</w:t>
      </w:r>
      <w:r w:rsidR="00C866A0" w:rsidRPr="00D0380B">
        <w:rPr>
          <w:b/>
          <w:lang w:val="ro-RO"/>
        </w:rPr>
        <w:t xml:space="preserve"> nr.</w:t>
      </w:r>
      <w:r w:rsidRPr="00D0380B">
        <w:rPr>
          <w:b/>
          <w:lang w:val="ro-RO"/>
        </w:rPr>
        <w:t xml:space="preserve"> 5 </w:t>
      </w:r>
      <w:r>
        <w:rPr>
          <w:lang w:val="ro-RO"/>
        </w:rPr>
        <w:t>– Tabloul de vulnerabilitate obținut prin aplicarea modelului</w:t>
      </w:r>
    </w:p>
    <w:p w:rsidR="000E551D" w:rsidRDefault="000E551D" w:rsidP="000E551D">
      <w:pPr>
        <w:jc w:val="both"/>
        <w:rPr>
          <w:lang w:val="ro-RO"/>
        </w:rPr>
      </w:pPr>
    </w:p>
    <w:tbl>
      <w:tblPr>
        <w:tblW w:w="5000" w:type="pct"/>
        <w:tblLook w:val="04A0" w:firstRow="1" w:lastRow="0" w:firstColumn="1" w:lastColumn="0" w:noHBand="0" w:noVBand="1"/>
      </w:tblPr>
      <w:tblGrid>
        <w:gridCol w:w="3200"/>
        <w:gridCol w:w="1657"/>
        <w:gridCol w:w="1681"/>
        <w:gridCol w:w="1657"/>
        <w:gridCol w:w="1659"/>
      </w:tblGrid>
      <w:tr w:rsidR="00104039" w:rsidRPr="00104039" w:rsidTr="000E551D">
        <w:trPr>
          <w:trHeight w:val="828"/>
        </w:trPr>
        <w:tc>
          <w:tcPr>
            <w:tcW w:w="1623"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104039" w:rsidRPr="00104039" w:rsidRDefault="00104039" w:rsidP="00104039">
            <w:pPr>
              <w:jc w:val="center"/>
              <w:rPr>
                <w:b/>
                <w:color w:val="000000"/>
                <w:sz w:val="20"/>
                <w:szCs w:val="20"/>
              </w:rPr>
            </w:pPr>
            <w:r w:rsidRPr="00104039">
              <w:rPr>
                <w:b/>
                <w:color w:val="000000"/>
                <w:sz w:val="20"/>
                <w:szCs w:val="20"/>
              </w:rPr>
              <w:t xml:space="preserve">Vulnerability </w:t>
            </w:r>
          </w:p>
        </w:tc>
        <w:tc>
          <w:tcPr>
            <w:tcW w:w="841" w:type="pct"/>
            <w:tcBorders>
              <w:top w:val="single" w:sz="4" w:space="0" w:color="auto"/>
              <w:left w:val="nil"/>
              <w:bottom w:val="single" w:sz="4" w:space="0" w:color="auto"/>
              <w:right w:val="single" w:sz="4" w:space="0" w:color="auto"/>
            </w:tcBorders>
            <w:shd w:val="clear" w:color="000000" w:fill="F2F2F2"/>
            <w:vAlign w:val="center"/>
            <w:hideMark/>
          </w:tcPr>
          <w:p w:rsidR="00104039" w:rsidRPr="00104039" w:rsidRDefault="00104039" w:rsidP="00104039">
            <w:pPr>
              <w:jc w:val="center"/>
              <w:rPr>
                <w:b/>
                <w:color w:val="000000"/>
                <w:sz w:val="20"/>
                <w:szCs w:val="20"/>
              </w:rPr>
            </w:pPr>
            <w:r w:rsidRPr="00104039">
              <w:rPr>
                <w:b/>
                <w:color w:val="000000"/>
                <w:sz w:val="20"/>
                <w:szCs w:val="20"/>
              </w:rPr>
              <w:t>B - The Processing Industry</w:t>
            </w:r>
          </w:p>
        </w:tc>
        <w:tc>
          <w:tcPr>
            <w:tcW w:w="853" w:type="pct"/>
            <w:tcBorders>
              <w:top w:val="single" w:sz="4" w:space="0" w:color="auto"/>
              <w:left w:val="nil"/>
              <w:bottom w:val="single" w:sz="4" w:space="0" w:color="auto"/>
              <w:right w:val="single" w:sz="4" w:space="0" w:color="auto"/>
            </w:tcBorders>
            <w:shd w:val="clear" w:color="000000" w:fill="F2F2F2"/>
            <w:vAlign w:val="center"/>
            <w:hideMark/>
          </w:tcPr>
          <w:p w:rsidR="00104039" w:rsidRPr="00104039" w:rsidRDefault="00104039" w:rsidP="00104039">
            <w:pPr>
              <w:jc w:val="center"/>
              <w:rPr>
                <w:b/>
                <w:color w:val="000000"/>
                <w:sz w:val="20"/>
                <w:szCs w:val="20"/>
              </w:rPr>
            </w:pPr>
            <w:r w:rsidRPr="00104039">
              <w:rPr>
                <w:b/>
                <w:color w:val="000000"/>
                <w:sz w:val="20"/>
                <w:szCs w:val="20"/>
              </w:rPr>
              <w:t>F - Constructions</w:t>
            </w:r>
          </w:p>
        </w:tc>
        <w:tc>
          <w:tcPr>
            <w:tcW w:w="841" w:type="pct"/>
            <w:tcBorders>
              <w:top w:val="single" w:sz="4" w:space="0" w:color="auto"/>
              <w:left w:val="nil"/>
              <w:bottom w:val="single" w:sz="4" w:space="0" w:color="auto"/>
              <w:right w:val="single" w:sz="4" w:space="0" w:color="auto"/>
            </w:tcBorders>
            <w:shd w:val="clear" w:color="000000" w:fill="F2F2F2"/>
            <w:vAlign w:val="center"/>
            <w:hideMark/>
          </w:tcPr>
          <w:p w:rsidR="00104039" w:rsidRPr="00104039" w:rsidRDefault="00104039" w:rsidP="00104039">
            <w:pPr>
              <w:jc w:val="center"/>
              <w:rPr>
                <w:b/>
                <w:color w:val="000000"/>
                <w:sz w:val="20"/>
                <w:szCs w:val="20"/>
              </w:rPr>
            </w:pPr>
            <w:r w:rsidRPr="00104039">
              <w:rPr>
                <w:b/>
                <w:color w:val="000000"/>
                <w:sz w:val="20"/>
                <w:szCs w:val="20"/>
              </w:rPr>
              <w:t>G - Wholesale and retail trade</w:t>
            </w:r>
          </w:p>
        </w:tc>
        <w:tc>
          <w:tcPr>
            <w:tcW w:w="841" w:type="pct"/>
            <w:tcBorders>
              <w:top w:val="single" w:sz="4" w:space="0" w:color="auto"/>
              <w:left w:val="nil"/>
              <w:bottom w:val="single" w:sz="4" w:space="0" w:color="auto"/>
              <w:right w:val="single" w:sz="4" w:space="0" w:color="auto"/>
            </w:tcBorders>
            <w:shd w:val="clear" w:color="000000" w:fill="F2F2F2"/>
            <w:vAlign w:val="center"/>
            <w:hideMark/>
          </w:tcPr>
          <w:p w:rsidR="00104039" w:rsidRPr="00104039" w:rsidRDefault="00104039" w:rsidP="00104039">
            <w:pPr>
              <w:jc w:val="center"/>
              <w:rPr>
                <w:b/>
                <w:color w:val="000000"/>
                <w:sz w:val="20"/>
                <w:szCs w:val="20"/>
              </w:rPr>
            </w:pPr>
            <w:r w:rsidRPr="00104039">
              <w:rPr>
                <w:b/>
                <w:color w:val="000000"/>
                <w:sz w:val="20"/>
                <w:szCs w:val="20"/>
              </w:rPr>
              <w:t>H - Transport and storage</w:t>
            </w:r>
          </w:p>
        </w:tc>
      </w:tr>
      <w:tr w:rsidR="00104039" w:rsidRPr="00104039" w:rsidTr="000E551D">
        <w:trPr>
          <w:trHeight w:val="276"/>
        </w:trPr>
        <w:tc>
          <w:tcPr>
            <w:tcW w:w="1623" w:type="pct"/>
            <w:tcBorders>
              <w:top w:val="nil"/>
              <w:left w:val="single" w:sz="4" w:space="0" w:color="auto"/>
              <w:bottom w:val="single" w:sz="4" w:space="0" w:color="auto"/>
              <w:right w:val="single" w:sz="4" w:space="0" w:color="auto"/>
            </w:tcBorders>
            <w:shd w:val="clear" w:color="000000" w:fill="F2F2F2"/>
            <w:vAlign w:val="center"/>
            <w:hideMark/>
          </w:tcPr>
          <w:p w:rsidR="00104039" w:rsidRPr="00104039" w:rsidRDefault="00104039" w:rsidP="00104039">
            <w:pPr>
              <w:jc w:val="center"/>
              <w:rPr>
                <w:color w:val="000000"/>
                <w:sz w:val="20"/>
                <w:szCs w:val="20"/>
              </w:rPr>
            </w:pPr>
            <w:r w:rsidRPr="00104039">
              <w:rPr>
                <w:color w:val="000000"/>
                <w:sz w:val="20"/>
                <w:szCs w:val="20"/>
              </w:rPr>
              <w:t>Turnover</w:t>
            </w:r>
          </w:p>
        </w:tc>
        <w:tc>
          <w:tcPr>
            <w:tcW w:w="841"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104039" w:rsidRPr="00104039" w:rsidRDefault="00104039" w:rsidP="00104039">
            <w:pPr>
              <w:jc w:val="right"/>
              <w:rPr>
                <w:color w:val="000000"/>
                <w:sz w:val="20"/>
                <w:szCs w:val="20"/>
              </w:rPr>
            </w:pPr>
            <w:r w:rsidRPr="00104039">
              <w:rPr>
                <w:color w:val="000000"/>
                <w:sz w:val="20"/>
                <w:szCs w:val="20"/>
              </w:rPr>
              <w:t>114.61%</w:t>
            </w:r>
          </w:p>
        </w:tc>
        <w:tc>
          <w:tcPr>
            <w:tcW w:w="853"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104039" w:rsidRPr="00104039" w:rsidRDefault="00104039" w:rsidP="00104039">
            <w:pPr>
              <w:jc w:val="right"/>
              <w:rPr>
                <w:color w:val="000000"/>
                <w:sz w:val="20"/>
                <w:szCs w:val="20"/>
              </w:rPr>
            </w:pPr>
            <w:r w:rsidRPr="00104039">
              <w:rPr>
                <w:color w:val="000000"/>
                <w:sz w:val="20"/>
                <w:szCs w:val="20"/>
              </w:rPr>
              <w:t>108.83%</w:t>
            </w:r>
          </w:p>
        </w:tc>
        <w:tc>
          <w:tcPr>
            <w:tcW w:w="841" w:type="pct"/>
            <w:tcBorders>
              <w:top w:val="nil"/>
              <w:left w:val="nil"/>
              <w:bottom w:val="single" w:sz="4" w:space="0" w:color="auto"/>
              <w:right w:val="single" w:sz="4" w:space="0" w:color="auto"/>
            </w:tcBorders>
            <w:shd w:val="clear" w:color="000000" w:fill="F2F2F2"/>
            <w:vAlign w:val="center"/>
            <w:hideMark/>
          </w:tcPr>
          <w:p w:rsidR="00104039" w:rsidRPr="00104039" w:rsidRDefault="00104039" w:rsidP="00104039">
            <w:pPr>
              <w:jc w:val="right"/>
              <w:rPr>
                <w:color w:val="000000"/>
                <w:sz w:val="20"/>
                <w:szCs w:val="20"/>
              </w:rPr>
            </w:pPr>
            <w:r w:rsidRPr="00104039">
              <w:rPr>
                <w:color w:val="000000"/>
                <w:sz w:val="20"/>
                <w:szCs w:val="20"/>
              </w:rPr>
              <w:t>102.98%</w:t>
            </w:r>
          </w:p>
        </w:tc>
        <w:tc>
          <w:tcPr>
            <w:tcW w:w="841"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104039" w:rsidRPr="00104039" w:rsidRDefault="00104039" w:rsidP="00104039">
            <w:pPr>
              <w:jc w:val="right"/>
              <w:rPr>
                <w:color w:val="000000"/>
                <w:sz w:val="20"/>
                <w:szCs w:val="20"/>
              </w:rPr>
            </w:pPr>
            <w:r w:rsidRPr="00104039">
              <w:rPr>
                <w:color w:val="000000"/>
                <w:sz w:val="20"/>
                <w:szCs w:val="20"/>
              </w:rPr>
              <w:t>115.37%</w:t>
            </w:r>
          </w:p>
        </w:tc>
      </w:tr>
      <w:tr w:rsidR="00104039" w:rsidRPr="00104039" w:rsidTr="00C866A0">
        <w:trPr>
          <w:trHeight w:val="276"/>
        </w:trPr>
        <w:tc>
          <w:tcPr>
            <w:tcW w:w="1623" w:type="pct"/>
            <w:tcBorders>
              <w:top w:val="nil"/>
              <w:left w:val="single" w:sz="4" w:space="0" w:color="auto"/>
              <w:bottom w:val="single" w:sz="4" w:space="0" w:color="auto"/>
              <w:right w:val="single" w:sz="4" w:space="0" w:color="auto"/>
            </w:tcBorders>
            <w:shd w:val="clear" w:color="000000" w:fill="F2F2F2"/>
            <w:vAlign w:val="center"/>
            <w:hideMark/>
          </w:tcPr>
          <w:p w:rsidR="00104039" w:rsidRPr="00104039" w:rsidRDefault="00104039" w:rsidP="00104039">
            <w:pPr>
              <w:jc w:val="center"/>
              <w:rPr>
                <w:color w:val="000000"/>
                <w:sz w:val="20"/>
                <w:szCs w:val="20"/>
              </w:rPr>
            </w:pPr>
            <w:r w:rsidRPr="00104039">
              <w:rPr>
                <w:color w:val="000000"/>
                <w:sz w:val="20"/>
                <w:szCs w:val="20"/>
              </w:rPr>
              <w:t>Profitability before tax</w:t>
            </w:r>
          </w:p>
        </w:tc>
        <w:tc>
          <w:tcPr>
            <w:tcW w:w="841"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104039" w:rsidRPr="00104039" w:rsidRDefault="00104039" w:rsidP="00104039">
            <w:pPr>
              <w:jc w:val="right"/>
              <w:rPr>
                <w:color w:val="000000"/>
                <w:sz w:val="20"/>
                <w:szCs w:val="20"/>
              </w:rPr>
            </w:pPr>
            <w:r w:rsidRPr="00104039">
              <w:rPr>
                <w:color w:val="000000"/>
                <w:sz w:val="20"/>
                <w:szCs w:val="20"/>
              </w:rPr>
              <w:t>117.48%</w:t>
            </w:r>
          </w:p>
        </w:tc>
        <w:tc>
          <w:tcPr>
            <w:tcW w:w="853" w:type="pct"/>
            <w:tcBorders>
              <w:top w:val="nil"/>
              <w:left w:val="nil"/>
              <w:bottom w:val="single" w:sz="4" w:space="0" w:color="auto"/>
              <w:right w:val="single" w:sz="4" w:space="0" w:color="auto"/>
            </w:tcBorders>
            <w:shd w:val="clear" w:color="000000" w:fill="F2F2F2"/>
            <w:vAlign w:val="center"/>
            <w:hideMark/>
          </w:tcPr>
          <w:p w:rsidR="00104039" w:rsidRPr="00104039" w:rsidRDefault="00104039" w:rsidP="00104039">
            <w:pPr>
              <w:jc w:val="right"/>
              <w:rPr>
                <w:color w:val="000000"/>
                <w:sz w:val="20"/>
                <w:szCs w:val="20"/>
              </w:rPr>
            </w:pPr>
            <w:r w:rsidRPr="00104039">
              <w:rPr>
                <w:color w:val="000000"/>
                <w:sz w:val="20"/>
                <w:szCs w:val="20"/>
              </w:rPr>
              <w:t>106.33%</w:t>
            </w:r>
          </w:p>
        </w:tc>
        <w:tc>
          <w:tcPr>
            <w:tcW w:w="841" w:type="pct"/>
            <w:tcBorders>
              <w:top w:val="single" w:sz="4" w:space="0" w:color="auto"/>
              <w:left w:val="single" w:sz="4" w:space="0" w:color="auto"/>
              <w:bottom w:val="single" w:sz="4" w:space="0" w:color="auto"/>
              <w:right w:val="single" w:sz="4" w:space="0" w:color="auto"/>
            </w:tcBorders>
            <w:shd w:val="clear" w:color="000000" w:fill="FF9999"/>
            <w:vAlign w:val="center"/>
            <w:hideMark/>
          </w:tcPr>
          <w:p w:rsidR="00104039" w:rsidRPr="00104039" w:rsidRDefault="00104039" w:rsidP="00104039">
            <w:pPr>
              <w:jc w:val="right"/>
              <w:rPr>
                <w:color w:val="000000"/>
                <w:sz w:val="20"/>
                <w:szCs w:val="20"/>
              </w:rPr>
            </w:pPr>
            <w:r w:rsidRPr="00104039">
              <w:rPr>
                <w:color w:val="000000"/>
                <w:sz w:val="20"/>
                <w:szCs w:val="20"/>
              </w:rPr>
              <w:t>83.81%</w:t>
            </w:r>
          </w:p>
        </w:tc>
        <w:tc>
          <w:tcPr>
            <w:tcW w:w="841" w:type="pct"/>
            <w:tcBorders>
              <w:top w:val="nil"/>
              <w:left w:val="nil"/>
              <w:bottom w:val="single" w:sz="4" w:space="0" w:color="auto"/>
              <w:right w:val="single" w:sz="4" w:space="0" w:color="auto"/>
            </w:tcBorders>
            <w:shd w:val="clear" w:color="000000" w:fill="F2F2F2"/>
            <w:vAlign w:val="center"/>
            <w:hideMark/>
          </w:tcPr>
          <w:p w:rsidR="00104039" w:rsidRPr="00104039" w:rsidRDefault="00104039" w:rsidP="00104039">
            <w:pPr>
              <w:jc w:val="right"/>
              <w:rPr>
                <w:color w:val="000000"/>
                <w:sz w:val="20"/>
                <w:szCs w:val="20"/>
              </w:rPr>
            </w:pPr>
            <w:r w:rsidRPr="00104039">
              <w:rPr>
                <w:color w:val="000000"/>
                <w:sz w:val="20"/>
                <w:szCs w:val="20"/>
              </w:rPr>
              <w:t>107.41%</w:t>
            </w:r>
          </w:p>
        </w:tc>
      </w:tr>
      <w:tr w:rsidR="00104039" w:rsidRPr="00104039" w:rsidTr="000E551D">
        <w:trPr>
          <w:trHeight w:val="276"/>
        </w:trPr>
        <w:tc>
          <w:tcPr>
            <w:tcW w:w="1623" w:type="pct"/>
            <w:tcBorders>
              <w:top w:val="nil"/>
              <w:left w:val="single" w:sz="4" w:space="0" w:color="auto"/>
              <w:bottom w:val="single" w:sz="4" w:space="0" w:color="auto"/>
              <w:right w:val="single" w:sz="4" w:space="0" w:color="auto"/>
            </w:tcBorders>
            <w:shd w:val="clear" w:color="000000" w:fill="F2F2F2"/>
            <w:vAlign w:val="center"/>
            <w:hideMark/>
          </w:tcPr>
          <w:p w:rsidR="00104039" w:rsidRPr="00104039" w:rsidRDefault="00104039" w:rsidP="00104039">
            <w:pPr>
              <w:jc w:val="center"/>
              <w:rPr>
                <w:color w:val="000000"/>
                <w:sz w:val="20"/>
                <w:szCs w:val="20"/>
              </w:rPr>
            </w:pPr>
            <w:r w:rsidRPr="00104039">
              <w:rPr>
                <w:color w:val="000000"/>
                <w:sz w:val="20"/>
                <w:szCs w:val="20"/>
              </w:rPr>
              <w:t>Profitability after tax</w:t>
            </w:r>
          </w:p>
        </w:tc>
        <w:tc>
          <w:tcPr>
            <w:tcW w:w="841"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104039" w:rsidRPr="00104039" w:rsidRDefault="00104039" w:rsidP="00104039">
            <w:pPr>
              <w:jc w:val="right"/>
              <w:rPr>
                <w:color w:val="000000"/>
                <w:sz w:val="20"/>
                <w:szCs w:val="20"/>
              </w:rPr>
            </w:pPr>
            <w:r w:rsidRPr="00104039">
              <w:rPr>
                <w:color w:val="000000"/>
                <w:sz w:val="20"/>
                <w:szCs w:val="20"/>
              </w:rPr>
              <w:t>116.67%</w:t>
            </w:r>
          </w:p>
        </w:tc>
        <w:tc>
          <w:tcPr>
            <w:tcW w:w="853" w:type="pct"/>
            <w:tcBorders>
              <w:top w:val="nil"/>
              <w:left w:val="nil"/>
              <w:bottom w:val="single" w:sz="4" w:space="0" w:color="auto"/>
              <w:right w:val="single" w:sz="4" w:space="0" w:color="auto"/>
            </w:tcBorders>
            <w:shd w:val="clear" w:color="000000" w:fill="F2F2F2"/>
            <w:vAlign w:val="center"/>
            <w:hideMark/>
          </w:tcPr>
          <w:p w:rsidR="00104039" w:rsidRPr="00104039" w:rsidRDefault="00104039" w:rsidP="00104039">
            <w:pPr>
              <w:jc w:val="right"/>
              <w:rPr>
                <w:color w:val="000000"/>
                <w:sz w:val="20"/>
                <w:szCs w:val="20"/>
              </w:rPr>
            </w:pPr>
            <w:r w:rsidRPr="00104039">
              <w:rPr>
                <w:color w:val="000000"/>
                <w:sz w:val="20"/>
                <w:szCs w:val="20"/>
              </w:rPr>
              <w:t>106.36%</w:t>
            </w:r>
          </w:p>
        </w:tc>
        <w:tc>
          <w:tcPr>
            <w:tcW w:w="841" w:type="pct"/>
            <w:tcBorders>
              <w:top w:val="single" w:sz="4" w:space="0" w:color="auto"/>
              <w:left w:val="single" w:sz="4" w:space="0" w:color="auto"/>
              <w:bottom w:val="single" w:sz="4" w:space="0" w:color="auto"/>
              <w:right w:val="single" w:sz="4" w:space="0" w:color="auto"/>
            </w:tcBorders>
            <w:shd w:val="clear" w:color="000000" w:fill="FF9999"/>
            <w:vAlign w:val="center"/>
            <w:hideMark/>
          </w:tcPr>
          <w:p w:rsidR="00104039" w:rsidRPr="00104039" w:rsidRDefault="00104039" w:rsidP="00104039">
            <w:pPr>
              <w:jc w:val="right"/>
              <w:rPr>
                <w:color w:val="000000"/>
                <w:sz w:val="20"/>
                <w:szCs w:val="20"/>
              </w:rPr>
            </w:pPr>
            <w:r w:rsidRPr="00104039">
              <w:rPr>
                <w:color w:val="000000"/>
                <w:sz w:val="20"/>
                <w:szCs w:val="20"/>
              </w:rPr>
              <w:t>88.17%</w:t>
            </w:r>
          </w:p>
        </w:tc>
        <w:tc>
          <w:tcPr>
            <w:tcW w:w="841" w:type="pct"/>
            <w:tcBorders>
              <w:top w:val="nil"/>
              <w:left w:val="nil"/>
              <w:bottom w:val="single" w:sz="4" w:space="0" w:color="auto"/>
              <w:right w:val="single" w:sz="4" w:space="0" w:color="auto"/>
            </w:tcBorders>
            <w:shd w:val="clear" w:color="000000" w:fill="F2F2F2"/>
            <w:vAlign w:val="center"/>
            <w:hideMark/>
          </w:tcPr>
          <w:p w:rsidR="00104039" w:rsidRPr="00104039" w:rsidRDefault="00104039" w:rsidP="00104039">
            <w:pPr>
              <w:jc w:val="right"/>
              <w:rPr>
                <w:color w:val="000000"/>
                <w:sz w:val="20"/>
                <w:szCs w:val="20"/>
              </w:rPr>
            </w:pPr>
            <w:r w:rsidRPr="00104039">
              <w:rPr>
                <w:color w:val="000000"/>
                <w:sz w:val="20"/>
                <w:szCs w:val="20"/>
              </w:rPr>
              <w:t>107.10%</w:t>
            </w:r>
          </w:p>
        </w:tc>
      </w:tr>
      <w:tr w:rsidR="00104039" w:rsidRPr="00104039" w:rsidTr="000E551D">
        <w:trPr>
          <w:trHeight w:val="276"/>
        </w:trPr>
        <w:tc>
          <w:tcPr>
            <w:tcW w:w="1623" w:type="pct"/>
            <w:tcBorders>
              <w:top w:val="nil"/>
              <w:left w:val="single" w:sz="4" w:space="0" w:color="auto"/>
              <w:bottom w:val="single" w:sz="4" w:space="0" w:color="auto"/>
              <w:right w:val="single" w:sz="4" w:space="0" w:color="auto"/>
            </w:tcBorders>
            <w:shd w:val="clear" w:color="000000" w:fill="F2F2F2"/>
            <w:vAlign w:val="center"/>
            <w:hideMark/>
          </w:tcPr>
          <w:p w:rsidR="00104039" w:rsidRPr="00104039" w:rsidRDefault="00104039" w:rsidP="00104039">
            <w:pPr>
              <w:jc w:val="center"/>
              <w:rPr>
                <w:color w:val="000000"/>
                <w:sz w:val="20"/>
                <w:szCs w:val="20"/>
              </w:rPr>
            </w:pPr>
            <w:r w:rsidRPr="00104039">
              <w:rPr>
                <w:color w:val="000000"/>
                <w:sz w:val="20"/>
                <w:szCs w:val="20"/>
              </w:rPr>
              <w:t xml:space="preserve">Incomes </w:t>
            </w:r>
          </w:p>
        </w:tc>
        <w:tc>
          <w:tcPr>
            <w:tcW w:w="841"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104039" w:rsidRPr="00104039" w:rsidRDefault="00104039" w:rsidP="00104039">
            <w:pPr>
              <w:jc w:val="right"/>
              <w:rPr>
                <w:color w:val="000000"/>
                <w:sz w:val="20"/>
                <w:szCs w:val="20"/>
              </w:rPr>
            </w:pPr>
            <w:r w:rsidRPr="00104039">
              <w:rPr>
                <w:color w:val="000000"/>
                <w:sz w:val="20"/>
                <w:szCs w:val="20"/>
              </w:rPr>
              <w:t>114.71%</w:t>
            </w:r>
          </w:p>
        </w:tc>
        <w:tc>
          <w:tcPr>
            <w:tcW w:w="853"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104039" w:rsidRPr="00104039" w:rsidRDefault="00104039" w:rsidP="00104039">
            <w:pPr>
              <w:jc w:val="right"/>
              <w:rPr>
                <w:color w:val="000000"/>
                <w:sz w:val="20"/>
                <w:szCs w:val="20"/>
              </w:rPr>
            </w:pPr>
            <w:r w:rsidRPr="00104039">
              <w:rPr>
                <w:color w:val="000000"/>
                <w:sz w:val="20"/>
                <w:szCs w:val="20"/>
              </w:rPr>
              <w:t>108.67%</w:t>
            </w:r>
          </w:p>
        </w:tc>
        <w:tc>
          <w:tcPr>
            <w:tcW w:w="841" w:type="pct"/>
            <w:tcBorders>
              <w:top w:val="nil"/>
              <w:left w:val="nil"/>
              <w:bottom w:val="single" w:sz="4" w:space="0" w:color="auto"/>
              <w:right w:val="single" w:sz="4" w:space="0" w:color="auto"/>
            </w:tcBorders>
            <w:shd w:val="clear" w:color="000000" w:fill="F2F2F2"/>
            <w:vAlign w:val="center"/>
            <w:hideMark/>
          </w:tcPr>
          <w:p w:rsidR="00104039" w:rsidRPr="00104039" w:rsidRDefault="00104039" w:rsidP="00104039">
            <w:pPr>
              <w:jc w:val="right"/>
              <w:rPr>
                <w:color w:val="000000"/>
                <w:sz w:val="20"/>
                <w:szCs w:val="20"/>
              </w:rPr>
            </w:pPr>
            <w:r w:rsidRPr="00104039">
              <w:rPr>
                <w:color w:val="000000"/>
                <w:sz w:val="20"/>
                <w:szCs w:val="20"/>
              </w:rPr>
              <w:t>102.98%</w:t>
            </w:r>
          </w:p>
        </w:tc>
        <w:tc>
          <w:tcPr>
            <w:tcW w:w="841"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104039" w:rsidRPr="00104039" w:rsidRDefault="00104039" w:rsidP="00104039">
            <w:pPr>
              <w:jc w:val="right"/>
              <w:rPr>
                <w:color w:val="000000"/>
                <w:sz w:val="20"/>
                <w:szCs w:val="20"/>
              </w:rPr>
            </w:pPr>
            <w:r w:rsidRPr="00104039">
              <w:rPr>
                <w:color w:val="000000"/>
                <w:sz w:val="20"/>
                <w:szCs w:val="20"/>
              </w:rPr>
              <w:t>116.28%</w:t>
            </w:r>
          </w:p>
        </w:tc>
      </w:tr>
      <w:tr w:rsidR="00104039" w:rsidRPr="00104039" w:rsidTr="00C866A0">
        <w:trPr>
          <w:trHeight w:val="276"/>
        </w:trPr>
        <w:tc>
          <w:tcPr>
            <w:tcW w:w="1623" w:type="pct"/>
            <w:tcBorders>
              <w:top w:val="nil"/>
              <w:left w:val="single" w:sz="4" w:space="0" w:color="auto"/>
              <w:bottom w:val="single" w:sz="4" w:space="0" w:color="auto"/>
              <w:right w:val="single" w:sz="4" w:space="0" w:color="auto"/>
            </w:tcBorders>
            <w:shd w:val="clear" w:color="000000" w:fill="F2F2F2"/>
            <w:vAlign w:val="center"/>
            <w:hideMark/>
          </w:tcPr>
          <w:p w:rsidR="00104039" w:rsidRPr="00104039" w:rsidRDefault="00C866A0" w:rsidP="00104039">
            <w:pPr>
              <w:jc w:val="center"/>
              <w:rPr>
                <w:color w:val="000000"/>
                <w:sz w:val="20"/>
                <w:szCs w:val="20"/>
              </w:rPr>
            </w:pPr>
            <w:r>
              <w:rPr>
                <w:color w:val="000000"/>
                <w:sz w:val="20"/>
                <w:szCs w:val="20"/>
              </w:rPr>
              <w:t>Expenses</w:t>
            </w:r>
          </w:p>
        </w:tc>
        <w:tc>
          <w:tcPr>
            <w:tcW w:w="841"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104039" w:rsidRPr="00104039" w:rsidRDefault="00104039" w:rsidP="00104039">
            <w:pPr>
              <w:jc w:val="right"/>
              <w:rPr>
                <w:color w:val="000000"/>
                <w:sz w:val="20"/>
                <w:szCs w:val="20"/>
              </w:rPr>
            </w:pPr>
            <w:r w:rsidRPr="00104039">
              <w:rPr>
                <w:color w:val="000000"/>
                <w:sz w:val="20"/>
                <w:szCs w:val="20"/>
              </w:rPr>
              <w:t>114.44%</w:t>
            </w:r>
          </w:p>
        </w:tc>
        <w:tc>
          <w:tcPr>
            <w:tcW w:w="853"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104039" w:rsidRPr="00104039" w:rsidRDefault="00104039" w:rsidP="00104039">
            <w:pPr>
              <w:jc w:val="right"/>
              <w:rPr>
                <w:color w:val="000000"/>
                <w:sz w:val="20"/>
                <w:szCs w:val="20"/>
              </w:rPr>
            </w:pPr>
            <w:r w:rsidRPr="00104039">
              <w:rPr>
                <w:color w:val="000000"/>
                <w:sz w:val="20"/>
                <w:szCs w:val="20"/>
              </w:rPr>
              <w:t>108.86%</w:t>
            </w:r>
          </w:p>
        </w:tc>
        <w:tc>
          <w:tcPr>
            <w:tcW w:w="841" w:type="pct"/>
            <w:tcBorders>
              <w:top w:val="nil"/>
              <w:left w:val="nil"/>
              <w:bottom w:val="single" w:sz="4" w:space="0" w:color="auto"/>
              <w:right w:val="single" w:sz="4" w:space="0" w:color="auto"/>
            </w:tcBorders>
            <w:shd w:val="clear" w:color="000000" w:fill="F2F2F2"/>
            <w:vAlign w:val="center"/>
            <w:hideMark/>
          </w:tcPr>
          <w:p w:rsidR="00104039" w:rsidRPr="00104039" w:rsidRDefault="00104039" w:rsidP="00104039">
            <w:pPr>
              <w:jc w:val="right"/>
              <w:rPr>
                <w:color w:val="000000"/>
                <w:sz w:val="20"/>
                <w:szCs w:val="20"/>
              </w:rPr>
            </w:pPr>
            <w:r w:rsidRPr="00104039">
              <w:rPr>
                <w:color w:val="000000"/>
                <w:sz w:val="20"/>
                <w:szCs w:val="20"/>
              </w:rPr>
              <w:t>103.47%</w:t>
            </w:r>
          </w:p>
        </w:tc>
        <w:tc>
          <w:tcPr>
            <w:tcW w:w="841"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104039" w:rsidRPr="00104039" w:rsidRDefault="00104039" w:rsidP="00104039">
            <w:pPr>
              <w:jc w:val="right"/>
              <w:rPr>
                <w:color w:val="000000"/>
                <w:sz w:val="20"/>
                <w:szCs w:val="20"/>
              </w:rPr>
            </w:pPr>
            <w:r w:rsidRPr="00104039">
              <w:rPr>
                <w:color w:val="000000"/>
                <w:sz w:val="20"/>
                <w:szCs w:val="20"/>
                <w:shd w:val="clear" w:color="auto" w:fill="C5E0B3" w:themeFill="accent6" w:themeFillTint="66"/>
              </w:rPr>
              <w:t>118.34</w:t>
            </w:r>
            <w:r w:rsidRPr="00104039">
              <w:rPr>
                <w:color w:val="000000"/>
                <w:sz w:val="20"/>
                <w:szCs w:val="20"/>
              </w:rPr>
              <w:t>%</w:t>
            </w:r>
          </w:p>
        </w:tc>
      </w:tr>
      <w:tr w:rsidR="00104039" w:rsidRPr="00104039" w:rsidTr="000E551D">
        <w:trPr>
          <w:trHeight w:val="276"/>
        </w:trPr>
        <w:tc>
          <w:tcPr>
            <w:tcW w:w="1623" w:type="pct"/>
            <w:tcBorders>
              <w:top w:val="nil"/>
              <w:left w:val="single" w:sz="4" w:space="0" w:color="auto"/>
              <w:bottom w:val="single" w:sz="4" w:space="0" w:color="auto"/>
              <w:right w:val="single" w:sz="4" w:space="0" w:color="auto"/>
            </w:tcBorders>
            <w:shd w:val="clear" w:color="000000" w:fill="F2F2F2"/>
            <w:vAlign w:val="center"/>
            <w:hideMark/>
          </w:tcPr>
          <w:p w:rsidR="00104039" w:rsidRPr="00104039" w:rsidRDefault="00104039" w:rsidP="00104039">
            <w:pPr>
              <w:jc w:val="center"/>
              <w:rPr>
                <w:color w:val="000000"/>
                <w:sz w:val="20"/>
                <w:szCs w:val="20"/>
              </w:rPr>
            </w:pPr>
            <w:r w:rsidRPr="00104039">
              <w:rPr>
                <w:color w:val="000000"/>
                <w:sz w:val="20"/>
                <w:szCs w:val="20"/>
              </w:rPr>
              <w:lastRenderedPageBreak/>
              <w:t>Net Incomes</w:t>
            </w:r>
          </w:p>
        </w:tc>
        <w:tc>
          <w:tcPr>
            <w:tcW w:w="841" w:type="pct"/>
            <w:tcBorders>
              <w:top w:val="nil"/>
              <w:left w:val="nil"/>
              <w:bottom w:val="single" w:sz="4" w:space="0" w:color="auto"/>
              <w:right w:val="single" w:sz="4" w:space="0" w:color="auto"/>
            </w:tcBorders>
            <w:shd w:val="clear" w:color="000000" w:fill="F2F2F2"/>
            <w:noWrap/>
            <w:vAlign w:val="center"/>
            <w:hideMark/>
          </w:tcPr>
          <w:p w:rsidR="00104039" w:rsidRPr="00104039" w:rsidRDefault="00104039" w:rsidP="00104039">
            <w:pPr>
              <w:jc w:val="right"/>
              <w:rPr>
                <w:color w:val="000000"/>
                <w:sz w:val="20"/>
                <w:szCs w:val="20"/>
              </w:rPr>
            </w:pPr>
            <w:r w:rsidRPr="00104039">
              <w:rPr>
                <w:color w:val="000000"/>
                <w:sz w:val="20"/>
                <w:szCs w:val="20"/>
              </w:rPr>
              <w:t>101,95%</w:t>
            </w:r>
          </w:p>
        </w:tc>
        <w:tc>
          <w:tcPr>
            <w:tcW w:w="853" w:type="pct"/>
            <w:tcBorders>
              <w:top w:val="nil"/>
              <w:left w:val="nil"/>
              <w:bottom w:val="single" w:sz="4" w:space="0" w:color="auto"/>
              <w:right w:val="single" w:sz="4" w:space="0" w:color="auto"/>
            </w:tcBorders>
            <w:shd w:val="clear" w:color="000000" w:fill="F2F2F2"/>
            <w:noWrap/>
            <w:vAlign w:val="center"/>
            <w:hideMark/>
          </w:tcPr>
          <w:p w:rsidR="00104039" w:rsidRPr="00104039" w:rsidRDefault="00104039" w:rsidP="00104039">
            <w:pPr>
              <w:jc w:val="right"/>
              <w:rPr>
                <w:color w:val="000000"/>
                <w:sz w:val="20"/>
                <w:szCs w:val="20"/>
              </w:rPr>
            </w:pPr>
            <w:r w:rsidRPr="00104039">
              <w:rPr>
                <w:color w:val="000000"/>
                <w:sz w:val="20"/>
                <w:szCs w:val="20"/>
              </w:rPr>
              <w:t>100,22%</w:t>
            </w:r>
          </w:p>
        </w:tc>
        <w:tc>
          <w:tcPr>
            <w:tcW w:w="841" w:type="pct"/>
            <w:tcBorders>
              <w:top w:val="nil"/>
              <w:left w:val="nil"/>
              <w:bottom w:val="single" w:sz="4" w:space="0" w:color="auto"/>
              <w:right w:val="single" w:sz="4" w:space="0" w:color="auto"/>
            </w:tcBorders>
            <w:shd w:val="clear" w:color="000000" w:fill="F2F2F2"/>
            <w:noWrap/>
            <w:vAlign w:val="center"/>
            <w:hideMark/>
          </w:tcPr>
          <w:p w:rsidR="00104039" w:rsidRPr="00104039" w:rsidRDefault="00104039" w:rsidP="00104039">
            <w:pPr>
              <w:jc w:val="right"/>
              <w:rPr>
                <w:color w:val="000000"/>
                <w:sz w:val="20"/>
                <w:szCs w:val="20"/>
              </w:rPr>
            </w:pPr>
            <w:r w:rsidRPr="00104039">
              <w:rPr>
                <w:color w:val="000000"/>
                <w:sz w:val="20"/>
                <w:szCs w:val="20"/>
              </w:rPr>
              <w:t>101,20%</w:t>
            </w:r>
          </w:p>
        </w:tc>
        <w:tc>
          <w:tcPr>
            <w:tcW w:w="841" w:type="pct"/>
            <w:tcBorders>
              <w:top w:val="nil"/>
              <w:left w:val="nil"/>
              <w:bottom w:val="single" w:sz="4" w:space="0" w:color="auto"/>
              <w:right w:val="single" w:sz="4" w:space="0" w:color="auto"/>
            </w:tcBorders>
            <w:shd w:val="clear" w:color="000000" w:fill="F2F2F2"/>
            <w:noWrap/>
            <w:vAlign w:val="center"/>
            <w:hideMark/>
          </w:tcPr>
          <w:p w:rsidR="00104039" w:rsidRPr="00104039" w:rsidRDefault="00104039" w:rsidP="00104039">
            <w:pPr>
              <w:jc w:val="right"/>
              <w:rPr>
                <w:color w:val="000000"/>
                <w:sz w:val="20"/>
                <w:szCs w:val="20"/>
              </w:rPr>
            </w:pPr>
            <w:r w:rsidRPr="00104039">
              <w:rPr>
                <w:color w:val="000000"/>
                <w:sz w:val="20"/>
                <w:szCs w:val="20"/>
              </w:rPr>
              <w:t>100,20%</w:t>
            </w:r>
          </w:p>
        </w:tc>
      </w:tr>
      <w:tr w:rsidR="00104039" w:rsidRPr="00104039" w:rsidTr="000E551D">
        <w:trPr>
          <w:trHeight w:val="276"/>
        </w:trPr>
        <w:tc>
          <w:tcPr>
            <w:tcW w:w="1623" w:type="pct"/>
            <w:vMerge w:val="restart"/>
            <w:tcBorders>
              <w:top w:val="nil"/>
              <w:left w:val="single" w:sz="4" w:space="0" w:color="auto"/>
              <w:bottom w:val="single" w:sz="4" w:space="0" w:color="auto"/>
              <w:right w:val="single" w:sz="4" w:space="0" w:color="auto"/>
            </w:tcBorders>
            <w:shd w:val="clear" w:color="000000" w:fill="F2F2F2"/>
            <w:noWrap/>
            <w:vAlign w:val="center"/>
            <w:hideMark/>
          </w:tcPr>
          <w:p w:rsidR="00104039" w:rsidRPr="00104039" w:rsidRDefault="00104039" w:rsidP="00104039">
            <w:pPr>
              <w:jc w:val="right"/>
              <w:rPr>
                <w:color w:val="000000"/>
                <w:sz w:val="20"/>
                <w:szCs w:val="20"/>
              </w:rPr>
            </w:pPr>
            <w:r w:rsidRPr="00104039">
              <w:rPr>
                <w:color w:val="000000"/>
                <w:sz w:val="20"/>
                <w:szCs w:val="20"/>
              </w:rPr>
              <w:t>Legend</w:t>
            </w:r>
          </w:p>
        </w:tc>
        <w:tc>
          <w:tcPr>
            <w:tcW w:w="3377" w:type="pct"/>
            <w:gridSpan w:val="4"/>
            <w:tcBorders>
              <w:top w:val="single" w:sz="4" w:space="0" w:color="auto"/>
              <w:left w:val="nil"/>
              <w:bottom w:val="single" w:sz="4" w:space="0" w:color="auto"/>
              <w:right w:val="single" w:sz="4" w:space="0" w:color="auto"/>
            </w:tcBorders>
            <w:shd w:val="clear" w:color="000000" w:fill="D9D9D9"/>
            <w:noWrap/>
            <w:vAlign w:val="bottom"/>
            <w:hideMark/>
          </w:tcPr>
          <w:p w:rsidR="00104039" w:rsidRPr="00104039" w:rsidRDefault="00104039" w:rsidP="00104039">
            <w:pPr>
              <w:rPr>
                <w:color w:val="000000"/>
                <w:sz w:val="20"/>
                <w:szCs w:val="20"/>
              </w:rPr>
            </w:pPr>
            <w:r w:rsidRPr="00104039">
              <w:rPr>
                <w:color w:val="000000"/>
                <w:sz w:val="20"/>
                <w:szCs w:val="20"/>
              </w:rPr>
              <w:t>Medium (above average)</w:t>
            </w:r>
          </w:p>
        </w:tc>
      </w:tr>
      <w:tr w:rsidR="00104039" w:rsidRPr="00104039" w:rsidTr="00C866A0">
        <w:trPr>
          <w:trHeight w:val="276"/>
        </w:trPr>
        <w:tc>
          <w:tcPr>
            <w:tcW w:w="1623" w:type="pct"/>
            <w:vMerge/>
            <w:tcBorders>
              <w:top w:val="nil"/>
              <w:left w:val="single" w:sz="4" w:space="0" w:color="auto"/>
              <w:bottom w:val="single" w:sz="4" w:space="0" w:color="auto"/>
              <w:right w:val="single" w:sz="4" w:space="0" w:color="auto"/>
            </w:tcBorders>
            <w:vAlign w:val="center"/>
            <w:hideMark/>
          </w:tcPr>
          <w:p w:rsidR="00104039" w:rsidRPr="00104039" w:rsidRDefault="00104039" w:rsidP="00104039">
            <w:pPr>
              <w:rPr>
                <w:color w:val="000000"/>
                <w:sz w:val="20"/>
                <w:szCs w:val="20"/>
              </w:rPr>
            </w:pPr>
          </w:p>
        </w:tc>
        <w:tc>
          <w:tcPr>
            <w:tcW w:w="3377" w:type="pct"/>
            <w:gridSpan w:val="4"/>
            <w:tcBorders>
              <w:top w:val="single" w:sz="4" w:space="0" w:color="auto"/>
              <w:left w:val="nil"/>
              <w:bottom w:val="single" w:sz="4" w:space="0" w:color="auto"/>
              <w:right w:val="single" w:sz="4" w:space="0" w:color="auto"/>
            </w:tcBorders>
            <w:shd w:val="clear" w:color="auto" w:fill="C5E0B3" w:themeFill="accent6" w:themeFillTint="66"/>
            <w:noWrap/>
            <w:vAlign w:val="bottom"/>
            <w:hideMark/>
          </w:tcPr>
          <w:p w:rsidR="00104039" w:rsidRPr="00104039" w:rsidRDefault="00104039" w:rsidP="00104039">
            <w:pPr>
              <w:rPr>
                <w:color w:val="000000"/>
                <w:sz w:val="20"/>
                <w:szCs w:val="20"/>
              </w:rPr>
            </w:pPr>
            <w:r w:rsidRPr="00104039">
              <w:rPr>
                <w:color w:val="000000"/>
                <w:sz w:val="20"/>
                <w:szCs w:val="20"/>
              </w:rPr>
              <w:t>H</w:t>
            </w:r>
            <w:r w:rsidRPr="00104039">
              <w:rPr>
                <w:color w:val="000000"/>
                <w:sz w:val="20"/>
                <w:szCs w:val="20"/>
                <w:shd w:val="clear" w:color="auto" w:fill="C5E0B3" w:themeFill="accent6" w:themeFillTint="66"/>
              </w:rPr>
              <w:t>igh</w:t>
            </w:r>
          </w:p>
        </w:tc>
      </w:tr>
      <w:tr w:rsidR="00104039" w:rsidRPr="00104039" w:rsidTr="000E551D">
        <w:trPr>
          <w:trHeight w:val="276"/>
        </w:trPr>
        <w:tc>
          <w:tcPr>
            <w:tcW w:w="1623" w:type="pct"/>
            <w:vMerge/>
            <w:tcBorders>
              <w:top w:val="nil"/>
              <w:left w:val="single" w:sz="4" w:space="0" w:color="auto"/>
              <w:bottom w:val="single" w:sz="4" w:space="0" w:color="auto"/>
              <w:right w:val="single" w:sz="4" w:space="0" w:color="auto"/>
            </w:tcBorders>
            <w:vAlign w:val="center"/>
            <w:hideMark/>
          </w:tcPr>
          <w:p w:rsidR="00104039" w:rsidRPr="00104039" w:rsidRDefault="00104039" w:rsidP="00104039">
            <w:pPr>
              <w:rPr>
                <w:color w:val="000000"/>
                <w:sz w:val="20"/>
                <w:szCs w:val="20"/>
              </w:rPr>
            </w:pPr>
          </w:p>
        </w:tc>
        <w:tc>
          <w:tcPr>
            <w:tcW w:w="3377" w:type="pct"/>
            <w:gridSpan w:val="4"/>
            <w:tcBorders>
              <w:top w:val="single" w:sz="4" w:space="0" w:color="auto"/>
              <w:left w:val="nil"/>
              <w:bottom w:val="single" w:sz="4" w:space="0" w:color="auto"/>
              <w:right w:val="single" w:sz="4" w:space="0" w:color="auto"/>
            </w:tcBorders>
            <w:shd w:val="clear" w:color="000000" w:fill="FF9999"/>
            <w:noWrap/>
            <w:vAlign w:val="bottom"/>
            <w:hideMark/>
          </w:tcPr>
          <w:p w:rsidR="00104039" w:rsidRPr="00104039" w:rsidRDefault="00104039" w:rsidP="00104039">
            <w:pPr>
              <w:rPr>
                <w:color w:val="000000"/>
                <w:sz w:val="20"/>
                <w:szCs w:val="20"/>
              </w:rPr>
            </w:pPr>
            <w:r w:rsidRPr="00104039">
              <w:rPr>
                <w:color w:val="000000"/>
                <w:sz w:val="20"/>
                <w:szCs w:val="20"/>
              </w:rPr>
              <w:t>Low</w:t>
            </w:r>
          </w:p>
        </w:tc>
      </w:tr>
    </w:tbl>
    <w:p w:rsidR="00104039" w:rsidRDefault="00104039" w:rsidP="000F5110">
      <w:pPr>
        <w:ind w:firstLine="720"/>
        <w:jc w:val="both"/>
        <w:rPr>
          <w:lang w:val="ro-RO"/>
        </w:rPr>
      </w:pPr>
    </w:p>
    <w:p w:rsidR="000E551D" w:rsidRDefault="000E551D" w:rsidP="000E551D">
      <w:pPr>
        <w:jc w:val="both"/>
        <w:rPr>
          <w:lang w:val="ro-RO"/>
        </w:rPr>
      </w:pPr>
      <w:r>
        <w:rPr>
          <w:lang w:val="ro-RO"/>
        </w:rPr>
        <w:tab/>
        <w:t>Din tablou se observă că există amenințări p</w:t>
      </w:r>
      <w:r w:rsidR="009C692C">
        <w:rPr>
          <w:lang w:val="ro-RO"/>
        </w:rPr>
        <w:t>entru companiile din segmentul t</w:t>
      </w:r>
      <w:r>
        <w:rPr>
          <w:lang w:val="ro-RO"/>
        </w:rPr>
        <w:t>ra</w:t>
      </w:r>
      <w:r w:rsidR="009C692C">
        <w:rPr>
          <w:lang w:val="ro-RO"/>
        </w:rPr>
        <w:t>nsporturilor și c</w:t>
      </w:r>
      <w:r>
        <w:rPr>
          <w:lang w:val="ro-RO"/>
        </w:rPr>
        <w:t>omerțului, în special pe</w:t>
      </w:r>
      <w:r w:rsidR="000D3F2A">
        <w:rPr>
          <w:lang w:val="ro-RO"/>
        </w:rPr>
        <w:t xml:space="preserve"> segmentul de profitabilitate (C</w:t>
      </w:r>
      <w:r>
        <w:rPr>
          <w:lang w:val="ro-RO"/>
        </w:rPr>
        <w:t xml:space="preserve">omerț) </w:t>
      </w:r>
      <w:r w:rsidR="000D3F2A">
        <w:rPr>
          <w:lang w:val="ro-RO"/>
        </w:rPr>
        <w:t>și de acumulare de cheltuieli (T</w:t>
      </w:r>
      <w:r>
        <w:rPr>
          <w:lang w:val="ro-RO"/>
        </w:rPr>
        <w:t>ransport</w:t>
      </w:r>
      <w:r w:rsidR="00542A54">
        <w:rPr>
          <w:lang w:val="ro-RO"/>
        </w:rPr>
        <w:t>uri</w:t>
      </w:r>
      <w:r w:rsidR="000D3F2A">
        <w:rPr>
          <w:lang w:val="ro-RO"/>
        </w:rPr>
        <w:t>). Orientarea către sectorul Industriei</w:t>
      </w:r>
      <w:r>
        <w:rPr>
          <w:lang w:val="ro-RO"/>
        </w:rPr>
        <w:t xml:space="preserve"> p</w:t>
      </w:r>
      <w:r w:rsidR="000D3F2A">
        <w:rPr>
          <w:lang w:val="ro-RO"/>
        </w:rPr>
        <w:t>relucrătoare</w:t>
      </w:r>
      <w:r>
        <w:rPr>
          <w:lang w:val="ro-RO"/>
        </w:rPr>
        <w:t xml:space="preserve"> conferă stabilitate prin impactul afacerii asupra pieței de profil, afacerile produ</w:t>
      </w:r>
      <w:r w:rsidR="009F2557">
        <w:rPr>
          <w:lang w:val="ro-RO"/>
        </w:rPr>
        <w:t>ctive din sectorul I</w:t>
      </w:r>
      <w:r>
        <w:rPr>
          <w:lang w:val="ro-RO"/>
        </w:rPr>
        <w:t>ndustrial tinzând să capteze resursele monetare atât prin fructificarea avantajului competitiv pe piața internă, cât și prin exporturi. De asemenea, ratele de profitabilitate sunt unele ridic</w:t>
      </w:r>
      <w:r w:rsidR="000D3F2A">
        <w:rPr>
          <w:lang w:val="ro-RO"/>
        </w:rPr>
        <w:t>ate pe acest segment. Sectorul C</w:t>
      </w:r>
      <w:r>
        <w:rPr>
          <w:lang w:val="ro-RO"/>
        </w:rPr>
        <w:t xml:space="preserve">onstrucții beneficiază de avantajul stabilității ramurii având o profitabilitate cu o rată de creștere medie de 6,3% pe an, iar raportul venituri-cheltuieli este ușor înclinat în favoarea cheltuielilor. </w:t>
      </w:r>
    </w:p>
    <w:p w:rsidR="000E551D" w:rsidRDefault="000E551D" w:rsidP="000E551D">
      <w:pPr>
        <w:jc w:val="both"/>
        <w:rPr>
          <w:lang w:val="ro-RO"/>
        </w:rPr>
      </w:pPr>
    </w:p>
    <w:p w:rsidR="003202D6" w:rsidRPr="003202D6" w:rsidRDefault="003202D6" w:rsidP="003202D6">
      <w:pPr>
        <w:rPr>
          <w:b/>
          <w:lang w:val="ro-RO"/>
        </w:rPr>
      </w:pPr>
      <w:r>
        <w:rPr>
          <w:b/>
          <w:lang w:val="ro-RO"/>
        </w:rPr>
        <w:t>CONCLU</w:t>
      </w:r>
      <w:r w:rsidR="00F97DD9">
        <w:rPr>
          <w:b/>
          <w:lang w:val="ro-RO"/>
        </w:rPr>
        <w:t xml:space="preserve">SIONS </w:t>
      </w:r>
    </w:p>
    <w:p w:rsidR="003202D6" w:rsidRDefault="003202D6" w:rsidP="003202D6">
      <w:pPr>
        <w:rPr>
          <w:lang w:val="ro-RO"/>
        </w:rPr>
      </w:pPr>
    </w:p>
    <w:p w:rsidR="000E551D" w:rsidRDefault="00AF15AC" w:rsidP="000E551D">
      <w:pPr>
        <w:jc w:val="both"/>
        <w:rPr>
          <w:lang w:val="ro-RO"/>
        </w:rPr>
      </w:pPr>
      <w:r>
        <w:rPr>
          <w:lang w:val="ro-RO"/>
        </w:rPr>
        <w:tab/>
        <w:t>Cerce</w:t>
      </w:r>
      <w:r w:rsidR="000E551D">
        <w:rPr>
          <w:lang w:val="ro-RO"/>
        </w:rPr>
        <w:t>tarea și-a propus analiza strategiilor de dezvoltare economică prin prisma cuantificării trendurilor d</w:t>
      </w:r>
      <w:r>
        <w:rPr>
          <w:lang w:val="ro-RO"/>
        </w:rPr>
        <w:t>e evoluție a elementelor financiare (</w:t>
      </w:r>
      <w:r w:rsidR="000E551D">
        <w:rPr>
          <w:lang w:val="ro-RO"/>
        </w:rPr>
        <w:t>conturile de venit</w:t>
      </w:r>
      <w:r>
        <w:rPr>
          <w:lang w:val="ro-RO"/>
        </w:rPr>
        <w:t>u</w:t>
      </w:r>
      <w:r w:rsidR="000E551D">
        <w:rPr>
          <w:lang w:val="ro-RO"/>
        </w:rPr>
        <w:t xml:space="preserve">ri și cheltuieli) pentru top 15 </w:t>
      </w:r>
      <w:r w:rsidR="00FC518A">
        <w:rPr>
          <w:lang w:val="ro-RO"/>
        </w:rPr>
        <w:t>cele</w:t>
      </w:r>
      <w:r w:rsidR="000E551D">
        <w:rPr>
          <w:lang w:val="ro-RO"/>
        </w:rPr>
        <w:t xml:space="preserve"> mai mari întreprinderi din județul Suceava</w:t>
      </w:r>
      <w:r w:rsidR="000D3F2A">
        <w:rPr>
          <w:lang w:val="ro-RO"/>
        </w:rPr>
        <w:t xml:space="preserve"> după cifra de afaceri</w:t>
      </w:r>
      <w:r w:rsidR="000E551D">
        <w:rPr>
          <w:lang w:val="ro-RO"/>
        </w:rPr>
        <w:t>. Modelul econometric propus bazat pe metoda celor mai mici pătrate în două faze a surprins pentru ramurile cu greutate specifică mare în eșantionul propus evoluția corelată a veniturilor și chel</w:t>
      </w:r>
      <w:r w:rsidR="00FC518A">
        <w:rPr>
          <w:lang w:val="ro-RO"/>
        </w:rPr>
        <w:t>tuielilor în dinamică pe 5 ani. Modelul a scos în evidență vulnerabilitățile care afectează activitatea economică pe latura financiară a acesteia în dinamică pe ani și pe sectoare de activitate. Componenta macroeconomică a fost evaluată atât din punct de vedere al politicilor fiscale, cât și din punct de vedere al politicilor sociale și de interacțiune cu mediul de afaceri.</w:t>
      </w:r>
    </w:p>
    <w:p w:rsidR="00FC518A" w:rsidRDefault="00FC518A" w:rsidP="000E551D">
      <w:pPr>
        <w:jc w:val="both"/>
        <w:rPr>
          <w:lang w:val="ro-RO"/>
        </w:rPr>
      </w:pPr>
      <w:r>
        <w:rPr>
          <w:lang w:val="ro-RO"/>
        </w:rPr>
        <w:tab/>
        <w:t>Obiectivele studiului au fost atinse, astfel s-a efectuat evaluarea comparativă a performanțelor financiare cu evidențierea tabelară a sincopelor de evoluție a agenților economici (a se vedea tabelele 1-4). Totodată, au fost analizate condițiile cauzale ale componentelor de risc financiar și au fost înglobate în tabloul de vulnerabilități (tabelul 5). Prin modelare econometrică s-au testat comparativ evoluțiile veniturilor și cheltuielilor, iar prin apl</w:t>
      </w:r>
      <w:r w:rsidR="000D3F2A">
        <w:rPr>
          <w:lang w:val="ro-RO"/>
        </w:rPr>
        <w:t xml:space="preserve">icarea procedeului de prognoză </w:t>
      </w:r>
      <w:proofErr w:type="spellStart"/>
      <w:r w:rsidR="000D3F2A">
        <w:rPr>
          <w:lang w:val="ro-RO"/>
        </w:rPr>
        <w:t>F</w:t>
      </w:r>
      <w:r>
        <w:rPr>
          <w:lang w:val="ro-RO"/>
        </w:rPr>
        <w:t>orecast</w:t>
      </w:r>
      <w:proofErr w:type="spellEnd"/>
      <w:r>
        <w:rPr>
          <w:lang w:val="ro-RO"/>
        </w:rPr>
        <w:t xml:space="preserve"> s-a modelat bonitatea financiară pe pantele de evoluție ale indicatorilor de venituri și cheltuieli.</w:t>
      </w:r>
    </w:p>
    <w:p w:rsidR="00D762B2" w:rsidRDefault="00FC518A" w:rsidP="00F74768">
      <w:pPr>
        <w:jc w:val="both"/>
        <w:rPr>
          <w:lang w:val="ro-RO"/>
        </w:rPr>
      </w:pPr>
      <w:r>
        <w:rPr>
          <w:lang w:val="ro-RO"/>
        </w:rPr>
        <w:tab/>
        <w:t xml:space="preserve">În concluzie, studiul este unul </w:t>
      </w:r>
      <w:proofErr w:type="spellStart"/>
      <w:r>
        <w:rPr>
          <w:lang w:val="ro-RO"/>
        </w:rPr>
        <w:t>novativ</w:t>
      </w:r>
      <w:proofErr w:type="spellEnd"/>
      <w:r>
        <w:rPr>
          <w:lang w:val="ro-RO"/>
        </w:rPr>
        <w:t>, bazat pe analiză de trend, structurare secvențială a evoluțiilor pe sectoare de activitate și ani și oferă pentru utilizatori de informații financiare un instrument util în stabilirea strategiilor fundamentate de dezvoltare pe termen mediu și lung.</w:t>
      </w:r>
    </w:p>
    <w:p w:rsidR="00FC518A" w:rsidRPr="003202D6" w:rsidRDefault="00FC518A" w:rsidP="003202D6">
      <w:pPr>
        <w:rPr>
          <w:lang w:val="ro-RO"/>
        </w:rPr>
      </w:pPr>
    </w:p>
    <w:p w:rsidR="00AA3897" w:rsidRPr="00F97DD9" w:rsidRDefault="00F97DD9" w:rsidP="003202D6">
      <w:pPr>
        <w:jc w:val="both"/>
        <w:rPr>
          <w:b/>
          <w:lang w:val="en-GB"/>
        </w:rPr>
      </w:pPr>
      <w:r>
        <w:rPr>
          <w:b/>
          <w:lang w:val="en-GB"/>
        </w:rPr>
        <w:t>BIBLIOGRAPH</w:t>
      </w:r>
      <w:r w:rsidRPr="00F97DD9">
        <w:rPr>
          <w:b/>
          <w:lang w:val="en-GB"/>
        </w:rPr>
        <w:t>Y</w:t>
      </w:r>
    </w:p>
    <w:p w:rsidR="003202D6" w:rsidRPr="00197D8B" w:rsidRDefault="003202D6" w:rsidP="003202D6">
      <w:pPr>
        <w:jc w:val="both"/>
        <w:rPr>
          <w:lang w:val="ro-RO"/>
        </w:rPr>
      </w:pPr>
    </w:p>
    <w:p w:rsidR="00F74768" w:rsidRPr="00B773CA" w:rsidRDefault="00F74768" w:rsidP="00F74768">
      <w:pPr>
        <w:pStyle w:val="Listparagraf"/>
        <w:numPr>
          <w:ilvl w:val="0"/>
          <w:numId w:val="3"/>
        </w:numPr>
        <w:jc w:val="both"/>
        <w:rPr>
          <w:color w:val="000000"/>
          <w:shd w:val="clear" w:color="auto" w:fill="FFFFFF"/>
        </w:rPr>
      </w:pPr>
      <w:r>
        <w:rPr>
          <w:color w:val="000000"/>
          <w:shd w:val="clear" w:color="auto" w:fill="FFFFFF"/>
        </w:rPr>
        <w:t xml:space="preserve">Allen, M., </w:t>
      </w:r>
      <w:r w:rsidRPr="00B773CA">
        <w:rPr>
          <w:color w:val="000000"/>
          <w:shd w:val="clear" w:color="auto" w:fill="FFFFFF"/>
        </w:rPr>
        <w:t>R</w:t>
      </w:r>
      <w:r>
        <w:rPr>
          <w:color w:val="000000"/>
          <w:shd w:val="clear" w:color="auto" w:fill="FFFFFF"/>
        </w:rPr>
        <w:t xml:space="preserve">osenberg, C., Keller, C., </w:t>
      </w:r>
      <w:proofErr w:type="spellStart"/>
      <w:r w:rsidRPr="00B773CA">
        <w:rPr>
          <w:color w:val="000000"/>
          <w:shd w:val="clear" w:color="auto" w:fill="FFFFFF"/>
        </w:rPr>
        <w:t>Setser</w:t>
      </w:r>
      <w:proofErr w:type="spellEnd"/>
      <w:r>
        <w:rPr>
          <w:color w:val="000000"/>
          <w:shd w:val="clear" w:color="auto" w:fill="FFFFFF"/>
        </w:rPr>
        <w:t>, B.</w:t>
      </w:r>
      <w:r w:rsidRPr="00B773CA">
        <w:rPr>
          <w:color w:val="000000"/>
          <w:shd w:val="clear" w:color="auto" w:fill="FFFFFF"/>
        </w:rPr>
        <w:t xml:space="preserve">, and </w:t>
      </w:r>
      <w:proofErr w:type="spellStart"/>
      <w:r w:rsidRPr="00B773CA">
        <w:rPr>
          <w:color w:val="000000"/>
          <w:shd w:val="clear" w:color="auto" w:fill="FFFFFF"/>
        </w:rPr>
        <w:t>Roubini</w:t>
      </w:r>
      <w:proofErr w:type="spellEnd"/>
      <w:r>
        <w:rPr>
          <w:color w:val="000000"/>
          <w:shd w:val="clear" w:color="auto" w:fill="FFFFFF"/>
        </w:rPr>
        <w:t>, N.</w:t>
      </w:r>
      <w:r w:rsidRPr="00B773CA">
        <w:rPr>
          <w:color w:val="000000"/>
          <w:shd w:val="clear" w:color="auto" w:fill="FFFFFF"/>
        </w:rPr>
        <w:t xml:space="preserve"> (2002).</w:t>
      </w:r>
      <w:r>
        <w:rPr>
          <w:color w:val="000000"/>
          <w:shd w:val="clear" w:color="auto" w:fill="FFFFFF"/>
        </w:rPr>
        <w:t xml:space="preserve"> </w:t>
      </w:r>
      <w:r w:rsidRPr="00B773CA">
        <w:rPr>
          <w:i/>
          <w:color w:val="000000"/>
          <w:shd w:val="clear" w:color="auto" w:fill="FFFFFF"/>
        </w:rPr>
        <w:t>A Balance Sheet A</w:t>
      </w:r>
      <w:r>
        <w:rPr>
          <w:i/>
          <w:color w:val="000000"/>
          <w:shd w:val="clear" w:color="auto" w:fill="FFFFFF"/>
        </w:rPr>
        <w:t>pproach to Financial Crisis.</w:t>
      </w:r>
      <w:r w:rsidRPr="00B773CA">
        <w:rPr>
          <w:color w:val="000000"/>
          <w:shd w:val="clear" w:color="auto" w:fill="FFFFFF"/>
        </w:rPr>
        <w:t xml:space="preserve"> IMF Working Paper</w:t>
      </w:r>
      <w:r>
        <w:rPr>
          <w:color w:val="000000"/>
          <w:shd w:val="clear" w:color="auto" w:fill="FFFFFF"/>
        </w:rPr>
        <w:t>, 2(</w:t>
      </w:r>
      <w:r w:rsidRPr="00B773CA">
        <w:rPr>
          <w:color w:val="000000"/>
          <w:shd w:val="clear" w:color="auto" w:fill="FFFFFF"/>
        </w:rPr>
        <w:t>210</w:t>
      </w:r>
      <w:r>
        <w:rPr>
          <w:color w:val="000000"/>
          <w:shd w:val="clear" w:color="auto" w:fill="FFFFFF"/>
        </w:rPr>
        <w:t>).</w:t>
      </w:r>
    </w:p>
    <w:p w:rsidR="00F74768" w:rsidRPr="00DC557A" w:rsidRDefault="00F74768" w:rsidP="00F74768">
      <w:pPr>
        <w:pStyle w:val="Listparagraf"/>
        <w:numPr>
          <w:ilvl w:val="0"/>
          <w:numId w:val="3"/>
        </w:numPr>
        <w:jc w:val="both"/>
        <w:rPr>
          <w:color w:val="000000"/>
          <w:shd w:val="clear" w:color="auto" w:fill="FFFFFF"/>
        </w:rPr>
      </w:pPr>
      <w:r w:rsidRPr="00DC557A">
        <w:rPr>
          <w:color w:val="000000"/>
          <w:shd w:val="clear" w:color="auto" w:fill="FFFFFF"/>
          <w:lang w:val="it-CH"/>
        </w:rPr>
        <w:t>Al-Mamun</w:t>
      </w:r>
      <w:r>
        <w:rPr>
          <w:color w:val="000000"/>
          <w:shd w:val="clear" w:color="auto" w:fill="FFFFFF"/>
          <w:lang w:val="it-CH"/>
        </w:rPr>
        <w:t>,</w:t>
      </w:r>
      <w:r w:rsidRPr="00DC557A">
        <w:rPr>
          <w:color w:val="000000"/>
          <w:shd w:val="clear" w:color="auto" w:fill="FFFFFF"/>
          <w:lang w:val="it-CH"/>
        </w:rPr>
        <w:t xml:space="preserve"> A., </w:t>
      </w:r>
      <w:r>
        <w:rPr>
          <w:color w:val="000000"/>
          <w:shd w:val="clear" w:color="auto" w:fill="FFFFFF"/>
          <w:lang w:val="it-CH"/>
        </w:rPr>
        <w:t>and</w:t>
      </w:r>
      <w:r w:rsidRPr="00DC557A">
        <w:rPr>
          <w:color w:val="000000"/>
          <w:shd w:val="clear" w:color="auto" w:fill="FFFFFF"/>
          <w:lang w:val="it-CH"/>
        </w:rPr>
        <w:t xml:space="preserve"> Mazumder</w:t>
      </w:r>
      <w:r>
        <w:rPr>
          <w:color w:val="000000"/>
          <w:shd w:val="clear" w:color="auto" w:fill="FFFFFF"/>
          <w:lang w:val="it-CH"/>
        </w:rPr>
        <w:t>,</w:t>
      </w:r>
      <w:r w:rsidRPr="00DC557A">
        <w:rPr>
          <w:color w:val="000000"/>
          <w:shd w:val="clear" w:color="auto" w:fill="FFFFFF"/>
          <w:lang w:val="it-CH"/>
        </w:rPr>
        <w:t xml:space="preserve"> M. N. H. (2015). </w:t>
      </w:r>
      <w:r w:rsidRPr="00DC557A">
        <w:rPr>
          <w:i/>
          <w:color w:val="000000"/>
          <w:shd w:val="clear" w:color="auto" w:fill="FFFFFF"/>
        </w:rPr>
        <w:t>Impact of microcredit on income, poverty, and economic vulnerability in Peninsular Malaysia.</w:t>
      </w:r>
      <w:r w:rsidRPr="00DC557A">
        <w:rPr>
          <w:color w:val="000000"/>
          <w:shd w:val="clear" w:color="auto" w:fill="FFFFFF"/>
        </w:rPr>
        <w:t xml:space="preserve"> Development in Practice, 25(3), 333-346.</w:t>
      </w:r>
    </w:p>
    <w:p w:rsidR="00F74768" w:rsidRDefault="00F74768" w:rsidP="00F74768">
      <w:pPr>
        <w:pStyle w:val="Listparagraf"/>
        <w:numPr>
          <w:ilvl w:val="0"/>
          <w:numId w:val="3"/>
        </w:numPr>
        <w:jc w:val="both"/>
        <w:rPr>
          <w:iCs/>
          <w:color w:val="000000"/>
          <w:shd w:val="clear" w:color="auto" w:fill="FFFFFF"/>
          <w:lang w:val="it-CH"/>
        </w:rPr>
      </w:pPr>
      <w:proofErr w:type="spellStart"/>
      <w:r w:rsidRPr="00DC557A">
        <w:rPr>
          <w:color w:val="000000"/>
          <w:shd w:val="clear" w:color="auto" w:fill="FFFFFF"/>
        </w:rPr>
        <w:t>Burde</w:t>
      </w:r>
      <w:proofErr w:type="spellEnd"/>
      <w:r w:rsidRPr="00DC557A">
        <w:rPr>
          <w:color w:val="000000"/>
          <w:shd w:val="clear" w:color="auto" w:fill="FFFFFF"/>
        </w:rPr>
        <w:t>, G. (2018). </w:t>
      </w:r>
      <w:r w:rsidRPr="00DC557A">
        <w:rPr>
          <w:i/>
          <w:iCs/>
          <w:color w:val="000000"/>
          <w:shd w:val="clear" w:color="auto" w:fill="FFFFFF"/>
        </w:rPr>
        <w:t xml:space="preserve">Improved Methods for Predicting the Financial Vulnerability of Nonprofit Organizations. </w:t>
      </w:r>
      <w:r w:rsidRPr="00DC557A">
        <w:rPr>
          <w:iCs/>
          <w:color w:val="000000"/>
          <w:shd w:val="clear" w:color="auto" w:fill="FFFFFF"/>
          <w:lang w:val="it-CH"/>
        </w:rPr>
        <w:t>Administrative Sciences, 8(1), 3.</w:t>
      </w:r>
    </w:p>
    <w:p w:rsidR="00F74768" w:rsidRPr="00DC557A" w:rsidRDefault="00F74768" w:rsidP="00F74768">
      <w:pPr>
        <w:pStyle w:val="Listparagraf"/>
        <w:numPr>
          <w:ilvl w:val="0"/>
          <w:numId w:val="3"/>
        </w:numPr>
        <w:jc w:val="both"/>
        <w:rPr>
          <w:iCs/>
          <w:color w:val="000000"/>
          <w:shd w:val="clear" w:color="auto" w:fill="FFFFFF"/>
          <w:lang w:val="it-CH"/>
        </w:rPr>
      </w:pPr>
      <w:r>
        <w:rPr>
          <w:iCs/>
          <w:color w:val="000000"/>
          <w:shd w:val="clear" w:color="auto" w:fill="FFFFFF"/>
          <w:lang w:val="it-CH"/>
        </w:rPr>
        <w:t xml:space="preserve">Bostan, I., and Grosu, V. (2010). </w:t>
      </w:r>
      <w:r w:rsidRPr="0064247F">
        <w:rPr>
          <w:i/>
          <w:iCs/>
          <w:color w:val="000000"/>
          <w:shd w:val="clear" w:color="auto" w:fill="FFFFFF"/>
          <w:lang w:val="it-CH"/>
        </w:rPr>
        <w:t>The social effects of the current economic crisis on the European Union labour market</w:t>
      </w:r>
      <w:r>
        <w:rPr>
          <w:iCs/>
          <w:color w:val="000000"/>
          <w:shd w:val="clear" w:color="auto" w:fill="FFFFFF"/>
          <w:lang w:val="it-CH"/>
        </w:rPr>
        <w:t xml:space="preserve">. </w:t>
      </w:r>
      <w:r w:rsidRPr="0064247F">
        <w:rPr>
          <w:iCs/>
          <w:color w:val="000000"/>
          <w:shd w:val="clear" w:color="auto" w:fill="FFFFFF"/>
          <w:lang w:val="it-CH"/>
        </w:rPr>
        <w:t>Revista de Cercetare şi Intervenţie Socială</w:t>
      </w:r>
      <w:r>
        <w:rPr>
          <w:iCs/>
          <w:color w:val="000000"/>
          <w:shd w:val="clear" w:color="auto" w:fill="FFFFFF"/>
          <w:lang w:val="it-CH"/>
        </w:rPr>
        <w:t>, 31, 7-21.</w:t>
      </w:r>
    </w:p>
    <w:p w:rsidR="00F74768" w:rsidRPr="00DC557A" w:rsidRDefault="00F74768" w:rsidP="00F74768">
      <w:pPr>
        <w:pStyle w:val="Listparagraf"/>
        <w:numPr>
          <w:ilvl w:val="0"/>
          <w:numId w:val="3"/>
        </w:numPr>
        <w:jc w:val="both"/>
        <w:rPr>
          <w:color w:val="000000" w:themeColor="text1"/>
          <w:lang w:val="ro-RO"/>
        </w:rPr>
      </w:pPr>
      <w:proofErr w:type="spellStart"/>
      <w:r w:rsidRPr="00DC557A">
        <w:rPr>
          <w:color w:val="000000" w:themeColor="text1"/>
          <w:lang w:val="ro-RO"/>
        </w:rPr>
        <w:t>Díaz-Roldán</w:t>
      </w:r>
      <w:proofErr w:type="spellEnd"/>
      <w:r w:rsidRPr="00DC557A">
        <w:rPr>
          <w:color w:val="000000" w:themeColor="text1"/>
          <w:lang w:val="ro-RO"/>
        </w:rPr>
        <w:t>, C., Ferrari-</w:t>
      </w:r>
      <w:proofErr w:type="spellStart"/>
      <w:r w:rsidRPr="00DC557A">
        <w:rPr>
          <w:color w:val="000000" w:themeColor="text1"/>
          <w:lang w:val="ro-RO"/>
        </w:rPr>
        <w:t>Filho</w:t>
      </w:r>
      <w:proofErr w:type="spellEnd"/>
      <w:r w:rsidRPr="00DC557A">
        <w:rPr>
          <w:color w:val="000000" w:themeColor="text1"/>
          <w:lang w:val="ro-RO"/>
        </w:rPr>
        <w:t xml:space="preserve">, F., </w:t>
      </w:r>
      <w:proofErr w:type="spellStart"/>
      <w:r>
        <w:rPr>
          <w:color w:val="000000" w:themeColor="text1"/>
          <w:lang w:val="ro-RO"/>
        </w:rPr>
        <w:t>and</w:t>
      </w:r>
      <w:proofErr w:type="spellEnd"/>
      <w:r w:rsidRPr="00DC557A">
        <w:rPr>
          <w:color w:val="000000" w:themeColor="text1"/>
          <w:lang w:val="ro-RO"/>
        </w:rPr>
        <w:t xml:space="preserve"> da Silva </w:t>
      </w:r>
      <w:proofErr w:type="spellStart"/>
      <w:r w:rsidRPr="00DC557A">
        <w:rPr>
          <w:color w:val="000000" w:themeColor="text1"/>
          <w:lang w:val="ro-RO"/>
        </w:rPr>
        <w:t>Bichara</w:t>
      </w:r>
      <w:proofErr w:type="spellEnd"/>
      <w:r w:rsidRPr="00DC557A">
        <w:rPr>
          <w:color w:val="000000" w:themeColor="text1"/>
          <w:lang w:val="ro-RO"/>
        </w:rPr>
        <w:t xml:space="preserve">, J. (2018). </w:t>
      </w:r>
      <w:r w:rsidRPr="00DC557A">
        <w:rPr>
          <w:i/>
          <w:color w:val="000000" w:themeColor="text1"/>
          <w:lang w:val="ro-RO"/>
        </w:rPr>
        <w:t xml:space="preserve">The performance of fiscal </w:t>
      </w:r>
      <w:proofErr w:type="spellStart"/>
      <w:r w:rsidRPr="00DC557A">
        <w:rPr>
          <w:i/>
          <w:color w:val="000000" w:themeColor="text1"/>
          <w:lang w:val="ro-RO"/>
        </w:rPr>
        <w:t>policy</w:t>
      </w:r>
      <w:proofErr w:type="spellEnd"/>
      <w:r w:rsidRPr="00DC557A">
        <w:rPr>
          <w:i/>
          <w:color w:val="000000" w:themeColor="text1"/>
          <w:lang w:val="ro-RO"/>
        </w:rPr>
        <w:t xml:space="preserve"> </w:t>
      </w:r>
      <w:proofErr w:type="spellStart"/>
      <w:r w:rsidRPr="00DC557A">
        <w:rPr>
          <w:i/>
          <w:color w:val="000000" w:themeColor="text1"/>
          <w:lang w:val="ro-RO"/>
        </w:rPr>
        <w:t>under</w:t>
      </w:r>
      <w:proofErr w:type="spellEnd"/>
      <w:r w:rsidRPr="00DC557A">
        <w:rPr>
          <w:i/>
          <w:color w:val="000000" w:themeColor="text1"/>
          <w:lang w:val="ro-RO"/>
        </w:rPr>
        <w:t xml:space="preserve"> an </w:t>
      </w:r>
      <w:proofErr w:type="spellStart"/>
      <w:r w:rsidRPr="00DC557A">
        <w:rPr>
          <w:i/>
          <w:color w:val="000000" w:themeColor="text1"/>
          <w:lang w:val="ro-RO"/>
        </w:rPr>
        <w:t>inflation</w:t>
      </w:r>
      <w:proofErr w:type="spellEnd"/>
      <w:r w:rsidRPr="00DC557A">
        <w:rPr>
          <w:i/>
          <w:color w:val="000000" w:themeColor="text1"/>
          <w:lang w:val="ro-RO"/>
        </w:rPr>
        <w:t xml:space="preserve"> </w:t>
      </w:r>
      <w:proofErr w:type="spellStart"/>
      <w:r w:rsidRPr="00DC557A">
        <w:rPr>
          <w:i/>
          <w:color w:val="000000" w:themeColor="text1"/>
          <w:lang w:val="ro-RO"/>
        </w:rPr>
        <w:t>targeting</w:t>
      </w:r>
      <w:proofErr w:type="spellEnd"/>
      <w:r w:rsidRPr="00DC557A">
        <w:rPr>
          <w:i/>
          <w:color w:val="000000" w:themeColor="text1"/>
          <w:lang w:val="ro-RO"/>
        </w:rPr>
        <w:t xml:space="preserve"> </w:t>
      </w:r>
      <w:proofErr w:type="spellStart"/>
      <w:r w:rsidRPr="00DC557A">
        <w:rPr>
          <w:i/>
          <w:color w:val="000000" w:themeColor="text1"/>
          <w:lang w:val="ro-RO"/>
        </w:rPr>
        <w:t>regime</w:t>
      </w:r>
      <w:proofErr w:type="spellEnd"/>
      <w:r w:rsidRPr="00DC557A">
        <w:rPr>
          <w:i/>
          <w:color w:val="000000" w:themeColor="text1"/>
          <w:lang w:val="ro-RO"/>
        </w:rPr>
        <w:t xml:space="preserve">: </w:t>
      </w:r>
      <w:proofErr w:type="spellStart"/>
      <w:r w:rsidRPr="00DC557A">
        <w:rPr>
          <w:i/>
          <w:color w:val="000000" w:themeColor="text1"/>
          <w:lang w:val="ro-RO"/>
        </w:rPr>
        <w:t>What</w:t>
      </w:r>
      <w:proofErr w:type="spellEnd"/>
      <w:r w:rsidRPr="00DC557A">
        <w:rPr>
          <w:i/>
          <w:color w:val="000000" w:themeColor="text1"/>
          <w:lang w:val="ro-RO"/>
        </w:rPr>
        <w:t xml:space="preserve"> </w:t>
      </w:r>
      <w:proofErr w:type="spellStart"/>
      <w:r w:rsidRPr="00DC557A">
        <w:rPr>
          <w:i/>
          <w:color w:val="000000" w:themeColor="text1"/>
          <w:lang w:val="ro-RO"/>
        </w:rPr>
        <w:t>can</w:t>
      </w:r>
      <w:proofErr w:type="spellEnd"/>
      <w:r w:rsidRPr="00DC557A">
        <w:rPr>
          <w:i/>
          <w:color w:val="000000" w:themeColor="text1"/>
          <w:lang w:val="ro-RO"/>
        </w:rPr>
        <w:t xml:space="preserve"> </w:t>
      </w:r>
      <w:proofErr w:type="spellStart"/>
      <w:r w:rsidRPr="00DC557A">
        <w:rPr>
          <w:i/>
          <w:color w:val="000000" w:themeColor="text1"/>
          <w:lang w:val="ro-RO"/>
        </w:rPr>
        <w:t>be</w:t>
      </w:r>
      <w:proofErr w:type="spellEnd"/>
      <w:r w:rsidRPr="00DC557A">
        <w:rPr>
          <w:i/>
          <w:color w:val="000000" w:themeColor="text1"/>
          <w:lang w:val="ro-RO"/>
        </w:rPr>
        <w:t xml:space="preserve"> </w:t>
      </w:r>
      <w:proofErr w:type="spellStart"/>
      <w:r w:rsidRPr="00DC557A">
        <w:rPr>
          <w:i/>
          <w:color w:val="000000" w:themeColor="text1"/>
          <w:lang w:val="ro-RO"/>
        </w:rPr>
        <w:t>learned</w:t>
      </w:r>
      <w:proofErr w:type="spellEnd"/>
      <w:r w:rsidRPr="00DC557A">
        <w:rPr>
          <w:i/>
          <w:color w:val="000000" w:themeColor="text1"/>
          <w:lang w:val="ro-RO"/>
        </w:rPr>
        <w:t xml:space="preserve"> </w:t>
      </w:r>
      <w:proofErr w:type="spellStart"/>
      <w:r w:rsidRPr="00DC557A">
        <w:rPr>
          <w:i/>
          <w:color w:val="000000" w:themeColor="text1"/>
          <w:lang w:val="ro-RO"/>
        </w:rPr>
        <w:t>by</w:t>
      </w:r>
      <w:proofErr w:type="spellEnd"/>
      <w:r w:rsidRPr="00DC557A">
        <w:rPr>
          <w:i/>
          <w:color w:val="000000" w:themeColor="text1"/>
          <w:lang w:val="ro-RO"/>
        </w:rPr>
        <w:t xml:space="preserve"> </w:t>
      </w:r>
      <w:proofErr w:type="spellStart"/>
      <w:r w:rsidRPr="00DC557A">
        <w:rPr>
          <w:i/>
          <w:color w:val="000000" w:themeColor="text1"/>
          <w:lang w:val="ro-RO"/>
        </w:rPr>
        <w:t>the</w:t>
      </w:r>
      <w:proofErr w:type="spellEnd"/>
      <w:r w:rsidRPr="00DC557A">
        <w:rPr>
          <w:i/>
          <w:color w:val="000000" w:themeColor="text1"/>
          <w:lang w:val="ro-RO"/>
        </w:rPr>
        <w:t xml:space="preserve"> Brazilian fiscal </w:t>
      </w:r>
      <w:proofErr w:type="spellStart"/>
      <w:r w:rsidRPr="00DC557A">
        <w:rPr>
          <w:i/>
          <w:color w:val="000000" w:themeColor="text1"/>
          <w:lang w:val="ro-RO"/>
        </w:rPr>
        <w:t>rules</w:t>
      </w:r>
      <w:proofErr w:type="spellEnd"/>
      <w:r w:rsidRPr="00DC557A">
        <w:rPr>
          <w:i/>
          <w:color w:val="000000" w:themeColor="text1"/>
          <w:lang w:val="ro-RO"/>
        </w:rPr>
        <w:t>?</w:t>
      </w:r>
      <w:r w:rsidRPr="00DC557A">
        <w:rPr>
          <w:color w:val="000000" w:themeColor="text1"/>
          <w:lang w:val="ro-RO"/>
        </w:rPr>
        <w:t xml:space="preserve"> </w:t>
      </w:r>
      <w:proofErr w:type="spellStart"/>
      <w:r w:rsidRPr="00DC557A">
        <w:rPr>
          <w:color w:val="000000" w:themeColor="text1"/>
          <w:lang w:val="ro-RO"/>
        </w:rPr>
        <w:t>Metroeconomica</w:t>
      </w:r>
      <w:proofErr w:type="spellEnd"/>
      <w:r w:rsidRPr="00DC557A">
        <w:rPr>
          <w:color w:val="000000" w:themeColor="text1"/>
          <w:lang w:val="ro-RO"/>
        </w:rPr>
        <w:t>, 1-21.</w:t>
      </w:r>
    </w:p>
    <w:p w:rsidR="00F74768" w:rsidRPr="00DC557A" w:rsidRDefault="00F74768" w:rsidP="00F74768">
      <w:pPr>
        <w:pStyle w:val="Listparagraf"/>
        <w:numPr>
          <w:ilvl w:val="0"/>
          <w:numId w:val="3"/>
        </w:numPr>
        <w:jc w:val="both"/>
        <w:rPr>
          <w:color w:val="000000"/>
          <w:szCs w:val="27"/>
          <w:shd w:val="clear" w:color="auto" w:fill="FFFFFF"/>
        </w:rPr>
      </w:pPr>
      <w:proofErr w:type="spellStart"/>
      <w:r w:rsidRPr="00DC557A">
        <w:rPr>
          <w:color w:val="000000"/>
          <w:szCs w:val="27"/>
          <w:shd w:val="clear" w:color="auto" w:fill="FFFFFF"/>
        </w:rPr>
        <w:t>Hafner</w:t>
      </w:r>
      <w:proofErr w:type="spellEnd"/>
      <w:r w:rsidRPr="00DC557A">
        <w:rPr>
          <w:color w:val="000000"/>
          <w:szCs w:val="27"/>
          <w:shd w:val="clear" w:color="auto" w:fill="FFFFFF"/>
        </w:rPr>
        <w:t xml:space="preserve">, K. A. (2018). </w:t>
      </w:r>
      <w:r w:rsidRPr="00DC557A">
        <w:rPr>
          <w:i/>
          <w:color w:val="000000"/>
          <w:szCs w:val="27"/>
          <w:shd w:val="clear" w:color="auto" w:fill="FFFFFF"/>
        </w:rPr>
        <w:t xml:space="preserve">Growth-instability frontier and industrial diversification: Evidence from European gross value added. </w:t>
      </w:r>
      <w:r w:rsidRPr="00DC557A">
        <w:rPr>
          <w:color w:val="000000"/>
          <w:szCs w:val="27"/>
          <w:shd w:val="clear" w:color="auto" w:fill="FFFFFF"/>
        </w:rPr>
        <w:t>Papers in Regional Science, 1-26.</w:t>
      </w:r>
    </w:p>
    <w:p w:rsidR="00F74768" w:rsidRPr="00DC557A" w:rsidRDefault="00F74768" w:rsidP="00F74768">
      <w:pPr>
        <w:pStyle w:val="Listparagraf"/>
        <w:numPr>
          <w:ilvl w:val="0"/>
          <w:numId w:val="3"/>
        </w:numPr>
        <w:jc w:val="both"/>
        <w:rPr>
          <w:color w:val="000000"/>
          <w:szCs w:val="27"/>
          <w:shd w:val="clear" w:color="auto" w:fill="FFFFFF"/>
        </w:rPr>
      </w:pPr>
      <w:proofErr w:type="spellStart"/>
      <w:r w:rsidRPr="00DC557A">
        <w:rPr>
          <w:color w:val="000000"/>
          <w:szCs w:val="27"/>
          <w:shd w:val="clear" w:color="auto" w:fill="FFFFFF"/>
        </w:rPr>
        <w:lastRenderedPageBreak/>
        <w:t>Hahm</w:t>
      </w:r>
      <w:proofErr w:type="spellEnd"/>
      <w:r w:rsidRPr="00DC557A">
        <w:rPr>
          <w:color w:val="000000"/>
          <w:szCs w:val="27"/>
          <w:shd w:val="clear" w:color="auto" w:fill="FFFFFF"/>
        </w:rPr>
        <w:t xml:space="preserve">, J. H., Shin, H. S., </w:t>
      </w:r>
      <w:r>
        <w:rPr>
          <w:color w:val="000000"/>
          <w:szCs w:val="27"/>
          <w:shd w:val="clear" w:color="auto" w:fill="FFFFFF"/>
        </w:rPr>
        <w:t>and</w:t>
      </w:r>
      <w:r w:rsidRPr="00DC557A">
        <w:rPr>
          <w:color w:val="000000"/>
          <w:szCs w:val="27"/>
          <w:shd w:val="clear" w:color="auto" w:fill="FFFFFF"/>
        </w:rPr>
        <w:t xml:space="preserve"> Shin, K. (2013). </w:t>
      </w:r>
      <w:r w:rsidRPr="00DC557A">
        <w:rPr>
          <w:i/>
          <w:color w:val="000000"/>
          <w:szCs w:val="27"/>
          <w:shd w:val="clear" w:color="auto" w:fill="FFFFFF"/>
        </w:rPr>
        <w:t xml:space="preserve">Noncore bank liabilities and financial vulnerability. </w:t>
      </w:r>
      <w:r w:rsidRPr="00DC557A">
        <w:rPr>
          <w:color w:val="000000"/>
          <w:szCs w:val="27"/>
          <w:shd w:val="clear" w:color="auto" w:fill="FFFFFF"/>
        </w:rPr>
        <w:t>Journal of Money.</w:t>
      </w:r>
      <w:r w:rsidRPr="00DC557A">
        <w:rPr>
          <w:i/>
          <w:color w:val="000000"/>
          <w:szCs w:val="27"/>
          <w:shd w:val="clear" w:color="auto" w:fill="FFFFFF"/>
        </w:rPr>
        <w:t xml:space="preserve"> </w:t>
      </w:r>
      <w:r w:rsidRPr="00DC557A">
        <w:rPr>
          <w:color w:val="000000"/>
          <w:szCs w:val="27"/>
          <w:shd w:val="clear" w:color="auto" w:fill="FFFFFF"/>
        </w:rPr>
        <w:t>Credit and Banking, 45(s1), 3-36.</w:t>
      </w:r>
    </w:p>
    <w:p w:rsidR="00F74768" w:rsidRPr="00DC557A" w:rsidRDefault="00F74768" w:rsidP="00F74768">
      <w:pPr>
        <w:pStyle w:val="Listparagraf"/>
        <w:numPr>
          <w:ilvl w:val="0"/>
          <w:numId w:val="3"/>
        </w:numPr>
        <w:jc w:val="both"/>
        <w:rPr>
          <w:color w:val="000000"/>
          <w:szCs w:val="27"/>
          <w:shd w:val="clear" w:color="auto" w:fill="FFFFFF"/>
        </w:rPr>
      </w:pPr>
      <w:proofErr w:type="spellStart"/>
      <w:r w:rsidRPr="00DC557A">
        <w:rPr>
          <w:color w:val="000000"/>
          <w:szCs w:val="27"/>
          <w:shd w:val="clear" w:color="auto" w:fill="FFFFFF"/>
        </w:rPr>
        <w:t>Ivanyna</w:t>
      </w:r>
      <w:proofErr w:type="spellEnd"/>
      <w:r w:rsidRPr="00DC557A">
        <w:rPr>
          <w:color w:val="000000"/>
          <w:szCs w:val="27"/>
          <w:shd w:val="clear" w:color="auto" w:fill="FFFFFF"/>
        </w:rPr>
        <w:t xml:space="preserve">, M., </w:t>
      </w:r>
      <w:proofErr w:type="spellStart"/>
      <w:r w:rsidRPr="00DC557A">
        <w:rPr>
          <w:color w:val="000000"/>
          <w:szCs w:val="27"/>
          <w:shd w:val="clear" w:color="auto" w:fill="FFFFFF"/>
        </w:rPr>
        <w:t>Mourmouras</w:t>
      </w:r>
      <w:proofErr w:type="spellEnd"/>
      <w:r w:rsidRPr="00DC557A">
        <w:rPr>
          <w:color w:val="000000"/>
          <w:szCs w:val="27"/>
          <w:shd w:val="clear" w:color="auto" w:fill="FFFFFF"/>
        </w:rPr>
        <w:t xml:space="preserve">, A., </w:t>
      </w:r>
      <w:r>
        <w:rPr>
          <w:color w:val="000000"/>
          <w:szCs w:val="27"/>
          <w:shd w:val="clear" w:color="auto" w:fill="FFFFFF"/>
        </w:rPr>
        <w:t>and</w:t>
      </w:r>
      <w:r w:rsidRPr="00DC557A">
        <w:rPr>
          <w:color w:val="000000"/>
          <w:szCs w:val="27"/>
          <w:shd w:val="clear" w:color="auto" w:fill="FFFFFF"/>
        </w:rPr>
        <w:t xml:space="preserve"> </w:t>
      </w:r>
      <w:proofErr w:type="spellStart"/>
      <w:r w:rsidRPr="00DC557A">
        <w:rPr>
          <w:color w:val="000000"/>
          <w:szCs w:val="27"/>
          <w:shd w:val="clear" w:color="auto" w:fill="FFFFFF"/>
        </w:rPr>
        <w:t>Rangazas</w:t>
      </w:r>
      <w:proofErr w:type="spellEnd"/>
      <w:r w:rsidRPr="00DC557A">
        <w:rPr>
          <w:color w:val="000000"/>
          <w:szCs w:val="27"/>
          <w:shd w:val="clear" w:color="auto" w:fill="FFFFFF"/>
        </w:rPr>
        <w:t xml:space="preserve">, P. (2017). </w:t>
      </w:r>
      <w:r w:rsidRPr="00DC557A">
        <w:rPr>
          <w:i/>
          <w:color w:val="000000"/>
          <w:szCs w:val="27"/>
          <w:shd w:val="clear" w:color="auto" w:fill="FFFFFF"/>
        </w:rPr>
        <w:t xml:space="preserve">The Political Economy of Fiscal Reforms. </w:t>
      </w:r>
      <w:r w:rsidRPr="00DC557A">
        <w:rPr>
          <w:color w:val="000000"/>
          <w:szCs w:val="27"/>
          <w:shd w:val="clear" w:color="auto" w:fill="FFFFFF"/>
        </w:rPr>
        <w:t>The Macroeconomics of Corruption, 227–265.</w:t>
      </w:r>
    </w:p>
    <w:p w:rsidR="00F74768" w:rsidRPr="00DC557A" w:rsidRDefault="00F74768" w:rsidP="00F74768">
      <w:pPr>
        <w:pStyle w:val="Listparagraf"/>
        <w:numPr>
          <w:ilvl w:val="0"/>
          <w:numId w:val="3"/>
        </w:numPr>
        <w:jc w:val="both"/>
        <w:rPr>
          <w:color w:val="000000"/>
          <w:szCs w:val="27"/>
          <w:shd w:val="clear" w:color="auto" w:fill="FFFFFF"/>
        </w:rPr>
      </w:pPr>
      <w:r w:rsidRPr="00DC557A">
        <w:rPr>
          <w:color w:val="000000"/>
          <w:szCs w:val="27"/>
          <w:shd w:val="clear" w:color="auto" w:fill="FFFFFF"/>
        </w:rPr>
        <w:t xml:space="preserve">International Monetary Fund. (1998). </w:t>
      </w:r>
      <w:r w:rsidRPr="00DC557A">
        <w:rPr>
          <w:i/>
          <w:color w:val="000000"/>
          <w:szCs w:val="27"/>
          <w:shd w:val="clear" w:color="auto" w:fill="FFFFFF"/>
        </w:rPr>
        <w:t>World Economic Outlook, May 1998: A Survey by the Staff of the International Monetary Fund, World Economic and Financial Surveys</w:t>
      </w:r>
      <w:r w:rsidRPr="00DC557A">
        <w:rPr>
          <w:color w:val="000000"/>
          <w:szCs w:val="27"/>
          <w:shd w:val="clear" w:color="auto" w:fill="FFFFFF"/>
        </w:rPr>
        <w:t xml:space="preserve"> (Washington).</w:t>
      </w:r>
    </w:p>
    <w:p w:rsidR="00F74768" w:rsidRPr="00DC557A" w:rsidRDefault="00F74768" w:rsidP="00F74768">
      <w:pPr>
        <w:pStyle w:val="Listparagraf"/>
        <w:numPr>
          <w:ilvl w:val="0"/>
          <w:numId w:val="3"/>
        </w:numPr>
        <w:jc w:val="both"/>
        <w:rPr>
          <w:color w:val="000000"/>
          <w:szCs w:val="27"/>
          <w:shd w:val="clear" w:color="auto" w:fill="FFFFFF"/>
        </w:rPr>
      </w:pPr>
      <w:proofErr w:type="spellStart"/>
      <w:r w:rsidRPr="00DC557A">
        <w:rPr>
          <w:color w:val="000000"/>
          <w:szCs w:val="27"/>
          <w:shd w:val="clear" w:color="auto" w:fill="FFFFFF"/>
        </w:rPr>
        <w:t>Jänicke</w:t>
      </w:r>
      <w:proofErr w:type="spellEnd"/>
      <w:r w:rsidRPr="00DC557A">
        <w:rPr>
          <w:color w:val="000000"/>
          <w:szCs w:val="27"/>
          <w:shd w:val="clear" w:color="auto" w:fill="FFFFFF"/>
        </w:rPr>
        <w:t xml:space="preserve">, M. (2012). </w:t>
      </w:r>
      <w:r w:rsidRPr="00DC557A">
        <w:rPr>
          <w:i/>
          <w:color w:val="000000"/>
          <w:szCs w:val="27"/>
          <w:shd w:val="clear" w:color="auto" w:fill="FFFFFF"/>
        </w:rPr>
        <w:t>“Green growth”: From a growing eco-industry to economic sustainability.</w:t>
      </w:r>
      <w:r w:rsidRPr="00DC557A">
        <w:rPr>
          <w:color w:val="000000"/>
          <w:szCs w:val="27"/>
          <w:shd w:val="clear" w:color="auto" w:fill="FFFFFF"/>
        </w:rPr>
        <w:t xml:space="preserve"> Energy Policy, 48, 13–21.</w:t>
      </w:r>
    </w:p>
    <w:p w:rsidR="00F74768" w:rsidRPr="00DC557A" w:rsidRDefault="00F74768" w:rsidP="00F74768">
      <w:pPr>
        <w:pStyle w:val="Listparagraf"/>
        <w:numPr>
          <w:ilvl w:val="0"/>
          <w:numId w:val="3"/>
        </w:numPr>
        <w:jc w:val="both"/>
        <w:rPr>
          <w:color w:val="000000"/>
          <w:szCs w:val="27"/>
          <w:shd w:val="clear" w:color="auto" w:fill="FFFFFF"/>
        </w:rPr>
      </w:pPr>
      <w:proofErr w:type="spellStart"/>
      <w:r w:rsidRPr="00DC557A">
        <w:rPr>
          <w:color w:val="000000"/>
          <w:szCs w:val="27"/>
          <w:shd w:val="clear" w:color="auto" w:fill="FFFFFF"/>
        </w:rPr>
        <w:t>Malesios</w:t>
      </w:r>
      <w:proofErr w:type="spellEnd"/>
      <w:r w:rsidRPr="00DC557A">
        <w:rPr>
          <w:color w:val="000000"/>
          <w:szCs w:val="27"/>
          <w:shd w:val="clear" w:color="auto" w:fill="FFFFFF"/>
        </w:rPr>
        <w:t xml:space="preserve"> C., </w:t>
      </w:r>
      <w:proofErr w:type="spellStart"/>
      <w:r w:rsidRPr="00DC557A">
        <w:rPr>
          <w:color w:val="000000"/>
          <w:szCs w:val="27"/>
          <w:shd w:val="clear" w:color="auto" w:fill="FFFFFF"/>
        </w:rPr>
        <w:t>Skouloudis</w:t>
      </w:r>
      <w:proofErr w:type="spellEnd"/>
      <w:r w:rsidRPr="00DC557A">
        <w:rPr>
          <w:color w:val="000000"/>
          <w:szCs w:val="27"/>
          <w:shd w:val="clear" w:color="auto" w:fill="FFFFFF"/>
        </w:rPr>
        <w:t xml:space="preserve"> A., </w:t>
      </w:r>
      <w:proofErr w:type="spellStart"/>
      <w:r w:rsidRPr="00DC557A">
        <w:rPr>
          <w:color w:val="000000"/>
          <w:szCs w:val="27"/>
          <w:shd w:val="clear" w:color="auto" w:fill="FFFFFF"/>
        </w:rPr>
        <w:t>Dey</w:t>
      </w:r>
      <w:proofErr w:type="spellEnd"/>
      <w:r w:rsidRPr="00DC557A">
        <w:rPr>
          <w:color w:val="000000"/>
          <w:szCs w:val="27"/>
          <w:shd w:val="clear" w:color="auto" w:fill="FFFFFF"/>
        </w:rPr>
        <w:t xml:space="preserve"> P.K., </w:t>
      </w:r>
      <w:proofErr w:type="spellStart"/>
      <w:r w:rsidRPr="00DC557A">
        <w:rPr>
          <w:color w:val="000000"/>
          <w:szCs w:val="27"/>
          <w:shd w:val="clear" w:color="auto" w:fill="FFFFFF"/>
        </w:rPr>
        <w:t>Abdelaziz</w:t>
      </w:r>
      <w:proofErr w:type="spellEnd"/>
      <w:r w:rsidRPr="00DC557A">
        <w:rPr>
          <w:color w:val="000000"/>
          <w:szCs w:val="27"/>
          <w:shd w:val="clear" w:color="auto" w:fill="FFFFFF"/>
        </w:rPr>
        <w:t xml:space="preserve"> F. B., </w:t>
      </w:r>
      <w:proofErr w:type="spellStart"/>
      <w:r w:rsidRPr="00DC557A">
        <w:rPr>
          <w:color w:val="000000"/>
          <w:szCs w:val="27"/>
          <w:shd w:val="clear" w:color="auto" w:fill="FFFFFF"/>
        </w:rPr>
        <w:t>Kantartzis</w:t>
      </w:r>
      <w:proofErr w:type="spellEnd"/>
      <w:r w:rsidRPr="00DC557A">
        <w:rPr>
          <w:color w:val="000000"/>
          <w:szCs w:val="27"/>
          <w:shd w:val="clear" w:color="auto" w:fill="FFFFFF"/>
        </w:rPr>
        <w:t xml:space="preserve"> A., </w:t>
      </w:r>
      <w:r>
        <w:rPr>
          <w:color w:val="000000"/>
          <w:szCs w:val="27"/>
          <w:shd w:val="clear" w:color="auto" w:fill="FFFFFF"/>
        </w:rPr>
        <w:t>and</w:t>
      </w:r>
      <w:r w:rsidRPr="00DC557A">
        <w:rPr>
          <w:color w:val="000000"/>
          <w:szCs w:val="27"/>
          <w:shd w:val="clear" w:color="auto" w:fill="FFFFFF"/>
        </w:rPr>
        <w:t xml:space="preserve"> </w:t>
      </w:r>
      <w:proofErr w:type="spellStart"/>
      <w:r w:rsidRPr="00DC557A">
        <w:rPr>
          <w:color w:val="000000"/>
          <w:szCs w:val="27"/>
          <w:shd w:val="clear" w:color="auto" w:fill="FFFFFF"/>
        </w:rPr>
        <w:t>Evangelinos</w:t>
      </w:r>
      <w:proofErr w:type="spellEnd"/>
      <w:r w:rsidRPr="00DC557A">
        <w:rPr>
          <w:color w:val="000000"/>
          <w:szCs w:val="27"/>
          <w:shd w:val="clear" w:color="auto" w:fill="FFFFFF"/>
        </w:rPr>
        <w:t xml:space="preserve"> K. (2018). </w:t>
      </w:r>
      <w:r w:rsidRPr="00DC557A">
        <w:rPr>
          <w:i/>
          <w:color w:val="000000"/>
          <w:szCs w:val="27"/>
          <w:shd w:val="clear" w:color="auto" w:fill="FFFFFF"/>
        </w:rPr>
        <w:t>Impact of small and medium sized enterprises sustainability practices and performance on economic growth from a managerial perspective: Modeling considerations and empirical analysis results.</w:t>
      </w:r>
      <w:r w:rsidRPr="00DC557A">
        <w:rPr>
          <w:color w:val="000000"/>
          <w:szCs w:val="27"/>
          <w:shd w:val="clear" w:color="auto" w:fill="FFFFFF"/>
        </w:rPr>
        <w:t xml:space="preserve"> Business Strategy and the Environment, 27, 960-972.</w:t>
      </w:r>
    </w:p>
    <w:p w:rsidR="00F74768" w:rsidRPr="00DC557A" w:rsidRDefault="00F74768" w:rsidP="00F74768">
      <w:pPr>
        <w:pStyle w:val="Listparagraf"/>
        <w:numPr>
          <w:ilvl w:val="0"/>
          <w:numId w:val="3"/>
        </w:numPr>
        <w:jc w:val="both"/>
        <w:rPr>
          <w:color w:val="000000"/>
          <w:szCs w:val="27"/>
          <w:shd w:val="clear" w:color="auto" w:fill="FFFFFF"/>
        </w:rPr>
      </w:pPr>
      <w:proofErr w:type="spellStart"/>
      <w:r w:rsidRPr="00DC557A">
        <w:rPr>
          <w:color w:val="000000"/>
          <w:szCs w:val="27"/>
          <w:shd w:val="clear" w:color="auto" w:fill="FFFFFF"/>
        </w:rPr>
        <w:t>Maziarz</w:t>
      </w:r>
      <w:proofErr w:type="spellEnd"/>
      <w:r w:rsidRPr="00DC557A">
        <w:rPr>
          <w:color w:val="000000"/>
          <w:szCs w:val="27"/>
          <w:shd w:val="clear" w:color="auto" w:fill="FFFFFF"/>
        </w:rPr>
        <w:t xml:space="preserve"> M. (2019). </w:t>
      </w:r>
      <w:r w:rsidRPr="00DC557A">
        <w:rPr>
          <w:i/>
          <w:color w:val="000000"/>
          <w:szCs w:val="27"/>
          <w:shd w:val="clear" w:color="auto" w:fill="FFFFFF"/>
        </w:rPr>
        <w:t xml:space="preserve">A disequilibrium mechanism: When managerial decisions cause macroeconomic instability. </w:t>
      </w:r>
      <w:r w:rsidRPr="00DC557A">
        <w:rPr>
          <w:color w:val="000000"/>
          <w:szCs w:val="27"/>
          <w:shd w:val="clear" w:color="auto" w:fill="FFFFFF"/>
        </w:rPr>
        <w:t>Economics and Business Review, 5(19), 79-92.</w:t>
      </w:r>
    </w:p>
    <w:p w:rsidR="00F74768" w:rsidRPr="00DC557A" w:rsidRDefault="00F74768" w:rsidP="00F74768">
      <w:pPr>
        <w:pStyle w:val="Listparagraf"/>
        <w:numPr>
          <w:ilvl w:val="0"/>
          <w:numId w:val="3"/>
        </w:numPr>
        <w:jc w:val="both"/>
        <w:rPr>
          <w:color w:val="000000"/>
          <w:szCs w:val="27"/>
          <w:shd w:val="clear" w:color="auto" w:fill="FFFFFF"/>
        </w:rPr>
      </w:pPr>
      <w:proofErr w:type="spellStart"/>
      <w:r w:rsidRPr="00DC557A">
        <w:rPr>
          <w:color w:val="000000"/>
          <w:szCs w:val="27"/>
          <w:shd w:val="clear" w:color="auto" w:fill="FFFFFF"/>
        </w:rPr>
        <w:t>Nerlich</w:t>
      </w:r>
      <w:proofErr w:type="spellEnd"/>
      <w:r w:rsidRPr="00DC557A">
        <w:rPr>
          <w:color w:val="000000"/>
          <w:szCs w:val="27"/>
          <w:shd w:val="clear" w:color="auto" w:fill="FFFFFF"/>
        </w:rPr>
        <w:t xml:space="preserve"> C. and Reuter W. H. (2016). </w:t>
      </w:r>
      <w:r w:rsidRPr="00DC557A">
        <w:rPr>
          <w:i/>
          <w:color w:val="000000"/>
          <w:szCs w:val="27"/>
          <w:shd w:val="clear" w:color="auto" w:fill="FFFFFF"/>
        </w:rPr>
        <w:t xml:space="preserve">Fiscal Rules, Fiscal Space, and the </w:t>
      </w:r>
      <w:proofErr w:type="spellStart"/>
      <w:r w:rsidRPr="00DC557A">
        <w:rPr>
          <w:i/>
          <w:color w:val="000000"/>
          <w:szCs w:val="27"/>
          <w:shd w:val="clear" w:color="auto" w:fill="FFFFFF"/>
        </w:rPr>
        <w:t>Procyclicality</w:t>
      </w:r>
      <w:proofErr w:type="spellEnd"/>
      <w:r w:rsidRPr="00DC557A">
        <w:rPr>
          <w:i/>
          <w:color w:val="000000"/>
          <w:szCs w:val="27"/>
          <w:shd w:val="clear" w:color="auto" w:fill="FFFFFF"/>
        </w:rPr>
        <w:t xml:space="preserve"> of Fiscal Policy.</w:t>
      </w:r>
      <w:r w:rsidRPr="00DC557A">
        <w:rPr>
          <w:color w:val="000000"/>
          <w:szCs w:val="27"/>
          <w:shd w:val="clear" w:color="auto" w:fill="FFFFFF"/>
        </w:rPr>
        <w:t xml:space="preserve"> Public Finance Analysis, 72(4), 421-452.</w:t>
      </w:r>
    </w:p>
    <w:p w:rsidR="00F74768" w:rsidRPr="00DC557A" w:rsidRDefault="00F74768" w:rsidP="00F74768">
      <w:pPr>
        <w:pStyle w:val="Listparagraf"/>
        <w:numPr>
          <w:ilvl w:val="0"/>
          <w:numId w:val="3"/>
        </w:numPr>
        <w:jc w:val="both"/>
        <w:rPr>
          <w:iCs/>
          <w:color w:val="000000"/>
          <w:szCs w:val="27"/>
          <w:shd w:val="clear" w:color="auto" w:fill="FFFFFF"/>
        </w:rPr>
      </w:pPr>
      <w:proofErr w:type="spellStart"/>
      <w:r>
        <w:t>Socoliuc</w:t>
      </w:r>
      <w:proofErr w:type="spellEnd"/>
      <w:r>
        <w:t xml:space="preserve"> M., </w:t>
      </w:r>
      <w:proofErr w:type="spellStart"/>
      <w:r>
        <w:t>Grosu</w:t>
      </w:r>
      <w:proofErr w:type="spellEnd"/>
      <w:r>
        <w:t xml:space="preserve"> V., </w:t>
      </w:r>
      <w:proofErr w:type="spellStart"/>
      <w:r>
        <w:t>Hlaciuc</w:t>
      </w:r>
      <w:proofErr w:type="spellEnd"/>
      <w:r>
        <w:t xml:space="preserve"> E. and </w:t>
      </w:r>
      <w:proofErr w:type="spellStart"/>
      <w:r>
        <w:t>Stanciu</w:t>
      </w:r>
      <w:proofErr w:type="spellEnd"/>
      <w:r>
        <w:t xml:space="preserve"> S. (2018). </w:t>
      </w:r>
      <w:r w:rsidRPr="00DC557A">
        <w:rPr>
          <w:i/>
        </w:rPr>
        <w:t>Analysis of Social Responsibility and Reporting Methods of Romanian Companies in the Countries of the European Union</w:t>
      </w:r>
      <w:r>
        <w:t>. Sustainability, 10, 1-37.</w:t>
      </w:r>
    </w:p>
    <w:p w:rsidR="00F74768" w:rsidRPr="00DC557A" w:rsidRDefault="00F74768" w:rsidP="00F74768">
      <w:pPr>
        <w:pStyle w:val="Listparagraf"/>
        <w:numPr>
          <w:ilvl w:val="0"/>
          <w:numId w:val="3"/>
        </w:numPr>
        <w:jc w:val="both"/>
        <w:rPr>
          <w:iCs/>
          <w:color w:val="000000"/>
          <w:szCs w:val="27"/>
          <w:shd w:val="clear" w:color="auto" w:fill="FFFFFF"/>
        </w:rPr>
      </w:pPr>
      <w:r w:rsidRPr="00DC557A">
        <w:rPr>
          <w:color w:val="000000"/>
          <w:szCs w:val="27"/>
          <w:shd w:val="clear" w:color="auto" w:fill="FFFFFF"/>
        </w:rPr>
        <w:t xml:space="preserve">Zhao, L., </w:t>
      </w:r>
      <w:proofErr w:type="spellStart"/>
      <w:r w:rsidRPr="00DC557A">
        <w:rPr>
          <w:color w:val="000000"/>
          <w:szCs w:val="27"/>
          <w:shd w:val="clear" w:color="auto" w:fill="FFFFFF"/>
        </w:rPr>
        <w:t>Zha</w:t>
      </w:r>
      <w:proofErr w:type="spellEnd"/>
      <w:r w:rsidRPr="00DC557A">
        <w:rPr>
          <w:color w:val="000000"/>
          <w:szCs w:val="27"/>
          <w:shd w:val="clear" w:color="auto" w:fill="FFFFFF"/>
        </w:rPr>
        <w:t xml:space="preserve">, Y., Zhuang, Y., </w:t>
      </w:r>
      <w:r>
        <w:rPr>
          <w:color w:val="000000"/>
          <w:szCs w:val="27"/>
          <w:shd w:val="clear" w:color="auto" w:fill="FFFFFF"/>
        </w:rPr>
        <w:t>and</w:t>
      </w:r>
      <w:r w:rsidRPr="00DC557A">
        <w:rPr>
          <w:color w:val="000000"/>
          <w:szCs w:val="27"/>
          <w:shd w:val="clear" w:color="auto" w:fill="FFFFFF"/>
        </w:rPr>
        <w:t xml:space="preserve"> Liang, L. (2018). </w:t>
      </w:r>
      <w:r w:rsidRPr="00DC557A">
        <w:rPr>
          <w:i/>
          <w:iCs/>
          <w:color w:val="000000"/>
          <w:szCs w:val="27"/>
          <w:shd w:val="clear" w:color="auto" w:fill="FFFFFF"/>
        </w:rPr>
        <w:t>Data envelopment analysis for sustainability evaluation in China: Tackling the economic, environmental, and social dimensions.</w:t>
      </w:r>
      <w:r w:rsidRPr="00DC557A">
        <w:rPr>
          <w:iCs/>
          <w:color w:val="000000"/>
          <w:szCs w:val="27"/>
          <w:shd w:val="clear" w:color="auto" w:fill="FFFFFF"/>
        </w:rPr>
        <w:t xml:space="preserve"> European Journal of Operational Research, 1-33.</w:t>
      </w:r>
    </w:p>
    <w:p w:rsidR="00D54695" w:rsidRPr="000D3F2A" w:rsidRDefault="00D54695" w:rsidP="00F74768">
      <w:pPr>
        <w:spacing w:after="240"/>
        <w:jc w:val="both"/>
        <w:rPr>
          <w:iCs/>
          <w:color w:val="000000"/>
          <w:szCs w:val="27"/>
          <w:shd w:val="clear" w:color="auto" w:fill="FFFFFF"/>
        </w:rPr>
      </w:pPr>
    </w:p>
    <w:sectPr w:rsidR="00D54695" w:rsidRPr="000D3F2A" w:rsidSect="003202D6">
      <w:pgSz w:w="11906" w:h="16838"/>
      <w:pgMar w:top="1134" w:right="1134" w:bottom="1134" w:left="1134" w:header="706" w:footer="706"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642DB"/>
    <w:multiLevelType w:val="hybridMultilevel"/>
    <w:tmpl w:val="754417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E417E"/>
    <w:multiLevelType w:val="hybridMultilevel"/>
    <w:tmpl w:val="9DA68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B305AB"/>
    <w:multiLevelType w:val="hybridMultilevel"/>
    <w:tmpl w:val="3EE66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0D6"/>
    <w:rsid w:val="00024DA7"/>
    <w:rsid w:val="0002743B"/>
    <w:rsid w:val="000458CD"/>
    <w:rsid w:val="00094C33"/>
    <w:rsid w:val="00096A6D"/>
    <w:rsid w:val="000A7C9A"/>
    <w:rsid w:val="000A7F02"/>
    <w:rsid w:val="000B6B4C"/>
    <w:rsid w:val="000C7839"/>
    <w:rsid w:val="000D29DA"/>
    <w:rsid w:val="000D3F2A"/>
    <w:rsid w:val="000E551D"/>
    <w:rsid w:val="000F5110"/>
    <w:rsid w:val="00104039"/>
    <w:rsid w:val="0011448E"/>
    <w:rsid w:val="0011451C"/>
    <w:rsid w:val="00132800"/>
    <w:rsid w:val="00140766"/>
    <w:rsid w:val="00143679"/>
    <w:rsid w:val="001578E1"/>
    <w:rsid w:val="00165AF3"/>
    <w:rsid w:val="00192438"/>
    <w:rsid w:val="0019672A"/>
    <w:rsid w:val="00197D8B"/>
    <w:rsid w:val="001B1562"/>
    <w:rsid w:val="001B5CB4"/>
    <w:rsid w:val="001C0A2F"/>
    <w:rsid w:val="001D7D9B"/>
    <w:rsid w:val="001F1539"/>
    <w:rsid w:val="001F182B"/>
    <w:rsid w:val="001F3905"/>
    <w:rsid w:val="001F49DA"/>
    <w:rsid w:val="00206C59"/>
    <w:rsid w:val="0022029E"/>
    <w:rsid w:val="00241A2F"/>
    <w:rsid w:val="002673BF"/>
    <w:rsid w:val="002D403D"/>
    <w:rsid w:val="002F66DE"/>
    <w:rsid w:val="0030054E"/>
    <w:rsid w:val="003049C1"/>
    <w:rsid w:val="003202D6"/>
    <w:rsid w:val="0036518F"/>
    <w:rsid w:val="003840D6"/>
    <w:rsid w:val="00386080"/>
    <w:rsid w:val="003A6AC3"/>
    <w:rsid w:val="003E1086"/>
    <w:rsid w:val="003F31EB"/>
    <w:rsid w:val="00425951"/>
    <w:rsid w:val="004417AD"/>
    <w:rsid w:val="0047474E"/>
    <w:rsid w:val="0048238C"/>
    <w:rsid w:val="00486F86"/>
    <w:rsid w:val="0049530D"/>
    <w:rsid w:val="004A3581"/>
    <w:rsid w:val="004B3B61"/>
    <w:rsid w:val="004C5E86"/>
    <w:rsid w:val="005037B3"/>
    <w:rsid w:val="005159F2"/>
    <w:rsid w:val="00537DE2"/>
    <w:rsid w:val="00542A54"/>
    <w:rsid w:val="00545D61"/>
    <w:rsid w:val="005D10CD"/>
    <w:rsid w:val="005E18FD"/>
    <w:rsid w:val="00623C9D"/>
    <w:rsid w:val="00684085"/>
    <w:rsid w:val="006C1E61"/>
    <w:rsid w:val="006D3508"/>
    <w:rsid w:val="006D54B1"/>
    <w:rsid w:val="006D6855"/>
    <w:rsid w:val="006E50FA"/>
    <w:rsid w:val="00715549"/>
    <w:rsid w:val="00735367"/>
    <w:rsid w:val="00737935"/>
    <w:rsid w:val="007655A2"/>
    <w:rsid w:val="00783518"/>
    <w:rsid w:val="007874EB"/>
    <w:rsid w:val="007C6040"/>
    <w:rsid w:val="007E150E"/>
    <w:rsid w:val="00806C98"/>
    <w:rsid w:val="0084377E"/>
    <w:rsid w:val="00850D3E"/>
    <w:rsid w:val="008525A7"/>
    <w:rsid w:val="0088282E"/>
    <w:rsid w:val="00885A33"/>
    <w:rsid w:val="008947AA"/>
    <w:rsid w:val="008A4EA9"/>
    <w:rsid w:val="008B2EAA"/>
    <w:rsid w:val="008B4A1F"/>
    <w:rsid w:val="008B54A1"/>
    <w:rsid w:val="008D2413"/>
    <w:rsid w:val="008E31DC"/>
    <w:rsid w:val="008E4975"/>
    <w:rsid w:val="00907137"/>
    <w:rsid w:val="0091699A"/>
    <w:rsid w:val="009467CB"/>
    <w:rsid w:val="00975D8B"/>
    <w:rsid w:val="00996268"/>
    <w:rsid w:val="009A04CA"/>
    <w:rsid w:val="009A6368"/>
    <w:rsid w:val="009A7866"/>
    <w:rsid w:val="009B17DE"/>
    <w:rsid w:val="009C1E7E"/>
    <w:rsid w:val="009C266D"/>
    <w:rsid w:val="009C4516"/>
    <w:rsid w:val="009C692C"/>
    <w:rsid w:val="009F2557"/>
    <w:rsid w:val="00A52528"/>
    <w:rsid w:val="00A62940"/>
    <w:rsid w:val="00A742D6"/>
    <w:rsid w:val="00A81F50"/>
    <w:rsid w:val="00A977CC"/>
    <w:rsid w:val="00AA3897"/>
    <w:rsid w:val="00AC0168"/>
    <w:rsid w:val="00AE4BEB"/>
    <w:rsid w:val="00AF15AC"/>
    <w:rsid w:val="00B301E9"/>
    <w:rsid w:val="00B500A1"/>
    <w:rsid w:val="00B6304C"/>
    <w:rsid w:val="00B9653D"/>
    <w:rsid w:val="00BB5FBC"/>
    <w:rsid w:val="00C10CCE"/>
    <w:rsid w:val="00C23E3F"/>
    <w:rsid w:val="00C44815"/>
    <w:rsid w:val="00C866A0"/>
    <w:rsid w:val="00C9656D"/>
    <w:rsid w:val="00CA2667"/>
    <w:rsid w:val="00CC6104"/>
    <w:rsid w:val="00CE6580"/>
    <w:rsid w:val="00D02C02"/>
    <w:rsid w:val="00D0380B"/>
    <w:rsid w:val="00D43113"/>
    <w:rsid w:val="00D46A57"/>
    <w:rsid w:val="00D54695"/>
    <w:rsid w:val="00D54735"/>
    <w:rsid w:val="00D61026"/>
    <w:rsid w:val="00D64768"/>
    <w:rsid w:val="00D762B2"/>
    <w:rsid w:val="00DA4375"/>
    <w:rsid w:val="00DB594D"/>
    <w:rsid w:val="00E325CA"/>
    <w:rsid w:val="00E628C1"/>
    <w:rsid w:val="00EA1025"/>
    <w:rsid w:val="00EC01AA"/>
    <w:rsid w:val="00ED29C7"/>
    <w:rsid w:val="00ED53D2"/>
    <w:rsid w:val="00ED740E"/>
    <w:rsid w:val="00F0440A"/>
    <w:rsid w:val="00F4563F"/>
    <w:rsid w:val="00F74768"/>
    <w:rsid w:val="00F77A19"/>
    <w:rsid w:val="00F951ED"/>
    <w:rsid w:val="00F97DD9"/>
    <w:rsid w:val="00FB4E12"/>
    <w:rsid w:val="00FC1ED4"/>
    <w:rsid w:val="00FC518A"/>
    <w:rsid w:val="00FD0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49E59"/>
  <w15:docId w15:val="{E51C16CC-6C9F-49B2-98F4-CE4B7AC56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897"/>
    <w:pPr>
      <w:spacing w:after="0" w:line="240" w:lineRule="auto"/>
    </w:pPr>
    <w:rPr>
      <w:rFonts w:ascii="Times New Roman" w:eastAsia="Times New Roman" w:hAnsi="Times New Roman" w:cs="Times New Roman"/>
      <w:sz w:val="24"/>
      <w:szCs w:val="24"/>
    </w:rPr>
  </w:style>
  <w:style w:type="paragraph" w:styleId="Titlu1">
    <w:name w:val="heading 1"/>
    <w:basedOn w:val="Normal"/>
    <w:link w:val="Titlu1Caracter"/>
    <w:uiPriority w:val="9"/>
    <w:qFormat/>
    <w:rsid w:val="00545D61"/>
    <w:pPr>
      <w:spacing w:before="100" w:beforeAutospacing="1" w:after="100" w:afterAutospacing="1"/>
      <w:outlineLvl w:val="0"/>
    </w:pPr>
    <w:rPr>
      <w:b/>
      <w:bCs/>
      <w:kern w:val="36"/>
      <w:sz w:val="48"/>
      <w:szCs w:val="4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45D61"/>
    <w:rPr>
      <w:rFonts w:ascii="Times New Roman" w:eastAsia="Times New Roman" w:hAnsi="Times New Roman" w:cs="Times New Roman"/>
      <w:b/>
      <w:bCs/>
      <w:kern w:val="36"/>
      <w:sz w:val="48"/>
      <w:szCs w:val="48"/>
    </w:rPr>
  </w:style>
  <w:style w:type="character" w:customStyle="1" w:styleId="publication-metatype">
    <w:name w:val="publication-meta__type"/>
    <w:basedOn w:val="Fontdeparagrafimplicit"/>
    <w:rsid w:val="00545D61"/>
  </w:style>
  <w:style w:type="character" w:styleId="Accentuat">
    <w:name w:val="Emphasis"/>
    <w:basedOn w:val="Fontdeparagrafimplicit"/>
    <w:uiPriority w:val="20"/>
    <w:qFormat/>
    <w:rsid w:val="00545D61"/>
    <w:rPr>
      <w:i/>
      <w:iCs/>
    </w:rPr>
  </w:style>
  <w:style w:type="character" w:styleId="Hyperlink">
    <w:name w:val="Hyperlink"/>
    <w:basedOn w:val="Fontdeparagrafimplicit"/>
    <w:uiPriority w:val="99"/>
    <w:semiHidden/>
    <w:unhideWhenUsed/>
    <w:rsid w:val="00545D61"/>
    <w:rPr>
      <w:color w:val="0000FF"/>
      <w:u w:val="single"/>
    </w:rPr>
  </w:style>
  <w:style w:type="paragraph" w:styleId="Listparagraf">
    <w:name w:val="List Paragraph"/>
    <w:basedOn w:val="Normal"/>
    <w:uiPriority w:val="34"/>
    <w:qFormat/>
    <w:rsid w:val="009C1E7E"/>
    <w:pPr>
      <w:ind w:left="720"/>
      <w:contextualSpacing/>
    </w:pPr>
  </w:style>
  <w:style w:type="character" w:styleId="Textsubstituent">
    <w:name w:val="Placeholder Text"/>
    <w:basedOn w:val="Fontdeparagrafimplicit"/>
    <w:uiPriority w:val="99"/>
    <w:semiHidden/>
    <w:rsid w:val="00975D8B"/>
    <w:rPr>
      <w:color w:val="808080"/>
    </w:rPr>
  </w:style>
  <w:style w:type="paragraph" w:styleId="TextnBalon">
    <w:name w:val="Balloon Text"/>
    <w:basedOn w:val="Normal"/>
    <w:link w:val="TextnBalonCaracter"/>
    <w:uiPriority w:val="99"/>
    <w:semiHidden/>
    <w:unhideWhenUsed/>
    <w:rsid w:val="005E18FD"/>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E18F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368874">
      <w:bodyDiv w:val="1"/>
      <w:marLeft w:val="0"/>
      <w:marRight w:val="0"/>
      <w:marTop w:val="0"/>
      <w:marBottom w:val="0"/>
      <w:divBdr>
        <w:top w:val="none" w:sz="0" w:space="0" w:color="auto"/>
        <w:left w:val="none" w:sz="0" w:space="0" w:color="auto"/>
        <w:bottom w:val="none" w:sz="0" w:space="0" w:color="auto"/>
        <w:right w:val="none" w:sz="0" w:space="0" w:color="auto"/>
      </w:divBdr>
    </w:div>
    <w:div w:id="567804784">
      <w:bodyDiv w:val="1"/>
      <w:marLeft w:val="0"/>
      <w:marRight w:val="0"/>
      <w:marTop w:val="0"/>
      <w:marBottom w:val="0"/>
      <w:divBdr>
        <w:top w:val="none" w:sz="0" w:space="0" w:color="auto"/>
        <w:left w:val="none" w:sz="0" w:space="0" w:color="auto"/>
        <w:bottom w:val="none" w:sz="0" w:space="0" w:color="auto"/>
        <w:right w:val="none" w:sz="0" w:space="0" w:color="auto"/>
      </w:divBdr>
    </w:div>
    <w:div w:id="859664544">
      <w:bodyDiv w:val="1"/>
      <w:marLeft w:val="0"/>
      <w:marRight w:val="0"/>
      <w:marTop w:val="0"/>
      <w:marBottom w:val="0"/>
      <w:divBdr>
        <w:top w:val="none" w:sz="0" w:space="0" w:color="auto"/>
        <w:left w:val="none" w:sz="0" w:space="0" w:color="auto"/>
        <w:bottom w:val="none" w:sz="0" w:space="0" w:color="auto"/>
        <w:right w:val="none" w:sz="0" w:space="0" w:color="auto"/>
      </w:divBdr>
    </w:div>
    <w:div w:id="909314845">
      <w:bodyDiv w:val="1"/>
      <w:marLeft w:val="0"/>
      <w:marRight w:val="0"/>
      <w:marTop w:val="0"/>
      <w:marBottom w:val="0"/>
      <w:divBdr>
        <w:top w:val="none" w:sz="0" w:space="0" w:color="auto"/>
        <w:left w:val="none" w:sz="0" w:space="0" w:color="auto"/>
        <w:bottom w:val="none" w:sz="0" w:space="0" w:color="auto"/>
        <w:right w:val="none" w:sz="0" w:space="0" w:color="auto"/>
      </w:divBdr>
      <w:divsChild>
        <w:div w:id="747963826">
          <w:marLeft w:val="0"/>
          <w:marRight w:val="0"/>
          <w:marTop w:val="0"/>
          <w:marBottom w:val="0"/>
          <w:divBdr>
            <w:top w:val="none" w:sz="0" w:space="0" w:color="auto"/>
            <w:left w:val="none" w:sz="0" w:space="0" w:color="auto"/>
            <w:bottom w:val="none" w:sz="0" w:space="0" w:color="auto"/>
            <w:right w:val="none" w:sz="0" w:space="0" w:color="auto"/>
          </w:divBdr>
        </w:div>
        <w:div w:id="277761147">
          <w:marLeft w:val="0"/>
          <w:marRight w:val="0"/>
          <w:marTop w:val="0"/>
          <w:marBottom w:val="0"/>
          <w:divBdr>
            <w:top w:val="none" w:sz="0" w:space="0" w:color="auto"/>
            <w:left w:val="none" w:sz="0" w:space="0" w:color="auto"/>
            <w:bottom w:val="none" w:sz="0" w:space="0" w:color="auto"/>
            <w:right w:val="none" w:sz="0" w:space="0" w:color="auto"/>
          </w:divBdr>
        </w:div>
      </w:divsChild>
    </w:div>
    <w:div w:id="940995715">
      <w:bodyDiv w:val="1"/>
      <w:marLeft w:val="0"/>
      <w:marRight w:val="0"/>
      <w:marTop w:val="0"/>
      <w:marBottom w:val="0"/>
      <w:divBdr>
        <w:top w:val="none" w:sz="0" w:space="0" w:color="auto"/>
        <w:left w:val="none" w:sz="0" w:space="0" w:color="auto"/>
        <w:bottom w:val="none" w:sz="0" w:space="0" w:color="auto"/>
        <w:right w:val="none" w:sz="0" w:space="0" w:color="auto"/>
      </w:divBdr>
    </w:div>
    <w:div w:id="951594372">
      <w:bodyDiv w:val="1"/>
      <w:marLeft w:val="0"/>
      <w:marRight w:val="0"/>
      <w:marTop w:val="0"/>
      <w:marBottom w:val="0"/>
      <w:divBdr>
        <w:top w:val="none" w:sz="0" w:space="0" w:color="auto"/>
        <w:left w:val="none" w:sz="0" w:space="0" w:color="auto"/>
        <w:bottom w:val="none" w:sz="0" w:space="0" w:color="auto"/>
        <w:right w:val="none" w:sz="0" w:space="0" w:color="auto"/>
      </w:divBdr>
    </w:div>
    <w:div w:id="1123429540">
      <w:marLeft w:val="0"/>
      <w:marRight w:val="0"/>
      <w:marTop w:val="0"/>
      <w:marBottom w:val="0"/>
      <w:divBdr>
        <w:top w:val="none" w:sz="0" w:space="0" w:color="auto"/>
        <w:left w:val="none" w:sz="0" w:space="0" w:color="auto"/>
        <w:bottom w:val="none" w:sz="0" w:space="0" w:color="auto"/>
        <w:right w:val="none" w:sz="0" w:space="0" w:color="auto"/>
      </w:divBdr>
      <w:divsChild>
        <w:div w:id="401833674">
          <w:marLeft w:val="0"/>
          <w:marRight w:val="0"/>
          <w:marTop w:val="0"/>
          <w:marBottom w:val="0"/>
          <w:divBdr>
            <w:top w:val="none" w:sz="0" w:space="0" w:color="auto"/>
            <w:left w:val="none" w:sz="0" w:space="0" w:color="auto"/>
            <w:bottom w:val="none" w:sz="0" w:space="0" w:color="auto"/>
            <w:right w:val="none" w:sz="0" w:space="0" w:color="auto"/>
          </w:divBdr>
          <w:divsChild>
            <w:div w:id="999312256">
              <w:marLeft w:val="0"/>
              <w:marRight w:val="0"/>
              <w:marTop w:val="0"/>
              <w:marBottom w:val="0"/>
              <w:divBdr>
                <w:top w:val="none" w:sz="0" w:space="0" w:color="auto"/>
                <w:left w:val="none" w:sz="0" w:space="0" w:color="auto"/>
                <w:bottom w:val="none" w:sz="0" w:space="0" w:color="auto"/>
                <w:right w:val="none" w:sz="0" w:space="0" w:color="auto"/>
              </w:divBdr>
              <w:divsChild>
                <w:div w:id="167715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052672">
      <w:bodyDiv w:val="1"/>
      <w:marLeft w:val="0"/>
      <w:marRight w:val="0"/>
      <w:marTop w:val="0"/>
      <w:marBottom w:val="0"/>
      <w:divBdr>
        <w:top w:val="none" w:sz="0" w:space="0" w:color="auto"/>
        <w:left w:val="none" w:sz="0" w:space="0" w:color="auto"/>
        <w:bottom w:val="none" w:sz="0" w:space="0" w:color="auto"/>
        <w:right w:val="none" w:sz="0" w:space="0" w:color="auto"/>
      </w:divBdr>
    </w:div>
    <w:div w:id="1974287526">
      <w:marLeft w:val="0"/>
      <w:marRight w:val="0"/>
      <w:marTop w:val="0"/>
      <w:marBottom w:val="0"/>
      <w:divBdr>
        <w:top w:val="none" w:sz="0" w:space="0" w:color="auto"/>
        <w:left w:val="none" w:sz="0" w:space="0" w:color="auto"/>
        <w:bottom w:val="none" w:sz="0" w:space="0" w:color="auto"/>
        <w:right w:val="none" w:sz="0" w:space="0" w:color="auto"/>
      </w:divBdr>
      <w:divsChild>
        <w:div w:id="827870163">
          <w:marLeft w:val="0"/>
          <w:marRight w:val="300"/>
          <w:marTop w:val="0"/>
          <w:marBottom w:val="0"/>
          <w:divBdr>
            <w:top w:val="none" w:sz="0" w:space="0" w:color="auto"/>
            <w:left w:val="none" w:sz="0" w:space="0" w:color="auto"/>
            <w:bottom w:val="none" w:sz="0" w:space="0" w:color="auto"/>
            <w:right w:val="none" w:sz="0" w:space="0" w:color="auto"/>
          </w:divBdr>
        </w:div>
      </w:divsChild>
    </w:div>
    <w:div w:id="2029288627">
      <w:bodyDiv w:val="1"/>
      <w:marLeft w:val="0"/>
      <w:marRight w:val="0"/>
      <w:marTop w:val="0"/>
      <w:marBottom w:val="0"/>
      <w:divBdr>
        <w:top w:val="none" w:sz="0" w:space="0" w:color="auto"/>
        <w:left w:val="none" w:sz="0" w:space="0" w:color="auto"/>
        <w:bottom w:val="none" w:sz="0" w:space="0" w:color="auto"/>
        <w:right w:val="none" w:sz="0" w:space="0" w:color="auto"/>
      </w:divBdr>
      <w:divsChild>
        <w:div w:id="1993557307">
          <w:marLeft w:val="0"/>
          <w:marRight w:val="0"/>
          <w:marTop w:val="0"/>
          <w:marBottom w:val="300"/>
          <w:divBdr>
            <w:top w:val="none" w:sz="0" w:space="0" w:color="auto"/>
            <w:left w:val="none" w:sz="0" w:space="0" w:color="auto"/>
            <w:bottom w:val="none" w:sz="0" w:space="0" w:color="auto"/>
            <w:right w:val="none" w:sz="0" w:space="0" w:color="auto"/>
          </w:divBdr>
          <w:divsChild>
            <w:div w:id="13511031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94159201">
      <w:marLeft w:val="0"/>
      <w:marRight w:val="0"/>
      <w:marTop w:val="0"/>
      <w:marBottom w:val="0"/>
      <w:divBdr>
        <w:top w:val="none" w:sz="0" w:space="0" w:color="auto"/>
        <w:left w:val="none" w:sz="0" w:space="0" w:color="auto"/>
        <w:bottom w:val="none" w:sz="0" w:space="0" w:color="auto"/>
        <w:right w:val="none" w:sz="0" w:space="0" w:color="auto"/>
      </w:divBdr>
      <w:divsChild>
        <w:div w:id="854807778">
          <w:marLeft w:val="0"/>
          <w:marRight w:val="0"/>
          <w:marTop w:val="0"/>
          <w:marBottom w:val="0"/>
          <w:divBdr>
            <w:top w:val="none" w:sz="0" w:space="0" w:color="auto"/>
            <w:left w:val="none" w:sz="0" w:space="0" w:color="auto"/>
            <w:bottom w:val="none" w:sz="0" w:space="0" w:color="auto"/>
            <w:right w:val="none" w:sz="0" w:space="0" w:color="auto"/>
          </w:divBdr>
          <w:divsChild>
            <w:div w:id="2138209590">
              <w:marLeft w:val="0"/>
              <w:marRight w:val="0"/>
              <w:marTop w:val="0"/>
              <w:marBottom w:val="0"/>
              <w:divBdr>
                <w:top w:val="none" w:sz="0" w:space="0" w:color="auto"/>
                <w:left w:val="none" w:sz="0" w:space="0" w:color="auto"/>
                <w:bottom w:val="none" w:sz="0" w:space="0" w:color="auto"/>
                <w:right w:val="none" w:sz="0" w:space="0" w:color="auto"/>
              </w:divBdr>
              <w:divsChild>
                <w:div w:id="1892421313">
                  <w:marLeft w:val="0"/>
                  <w:marRight w:val="0"/>
                  <w:marTop w:val="0"/>
                  <w:marBottom w:val="0"/>
                  <w:divBdr>
                    <w:top w:val="none" w:sz="0" w:space="0" w:color="auto"/>
                    <w:left w:val="none" w:sz="0" w:space="0" w:color="auto"/>
                    <w:bottom w:val="none" w:sz="0" w:space="0" w:color="auto"/>
                    <w:right w:val="none" w:sz="0" w:space="0" w:color="auto"/>
                  </w:divBdr>
                  <w:divsChild>
                    <w:div w:id="139397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DOCTORAT\Articol%203%20Conferinta%20SEAP2019\TOP15%20SV%2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Foaie3!$A$4:$A$7</c:f>
              <c:strCache>
                <c:ptCount val="4"/>
                <c:pt idx="0">
                  <c:v>G - Wholesale and Retail;
repair of motor vehicles and motorcycles</c:v>
                </c:pt>
                <c:pt idx="1">
                  <c:v>B - Manufacturing </c:v>
                </c:pt>
                <c:pt idx="2">
                  <c:v>F - Construction</c:v>
                </c:pt>
                <c:pt idx="3">
                  <c:v>H - Transport and storage</c:v>
                </c:pt>
              </c:strCache>
            </c:strRef>
          </c:cat>
          <c:val>
            <c:numRef>
              <c:f>Foaie3!$B$4:$B$7</c:f>
              <c:numCache>
                <c:formatCode>General</c:formatCode>
                <c:ptCount val="4"/>
                <c:pt idx="0">
                  <c:v>8</c:v>
                </c:pt>
                <c:pt idx="1">
                  <c:v>5</c:v>
                </c:pt>
                <c:pt idx="2">
                  <c:v>1</c:v>
                </c:pt>
                <c:pt idx="3">
                  <c:v>1</c:v>
                </c:pt>
              </c:numCache>
            </c:numRef>
          </c:val>
          <c:extLst>
            <c:ext xmlns:c16="http://schemas.microsoft.com/office/drawing/2014/chart" uri="{C3380CC4-5D6E-409C-BE32-E72D297353CC}">
              <c16:uniqueId val="{00000000-4E16-411E-A25B-AE8506C826FC}"/>
            </c:ext>
          </c:extLst>
        </c:ser>
        <c:dLbls>
          <c:showLegendKey val="0"/>
          <c:showVal val="0"/>
          <c:showCatName val="0"/>
          <c:showSerName val="0"/>
          <c:showPercent val="0"/>
          <c:showBubbleSize val="0"/>
        </c:dLbls>
        <c:gapWidth val="219"/>
        <c:overlap val="-27"/>
        <c:axId val="1264911440"/>
        <c:axId val="1264911856"/>
      </c:barChart>
      <c:lineChart>
        <c:grouping val="standard"/>
        <c:varyColors val="0"/>
        <c:ser>
          <c:idx val="1"/>
          <c:order val="1"/>
          <c:spPr>
            <a:ln w="28575" cap="rnd">
              <a:solidFill>
                <a:schemeClr val="accent2"/>
              </a:solidFill>
              <a:round/>
            </a:ln>
            <a:effectLst/>
          </c:spPr>
          <c:marker>
            <c:symbol val="none"/>
          </c:marker>
          <c:cat>
            <c:strRef>
              <c:f>Foaie3!$A$4:$A$7</c:f>
              <c:strCache>
                <c:ptCount val="4"/>
                <c:pt idx="0">
                  <c:v>G - Wholesale and Retail;
repair of motor vehicles and motorcycles</c:v>
                </c:pt>
                <c:pt idx="1">
                  <c:v>B - Manufacturing </c:v>
                </c:pt>
                <c:pt idx="2">
                  <c:v>F - Construction</c:v>
                </c:pt>
                <c:pt idx="3">
                  <c:v>H - Transport and storage</c:v>
                </c:pt>
              </c:strCache>
            </c:strRef>
          </c:cat>
          <c:val>
            <c:numRef>
              <c:f>Foaie3!$C$4:$C$7</c:f>
              <c:numCache>
                <c:formatCode>0%</c:formatCode>
                <c:ptCount val="4"/>
                <c:pt idx="0">
                  <c:v>0.54</c:v>
                </c:pt>
                <c:pt idx="1">
                  <c:v>0.88</c:v>
                </c:pt>
                <c:pt idx="2" formatCode="0.00%">
                  <c:v>0.95</c:v>
                </c:pt>
                <c:pt idx="3">
                  <c:v>1</c:v>
                </c:pt>
              </c:numCache>
            </c:numRef>
          </c:val>
          <c:smooth val="0"/>
          <c:extLst>
            <c:ext xmlns:c16="http://schemas.microsoft.com/office/drawing/2014/chart" uri="{C3380CC4-5D6E-409C-BE32-E72D297353CC}">
              <c16:uniqueId val="{00000001-4E16-411E-A25B-AE8506C826FC}"/>
            </c:ext>
          </c:extLst>
        </c:ser>
        <c:dLbls>
          <c:showLegendKey val="0"/>
          <c:showVal val="0"/>
          <c:showCatName val="0"/>
          <c:showSerName val="0"/>
          <c:showPercent val="0"/>
          <c:showBubbleSize val="0"/>
        </c:dLbls>
        <c:marker val="1"/>
        <c:smooth val="0"/>
        <c:axId val="1148749008"/>
        <c:axId val="1256527584"/>
      </c:lineChart>
      <c:catAx>
        <c:axId val="1264911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64911856"/>
        <c:crosses val="autoZero"/>
        <c:auto val="1"/>
        <c:lblAlgn val="ctr"/>
        <c:lblOffset val="100"/>
        <c:noMultiLvlLbl val="0"/>
      </c:catAx>
      <c:valAx>
        <c:axId val="1264911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64911440"/>
        <c:crosses val="autoZero"/>
        <c:crossBetween val="between"/>
      </c:valAx>
      <c:valAx>
        <c:axId val="1256527584"/>
        <c:scaling>
          <c:orientation val="minMax"/>
          <c:max val="1"/>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48749008"/>
        <c:crosses val="max"/>
        <c:crossBetween val="between"/>
      </c:valAx>
      <c:catAx>
        <c:axId val="1148749008"/>
        <c:scaling>
          <c:orientation val="minMax"/>
        </c:scaling>
        <c:delete val="1"/>
        <c:axPos val="b"/>
        <c:numFmt formatCode="General" sourceLinked="1"/>
        <c:majorTickMark val="out"/>
        <c:minorTickMark val="none"/>
        <c:tickLblPos val="nextTo"/>
        <c:crossAx val="1256527584"/>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A63B5-FB46-46DB-A869-EE6042B89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1641</TotalTime>
  <Pages>10</Pages>
  <Words>4375</Words>
  <Characters>24941</Characters>
  <Application>Microsoft Office Word</Application>
  <DocSecurity>0</DocSecurity>
  <Lines>207</Lines>
  <Paragraphs>58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83</cp:revision>
  <dcterms:created xsi:type="dcterms:W3CDTF">2019-04-15T17:39:00Z</dcterms:created>
  <dcterms:modified xsi:type="dcterms:W3CDTF">2019-06-07T18:31:00Z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