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589" w:rsidRPr="00EE5309" w:rsidRDefault="00C2169C" w:rsidP="00275193">
      <w:pPr>
        <w:spacing w:after="0" w:line="240" w:lineRule="auto"/>
        <w:jc w:val="center"/>
        <w:rPr>
          <w:rFonts w:ascii="Times New Roman" w:hAnsi="Times New Roman" w:cs="Times New Roman"/>
          <w:b/>
          <w:color w:val="000000" w:themeColor="text1"/>
          <w:sz w:val="28"/>
          <w:szCs w:val="28"/>
        </w:rPr>
      </w:pPr>
      <w:r w:rsidRPr="00EE5309">
        <w:rPr>
          <w:rFonts w:ascii="Times New Roman" w:hAnsi="Times New Roman" w:cs="Times New Roman"/>
          <w:b/>
          <w:color w:val="000000" w:themeColor="text1"/>
          <w:sz w:val="28"/>
          <w:szCs w:val="28"/>
        </w:rPr>
        <w:t>PERFORMANȚĂ PRIN PROFESIONALISM VS. CONTRAPERFORMANȚĂ ÎN INDUSTRIA AERONAUTICĂ DIN ROMÂNIA</w:t>
      </w:r>
    </w:p>
    <w:p w:rsidR="00B66B8F" w:rsidRPr="00EE5309" w:rsidRDefault="00B66B8F" w:rsidP="003C5308">
      <w:pPr>
        <w:spacing w:after="0" w:line="240" w:lineRule="auto"/>
        <w:jc w:val="both"/>
        <w:rPr>
          <w:rFonts w:ascii="Times New Roman" w:hAnsi="Times New Roman" w:cs="Times New Roman"/>
          <w:color w:val="000000" w:themeColor="text1"/>
          <w:sz w:val="24"/>
          <w:szCs w:val="24"/>
        </w:rPr>
      </w:pPr>
    </w:p>
    <w:p w:rsidR="00B65046" w:rsidRPr="00EE5309" w:rsidRDefault="00B65046" w:rsidP="00A03129">
      <w:pPr>
        <w:spacing w:after="0" w:line="240" w:lineRule="auto"/>
        <w:ind w:firstLine="567"/>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Abstract</w:t>
      </w:r>
    </w:p>
    <w:p w:rsidR="006876EE" w:rsidRPr="00EE5309" w:rsidRDefault="00BE3EFC" w:rsidP="00B34B8C">
      <w:pPr>
        <w:spacing w:after="0" w:line="240" w:lineRule="auto"/>
        <w:ind w:firstLine="567"/>
        <w:jc w:val="both"/>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 xml:space="preserve">În prezentul articol sunt surprinse, pe de o parte, câteva aspecte referitoare la industria aeronautică la nivel mondial și performanțele înregistrate de cele mai puternice companii din acest domeniu. Cunoscut fiind faptul că la nivel mondial există o concurență acerbă în ceea ce privește supremația în acest domeniu, țările cu o industrie aeronautică dezvoltată se remarcă prin investiții masive care vizează producerea </w:t>
      </w:r>
      <w:r w:rsidR="00AB106D" w:rsidRPr="00EE5309">
        <w:rPr>
          <w:rFonts w:ascii="Times New Roman" w:eastAsia="Times New Roman" w:hAnsi="Times New Roman" w:cs="Times New Roman"/>
          <w:color w:val="000000" w:themeColor="text1"/>
          <w:sz w:val="20"/>
          <w:szCs w:val="20"/>
          <w:lang w:eastAsia="ro-RO"/>
        </w:rPr>
        <w:t>de produse și servicii de înaltă tehnologie în domeniul aviației civile, spațiale și al apărării.</w:t>
      </w:r>
    </w:p>
    <w:p w:rsidR="00AB106D" w:rsidRPr="00EE5309" w:rsidRDefault="00AB106D" w:rsidP="00B34B8C">
      <w:pPr>
        <w:spacing w:after="0" w:line="240" w:lineRule="auto"/>
        <w:ind w:firstLine="567"/>
        <w:jc w:val="both"/>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În ceea ce privește industria aeronautică din România, studiul vizează analiza performanțelor financiare a cinci companii listate la Bursa de Valori din București prin intermediul unei baterii restrânse de indicatori care au condus la formularea unor concluzii și recomandări pertinente în ceea ce privește situația</w:t>
      </w:r>
      <w:r w:rsidR="008C2A46" w:rsidRPr="00EE5309">
        <w:rPr>
          <w:rFonts w:ascii="Times New Roman" w:eastAsia="Times New Roman" w:hAnsi="Times New Roman" w:cs="Times New Roman"/>
          <w:color w:val="000000" w:themeColor="text1"/>
          <w:sz w:val="20"/>
          <w:szCs w:val="20"/>
          <w:lang w:eastAsia="ro-RO"/>
        </w:rPr>
        <w:t xml:space="preserve"> lor </w:t>
      </w:r>
      <w:r w:rsidRPr="00EE5309">
        <w:rPr>
          <w:rFonts w:ascii="Times New Roman" w:eastAsia="Times New Roman" w:hAnsi="Times New Roman" w:cs="Times New Roman"/>
          <w:color w:val="000000" w:themeColor="text1"/>
          <w:sz w:val="20"/>
          <w:szCs w:val="20"/>
          <w:lang w:eastAsia="ro-RO"/>
        </w:rPr>
        <w:t>financiară.</w:t>
      </w:r>
      <w:r w:rsidR="008C2A46" w:rsidRPr="00EE5309">
        <w:rPr>
          <w:rFonts w:ascii="Times New Roman" w:eastAsia="Times New Roman" w:hAnsi="Times New Roman" w:cs="Times New Roman"/>
          <w:color w:val="000000" w:themeColor="text1"/>
          <w:sz w:val="20"/>
          <w:szCs w:val="20"/>
          <w:lang w:eastAsia="ro-RO"/>
        </w:rPr>
        <w:t xml:space="preserve"> Managementul performant practicat în cadrul companii</w:t>
      </w:r>
      <w:r w:rsidR="00706348" w:rsidRPr="00EE5309">
        <w:rPr>
          <w:rFonts w:ascii="Times New Roman" w:eastAsia="Times New Roman" w:hAnsi="Times New Roman" w:cs="Times New Roman"/>
          <w:color w:val="000000" w:themeColor="text1"/>
          <w:sz w:val="20"/>
          <w:szCs w:val="20"/>
          <w:lang w:eastAsia="ro-RO"/>
        </w:rPr>
        <w:t xml:space="preserve">lor cu capital majoritar privat este evidențiat printr-o soliditate financiară </w:t>
      </w:r>
      <w:r w:rsidR="00706348" w:rsidRPr="00EE5309">
        <w:rPr>
          <w:rFonts w:ascii="Times New Roman" w:hAnsi="Times New Roman" w:cs="Times New Roman"/>
          <w:color w:val="393939"/>
          <w:sz w:val="20"/>
          <w:szCs w:val="20"/>
        </w:rPr>
        <w:t>fără riscuri pentru perioada următoare, în comparație cu ineficiența managementului practicat în cadrul companiilor în care statul, prin Ministerul Economiei, este acționarul majoritar.</w:t>
      </w:r>
    </w:p>
    <w:p w:rsidR="006876EE" w:rsidRPr="00EE5309" w:rsidRDefault="006876EE" w:rsidP="00B34B8C">
      <w:pPr>
        <w:spacing w:after="0" w:line="240" w:lineRule="auto"/>
        <w:ind w:firstLine="567"/>
        <w:jc w:val="both"/>
        <w:rPr>
          <w:rFonts w:ascii="Times New Roman" w:eastAsia="Times New Roman" w:hAnsi="Times New Roman" w:cs="Times New Roman"/>
          <w:color w:val="000000" w:themeColor="text1"/>
          <w:sz w:val="20"/>
          <w:szCs w:val="20"/>
          <w:lang w:eastAsia="ro-RO"/>
        </w:rPr>
      </w:pPr>
    </w:p>
    <w:p w:rsidR="00265FA3" w:rsidRPr="00EE5309" w:rsidRDefault="00265FA3" w:rsidP="00A03129">
      <w:pPr>
        <w:spacing w:after="0" w:line="240" w:lineRule="auto"/>
        <w:ind w:firstLine="567"/>
        <w:rPr>
          <w:rFonts w:ascii="Times New Roman" w:hAnsi="Times New Roman" w:cs="Times New Roman"/>
          <w:b/>
          <w:color w:val="000000" w:themeColor="text1"/>
          <w:sz w:val="20"/>
          <w:szCs w:val="20"/>
        </w:rPr>
      </w:pPr>
      <w:proofErr w:type="spellStart"/>
      <w:r w:rsidRPr="00EE5309">
        <w:rPr>
          <w:rFonts w:ascii="Times New Roman" w:hAnsi="Times New Roman" w:cs="Times New Roman"/>
          <w:b/>
          <w:color w:val="000000" w:themeColor="text1"/>
          <w:sz w:val="20"/>
          <w:szCs w:val="20"/>
        </w:rPr>
        <w:t>Keywords</w:t>
      </w:r>
      <w:proofErr w:type="spellEnd"/>
      <w:r w:rsidR="000C4885" w:rsidRPr="00EE5309">
        <w:rPr>
          <w:rFonts w:ascii="Times New Roman" w:hAnsi="Times New Roman" w:cs="Times New Roman"/>
          <w:b/>
          <w:color w:val="000000" w:themeColor="text1"/>
          <w:sz w:val="20"/>
          <w:szCs w:val="20"/>
        </w:rPr>
        <w:t xml:space="preserve">: </w:t>
      </w:r>
      <w:r w:rsidR="007C5BFF" w:rsidRPr="00EE5309">
        <w:rPr>
          <w:rFonts w:ascii="Times New Roman" w:hAnsi="Times New Roman" w:cs="Times New Roman"/>
          <w:color w:val="000000" w:themeColor="text1"/>
          <w:sz w:val="20"/>
          <w:szCs w:val="20"/>
        </w:rPr>
        <w:t xml:space="preserve">analiză, performanță financiară, profesionalism, contraperformanță, </w:t>
      </w:r>
      <w:r w:rsidR="00277555" w:rsidRPr="00EE5309">
        <w:rPr>
          <w:rFonts w:ascii="Times New Roman" w:hAnsi="Times New Roman" w:cs="Times New Roman"/>
          <w:color w:val="000000" w:themeColor="text1"/>
          <w:sz w:val="20"/>
          <w:szCs w:val="20"/>
        </w:rPr>
        <w:t xml:space="preserve">companii </w:t>
      </w:r>
      <w:r w:rsidR="00A919B8" w:rsidRPr="00EE5309">
        <w:rPr>
          <w:rFonts w:ascii="Times New Roman" w:hAnsi="Times New Roman" w:cs="Times New Roman"/>
          <w:color w:val="000000" w:themeColor="text1"/>
          <w:sz w:val="20"/>
          <w:szCs w:val="20"/>
        </w:rPr>
        <w:t>aeronautice</w:t>
      </w:r>
      <w:r w:rsidR="007C5BFF" w:rsidRPr="00EE5309">
        <w:rPr>
          <w:rFonts w:ascii="Times New Roman" w:hAnsi="Times New Roman" w:cs="Times New Roman"/>
          <w:color w:val="000000" w:themeColor="text1"/>
          <w:sz w:val="20"/>
          <w:szCs w:val="20"/>
        </w:rPr>
        <w:t>.</w:t>
      </w:r>
    </w:p>
    <w:p w:rsidR="00265FA3" w:rsidRPr="00EE5309" w:rsidRDefault="00265FA3" w:rsidP="00A03129">
      <w:pPr>
        <w:spacing w:after="0" w:line="240" w:lineRule="auto"/>
        <w:ind w:firstLine="567"/>
        <w:rPr>
          <w:rFonts w:ascii="Times New Roman" w:hAnsi="Times New Roman" w:cs="Times New Roman"/>
          <w:b/>
          <w:color w:val="000000" w:themeColor="text1"/>
          <w:sz w:val="20"/>
          <w:szCs w:val="20"/>
        </w:rPr>
      </w:pPr>
    </w:p>
    <w:p w:rsidR="00265FA3" w:rsidRPr="00EE5309" w:rsidRDefault="00265FA3" w:rsidP="00A03129">
      <w:pPr>
        <w:spacing w:after="0" w:line="240" w:lineRule="auto"/>
        <w:ind w:firstLine="567"/>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 xml:space="preserve">JEL </w:t>
      </w:r>
      <w:proofErr w:type="spellStart"/>
      <w:r w:rsidRPr="00EE5309">
        <w:rPr>
          <w:rFonts w:ascii="Times New Roman" w:hAnsi="Times New Roman" w:cs="Times New Roman"/>
          <w:b/>
          <w:color w:val="000000" w:themeColor="text1"/>
          <w:sz w:val="20"/>
          <w:szCs w:val="20"/>
        </w:rPr>
        <w:t>Classification</w:t>
      </w:r>
      <w:proofErr w:type="spellEnd"/>
      <w:r w:rsidR="000C4885" w:rsidRPr="00EE5309">
        <w:rPr>
          <w:rFonts w:ascii="Times New Roman" w:hAnsi="Times New Roman" w:cs="Times New Roman"/>
          <w:b/>
          <w:color w:val="000000" w:themeColor="text1"/>
          <w:sz w:val="20"/>
          <w:szCs w:val="20"/>
        </w:rPr>
        <w:t>:</w:t>
      </w:r>
      <w:r w:rsidR="00277555" w:rsidRPr="00EE5309">
        <w:rPr>
          <w:rFonts w:ascii="Times New Roman" w:hAnsi="Times New Roman" w:cs="Times New Roman"/>
          <w:color w:val="000000" w:themeColor="text1"/>
          <w:sz w:val="20"/>
          <w:szCs w:val="20"/>
        </w:rPr>
        <w:t xml:space="preserve"> </w:t>
      </w:r>
      <w:r w:rsidR="003E278E" w:rsidRPr="00EE5309">
        <w:rPr>
          <w:rFonts w:ascii="Times New Roman" w:hAnsi="Times New Roman" w:cs="Times New Roman"/>
          <w:color w:val="000000" w:themeColor="text1"/>
          <w:sz w:val="20"/>
          <w:szCs w:val="20"/>
        </w:rPr>
        <w:t xml:space="preserve">D00, </w:t>
      </w:r>
      <w:r w:rsidR="00F06618" w:rsidRPr="00EE5309">
        <w:rPr>
          <w:rFonts w:ascii="Times New Roman" w:hAnsi="Times New Roman" w:cs="Times New Roman"/>
          <w:color w:val="000000" w:themeColor="text1"/>
          <w:sz w:val="20"/>
          <w:szCs w:val="20"/>
        </w:rPr>
        <w:t>M40</w:t>
      </w:r>
      <w:r w:rsidR="003E278E" w:rsidRPr="00EE5309">
        <w:rPr>
          <w:rFonts w:ascii="Times New Roman" w:hAnsi="Times New Roman" w:cs="Times New Roman"/>
          <w:color w:val="000000" w:themeColor="text1"/>
          <w:sz w:val="20"/>
          <w:szCs w:val="20"/>
        </w:rPr>
        <w:t>.</w:t>
      </w:r>
    </w:p>
    <w:p w:rsidR="00265FA3" w:rsidRPr="00EE5309" w:rsidRDefault="00265FA3" w:rsidP="00A03129">
      <w:pPr>
        <w:spacing w:after="0" w:line="240" w:lineRule="auto"/>
        <w:ind w:firstLine="567"/>
        <w:rPr>
          <w:rFonts w:ascii="Times New Roman" w:hAnsi="Times New Roman" w:cs="Times New Roman"/>
          <w:b/>
          <w:color w:val="000000" w:themeColor="text1"/>
          <w:sz w:val="24"/>
          <w:szCs w:val="24"/>
        </w:rPr>
      </w:pPr>
    </w:p>
    <w:p w:rsidR="009A563A" w:rsidRPr="00EE5309" w:rsidRDefault="00C2169C" w:rsidP="007C4371">
      <w:pPr>
        <w:pStyle w:val="ListParagraph"/>
        <w:numPr>
          <w:ilvl w:val="0"/>
          <w:numId w:val="2"/>
        </w:numPr>
        <w:tabs>
          <w:tab w:val="left" w:pos="851"/>
        </w:tabs>
        <w:spacing w:after="0" w:line="240" w:lineRule="auto"/>
        <w:ind w:left="0" w:firstLine="567"/>
        <w:rPr>
          <w:rFonts w:ascii="Times New Roman" w:hAnsi="Times New Roman" w:cs="Times New Roman"/>
          <w:b/>
          <w:color w:val="000000" w:themeColor="text1"/>
          <w:sz w:val="24"/>
          <w:szCs w:val="24"/>
        </w:rPr>
      </w:pPr>
      <w:r w:rsidRPr="00EE5309">
        <w:rPr>
          <w:rFonts w:ascii="Times New Roman" w:hAnsi="Times New Roman" w:cs="Times New Roman"/>
          <w:b/>
          <w:color w:val="000000" w:themeColor="text1"/>
          <w:sz w:val="24"/>
          <w:szCs w:val="24"/>
        </w:rPr>
        <w:t>INTRODUCERE</w:t>
      </w:r>
    </w:p>
    <w:p w:rsidR="00C2169C" w:rsidRDefault="00C2169C" w:rsidP="00563238">
      <w:pPr>
        <w:pStyle w:val="NormalWeb"/>
        <w:spacing w:before="0" w:beforeAutospacing="0" w:after="0" w:afterAutospacing="0"/>
        <w:ind w:firstLine="567"/>
        <w:jc w:val="both"/>
        <w:rPr>
          <w:rStyle w:val="tlid-translation"/>
        </w:rPr>
      </w:pPr>
    </w:p>
    <w:p w:rsidR="00563238" w:rsidRPr="00EE5309" w:rsidRDefault="000E75FF" w:rsidP="00563238">
      <w:pPr>
        <w:pStyle w:val="NormalWeb"/>
        <w:spacing w:before="0" w:beforeAutospacing="0" w:after="0" w:afterAutospacing="0"/>
        <w:ind w:firstLine="567"/>
        <w:jc w:val="both"/>
        <w:rPr>
          <w:rStyle w:val="tlid-translation"/>
        </w:rPr>
      </w:pPr>
      <w:r w:rsidRPr="00EE5309">
        <w:rPr>
          <w:rStyle w:val="tlid-translation"/>
        </w:rPr>
        <w:t>Industria aerospațială este una dintre cele mai importante industrii din lume, cu toate acestea nu există un consens în ceea ce privește dimensiunea și compoziția sa.</w:t>
      </w:r>
      <w:r w:rsidR="00AC3E2B" w:rsidRPr="00EE5309">
        <w:rPr>
          <w:rStyle w:val="tlid-translation"/>
        </w:rPr>
        <w:t xml:space="preserve"> La nivel mondial există o concurență acerbă în ceea ce privește supremația în acest domeniu, cinci țări remarcându-se prin investiții masive care vizează producerea de produse și servicii de înaltă tehnologie pentru programe civile, spațiale și de apărare.</w:t>
      </w:r>
    </w:p>
    <w:p w:rsidR="00563238" w:rsidRPr="00EE5309" w:rsidRDefault="00563238" w:rsidP="00563238">
      <w:pPr>
        <w:pStyle w:val="NormalWeb"/>
        <w:spacing w:before="0" w:beforeAutospacing="0" w:after="0" w:afterAutospacing="0"/>
        <w:ind w:firstLine="567"/>
        <w:jc w:val="both"/>
      </w:pPr>
      <w:r w:rsidRPr="00EE5309">
        <w:rPr>
          <w:b/>
          <w:i/>
          <w:color w:val="000000" w:themeColor="text1"/>
        </w:rPr>
        <w:t>Statele Unite</w:t>
      </w:r>
      <w:r w:rsidRPr="00EE5309">
        <w:rPr>
          <w:b/>
          <w:color w:val="000000" w:themeColor="text1"/>
        </w:rPr>
        <w:t xml:space="preserve"> </w:t>
      </w:r>
      <w:r w:rsidRPr="00EE5309">
        <w:t xml:space="preserve">au astăzi cea mai mare industrie aerospațială din lume sprijinind producerea de produse și servicii de înaltă tehnologie pentru programe civile, spațiale și de apărare. În Statele Unite, cei mai mari clienți sunt Departamentul Apărării și NASA. </w:t>
      </w:r>
      <w:r w:rsidR="00F85BD0" w:rsidRPr="00EE5309">
        <w:t>De</w:t>
      </w:r>
      <w:r w:rsidRPr="00EE5309">
        <w:t xml:space="preserve"> cealaltă parte a ecuației, Boeing, Lockheed Martin, United Technologies, </w:t>
      </w:r>
      <w:proofErr w:type="spellStart"/>
      <w:r w:rsidRPr="00EE5309">
        <w:t>Northrop</w:t>
      </w:r>
      <w:proofErr w:type="spellEnd"/>
      <w:r w:rsidRPr="00EE5309">
        <w:t xml:space="preserve"> </w:t>
      </w:r>
      <w:proofErr w:type="spellStart"/>
      <w:r w:rsidRPr="00EE5309">
        <w:t>Grumman</w:t>
      </w:r>
      <w:proofErr w:type="spellEnd"/>
      <w:r w:rsidRPr="00EE5309">
        <w:t xml:space="preserve">, </w:t>
      </w:r>
      <w:proofErr w:type="spellStart"/>
      <w:r w:rsidRPr="00EE5309">
        <w:t>Raytheon</w:t>
      </w:r>
      <w:proofErr w:type="spellEnd"/>
      <w:r w:rsidRPr="00EE5309">
        <w:t xml:space="preserve"> și General Electric sunt companiile mari de producție aerospațială din America.</w:t>
      </w:r>
    </w:p>
    <w:p w:rsidR="00797AED" w:rsidRPr="00EE5309" w:rsidRDefault="00F85BD0" w:rsidP="004A74CB">
      <w:pPr>
        <w:pStyle w:val="NormalWeb"/>
        <w:spacing w:before="0" w:beforeAutospacing="0" w:after="0" w:afterAutospacing="0"/>
        <w:ind w:firstLine="567"/>
        <w:jc w:val="both"/>
        <w:rPr>
          <w:rStyle w:val="tlid-translation"/>
        </w:rPr>
      </w:pPr>
      <w:proofErr w:type="spellStart"/>
      <w:r w:rsidRPr="00EE5309">
        <w:rPr>
          <w:b/>
          <w:i/>
          <w:color w:val="000000" w:themeColor="text1"/>
        </w:rPr>
        <w:t>Franţa</w:t>
      </w:r>
      <w:proofErr w:type="spellEnd"/>
      <w:r w:rsidR="004A74CB" w:rsidRPr="00EE5309">
        <w:rPr>
          <w:rStyle w:val="tlid-translation"/>
        </w:rPr>
        <w:t xml:space="preserve"> are un avantaj </w:t>
      </w:r>
      <w:r w:rsidR="008A645D">
        <w:rPr>
          <w:rStyle w:val="tlid-translation"/>
        </w:rPr>
        <w:t>solid</w:t>
      </w:r>
      <w:r w:rsidR="004A74CB" w:rsidRPr="00EE5309">
        <w:rPr>
          <w:rStyle w:val="tlid-translation"/>
        </w:rPr>
        <w:t xml:space="preserve"> față de alte câteva țări din această categorie datorită accesului la cercetare și dezvoltare. </w:t>
      </w:r>
      <w:r w:rsidR="004A74CB" w:rsidRPr="00EE5309">
        <w:rPr>
          <w:rStyle w:val="tlid-translation"/>
          <w:i/>
        </w:rPr>
        <w:t>"Aerospace Valley"</w:t>
      </w:r>
      <w:r w:rsidR="004A74CB" w:rsidRPr="00EE5309">
        <w:rPr>
          <w:rStyle w:val="tlid-translation"/>
        </w:rPr>
        <w:t xml:space="preserve"> </w:t>
      </w:r>
      <w:r w:rsidR="004A74CB" w:rsidRPr="00EE5309">
        <w:rPr>
          <w:rStyle w:val="trans-target-highlight"/>
        </w:rPr>
        <w:t xml:space="preserve">este </w:t>
      </w:r>
      <w:r w:rsidR="002B04E1" w:rsidRPr="00EE5309">
        <w:rPr>
          <w:rStyle w:val="trans-target-highlight"/>
        </w:rPr>
        <w:t>un hub pentru inginerie aerospaț</w:t>
      </w:r>
      <w:r w:rsidR="004A74CB" w:rsidRPr="00EE5309">
        <w:rPr>
          <w:rStyle w:val="trans-target-highlight"/>
        </w:rPr>
        <w:t>ială, cu facilități de cercetare care includ școli de aviație, laboratoare de cercetare aerospațială și un centru experimental pentru demontarea aeronavelor.</w:t>
      </w:r>
      <w:r w:rsidR="004A74CB" w:rsidRPr="00EE5309">
        <w:rPr>
          <w:rStyle w:val="tlid-translation"/>
        </w:rPr>
        <w:t xml:space="preserve"> </w:t>
      </w:r>
      <w:r w:rsidR="002B04E1" w:rsidRPr="00EE5309">
        <w:rPr>
          <w:color w:val="000000" w:themeColor="text1"/>
        </w:rPr>
        <w:t>Industria aeronautică și aerospaț</w:t>
      </w:r>
      <w:r w:rsidR="002D778A" w:rsidRPr="00EE5309">
        <w:rPr>
          <w:color w:val="000000" w:themeColor="text1"/>
        </w:rPr>
        <w:t>ială a fost al</w:t>
      </w:r>
      <w:r w:rsidR="002B04E1" w:rsidRPr="00EE5309">
        <w:rPr>
          <w:color w:val="000000" w:themeColor="text1"/>
        </w:rPr>
        <w:t xml:space="preserve"> doilea sector în ceea ce priveș</w:t>
      </w:r>
      <w:r w:rsidR="002D778A" w:rsidRPr="00EE5309">
        <w:rPr>
          <w:color w:val="000000" w:themeColor="text1"/>
        </w:rPr>
        <w:t>te valoarea exporturilor globale, fiind singurul care prezintă o cr</w:t>
      </w:r>
      <w:r w:rsidR="002B04E1" w:rsidRPr="00EE5309">
        <w:rPr>
          <w:color w:val="000000" w:themeColor="text1"/>
        </w:rPr>
        <w:t>eș</w:t>
      </w:r>
      <w:r w:rsidR="002D778A" w:rsidRPr="00EE5309">
        <w:rPr>
          <w:color w:val="000000" w:themeColor="text1"/>
        </w:rPr>
        <w:t xml:space="preserve">tere a valorii adăugate. </w:t>
      </w:r>
      <w:r w:rsidR="004A74CB" w:rsidRPr="00EE5309">
        <w:rPr>
          <w:rStyle w:val="tlid-translation"/>
        </w:rPr>
        <w:t>Airbus și Safran sunt printre cele mai importante companii aerospa</w:t>
      </w:r>
      <w:r w:rsidR="002B04E1" w:rsidRPr="00EE5309">
        <w:rPr>
          <w:rStyle w:val="tlid-translation"/>
        </w:rPr>
        <w:t>ț</w:t>
      </w:r>
      <w:r w:rsidR="004A74CB" w:rsidRPr="00EE5309">
        <w:rPr>
          <w:rStyle w:val="tlid-translation"/>
        </w:rPr>
        <w:t>iale franceze.</w:t>
      </w:r>
    </w:p>
    <w:p w:rsidR="002D778A" w:rsidRPr="00EE5309" w:rsidRDefault="007E5F78" w:rsidP="002D778A">
      <w:pPr>
        <w:pStyle w:val="NormalWeb"/>
        <w:spacing w:before="0" w:beforeAutospacing="0" w:after="0" w:afterAutospacing="0"/>
        <w:ind w:firstLine="567"/>
        <w:jc w:val="both"/>
        <w:rPr>
          <w:rStyle w:val="tlid-translation"/>
        </w:rPr>
      </w:pPr>
      <w:r w:rsidRPr="00EE5309">
        <w:rPr>
          <w:rStyle w:val="tlid-translation"/>
          <w:b/>
          <w:i/>
        </w:rPr>
        <w:t>Germania</w:t>
      </w:r>
      <w:r w:rsidRPr="00EE5309">
        <w:rPr>
          <w:rStyle w:val="tlid-translation"/>
        </w:rPr>
        <w:t xml:space="preserve"> se consideră </w:t>
      </w:r>
      <w:r w:rsidR="00721AF3">
        <w:rPr>
          <w:rStyle w:val="tlid-translation"/>
        </w:rPr>
        <w:t xml:space="preserve">a fi </w:t>
      </w:r>
      <w:r w:rsidRPr="00EE5309">
        <w:rPr>
          <w:rStyle w:val="tlid-translation"/>
        </w:rPr>
        <w:t>unul dintre cei mai importanți producători din Europa și ca unul care are o infrastructură extinsă de cercetare și dezvoltare. Industria aeronautică oferă servicii și produse pentru sectoarele civile, spațiale și de apărare din aviație.</w:t>
      </w:r>
    </w:p>
    <w:p w:rsidR="002D778A" w:rsidRPr="00EE5309" w:rsidRDefault="002D778A" w:rsidP="002D778A">
      <w:pPr>
        <w:pStyle w:val="NormalWeb"/>
        <w:spacing w:before="0" w:beforeAutospacing="0" w:after="0" w:afterAutospacing="0"/>
        <w:ind w:firstLine="567"/>
        <w:jc w:val="both"/>
        <w:rPr>
          <w:rStyle w:val="tlid-translation"/>
        </w:rPr>
      </w:pPr>
      <w:r w:rsidRPr="00EE5309">
        <w:rPr>
          <w:rStyle w:val="tlid-translation"/>
          <w:b/>
          <w:i/>
        </w:rPr>
        <w:t>Regatul Unit</w:t>
      </w:r>
      <w:r w:rsidRPr="00EE5309">
        <w:rPr>
          <w:rStyle w:val="tlid-translation"/>
        </w:rPr>
        <w:t xml:space="preserve"> </w:t>
      </w:r>
      <w:r w:rsidR="002A229C" w:rsidRPr="00EE5309">
        <w:rPr>
          <w:rStyle w:val="tlid-translation"/>
        </w:rPr>
        <w:t>se evidenț</w:t>
      </w:r>
      <w:r w:rsidR="008C77C1" w:rsidRPr="00EE5309">
        <w:rPr>
          <w:rStyle w:val="tlid-translation"/>
        </w:rPr>
        <w:t>iază prin</w:t>
      </w:r>
      <w:r w:rsidRPr="00EE5309">
        <w:rPr>
          <w:rStyle w:val="tlid-translation"/>
        </w:rPr>
        <w:t xml:space="preserve"> industria de inginerie și servicii de înaltă tehnologie. Experiența sa este cea mai accentuată în materie de </w:t>
      </w:r>
      <w:r w:rsidR="00256D7D" w:rsidRPr="00EE5309">
        <w:rPr>
          <w:rStyle w:val="tlid-translation"/>
        </w:rPr>
        <w:t>angrenaje</w:t>
      </w:r>
      <w:r w:rsidR="00817D6A" w:rsidRPr="00EE5309">
        <w:rPr>
          <w:rStyle w:val="tlid-translation"/>
        </w:rPr>
        <w:t xml:space="preserve"> de </w:t>
      </w:r>
      <w:r w:rsidRPr="00EE5309">
        <w:rPr>
          <w:rStyle w:val="tlid-translation"/>
        </w:rPr>
        <w:t>aterizare, mecanică, combustibil, energie electrică și avionică. Rolls Royce nu este doar un producător britanic de automobile de lux, ci și o mare companie aerospațială.</w:t>
      </w:r>
    </w:p>
    <w:p w:rsidR="00ED627A" w:rsidRPr="00EE5309" w:rsidRDefault="00CF1FBF" w:rsidP="002D778A">
      <w:pPr>
        <w:pStyle w:val="NormalWeb"/>
        <w:spacing w:before="0" w:beforeAutospacing="0" w:after="0" w:afterAutospacing="0"/>
        <w:ind w:firstLine="567"/>
        <w:jc w:val="both"/>
      </w:pPr>
      <w:r w:rsidRPr="00EE5309">
        <w:rPr>
          <w:rStyle w:val="tlid-translation"/>
          <w:b/>
          <w:i/>
        </w:rPr>
        <w:t>Canada</w:t>
      </w:r>
      <w:r w:rsidR="008B2839" w:rsidRPr="00EE5309">
        <w:rPr>
          <w:rStyle w:val="tlid-translation"/>
          <w:b/>
        </w:rPr>
        <w:t xml:space="preserve"> </w:t>
      </w:r>
      <w:r w:rsidR="008B2839" w:rsidRPr="00EE5309">
        <w:rPr>
          <w:rStyle w:val="tlid-translation"/>
        </w:rPr>
        <w:t>este cunoscută pentr</w:t>
      </w:r>
      <w:r w:rsidR="001C4F06" w:rsidRPr="00EE5309">
        <w:rPr>
          <w:rStyle w:val="tlid-translation"/>
        </w:rPr>
        <w:t>u piețele sale în ceea ce priveș</w:t>
      </w:r>
      <w:r w:rsidR="008B2839" w:rsidRPr="00EE5309">
        <w:rPr>
          <w:rStyle w:val="tlid-translation"/>
        </w:rPr>
        <w:t>te angrenajele utilizate la aterizarea aeronavelor. I</w:t>
      </w:r>
      <w:r w:rsidRPr="00EE5309">
        <w:rPr>
          <w:rStyle w:val="tlid-translation"/>
        </w:rPr>
        <w:t>ndustria aerospațială canadiană dedică 20% din investițiile sale în cercetare și dezvoltare</w:t>
      </w:r>
      <w:r w:rsidR="00ED627A" w:rsidRPr="00EE5309">
        <w:rPr>
          <w:rStyle w:val="tlid-translation"/>
        </w:rPr>
        <w:t>, c</w:t>
      </w:r>
      <w:r w:rsidRPr="00EE5309">
        <w:rPr>
          <w:rStyle w:val="tlid-translation"/>
        </w:rPr>
        <w:t>ompaniile aerospațiale produc</w:t>
      </w:r>
      <w:r w:rsidR="00ED627A" w:rsidRPr="00EE5309">
        <w:rPr>
          <w:rStyle w:val="tlid-translation"/>
        </w:rPr>
        <w:t>ând</w:t>
      </w:r>
      <w:r w:rsidRPr="00EE5309">
        <w:rPr>
          <w:rStyle w:val="tlid-translation"/>
        </w:rPr>
        <w:t xml:space="preserve"> piese și structuri pentru programele civile, de apărare și spațiale </w:t>
      </w:r>
      <w:r w:rsidR="00ED627A" w:rsidRPr="00EE5309">
        <w:rPr>
          <w:rStyle w:val="tlid-translation"/>
        </w:rPr>
        <w:t>(</w:t>
      </w:r>
      <w:hyperlink r:id="rId8" w:history="1">
        <w:r w:rsidR="00ED627A" w:rsidRPr="00EE5309">
          <w:rPr>
            <w:rStyle w:val="Hyperlink"/>
          </w:rPr>
          <w:t>https://www.quora.com/Which-are-the-top-5-countries-with-the-best-aerospace-industry-in-the-world</w:t>
        </w:r>
      </w:hyperlink>
      <w:r w:rsidR="00ED627A" w:rsidRPr="00EE5309">
        <w:rPr>
          <w:rStyle w:val="tlid-translation"/>
        </w:rPr>
        <w:t>).</w:t>
      </w:r>
    </w:p>
    <w:p w:rsidR="006476D4" w:rsidRPr="00EE5309" w:rsidRDefault="006476D4" w:rsidP="004A4BCC">
      <w:pPr>
        <w:pStyle w:val="NormalWeb"/>
        <w:spacing w:before="0" w:beforeAutospacing="0" w:after="0" w:afterAutospacing="0"/>
        <w:ind w:firstLine="567"/>
        <w:jc w:val="both"/>
        <w:rPr>
          <w:b/>
          <w:color w:val="000000" w:themeColor="text1"/>
        </w:rPr>
      </w:pPr>
    </w:p>
    <w:p w:rsidR="000E75FF" w:rsidRPr="00EE5309" w:rsidRDefault="00C2169C" w:rsidP="000E75FF">
      <w:pPr>
        <w:pStyle w:val="NormalWeb"/>
        <w:numPr>
          <w:ilvl w:val="0"/>
          <w:numId w:val="2"/>
        </w:numPr>
        <w:tabs>
          <w:tab w:val="left" w:pos="851"/>
        </w:tabs>
        <w:spacing w:before="0" w:beforeAutospacing="0" w:after="0" w:afterAutospacing="0"/>
        <w:ind w:left="0" w:firstLine="567"/>
        <w:jc w:val="both"/>
        <w:rPr>
          <w:b/>
          <w:color w:val="000000" w:themeColor="text1"/>
        </w:rPr>
      </w:pPr>
      <w:r w:rsidRPr="00EE5309">
        <w:rPr>
          <w:b/>
          <w:color w:val="000000" w:themeColor="text1"/>
        </w:rPr>
        <w:t>LITERATURE REWIEW</w:t>
      </w:r>
    </w:p>
    <w:p w:rsidR="00C2169C" w:rsidRDefault="00C2169C" w:rsidP="000E75FF">
      <w:pPr>
        <w:pStyle w:val="Heading1"/>
        <w:spacing w:before="0" w:beforeAutospacing="0" w:after="0" w:afterAutospacing="0"/>
        <w:ind w:firstLine="567"/>
        <w:jc w:val="both"/>
        <w:rPr>
          <w:b w:val="0"/>
          <w:color w:val="000000" w:themeColor="text1"/>
          <w:sz w:val="24"/>
          <w:szCs w:val="24"/>
          <w:shd w:val="clear" w:color="auto" w:fill="FFFFFF"/>
        </w:rPr>
      </w:pPr>
    </w:p>
    <w:p w:rsidR="000E75FF" w:rsidRPr="00EE5309" w:rsidRDefault="000E75FF" w:rsidP="000E75FF">
      <w:pPr>
        <w:pStyle w:val="Heading1"/>
        <w:spacing w:before="0" w:beforeAutospacing="0" w:after="0" w:afterAutospacing="0"/>
        <w:ind w:firstLine="567"/>
        <w:jc w:val="both"/>
        <w:rPr>
          <w:rStyle w:val="tlid-translation"/>
          <w:b w:val="0"/>
          <w:sz w:val="24"/>
          <w:szCs w:val="24"/>
        </w:rPr>
      </w:pPr>
      <w:r w:rsidRPr="00EE5309">
        <w:rPr>
          <w:b w:val="0"/>
          <w:color w:val="000000" w:themeColor="text1"/>
          <w:sz w:val="24"/>
          <w:szCs w:val="24"/>
          <w:shd w:val="clear" w:color="auto" w:fill="FFFFFF"/>
        </w:rPr>
        <w:t xml:space="preserve">Subiecte referitoare la performanță în industria aerospațială au fost abordate de diverși autori de la cele mai renumite universități din întreaga lume. De exemplu, </w:t>
      </w:r>
      <w:proofErr w:type="spellStart"/>
      <w:r w:rsidRPr="00EE5309">
        <w:rPr>
          <w:b w:val="0"/>
          <w:color w:val="000000" w:themeColor="text1"/>
          <w:sz w:val="24"/>
          <w:szCs w:val="24"/>
          <w:shd w:val="clear" w:color="auto" w:fill="FFFFFF"/>
        </w:rPr>
        <w:t>Haque</w:t>
      </w:r>
      <w:proofErr w:type="spellEnd"/>
      <w:r w:rsidRPr="00EE5309">
        <w:rPr>
          <w:b w:val="0"/>
          <w:color w:val="000000" w:themeColor="text1"/>
          <w:sz w:val="24"/>
          <w:szCs w:val="24"/>
          <w:shd w:val="clear" w:color="auto" w:fill="FFFFFF"/>
        </w:rPr>
        <w:t xml:space="preserve"> B. și Moore M.J. de la </w:t>
      </w:r>
      <w:r w:rsidRPr="00EE5309">
        <w:rPr>
          <w:rStyle w:val="contribdegrees"/>
          <w:b w:val="0"/>
          <w:sz w:val="24"/>
          <w:szCs w:val="24"/>
        </w:rPr>
        <w:lastRenderedPageBreak/>
        <w:t xml:space="preserve">University of </w:t>
      </w:r>
      <w:proofErr w:type="spellStart"/>
      <w:r w:rsidRPr="00EE5309">
        <w:rPr>
          <w:rStyle w:val="contribdegrees"/>
          <w:b w:val="0"/>
          <w:sz w:val="24"/>
          <w:szCs w:val="24"/>
        </w:rPr>
        <w:t>Warwick</w:t>
      </w:r>
      <w:proofErr w:type="spellEnd"/>
      <w:r w:rsidRPr="00EE5309">
        <w:rPr>
          <w:rStyle w:val="contribdegrees"/>
          <w:b w:val="0"/>
          <w:sz w:val="24"/>
          <w:szCs w:val="24"/>
        </w:rPr>
        <w:t xml:space="preserve"> (UK)</w:t>
      </w:r>
      <w:r w:rsidR="00721AF3">
        <w:rPr>
          <w:rStyle w:val="contribdegrees"/>
          <w:b w:val="0"/>
          <w:sz w:val="24"/>
          <w:szCs w:val="24"/>
        </w:rPr>
        <w:t>,</w:t>
      </w:r>
      <w:r w:rsidRPr="00EE5309">
        <w:rPr>
          <w:rStyle w:val="contribdegrees"/>
          <w:b w:val="0"/>
          <w:sz w:val="24"/>
          <w:szCs w:val="24"/>
        </w:rPr>
        <w:t xml:space="preserve"> </w:t>
      </w:r>
      <w:r w:rsidRPr="00EE5309">
        <w:rPr>
          <w:b w:val="0"/>
          <w:color w:val="000000" w:themeColor="text1"/>
          <w:sz w:val="24"/>
          <w:szCs w:val="24"/>
          <w:shd w:val="clear" w:color="auto" w:fill="FFFFFF"/>
        </w:rPr>
        <w:t xml:space="preserve">în lucrarea </w:t>
      </w:r>
      <w:proofErr w:type="spellStart"/>
      <w:r w:rsidRPr="00EE5309">
        <w:rPr>
          <w:b w:val="0"/>
          <w:i/>
          <w:sz w:val="24"/>
          <w:szCs w:val="24"/>
        </w:rPr>
        <w:t>Measures</w:t>
      </w:r>
      <w:proofErr w:type="spellEnd"/>
      <w:r w:rsidRPr="00EE5309">
        <w:rPr>
          <w:b w:val="0"/>
          <w:i/>
          <w:sz w:val="24"/>
          <w:szCs w:val="24"/>
        </w:rPr>
        <w:t xml:space="preserve"> of performance for </w:t>
      </w:r>
      <w:proofErr w:type="spellStart"/>
      <w:r w:rsidRPr="00EE5309">
        <w:rPr>
          <w:b w:val="0"/>
          <w:i/>
          <w:sz w:val="24"/>
          <w:szCs w:val="24"/>
        </w:rPr>
        <w:t>lean</w:t>
      </w:r>
      <w:proofErr w:type="spellEnd"/>
      <w:r w:rsidRPr="00EE5309">
        <w:rPr>
          <w:b w:val="0"/>
          <w:i/>
          <w:sz w:val="24"/>
          <w:szCs w:val="24"/>
        </w:rPr>
        <w:t xml:space="preserve"> product </w:t>
      </w:r>
      <w:proofErr w:type="spellStart"/>
      <w:r w:rsidRPr="00EE5309">
        <w:rPr>
          <w:b w:val="0"/>
          <w:i/>
          <w:sz w:val="24"/>
          <w:szCs w:val="24"/>
        </w:rPr>
        <w:t>introduction</w:t>
      </w:r>
      <w:proofErr w:type="spellEnd"/>
      <w:r w:rsidRPr="00EE5309">
        <w:rPr>
          <w:b w:val="0"/>
          <w:i/>
          <w:sz w:val="24"/>
          <w:szCs w:val="24"/>
        </w:rPr>
        <w:t xml:space="preserve"> in </w:t>
      </w:r>
      <w:proofErr w:type="spellStart"/>
      <w:r w:rsidRPr="00EE5309">
        <w:rPr>
          <w:b w:val="0"/>
          <w:i/>
          <w:sz w:val="24"/>
          <w:szCs w:val="24"/>
        </w:rPr>
        <w:t>the</w:t>
      </w:r>
      <w:proofErr w:type="spellEnd"/>
      <w:r w:rsidRPr="00EE5309">
        <w:rPr>
          <w:b w:val="0"/>
          <w:i/>
          <w:sz w:val="24"/>
          <w:szCs w:val="24"/>
        </w:rPr>
        <w:t xml:space="preserve"> </w:t>
      </w:r>
      <w:proofErr w:type="spellStart"/>
      <w:r w:rsidRPr="00EE5309">
        <w:rPr>
          <w:b w:val="0"/>
          <w:i/>
          <w:sz w:val="24"/>
          <w:szCs w:val="24"/>
        </w:rPr>
        <w:t>aerospace</w:t>
      </w:r>
      <w:proofErr w:type="spellEnd"/>
      <w:r w:rsidRPr="00EE5309">
        <w:rPr>
          <w:b w:val="0"/>
          <w:i/>
          <w:sz w:val="24"/>
          <w:szCs w:val="24"/>
        </w:rPr>
        <w:t xml:space="preserve"> </w:t>
      </w:r>
      <w:proofErr w:type="spellStart"/>
      <w:r w:rsidRPr="00EE5309">
        <w:rPr>
          <w:b w:val="0"/>
          <w:i/>
          <w:sz w:val="24"/>
          <w:szCs w:val="24"/>
        </w:rPr>
        <w:t>industry</w:t>
      </w:r>
      <w:proofErr w:type="spellEnd"/>
      <w:r w:rsidR="00721AF3">
        <w:rPr>
          <w:b w:val="0"/>
          <w:sz w:val="24"/>
          <w:szCs w:val="24"/>
        </w:rPr>
        <w:t>,</w:t>
      </w:r>
      <w:r w:rsidRPr="00EE5309">
        <w:rPr>
          <w:b w:val="0"/>
          <w:sz w:val="24"/>
          <w:szCs w:val="24"/>
        </w:rPr>
        <w:t xml:space="preserve"> </w:t>
      </w:r>
      <w:r w:rsidRPr="00EE5309">
        <w:rPr>
          <w:rStyle w:val="tlid-translation"/>
          <w:b w:val="0"/>
          <w:sz w:val="24"/>
          <w:szCs w:val="24"/>
        </w:rPr>
        <w:t>prezintă rezultatele cercetărilor ce privesc dezvoltarea unor măsuri de performanță pentru noul proces de introducere a unor produse în industria aerospațială, care va încuraja o schimbare comportamentală față de adoptarea principiilor slabe în alte domenii decât cele de fabricație.</w:t>
      </w:r>
    </w:p>
    <w:p w:rsidR="000E75FF" w:rsidRPr="00EE5309" w:rsidRDefault="000E75FF" w:rsidP="000E75FF">
      <w:pPr>
        <w:pStyle w:val="Heading1"/>
        <w:spacing w:before="0" w:beforeAutospacing="0" w:after="0" w:afterAutospacing="0"/>
        <w:ind w:firstLine="567"/>
        <w:jc w:val="both"/>
        <w:rPr>
          <w:b w:val="0"/>
          <w:sz w:val="24"/>
          <w:szCs w:val="24"/>
        </w:rPr>
      </w:pPr>
      <w:r w:rsidRPr="00EE5309">
        <w:rPr>
          <w:b w:val="0"/>
          <w:sz w:val="24"/>
          <w:szCs w:val="24"/>
        </w:rPr>
        <w:t xml:space="preserve">Herman O. </w:t>
      </w:r>
      <w:proofErr w:type="spellStart"/>
      <w:r w:rsidRPr="00EE5309">
        <w:rPr>
          <w:b w:val="0"/>
          <w:sz w:val="24"/>
          <w:szCs w:val="24"/>
        </w:rPr>
        <w:t>Stekler</w:t>
      </w:r>
      <w:proofErr w:type="spellEnd"/>
      <w:r w:rsidRPr="00EE5309">
        <w:rPr>
          <w:b w:val="0"/>
          <w:sz w:val="24"/>
          <w:szCs w:val="24"/>
        </w:rPr>
        <w:t xml:space="preserve">, în cartea </w:t>
      </w:r>
      <w:r w:rsidRPr="00EE5309">
        <w:rPr>
          <w:b w:val="0"/>
          <w:i/>
          <w:sz w:val="24"/>
          <w:szCs w:val="24"/>
        </w:rPr>
        <w:t xml:space="preserve">The </w:t>
      </w:r>
      <w:proofErr w:type="spellStart"/>
      <w:r w:rsidRPr="00EE5309">
        <w:rPr>
          <w:b w:val="0"/>
          <w:i/>
          <w:sz w:val="24"/>
          <w:szCs w:val="24"/>
        </w:rPr>
        <w:t>structure</w:t>
      </w:r>
      <w:proofErr w:type="spellEnd"/>
      <w:r w:rsidRPr="00EE5309">
        <w:rPr>
          <w:b w:val="0"/>
          <w:i/>
          <w:sz w:val="24"/>
          <w:szCs w:val="24"/>
        </w:rPr>
        <w:t xml:space="preserve"> </w:t>
      </w:r>
      <w:proofErr w:type="spellStart"/>
      <w:r w:rsidRPr="00EE5309">
        <w:rPr>
          <w:b w:val="0"/>
          <w:i/>
          <w:sz w:val="24"/>
          <w:szCs w:val="24"/>
        </w:rPr>
        <w:t>and</w:t>
      </w:r>
      <w:proofErr w:type="spellEnd"/>
      <w:r w:rsidRPr="00EE5309">
        <w:rPr>
          <w:b w:val="0"/>
          <w:i/>
          <w:sz w:val="24"/>
          <w:szCs w:val="24"/>
        </w:rPr>
        <w:t xml:space="preserve"> performance of </w:t>
      </w:r>
      <w:proofErr w:type="spellStart"/>
      <w:r w:rsidRPr="00EE5309">
        <w:rPr>
          <w:b w:val="0"/>
          <w:i/>
          <w:sz w:val="24"/>
          <w:szCs w:val="24"/>
        </w:rPr>
        <w:t>the</w:t>
      </w:r>
      <w:proofErr w:type="spellEnd"/>
      <w:r w:rsidRPr="00EE5309">
        <w:rPr>
          <w:b w:val="0"/>
          <w:i/>
          <w:sz w:val="24"/>
          <w:szCs w:val="24"/>
        </w:rPr>
        <w:t xml:space="preserve"> </w:t>
      </w:r>
      <w:proofErr w:type="spellStart"/>
      <w:r w:rsidRPr="00EE5309">
        <w:rPr>
          <w:b w:val="0"/>
          <w:i/>
          <w:sz w:val="24"/>
          <w:szCs w:val="24"/>
        </w:rPr>
        <w:t>aerospace</w:t>
      </w:r>
      <w:proofErr w:type="spellEnd"/>
      <w:r w:rsidRPr="00EE5309">
        <w:rPr>
          <w:b w:val="0"/>
          <w:i/>
          <w:sz w:val="24"/>
          <w:szCs w:val="24"/>
        </w:rPr>
        <w:t xml:space="preserve"> </w:t>
      </w:r>
      <w:proofErr w:type="spellStart"/>
      <w:r w:rsidRPr="00EE5309">
        <w:rPr>
          <w:b w:val="0"/>
          <w:i/>
          <w:sz w:val="24"/>
          <w:szCs w:val="24"/>
        </w:rPr>
        <w:t>industry</w:t>
      </w:r>
      <w:proofErr w:type="spellEnd"/>
      <w:r w:rsidRPr="00EE5309">
        <w:rPr>
          <w:b w:val="0"/>
          <w:sz w:val="24"/>
          <w:szCs w:val="24"/>
        </w:rPr>
        <w:t xml:space="preserve"> publicată la University of California Press în anul 1965, prezintă o analiză a structurii și performanței industriei aerospațiale, în special a relației dintre guvern și firmele private.</w:t>
      </w:r>
    </w:p>
    <w:p w:rsidR="000E75FF" w:rsidRPr="00EE5309" w:rsidRDefault="000E75FF" w:rsidP="000E75FF">
      <w:pPr>
        <w:pStyle w:val="Heading1"/>
        <w:spacing w:before="0" w:beforeAutospacing="0" w:after="0" w:afterAutospacing="0"/>
        <w:ind w:firstLine="567"/>
        <w:jc w:val="both"/>
        <w:rPr>
          <w:b w:val="0"/>
          <w:sz w:val="24"/>
          <w:szCs w:val="24"/>
        </w:rPr>
      </w:pPr>
      <w:r w:rsidRPr="00EE5309">
        <w:rPr>
          <w:b w:val="0"/>
          <w:sz w:val="24"/>
          <w:szCs w:val="24"/>
        </w:rPr>
        <w:t>Subiecte de interes privind performanța în industria aerospațială au intrat și în atenția altor autori, precum:</w:t>
      </w:r>
    </w:p>
    <w:p w:rsidR="000E75FF" w:rsidRPr="00EE5309" w:rsidRDefault="00573A81" w:rsidP="000E75FF">
      <w:pPr>
        <w:pStyle w:val="Heading1"/>
        <w:numPr>
          <w:ilvl w:val="0"/>
          <w:numId w:val="15"/>
        </w:numPr>
        <w:tabs>
          <w:tab w:val="left" w:pos="851"/>
        </w:tabs>
        <w:spacing w:before="0" w:beforeAutospacing="0" w:after="0" w:afterAutospacing="0"/>
        <w:ind w:left="0" w:firstLine="567"/>
        <w:jc w:val="both"/>
        <w:rPr>
          <w:b w:val="0"/>
          <w:sz w:val="24"/>
          <w:szCs w:val="24"/>
        </w:rPr>
      </w:pPr>
      <w:proofErr w:type="spellStart"/>
      <w:r w:rsidRPr="00EE5309">
        <w:rPr>
          <w:b w:val="0"/>
          <w:sz w:val="24"/>
          <w:szCs w:val="24"/>
        </w:rPr>
        <w:t>Burgess</w:t>
      </w:r>
      <w:proofErr w:type="spellEnd"/>
      <w:r w:rsidRPr="00EE5309">
        <w:rPr>
          <w:b w:val="0"/>
          <w:sz w:val="24"/>
          <w:szCs w:val="24"/>
        </w:rPr>
        <w:t xml:space="preserve"> </w:t>
      </w:r>
      <w:r w:rsidR="000E75FF" w:rsidRPr="00EE5309">
        <w:rPr>
          <w:b w:val="0"/>
          <w:sz w:val="24"/>
          <w:szCs w:val="24"/>
        </w:rPr>
        <w:t xml:space="preserve">T.F., </w:t>
      </w:r>
      <w:proofErr w:type="spellStart"/>
      <w:r w:rsidRPr="00EE5309">
        <w:rPr>
          <w:b w:val="0"/>
          <w:sz w:val="24"/>
          <w:szCs w:val="24"/>
        </w:rPr>
        <w:t>McKee</w:t>
      </w:r>
      <w:proofErr w:type="spellEnd"/>
      <w:r w:rsidRPr="00EE5309">
        <w:rPr>
          <w:b w:val="0"/>
          <w:sz w:val="24"/>
          <w:szCs w:val="24"/>
        </w:rPr>
        <w:t xml:space="preserve"> </w:t>
      </w:r>
      <w:r w:rsidR="000E75FF" w:rsidRPr="00EE5309">
        <w:rPr>
          <w:b w:val="0"/>
          <w:sz w:val="24"/>
          <w:szCs w:val="24"/>
        </w:rPr>
        <w:t xml:space="preserve">D., </w:t>
      </w:r>
      <w:proofErr w:type="spellStart"/>
      <w:r w:rsidRPr="00EE5309">
        <w:rPr>
          <w:b w:val="0"/>
          <w:sz w:val="24"/>
          <w:szCs w:val="24"/>
        </w:rPr>
        <w:t>Kidd</w:t>
      </w:r>
      <w:proofErr w:type="spellEnd"/>
      <w:r w:rsidRPr="00EE5309">
        <w:rPr>
          <w:b w:val="0"/>
          <w:sz w:val="24"/>
          <w:szCs w:val="24"/>
        </w:rPr>
        <w:t xml:space="preserve"> </w:t>
      </w:r>
      <w:r w:rsidR="000E75FF" w:rsidRPr="00EE5309">
        <w:rPr>
          <w:b w:val="0"/>
          <w:sz w:val="24"/>
          <w:szCs w:val="24"/>
        </w:rPr>
        <w:t xml:space="preserve">C. - </w:t>
      </w:r>
      <w:proofErr w:type="spellStart"/>
      <w:r w:rsidR="000E75FF" w:rsidRPr="00EE5309">
        <w:rPr>
          <w:b w:val="0"/>
          <w:i/>
          <w:sz w:val="24"/>
          <w:szCs w:val="24"/>
        </w:rPr>
        <w:t>Configuration</w:t>
      </w:r>
      <w:proofErr w:type="spellEnd"/>
      <w:r w:rsidR="000E75FF" w:rsidRPr="00EE5309">
        <w:rPr>
          <w:b w:val="0"/>
          <w:i/>
          <w:sz w:val="24"/>
          <w:szCs w:val="24"/>
        </w:rPr>
        <w:t xml:space="preserve"> management in </w:t>
      </w:r>
      <w:proofErr w:type="spellStart"/>
      <w:r w:rsidR="000E75FF" w:rsidRPr="00EE5309">
        <w:rPr>
          <w:b w:val="0"/>
          <w:i/>
          <w:sz w:val="24"/>
          <w:szCs w:val="24"/>
        </w:rPr>
        <w:t>the</w:t>
      </w:r>
      <w:proofErr w:type="spellEnd"/>
      <w:r w:rsidR="000E75FF" w:rsidRPr="00EE5309">
        <w:rPr>
          <w:b w:val="0"/>
          <w:i/>
          <w:sz w:val="24"/>
          <w:szCs w:val="24"/>
        </w:rPr>
        <w:t xml:space="preserve"> </w:t>
      </w:r>
      <w:proofErr w:type="spellStart"/>
      <w:r w:rsidR="000E75FF" w:rsidRPr="00EE5309">
        <w:rPr>
          <w:b w:val="0"/>
          <w:i/>
          <w:sz w:val="24"/>
          <w:szCs w:val="24"/>
        </w:rPr>
        <w:t>aerospace</w:t>
      </w:r>
      <w:proofErr w:type="spellEnd"/>
      <w:r w:rsidR="000E75FF" w:rsidRPr="00EE5309">
        <w:rPr>
          <w:b w:val="0"/>
          <w:i/>
          <w:sz w:val="24"/>
          <w:szCs w:val="24"/>
        </w:rPr>
        <w:t xml:space="preserve"> </w:t>
      </w:r>
      <w:proofErr w:type="spellStart"/>
      <w:r w:rsidR="000E75FF" w:rsidRPr="00EE5309">
        <w:rPr>
          <w:b w:val="0"/>
          <w:i/>
          <w:sz w:val="24"/>
          <w:szCs w:val="24"/>
        </w:rPr>
        <w:t>industry</w:t>
      </w:r>
      <w:proofErr w:type="spellEnd"/>
      <w:r w:rsidR="000E75FF" w:rsidRPr="00EE5309">
        <w:rPr>
          <w:b w:val="0"/>
          <w:i/>
          <w:sz w:val="24"/>
          <w:szCs w:val="24"/>
        </w:rPr>
        <w:t xml:space="preserve">: a </w:t>
      </w:r>
      <w:proofErr w:type="spellStart"/>
      <w:r w:rsidR="000E75FF" w:rsidRPr="00EE5309">
        <w:rPr>
          <w:b w:val="0"/>
          <w:i/>
          <w:sz w:val="24"/>
          <w:szCs w:val="24"/>
        </w:rPr>
        <w:t>review</w:t>
      </w:r>
      <w:proofErr w:type="spellEnd"/>
      <w:r w:rsidR="000E75FF" w:rsidRPr="00EE5309">
        <w:rPr>
          <w:b w:val="0"/>
          <w:i/>
          <w:sz w:val="24"/>
          <w:szCs w:val="24"/>
        </w:rPr>
        <w:t xml:space="preserve"> of </w:t>
      </w:r>
      <w:proofErr w:type="spellStart"/>
      <w:r w:rsidR="000E75FF" w:rsidRPr="00EE5309">
        <w:rPr>
          <w:b w:val="0"/>
          <w:i/>
          <w:sz w:val="24"/>
          <w:szCs w:val="24"/>
        </w:rPr>
        <w:t>industry</w:t>
      </w:r>
      <w:proofErr w:type="spellEnd"/>
      <w:r w:rsidR="000E75FF" w:rsidRPr="00EE5309">
        <w:rPr>
          <w:b w:val="0"/>
          <w:i/>
          <w:sz w:val="24"/>
          <w:szCs w:val="24"/>
        </w:rPr>
        <w:t xml:space="preserve"> practice</w:t>
      </w:r>
      <w:r w:rsidR="000E75FF" w:rsidRPr="00EE5309">
        <w:rPr>
          <w:b w:val="0"/>
          <w:sz w:val="24"/>
          <w:szCs w:val="24"/>
        </w:rPr>
        <w:t>;</w:t>
      </w:r>
    </w:p>
    <w:p w:rsidR="000E75FF" w:rsidRPr="00EE5309" w:rsidRDefault="000E75FF" w:rsidP="000E75FF">
      <w:pPr>
        <w:pStyle w:val="Heading1"/>
        <w:numPr>
          <w:ilvl w:val="0"/>
          <w:numId w:val="15"/>
        </w:numPr>
        <w:tabs>
          <w:tab w:val="left" w:pos="851"/>
        </w:tabs>
        <w:spacing w:before="0" w:beforeAutospacing="0" w:after="0" w:afterAutospacing="0"/>
        <w:ind w:left="0" w:firstLine="567"/>
        <w:jc w:val="both"/>
      </w:pPr>
      <w:r w:rsidRPr="00EE5309">
        <w:rPr>
          <w:b w:val="0"/>
          <w:sz w:val="24"/>
          <w:szCs w:val="24"/>
        </w:rPr>
        <w:t xml:space="preserve">Naomi J. </w:t>
      </w:r>
      <w:proofErr w:type="spellStart"/>
      <w:r w:rsidRPr="00EE5309">
        <w:rPr>
          <w:b w:val="0"/>
          <w:sz w:val="24"/>
          <w:szCs w:val="24"/>
        </w:rPr>
        <w:t>Brookes</w:t>
      </w:r>
      <w:proofErr w:type="spellEnd"/>
      <w:r w:rsidRPr="00EE5309">
        <w:rPr>
          <w:b w:val="0"/>
          <w:sz w:val="24"/>
          <w:szCs w:val="24"/>
        </w:rPr>
        <w:t xml:space="preserve">, </w:t>
      </w:r>
      <w:proofErr w:type="spellStart"/>
      <w:r w:rsidRPr="00EE5309">
        <w:rPr>
          <w:b w:val="0"/>
          <w:sz w:val="24"/>
          <w:szCs w:val="24"/>
        </w:rPr>
        <w:t>Sue</w:t>
      </w:r>
      <w:proofErr w:type="spellEnd"/>
      <w:r w:rsidRPr="00EE5309">
        <w:rPr>
          <w:b w:val="0"/>
          <w:sz w:val="24"/>
          <w:szCs w:val="24"/>
        </w:rPr>
        <w:t xml:space="preserve"> C. </w:t>
      </w:r>
      <w:proofErr w:type="spellStart"/>
      <w:r w:rsidRPr="00EE5309">
        <w:rPr>
          <w:b w:val="0"/>
          <w:sz w:val="24"/>
          <w:szCs w:val="24"/>
        </w:rPr>
        <w:t>Morton</w:t>
      </w:r>
      <w:proofErr w:type="spellEnd"/>
      <w:r w:rsidRPr="00EE5309">
        <w:rPr>
          <w:b w:val="0"/>
          <w:sz w:val="24"/>
          <w:szCs w:val="24"/>
        </w:rPr>
        <w:t xml:space="preserve">, Steve </w:t>
      </w:r>
      <w:proofErr w:type="spellStart"/>
      <w:r w:rsidRPr="00EE5309">
        <w:rPr>
          <w:b w:val="0"/>
          <w:sz w:val="24"/>
          <w:szCs w:val="24"/>
        </w:rPr>
        <w:t>Grossman</w:t>
      </w:r>
      <w:proofErr w:type="spellEnd"/>
      <w:r w:rsidRPr="00EE5309">
        <w:rPr>
          <w:b w:val="0"/>
          <w:sz w:val="24"/>
          <w:szCs w:val="24"/>
        </w:rPr>
        <w:t xml:space="preserve">, Paul </w:t>
      </w:r>
      <w:proofErr w:type="spellStart"/>
      <w:r w:rsidRPr="00EE5309">
        <w:rPr>
          <w:b w:val="0"/>
          <w:sz w:val="24"/>
          <w:szCs w:val="24"/>
        </w:rPr>
        <w:t>Joesbury</w:t>
      </w:r>
      <w:proofErr w:type="spellEnd"/>
      <w:r w:rsidRPr="00EE5309">
        <w:rPr>
          <w:b w:val="0"/>
          <w:sz w:val="24"/>
          <w:szCs w:val="24"/>
        </w:rPr>
        <w:t xml:space="preserve">, Duncan </w:t>
      </w:r>
      <w:proofErr w:type="spellStart"/>
      <w:r w:rsidRPr="00EE5309">
        <w:rPr>
          <w:b w:val="0"/>
          <w:sz w:val="24"/>
          <w:szCs w:val="24"/>
        </w:rPr>
        <w:t>Varnes</w:t>
      </w:r>
      <w:proofErr w:type="spellEnd"/>
      <w:r w:rsidRPr="00EE5309">
        <w:rPr>
          <w:b w:val="0"/>
          <w:sz w:val="24"/>
          <w:szCs w:val="24"/>
        </w:rPr>
        <w:t xml:space="preserve"> - </w:t>
      </w:r>
      <w:proofErr w:type="spellStart"/>
      <w:r w:rsidRPr="00EE5309">
        <w:rPr>
          <w:b w:val="0"/>
          <w:i/>
          <w:sz w:val="24"/>
          <w:szCs w:val="24"/>
        </w:rPr>
        <w:t>Analyzing</w:t>
      </w:r>
      <w:proofErr w:type="spellEnd"/>
      <w:r w:rsidRPr="00EE5309">
        <w:rPr>
          <w:b w:val="0"/>
          <w:i/>
          <w:sz w:val="24"/>
          <w:szCs w:val="24"/>
        </w:rPr>
        <w:t xml:space="preserve"> Social Capital </w:t>
      </w:r>
      <w:proofErr w:type="spellStart"/>
      <w:r w:rsidRPr="00EE5309">
        <w:rPr>
          <w:b w:val="0"/>
          <w:i/>
          <w:sz w:val="24"/>
          <w:szCs w:val="24"/>
        </w:rPr>
        <w:t>to</w:t>
      </w:r>
      <w:proofErr w:type="spellEnd"/>
      <w:r w:rsidRPr="00EE5309">
        <w:rPr>
          <w:b w:val="0"/>
          <w:i/>
          <w:sz w:val="24"/>
          <w:szCs w:val="24"/>
        </w:rPr>
        <w:t xml:space="preserve"> </w:t>
      </w:r>
      <w:proofErr w:type="spellStart"/>
      <w:r w:rsidRPr="00EE5309">
        <w:rPr>
          <w:b w:val="0"/>
          <w:i/>
          <w:sz w:val="24"/>
          <w:szCs w:val="24"/>
        </w:rPr>
        <w:t>Improve</w:t>
      </w:r>
      <w:proofErr w:type="spellEnd"/>
      <w:r w:rsidRPr="00EE5309">
        <w:rPr>
          <w:b w:val="0"/>
          <w:i/>
          <w:sz w:val="24"/>
          <w:szCs w:val="24"/>
        </w:rPr>
        <w:t xml:space="preserve"> Product </w:t>
      </w:r>
      <w:proofErr w:type="spellStart"/>
      <w:r w:rsidRPr="00EE5309">
        <w:rPr>
          <w:b w:val="0"/>
          <w:i/>
          <w:sz w:val="24"/>
          <w:szCs w:val="24"/>
        </w:rPr>
        <w:t>Development</w:t>
      </w:r>
      <w:proofErr w:type="spellEnd"/>
      <w:r w:rsidRPr="00EE5309">
        <w:rPr>
          <w:b w:val="0"/>
          <w:i/>
          <w:sz w:val="24"/>
          <w:szCs w:val="24"/>
        </w:rPr>
        <w:t xml:space="preserve"> Team Performance: </w:t>
      </w:r>
      <w:proofErr w:type="spellStart"/>
      <w:r w:rsidRPr="00EE5309">
        <w:rPr>
          <w:b w:val="0"/>
          <w:i/>
          <w:sz w:val="24"/>
          <w:szCs w:val="24"/>
        </w:rPr>
        <w:t>Action-Research</w:t>
      </w:r>
      <w:proofErr w:type="spellEnd"/>
      <w:r w:rsidRPr="00EE5309">
        <w:rPr>
          <w:b w:val="0"/>
          <w:i/>
          <w:sz w:val="24"/>
          <w:szCs w:val="24"/>
        </w:rPr>
        <w:t xml:space="preserve"> </w:t>
      </w:r>
      <w:proofErr w:type="spellStart"/>
      <w:r w:rsidRPr="00EE5309">
        <w:rPr>
          <w:b w:val="0"/>
          <w:i/>
          <w:sz w:val="24"/>
          <w:szCs w:val="24"/>
        </w:rPr>
        <w:t>Investigations</w:t>
      </w:r>
      <w:proofErr w:type="spellEnd"/>
      <w:r w:rsidRPr="00EE5309">
        <w:rPr>
          <w:b w:val="0"/>
          <w:i/>
          <w:sz w:val="24"/>
          <w:szCs w:val="24"/>
        </w:rPr>
        <w:t xml:space="preserve"> in </w:t>
      </w:r>
      <w:proofErr w:type="spellStart"/>
      <w:r w:rsidRPr="00EE5309">
        <w:rPr>
          <w:b w:val="0"/>
          <w:i/>
          <w:sz w:val="24"/>
          <w:szCs w:val="24"/>
        </w:rPr>
        <w:t>the</w:t>
      </w:r>
      <w:proofErr w:type="spellEnd"/>
      <w:r w:rsidRPr="00EE5309">
        <w:rPr>
          <w:b w:val="0"/>
          <w:i/>
          <w:sz w:val="24"/>
          <w:szCs w:val="24"/>
        </w:rPr>
        <w:t xml:space="preserve"> Aerospace Industry </w:t>
      </w:r>
      <w:proofErr w:type="spellStart"/>
      <w:r w:rsidRPr="00EE5309">
        <w:rPr>
          <w:b w:val="0"/>
          <w:i/>
          <w:sz w:val="24"/>
          <w:szCs w:val="24"/>
        </w:rPr>
        <w:t>With</w:t>
      </w:r>
      <w:proofErr w:type="spellEnd"/>
      <w:r w:rsidRPr="00EE5309">
        <w:rPr>
          <w:b w:val="0"/>
          <w:i/>
          <w:sz w:val="24"/>
          <w:szCs w:val="24"/>
        </w:rPr>
        <w:t xml:space="preserve"> TRW </w:t>
      </w:r>
      <w:proofErr w:type="spellStart"/>
      <w:r w:rsidRPr="00EE5309">
        <w:rPr>
          <w:b w:val="0"/>
          <w:i/>
          <w:sz w:val="24"/>
          <w:szCs w:val="24"/>
        </w:rPr>
        <w:t>and</w:t>
      </w:r>
      <w:proofErr w:type="spellEnd"/>
      <w:r w:rsidRPr="00EE5309">
        <w:rPr>
          <w:b w:val="0"/>
          <w:i/>
          <w:sz w:val="24"/>
          <w:szCs w:val="24"/>
        </w:rPr>
        <w:t xml:space="preserve"> GKN</w:t>
      </w:r>
      <w:r w:rsidRPr="00EE5309">
        <w:rPr>
          <w:b w:val="0"/>
          <w:sz w:val="24"/>
          <w:szCs w:val="24"/>
        </w:rPr>
        <w:t>;</w:t>
      </w:r>
    </w:p>
    <w:p w:rsidR="000E75FF" w:rsidRPr="00EE5309" w:rsidRDefault="000E75FF" w:rsidP="000E75FF">
      <w:pPr>
        <w:pStyle w:val="Heading1"/>
        <w:numPr>
          <w:ilvl w:val="0"/>
          <w:numId w:val="15"/>
        </w:numPr>
        <w:tabs>
          <w:tab w:val="left" w:pos="851"/>
        </w:tabs>
        <w:spacing w:before="0" w:beforeAutospacing="0" w:after="0" w:afterAutospacing="0"/>
        <w:ind w:left="0" w:firstLine="567"/>
        <w:jc w:val="both"/>
        <w:rPr>
          <w:b w:val="0"/>
          <w:sz w:val="24"/>
          <w:szCs w:val="24"/>
        </w:rPr>
      </w:pPr>
      <w:r w:rsidRPr="00EE5309">
        <w:rPr>
          <w:b w:val="0"/>
          <w:sz w:val="24"/>
          <w:szCs w:val="24"/>
        </w:rPr>
        <w:t xml:space="preserve">Vittorio </w:t>
      </w:r>
      <w:proofErr w:type="spellStart"/>
      <w:r w:rsidRPr="00EE5309">
        <w:rPr>
          <w:b w:val="0"/>
          <w:sz w:val="24"/>
          <w:szCs w:val="24"/>
        </w:rPr>
        <w:t>Chiesa</w:t>
      </w:r>
      <w:proofErr w:type="spellEnd"/>
      <w:r w:rsidRPr="00EE5309">
        <w:rPr>
          <w:b w:val="0"/>
          <w:sz w:val="24"/>
          <w:szCs w:val="24"/>
        </w:rPr>
        <w:t xml:space="preserve">, Federico </w:t>
      </w:r>
      <w:proofErr w:type="spellStart"/>
      <w:r w:rsidRPr="00EE5309">
        <w:rPr>
          <w:b w:val="0"/>
          <w:sz w:val="24"/>
          <w:szCs w:val="24"/>
        </w:rPr>
        <w:t>Frattini</w:t>
      </w:r>
      <w:proofErr w:type="spellEnd"/>
      <w:r w:rsidRPr="00EE5309">
        <w:rPr>
          <w:b w:val="0"/>
          <w:sz w:val="24"/>
          <w:szCs w:val="24"/>
        </w:rPr>
        <w:t xml:space="preserve">, Valentina </w:t>
      </w:r>
      <w:proofErr w:type="spellStart"/>
      <w:r w:rsidRPr="00EE5309">
        <w:rPr>
          <w:b w:val="0"/>
          <w:sz w:val="24"/>
          <w:szCs w:val="24"/>
        </w:rPr>
        <w:t>Lazzarotti</w:t>
      </w:r>
      <w:proofErr w:type="spellEnd"/>
      <w:r w:rsidRPr="00EE5309">
        <w:rPr>
          <w:b w:val="0"/>
          <w:sz w:val="24"/>
          <w:szCs w:val="24"/>
        </w:rPr>
        <w:t xml:space="preserve">, </w:t>
      </w:r>
      <w:proofErr w:type="spellStart"/>
      <w:r w:rsidRPr="00EE5309">
        <w:rPr>
          <w:b w:val="0"/>
          <w:sz w:val="24"/>
          <w:szCs w:val="24"/>
        </w:rPr>
        <w:t>Raffaella</w:t>
      </w:r>
      <w:proofErr w:type="spellEnd"/>
      <w:r w:rsidRPr="00EE5309">
        <w:rPr>
          <w:b w:val="0"/>
          <w:sz w:val="24"/>
          <w:szCs w:val="24"/>
        </w:rPr>
        <w:t xml:space="preserve"> Manzini -</w:t>
      </w:r>
      <w:r w:rsidRPr="00EE5309">
        <w:rPr>
          <w:b w:val="0"/>
          <w:i/>
          <w:sz w:val="24"/>
          <w:szCs w:val="24"/>
        </w:rPr>
        <w:t xml:space="preserve"> </w:t>
      </w:r>
      <w:proofErr w:type="spellStart"/>
      <w:r w:rsidRPr="00EE5309">
        <w:rPr>
          <w:b w:val="0"/>
          <w:i/>
          <w:sz w:val="24"/>
          <w:szCs w:val="24"/>
        </w:rPr>
        <w:t>Measuring</w:t>
      </w:r>
      <w:proofErr w:type="spellEnd"/>
      <w:r w:rsidRPr="00EE5309">
        <w:rPr>
          <w:b w:val="0"/>
          <w:i/>
          <w:sz w:val="24"/>
          <w:szCs w:val="24"/>
        </w:rPr>
        <w:t xml:space="preserve"> Performance in New Product </w:t>
      </w:r>
      <w:proofErr w:type="spellStart"/>
      <w:r w:rsidRPr="00EE5309">
        <w:rPr>
          <w:b w:val="0"/>
          <w:i/>
          <w:sz w:val="24"/>
          <w:szCs w:val="24"/>
        </w:rPr>
        <w:t>Development</w:t>
      </w:r>
      <w:proofErr w:type="spellEnd"/>
      <w:r w:rsidRPr="00EE5309">
        <w:rPr>
          <w:b w:val="0"/>
          <w:i/>
          <w:sz w:val="24"/>
          <w:szCs w:val="24"/>
        </w:rPr>
        <w:t xml:space="preserve"> </w:t>
      </w:r>
      <w:proofErr w:type="spellStart"/>
      <w:r w:rsidRPr="00EE5309">
        <w:rPr>
          <w:b w:val="0"/>
          <w:i/>
          <w:sz w:val="24"/>
          <w:szCs w:val="24"/>
        </w:rPr>
        <w:t>Projects</w:t>
      </w:r>
      <w:proofErr w:type="spellEnd"/>
      <w:r w:rsidRPr="00EE5309">
        <w:rPr>
          <w:b w:val="0"/>
          <w:i/>
          <w:sz w:val="24"/>
          <w:szCs w:val="24"/>
        </w:rPr>
        <w:t xml:space="preserve">: A Case </w:t>
      </w:r>
      <w:proofErr w:type="spellStart"/>
      <w:r w:rsidRPr="00EE5309">
        <w:rPr>
          <w:b w:val="0"/>
          <w:i/>
          <w:sz w:val="24"/>
          <w:szCs w:val="24"/>
        </w:rPr>
        <w:t>Study</w:t>
      </w:r>
      <w:proofErr w:type="spellEnd"/>
      <w:r w:rsidRPr="00EE5309">
        <w:rPr>
          <w:b w:val="0"/>
          <w:i/>
          <w:sz w:val="24"/>
          <w:szCs w:val="24"/>
        </w:rPr>
        <w:t xml:space="preserve"> in </w:t>
      </w:r>
      <w:proofErr w:type="spellStart"/>
      <w:r w:rsidRPr="00EE5309">
        <w:rPr>
          <w:b w:val="0"/>
          <w:i/>
          <w:sz w:val="24"/>
          <w:szCs w:val="24"/>
        </w:rPr>
        <w:t>the</w:t>
      </w:r>
      <w:proofErr w:type="spellEnd"/>
      <w:r w:rsidRPr="00EE5309">
        <w:rPr>
          <w:b w:val="0"/>
          <w:i/>
          <w:sz w:val="24"/>
          <w:szCs w:val="24"/>
        </w:rPr>
        <w:t xml:space="preserve"> Aerospace Industry</w:t>
      </w:r>
      <w:r w:rsidRPr="00EE5309">
        <w:rPr>
          <w:b w:val="0"/>
          <w:sz w:val="24"/>
          <w:szCs w:val="24"/>
        </w:rPr>
        <w:t>.</w:t>
      </w:r>
    </w:p>
    <w:p w:rsidR="000E75FF" w:rsidRPr="00EE5309" w:rsidRDefault="000E75FF" w:rsidP="000E75FF">
      <w:pPr>
        <w:pStyle w:val="Heading1"/>
        <w:tabs>
          <w:tab w:val="left" w:pos="851"/>
        </w:tabs>
        <w:spacing w:before="0" w:beforeAutospacing="0" w:after="0" w:afterAutospacing="0"/>
        <w:ind w:left="567"/>
        <w:jc w:val="both"/>
        <w:rPr>
          <w:b w:val="0"/>
          <w:sz w:val="24"/>
          <w:szCs w:val="24"/>
        </w:rPr>
      </w:pPr>
    </w:p>
    <w:p w:rsidR="000E75FF" w:rsidRPr="00EE5309" w:rsidRDefault="00C2169C" w:rsidP="000E75FF">
      <w:pPr>
        <w:pStyle w:val="NormalWeb"/>
        <w:numPr>
          <w:ilvl w:val="0"/>
          <w:numId w:val="2"/>
        </w:numPr>
        <w:tabs>
          <w:tab w:val="left" w:pos="851"/>
        </w:tabs>
        <w:spacing w:before="0" w:beforeAutospacing="0" w:after="0" w:afterAutospacing="0"/>
        <w:ind w:left="0" w:firstLine="567"/>
        <w:jc w:val="both"/>
        <w:rPr>
          <w:rStyle w:val="Strong"/>
          <w:color w:val="000000" w:themeColor="text1"/>
        </w:rPr>
      </w:pPr>
      <w:r w:rsidRPr="00EE5309">
        <w:rPr>
          <w:rStyle w:val="Strong"/>
          <w:color w:val="000000" w:themeColor="text1"/>
        </w:rPr>
        <w:t>DATE ȘI METODOLOGIE</w:t>
      </w:r>
    </w:p>
    <w:p w:rsidR="00C2169C" w:rsidRDefault="00C2169C" w:rsidP="000E75FF">
      <w:pPr>
        <w:pStyle w:val="ListParagraph"/>
        <w:spacing w:after="0" w:line="240" w:lineRule="auto"/>
        <w:ind w:left="0" w:firstLine="567"/>
        <w:jc w:val="both"/>
        <w:rPr>
          <w:rFonts w:ascii="Times New Roman" w:hAnsi="Times New Roman" w:cs="Times New Roman"/>
          <w:color w:val="000000" w:themeColor="text1"/>
          <w:sz w:val="24"/>
          <w:szCs w:val="24"/>
        </w:rPr>
      </w:pPr>
    </w:p>
    <w:p w:rsidR="00BB1CD7" w:rsidRPr="00EE5309" w:rsidRDefault="000E75FF" w:rsidP="000E75FF">
      <w:pPr>
        <w:pStyle w:val="ListParagraph"/>
        <w:spacing w:after="0" w:line="240" w:lineRule="auto"/>
        <w:ind w:left="0" w:firstLine="567"/>
        <w:jc w:val="both"/>
        <w:rPr>
          <w:rFonts w:ascii="Times New Roman" w:hAnsi="Times New Roman" w:cs="Times New Roman"/>
          <w:sz w:val="24"/>
          <w:szCs w:val="24"/>
        </w:rPr>
      </w:pPr>
      <w:r w:rsidRPr="00EE5309">
        <w:rPr>
          <w:rFonts w:ascii="Times New Roman" w:hAnsi="Times New Roman" w:cs="Times New Roman"/>
          <w:color w:val="000000" w:themeColor="text1"/>
          <w:sz w:val="24"/>
          <w:szCs w:val="24"/>
        </w:rPr>
        <w:t xml:space="preserve">Lucrarea de față își propune o analiză a performanțelor financiare înregistrate de companiile cu capital privat </w:t>
      </w:r>
      <w:r w:rsidR="00432CC7">
        <w:rPr>
          <w:rFonts w:ascii="Times New Roman" w:hAnsi="Times New Roman" w:cs="Times New Roman"/>
          <w:color w:val="000000" w:themeColor="text1"/>
          <w:sz w:val="24"/>
          <w:szCs w:val="24"/>
        </w:rPr>
        <w:t>în comparație</w:t>
      </w:r>
      <w:r w:rsidRPr="00EE5309">
        <w:rPr>
          <w:rFonts w:ascii="Times New Roman" w:hAnsi="Times New Roman" w:cs="Times New Roman"/>
          <w:color w:val="000000" w:themeColor="text1"/>
          <w:sz w:val="24"/>
          <w:szCs w:val="24"/>
        </w:rPr>
        <w:t xml:space="preserve"> cu cele cu capital de stat al căror </w:t>
      </w:r>
      <w:r w:rsidRPr="00EE5309">
        <w:rPr>
          <w:rFonts w:ascii="Times New Roman" w:hAnsi="Times New Roman" w:cs="Times New Roman"/>
          <w:sz w:val="24"/>
          <w:szCs w:val="24"/>
        </w:rPr>
        <w:t xml:space="preserve">obiect principal de activitate este fabricarea de aeronave și nave spațiale (cod CAEN 3030 - conform clasificării activităților din economia națională), </w:t>
      </w:r>
      <w:r w:rsidR="00432CC7">
        <w:rPr>
          <w:rFonts w:ascii="Times New Roman" w:hAnsi="Times New Roman" w:cs="Times New Roman"/>
          <w:color w:val="000000" w:themeColor="text1"/>
          <w:sz w:val="24"/>
          <w:szCs w:val="24"/>
        </w:rPr>
        <w:t xml:space="preserve">listate la Bursa de Valori din </w:t>
      </w:r>
      <w:r w:rsidRPr="00EE5309">
        <w:rPr>
          <w:rFonts w:ascii="Times New Roman" w:hAnsi="Times New Roman" w:cs="Times New Roman"/>
          <w:color w:val="000000" w:themeColor="text1"/>
          <w:sz w:val="24"/>
          <w:szCs w:val="24"/>
        </w:rPr>
        <w:t xml:space="preserve">București. Companiile </w:t>
      </w:r>
      <w:r w:rsidR="00BB1CD7" w:rsidRPr="00EE5309">
        <w:rPr>
          <w:rFonts w:ascii="Times New Roman" w:hAnsi="Times New Roman" w:cs="Times New Roman"/>
          <w:sz w:val="24"/>
          <w:szCs w:val="24"/>
        </w:rPr>
        <w:t>cu o vastă expertiză în domeniul construcției și mentenanței aeronavelor</w:t>
      </w:r>
      <w:r w:rsidR="00BB1CD7" w:rsidRPr="00EE5309">
        <w:rPr>
          <w:rFonts w:ascii="Times New Roman" w:hAnsi="Times New Roman" w:cs="Times New Roman"/>
          <w:color w:val="000000" w:themeColor="text1"/>
          <w:sz w:val="24"/>
          <w:szCs w:val="24"/>
        </w:rPr>
        <w:t xml:space="preserve"> </w:t>
      </w:r>
      <w:r w:rsidRPr="00EE5309">
        <w:rPr>
          <w:rFonts w:ascii="Times New Roman" w:hAnsi="Times New Roman" w:cs="Times New Roman"/>
          <w:color w:val="000000" w:themeColor="text1"/>
          <w:sz w:val="24"/>
          <w:szCs w:val="24"/>
        </w:rPr>
        <w:t>care vor face obiectul cercetării în această lucrare</w:t>
      </w:r>
      <w:r w:rsidR="00BB1CD7" w:rsidRPr="00EE5309">
        <w:rPr>
          <w:rFonts w:ascii="Times New Roman" w:hAnsi="Times New Roman" w:cs="Times New Roman"/>
          <w:sz w:val="24"/>
          <w:szCs w:val="24"/>
        </w:rPr>
        <w:t xml:space="preserve">, sunt: Aerostar Bacău (componente pentru aeronave), </w:t>
      </w:r>
      <w:proofErr w:type="spellStart"/>
      <w:r w:rsidR="00BB1CD7" w:rsidRPr="00EE5309">
        <w:rPr>
          <w:rFonts w:ascii="Times New Roman" w:hAnsi="Times New Roman" w:cs="Times New Roman"/>
          <w:sz w:val="24"/>
          <w:szCs w:val="24"/>
        </w:rPr>
        <w:t>Turbomecanica</w:t>
      </w:r>
      <w:proofErr w:type="spellEnd"/>
      <w:r w:rsidR="00BB1CD7" w:rsidRPr="00EE5309">
        <w:rPr>
          <w:rFonts w:ascii="Times New Roman" w:hAnsi="Times New Roman" w:cs="Times New Roman"/>
          <w:sz w:val="24"/>
          <w:szCs w:val="24"/>
        </w:rPr>
        <w:t xml:space="preserve"> București (</w:t>
      </w:r>
      <w:r w:rsidR="00432CC7">
        <w:rPr>
          <w:rFonts w:ascii="Times New Roman" w:hAnsi="Times New Roman" w:cs="Times New Roman"/>
          <w:sz w:val="24"/>
          <w:szCs w:val="24"/>
        </w:rPr>
        <w:t>furnizor de componente și reparaț</w:t>
      </w:r>
      <w:r w:rsidR="00BB1CD7" w:rsidRPr="00EE5309">
        <w:rPr>
          <w:rFonts w:ascii="Times New Roman" w:hAnsi="Times New Roman" w:cs="Times New Roman"/>
          <w:sz w:val="24"/>
          <w:szCs w:val="24"/>
        </w:rPr>
        <w:t xml:space="preserve">ii pentru industria aeronautică cât </w:t>
      </w:r>
      <w:proofErr w:type="spellStart"/>
      <w:r w:rsidR="00BB1CD7" w:rsidRPr="00EE5309">
        <w:rPr>
          <w:rFonts w:ascii="Times New Roman" w:hAnsi="Times New Roman" w:cs="Times New Roman"/>
          <w:sz w:val="24"/>
          <w:szCs w:val="24"/>
        </w:rPr>
        <w:t>şi</w:t>
      </w:r>
      <w:proofErr w:type="spellEnd"/>
      <w:r w:rsidR="00BB1CD7" w:rsidRPr="00EE5309">
        <w:rPr>
          <w:rFonts w:ascii="Times New Roman" w:hAnsi="Times New Roman" w:cs="Times New Roman"/>
          <w:sz w:val="24"/>
          <w:szCs w:val="24"/>
        </w:rPr>
        <w:t xml:space="preserve"> pentru alte domenii de înalt nivel tehnologic</w:t>
      </w:r>
      <w:r w:rsidR="0006276B" w:rsidRPr="00EE5309">
        <w:rPr>
          <w:rFonts w:ascii="Times New Roman" w:hAnsi="Times New Roman" w:cs="Times New Roman"/>
          <w:sz w:val="24"/>
          <w:szCs w:val="24"/>
        </w:rPr>
        <w:t>), IAR Braș</w:t>
      </w:r>
      <w:r w:rsidR="00BB1CD7" w:rsidRPr="00EE5309">
        <w:rPr>
          <w:rFonts w:ascii="Times New Roman" w:hAnsi="Times New Roman" w:cs="Times New Roman"/>
          <w:sz w:val="24"/>
          <w:szCs w:val="24"/>
        </w:rPr>
        <w:t xml:space="preserve">ov (componente pentru elicoptere), </w:t>
      </w:r>
      <w:r w:rsidR="0006276B" w:rsidRPr="00EE5309">
        <w:rPr>
          <w:rFonts w:ascii="Times New Roman" w:hAnsi="Times New Roman" w:cs="Times New Roman"/>
          <w:sz w:val="24"/>
          <w:szCs w:val="24"/>
        </w:rPr>
        <w:t>Avioane Craiova (producț</w:t>
      </w:r>
      <w:r w:rsidR="00BB1CD7" w:rsidRPr="00EE5309">
        <w:rPr>
          <w:rFonts w:ascii="Times New Roman" w:hAnsi="Times New Roman" w:cs="Times New Roman"/>
          <w:sz w:val="24"/>
          <w:szCs w:val="24"/>
        </w:rPr>
        <w:t>ia de aerona</w:t>
      </w:r>
      <w:r w:rsidR="0006276B" w:rsidRPr="00EE5309">
        <w:rPr>
          <w:rFonts w:ascii="Times New Roman" w:hAnsi="Times New Roman" w:cs="Times New Roman"/>
          <w:sz w:val="24"/>
          <w:szCs w:val="24"/>
        </w:rPr>
        <w:t>ve ș</w:t>
      </w:r>
      <w:r w:rsidR="00BB1CD7" w:rsidRPr="00EE5309">
        <w:rPr>
          <w:rFonts w:ascii="Times New Roman" w:hAnsi="Times New Roman" w:cs="Times New Roman"/>
          <w:sz w:val="24"/>
          <w:szCs w:val="24"/>
        </w:rPr>
        <w:t>i suban</w:t>
      </w:r>
      <w:r w:rsidR="0006276B" w:rsidRPr="00EE5309">
        <w:rPr>
          <w:rFonts w:ascii="Times New Roman" w:hAnsi="Times New Roman" w:cs="Times New Roman"/>
          <w:sz w:val="24"/>
          <w:szCs w:val="24"/>
        </w:rPr>
        <w:t>sambluri) ș</w:t>
      </w:r>
      <w:r w:rsidR="00BB1CD7" w:rsidRPr="00EE5309">
        <w:rPr>
          <w:rFonts w:ascii="Times New Roman" w:hAnsi="Times New Roman" w:cs="Times New Roman"/>
          <w:sz w:val="24"/>
          <w:szCs w:val="24"/>
        </w:rPr>
        <w:t>i</w:t>
      </w:r>
      <w:r w:rsidR="0006276B" w:rsidRPr="00EE5309">
        <w:rPr>
          <w:rFonts w:ascii="Times New Roman" w:hAnsi="Times New Roman" w:cs="Times New Roman"/>
          <w:sz w:val="24"/>
          <w:szCs w:val="24"/>
        </w:rPr>
        <w:t xml:space="preserve"> </w:t>
      </w:r>
      <w:proofErr w:type="spellStart"/>
      <w:r w:rsidR="0006276B" w:rsidRPr="00EE5309">
        <w:rPr>
          <w:rFonts w:ascii="Times New Roman" w:hAnsi="Times New Roman" w:cs="Times New Roman"/>
          <w:sz w:val="24"/>
          <w:szCs w:val="24"/>
        </w:rPr>
        <w:t>R</w:t>
      </w:r>
      <w:r w:rsidR="00BB1CD7" w:rsidRPr="00EE5309">
        <w:rPr>
          <w:rFonts w:ascii="Times New Roman" w:hAnsi="Times New Roman" w:cs="Times New Roman"/>
          <w:sz w:val="24"/>
          <w:szCs w:val="24"/>
        </w:rPr>
        <w:t>om</w:t>
      </w:r>
      <w:r w:rsidR="0006276B" w:rsidRPr="00EE5309">
        <w:rPr>
          <w:rFonts w:ascii="Times New Roman" w:hAnsi="Times New Roman" w:cs="Times New Roman"/>
          <w:sz w:val="24"/>
          <w:szCs w:val="24"/>
        </w:rPr>
        <w:t>aero</w:t>
      </w:r>
      <w:proofErr w:type="spellEnd"/>
      <w:r w:rsidR="00BB1CD7" w:rsidRPr="00EE5309">
        <w:rPr>
          <w:rFonts w:ascii="Times New Roman" w:hAnsi="Times New Roman" w:cs="Times New Roman"/>
          <w:sz w:val="24"/>
          <w:szCs w:val="24"/>
        </w:rPr>
        <w:t xml:space="preserve"> B</w:t>
      </w:r>
      <w:r w:rsidR="0006276B" w:rsidRPr="00EE5309">
        <w:rPr>
          <w:rFonts w:ascii="Times New Roman" w:hAnsi="Times New Roman" w:cs="Times New Roman"/>
          <w:sz w:val="24"/>
          <w:szCs w:val="24"/>
        </w:rPr>
        <w:t>ucurești (mentenanță</w:t>
      </w:r>
      <w:r w:rsidR="00BB1CD7" w:rsidRPr="00EE5309">
        <w:rPr>
          <w:rFonts w:ascii="Times New Roman" w:hAnsi="Times New Roman" w:cs="Times New Roman"/>
          <w:sz w:val="24"/>
          <w:szCs w:val="24"/>
        </w:rPr>
        <w:t xml:space="preserve"> aeronave).</w:t>
      </w:r>
    </w:p>
    <w:p w:rsidR="000E75FF" w:rsidRPr="00432CC7" w:rsidRDefault="000E75FF" w:rsidP="000E75FF">
      <w:pPr>
        <w:pStyle w:val="ListParagraph"/>
        <w:spacing w:after="0" w:line="240" w:lineRule="auto"/>
        <w:ind w:left="0" w:firstLine="567"/>
        <w:jc w:val="both"/>
        <w:rPr>
          <w:rFonts w:ascii="Times New Roman" w:hAnsi="Times New Roman" w:cs="Times New Roman"/>
          <w:color w:val="000000" w:themeColor="text1"/>
          <w:sz w:val="24"/>
          <w:szCs w:val="24"/>
        </w:rPr>
      </w:pPr>
      <w:r w:rsidRPr="00432CC7">
        <w:rPr>
          <w:rFonts w:ascii="Times New Roman" w:hAnsi="Times New Roman" w:cs="Times New Roman"/>
          <w:color w:val="000000" w:themeColor="text1"/>
          <w:sz w:val="24"/>
          <w:szCs w:val="24"/>
        </w:rPr>
        <w:t xml:space="preserve">Analiza performanțelor financiare s-a realizat </w:t>
      </w:r>
      <w:r w:rsidR="00EE7A7C" w:rsidRPr="00432CC7">
        <w:rPr>
          <w:rFonts w:ascii="Times New Roman" w:hAnsi="Times New Roman" w:cs="Times New Roman"/>
          <w:color w:val="000000" w:themeColor="text1"/>
          <w:sz w:val="24"/>
          <w:szCs w:val="24"/>
        </w:rPr>
        <w:t xml:space="preserve">pentru un orizont de timp de 3 ani (2016-2018) </w:t>
      </w:r>
      <w:r w:rsidRPr="00432CC7">
        <w:rPr>
          <w:rFonts w:ascii="Times New Roman" w:hAnsi="Times New Roman" w:cs="Times New Roman"/>
          <w:color w:val="000000" w:themeColor="text1"/>
          <w:sz w:val="24"/>
          <w:szCs w:val="24"/>
        </w:rPr>
        <w:t xml:space="preserve">prin intermediul </w:t>
      </w:r>
      <w:r w:rsidR="00EE7A7C" w:rsidRPr="00432CC7">
        <w:rPr>
          <w:rFonts w:ascii="Times New Roman" w:hAnsi="Times New Roman" w:cs="Times New Roman"/>
          <w:color w:val="000000" w:themeColor="text1"/>
          <w:sz w:val="24"/>
          <w:szCs w:val="24"/>
        </w:rPr>
        <w:t xml:space="preserve">unor </w:t>
      </w:r>
      <w:r w:rsidRPr="00432CC7">
        <w:rPr>
          <w:rFonts w:ascii="Times New Roman" w:hAnsi="Times New Roman" w:cs="Times New Roman"/>
          <w:color w:val="000000" w:themeColor="text1"/>
          <w:sz w:val="24"/>
          <w:szCs w:val="24"/>
        </w:rPr>
        <w:t>indicatori cunoscuți în literatura economică de specialitat</w:t>
      </w:r>
      <w:r w:rsidR="0006276B" w:rsidRPr="00432CC7">
        <w:rPr>
          <w:rFonts w:ascii="Times New Roman" w:hAnsi="Times New Roman" w:cs="Times New Roman"/>
          <w:color w:val="000000" w:themeColor="text1"/>
          <w:sz w:val="24"/>
          <w:szCs w:val="24"/>
        </w:rPr>
        <w:t>e</w:t>
      </w:r>
      <w:r w:rsidRPr="00432CC7">
        <w:rPr>
          <w:rFonts w:ascii="Times New Roman" w:hAnsi="Times New Roman" w:cs="Times New Roman"/>
          <w:color w:val="000000" w:themeColor="text1"/>
          <w:sz w:val="24"/>
          <w:szCs w:val="24"/>
        </w:rPr>
        <w:t xml:space="preserve">, utilizând în același timp și portalul companiei de servicii </w:t>
      </w:r>
      <w:r w:rsidR="00EE7A7C" w:rsidRPr="00432CC7">
        <w:rPr>
          <w:rFonts w:ascii="Times New Roman" w:hAnsi="Times New Roman" w:cs="Times New Roman"/>
          <w:color w:val="000000" w:themeColor="text1"/>
          <w:sz w:val="24"/>
          <w:szCs w:val="24"/>
        </w:rPr>
        <w:t xml:space="preserve">financiare </w:t>
      </w:r>
      <w:proofErr w:type="spellStart"/>
      <w:r w:rsidR="00EE7A7C" w:rsidRPr="00432CC7">
        <w:rPr>
          <w:rFonts w:ascii="Times New Roman" w:hAnsi="Times New Roman" w:cs="Times New Roman"/>
          <w:color w:val="000000" w:themeColor="text1"/>
          <w:sz w:val="24"/>
          <w:szCs w:val="24"/>
        </w:rPr>
        <w:t>RisCo</w:t>
      </w:r>
      <w:proofErr w:type="spellEnd"/>
      <w:r w:rsidR="00EE7A7C" w:rsidRPr="00432CC7">
        <w:rPr>
          <w:rFonts w:ascii="Times New Roman" w:hAnsi="Times New Roman" w:cs="Times New Roman"/>
          <w:color w:val="000000" w:themeColor="text1"/>
          <w:sz w:val="24"/>
          <w:szCs w:val="24"/>
        </w:rPr>
        <w:t xml:space="preserve"> (</w:t>
      </w:r>
      <w:hyperlink r:id="rId9" w:history="1">
        <w:r w:rsidR="00EE7A7C" w:rsidRPr="00432CC7">
          <w:rPr>
            <w:rStyle w:val="Hyperlink"/>
            <w:rFonts w:ascii="Times New Roman" w:hAnsi="Times New Roman" w:cs="Times New Roman"/>
            <w:color w:val="000000" w:themeColor="text1"/>
            <w:sz w:val="24"/>
            <w:szCs w:val="24"/>
            <w:u w:val="none"/>
          </w:rPr>
          <w:t>www.risco.ro</w:t>
        </w:r>
      </w:hyperlink>
      <w:r w:rsidR="00EE7A7C" w:rsidRPr="00432CC7">
        <w:rPr>
          <w:rFonts w:ascii="Times New Roman" w:hAnsi="Times New Roman" w:cs="Times New Roman"/>
          <w:color w:val="000000" w:themeColor="text1"/>
          <w:sz w:val="24"/>
          <w:szCs w:val="24"/>
        </w:rPr>
        <w:t>) care a permis stabilirea unor rating-uri financiare.</w:t>
      </w:r>
    </w:p>
    <w:p w:rsidR="000E75FF" w:rsidRPr="00432CC7" w:rsidRDefault="000E75FF" w:rsidP="000E75FF">
      <w:pPr>
        <w:pStyle w:val="NormalWeb"/>
        <w:spacing w:before="0" w:beforeAutospacing="0" w:after="0" w:afterAutospacing="0"/>
        <w:ind w:firstLine="567"/>
        <w:jc w:val="both"/>
        <w:rPr>
          <w:color w:val="000000" w:themeColor="text1"/>
        </w:rPr>
      </w:pPr>
      <w:r w:rsidRPr="00432CC7">
        <w:rPr>
          <w:color w:val="000000" w:themeColor="text1"/>
        </w:rPr>
        <w:t xml:space="preserve">Informațiile necesare aprecierii performanței financiare au fost preluate și </w:t>
      </w:r>
      <w:r w:rsidR="003A5169" w:rsidRPr="00432CC7">
        <w:rPr>
          <w:color w:val="000000" w:themeColor="text1"/>
        </w:rPr>
        <w:t xml:space="preserve">din rapoartele </w:t>
      </w:r>
      <w:r w:rsidRPr="00432CC7">
        <w:rPr>
          <w:color w:val="000000" w:themeColor="text1"/>
        </w:rPr>
        <w:t xml:space="preserve">anuale </w:t>
      </w:r>
      <w:r w:rsidR="003A5169" w:rsidRPr="00432CC7">
        <w:rPr>
          <w:color w:val="000000" w:themeColor="text1"/>
        </w:rPr>
        <w:t>aferente perioadei</w:t>
      </w:r>
      <w:r w:rsidR="0006276B" w:rsidRPr="00432CC7">
        <w:rPr>
          <w:color w:val="000000" w:themeColor="text1"/>
        </w:rPr>
        <w:t xml:space="preserve"> 2016</w:t>
      </w:r>
      <w:r w:rsidRPr="00432CC7">
        <w:rPr>
          <w:color w:val="000000" w:themeColor="text1"/>
        </w:rPr>
        <w:t>-2018, publicate pe site-urile companiilor amintite mai sus (</w:t>
      </w:r>
      <w:hyperlink r:id="rId10" w:history="1">
        <w:r w:rsidRPr="00432CC7">
          <w:rPr>
            <w:rStyle w:val="Hyperlink"/>
            <w:color w:val="000000" w:themeColor="text1"/>
            <w:u w:val="none"/>
          </w:rPr>
          <w:t>www.aerostar.ro</w:t>
        </w:r>
      </w:hyperlink>
      <w:r w:rsidRPr="00432CC7">
        <w:rPr>
          <w:color w:val="000000" w:themeColor="text1"/>
        </w:rPr>
        <w:t xml:space="preserve">, </w:t>
      </w:r>
      <w:hyperlink r:id="rId11" w:history="1">
        <w:r w:rsidRPr="00432CC7">
          <w:rPr>
            <w:rStyle w:val="Hyperlink"/>
            <w:color w:val="000000" w:themeColor="text1"/>
            <w:u w:val="none"/>
          </w:rPr>
          <w:t>www.turbomecanica.ro</w:t>
        </w:r>
      </w:hyperlink>
      <w:r w:rsidRPr="00432CC7">
        <w:rPr>
          <w:color w:val="000000" w:themeColor="text1"/>
        </w:rPr>
        <w:t xml:space="preserve">, </w:t>
      </w:r>
      <w:r w:rsidR="00432CC7" w:rsidRPr="00432CC7">
        <w:rPr>
          <w:color w:val="000000" w:themeColor="text1"/>
        </w:rPr>
        <w:t>www.iar</w:t>
      </w:r>
      <w:r w:rsidR="00B60223">
        <w:rPr>
          <w:color w:val="000000" w:themeColor="text1"/>
        </w:rPr>
        <w:t>.ro</w:t>
      </w:r>
      <w:r w:rsidR="00432CC7" w:rsidRPr="00432CC7">
        <w:rPr>
          <w:color w:val="000000" w:themeColor="text1"/>
        </w:rPr>
        <w:t xml:space="preserve">, </w:t>
      </w:r>
      <w:hyperlink r:id="rId12" w:history="1">
        <w:r w:rsidR="00432CC7" w:rsidRPr="00432CC7">
          <w:rPr>
            <w:color w:val="000000" w:themeColor="text1"/>
          </w:rPr>
          <w:t>www.acv.ro</w:t>
        </w:r>
      </w:hyperlink>
      <w:r w:rsidR="00432CC7" w:rsidRPr="00432CC7">
        <w:rPr>
          <w:color w:val="000000" w:themeColor="text1"/>
        </w:rPr>
        <w:t xml:space="preserve"> </w:t>
      </w:r>
      <w:r w:rsidR="00B60223">
        <w:rPr>
          <w:color w:val="000000" w:themeColor="text1"/>
        </w:rPr>
        <w:t>și</w:t>
      </w:r>
      <w:r w:rsidR="00432CC7" w:rsidRPr="00432CC7">
        <w:rPr>
          <w:color w:val="000000" w:themeColor="text1"/>
        </w:rPr>
        <w:t xml:space="preserve"> </w:t>
      </w:r>
      <w:hyperlink r:id="rId13" w:history="1">
        <w:r w:rsidR="00B60223" w:rsidRPr="00B60223">
          <w:rPr>
            <w:rStyle w:val="Hyperlink"/>
            <w:color w:val="000000" w:themeColor="text1"/>
            <w:u w:val="none"/>
          </w:rPr>
          <w:t>www.romaero.com</w:t>
        </w:r>
      </w:hyperlink>
      <w:r w:rsidRPr="00432CC7">
        <w:rPr>
          <w:color w:val="000000" w:themeColor="text1"/>
        </w:rPr>
        <w:t>) și pe site-ul Bursei de Valori din București (</w:t>
      </w:r>
      <w:hyperlink r:id="rId14" w:history="1">
        <w:r w:rsidRPr="00432CC7">
          <w:rPr>
            <w:rStyle w:val="Hyperlink"/>
            <w:color w:val="000000" w:themeColor="text1"/>
            <w:u w:val="none"/>
          </w:rPr>
          <w:t>www.bvb.ro</w:t>
        </w:r>
      </w:hyperlink>
      <w:r w:rsidRPr="00432CC7">
        <w:rPr>
          <w:rStyle w:val="Hyperlink"/>
          <w:color w:val="000000" w:themeColor="text1"/>
          <w:u w:val="none"/>
        </w:rPr>
        <w:t>),</w:t>
      </w:r>
      <w:r w:rsidRPr="00432CC7">
        <w:rPr>
          <w:color w:val="000000" w:themeColor="text1"/>
        </w:rPr>
        <w:t xml:space="preserve"> fiind prelucrate ulterior în programul informatic Excel.</w:t>
      </w:r>
    </w:p>
    <w:p w:rsidR="00797AED" w:rsidRPr="00EE5309" w:rsidRDefault="00797AED" w:rsidP="004A4BCC">
      <w:pPr>
        <w:pStyle w:val="NormalWeb"/>
        <w:spacing w:before="0" w:beforeAutospacing="0" w:after="0" w:afterAutospacing="0"/>
        <w:ind w:firstLine="567"/>
        <w:jc w:val="both"/>
        <w:rPr>
          <w:b/>
          <w:color w:val="000000" w:themeColor="text1"/>
        </w:rPr>
      </w:pPr>
    </w:p>
    <w:p w:rsidR="0000367F" w:rsidRPr="00EE5309" w:rsidRDefault="00C2169C" w:rsidP="00763216">
      <w:pPr>
        <w:pStyle w:val="NormalWeb"/>
        <w:numPr>
          <w:ilvl w:val="0"/>
          <w:numId w:val="2"/>
        </w:numPr>
        <w:tabs>
          <w:tab w:val="left" w:pos="851"/>
        </w:tabs>
        <w:spacing w:before="0" w:beforeAutospacing="0" w:after="0" w:afterAutospacing="0"/>
        <w:ind w:left="0" w:firstLine="567"/>
        <w:jc w:val="both"/>
        <w:rPr>
          <w:b/>
          <w:color w:val="000000" w:themeColor="text1"/>
        </w:rPr>
      </w:pPr>
      <w:r w:rsidRPr="00EE5309">
        <w:rPr>
          <w:b/>
          <w:color w:val="000000" w:themeColor="text1"/>
        </w:rPr>
        <w:t>TOP 10 COMPANII DIN INDUSTRIA AEROSPAȚIALĂ ÎN ANUL 2018 DUPĂ VOLUMUL VÂNZĂRILOR</w:t>
      </w:r>
    </w:p>
    <w:p w:rsidR="00C2169C" w:rsidRDefault="00C2169C" w:rsidP="004A4BCC">
      <w:pPr>
        <w:pStyle w:val="NormalWeb"/>
        <w:spacing w:before="0" w:beforeAutospacing="0" w:after="0" w:afterAutospacing="0"/>
        <w:ind w:firstLine="567"/>
        <w:jc w:val="both"/>
        <w:rPr>
          <w:rStyle w:val="tlid-translation"/>
        </w:rPr>
      </w:pPr>
    </w:p>
    <w:p w:rsidR="00883BD8" w:rsidRPr="00EE5309" w:rsidRDefault="00883BD8" w:rsidP="004A4BCC">
      <w:pPr>
        <w:pStyle w:val="NormalWeb"/>
        <w:spacing w:before="0" w:beforeAutospacing="0" w:after="0" w:afterAutospacing="0"/>
        <w:ind w:firstLine="567"/>
        <w:jc w:val="both"/>
        <w:rPr>
          <w:rStyle w:val="tlid-translation"/>
        </w:rPr>
      </w:pPr>
      <w:r w:rsidRPr="00EE5309">
        <w:rPr>
          <w:rStyle w:val="tlid-translation"/>
        </w:rPr>
        <w:t xml:space="preserve">Creșterea cererii de </w:t>
      </w:r>
      <w:r w:rsidR="00CE61F5">
        <w:rPr>
          <w:rStyle w:val="tlid-translation"/>
        </w:rPr>
        <w:t>aeronave comerciale și militare</w:t>
      </w:r>
      <w:r w:rsidRPr="00EE5309">
        <w:rPr>
          <w:rStyle w:val="tlid-translation"/>
        </w:rPr>
        <w:t xml:space="preserve"> </w:t>
      </w:r>
      <w:r w:rsidR="005D6D2C" w:rsidRPr="00EE5309">
        <w:rPr>
          <w:rStyle w:val="tlid-translation"/>
        </w:rPr>
        <w:t>coroborată</w:t>
      </w:r>
      <w:r w:rsidRPr="00EE5309">
        <w:rPr>
          <w:rStyle w:val="tlid-translation"/>
        </w:rPr>
        <w:t xml:space="preserve"> cu creșterea substanțială a cheltuielilor pentru apărare au contribuit la </w:t>
      </w:r>
      <w:r w:rsidR="002560B6">
        <w:rPr>
          <w:rStyle w:val="tlid-translation"/>
        </w:rPr>
        <w:t>dezvoltarea</w:t>
      </w:r>
      <w:r w:rsidRPr="00EE5309">
        <w:rPr>
          <w:rStyle w:val="tlid-translation"/>
        </w:rPr>
        <w:t xml:space="preserve"> industriei aerospațiale și a apărării în ultimii ani.</w:t>
      </w:r>
    </w:p>
    <w:p w:rsidR="000A0BAC" w:rsidRPr="00B60223" w:rsidRDefault="000A0BAC" w:rsidP="004A4BCC">
      <w:pPr>
        <w:pStyle w:val="NormalWeb"/>
        <w:spacing w:before="0" w:beforeAutospacing="0" w:after="0" w:afterAutospacing="0"/>
        <w:ind w:firstLine="567"/>
        <w:jc w:val="both"/>
      </w:pPr>
      <w:r w:rsidRPr="00EE5309">
        <w:rPr>
          <w:rStyle w:val="tlid-translation"/>
        </w:rPr>
        <w:t xml:space="preserve">În tabelul de mai jos sunt prezentate informații privind veniturile din vânzări ale primelor zece companii </w:t>
      </w:r>
      <w:r w:rsidR="00412ADA" w:rsidRPr="00EE5309">
        <w:rPr>
          <w:rStyle w:val="tlid-translation"/>
        </w:rPr>
        <w:t>din industria aerospațială la nivel mondial</w:t>
      </w:r>
      <w:r w:rsidR="007A5DF9" w:rsidRPr="00EE5309">
        <w:rPr>
          <w:rStyle w:val="tlid-translation"/>
        </w:rPr>
        <w:t>, aș</w:t>
      </w:r>
      <w:r w:rsidR="0083371C" w:rsidRPr="00EE5309">
        <w:rPr>
          <w:rStyle w:val="tlid-translation"/>
        </w:rPr>
        <w:t>a cum reiese din clasamentul realizat de army-technology.com</w:t>
      </w:r>
      <w:r w:rsidR="00412ADA" w:rsidRPr="00EE5309">
        <w:rPr>
          <w:rStyle w:val="tlid-translation"/>
        </w:rPr>
        <w:t>:</w:t>
      </w:r>
      <w:r w:rsidR="00B60223">
        <w:rPr>
          <w:rStyle w:val="tlid-translation"/>
        </w:rPr>
        <w:t xml:space="preserve"> (</w:t>
      </w:r>
      <w:hyperlink r:id="rId15" w:history="1">
        <w:r w:rsidR="00B60223" w:rsidRPr="00941F41">
          <w:rPr>
            <w:rStyle w:val="Hyperlink"/>
          </w:rPr>
          <w:t>https://www.army-technology.com/features/worlds-biggest-aerospace-defence-companies-2018/</w:t>
        </w:r>
      </w:hyperlink>
      <w:r w:rsidR="00B60223">
        <w:t xml:space="preserve">, </w:t>
      </w:r>
      <w:proofErr w:type="spellStart"/>
      <w:r w:rsidR="00B60223">
        <w:t>accessed</w:t>
      </w:r>
      <w:proofErr w:type="spellEnd"/>
      <w:r w:rsidR="00B60223">
        <w:t xml:space="preserve"> on 10/16/2019</w:t>
      </w:r>
      <w:r w:rsidR="00B60223">
        <w:rPr>
          <w:rStyle w:val="tlid-translation"/>
        </w:rPr>
        <w:t>)</w:t>
      </w:r>
    </w:p>
    <w:p w:rsidR="00B60223" w:rsidRDefault="00B60223" w:rsidP="004A4BCC">
      <w:pPr>
        <w:pStyle w:val="NormalWeb"/>
        <w:spacing w:before="0" w:beforeAutospacing="0" w:after="0" w:afterAutospacing="0"/>
        <w:ind w:firstLine="567"/>
        <w:jc w:val="both"/>
        <w:rPr>
          <w:rStyle w:val="tlid-translation"/>
        </w:rPr>
      </w:pPr>
    </w:p>
    <w:p w:rsidR="00341172" w:rsidRDefault="00341172" w:rsidP="004A4BCC">
      <w:pPr>
        <w:pStyle w:val="NormalWeb"/>
        <w:spacing w:before="0" w:beforeAutospacing="0" w:after="0" w:afterAutospacing="0"/>
        <w:ind w:firstLine="567"/>
        <w:jc w:val="both"/>
        <w:rPr>
          <w:rStyle w:val="tlid-translation"/>
        </w:rPr>
      </w:pPr>
    </w:p>
    <w:p w:rsidR="00341172" w:rsidRDefault="00341172" w:rsidP="004A4BCC">
      <w:pPr>
        <w:pStyle w:val="NormalWeb"/>
        <w:spacing w:before="0" w:beforeAutospacing="0" w:after="0" w:afterAutospacing="0"/>
        <w:ind w:firstLine="567"/>
        <w:jc w:val="both"/>
        <w:rPr>
          <w:rStyle w:val="tlid-translation"/>
        </w:rPr>
      </w:pPr>
    </w:p>
    <w:p w:rsidR="00341172" w:rsidRDefault="00341172" w:rsidP="004A4BCC">
      <w:pPr>
        <w:pStyle w:val="NormalWeb"/>
        <w:spacing w:before="0" w:beforeAutospacing="0" w:after="0" w:afterAutospacing="0"/>
        <w:ind w:firstLine="567"/>
        <w:jc w:val="both"/>
        <w:rPr>
          <w:rStyle w:val="tlid-translation"/>
        </w:rPr>
      </w:pPr>
    </w:p>
    <w:p w:rsidR="00883BD8" w:rsidRPr="00EE5309" w:rsidRDefault="00C0001A" w:rsidP="00C0001A">
      <w:pPr>
        <w:pStyle w:val="NormalWeb"/>
        <w:spacing w:before="0" w:beforeAutospacing="0" w:after="0" w:afterAutospacing="0"/>
        <w:jc w:val="center"/>
        <w:rPr>
          <w:color w:val="000000" w:themeColor="text1"/>
          <w:sz w:val="20"/>
          <w:szCs w:val="20"/>
        </w:rPr>
      </w:pPr>
      <w:r w:rsidRPr="00EE5309">
        <w:rPr>
          <w:color w:val="000000" w:themeColor="text1"/>
          <w:sz w:val="20"/>
          <w:szCs w:val="20"/>
        </w:rPr>
        <w:lastRenderedPageBreak/>
        <w:t xml:space="preserve">Tabel nr. 1. Top 10 companii din industria </w:t>
      </w:r>
      <w:proofErr w:type="spellStart"/>
      <w:r w:rsidRPr="00EE5309">
        <w:rPr>
          <w:color w:val="000000" w:themeColor="text1"/>
          <w:sz w:val="20"/>
          <w:szCs w:val="20"/>
        </w:rPr>
        <w:t>aerospaţială</w:t>
      </w:r>
      <w:proofErr w:type="spellEnd"/>
      <w:r w:rsidRPr="00EE5309">
        <w:rPr>
          <w:color w:val="000000" w:themeColor="text1"/>
          <w:sz w:val="20"/>
          <w:szCs w:val="20"/>
        </w:rPr>
        <w:t xml:space="preserve"> la nivel mondial</w:t>
      </w:r>
    </w:p>
    <w:tbl>
      <w:tblPr>
        <w:tblStyle w:val="TableGrid"/>
        <w:tblW w:w="9872" w:type="dxa"/>
        <w:jc w:val="center"/>
        <w:tblLook w:val="04A0" w:firstRow="1" w:lastRow="0" w:firstColumn="1" w:lastColumn="0" w:noHBand="0" w:noVBand="1"/>
      </w:tblPr>
      <w:tblGrid>
        <w:gridCol w:w="783"/>
        <w:gridCol w:w="2053"/>
        <w:gridCol w:w="1994"/>
        <w:gridCol w:w="866"/>
        <w:gridCol w:w="866"/>
        <w:gridCol w:w="966"/>
        <w:gridCol w:w="1172"/>
        <w:gridCol w:w="1172"/>
      </w:tblGrid>
      <w:tr w:rsidR="00652CFA" w:rsidRPr="00EE5309" w:rsidTr="009230D4">
        <w:trPr>
          <w:jc w:val="center"/>
        </w:trPr>
        <w:tc>
          <w:tcPr>
            <w:tcW w:w="783" w:type="dxa"/>
            <w:vMerge w:val="restart"/>
            <w:shd w:val="clear" w:color="auto" w:fill="BFBFBF" w:themeFill="background1" w:themeFillShade="BF"/>
            <w:vAlign w:val="center"/>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Rank</w:t>
            </w:r>
          </w:p>
        </w:tc>
        <w:tc>
          <w:tcPr>
            <w:tcW w:w="2053" w:type="dxa"/>
            <w:vMerge w:val="restart"/>
            <w:shd w:val="clear" w:color="auto" w:fill="BFBFBF" w:themeFill="background1" w:themeFillShade="BF"/>
            <w:vAlign w:val="center"/>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Company</w:t>
            </w:r>
          </w:p>
        </w:tc>
        <w:tc>
          <w:tcPr>
            <w:tcW w:w="1994" w:type="dxa"/>
            <w:vMerge w:val="restart"/>
            <w:shd w:val="clear" w:color="auto" w:fill="BFBFBF" w:themeFill="background1" w:themeFillShade="BF"/>
            <w:vAlign w:val="center"/>
          </w:tcPr>
          <w:p w:rsidR="00652CFA" w:rsidRPr="00EE5309" w:rsidRDefault="00F1108E" w:rsidP="006E7A3F">
            <w:pPr>
              <w:pStyle w:val="NormalWeb"/>
              <w:spacing w:before="0" w:beforeAutospacing="0" w:after="0" w:afterAutospacing="0"/>
              <w:jc w:val="center"/>
              <w:rPr>
                <w:b/>
                <w:color w:val="000000" w:themeColor="text1"/>
                <w:sz w:val="20"/>
                <w:szCs w:val="20"/>
              </w:rPr>
            </w:pPr>
            <w:proofErr w:type="spellStart"/>
            <w:r w:rsidRPr="00EE5309">
              <w:rPr>
                <w:b/>
                <w:color w:val="000000" w:themeColor="text1"/>
                <w:sz w:val="20"/>
                <w:szCs w:val="20"/>
              </w:rPr>
              <w:t>Monetary</w:t>
            </w:r>
            <w:proofErr w:type="spellEnd"/>
            <w:r w:rsidRPr="00EE5309">
              <w:rPr>
                <w:b/>
                <w:color w:val="000000" w:themeColor="text1"/>
                <w:sz w:val="20"/>
                <w:szCs w:val="20"/>
              </w:rPr>
              <w:t xml:space="preserve"> unit</w:t>
            </w:r>
          </w:p>
        </w:tc>
        <w:tc>
          <w:tcPr>
            <w:tcW w:w="2698" w:type="dxa"/>
            <w:gridSpan w:val="3"/>
            <w:shd w:val="clear" w:color="auto" w:fill="BFBFBF" w:themeFill="background1" w:themeFillShade="BF"/>
            <w:vAlign w:val="center"/>
          </w:tcPr>
          <w:p w:rsidR="00652CFA" w:rsidRPr="00EE5309" w:rsidRDefault="00652CFA" w:rsidP="006E7A3F">
            <w:pPr>
              <w:pStyle w:val="NormalWeb"/>
              <w:spacing w:before="0" w:beforeAutospacing="0" w:after="0" w:afterAutospacing="0"/>
              <w:jc w:val="center"/>
              <w:rPr>
                <w:b/>
                <w:color w:val="000000" w:themeColor="text1"/>
                <w:sz w:val="20"/>
                <w:szCs w:val="20"/>
              </w:rPr>
            </w:pPr>
            <w:proofErr w:type="spellStart"/>
            <w:r w:rsidRPr="00EE5309">
              <w:rPr>
                <w:b/>
                <w:color w:val="000000" w:themeColor="text1"/>
                <w:sz w:val="20"/>
                <w:szCs w:val="20"/>
              </w:rPr>
              <w:t>Revenues</w:t>
            </w:r>
            <w:proofErr w:type="spellEnd"/>
          </w:p>
        </w:tc>
        <w:tc>
          <w:tcPr>
            <w:tcW w:w="2344" w:type="dxa"/>
            <w:gridSpan w:val="2"/>
            <w:shd w:val="clear" w:color="auto" w:fill="BFBFBF" w:themeFill="background1" w:themeFillShade="BF"/>
          </w:tcPr>
          <w:p w:rsidR="00652CFA" w:rsidRPr="00EE5309" w:rsidRDefault="00F1108E" w:rsidP="00F1108E">
            <w:pPr>
              <w:pStyle w:val="NormalWeb"/>
              <w:spacing w:before="0" w:beforeAutospacing="0" w:after="0" w:afterAutospacing="0"/>
              <w:jc w:val="center"/>
              <w:rPr>
                <w:b/>
                <w:color w:val="000000" w:themeColor="text1"/>
                <w:sz w:val="20"/>
                <w:szCs w:val="20"/>
              </w:rPr>
            </w:pPr>
            <w:proofErr w:type="spellStart"/>
            <w:r w:rsidRPr="00EE5309">
              <w:rPr>
                <w:b/>
                <w:color w:val="000000" w:themeColor="text1"/>
                <w:sz w:val="20"/>
                <w:szCs w:val="20"/>
              </w:rPr>
              <w:t>Evolution</w:t>
            </w:r>
            <w:proofErr w:type="spellEnd"/>
            <w:r w:rsidR="00652CFA" w:rsidRPr="00EE5309">
              <w:rPr>
                <w:b/>
                <w:color w:val="000000" w:themeColor="text1"/>
                <w:sz w:val="20"/>
                <w:szCs w:val="20"/>
              </w:rPr>
              <w:t xml:space="preserve"> (%)</w:t>
            </w:r>
          </w:p>
        </w:tc>
      </w:tr>
      <w:tr w:rsidR="00652CFA" w:rsidRPr="00EE5309" w:rsidTr="009230D4">
        <w:trPr>
          <w:trHeight w:val="200"/>
          <w:jc w:val="center"/>
        </w:trPr>
        <w:tc>
          <w:tcPr>
            <w:tcW w:w="783" w:type="dxa"/>
            <w:vMerge/>
            <w:shd w:val="clear" w:color="auto" w:fill="BFBFBF" w:themeFill="background1" w:themeFillShade="BF"/>
            <w:vAlign w:val="center"/>
          </w:tcPr>
          <w:p w:rsidR="00652CFA" w:rsidRPr="00EE5309" w:rsidRDefault="00652CFA" w:rsidP="00860D05">
            <w:pPr>
              <w:pStyle w:val="NormalWeb"/>
              <w:spacing w:before="0" w:beforeAutospacing="0" w:after="0" w:afterAutospacing="0"/>
              <w:jc w:val="center"/>
              <w:rPr>
                <w:b/>
                <w:color w:val="000000" w:themeColor="text1"/>
                <w:sz w:val="20"/>
                <w:szCs w:val="20"/>
              </w:rPr>
            </w:pPr>
          </w:p>
        </w:tc>
        <w:tc>
          <w:tcPr>
            <w:tcW w:w="2053" w:type="dxa"/>
            <w:vMerge/>
            <w:shd w:val="clear" w:color="auto" w:fill="BFBFBF" w:themeFill="background1" w:themeFillShade="BF"/>
            <w:vAlign w:val="center"/>
          </w:tcPr>
          <w:p w:rsidR="00652CFA" w:rsidRPr="00EE5309" w:rsidRDefault="00652CFA" w:rsidP="00860D05">
            <w:pPr>
              <w:pStyle w:val="NormalWeb"/>
              <w:spacing w:before="0" w:beforeAutospacing="0" w:after="0" w:afterAutospacing="0"/>
              <w:jc w:val="center"/>
              <w:rPr>
                <w:b/>
                <w:color w:val="000000" w:themeColor="text1"/>
                <w:sz w:val="20"/>
                <w:szCs w:val="20"/>
              </w:rPr>
            </w:pPr>
          </w:p>
        </w:tc>
        <w:tc>
          <w:tcPr>
            <w:tcW w:w="1994" w:type="dxa"/>
            <w:vMerge/>
            <w:shd w:val="clear" w:color="auto" w:fill="BFBFBF" w:themeFill="background1" w:themeFillShade="BF"/>
          </w:tcPr>
          <w:p w:rsidR="00652CFA" w:rsidRPr="00EE5309" w:rsidRDefault="00652CFA" w:rsidP="00860D05">
            <w:pPr>
              <w:pStyle w:val="NormalWeb"/>
              <w:spacing w:before="0" w:beforeAutospacing="0" w:after="0" w:afterAutospacing="0"/>
              <w:jc w:val="center"/>
              <w:rPr>
                <w:b/>
                <w:color w:val="000000" w:themeColor="text1"/>
                <w:sz w:val="20"/>
                <w:szCs w:val="20"/>
              </w:rPr>
            </w:pPr>
          </w:p>
        </w:tc>
        <w:tc>
          <w:tcPr>
            <w:tcW w:w="866" w:type="dxa"/>
            <w:shd w:val="clear" w:color="auto" w:fill="BFBFBF" w:themeFill="background1" w:themeFillShade="BF"/>
            <w:vAlign w:val="center"/>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2016</w:t>
            </w:r>
          </w:p>
        </w:tc>
        <w:tc>
          <w:tcPr>
            <w:tcW w:w="866" w:type="dxa"/>
            <w:shd w:val="clear" w:color="auto" w:fill="BFBFBF" w:themeFill="background1" w:themeFillShade="BF"/>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2017</w:t>
            </w:r>
          </w:p>
        </w:tc>
        <w:tc>
          <w:tcPr>
            <w:tcW w:w="966" w:type="dxa"/>
            <w:shd w:val="clear" w:color="auto" w:fill="BFBFBF" w:themeFill="background1" w:themeFillShade="BF"/>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2018</w:t>
            </w:r>
          </w:p>
        </w:tc>
        <w:tc>
          <w:tcPr>
            <w:tcW w:w="1172" w:type="dxa"/>
            <w:shd w:val="clear" w:color="auto" w:fill="BFBFBF" w:themeFill="background1" w:themeFillShade="BF"/>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2017/2016</w:t>
            </w:r>
          </w:p>
        </w:tc>
        <w:tc>
          <w:tcPr>
            <w:tcW w:w="1172" w:type="dxa"/>
            <w:shd w:val="clear" w:color="auto" w:fill="BFBFBF" w:themeFill="background1" w:themeFillShade="BF"/>
          </w:tcPr>
          <w:p w:rsidR="00652CFA" w:rsidRPr="00EE5309" w:rsidRDefault="00652CFA" w:rsidP="00860D05">
            <w:pPr>
              <w:pStyle w:val="NormalWeb"/>
              <w:spacing w:before="0" w:beforeAutospacing="0" w:after="0" w:afterAutospacing="0"/>
              <w:jc w:val="center"/>
              <w:rPr>
                <w:b/>
                <w:color w:val="000000" w:themeColor="text1"/>
                <w:sz w:val="20"/>
                <w:szCs w:val="20"/>
              </w:rPr>
            </w:pPr>
            <w:r w:rsidRPr="00EE5309">
              <w:rPr>
                <w:b/>
                <w:color w:val="000000" w:themeColor="text1"/>
                <w:sz w:val="20"/>
                <w:szCs w:val="20"/>
              </w:rPr>
              <w:t>2018/2017</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1</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Boeing</w:t>
            </w:r>
            <w:r w:rsidRPr="00EE5309">
              <w:rPr>
                <w:rStyle w:val="FootnoteReference"/>
                <w:color w:val="000000" w:themeColor="text1"/>
                <w:sz w:val="20"/>
                <w:szCs w:val="20"/>
              </w:rPr>
              <w:footnoteReference w:id="1"/>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dolari</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93.496</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94.005</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101.127</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100,54</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107,58</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2</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Airbus</w:t>
            </w:r>
            <w:r w:rsidRPr="00EE5309">
              <w:rPr>
                <w:rStyle w:val="FootnoteReference"/>
                <w:color w:val="000000" w:themeColor="text1"/>
                <w:sz w:val="20"/>
                <w:szCs w:val="20"/>
              </w:rPr>
              <w:footnoteReference w:id="2"/>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euro</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66.581</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66.767</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63.707</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100,28</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95,42</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3</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United Technologies</w:t>
            </w:r>
            <w:r w:rsidRPr="00EE5309">
              <w:rPr>
                <w:rStyle w:val="FootnoteReference"/>
                <w:color w:val="000000" w:themeColor="text1"/>
                <w:sz w:val="20"/>
                <w:szCs w:val="20"/>
              </w:rPr>
              <w:footnoteReference w:id="3"/>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dolari</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57.244</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59.837</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66.501</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104,53</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111,14</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4</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Lockheed Martin</w:t>
            </w:r>
            <w:r w:rsidRPr="00EE5309">
              <w:rPr>
                <w:rStyle w:val="FootnoteReference"/>
                <w:color w:val="000000" w:themeColor="text1"/>
                <w:sz w:val="20"/>
                <w:szCs w:val="20"/>
              </w:rPr>
              <w:footnoteReference w:id="4"/>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dolari</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47.290</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49.960</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53.762</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105,65</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107,61</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5</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General Electric</w:t>
            </w:r>
            <w:r w:rsidRPr="00EE5309">
              <w:rPr>
                <w:rStyle w:val="FootnoteReference"/>
                <w:color w:val="000000" w:themeColor="text1"/>
                <w:sz w:val="20"/>
                <w:szCs w:val="20"/>
              </w:rPr>
              <w:footnoteReference w:id="5"/>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dolari</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26.240</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27.013</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30.566</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102,95</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113,15</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6</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proofErr w:type="spellStart"/>
            <w:r w:rsidRPr="00EE5309">
              <w:rPr>
                <w:color w:val="000000" w:themeColor="text1"/>
                <w:sz w:val="20"/>
                <w:szCs w:val="20"/>
              </w:rPr>
              <w:t>Northrop</w:t>
            </w:r>
            <w:proofErr w:type="spellEnd"/>
            <w:r w:rsidRPr="00EE5309">
              <w:rPr>
                <w:color w:val="000000" w:themeColor="text1"/>
                <w:sz w:val="20"/>
                <w:szCs w:val="20"/>
              </w:rPr>
              <w:t xml:space="preserve"> </w:t>
            </w:r>
            <w:proofErr w:type="spellStart"/>
            <w:r w:rsidRPr="00EE5309">
              <w:rPr>
                <w:color w:val="000000" w:themeColor="text1"/>
                <w:sz w:val="20"/>
                <w:szCs w:val="20"/>
              </w:rPr>
              <w:t>Grumman</w:t>
            </w:r>
            <w:proofErr w:type="spellEnd"/>
            <w:r w:rsidRPr="00EE5309">
              <w:rPr>
                <w:rStyle w:val="FootnoteReference"/>
                <w:color w:val="000000" w:themeColor="text1"/>
                <w:sz w:val="20"/>
                <w:szCs w:val="20"/>
              </w:rPr>
              <w:footnoteReference w:id="6"/>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dolari</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24.706</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26.004</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30.095</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105,25</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115,73</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7</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proofErr w:type="spellStart"/>
            <w:r w:rsidRPr="00EE5309">
              <w:rPr>
                <w:color w:val="000000" w:themeColor="text1"/>
                <w:sz w:val="20"/>
                <w:szCs w:val="20"/>
              </w:rPr>
              <w:t>Raytheon</w:t>
            </w:r>
            <w:proofErr w:type="spellEnd"/>
            <w:r w:rsidRPr="00EE5309">
              <w:rPr>
                <w:rStyle w:val="FootnoteReference"/>
                <w:color w:val="000000" w:themeColor="text1"/>
                <w:sz w:val="20"/>
                <w:szCs w:val="20"/>
              </w:rPr>
              <w:footnoteReference w:id="7"/>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dolari</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24.124</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25.348</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27.058</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105,07</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106,75</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8</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Safran</w:t>
            </w:r>
            <w:r w:rsidRPr="00EE5309">
              <w:rPr>
                <w:rStyle w:val="FootnoteReference"/>
                <w:color w:val="000000" w:themeColor="text1"/>
                <w:sz w:val="20"/>
                <w:szCs w:val="20"/>
              </w:rPr>
              <w:footnoteReference w:id="8"/>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euro</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15.781</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15.953</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21.050</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101,09</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131,95</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9</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 xml:space="preserve">BAE </w:t>
            </w:r>
            <w:proofErr w:type="spellStart"/>
            <w:r w:rsidRPr="00EE5309">
              <w:rPr>
                <w:color w:val="000000" w:themeColor="text1"/>
                <w:sz w:val="20"/>
                <w:szCs w:val="20"/>
              </w:rPr>
              <w:t>Systems</w:t>
            </w:r>
            <w:proofErr w:type="spellEnd"/>
            <w:r w:rsidRPr="00EE5309">
              <w:rPr>
                <w:rStyle w:val="FootnoteReference"/>
                <w:color w:val="000000" w:themeColor="text1"/>
                <w:sz w:val="20"/>
                <w:szCs w:val="20"/>
              </w:rPr>
              <w:footnoteReference w:id="9"/>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lire sterline</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17.790</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18.322</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16.821</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102,99</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91,81</w:t>
            </w:r>
          </w:p>
        </w:tc>
      </w:tr>
      <w:tr w:rsidR="00652CFA" w:rsidRPr="00EE5309" w:rsidTr="009230D4">
        <w:trPr>
          <w:jc w:val="center"/>
        </w:trPr>
        <w:tc>
          <w:tcPr>
            <w:tcW w:w="783"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10</w:t>
            </w:r>
          </w:p>
        </w:tc>
        <w:tc>
          <w:tcPr>
            <w:tcW w:w="2053" w:type="dxa"/>
          </w:tcPr>
          <w:p w:rsidR="00652CFA" w:rsidRPr="00EE5309" w:rsidRDefault="00652CFA" w:rsidP="00652CFA">
            <w:pPr>
              <w:pStyle w:val="NormalWeb"/>
              <w:spacing w:before="0" w:beforeAutospacing="0" w:after="0" w:afterAutospacing="0"/>
              <w:jc w:val="both"/>
              <w:rPr>
                <w:color w:val="000000" w:themeColor="text1"/>
                <w:sz w:val="20"/>
                <w:szCs w:val="20"/>
              </w:rPr>
            </w:pPr>
            <w:r w:rsidRPr="00EE5309">
              <w:rPr>
                <w:color w:val="000000" w:themeColor="text1"/>
                <w:sz w:val="20"/>
                <w:szCs w:val="20"/>
              </w:rPr>
              <w:t>Rolls-Royce</w:t>
            </w:r>
            <w:r w:rsidRPr="00EE5309">
              <w:rPr>
                <w:rStyle w:val="FootnoteReference"/>
                <w:color w:val="000000" w:themeColor="text1"/>
                <w:sz w:val="20"/>
                <w:szCs w:val="20"/>
              </w:rPr>
              <w:footnoteReference w:id="10"/>
            </w:r>
          </w:p>
        </w:tc>
        <w:tc>
          <w:tcPr>
            <w:tcW w:w="1994" w:type="dxa"/>
          </w:tcPr>
          <w:p w:rsidR="00652CFA" w:rsidRPr="00EE5309" w:rsidRDefault="00652CFA" w:rsidP="00652CFA">
            <w:pPr>
              <w:pStyle w:val="NormalWeb"/>
              <w:spacing w:before="0" w:beforeAutospacing="0" w:after="0" w:afterAutospacing="0"/>
              <w:jc w:val="center"/>
              <w:rPr>
                <w:color w:val="000000" w:themeColor="text1"/>
                <w:sz w:val="20"/>
                <w:szCs w:val="20"/>
              </w:rPr>
            </w:pPr>
            <w:r w:rsidRPr="00EE5309">
              <w:rPr>
                <w:color w:val="000000" w:themeColor="text1"/>
                <w:sz w:val="20"/>
                <w:szCs w:val="20"/>
              </w:rPr>
              <w:t>Milioane lire sterline</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14.955</w:t>
            </w:r>
          </w:p>
        </w:tc>
        <w:tc>
          <w:tcPr>
            <w:tcW w:w="8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16.307</w:t>
            </w:r>
          </w:p>
        </w:tc>
        <w:tc>
          <w:tcPr>
            <w:tcW w:w="966" w:type="dxa"/>
            <w:vAlign w:val="center"/>
          </w:tcPr>
          <w:p w:rsidR="00652CFA" w:rsidRPr="00EE5309" w:rsidRDefault="00652CFA" w:rsidP="00883303">
            <w:pPr>
              <w:pStyle w:val="NormalWeb"/>
              <w:spacing w:before="0" w:beforeAutospacing="0" w:after="0" w:afterAutospacing="0"/>
              <w:jc w:val="center"/>
              <w:rPr>
                <w:color w:val="000000" w:themeColor="text1"/>
                <w:sz w:val="20"/>
                <w:szCs w:val="20"/>
              </w:rPr>
            </w:pPr>
            <w:r w:rsidRPr="00EE5309">
              <w:rPr>
                <w:color w:val="000000" w:themeColor="text1"/>
                <w:sz w:val="20"/>
                <w:szCs w:val="20"/>
              </w:rPr>
              <w:t>15.729</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109,04</w:t>
            </w:r>
          </w:p>
        </w:tc>
        <w:tc>
          <w:tcPr>
            <w:tcW w:w="1172" w:type="dxa"/>
            <w:vAlign w:val="center"/>
          </w:tcPr>
          <w:p w:rsidR="00652CFA" w:rsidRPr="00EE5309" w:rsidRDefault="00652CFA" w:rsidP="00883303">
            <w:pPr>
              <w:jc w:val="center"/>
              <w:rPr>
                <w:rFonts w:ascii="Times New Roman" w:hAnsi="Times New Roman" w:cs="Times New Roman"/>
                <w:color w:val="000000"/>
                <w:sz w:val="20"/>
                <w:szCs w:val="20"/>
              </w:rPr>
            </w:pPr>
            <w:r w:rsidRPr="00EE5309">
              <w:rPr>
                <w:rFonts w:ascii="Times New Roman" w:hAnsi="Times New Roman" w:cs="Times New Roman"/>
                <w:color w:val="000000"/>
                <w:sz w:val="20"/>
                <w:szCs w:val="20"/>
              </w:rPr>
              <w:t>96,46</w:t>
            </w:r>
          </w:p>
        </w:tc>
      </w:tr>
    </w:tbl>
    <w:p w:rsidR="00860D05" w:rsidRPr="00EE5309" w:rsidRDefault="0057047E" w:rsidP="004A4BCC">
      <w:pPr>
        <w:pStyle w:val="NormalWeb"/>
        <w:spacing w:before="0" w:beforeAutospacing="0" w:after="0" w:afterAutospacing="0"/>
        <w:ind w:firstLine="567"/>
        <w:jc w:val="both"/>
        <w:rPr>
          <w:color w:val="000000" w:themeColor="text1"/>
          <w:sz w:val="20"/>
          <w:szCs w:val="20"/>
        </w:rPr>
      </w:pPr>
      <w:r w:rsidRPr="00EE5309">
        <w:rPr>
          <w:color w:val="000000" w:themeColor="text1"/>
          <w:sz w:val="20"/>
          <w:szCs w:val="20"/>
        </w:rPr>
        <w:t xml:space="preserve">Sursa: </w:t>
      </w:r>
      <w:r w:rsidR="00412ADA" w:rsidRPr="00EE5309">
        <w:rPr>
          <w:color w:val="000000" w:themeColor="text1"/>
          <w:sz w:val="20"/>
          <w:szCs w:val="20"/>
        </w:rPr>
        <w:t>P</w:t>
      </w:r>
      <w:r w:rsidRPr="00EE5309">
        <w:rPr>
          <w:color w:val="000000" w:themeColor="text1"/>
          <w:sz w:val="20"/>
          <w:szCs w:val="20"/>
        </w:rPr>
        <w:t>relucrare proprie</w:t>
      </w:r>
      <w:r w:rsidR="00652CFA" w:rsidRPr="00EE5309">
        <w:rPr>
          <w:color w:val="000000" w:themeColor="text1"/>
          <w:sz w:val="20"/>
          <w:szCs w:val="20"/>
        </w:rPr>
        <w:t xml:space="preserve"> a autorului</w:t>
      </w:r>
      <w:r w:rsidR="00412ADA" w:rsidRPr="00EE5309">
        <w:rPr>
          <w:color w:val="000000" w:themeColor="text1"/>
          <w:sz w:val="20"/>
          <w:szCs w:val="20"/>
        </w:rPr>
        <w:t xml:space="preserve"> după Rapoarte</w:t>
      </w:r>
      <w:r w:rsidR="00CB6DE3" w:rsidRPr="00EE5309">
        <w:rPr>
          <w:color w:val="000000" w:themeColor="text1"/>
          <w:sz w:val="20"/>
          <w:szCs w:val="20"/>
        </w:rPr>
        <w:t>le</w:t>
      </w:r>
      <w:r w:rsidR="00412ADA" w:rsidRPr="00EE5309">
        <w:rPr>
          <w:color w:val="000000" w:themeColor="text1"/>
          <w:sz w:val="20"/>
          <w:szCs w:val="20"/>
        </w:rPr>
        <w:t xml:space="preserve"> financiare ale companiilor</w:t>
      </w:r>
    </w:p>
    <w:p w:rsidR="00960B47" w:rsidRPr="00EE5309" w:rsidRDefault="00960B47" w:rsidP="004A4BCC">
      <w:pPr>
        <w:pStyle w:val="NormalWeb"/>
        <w:spacing w:before="0" w:beforeAutospacing="0" w:after="0" w:afterAutospacing="0"/>
        <w:ind w:firstLine="567"/>
        <w:jc w:val="both"/>
        <w:rPr>
          <w:color w:val="000000" w:themeColor="text1"/>
        </w:rPr>
      </w:pPr>
    </w:p>
    <w:p w:rsidR="0057047E" w:rsidRPr="00EE5309" w:rsidRDefault="00960B47" w:rsidP="004A4BCC">
      <w:pPr>
        <w:pStyle w:val="NormalWeb"/>
        <w:spacing w:before="0" w:beforeAutospacing="0" w:after="0" w:afterAutospacing="0"/>
        <w:ind w:firstLine="567"/>
        <w:jc w:val="both"/>
        <w:rPr>
          <w:color w:val="000000" w:themeColor="text1"/>
        </w:rPr>
      </w:pPr>
      <w:r w:rsidRPr="00EE5309">
        <w:rPr>
          <w:color w:val="000000" w:themeColor="text1"/>
        </w:rPr>
        <w:t xml:space="preserve">Informațiile prezentate în tabelul de mai sus </w:t>
      </w:r>
      <w:r w:rsidR="009E08EF" w:rsidRPr="00EE5309">
        <w:rPr>
          <w:color w:val="000000" w:themeColor="text1"/>
        </w:rPr>
        <w:t xml:space="preserve">scot în evidență faptul că </w:t>
      </w:r>
      <w:r w:rsidRPr="00EE5309">
        <w:rPr>
          <w:color w:val="000000" w:themeColor="text1"/>
        </w:rPr>
        <w:t>vâ</w:t>
      </w:r>
      <w:r w:rsidR="009E08EF" w:rsidRPr="00EE5309">
        <w:rPr>
          <w:color w:val="000000" w:themeColor="text1"/>
        </w:rPr>
        <w:t>nzările</w:t>
      </w:r>
      <w:r w:rsidRPr="00EE5309">
        <w:rPr>
          <w:color w:val="000000" w:themeColor="text1"/>
        </w:rPr>
        <w:t xml:space="preserve"> în perioada 2016-2018 la majoritatea companiilor din industria aeronautică au o evoluție ascendentă, excepție făcând companiile Airbus, BAE </w:t>
      </w:r>
      <w:proofErr w:type="spellStart"/>
      <w:r w:rsidRPr="00EE5309">
        <w:rPr>
          <w:color w:val="000000" w:themeColor="text1"/>
        </w:rPr>
        <w:t>Systems</w:t>
      </w:r>
      <w:proofErr w:type="spellEnd"/>
      <w:r w:rsidRPr="00EE5309">
        <w:rPr>
          <w:color w:val="000000" w:themeColor="text1"/>
        </w:rPr>
        <w:t xml:space="preserve"> și Rolls-Royce care înregistrează scăderi în anul 2018 comparativ cu anul precedent.</w:t>
      </w:r>
      <w:r w:rsidR="00626522" w:rsidRPr="00EE5309">
        <w:rPr>
          <w:color w:val="000000" w:themeColor="text1"/>
        </w:rPr>
        <w:t xml:space="preserve"> Scăderea vânzărilor în cazul Airbus sunt cauzate de unele probleme de producție, conform </w:t>
      </w:r>
      <w:proofErr w:type="spellStart"/>
      <w:r w:rsidR="00626522" w:rsidRPr="00EE5309">
        <w:rPr>
          <w:color w:val="000000" w:themeColor="text1"/>
        </w:rPr>
        <w:t>Marketwatch</w:t>
      </w:r>
      <w:proofErr w:type="spellEnd"/>
      <w:r w:rsidR="00626522" w:rsidRPr="00EE5309">
        <w:rPr>
          <w:color w:val="000000" w:themeColor="text1"/>
        </w:rPr>
        <w:t>.</w:t>
      </w:r>
    </w:p>
    <w:p w:rsidR="00960B47" w:rsidRPr="00EE5309" w:rsidRDefault="00960B47" w:rsidP="004A4BCC">
      <w:pPr>
        <w:pStyle w:val="NormalWeb"/>
        <w:spacing w:before="0" w:beforeAutospacing="0" w:after="0" w:afterAutospacing="0"/>
        <w:ind w:firstLine="567"/>
        <w:jc w:val="both"/>
        <w:rPr>
          <w:color w:val="000000" w:themeColor="text1"/>
        </w:rPr>
      </w:pPr>
    </w:p>
    <w:p w:rsidR="00D37553" w:rsidRPr="00EE5309" w:rsidRDefault="00C2169C" w:rsidP="00763216">
      <w:pPr>
        <w:pStyle w:val="NormalWeb"/>
        <w:numPr>
          <w:ilvl w:val="0"/>
          <w:numId w:val="2"/>
        </w:numPr>
        <w:tabs>
          <w:tab w:val="left" w:pos="851"/>
        </w:tabs>
        <w:spacing w:before="0" w:beforeAutospacing="0" w:after="0" w:afterAutospacing="0"/>
        <w:ind w:left="0" w:firstLine="567"/>
        <w:jc w:val="both"/>
        <w:rPr>
          <w:rStyle w:val="tlid-translation"/>
          <w:b/>
        </w:rPr>
      </w:pPr>
      <w:r w:rsidRPr="00EE5309">
        <w:rPr>
          <w:rStyle w:val="tlid-translation"/>
          <w:b/>
        </w:rPr>
        <w:t>SECTORUL AEROSPAȚIAL ÎN UNIUNEA EUROPEANĂ</w:t>
      </w:r>
    </w:p>
    <w:p w:rsidR="00C2169C" w:rsidRDefault="00C2169C" w:rsidP="004A4BCC">
      <w:pPr>
        <w:pStyle w:val="NormalWeb"/>
        <w:spacing w:before="0" w:beforeAutospacing="0" w:after="0" w:afterAutospacing="0"/>
        <w:ind w:firstLine="567"/>
        <w:jc w:val="both"/>
        <w:rPr>
          <w:rStyle w:val="tlid-translation"/>
        </w:rPr>
      </w:pPr>
    </w:p>
    <w:p w:rsidR="00D24FAE" w:rsidRPr="00EE5309" w:rsidRDefault="00D37553" w:rsidP="004A4BCC">
      <w:pPr>
        <w:pStyle w:val="NormalWeb"/>
        <w:spacing w:before="0" w:beforeAutospacing="0" w:after="0" w:afterAutospacing="0"/>
        <w:ind w:firstLine="567"/>
        <w:jc w:val="both"/>
        <w:rPr>
          <w:rStyle w:val="tlid-translation"/>
        </w:rPr>
      </w:pPr>
      <w:r w:rsidRPr="00EE5309">
        <w:rPr>
          <w:rStyle w:val="tlid-translation"/>
        </w:rPr>
        <w:t>Sectorul aerospațial al UE este în creștere, fiind cel mai înalt sector tehnologic din Uniunea Europeană. Industria aeronautică europeană este o industrie cu mai multe fațete</w:t>
      </w:r>
      <w:r w:rsidR="005B3CFF" w:rsidRPr="00EE5309">
        <w:rPr>
          <w:rStyle w:val="tlid-translation"/>
        </w:rPr>
        <w:t xml:space="preserve"> fiind</w:t>
      </w:r>
      <w:r w:rsidRPr="00EE5309">
        <w:rPr>
          <w:rStyle w:val="tlid-translation"/>
        </w:rPr>
        <w:t xml:space="preserve"> implicată în dezvoltarea și fabricarea unei game largi de produse, precum motoare aeriene, vehicule aeriene fără pilot, elicoptere, aeronave militare și civile, sisteme și echipamente. Sectorul aerospațial oferă, de asemenea, servicii de instruire și reparații și alte câteva activități care au legătură cu diferite produse aerospațiale</w:t>
      </w:r>
      <w:r w:rsidR="001C5ED4" w:rsidRPr="00EE5309">
        <w:rPr>
          <w:rStyle w:val="tlid-translation"/>
        </w:rPr>
        <w:t>. Investitorii străini au oportunități de investiții interesante în sectorul aerospațial, în special în sectorul de cercetare și dezvoltare, deoarece industria aerospațială a UE are nevoie de eforturi susținute în cercetare și dezvoltare pentru a menține competitivitatea globală. Cifra de afaceri totală din sectorul aerospațial al UE este de 128 de miliarde de euro, o pondere însemnată (aproximativ 12% din cifra de afaceri) fiind orientată către cercetare și dezvoltare</w:t>
      </w:r>
      <w:r w:rsidR="00692074" w:rsidRPr="00EE5309">
        <w:rPr>
          <w:rStyle w:val="tlid-translation"/>
        </w:rPr>
        <w:t xml:space="preserve"> </w:t>
      </w:r>
      <w:r w:rsidR="001C5ED4" w:rsidRPr="00EE5309">
        <w:rPr>
          <w:rStyle w:val="tlid-translation"/>
        </w:rPr>
        <w:t>(</w:t>
      </w:r>
      <w:hyperlink r:id="rId16" w:history="1">
        <w:r w:rsidR="001C5ED4" w:rsidRPr="00EE5309">
          <w:rPr>
            <w:rStyle w:val="Hyperlink"/>
          </w:rPr>
          <w:t>http://www.investineu.com/content/aerospace-sector-eu</w:t>
        </w:r>
      </w:hyperlink>
      <w:r w:rsidR="001C5ED4" w:rsidRPr="00EE5309">
        <w:rPr>
          <w:rStyle w:val="tlid-translation"/>
        </w:rPr>
        <w:t xml:space="preserve">, </w:t>
      </w:r>
      <w:proofErr w:type="spellStart"/>
      <w:r w:rsidR="001C5ED4" w:rsidRPr="00EE5309">
        <w:rPr>
          <w:rStyle w:val="tlid-translation"/>
        </w:rPr>
        <w:t>acces</w:t>
      </w:r>
      <w:r w:rsidR="00470D56">
        <w:rPr>
          <w:rStyle w:val="tlid-translation"/>
        </w:rPr>
        <w:t>sed</w:t>
      </w:r>
      <w:proofErr w:type="spellEnd"/>
      <w:r w:rsidR="00470D56">
        <w:rPr>
          <w:rStyle w:val="tlid-translation"/>
        </w:rPr>
        <w:t xml:space="preserve"> on 10/14/2019</w:t>
      </w:r>
      <w:r w:rsidR="001C5ED4" w:rsidRPr="00EE5309">
        <w:rPr>
          <w:rStyle w:val="tlid-translation"/>
        </w:rPr>
        <w:t>)</w:t>
      </w:r>
      <w:r w:rsidRPr="00EE5309">
        <w:rPr>
          <w:rStyle w:val="tlid-translation"/>
        </w:rPr>
        <w:t>.</w:t>
      </w:r>
    </w:p>
    <w:p w:rsidR="006C6261" w:rsidRPr="00EE5309" w:rsidRDefault="00E42D40" w:rsidP="004A4BCC">
      <w:pPr>
        <w:pStyle w:val="NormalWeb"/>
        <w:spacing w:before="0" w:beforeAutospacing="0" w:after="0" w:afterAutospacing="0"/>
        <w:ind w:firstLine="567"/>
        <w:jc w:val="both"/>
        <w:rPr>
          <w:rStyle w:val="tlid-translation"/>
        </w:rPr>
      </w:pPr>
      <w:r w:rsidRPr="00EE5309">
        <w:rPr>
          <w:rStyle w:val="tlid-translation"/>
        </w:rPr>
        <w:t>Principalii j</w:t>
      </w:r>
      <w:r w:rsidR="005B3CFF" w:rsidRPr="00EE5309">
        <w:rPr>
          <w:rStyle w:val="tlid-translation"/>
        </w:rPr>
        <w:t>ucă</w:t>
      </w:r>
      <w:r w:rsidR="006C6261" w:rsidRPr="00EE5309">
        <w:rPr>
          <w:rStyle w:val="tlid-translation"/>
        </w:rPr>
        <w:t xml:space="preserve">tori </w:t>
      </w:r>
      <w:r w:rsidR="005B3CFF" w:rsidRPr="00EE5309">
        <w:rPr>
          <w:rStyle w:val="tlid-translation"/>
        </w:rPr>
        <w:t>ai industriei aerospațiale europene</w:t>
      </w:r>
      <w:r w:rsidRPr="00EE5309">
        <w:rPr>
          <w:rStyle w:val="tlid-translation"/>
        </w:rPr>
        <w:t xml:space="preserve"> sunt </w:t>
      </w:r>
      <w:proofErr w:type="spellStart"/>
      <w:r w:rsidRPr="00EE5309">
        <w:rPr>
          <w:rStyle w:val="tlid-translation"/>
        </w:rPr>
        <w:t>Franţa</w:t>
      </w:r>
      <w:proofErr w:type="spellEnd"/>
      <w:r w:rsidRPr="00EE5309">
        <w:rPr>
          <w:rStyle w:val="tlid-translation"/>
        </w:rPr>
        <w:t xml:space="preserve"> </w:t>
      </w:r>
      <w:proofErr w:type="spellStart"/>
      <w:r w:rsidRPr="00EE5309">
        <w:rPr>
          <w:rStyle w:val="tlid-translation"/>
        </w:rPr>
        <w:t>şi</w:t>
      </w:r>
      <w:proofErr w:type="spellEnd"/>
      <w:r w:rsidRPr="00EE5309">
        <w:rPr>
          <w:rStyle w:val="tlid-translation"/>
        </w:rPr>
        <w:t xml:space="preserve"> Marea Britanie.</w:t>
      </w:r>
    </w:p>
    <w:p w:rsidR="006C6261" w:rsidRPr="00EE5309" w:rsidRDefault="006C6261" w:rsidP="004A4BCC">
      <w:pPr>
        <w:pStyle w:val="NormalWeb"/>
        <w:spacing w:before="0" w:beforeAutospacing="0" w:after="0" w:afterAutospacing="0"/>
        <w:ind w:firstLine="567"/>
        <w:jc w:val="both"/>
        <w:rPr>
          <w:rStyle w:val="tlid-translation"/>
        </w:rPr>
      </w:pPr>
      <w:r w:rsidRPr="00EE5309">
        <w:rPr>
          <w:rStyle w:val="tlid-translation"/>
          <w:b/>
          <w:i/>
        </w:rPr>
        <w:t>Franța</w:t>
      </w:r>
      <w:r w:rsidR="005B3CFF" w:rsidRPr="00EE5309">
        <w:rPr>
          <w:rStyle w:val="tlid-translation"/>
        </w:rPr>
        <w:t xml:space="preserve">, cu </w:t>
      </w:r>
      <w:r w:rsidRPr="00EE5309">
        <w:rPr>
          <w:rStyle w:val="tlid-translation"/>
        </w:rPr>
        <w:t>o industrie ae</w:t>
      </w:r>
      <w:r w:rsidR="009C2F8B" w:rsidRPr="00EE5309">
        <w:rPr>
          <w:rStyle w:val="tlid-translation"/>
        </w:rPr>
        <w:t>rospațială cu mai multe fațete</w:t>
      </w:r>
      <w:r w:rsidR="005B3CFF" w:rsidRPr="00EE5309">
        <w:rPr>
          <w:rStyle w:val="tlid-translation"/>
        </w:rPr>
        <w:t>, este</w:t>
      </w:r>
      <w:r w:rsidRPr="00EE5309">
        <w:rPr>
          <w:rStyle w:val="tlid-translation"/>
        </w:rPr>
        <w:t xml:space="preserve"> unul dintre actorii dominanți din industria aerospațială din U</w:t>
      </w:r>
      <w:r w:rsidR="009C2F8B" w:rsidRPr="00EE5309">
        <w:rPr>
          <w:rStyle w:val="tlid-translation"/>
        </w:rPr>
        <w:t xml:space="preserve">niunea </w:t>
      </w:r>
      <w:r w:rsidRPr="00EE5309">
        <w:rPr>
          <w:rStyle w:val="tlid-translation"/>
        </w:rPr>
        <w:t>E</w:t>
      </w:r>
      <w:r w:rsidR="009C2F8B" w:rsidRPr="00EE5309">
        <w:rPr>
          <w:rStyle w:val="tlid-translation"/>
        </w:rPr>
        <w:t>uropeană</w:t>
      </w:r>
      <w:r w:rsidR="005B3CFF" w:rsidRPr="00EE5309">
        <w:rPr>
          <w:rStyle w:val="tlid-translation"/>
        </w:rPr>
        <w:t>. Industria aerospațială din Franța, dezvoltată pe</w:t>
      </w:r>
      <w:r w:rsidRPr="00EE5309">
        <w:rPr>
          <w:rStyle w:val="tlid-translation"/>
        </w:rPr>
        <w:t xml:space="preserve"> vertical</w:t>
      </w:r>
      <w:r w:rsidR="005B3CFF" w:rsidRPr="00EE5309">
        <w:rPr>
          <w:rStyle w:val="tlid-translation"/>
        </w:rPr>
        <w:t xml:space="preserve">ă și estimată la peste 15 miliarde de dolari, </w:t>
      </w:r>
      <w:r w:rsidRPr="00EE5309">
        <w:rPr>
          <w:rStyle w:val="tlid-translation"/>
        </w:rPr>
        <w:t>este implicat</w:t>
      </w:r>
      <w:r w:rsidR="009C2F8B" w:rsidRPr="00EE5309">
        <w:rPr>
          <w:rStyle w:val="tlid-translation"/>
        </w:rPr>
        <w:t xml:space="preserve">ă în dezvoltarea de elicoptere, </w:t>
      </w:r>
      <w:r w:rsidRPr="00EE5309">
        <w:rPr>
          <w:rStyle w:val="tlid-translation"/>
        </w:rPr>
        <w:t>avioane pentru forțele de apărare, aeronave de pasageri pentru aviație civilă, arme și alte câteva proiecte aeronautice.</w:t>
      </w:r>
    </w:p>
    <w:p w:rsidR="00A02EE8" w:rsidRPr="00591D9D" w:rsidRDefault="00B656D2" w:rsidP="00591D9D">
      <w:pPr>
        <w:pStyle w:val="NormalWeb"/>
        <w:spacing w:before="0" w:beforeAutospacing="0" w:after="0" w:afterAutospacing="0"/>
        <w:ind w:firstLine="567"/>
        <w:jc w:val="both"/>
        <w:rPr>
          <w:rStyle w:val="tlid-translation"/>
        </w:rPr>
      </w:pPr>
      <w:r w:rsidRPr="00591D9D">
        <w:rPr>
          <w:rStyle w:val="tlid-translation"/>
        </w:rPr>
        <w:t>Importanța industriei aerospațiale</w:t>
      </w:r>
      <w:r w:rsidR="006C6261" w:rsidRPr="00591D9D">
        <w:rPr>
          <w:rStyle w:val="tlid-translation"/>
        </w:rPr>
        <w:t xml:space="preserve"> </w:t>
      </w:r>
      <w:r w:rsidR="00A02EE8" w:rsidRPr="00591D9D">
        <w:rPr>
          <w:rStyle w:val="tlid-translation"/>
        </w:rPr>
        <w:t xml:space="preserve">reiese și din faptul că </w:t>
      </w:r>
      <w:r w:rsidR="006C6261" w:rsidRPr="00591D9D">
        <w:rPr>
          <w:rStyle w:val="tlid-translation"/>
        </w:rPr>
        <w:t xml:space="preserve">generează aproximativ 100.000 de locuri de muncă, </w:t>
      </w:r>
      <w:r w:rsidR="00A02EE8" w:rsidRPr="00591D9D">
        <w:rPr>
          <w:rStyle w:val="tlid-translation"/>
        </w:rPr>
        <w:t>existând</w:t>
      </w:r>
      <w:r w:rsidR="006C6261" w:rsidRPr="00591D9D">
        <w:rPr>
          <w:rStyle w:val="tlid-translation"/>
        </w:rPr>
        <w:t xml:space="preserve"> probabil</w:t>
      </w:r>
      <w:r w:rsidR="00A02EE8" w:rsidRPr="00591D9D">
        <w:rPr>
          <w:rStyle w:val="tlid-translation"/>
        </w:rPr>
        <w:t>itatea că acestea</w:t>
      </w:r>
      <w:r w:rsidR="006C6261" w:rsidRPr="00591D9D">
        <w:rPr>
          <w:rStyle w:val="tlid-translation"/>
        </w:rPr>
        <w:t xml:space="preserve"> vor crește în viitor. </w:t>
      </w:r>
    </w:p>
    <w:p w:rsidR="00A02EE8" w:rsidRPr="00591D9D" w:rsidRDefault="001D4609" w:rsidP="00591D9D">
      <w:pPr>
        <w:pStyle w:val="FootnoteText"/>
        <w:ind w:firstLine="567"/>
        <w:jc w:val="both"/>
        <w:rPr>
          <w:rStyle w:val="tlid-translation"/>
          <w:rFonts w:ascii="Times New Roman" w:hAnsi="Times New Roman" w:cs="Times New Roman"/>
          <w:sz w:val="24"/>
          <w:szCs w:val="24"/>
        </w:rPr>
      </w:pPr>
      <w:r w:rsidRPr="00591D9D">
        <w:rPr>
          <w:rStyle w:val="tlid-translation"/>
          <w:rFonts w:ascii="Times New Roman" w:hAnsi="Times New Roman" w:cs="Times New Roman"/>
          <w:sz w:val="24"/>
          <w:szCs w:val="24"/>
        </w:rPr>
        <w:lastRenderedPageBreak/>
        <w:t>Câteva</w:t>
      </w:r>
      <w:r w:rsidR="006C6261" w:rsidRPr="00591D9D">
        <w:rPr>
          <w:rStyle w:val="tlid-translation"/>
          <w:rFonts w:ascii="Times New Roman" w:hAnsi="Times New Roman" w:cs="Times New Roman"/>
          <w:sz w:val="24"/>
          <w:szCs w:val="24"/>
        </w:rPr>
        <w:t xml:space="preserve"> dintre mar</w:t>
      </w:r>
      <w:r w:rsidR="00A02EE8" w:rsidRPr="00591D9D">
        <w:rPr>
          <w:rStyle w:val="tlid-translation"/>
          <w:rFonts w:ascii="Times New Roman" w:hAnsi="Times New Roman" w:cs="Times New Roman"/>
          <w:sz w:val="24"/>
          <w:szCs w:val="24"/>
        </w:rPr>
        <w:t>ile nume ale industriei aerospaț</w:t>
      </w:r>
      <w:r w:rsidR="006C6261" w:rsidRPr="00591D9D">
        <w:rPr>
          <w:rStyle w:val="tlid-translation"/>
          <w:rFonts w:ascii="Times New Roman" w:hAnsi="Times New Roman" w:cs="Times New Roman"/>
          <w:sz w:val="24"/>
          <w:szCs w:val="24"/>
        </w:rPr>
        <w:t xml:space="preserve">iale franceze sunt corporația franceză </w:t>
      </w:r>
      <w:proofErr w:type="spellStart"/>
      <w:r w:rsidR="009C2F8B" w:rsidRPr="00591D9D">
        <w:rPr>
          <w:rFonts w:ascii="Times New Roman" w:hAnsi="Times New Roman" w:cs="Times New Roman"/>
          <w:sz w:val="24"/>
          <w:szCs w:val="24"/>
        </w:rPr>
        <w:t>Aerospatiale</w:t>
      </w:r>
      <w:proofErr w:type="spellEnd"/>
      <w:r w:rsidR="009C2F8B" w:rsidRPr="00591D9D">
        <w:rPr>
          <w:rFonts w:ascii="Times New Roman" w:hAnsi="Times New Roman" w:cs="Times New Roman"/>
          <w:sz w:val="24"/>
          <w:szCs w:val="24"/>
        </w:rPr>
        <w:t xml:space="preserve"> Matra </w:t>
      </w:r>
      <w:r w:rsidR="000B6FB6" w:rsidRPr="00591D9D">
        <w:rPr>
          <w:rFonts w:ascii="Times New Roman" w:hAnsi="Times New Roman" w:cs="Times New Roman"/>
          <w:sz w:val="24"/>
          <w:szCs w:val="24"/>
        </w:rPr>
        <w:t>S.A., fondată în anul 1957, având un număr de 52</w:t>
      </w:r>
      <w:r w:rsidR="00600E57" w:rsidRPr="00591D9D">
        <w:rPr>
          <w:rFonts w:ascii="Times New Roman" w:hAnsi="Times New Roman" w:cs="Times New Roman"/>
          <w:sz w:val="24"/>
          <w:szCs w:val="24"/>
        </w:rPr>
        <w:t>.</w:t>
      </w:r>
      <w:r w:rsidR="000B6FB6" w:rsidRPr="00591D9D">
        <w:rPr>
          <w:rFonts w:ascii="Times New Roman" w:hAnsi="Times New Roman" w:cs="Times New Roman"/>
          <w:sz w:val="24"/>
          <w:szCs w:val="24"/>
        </w:rPr>
        <w:t>890 angajați</w:t>
      </w:r>
      <w:r w:rsidR="00591D9D" w:rsidRPr="00591D9D">
        <w:rPr>
          <w:rFonts w:ascii="Times New Roman" w:hAnsi="Times New Roman" w:cs="Times New Roman"/>
          <w:sz w:val="24"/>
          <w:szCs w:val="24"/>
        </w:rPr>
        <w:t xml:space="preserve"> (</w:t>
      </w:r>
      <w:hyperlink r:id="rId17" w:history="1">
        <w:r w:rsidR="00591D9D" w:rsidRPr="00591D9D">
          <w:rPr>
            <w:rStyle w:val="Hyperlink"/>
            <w:rFonts w:ascii="Times New Roman" w:hAnsi="Times New Roman" w:cs="Times New Roman"/>
            <w:sz w:val="24"/>
            <w:szCs w:val="24"/>
          </w:rPr>
          <w:t>https://www.bloomberg.com/profile/company/2061Q:FP</w:t>
        </w:r>
      </w:hyperlink>
      <w:r w:rsidR="00591D9D" w:rsidRPr="00591D9D">
        <w:rPr>
          <w:rFonts w:ascii="Times New Roman" w:hAnsi="Times New Roman" w:cs="Times New Roman"/>
          <w:sz w:val="24"/>
          <w:szCs w:val="24"/>
        </w:rPr>
        <w:t xml:space="preserve">, </w:t>
      </w:r>
      <w:proofErr w:type="spellStart"/>
      <w:r w:rsidR="00591D9D" w:rsidRPr="00591D9D">
        <w:rPr>
          <w:rFonts w:ascii="Times New Roman" w:hAnsi="Times New Roman" w:cs="Times New Roman"/>
          <w:sz w:val="24"/>
          <w:szCs w:val="24"/>
        </w:rPr>
        <w:t>accessed</w:t>
      </w:r>
      <w:proofErr w:type="spellEnd"/>
      <w:r w:rsidR="00591D9D" w:rsidRPr="00591D9D">
        <w:rPr>
          <w:rFonts w:ascii="Times New Roman" w:hAnsi="Times New Roman" w:cs="Times New Roman"/>
          <w:sz w:val="24"/>
          <w:szCs w:val="24"/>
        </w:rPr>
        <w:t xml:space="preserve"> on la 10/16/2019)</w:t>
      </w:r>
      <w:r w:rsidR="000B6FB6" w:rsidRPr="00591D9D">
        <w:rPr>
          <w:rFonts w:ascii="Times New Roman" w:hAnsi="Times New Roman" w:cs="Times New Roman"/>
          <w:sz w:val="24"/>
          <w:szCs w:val="24"/>
        </w:rPr>
        <w:t xml:space="preserve"> și European Aeronautic</w:t>
      </w:r>
      <w:r w:rsidR="00A02EE8" w:rsidRPr="00591D9D">
        <w:rPr>
          <w:rFonts w:ascii="Times New Roman" w:hAnsi="Times New Roman" w:cs="Times New Roman"/>
          <w:sz w:val="24"/>
          <w:szCs w:val="24"/>
        </w:rPr>
        <w:t xml:space="preserve">, </w:t>
      </w:r>
      <w:proofErr w:type="spellStart"/>
      <w:r w:rsidR="00A02EE8" w:rsidRPr="00591D9D">
        <w:rPr>
          <w:rFonts w:ascii="Times New Roman" w:hAnsi="Times New Roman" w:cs="Times New Roman"/>
          <w:sz w:val="24"/>
          <w:szCs w:val="24"/>
        </w:rPr>
        <w:t>Defense</w:t>
      </w:r>
      <w:proofErr w:type="spellEnd"/>
      <w:r w:rsidR="009C2F8B" w:rsidRPr="00591D9D">
        <w:rPr>
          <w:rFonts w:ascii="Times New Roman" w:hAnsi="Times New Roman" w:cs="Times New Roman"/>
          <w:sz w:val="24"/>
          <w:szCs w:val="24"/>
        </w:rPr>
        <w:t xml:space="preserve"> </w:t>
      </w:r>
      <w:proofErr w:type="spellStart"/>
      <w:r w:rsidR="009C2F8B" w:rsidRPr="00591D9D">
        <w:rPr>
          <w:rFonts w:ascii="Times New Roman" w:hAnsi="Times New Roman" w:cs="Times New Roman"/>
          <w:sz w:val="24"/>
          <w:szCs w:val="24"/>
        </w:rPr>
        <w:t>and</w:t>
      </w:r>
      <w:proofErr w:type="spellEnd"/>
      <w:r w:rsidR="009C2F8B" w:rsidRPr="00591D9D">
        <w:rPr>
          <w:rFonts w:ascii="Times New Roman" w:hAnsi="Times New Roman" w:cs="Times New Roman"/>
          <w:sz w:val="24"/>
          <w:szCs w:val="24"/>
        </w:rPr>
        <w:t xml:space="preserve"> </w:t>
      </w:r>
      <w:proofErr w:type="spellStart"/>
      <w:r w:rsidR="009C2F8B" w:rsidRPr="00591D9D">
        <w:rPr>
          <w:rFonts w:ascii="Times New Roman" w:hAnsi="Times New Roman" w:cs="Times New Roman"/>
          <w:sz w:val="24"/>
          <w:szCs w:val="24"/>
        </w:rPr>
        <w:t>Space</w:t>
      </w:r>
      <w:proofErr w:type="spellEnd"/>
      <w:r w:rsidR="009C2F8B" w:rsidRPr="00591D9D">
        <w:rPr>
          <w:rFonts w:ascii="Times New Roman" w:hAnsi="Times New Roman" w:cs="Times New Roman"/>
          <w:sz w:val="24"/>
          <w:szCs w:val="24"/>
        </w:rPr>
        <w:t xml:space="preserve"> Company (EADS)</w:t>
      </w:r>
      <w:r w:rsidRPr="00591D9D">
        <w:rPr>
          <w:rFonts w:ascii="Times New Roman" w:hAnsi="Times New Roman" w:cs="Times New Roman"/>
          <w:sz w:val="24"/>
          <w:szCs w:val="24"/>
        </w:rPr>
        <w:t xml:space="preserve">, care a fost fondată în anul 2000 prin fuziunea a trei firme aerospațiale europene de renume: </w:t>
      </w:r>
      <w:proofErr w:type="spellStart"/>
      <w:r w:rsidRPr="00591D9D">
        <w:rPr>
          <w:rFonts w:ascii="Times New Roman" w:hAnsi="Times New Roman" w:cs="Times New Roman"/>
          <w:sz w:val="24"/>
          <w:szCs w:val="24"/>
        </w:rPr>
        <w:t>Aerospatiale</w:t>
      </w:r>
      <w:proofErr w:type="spellEnd"/>
      <w:r w:rsidRPr="00591D9D">
        <w:rPr>
          <w:rFonts w:ascii="Times New Roman" w:hAnsi="Times New Roman" w:cs="Times New Roman"/>
          <w:sz w:val="24"/>
          <w:szCs w:val="24"/>
        </w:rPr>
        <w:t xml:space="preserve"> Matra of France, </w:t>
      </w:r>
      <w:proofErr w:type="spellStart"/>
      <w:r w:rsidRPr="00591D9D">
        <w:rPr>
          <w:rFonts w:ascii="Times New Roman" w:hAnsi="Times New Roman" w:cs="Times New Roman"/>
          <w:sz w:val="24"/>
          <w:szCs w:val="24"/>
        </w:rPr>
        <w:t>DaimlerChrysler</w:t>
      </w:r>
      <w:proofErr w:type="spellEnd"/>
      <w:r w:rsidRPr="00591D9D">
        <w:rPr>
          <w:rFonts w:ascii="Times New Roman" w:hAnsi="Times New Roman" w:cs="Times New Roman"/>
          <w:sz w:val="24"/>
          <w:szCs w:val="24"/>
        </w:rPr>
        <w:t xml:space="preserve"> Aerospace (</w:t>
      </w:r>
      <w:proofErr w:type="spellStart"/>
      <w:r w:rsidRPr="00591D9D">
        <w:rPr>
          <w:rFonts w:ascii="Times New Roman" w:hAnsi="Times New Roman" w:cs="Times New Roman"/>
          <w:sz w:val="24"/>
          <w:szCs w:val="24"/>
        </w:rPr>
        <w:t>Dasa</w:t>
      </w:r>
      <w:proofErr w:type="spellEnd"/>
      <w:r w:rsidRPr="00591D9D">
        <w:rPr>
          <w:rFonts w:ascii="Times New Roman" w:hAnsi="Times New Roman" w:cs="Times New Roman"/>
          <w:sz w:val="24"/>
          <w:szCs w:val="24"/>
        </w:rPr>
        <w:t xml:space="preserve">) of </w:t>
      </w:r>
      <w:proofErr w:type="spellStart"/>
      <w:r w:rsidRPr="00591D9D">
        <w:rPr>
          <w:rFonts w:ascii="Times New Roman" w:hAnsi="Times New Roman" w:cs="Times New Roman"/>
          <w:sz w:val="24"/>
          <w:szCs w:val="24"/>
        </w:rPr>
        <w:t>Germany</w:t>
      </w:r>
      <w:proofErr w:type="spellEnd"/>
      <w:r w:rsidRPr="00591D9D">
        <w:rPr>
          <w:rFonts w:ascii="Times New Roman" w:hAnsi="Times New Roman" w:cs="Times New Roman"/>
          <w:sz w:val="24"/>
          <w:szCs w:val="24"/>
        </w:rPr>
        <w:t xml:space="preserve">, </w:t>
      </w:r>
      <w:proofErr w:type="spellStart"/>
      <w:r w:rsidRPr="00591D9D">
        <w:rPr>
          <w:rFonts w:ascii="Times New Roman" w:hAnsi="Times New Roman" w:cs="Times New Roman"/>
          <w:sz w:val="24"/>
          <w:szCs w:val="24"/>
        </w:rPr>
        <w:t>and</w:t>
      </w:r>
      <w:proofErr w:type="spellEnd"/>
      <w:r w:rsidRPr="00591D9D">
        <w:rPr>
          <w:rFonts w:ascii="Times New Roman" w:hAnsi="Times New Roman" w:cs="Times New Roman"/>
          <w:sz w:val="24"/>
          <w:szCs w:val="24"/>
        </w:rPr>
        <w:t xml:space="preserve"> </w:t>
      </w:r>
      <w:proofErr w:type="spellStart"/>
      <w:r w:rsidRPr="00591D9D">
        <w:rPr>
          <w:rFonts w:ascii="Times New Roman" w:hAnsi="Times New Roman" w:cs="Times New Roman"/>
          <w:sz w:val="24"/>
          <w:szCs w:val="24"/>
        </w:rPr>
        <w:t>Construcciones</w:t>
      </w:r>
      <w:proofErr w:type="spellEnd"/>
      <w:r w:rsidRPr="00591D9D">
        <w:rPr>
          <w:rFonts w:ascii="Times New Roman" w:hAnsi="Times New Roman" w:cs="Times New Roman"/>
          <w:sz w:val="24"/>
          <w:szCs w:val="24"/>
        </w:rPr>
        <w:t xml:space="preserve"> </w:t>
      </w:r>
      <w:proofErr w:type="spellStart"/>
      <w:r w:rsidRPr="00591D9D">
        <w:rPr>
          <w:rFonts w:ascii="Times New Roman" w:hAnsi="Times New Roman" w:cs="Times New Roman"/>
          <w:sz w:val="24"/>
          <w:szCs w:val="24"/>
        </w:rPr>
        <w:t>Aeronáuticas</w:t>
      </w:r>
      <w:proofErr w:type="spellEnd"/>
      <w:r w:rsidRPr="00591D9D">
        <w:rPr>
          <w:rFonts w:ascii="Times New Roman" w:hAnsi="Times New Roman" w:cs="Times New Roman"/>
          <w:sz w:val="24"/>
          <w:szCs w:val="24"/>
        </w:rPr>
        <w:t xml:space="preserve"> S.A. (CASA) of Spain</w:t>
      </w:r>
      <w:r w:rsidR="00591D9D" w:rsidRPr="00591D9D">
        <w:rPr>
          <w:rFonts w:ascii="Times New Roman" w:hAnsi="Times New Roman" w:cs="Times New Roman"/>
          <w:sz w:val="24"/>
          <w:szCs w:val="24"/>
        </w:rPr>
        <w:t xml:space="preserve"> (</w:t>
      </w:r>
      <w:hyperlink r:id="rId18" w:history="1">
        <w:r w:rsidR="00591D9D" w:rsidRPr="00591D9D">
          <w:rPr>
            <w:rStyle w:val="Hyperlink"/>
            <w:rFonts w:ascii="Times New Roman" w:hAnsi="Times New Roman" w:cs="Times New Roman"/>
            <w:sz w:val="24"/>
            <w:szCs w:val="24"/>
          </w:rPr>
          <w:t>https://www.britannica.com/topic/European-Aeronautic-Defence-and-Space-Company</w:t>
        </w:r>
      </w:hyperlink>
      <w:r w:rsidR="00591D9D">
        <w:rPr>
          <w:rFonts w:ascii="Times New Roman" w:hAnsi="Times New Roman" w:cs="Times New Roman"/>
          <w:sz w:val="24"/>
          <w:szCs w:val="24"/>
        </w:rPr>
        <w:t xml:space="preserve">, </w:t>
      </w:r>
      <w:proofErr w:type="spellStart"/>
      <w:r w:rsidR="00591D9D">
        <w:rPr>
          <w:rFonts w:ascii="Times New Roman" w:hAnsi="Times New Roman" w:cs="Times New Roman"/>
          <w:sz w:val="24"/>
          <w:szCs w:val="24"/>
        </w:rPr>
        <w:t>accessed</w:t>
      </w:r>
      <w:proofErr w:type="spellEnd"/>
      <w:r w:rsidR="00591D9D">
        <w:rPr>
          <w:rFonts w:ascii="Times New Roman" w:hAnsi="Times New Roman" w:cs="Times New Roman"/>
          <w:sz w:val="24"/>
          <w:szCs w:val="24"/>
        </w:rPr>
        <w:t xml:space="preserve"> on 10/16/2019</w:t>
      </w:r>
      <w:r w:rsidR="00591D9D" w:rsidRPr="00591D9D">
        <w:rPr>
          <w:rFonts w:ascii="Times New Roman" w:hAnsi="Times New Roman" w:cs="Times New Roman"/>
          <w:sz w:val="24"/>
          <w:szCs w:val="24"/>
        </w:rPr>
        <w:t>)</w:t>
      </w:r>
      <w:r w:rsidR="00591D9D">
        <w:rPr>
          <w:rFonts w:ascii="Times New Roman" w:hAnsi="Times New Roman" w:cs="Times New Roman"/>
          <w:sz w:val="24"/>
          <w:szCs w:val="24"/>
        </w:rPr>
        <w:t>.</w:t>
      </w:r>
      <w:r w:rsidR="00A02EE8" w:rsidRPr="00591D9D">
        <w:rPr>
          <w:rStyle w:val="tlid-translation"/>
          <w:rFonts w:ascii="Times New Roman" w:hAnsi="Times New Roman" w:cs="Times New Roman"/>
          <w:sz w:val="24"/>
          <w:szCs w:val="24"/>
        </w:rPr>
        <w:t xml:space="preserve"> </w:t>
      </w:r>
      <w:r w:rsidR="006C6261" w:rsidRPr="00591D9D">
        <w:rPr>
          <w:rStyle w:val="tlid-translation"/>
          <w:rFonts w:ascii="Times New Roman" w:hAnsi="Times New Roman" w:cs="Times New Roman"/>
          <w:sz w:val="24"/>
          <w:szCs w:val="24"/>
        </w:rPr>
        <w:t xml:space="preserve">Guvernul francez consideră că investițiile străine directe sunt necesare pentru crearea unei întreprinderi de dimensiuni globale, precum și pentru consolidarea corporațiilor transnaționale. </w:t>
      </w:r>
    </w:p>
    <w:p w:rsidR="006C6261" w:rsidRPr="00EE5309" w:rsidRDefault="006C6261" w:rsidP="00F032AF">
      <w:pPr>
        <w:pStyle w:val="NormalWeb"/>
        <w:spacing w:before="0" w:beforeAutospacing="0" w:after="0" w:afterAutospacing="0"/>
        <w:ind w:firstLine="567"/>
        <w:jc w:val="both"/>
        <w:rPr>
          <w:rStyle w:val="tlid-translation"/>
        </w:rPr>
      </w:pPr>
      <w:r w:rsidRPr="00EE5309">
        <w:rPr>
          <w:rStyle w:val="tlid-translation"/>
        </w:rPr>
        <w:t xml:space="preserve">Industria aerospațială din </w:t>
      </w:r>
      <w:r w:rsidRPr="00EE5309">
        <w:rPr>
          <w:rStyle w:val="tlid-translation"/>
          <w:b/>
          <w:i/>
        </w:rPr>
        <w:t>Marea Britanie</w:t>
      </w:r>
      <w:r w:rsidRPr="00EE5309">
        <w:rPr>
          <w:rStyle w:val="tlid-translation"/>
        </w:rPr>
        <w:t xml:space="preserve"> este un sector important </w:t>
      </w:r>
      <w:r w:rsidR="00A02EE8" w:rsidRPr="00EE5309">
        <w:rPr>
          <w:rStyle w:val="tlid-translation"/>
        </w:rPr>
        <w:t>în ceea ce privește</w:t>
      </w:r>
      <w:r w:rsidRPr="00EE5309">
        <w:rPr>
          <w:rStyle w:val="tlid-translation"/>
        </w:rPr>
        <w:t xml:space="preserve"> export</w:t>
      </w:r>
      <w:r w:rsidR="00A02EE8" w:rsidRPr="00EE5309">
        <w:rPr>
          <w:rStyle w:val="tlid-translation"/>
        </w:rPr>
        <w:t>ul, fiind</w:t>
      </w:r>
      <w:r w:rsidRPr="00EE5309">
        <w:rPr>
          <w:rStyle w:val="tlid-translation"/>
        </w:rPr>
        <w:t>, de asemenea, al doilea sector intensiv în cercetare și dezvoltare</w:t>
      </w:r>
      <w:r w:rsidR="00A02EE8" w:rsidRPr="00EE5309">
        <w:rPr>
          <w:rStyle w:val="tlid-translation"/>
        </w:rPr>
        <w:t xml:space="preserve"> după produsele farmaceutice</w:t>
      </w:r>
      <w:r w:rsidRPr="00EE5309">
        <w:rPr>
          <w:rStyle w:val="tlid-translation"/>
        </w:rPr>
        <w:t>. Guvernul Regatului Unit finanțează cercetarea și dezvoltarea, care îmbunătățește compet</w:t>
      </w:r>
      <w:r w:rsidR="006530C6" w:rsidRPr="00EE5309">
        <w:rPr>
          <w:rStyle w:val="tlid-translation"/>
        </w:rPr>
        <w:t>itivitatea globală a industriei,</w:t>
      </w:r>
      <w:r w:rsidRPr="00EE5309">
        <w:rPr>
          <w:rStyle w:val="tlid-translation"/>
        </w:rPr>
        <w:t xml:space="preserve"> aprobă investiții publice în cercetare și dezvoltare pentru a menține costurile reduse. UKAI (</w:t>
      </w:r>
      <w:r w:rsidR="006530C6" w:rsidRPr="00EE5309">
        <w:t xml:space="preserve">United </w:t>
      </w:r>
      <w:proofErr w:type="spellStart"/>
      <w:r w:rsidR="006530C6" w:rsidRPr="00EE5309">
        <w:t>Kingdom</w:t>
      </w:r>
      <w:proofErr w:type="spellEnd"/>
      <w:r w:rsidR="006530C6" w:rsidRPr="00EE5309">
        <w:t xml:space="preserve"> Aerospace Industry</w:t>
      </w:r>
      <w:r w:rsidR="00C24593" w:rsidRPr="00EE5309">
        <w:rPr>
          <w:rStyle w:val="tlid-translation"/>
        </w:rPr>
        <w:t>), cu</w:t>
      </w:r>
      <w:r w:rsidRPr="00EE5309">
        <w:rPr>
          <w:rStyle w:val="tlid-translation"/>
        </w:rPr>
        <w:t xml:space="preserve"> o cifră de afaceri de </w:t>
      </w:r>
      <w:r w:rsidR="00C24593" w:rsidRPr="00EE5309">
        <w:rPr>
          <w:rStyle w:val="tlid-translation"/>
        </w:rPr>
        <w:t>câteva zeci de miliarde de lire sterline, a înregistrat o productivitate</w:t>
      </w:r>
      <w:r w:rsidRPr="00EE5309">
        <w:rPr>
          <w:rStyle w:val="tlid-translation"/>
        </w:rPr>
        <w:t xml:space="preserve"> cu 50% mai mare decât media națională. UKAI are independență în ceea ce privește fabricarea pentru părțile civile, precum și pentru apărare, ceea ce se dovedește a fi un avantaj supl</w:t>
      </w:r>
      <w:r w:rsidR="00F032AF" w:rsidRPr="00EE5309">
        <w:rPr>
          <w:rStyle w:val="tlid-translation"/>
        </w:rPr>
        <w:t>imentar</w:t>
      </w:r>
      <w:r w:rsidR="00C513C7">
        <w:rPr>
          <w:rStyle w:val="tlid-translation"/>
        </w:rPr>
        <w:t xml:space="preserve">. </w:t>
      </w:r>
      <w:r w:rsidRPr="00EE5309">
        <w:rPr>
          <w:rStyle w:val="tlid-translation"/>
        </w:rPr>
        <w:t>(</w:t>
      </w:r>
      <w:hyperlink r:id="rId19" w:history="1">
        <w:r w:rsidRPr="00EE5309">
          <w:rPr>
            <w:rStyle w:val="Hyperlink"/>
          </w:rPr>
          <w:t>http://www.investineu.com/content/aerospace-sector-eu</w:t>
        </w:r>
      </w:hyperlink>
      <w:r w:rsidR="00575E5D">
        <w:rPr>
          <w:rStyle w:val="tlid-translation"/>
        </w:rPr>
        <w:t xml:space="preserve">, </w:t>
      </w:r>
      <w:proofErr w:type="spellStart"/>
      <w:r w:rsidR="00575E5D">
        <w:rPr>
          <w:rStyle w:val="tlid-translation"/>
        </w:rPr>
        <w:t>accessed</w:t>
      </w:r>
      <w:proofErr w:type="spellEnd"/>
      <w:r w:rsidR="00575E5D">
        <w:rPr>
          <w:rStyle w:val="tlid-translation"/>
        </w:rPr>
        <w:t xml:space="preserve"> on la 10/14/</w:t>
      </w:r>
      <w:r w:rsidR="00C513C7">
        <w:rPr>
          <w:rStyle w:val="tlid-translation"/>
        </w:rPr>
        <w:t>2019)</w:t>
      </w:r>
    </w:p>
    <w:p w:rsidR="00763216" w:rsidRPr="00EE5309" w:rsidRDefault="00763216" w:rsidP="004A4BCC">
      <w:pPr>
        <w:pStyle w:val="NormalWeb"/>
        <w:spacing w:before="0" w:beforeAutospacing="0" w:after="0" w:afterAutospacing="0"/>
        <w:ind w:firstLine="567"/>
        <w:jc w:val="both"/>
        <w:rPr>
          <w:b/>
          <w:color w:val="000000" w:themeColor="text1"/>
        </w:rPr>
      </w:pPr>
    </w:p>
    <w:p w:rsidR="00A22119" w:rsidRPr="00EE5309" w:rsidRDefault="00C2169C" w:rsidP="00763216">
      <w:pPr>
        <w:pStyle w:val="NormalWeb"/>
        <w:numPr>
          <w:ilvl w:val="0"/>
          <w:numId w:val="2"/>
        </w:numPr>
        <w:tabs>
          <w:tab w:val="left" w:pos="851"/>
        </w:tabs>
        <w:spacing w:before="0" w:beforeAutospacing="0" w:after="0" w:afterAutospacing="0"/>
        <w:ind w:left="0" w:firstLine="567"/>
        <w:jc w:val="both"/>
        <w:rPr>
          <w:b/>
          <w:color w:val="000000" w:themeColor="text1"/>
        </w:rPr>
      </w:pPr>
      <w:r w:rsidRPr="00EE5309">
        <w:rPr>
          <w:b/>
          <w:color w:val="000000" w:themeColor="text1"/>
        </w:rPr>
        <w:t>INDUSTRIA AERONAUTICĂ DIN ROMÂNIA</w:t>
      </w:r>
    </w:p>
    <w:p w:rsidR="00C2169C" w:rsidRDefault="00C2169C" w:rsidP="007A68ED">
      <w:pPr>
        <w:pStyle w:val="NormalWeb"/>
        <w:spacing w:before="0" w:beforeAutospacing="0" w:after="0" w:afterAutospacing="0"/>
        <w:ind w:firstLine="567"/>
        <w:jc w:val="both"/>
        <w:rPr>
          <w:b/>
          <w:i/>
        </w:rPr>
      </w:pPr>
    </w:p>
    <w:p w:rsidR="007A68ED" w:rsidRPr="00EE5309" w:rsidRDefault="007A68ED" w:rsidP="007A68ED">
      <w:pPr>
        <w:pStyle w:val="NormalWeb"/>
        <w:spacing w:before="0" w:beforeAutospacing="0" w:after="0" w:afterAutospacing="0"/>
        <w:ind w:firstLine="567"/>
        <w:jc w:val="both"/>
      </w:pPr>
      <w:r w:rsidRPr="00EE5309">
        <w:rPr>
          <w:b/>
          <w:i/>
        </w:rPr>
        <w:t>România</w:t>
      </w:r>
      <w:r w:rsidRPr="00EE5309">
        <w:t xml:space="preserve"> este reprezentată de mai multe companii cu expertiză în domeniul </w:t>
      </w:r>
      <w:proofErr w:type="spellStart"/>
      <w:r w:rsidRPr="00EE5309">
        <w:t>construcţiei</w:t>
      </w:r>
      <w:proofErr w:type="spellEnd"/>
      <w:r w:rsidRPr="00EE5309">
        <w:t xml:space="preserve"> </w:t>
      </w:r>
      <w:proofErr w:type="spellStart"/>
      <w:r w:rsidRPr="00EE5309">
        <w:t>şi</w:t>
      </w:r>
      <w:proofErr w:type="spellEnd"/>
      <w:r w:rsidRPr="00EE5309">
        <w:t xml:space="preserve"> </w:t>
      </w:r>
      <w:proofErr w:type="spellStart"/>
      <w:r w:rsidRPr="00EE5309">
        <w:t>mentenanţei</w:t>
      </w:r>
      <w:proofErr w:type="spellEnd"/>
      <w:r w:rsidRPr="00EE5309">
        <w:t xml:space="preserve"> aeronavelor, precum </w:t>
      </w:r>
      <w:r w:rsidR="00152A55" w:rsidRPr="00EE5309">
        <w:t xml:space="preserve">Aerostar Bacău (componente pentru aeronave), </w:t>
      </w:r>
      <w:proofErr w:type="spellStart"/>
      <w:r w:rsidR="00152A55" w:rsidRPr="00EE5309">
        <w:t>Turbomecanica</w:t>
      </w:r>
      <w:proofErr w:type="spellEnd"/>
      <w:r w:rsidR="00152A55" w:rsidRPr="00EE5309">
        <w:t xml:space="preserve"> </w:t>
      </w:r>
      <w:proofErr w:type="spellStart"/>
      <w:r w:rsidR="00152A55" w:rsidRPr="00EE5309">
        <w:t>Bucureşti</w:t>
      </w:r>
      <w:proofErr w:type="spellEnd"/>
      <w:r w:rsidR="002466D8" w:rsidRPr="00EE5309">
        <w:t xml:space="preserve"> (</w:t>
      </w:r>
      <w:proofErr w:type="spellStart"/>
      <w:r w:rsidR="002466D8" w:rsidRPr="00EE5309">
        <w:t>funizor</w:t>
      </w:r>
      <w:proofErr w:type="spellEnd"/>
      <w:r w:rsidR="002466D8" w:rsidRPr="00EE5309">
        <w:t xml:space="preserve"> de componente </w:t>
      </w:r>
      <w:proofErr w:type="spellStart"/>
      <w:r w:rsidR="002466D8" w:rsidRPr="00EE5309">
        <w:t>şi</w:t>
      </w:r>
      <w:proofErr w:type="spellEnd"/>
      <w:r w:rsidR="002466D8" w:rsidRPr="00EE5309">
        <w:t xml:space="preserve"> </w:t>
      </w:r>
      <w:proofErr w:type="spellStart"/>
      <w:r w:rsidR="002466D8" w:rsidRPr="00EE5309">
        <w:t>reparaţii</w:t>
      </w:r>
      <w:proofErr w:type="spellEnd"/>
      <w:r w:rsidR="002466D8" w:rsidRPr="00EE5309">
        <w:t xml:space="preserve"> pentru industria aeronautică cât </w:t>
      </w:r>
      <w:proofErr w:type="spellStart"/>
      <w:r w:rsidR="002466D8" w:rsidRPr="00EE5309">
        <w:t>şi</w:t>
      </w:r>
      <w:proofErr w:type="spellEnd"/>
      <w:r w:rsidR="002466D8" w:rsidRPr="00EE5309">
        <w:t xml:space="preserve"> pentru alte domenii de înalt nivel tehnologic)</w:t>
      </w:r>
      <w:r w:rsidR="00152A55" w:rsidRPr="00EE5309">
        <w:t xml:space="preserve">, IAR </w:t>
      </w:r>
      <w:proofErr w:type="spellStart"/>
      <w:r w:rsidR="00152A55" w:rsidRPr="00EE5309">
        <w:t>Braşov</w:t>
      </w:r>
      <w:proofErr w:type="spellEnd"/>
      <w:r w:rsidR="00152A55" w:rsidRPr="00EE5309">
        <w:t xml:space="preserve"> (componente pentru elicoptere), </w:t>
      </w:r>
      <w:r w:rsidRPr="00EE5309">
        <w:t>Avioane Craiova (</w:t>
      </w:r>
      <w:proofErr w:type="spellStart"/>
      <w:r w:rsidRPr="00EE5309">
        <w:t>producţia</w:t>
      </w:r>
      <w:proofErr w:type="spellEnd"/>
      <w:r w:rsidRPr="00EE5309">
        <w:t xml:space="preserve"> de aerona</w:t>
      </w:r>
      <w:r w:rsidR="00152A55" w:rsidRPr="00EE5309">
        <w:t xml:space="preserve">ve </w:t>
      </w:r>
      <w:r w:rsidR="00952FF6">
        <w:t>ș</w:t>
      </w:r>
      <w:r w:rsidRPr="00EE5309">
        <w:t>i suban</w:t>
      </w:r>
      <w:r w:rsidR="00152A55" w:rsidRPr="00EE5309">
        <w:t xml:space="preserve">sambluri) </w:t>
      </w:r>
      <w:proofErr w:type="spellStart"/>
      <w:r w:rsidR="00152A55" w:rsidRPr="00EE5309">
        <w:t>şi</w:t>
      </w:r>
      <w:proofErr w:type="spellEnd"/>
      <w:r w:rsidR="00152A55" w:rsidRPr="00EE5309">
        <w:t xml:space="preserve"> </w:t>
      </w:r>
      <w:proofErr w:type="spellStart"/>
      <w:r w:rsidRPr="00EE5309">
        <w:t>Romaero</w:t>
      </w:r>
      <w:proofErr w:type="spellEnd"/>
      <w:r w:rsidRPr="00EE5309">
        <w:t xml:space="preserve"> </w:t>
      </w:r>
      <w:proofErr w:type="spellStart"/>
      <w:r w:rsidRPr="00EE5309">
        <w:t>B</w:t>
      </w:r>
      <w:r w:rsidR="00152A55" w:rsidRPr="00EE5309">
        <w:t>ucureşti</w:t>
      </w:r>
      <w:proofErr w:type="spellEnd"/>
      <w:r w:rsidR="00152A55" w:rsidRPr="00EE5309">
        <w:t xml:space="preserve"> (</w:t>
      </w:r>
      <w:proofErr w:type="spellStart"/>
      <w:r w:rsidR="00152A55" w:rsidRPr="00EE5309">
        <w:t>mentenanţă</w:t>
      </w:r>
      <w:proofErr w:type="spellEnd"/>
      <w:r w:rsidR="00152A55" w:rsidRPr="00EE5309">
        <w:t xml:space="preserve"> aeronave).</w:t>
      </w:r>
    </w:p>
    <w:p w:rsidR="00F1108E" w:rsidRPr="00EE5309" w:rsidRDefault="00F1108E" w:rsidP="007A68ED">
      <w:pPr>
        <w:pStyle w:val="NormalWeb"/>
        <w:spacing w:before="0" w:beforeAutospacing="0" w:after="0" w:afterAutospacing="0"/>
        <w:ind w:firstLine="567"/>
        <w:jc w:val="both"/>
      </w:pPr>
    </w:p>
    <w:p w:rsidR="00A22119" w:rsidRPr="00EE5309" w:rsidRDefault="00C0001A" w:rsidP="008462B8">
      <w:pPr>
        <w:pStyle w:val="NormalWeb"/>
        <w:spacing w:before="0" w:beforeAutospacing="0" w:after="0" w:afterAutospacing="0"/>
        <w:jc w:val="center"/>
        <w:rPr>
          <w:color w:val="000000" w:themeColor="text1"/>
          <w:sz w:val="20"/>
          <w:szCs w:val="20"/>
        </w:rPr>
      </w:pPr>
      <w:r w:rsidRPr="00EE5309">
        <w:rPr>
          <w:color w:val="000000" w:themeColor="text1"/>
          <w:sz w:val="20"/>
          <w:szCs w:val="20"/>
        </w:rPr>
        <w:t>Tabel nr.</w:t>
      </w:r>
      <w:r w:rsidR="005965AB" w:rsidRPr="00EE5309">
        <w:rPr>
          <w:color w:val="000000" w:themeColor="text1"/>
          <w:sz w:val="20"/>
          <w:szCs w:val="20"/>
        </w:rPr>
        <w:t xml:space="preserve"> 2. Informaț</w:t>
      </w:r>
      <w:r w:rsidR="008462B8" w:rsidRPr="00EE5309">
        <w:rPr>
          <w:color w:val="000000" w:themeColor="text1"/>
          <w:sz w:val="20"/>
          <w:szCs w:val="20"/>
        </w:rPr>
        <w:t>ii generale privind companiile din domeniul fab</w:t>
      </w:r>
      <w:r w:rsidR="005965AB" w:rsidRPr="00EE5309">
        <w:rPr>
          <w:color w:val="000000" w:themeColor="text1"/>
          <w:sz w:val="20"/>
          <w:szCs w:val="20"/>
        </w:rPr>
        <w:t xml:space="preserve">ricării de aeronave </w:t>
      </w:r>
      <w:proofErr w:type="spellStart"/>
      <w:r w:rsidR="005965AB" w:rsidRPr="00EE5309">
        <w:rPr>
          <w:color w:val="000000" w:themeColor="text1"/>
          <w:sz w:val="20"/>
          <w:szCs w:val="20"/>
        </w:rPr>
        <w:t>şi</w:t>
      </w:r>
      <w:proofErr w:type="spellEnd"/>
      <w:r w:rsidR="005965AB" w:rsidRPr="00EE5309">
        <w:rPr>
          <w:color w:val="000000" w:themeColor="text1"/>
          <w:sz w:val="20"/>
          <w:szCs w:val="20"/>
        </w:rPr>
        <w:t xml:space="preserve"> nave spaț</w:t>
      </w:r>
      <w:r w:rsidR="008462B8" w:rsidRPr="00EE5309">
        <w:rPr>
          <w:color w:val="000000" w:themeColor="text1"/>
          <w:sz w:val="20"/>
          <w:szCs w:val="20"/>
        </w:rPr>
        <w:t>iale listate la BVB</w:t>
      </w:r>
    </w:p>
    <w:tbl>
      <w:tblPr>
        <w:tblStyle w:val="TableGrid"/>
        <w:tblW w:w="9634" w:type="dxa"/>
        <w:jc w:val="center"/>
        <w:tblLook w:val="04A0" w:firstRow="1" w:lastRow="0" w:firstColumn="1" w:lastColumn="0" w:noHBand="0" w:noVBand="1"/>
      </w:tblPr>
      <w:tblGrid>
        <w:gridCol w:w="2852"/>
        <w:gridCol w:w="967"/>
        <w:gridCol w:w="2022"/>
        <w:gridCol w:w="3793"/>
      </w:tblGrid>
      <w:tr w:rsidR="0033259A" w:rsidRPr="00EE5309" w:rsidTr="008462B8">
        <w:trPr>
          <w:jc w:val="center"/>
        </w:trPr>
        <w:tc>
          <w:tcPr>
            <w:tcW w:w="2852" w:type="dxa"/>
            <w:shd w:val="clear" w:color="auto" w:fill="A6A6A6" w:themeFill="background1" w:themeFillShade="A6"/>
            <w:vAlign w:val="center"/>
          </w:tcPr>
          <w:p w:rsidR="0033259A" w:rsidRPr="00EE5309" w:rsidRDefault="0033259A" w:rsidP="0023302B">
            <w:pPr>
              <w:pStyle w:val="NormalWeb"/>
              <w:tabs>
                <w:tab w:val="left" w:pos="0"/>
              </w:tabs>
              <w:spacing w:before="0" w:beforeAutospacing="0" w:after="0" w:afterAutospacing="0"/>
              <w:jc w:val="center"/>
              <w:rPr>
                <w:b/>
                <w:color w:val="000000" w:themeColor="text1"/>
                <w:sz w:val="20"/>
                <w:szCs w:val="20"/>
              </w:rPr>
            </w:pPr>
            <w:r w:rsidRPr="00EE5309">
              <w:rPr>
                <w:b/>
                <w:color w:val="000000" w:themeColor="text1"/>
                <w:sz w:val="20"/>
                <w:szCs w:val="20"/>
              </w:rPr>
              <w:t>Compania</w:t>
            </w:r>
          </w:p>
        </w:tc>
        <w:tc>
          <w:tcPr>
            <w:tcW w:w="967" w:type="dxa"/>
            <w:shd w:val="clear" w:color="auto" w:fill="A6A6A6" w:themeFill="background1" w:themeFillShade="A6"/>
            <w:vAlign w:val="center"/>
          </w:tcPr>
          <w:p w:rsidR="0033259A" w:rsidRPr="00EE5309" w:rsidRDefault="0033259A" w:rsidP="00FD4C08">
            <w:pPr>
              <w:pStyle w:val="NormalWeb"/>
              <w:tabs>
                <w:tab w:val="left" w:pos="0"/>
              </w:tabs>
              <w:spacing w:before="0" w:beforeAutospacing="0" w:after="0" w:afterAutospacing="0"/>
              <w:jc w:val="center"/>
              <w:rPr>
                <w:b/>
                <w:color w:val="000000" w:themeColor="text1"/>
                <w:sz w:val="20"/>
                <w:szCs w:val="20"/>
              </w:rPr>
            </w:pPr>
            <w:r w:rsidRPr="00EE5309">
              <w:rPr>
                <w:b/>
                <w:color w:val="000000" w:themeColor="text1"/>
                <w:sz w:val="20"/>
                <w:szCs w:val="20"/>
              </w:rPr>
              <w:t xml:space="preserve">Simbol </w:t>
            </w:r>
          </w:p>
        </w:tc>
        <w:tc>
          <w:tcPr>
            <w:tcW w:w="2022" w:type="dxa"/>
            <w:shd w:val="clear" w:color="auto" w:fill="A6A6A6" w:themeFill="background1" w:themeFillShade="A6"/>
          </w:tcPr>
          <w:p w:rsidR="0033259A" w:rsidRPr="00EE5309" w:rsidRDefault="0033259A" w:rsidP="00453558">
            <w:pPr>
              <w:pStyle w:val="NormalWeb"/>
              <w:tabs>
                <w:tab w:val="left" w:pos="0"/>
              </w:tabs>
              <w:spacing w:before="0" w:beforeAutospacing="0" w:after="0" w:afterAutospacing="0"/>
              <w:jc w:val="center"/>
              <w:rPr>
                <w:b/>
                <w:color w:val="000000" w:themeColor="text1"/>
                <w:sz w:val="20"/>
                <w:szCs w:val="20"/>
              </w:rPr>
            </w:pPr>
            <w:r w:rsidRPr="00EE5309">
              <w:rPr>
                <w:b/>
                <w:color w:val="000000" w:themeColor="text1"/>
                <w:sz w:val="20"/>
                <w:szCs w:val="20"/>
              </w:rPr>
              <w:t>Segment/Categorie</w:t>
            </w:r>
          </w:p>
        </w:tc>
        <w:tc>
          <w:tcPr>
            <w:tcW w:w="3793" w:type="dxa"/>
            <w:shd w:val="clear" w:color="auto" w:fill="A6A6A6" w:themeFill="background1" w:themeFillShade="A6"/>
            <w:vAlign w:val="center"/>
          </w:tcPr>
          <w:p w:rsidR="0033259A" w:rsidRPr="00EE5309" w:rsidRDefault="0033259A" w:rsidP="0023302B">
            <w:pPr>
              <w:pStyle w:val="NormalWeb"/>
              <w:tabs>
                <w:tab w:val="left" w:pos="0"/>
              </w:tabs>
              <w:spacing w:before="0" w:beforeAutospacing="0" w:after="0" w:afterAutospacing="0"/>
              <w:jc w:val="center"/>
              <w:rPr>
                <w:b/>
                <w:color w:val="000000" w:themeColor="text1"/>
                <w:sz w:val="20"/>
                <w:szCs w:val="20"/>
              </w:rPr>
            </w:pPr>
            <w:r w:rsidRPr="00EE5309">
              <w:rPr>
                <w:b/>
                <w:color w:val="000000" w:themeColor="text1"/>
                <w:sz w:val="20"/>
                <w:szCs w:val="20"/>
              </w:rPr>
              <w:t>Structură acționariat</w:t>
            </w:r>
          </w:p>
        </w:tc>
      </w:tr>
      <w:tr w:rsidR="0033259A" w:rsidRPr="00EE5309" w:rsidTr="008462B8">
        <w:trPr>
          <w:jc w:val="center"/>
        </w:trPr>
        <w:tc>
          <w:tcPr>
            <w:tcW w:w="2852" w:type="dxa"/>
            <w:vAlign w:val="center"/>
          </w:tcPr>
          <w:p w:rsidR="0033259A" w:rsidRPr="00EE5309" w:rsidRDefault="0033259A" w:rsidP="00513AE3">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 xml:space="preserve">S.C. AEROSTAR </w:t>
            </w:r>
            <w:r w:rsidR="00513AE3" w:rsidRPr="00EE5309">
              <w:rPr>
                <w:color w:val="000000" w:themeColor="text1"/>
                <w:sz w:val="20"/>
                <w:szCs w:val="20"/>
              </w:rPr>
              <w:t xml:space="preserve">S.A. </w:t>
            </w:r>
          </w:p>
        </w:tc>
        <w:tc>
          <w:tcPr>
            <w:tcW w:w="967" w:type="dxa"/>
            <w:vAlign w:val="center"/>
          </w:tcPr>
          <w:p w:rsidR="0033259A" w:rsidRPr="00EE5309" w:rsidRDefault="0033259A" w:rsidP="00970B6F">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ARS</w:t>
            </w:r>
          </w:p>
        </w:tc>
        <w:tc>
          <w:tcPr>
            <w:tcW w:w="2022" w:type="dxa"/>
            <w:vAlign w:val="center"/>
          </w:tcPr>
          <w:p w:rsidR="0033259A" w:rsidRPr="00EE5309" w:rsidRDefault="0033259A" w:rsidP="00453558">
            <w:pPr>
              <w:pStyle w:val="NormalWeb"/>
              <w:tabs>
                <w:tab w:val="left" w:pos="0"/>
              </w:tabs>
              <w:spacing w:before="0" w:beforeAutospacing="0" w:after="0" w:afterAutospacing="0"/>
              <w:jc w:val="center"/>
              <w:rPr>
                <w:sz w:val="20"/>
                <w:szCs w:val="20"/>
              </w:rPr>
            </w:pPr>
            <w:r w:rsidRPr="00EE5309">
              <w:rPr>
                <w:sz w:val="20"/>
                <w:szCs w:val="20"/>
              </w:rPr>
              <w:t>Principal/Standard</w:t>
            </w:r>
          </w:p>
        </w:tc>
        <w:tc>
          <w:tcPr>
            <w:tcW w:w="3793" w:type="dxa"/>
          </w:tcPr>
          <w:p w:rsidR="0033259A" w:rsidRPr="00EE5309" w:rsidRDefault="0033259A" w:rsidP="005E34E4">
            <w:pPr>
              <w:pStyle w:val="NormalWeb"/>
              <w:tabs>
                <w:tab w:val="left" w:pos="0"/>
              </w:tabs>
              <w:spacing w:before="0" w:beforeAutospacing="0" w:after="0" w:afterAutospacing="0"/>
              <w:jc w:val="both"/>
              <w:rPr>
                <w:sz w:val="20"/>
                <w:szCs w:val="20"/>
              </w:rPr>
            </w:pPr>
            <w:r w:rsidRPr="00EE5309">
              <w:rPr>
                <w:sz w:val="20"/>
                <w:szCs w:val="20"/>
              </w:rPr>
              <w:t>S.C. IAROM S.A. – 71,31%</w:t>
            </w:r>
          </w:p>
          <w:p w:rsidR="0033259A" w:rsidRPr="00EE5309" w:rsidRDefault="0033259A" w:rsidP="005E34E4">
            <w:pPr>
              <w:pStyle w:val="NormalWeb"/>
              <w:tabs>
                <w:tab w:val="left" w:pos="0"/>
              </w:tabs>
              <w:spacing w:before="0" w:beforeAutospacing="0" w:after="0" w:afterAutospacing="0"/>
              <w:jc w:val="both"/>
              <w:rPr>
                <w:sz w:val="20"/>
                <w:szCs w:val="20"/>
              </w:rPr>
            </w:pPr>
            <w:r w:rsidRPr="00EE5309">
              <w:rPr>
                <w:sz w:val="20"/>
                <w:szCs w:val="20"/>
              </w:rPr>
              <w:t>S.I.F. Moldova – 15,05%</w:t>
            </w:r>
          </w:p>
          <w:p w:rsidR="0033259A" w:rsidRPr="00EE5309" w:rsidRDefault="0033259A" w:rsidP="005E34E4">
            <w:pPr>
              <w:pStyle w:val="NormalWeb"/>
              <w:tabs>
                <w:tab w:val="left" w:pos="0"/>
              </w:tabs>
              <w:spacing w:before="0" w:beforeAutospacing="0" w:after="0" w:afterAutospacing="0"/>
              <w:jc w:val="both"/>
              <w:rPr>
                <w:color w:val="000000" w:themeColor="text1"/>
                <w:sz w:val="20"/>
                <w:szCs w:val="20"/>
              </w:rPr>
            </w:pPr>
            <w:r w:rsidRPr="00EE5309">
              <w:rPr>
                <w:sz w:val="20"/>
                <w:szCs w:val="20"/>
              </w:rPr>
              <w:t>Alți acționari privați – 13,64%</w:t>
            </w:r>
          </w:p>
        </w:tc>
      </w:tr>
      <w:tr w:rsidR="0033259A" w:rsidRPr="00EE5309" w:rsidTr="008462B8">
        <w:trPr>
          <w:jc w:val="center"/>
        </w:trPr>
        <w:tc>
          <w:tcPr>
            <w:tcW w:w="2852" w:type="dxa"/>
            <w:vAlign w:val="center"/>
          </w:tcPr>
          <w:p w:rsidR="0033259A" w:rsidRPr="00EE5309" w:rsidRDefault="00513AE3" w:rsidP="00513AE3">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S.C. TURBOMECANICA S.A.</w:t>
            </w:r>
          </w:p>
        </w:tc>
        <w:tc>
          <w:tcPr>
            <w:tcW w:w="967" w:type="dxa"/>
            <w:vAlign w:val="center"/>
          </w:tcPr>
          <w:p w:rsidR="0033259A" w:rsidRPr="00EE5309" w:rsidRDefault="0033259A" w:rsidP="00970B6F">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TBM</w:t>
            </w:r>
          </w:p>
        </w:tc>
        <w:tc>
          <w:tcPr>
            <w:tcW w:w="2022" w:type="dxa"/>
            <w:vAlign w:val="center"/>
          </w:tcPr>
          <w:p w:rsidR="0033259A" w:rsidRPr="00EE5309" w:rsidRDefault="0033259A" w:rsidP="00453558">
            <w:pPr>
              <w:pStyle w:val="NormalWeb"/>
              <w:tabs>
                <w:tab w:val="left" w:pos="0"/>
              </w:tabs>
              <w:spacing w:before="0" w:beforeAutospacing="0" w:after="0" w:afterAutospacing="0"/>
              <w:jc w:val="center"/>
              <w:rPr>
                <w:color w:val="000000" w:themeColor="text1"/>
                <w:sz w:val="20"/>
                <w:szCs w:val="20"/>
              </w:rPr>
            </w:pPr>
            <w:r w:rsidRPr="00EE5309">
              <w:rPr>
                <w:sz w:val="20"/>
                <w:szCs w:val="20"/>
              </w:rPr>
              <w:t>Principal/Standard</w:t>
            </w:r>
          </w:p>
        </w:tc>
        <w:tc>
          <w:tcPr>
            <w:tcW w:w="3793" w:type="dxa"/>
          </w:tcPr>
          <w:p w:rsidR="0033259A" w:rsidRPr="00EE5309" w:rsidRDefault="0033259A" w:rsidP="0023302B">
            <w:pPr>
              <w:pStyle w:val="NormalWeb"/>
              <w:tabs>
                <w:tab w:val="left" w:pos="0"/>
              </w:tabs>
              <w:spacing w:before="0" w:beforeAutospacing="0" w:after="0" w:afterAutospacing="0"/>
              <w:jc w:val="both"/>
              <w:rPr>
                <w:color w:val="000000" w:themeColor="text1"/>
                <w:sz w:val="20"/>
                <w:szCs w:val="20"/>
              </w:rPr>
            </w:pPr>
            <w:r w:rsidRPr="00EE5309">
              <w:rPr>
                <w:color w:val="000000" w:themeColor="text1"/>
                <w:sz w:val="20"/>
                <w:szCs w:val="20"/>
              </w:rPr>
              <w:t>Alți acționari privați – 58,92%</w:t>
            </w:r>
          </w:p>
          <w:p w:rsidR="0033259A" w:rsidRPr="00EE5309" w:rsidRDefault="0033259A" w:rsidP="0023302B">
            <w:pPr>
              <w:pStyle w:val="NormalWeb"/>
              <w:tabs>
                <w:tab w:val="left" w:pos="0"/>
              </w:tabs>
              <w:spacing w:before="0" w:beforeAutospacing="0" w:after="0" w:afterAutospacing="0"/>
              <w:jc w:val="both"/>
              <w:rPr>
                <w:sz w:val="20"/>
                <w:szCs w:val="20"/>
              </w:rPr>
            </w:pPr>
            <w:proofErr w:type="spellStart"/>
            <w:r w:rsidRPr="00EE5309">
              <w:rPr>
                <w:sz w:val="20"/>
                <w:szCs w:val="20"/>
              </w:rPr>
              <w:t>Viehmann</w:t>
            </w:r>
            <w:proofErr w:type="spellEnd"/>
            <w:r w:rsidRPr="00EE5309">
              <w:rPr>
                <w:sz w:val="20"/>
                <w:szCs w:val="20"/>
              </w:rPr>
              <w:t xml:space="preserve"> Radu – 25,92%</w:t>
            </w:r>
          </w:p>
          <w:p w:rsidR="0033259A" w:rsidRPr="00EE5309" w:rsidRDefault="0033259A" w:rsidP="00C9078C">
            <w:pPr>
              <w:pStyle w:val="NormalWeb"/>
              <w:tabs>
                <w:tab w:val="left" w:pos="0"/>
              </w:tabs>
              <w:spacing w:before="0" w:beforeAutospacing="0" w:after="0" w:afterAutospacing="0"/>
              <w:jc w:val="both"/>
              <w:rPr>
                <w:sz w:val="20"/>
                <w:szCs w:val="20"/>
              </w:rPr>
            </w:pPr>
            <w:proofErr w:type="spellStart"/>
            <w:r w:rsidRPr="00EE5309">
              <w:rPr>
                <w:sz w:val="20"/>
                <w:szCs w:val="20"/>
              </w:rPr>
              <w:t>Ciorapciu</w:t>
            </w:r>
            <w:proofErr w:type="spellEnd"/>
            <w:r w:rsidRPr="00EE5309">
              <w:rPr>
                <w:sz w:val="20"/>
                <w:szCs w:val="20"/>
              </w:rPr>
              <w:t xml:space="preserve"> Dana Maria – 15,16%</w:t>
            </w:r>
          </w:p>
        </w:tc>
      </w:tr>
      <w:tr w:rsidR="00152A55" w:rsidRPr="00EE5309" w:rsidTr="008462B8">
        <w:trPr>
          <w:jc w:val="center"/>
        </w:trPr>
        <w:tc>
          <w:tcPr>
            <w:tcW w:w="2852" w:type="dxa"/>
            <w:vAlign w:val="center"/>
          </w:tcPr>
          <w:p w:rsidR="00152A55" w:rsidRPr="00EE5309" w:rsidRDefault="00513AE3" w:rsidP="00513AE3">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S.C. IAR S.A.</w:t>
            </w:r>
          </w:p>
        </w:tc>
        <w:tc>
          <w:tcPr>
            <w:tcW w:w="967" w:type="dxa"/>
            <w:vAlign w:val="center"/>
          </w:tcPr>
          <w:p w:rsidR="00152A55" w:rsidRPr="00EE5309" w:rsidRDefault="00152A55" w:rsidP="00152A55">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IARV</w:t>
            </w:r>
          </w:p>
        </w:tc>
        <w:tc>
          <w:tcPr>
            <w:tcW w:w="2022" w:type="dxa"/>
            <w:vAlign w:val="center"/>
          </w:tcPr>
          <w:p w:rsidR="00152A55" w:rsidRPr="00EE5309" w:rsidRDefault="00152A55" w:rsidP="00453558">
            <w:pPr>
              <w:pStyle w:val="NormalWeb"/>
              <w:tabs>
                <w:tab w:val="left" w:pos="0"/>
              </w:tabs>
              <w:spacing w:before="0" w:beforeAutospacing="0" w:after="0" w:afterAutospacing="0"/>
              <w:jc w:val="center"/>
              <w:rPr>
                <w:color w:val="000000" w:themeColor="text1"/>
                <w:sz w:val="20"/>
                <w:szCs w:val="20"/>
              </w:rPr>
            </w:pPr>
            <w:r w:rsidRPr="00EE5309">
              <w:rPr>
                <w:sz w:val="20"/>
                <w:szCs w:val="20"/>
              </w:rPr>
              <w:t>Principal/Standard</w:t>
            </w:r>
          </w:p>
        </w:tc>
        <w:tc>
          <w:tcPr>
            <w:tcW w:w="3793" w:type="dxa"/>
          </w:tcPr>
          <w:p w:rsidR="00152A55" w:rsidRPr="00EE5309" w:rsidRDefault="00152A55" w:rsidP="00152A55">
            <w:pPr>
              <w:pStyle w:val="NormalWeb"/>
              <w:tabs>
                <w:tab w:val="left" w:pos="0"/>
              </w:tabs>
              <w:spacing w:before="0" w:beforeAutospacing="0" w:after="0" w:afterAutospacing="0"/>
              <w:jc w:val="both"/>
              <w:rPr>
                <w:color w:val="000000" w:themeColor="text1"/>
                <w:sz w:val="20"/>
                <w:szCs w:val="20"/>
              </w:rPr>
            </w:pPr>
            <w:r w:rsidRPr="00EE5309">
              <w:rPr>
                <w:color w:val="000000" w:themeColor="text1"/>
                <w:sz w:val="20"/>
                <w:szCs w:val="20"/>
              </w:rPr>
              <w:t>Ministerul Economiei – 64,89%</w:t>
            </w:r>
          </w:p>
          <w:p w:rsidR="00152A55" w:rsidRPr="00EE5309" w:rsidRDefault="00152A55" w:rsidP="00152A55">
            <w:pPr>
              <w:pStyle w:val="NormalWeb"/>
              <w:tabs>
                <w:tab w:val="left" w:pos="0"/>
              </w:tabs>
              <w:spacing w:before="0" w:beforeAutospacing="0" w:after="0" w:afterAutospacing="0"/>
              <w:jc w:val="both"/>
              <w:rPr>
                <w:color w:val="000000" w:themeColor="text1"/>
                <w:sz w:val="20"/>
                <w:szCs w:val="20"/>
              </w:rPr>
            </w:pPr>
            <w:r w:rsidRPr="00EE5309">
              <w:rPr>
                <w:color w:val="000000" w:themeColor="text1"/>
                <w:sz w:val="20"/>
                <w:szCs w:val="20"/>
              </w:rPr>
              <w:t>Alți acționari privați – 35,11%</w:t>
            </w:r>
          </w:p>
        </w:tc>
      </w:tr>
      <w:tr w:rsidR="00152A55" w:rsidRPr="00EE5309" w:rsidTr="008462B8">
        <w:trPr>
          <w:jc w:val="center"/>
        </w:trPr>
        <w:tc>
          <w:tcPr>
            <w:tcW w:w="2852" w:type="dxa"/>
            <w:vAlign w:val="center"/>
          </w:tcPr>
          <w:p w:rsidR="00152A55" w:rsidRPr="00EE5309" w:rsidRDefault="00513AE3" w:rsidP="00513AE3">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S.C. AVIOANE S.A.</w:t>
            </w:r>
          </w:p>
        </w:tc>
        <w:tc>
          <w:tcPr>
            <w:tcW w:w="967" w:type="dxa"/>
            <w:vAlign w:val="center"/>
          </w:tcPr>
          <w:p w:rsidR="00152A55" w:rsidRPr="00EE5309" w:rsidRDefault="00152A55" w:rsidP="00152A55">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AVIO</w:t>
            </w:r>
          </w:p>
        </w:tc>
        <w:tc>
          <w:tcPr>
            <w:tcW w:w="2022" w:type="dxa"/>
            <w:vAlign w:val="center"/>
          </w:tcPr>
          <w:p w:rsidR="00152A55" w:rsidRPr="00EE5309" w:rsidRDefault="00152A55" w:rsidP="00152A55">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ATS/</w:t>
            </w:r>
            <w:proofErr w:type="spellStart"/>
            <w:r w:rsidRPr="00EE5309">
              <w:rPr>
                <w:color w:val="000000" w:themeColor="text1"/>
                <w:sz w:val="20"/>
                <w:szCs w:val="20"/>
              </w:rPr>
              <w:t>AeRO</w:t>
            </w:r>
            <w:proofErr w:type="spellEnd"/>
            <w:r w:rsidRPr="00EE5309">
              <w:rPr>
                <w:color w:val="000000" w:themeColor="text1"/>
                <w:sz w:val="20"/>
                <w:szCs w:val="20"/>
              </w:rPr>
              <w:t xml:space="preserve"> Standard</w:t>
            </w:r>
          </w:p>
        </w:tc>
        <w:tc>
          <w:tcPr>
            <w:tcW w:w="3793" w:type="dxa"/>
          </w:tcPr>
          <w:p w:rsidR="00152A55" w:rsidRPr="00EE5309" w:rsidRDefault="00152A55" w:rsidP="00152A55">
            <w:pPr>
              <w:pStyle w:val="NormalWeb"/>
              <w:tabs>
                <w:tab w:val="left" w:pos="0"/>
              </w:tabs>
              <w:spacing w:before="0" w:beforeAutospacing="0" w:after="0" w:afterAutospacing="0"/>
              <w:jc w:val="both"/>
              <w:rPr>
                <w:color w:val="000000" w:themeColor="text1"/>
                <w:sz w:val="20"/>
                <w:szCs w:val="20"/>
              </w:rPr>
            </w:pPr>
            <w:r w:rsidRPr="00EE5309">
              <w:rPr>
                <w:color w:val="000000" w:themeColor="text1"/>
                <w:sz w:val="20"/>
                <w:szCs w:val="20"/>
              </w:rPr>
              <w:t>Ministerul Economiei – 80,98%</w:t>
            </w:r>
          </w:p>
          <w:p w:rsidR="00152A55" w:rsidRPr="00EE5309" w:rsidRDefault="00152A55" w:rsidP="00152A55">
            <w:pPr>
              <w:pStyle w:val="NormalWeb"/>
              <w:tabs>
                <w:tab w:val="left" w:pos="0"/>
              </w:tabs>
              <w:spacing w:before="0" w:beforeAutospacing="0" w:after="0" w:afterAutospacing="0"/>
              <w:jc w:val="both"/>
              <w:rPr>
                <w:color w:val="000000" w:themeColor="text1"/>
                <w:sz w:val="20"/>
                <w:szCs w:val="20"/>
              </w:rPr>
            </w:pPr>
            <w:r w:rsidRPr="00EE5309">
              <w:rPr>
                <w:color w:val="000000" w:themeColor="text1"/>
                <w:sz w:val="20"/>
                <w:szCs w:val="20"/>
              </w:rPr>
              <w:t>Alți acționari privați – 19,02%</w:t>
            </w:r>
          </w:p>
        </w:tc>
      </w:tr>
      <w:tr w:rsidR="00152A55" w:rsidRPr="00EE5309" w:rsidTr="008462B8">
        <w:trPr>
          <w:jc w:val="center"/>
        </w:trPr>
        <w:tc>
          <w:tcPr>
            <w:tcW w:w="2852" w:type="dxa"/>
            <w:vAlign w:val="center"/>
          </w:tcPr>
          <w:p w:rsidR="00152A55" w:rsidRPr="00EE5309" w:rsidRDefault="00513AE3" w:rsidP="00513AE3">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S.C. ROMAERO S.A.</w:t>
            </w:r>
          </w:p>
        </w:tc>
        <w:tc>
          <w:tcPr>
            <w:tcW w:w="967" w:type="dxa"/>
            <w:vAlign w:val="center"/>
          </w:tcPr>
          <w:p w:rsidR="00152A55" w:rsidRPr="00EE5309" w:rsidRDefault="00152A55" w:rsidP="00152A55">
            <w:pPr>
              <w:pStyle w:val="NormalWeb"/>
              <w:tabs>
                <w:tab w:val="left" w:pos="0"/>
              </w:tabs>
              <w:spacing w:before="0" w:beforeAutospacing="0" w:after="0" w:afterAutospacing="0"/>
              <w:jc w:val="center"/>
              <w:rPr>
                <w:color w:val="000000" w:themeColor="text1"/>
                <w:sz w:val="20"/>
                <w:szCs w:val="20"/>
              </w:rPr>
            </w:pPr>
            <w:r w:rsidRPr="00EE5309">
              <w:rPr>
                <w:color w:val="000000" w:themeColor="text1"/>
                <w:sz w:val="20"/>
                <w:szCs w:val="20"/>
              </w:rPr>
              <w:t>RORX</w:t>
            </w:r>
          </w:p>
        </w:tc>
        <w:tc>
          <w:tcPr>
            <w:tcW w:w="2022" w:type="dxa"/>
            <w:vAlign w:val="center"/>
          </w:tcPr>
          <w:p w:rsidR="00152A55" w:rsidRPr="00EE5309" w:rsidRDefault="00152A55" w:rsidP="00152A55">
            <w:pPr>
              <w:pStyle w:val="NormalWeb"/>
              <w:tabs>
                <w:tab w:val="left" w:pos="0"/>
              </w:tabs>
              <w:spacing w:before="0" w:beforeAutospacing="0" w:after="0" w:afterAutospacing="0"/>
              <w:jc w:val="center"/>
              <w:rPr>
                <w:sz w:val="20"/>
                <w:szCs w:val="20"/>
              </w:rPr>
            </w:pPr>
            <w:r w:rsidRPr="00EE5309">
              <w:rPr>
                <w:color w:val="000000" w:themeColor="text1"/>
                <w:sz w:val="20"/>
                <w:szCs w:val="20"/>
              </w:rPr>
              <w:t>ATS/</w:t>
            </w:r>
            <w:proofErr w:type="spellStart"/>
            <w:r w:rsidRPr="00EE5309">
              <w:rPr>
                <w:color w:val="000000" w:themeColor="text1"/>
                <w:sz w:val="20"/>
                <w:szCs w:val="20"/>
              </w:rPr>
              <w:t>AeRO</w:t>
            </w:r>
            <w:proofErr w:type="spellEnd"/>
            <w:r w:rsidRPr="00EE5309">
              <w:rPr>
                <w:color w:val="000000" w:themeColor="text1"/>
                <w:sz w:val="20"/>
                <w:szCs w:val="20"/>
              </w:rPr>
              <w:t xml:space="preserve"> Standard</w:t>
            </w:r>
          </w:p>
        </w:tc>
        <w:tc>
          <w:tcPr>
            <w:tcW w:w="3793" w:type="dxa"/>
          </w:tcPr>
          <w:p w:rsidR="00152A55" w:rsidRPr="00EE5309" w:rsidRDefault="00152A55" w:rsidP="00152A55">
            <w:pPr>
              <w:pStyle w:val="NormalWeb"/>
              <w:tabs>
                <w:tab w:val="left" w:pos="0"/>
              </w:tabs>
              <w:spacing w:before="0" w:beforeAutospacing="0" w:after="0" w:afterAutospacing="0"/>
              <w:jc w:val="both"/>
              <w:rPr>
                <w:sz w:val="20"/>
                <w:szCs w:val="20"/>
              </w:rPr>
            </w:pPr>
            <w:r w:rsidRPr="00EE5309">
              <w:rPr>
                <w:sz w:val="20"/>
                <w:szCs w:val="20"/>
              </w:rPr>
              <w:t>Ministerul Economiei – 56,72%</w:t>
            </w:r>
          </w:p>
          <w:p w:rsidR="00152A55" w:rsidRPr="00EE5309" w:rsidRDefault="00152A55" w:rsidP="00152A55">
            <w:pPr>
              <w:pStyle w:val="NormalWeb"/>
              <w:tabs>
                <w:tab w:val="left" w:pos="0"/>
              </w:tabs>
              <w:spacing w:before="0" w:beforeAutospacing="0" w:after="0" w:afterAutospacing="0"/>
              <w:jc w:val="both"/>
              <w:rPr>
                <w:sz w:val="20"/>
                <w:szCs w:val="20"/>
              </w:rPr>
            </w:pPr>
            <w:r w:rsidRPr="00EE5309">
              <w:rPr>
                <w:sz w:val="20"/>
                <w:szCs w:val="20"/>
              </w:rPr>
              <w:t>S.I.F. Muntenia – 23,24%</w:t>
            </w:r>
          </w:p>
          <w:p w:rsidR="00152A55" w:rsidRPr="00EE5309" w:rsidRDefault="00152A55" w:rsidP="00152A55">
            <w:pPr>
              <w:pStyle w:val="NormalWeb"/>
              <w:tabs>
                <w:tab w:val="left" w:pos="0"/>
              </w:tabs>
              <w:spacing w:before="0" w:beforeAutospacing="0" w:after="0" w:afterAutospacing="0"/>
              <w:jc w:val="both"/>
              <w:rPr>
                <w:sz w:val="20"/>
                <w:szCs w:val="20"/>
              </w:rPr>
            </w:pPr>
            <w:r w:rsidRPr="00EE5309">
              <w:rPr>
                <w:sz w:val="20"/>
                <w:szCs w:val="20"/>
              </w:rPr>
              <w:t>Fondul Proprietatea S.A. – 18,88%</w:t>
            </w:r>
          </w:p>
          <w:p w:rsidR="00152A55" w:rsidRPr="00EE5309" w:rsidRDefault="00152A55" w:rsidP="00152A55">
            <w:pPr>
              <w:pStyle w:val="NormalWeb"/>
              <w:tabs>
                <w:tab w:val="left" w:pos="0"/>
              </w:tabs>
              <w:spacing w:before="0" w:beforeAutospacing="0" w:after="0" w:afterAutospacing="0"/>
              <w:jc w:val="both"/>
              <w:rPr>
                <w:color w:val="000000" w:themeColor="text1"/>
                <w:sz w:val="20"/>
                <w:szCs w:val="20"/>
              </w:rPr>
            </w:pPr>
            <w:r w:rsidRPr="00EE5309">
              <w:rPr>
                <w:sz w:val="20"/>
                <w:szCs w:val="20"/>
              </w:rPr>
              <w:t>Alți acționari privați – 1,16%</w:t>
            </w:r>
          </w:p>
        </w:tc>
      </w:tr>
    </w:tbl>
    <w:p w:rsidR="00736C50" w:rsidRPr="00EE5309" w:rsidRDefault="008462B8" w:rsidP="007228F4">
      <w:pPr>
        <w:pStyle w:val="NormalWeb"/>
        <w:spacing w:before="0" w:beforeAutospacing="0" w:after="0" w:afterAutospacing="0"/>
        <w:ind w:firstLine="567"/>
        <w:jc w:val="both"/>
        <w:rPr>
          <w:color w:val="000000" w:themeColor="text1"/>
          <w:sz w:val="20"/>
          <w:szCs w:val="20"/>
        </w:rPr>
      </w:pPr>
      <w:r w:rsidRPr="00EE5309">
        <w:rPr>
          <w:color w:val="000000" w:themeColor="text1"/>
          <w:sz w:val="20"/>
          <w:szCs w:val="20"/>
        </w:rPr>
        <w:t xml:space="preserve">Sursa: Preluare </w:t>
      </w:r>
      <w:r w:rsidR="00AB106D" w:rsidRPr="00EE5309">
        <w:rPr>
          <w:color w:val="000000" w:themeColor="text1"/>
          <w:sz w:val="20"/>
          <w:szCs w:val="20"/>
        </w:rPr>
        <w:t>ș</w:t>
      </w:r>
      <w:r w:rsidR="00747162" w:rsidRPr="00EE5309">
        <w:rPr>
          <w:color w:val="000000" w:themeColor="text1"/>
          <w:sz w:val="20"/>
          <w:szCs w:val="20"/>
        </w:rPr>
        <w:t xml:space="preserve">i prelucrare proprie a autorului după </w:t>
      </w:r>
      <w:r w:rsidR="00AB106D" w:rsidRPr="00EE5309">
        <w:rPr>
          <w:color w:val="000000" w:themeColor="text1"/>
          <w:sz w:val="20"/>
          <w:szCs w:val="20"/>
        </w:rPr>
        <w:t xml:space="preserve">datele preluate de pe site-ul </w:t>
      </w:r>
      <w:r w:rsidR="00747162" w:rsidRPr="00EE5309">
        <w:rPr>
          <w:color w:val="000000" w:themeColor="text1"/>
          <w:sz w:val="20"/>
          <w:szCs w:val="20"/>
        </w:rPr>
        <w:t>www.bvb.ro</w:t>
      </w:r>
    </w:p>
    <w:p w:rsidR="00EB07C0" w:rsidRPr="00EE5309" w:rsidRDefault="00EB07C0" w:rsidP="007228F4">
      <w:pPr>
        <w:pStyle w:val="NormalWeb"/>
        <w:spacing w:before="0" w:beforeAutospacing="0" w:after="0" w:afterAutospacing="0"/>
        <w:ind w:firstLine="567"/>
        <w:jc w:val="both"/>
        <w:rPr>
          <w:color w:val="000000" w:themeColor="text1"/>
        </w:rPr>
      </w:pPr>
    </w:p>
    <w:p w:rsidR="00300D17" w:rsidRPr="00EE5309" w:rsidRDefault="00EB07C0" w:rsidP="00300D17">
      <w:pPr>
        <w:pStyle w:val="NormalWeb"/>
        <w:spacing w:before="0" w:beforeAutospacing="0" w:after="0" w:afterAutospacing="0"/>
        <w:ind w:firstLine="567"/>
        <w:jc w:val="both"/>
        <w:rPr>
          <w:bCs/>
        </w:rPr>
      </w:pPr>
      <w:r w:rsidRPr="00EE5309">
        <w:rPr>
          <w:b/>
          <w:i/>
          <w:color w:val="000000" w:themeColor="text1"/>
        </w:rPr>
        <w:t>S.C. AEROSTAR S.A.</w:t>
      </w:r>
      <w:r w:rsidRPr="00EE5309">
        <w:rPr>
          <w:color w:val="000000" w:themeColor="text1"/>
        </w:rPr>
        <w:t xml:space="preserve"> </w:t>
      </w:r>
      <w:r w:rsidRPr="00EE5309">
        <w:rPr>
          <w:bCs/>
        </w:rPr>
        <w:t xml:space="preserve">aderă în mod ferm, constant </w:t>
      </w:r>
      <w:proofErr w:type="spellStart"/>
      <w:r w:rsidRPr="00EE5309">
        <w:rPr>
          <w:bCs/>
        </w:rPr>
        <w:t>şi</w:t>
      </w:r>
      <w:proofErr w:type="spellEnd"/>
      <w:r w:rsidRPr="00EE5309">
        <w:rPr>
          <w:bCs/>
        </w:rPr>
        <w:t xml:space="preserve"> transparent la obiectivele de </w:t>
      </w:r>
      <w:proofErr w:type="spellStart"/>
      <w:r w:rsidRPr="00EE5309">
        <w:rPr>
          <w:bCs/>
        </w:rPr>
        <w:t>creştere</w:t>
      </w:r>
      <w:proofErr w:type="spellEnd"/>
      <w:r w:rsidRPr="00EE5309">
        <w:rPr>
          <w:bCs/>
        </w:rPr>
        <w:t xml:space="preserve"> </w:t>
      </w:r>
      <w:proofErr w:type="spellStart"/>
      <w:r w:rsidRPr="00EE5309">
        <w:rPr>
          <w:bCs/>
        </w:rPr>
        <w:t>şi</w:t>
      </w:r>
      <w:proofErr w:type="spellEnd"/>
      <w:r w:rsidRPr="00EE5309">
        <w:rPr>
          <w:bCs/>
        </w:rPr>
        <w:t xml:space="preserve"> dezvoltare, creând resurse </w:t>
      </w:r>
      <w:proofErr w:type="spellStart"/>
      <w:r w:rsidRPr="00EE5309">
        <w:rPr>
          <w:bCs/>
        </w:rPr>
        <w:t>şi</w:t>
      </w:r>
      <w:proofErr w:type="spellEnd"/>
      <w:r w:rsidRPr="00EE5309">
        <w:rPr>
          <w:bCs/>
        </w:rPr>
        <w:t xml:space="preserve"> valoare - </w:t>
      </w:r>
      <w:proofErr w:type="spellStart"/>
      <w:r w:rsidRPr="00EE5309">
        <w:rPr>
          <w:bCs/>
        </w:rPr>
        <w:t>împărtăşite</w:t>
      </w:r>
      <w:proofErr w:type="spellEnd"/>
      <w:r w:rsidRPr="00EE5309">
        <w:rPr>
          <w:bCs/>
        </w:rPr>
        <w:t xml:space="preserve"> pentru a </w:t>
      </w:r>
      <w:proofErr w:type="spellStart"/>
      <w:r w:rsidRPr="00EE5309">
        <w:rPr>
          <w:bCs/>
        </w:rPr>
        <w:t>îmbunătăţi</w:t>
      </w:r>
      <w:proofErr w:type="spellEnd"/>
      <w:r w:rsidRPr="00EE5309">
        <w:rPr>
          <w:bCs/>
        </w:rPr>
        <w:t xml:space="preserve"> </w:t>
      </w:r>
      <w:proofErr w:type="spellStart"/>
      <w:r w:rsidRPr="00EE5309">
        <w:rPr>
          <w:bCs/>
        </w:rPr>
        <w:t>viaţa</w:t>
      </w:r>
      <w:proofErr w:type="spellEnd"/>
      <w:r w:rsidRPr="00EE5309">
        <w:rPr>
          <w:bCs/>
        </w:rPr>
        <w:t xml:space="preserve"> </w:t>
      </w:r>
      <w:proofErr w:type="spellStart"/>
      <w:r w:rsidRPr="00EE5309">
        <w:rPr>
          <w:bCs/>
        </w:rPr>
        <w:t>şi</w:t>
      </w:r>
      <w:proofErr w:type="spellEnd"/>
      <w:r w:rsidRPr="00EE5309">
        <w:rPr>
          <w:bCs/>
        </w:rPr>
        <w:t xml:space="preserve"> a asigura un viitor durabil </w:t>
      </w:r>
      <w:proofErr w:type="spellStart"/>
      <w:r w:rsidRPr="00EE5309">
        <w:rPr>
          <w:bCs/>
        </w:rPr>
        <w:t>şi</w:t>
      </w:r>
      <w:proofErr w:type="spellEnd"/>
      <w:r w:rsidRPr="00EE5309">
        <w:rPr>
          <w:bCs/>
        </w:rPr>
        <w:t xml:space="preserve"> sustenabil. Afacerile companiei pun în centrul </w:t>
      </w:r>
      <w:proofErr w:type="spellStart"/>
      <w:r w:rsidRPr="00EE5309">
        <w:rPr>
          <w:bCs/>
        </w:rPr>
        <w:t>atenţiei</w:t>
      </w:r>
      <w:proofErr w:type="spellEnd"/>
      <w:r w:rsidRPr="00EE5309">
        <w:rPr>
          <w:bCs/>
        </w:rPr>
        <w:t xml:space="preserve"> </w:t>
      </w:r>
      <w:proofErr w:type="spellStart"/>
      <w:r w:rsidRPr="00EE5309">
        <w:rPr>
          <w:bCs/>
        </w:rPr>
        <w:t>creşterea</w:t>
      </w:r>
      <w:proofErr w:type="spellEnd"/>
      <w:r w:rsidRPr="00EE5309">
        <w:rPr>
          <w:bCs/>
        </w:rPr>
        <w:t xml:space="preserve"> </w:t>
      </w:r>
      <w:proofErr w:type="spellStart"/>
      <w:r w:rsidRPr="00EE5309">
        <w:rPr>
          <w:bCs/>
        </w:rPr>
        <w:t>performanţei</w:t>
      </w:r>
      <w:proofErr w:type="spellEnd"/>
      <w:r w:rsidRPr="00EE5309">
        <w:rPr>
          <w:bCs/>
        </w:rPr>
        <w:t xml:space="preserve"> prin </w:t>
      </w:r>
      <w:proofErr w:type="spellStart"/>
      <w:r w:rsidRPr="00EE5309">
        <w:rPr>
          <w:bCs/>
        </w:rPr>
        <w:t>îmbunătăţirea</w:t>
      </w:r>
      <w:proofErr w:type="spellEnd"/>
      <w:r w:rsidRPr="00EE5309">
        <w:rPr>
          <w:bCs/>
        </w:rPr>
        <w:t xml:space="preserve"> continuă </w:t>
      </w:r>
      <w:proofErr w:type="spellStart"/>
      <w:r w:rsidRPr="00EE5309">
        <w:rPr>
          <w:bCs/>
        </w:rPr>
        <w:t>şi</w:t>
      </w:r>
      <w:proofErr w:type="spellEnd"/>
      <w:r w:rsidRPr="00EE5309">
        <w:rPr>
          <w:bCs/>
        </w:rPr>
        <w:t xml:space="preserve"> dezvoltarea profesională a </w:t>
      </w:r>
      <w:proofErr w:type="spellStart"/>
      <w:r w:rsidRPr="00EE5309">
        <w:rPr>
          <w:bCs/>
        </w:rPr>
        <w:t>angajaţ</w:t>
      </w:r>
      <w:r w:rsidR="0040791A" w:rsidRPr="00EE5309">
        <w:rPr>
          <w:bCs/>
        </w:rPr>
        <w:t>ilor</w:t>
      </w:r>
      <w:proofErr w:type="spellEnd"/>
      <w:r w:rsidR="0040791A" w:rsidRPr="00EE5309">
        <w:rPr>
          <w:bCs/>
        </w:rPr>
        <w:t xml:space="preserve"> în spiritul </w:t>
      </w:r>
      <w:proofErr w:type="spellStart"/>
      <w:r w:rsidR="0040791A" w:rsidRPr="00EE5309">
        <w:rPr>
          <w:bCs/>
        </w:rPr>
        <w:t>integrităţii</w:t>
      </w:r>
      <w:proofErr w:type="spellEnd"/>
      <w:r w:rsidR="00006C99">
        <w:rPr>
          <w:bCs/>
        </w:rPr>
        <w:t xml:space="preserve">, </w:t>
      </w:r>
      <w:proofErr w:type="spellStart"/>
      <w:r w:rsidR="00006C99">
        <w:rPr>
          <w:bCs/>
        </w:rPr>
        <w:t>inovaţiei</w:t>
      </w:r>
      <w:proofErr w:type="spellEnd"/>
      <w:r w:rsidR="00006C99">
        <w:rPr>
          <w:bCs/>
        </w:rPr>
        <w:t xml:space="preserve"> </w:t>
      </w:r>
      <w:proofErr w:type="spellStart"/>
      <w:r w:rsidR="00006C99">
        <w:rPr>
          <w:bCs/>
        </w:rPr>
        <w:t>şi</w:t>
      </w:r>
      <w:proofErr w:type="spellEnd"/>
      <w:r w:rsidR="00006C99">
        <w:rPr>
          <w:bCs/>
        </w:rPr>
        <w:t xml:space="preserve"> </w:t>
      </w:r>
      <w:proofErr w:type="spellStart"/>
      <w:r w:rsidR="00006C99">
        <w:rPr>
          <w:bCs/>
        </w:rPr>
        <w:t>iniţiativei</w:t>
      </w:r>
      <w:proofErr w:type="spellEnd"/>
      <w:r w:rsidR="00006C99">
        <w:rPr>
          <w:bCs/>
        </w:rPr>
        <w:t>. Creșterea competitivității ș</w:t>
      </w:r>
      <w:r w:rsidR="0040791A" w:rsidRPr="00EE5309">
        <w:rPr>
          <w:bCs/>
        </w:rPr>
        <w:t xml:space="preserve">i a </w:t>
      </w:r>
      <w:proofErr w:type="spellStart"/>
      <w:r w:rsidR="0040791A" w:rsidRPr="00EE5309">
        <w:rPr>
          <w:bCs/>
        </w:rPr>
        <w:t>productivităţ</w:t>
      </w:r>
      <w:r w:rsidRPr="00EE5309">
        <w:rPr>
          <w:bCs/>
        </w:rPr>
        <w:t>ii</w:t>
      </w:r>
      <w:proofErr w:type="spellEnd"/>
      <w:r w:rsidRPr="00EE5309">
        <w:rPr>
          <w:bCs/>
        </w:rPr>
        <w:t xml:space="preserve"> sunt co</w:t>
      </w:r>
      <w:r w:rsidR="0040791A" w:rsidRPr="00EE5309">
        <w:rPr>
          <w:bCs/>
        </w:rPr>
        <w:t xml:space="preserve">ordonatele prin care se dezvoltă la </w:t>
      </w:r>
      <w:proofErr w:type="spellStart"/>
      <w:r w:rsidR="0040791A" w:rsidRPr="00EE5309">
        <w:rPr>
          <w:bCs/>
        </w:rPr>
        <w:t>angajaţ</w:t>
      </w:r>
      <w:r w:rsidRPr="00EE5309">
        <w:rPr>
          <w:bCs/>
        </w:rPr>
        <w:t>i</w:t>
      </w:r>
      <w:proofErr w:type="spellEnd"/>
      <w:r w:rsidRPr="00EE5309">
        <w:rPr>
          <w:bCs/>
        </w:rPr>
        <w:t xml:space="preserve"> cultura modelului d</w:t>
      </w:r>
      <w:r w:rsidR="0040791A" w:rsidRPr="00EE5309">
        <w:rPr>
          <w:bCs/>
        </w:rPr>
        <w:t xml:space="preserve">e succes din economia productivă. AEROSTAR se concentrează asupra îndeplinirii </w:t>
      </w:r>
      <w:proofErr w:type="spellStart"/>
      <w:r w:rsidR="0040791A" w:rsidRPr="00EE5309">
        <w:rPr>
          <w:bCs/>
        </w:rPr>
        <w:t>cerinţelor</w:t>
      </w:r>
      <w:proofErr w:type="spellEnd"/>
      <w:r w:rsidR="0040791A" w:rsidRPr="00EE5309">
        <w:rPr>
          <w:bCs/>
        </w:rPr>
        <w:t xml:space="preserve"> </w:t>
      </w:r>
      <w:proofErr w:type="spellStart"/>
      <w:r w:rsidR="0040791A" w:rsidRPr="00EE5309">
        <w:rPr>
          <w:bCs/>
        </w:rPr>
        <w:t>şi</w:t>
      </w:r>
      <w:proofErr w:type="spellEnd"/>
      <w:r w:rsidR="0040791A" w:rsidRPr="00EE5309">
        <w:rPr>
          <w:bCs/>
        </w:rPr>
        <w:t xml:space="preserve"> </w:t>
      </w:r>
      <w:proofErr w:type="spellStart"/>
      <w:r w:rsidR="0040791A" w:rsidRPr="00EE5309">
        <w:rPr>
          <w:bCs/>
        </w:rPr>
        <w:t>aşteptă</w:t>
      </w:r>
      <w:r w:rsidRPr="00EE5309">
        <w:rPr>
          <w:bCs/>
        </w:rPr>
        <w:t>rilor</w:t>
      </w:r>
      <w:proofErr w:type="spellEnd"/>
      <w:r w:rsidRPr="00EE5309">
        <w:rPr>
          <w:bCs/>
        </w:rPr>
        <w:t xml:space="preserve"> </w:t>
      </w:r>
      <w:proofErr w:type="spellStart"/>
      <w:r w:rsidRPr="00EE5309">
        <w:rPr>
          <w:bCs/>
        </w:rPr>
        <w:t>c</w:t>
      </w:r>
      <w:r w:rsidR="0040791A" w:rsidRPr="00EE5309">
        <w:rPr>
          <w:bCs/>
        </w:rPr>
        <w:t>lienţilor</w:t>
      </w:r>
      <w:proofErr w:type="spellEnd"/>
      <w:r w:rsidR="0040791A" w:rsidRPr="00EE5309">
        <w:rPr>
          <w:bCs/>
        </w:rPr>
        <w:t xml:space="preserve"> săi, </w:t>
      </w:r>
      <w:proofErr w:type="spellStart"/>
      <w:r w:rsidR="0040791A" w:rsidRPr="00EE5309">
        <w:rPr>
          <w:bCs/>
        </w:rPr>
        <w:t>acţionând</w:t>
      </w:r>
      <w:proofErr w:type="spellEnd"/>
      <w:r w:rsidR="0040791A" w:rsidRPr="00EE5309">
        <w:rPr>
          <w:bCs/>
        </w:rPr>
        <w:t xml:space="preserve"> pentru </w:t>
      </w:r>
      <w:proofErr w:type="spellStart"/>
      <w:r w:rsidR="0040791A" w:rsidRPr="00EE5309">
        <w:rPr>
          <w:bCs/>
        </w:rPr>
        <w:t>îmbunătăţirea</w:t>
      </w:r>
      <w:proofErr w:type="spellEnd"/>
      <w:r w:rsidR="0040791A" w:rsidRPr="00EE5309">
        <w:rPr>
          <w:bCs/>
        </w:rPr>
        <w:t xml:space="preserve"> continuă</w:t>
      </w:r>
      <w:r w:rsidRPr="00EE5309">
        <w:rPr>
          <w:bCs/>
        </w:rPr>
        <w:t xml:space="preserve"> la toate nivelele.</w:t>
      </w:r>
      <w:r w:rsidR="00982E79" w:rsidRPr="00EE5309">
        <w:rPr>
          <w:bCs/>
        </w:rPr>
        <w:t xml:space="preserve"> (</w:t>
      </w:r>
      <w:hyperlink r:id="rId20" w:history="1">
        <w:r w:rsidR="00982E79" w:rsidRPr="00EE5309">
          <w:rPr>
            <w:rStyle w:val="Hyperlink"/>
            <w:bCs/>
          </w:rPr>
          <w:t>http://www.aerostar.ro/dezvoltare</w:t>
        </w:r>
      </w:hyperlink>
      <w:r w:rsidR="00982E79" w:rsidRPr="00EE5309">
        <w:rPr>
          <w:bCs/>
        </w:rPr>
        <w:t>)</w:t>
      </w:r>
    </w:p>
    <w:p w:rsidR="00300D17" w:rsidRPr="00EE5309" w:rsidRDefault="00EB07C0" w:rsidP="00300D17">
      <w:pPr>
        <w:pStyle w:val="NormalWeb"/>
        <w:spacing w:before="0" w:beforeAutospacing="0" w:after="0" w:afterAutospacing="0"/>
        <w:ind w:firstLine="567"/>
        <w:jc w:val="both"/>
      </w:pPr>
      <w:r w:rsidRPr="00EE5309">
        <w:t xml:space="preserve">Misiunea </w:t>
      </w:r>
      <w:r w:rsidR="00300D17" w:rsidRPr="00EE5309">
        <w:t>companiei are î</w:t>
      </w:r>
      <w:r w:rsidRPr="00EE5309">
        <w:t xml:space="preserve">n vedere </w:t>
      </w:r>
      <w:r w:rsidRPr="00EE5309">
        <w:rPr>
          <w:bCs/>
          <w:i/>
        </w:rPr>
        <w:t>trei linii de afaceri</w:t>
      </w:r>
      <w:r w:rsidRPr="00EE5309">
        <w:t xml:space="preserve">, toate din domeniul </w:t>
      </w:r>
      <w:r w:rsidR="00300D17" w:rsidRPr="00EE5309">
        <w:rPr>
          <w:bCs/>
        </w:rPr>
        <w:t xml:space="preserve">aeronautică </w:t>
      </w:r>
      <w:proofErr w:type="spellStart"/>
      <w:r w:rsidR="00300D17" w:rsidRPr="00EE5309">
        <w:rPr>
          <w:bCs/>
        </w:rPr>
        <w:t>şi</w:t>
      </w:r>
      <w:proofErr w:type="spellEnd"/>
      <w:r w:rsidR="00300D17" w:rsidRPr="00EE5309">
        <w:rPr>
          <w:bCs/>
        </w:rPr>
        <w:t xml:space="preserve"> apă</w:t>
      </w:r>
      <w:r w:rsidRPr="00EE5309">
        <w:rPr>
          <w:bCs/>
        </w:rPr>
        <w:t>rare</w:t>
      </w:r>
      <w:r w:rsidR="00300D17" w:rsidRPr="00EE5309">
        <w:rPr>
          <w:bCs/>
        </w:rPr>
        <w:t>,</w:t>
      </w:r>
      <w:r w:rsidR="00300D17" w:rsidRPr="00EE5309">
        <w:rPr>
          <w:b/>
          <w:bCs/>
        </w:rPr>
        <w:t xml:space="preserve"> </w:t>
      </w:r>
      <w:proofErr w:type="spellStart"/>
      <w:r w:rsidR="00300D17" w:rsidRPr="00EE5309">
        <w:rPr>
          <w:bCs/>
        </w:rPr>
        <w:t>şi</w:t>
      </w:r>
      <w:proofErr w:type="spellEnd"/>
      <w:r w:rsidR="00300D17" w:rsidRPr="00EE5309">
        <w:rPr>
          <w:bCs/>
        </w:rPr>
        <w:t xml:space="preserve"> </w:t>
      </w:r>
      <w:r w:rsidR="00300D17" w:rsidRPr="00EE5309">
        <w:t>anume</w:t>
      </w:r>
      <w:r w:rsidRPr="00EE5309">
        <w:t>:</w:t>
      </w:r>
    </w:p>
    <w:p w:rsidR="00300D17" w:rsidRPr="00EE5309" w:rsidRDefault="00EB07C0" w:rsidP="00300D17">
      <w:pPr>
        <w:pStyle w:val="NormalWeb"/>
        <w:numPr>
          <w:ilvl w:val="0"/>
          <w:numId w:val="17"/>
        </w:numPr>
        <w:tabs>
          <w:tab w:val="left" w:pos="851"/>
        </w:tabs>
        <w:spacing w:before="0" w:beforeAutospacing="0" w:after="0" w:afterAutospacing="0"/>
        <w:ind w:left="0" w:firstLine="567"/>
        <w:jc w:val="both"/>
      </w:pPr>
      <w:proofErr w:type="spellStart"/>
      <w:r w:rsidRPr="00EE5309">
        <w:lastRenderedPageBreak/>
        <w:t>Men</w:t>
      </w:r>
      <w:r w:rsidR="00300D17" w:rsidRPr="00EE5309">
        <w:t>ţinerea</w:t>
      </w:r>
      <w:proofErr w:type="spellEnd"/>
      <w:r w:rsidR="00300D17" w:rsidRPr="00EE5309">
        <w:t xml:space="preserve"> statutului de furnizor în domeniul sistemelor de </w:t>
      </w:r>
      <w:proofErr w:type="spellStart"/>
      <w:r w:rsidR="00300D17" w:rsidRPr="00EE5309">
        <w:t>aviaţie</w:t>
      </w:r>
      <w:proofErr w:type="spellEnd"/>
      <w:r w:rsidR="00300D17" w:rsidRPr="00EE5309">
        <w:t xml:space="preserve"> </w:t>
      </w:r>
      <w:proofErr w:type="spellStart"/>
      <w:r w:rsidR="00300D17" w:rsidRPr="00EE5309">
        <w:t>ş</w:t>
      </w:r>
      <w:r w:rsidRPr="00EE5309">
        <w:t>i</w:t>
      </w:r>
      <w:proofErr w:type="spellEnd"/>
      <w:r w:rsidRPr="00EE5309">
        <w:t xml:space="preserve"> a sistemelor defensiv</w:t>
      </w:r>
      <w:r w:rsidR="00300D17" w:rsidRPr="00EE5309">
        <w:t xml:space="preserve">e terestre pentru Ministerul Apărării </w:t>
      </w:r>
      <w:proofErr w:type="spellStart"/>
      <w:r w:rsidR="00300D17" w:rsidRPr="00EE5309">
        <w:t>Naţionale</w:t>
      </w:r>
      <w:proofErr w:type="spellEnd"/>
      <w:r w:rsidR="00300D17" w:rsidRPr="00EE5309">
        <w:t xml:space="preserve"> al României </w:t>
      </w:r>
      <w:proofErr w:type="spellStart"/>
      <w:r w:rsidR="00300D17" w:rsidRPr="00EE5309">
        <w:t>şi</w:t>
      </w:r>
      <w:proofErr w:type="spellEnd"/>
      <w:r w:rsidR="00300D17" w:rsidRPr="00EE5309">
        <w:t xml:space="preserve"> pentru </w:t>
      </w:r>
      <w:proofErr w:type="spellStart"/>
      <w:r w:rsidR="00300D17" w:rsidRPr="00EE5309">
        <w:t>alţ</w:t>
      </w:r>
      <w:r w:rsidRPr="00EE5309">
        <w:t>i</w:t>
      </w:r>
      <w:proofErr w:type="spellEnd"/>
      <w:r w:rsidRPr="00EE5309">
        <w:t xml:space="preserve"> b</w:t>
      </w:r>
      <w:r w:rsidR="00300D17" w:rsidRPr="00EE5309">
        <w:t xml:space="preserve">eneficiari, domeniu de </w:t>
      </w:r>
      <w:proofErr w:type="spellStart"/>
      <w:r w:rsidR="00300D17" w:rsidRPr="00EE5309">
        <w:t>activităţ</w:t>
      </w:r>
      <w:r w:rsidRPr="00EE5309">
        <w:t>i</w:t>
      </w:r>
      <w:proofErr w:type="spellEnd"/>
      <w:r w:rsidRPr="00EE5309">
        <w:t xml:space="preserve"> din care </w:t>
      </w:r>
      <w:r w:rsidR="00300D17" w:rsidRPr="00EE5309">
        <w:t>să se realizeze</w:t>
      </w:r>
      <w:r w:rsidRPr="00EE5309">
        <w:t xml:space="preserve"> </w:t>
      </w:r>
      <w:r w:rsidRPr="00EE5309">
        <w:rPr>
          <w:bCs/>
        </w:rPr>
        <w:t>peste 20% din cifra de afaceri</w:t>
      </w:r>
      <w:r w:rsidR="00300D17" w:rsidRPr="00EE5309">
        <w:t>;</w:t>
      </w:r>
    </w:p>
    <w:p w:rsidR="00300D17" w:rsidRPr="00EE5309" w:rsidRDefault="00300D17" w:rsidP="00300D17">
      <w:pPr>
        <w:pStyle w:val="NormalWeb"/>
        <w:numPr>
          <w:ilvl w:val="0"/>
          <w:numId w:val="17"/>
        </w:numPr>
        <w:tabs>
          <w:tab w:val="left" w:pos="851"/>
        </w:tabs>
        <w:spacing w:before="0" w:beforeAutospacing="0" w:after="0" w:afterAutospacing="0"/>
        <w:ind w:left="0" w:firstLine="567"/>
        <w:jc w:val="both"/>
      </w:pPr>
      <w:r w:rsidRPr="00EE5309">
        <w:t xml:space="preserve">Consolidarea </w:t>
      </w:r>
      <w:proofErr w:type="spellStart"/>
      <w:r w:rsidRPr="00EE5309">
        <w:t>poziţ</w:t>
      </w:r>
      <w:r w:rsidR="00EB07C0" w:rsidRPr="00EE5309">
        <w:t>iei</w:t>
      </w:r>
      <w:proofErr w:type="spellEnd"/>
      <w:r w:rsidR="00EB07C0" w:rsidRPr="00EE5309">
        <w:t xml:space="preserve"> </w:t>
      </w:r>
      <w:r w:rsidRPr="00EE5309">
        <w:t>companiei</w:t>
      </w:r>
      <w:r w:rsidR="00EB07C0" w:rsidRPr="00EE5309">
        <w:t xml:space="preserve"> ca </w:t>
      </w:r>
      <w:proofErr w:type="spellStart"/>
      <w:r w:rsidR="00EB07C0" w:rsidRPr="00EE5309">
        <w:t>subfurnizor</w:t>
      </w:r>
      <w:proofErr w:type="spellEnd"/>
      <w:r w:rsidR="00EB07C0" w:rsidRPr="00EE5309">
        <w:t xml:space="preserve"> de pie</w:t>
      </w:r>
      <w:r w:rsidRPr="00EE5309">
        <w:t xml:space="preserve">se, </w:t>
      </w:r>
      <w:proofErr w:type="spellStart"/>
      <w:r w:rsidRPr="00EE5309">
        <w:t>aerostructuri</w:t>
      </w:r>
      <w:proofErr w:type="spellEnd"/>
      <w:r w:rsidRPr="00EE5309">
        <w:t xml:space="preserve">, subansamble </w:t>
      </w:r>
      <w:proofErr w:type="spellStart"/>
      <w:r w:rsidRPr="00EE5309">
        <w:t>şi</w:t>
      </w:r>
      <w:proofErr w:type="spellEnd"/>
      <w:r w:rsidRPr="00EE5309">
        <w:t xml:space="preserve"> echipamente pentru </w:t>
      </w:r>
      <w:proofErr w:type="spellStart"/>
      <w:r w:rsidRPr="00EE5309">
        <w:t>aviaţia</w:t>
      </w:r>
      <w:proofErr w:type="spellEnd"/>
      <w:r w:rsidRPr="00EE5309">
        <w:t xml:space="preserve"> comercială </w:t>
      </w:r>
      <w:proofErr w:type="spellStart"/>
      <w:r w:rsidRPr="00EE5309">
        <w:t>ş</w:t>
      </w:r>
      <w:r w:rsidR="00EB07C0" w:rsidRPr="00EE5309">
        <w:t>i</w:t>
      </w:r>
      <w:proofErr w:type="spellEnd"/>
      <w:r w:rsidR="00EB07C0" w:rsidRPr="00EE5309">
        <w:t xml:space="preserve"> </w:t>
      </w:r>
      <w:proofErr w:type="spellStart"/>
      <w:r w:rsidR="00EB07C0" w:rsidRPr="00EE5309">
        <w:t>avia</w:t>
      </w:r>
      <w:r w:rsidRPr="00EE5309">
        <w:t>ţia</w:t>
      </w:r>
      <w:proofErr w:type="spellEnd"/>
      <w:r w:rsidRPr="00EE5309">
        <w:t xml:space="preserve"> generală, astfel încât să devină </w:t>
      </w:r>
      <w:r w:rsidR="00EB07C0" w:rsidRPr="00EE5309">
        <w:t xml:space="preserve">un </w:t>
      </w:r>
      <w:proofErr w:type="spellStart"/>
      <w:r w:rsidR="00EB07C0" w:rsidRPr="00EE5309">
        <w:t>subfurnizor</w:t>
      </w:r>
      <w:proofErr w:type="spellEnd"/>
      <w:r w:rsidRPr="00EE5309">
        <w:t xml:space="preserve"> major pentru industria de </w:t>
      </w:r>
      <w:proofErr w:type="spellStart"/>
      <w:r w:rsidRPr="00EE5309">
        <w:t>aviaţie</w:t>
      </w:r>
      <w:proofErr w:type="spellEnd"/>
      <w:r w:rsidRPr="00EE5309">
        <w:t xml:space="preserve"> globalizată </w:t>
      </w:r>
      <w:proofErr w:type="spellStart"/>
      <w:r w:rsidRPr="00EE5309">
        <w:t>şi</w:t>
      </w:r>
      <w:proofErr w:type="spellEnd"/>
      <w:r w:rsidRPr="00EE5309">
        <w:t xml:space="preserve"> să realizeze din aceste </w:t>
      </w:r>
      <w:proofErr w:type="spellStart"/>
      <w:r w:rsidRPr="00EE5309">
        <w:t>activităţ</w:t>
      </w:r>
      <w:r w:rsidR="00EB07C0" w:rsidRPr="00EE5309">
        <w:t>i</w:t>
      </w:r>
      <w:proofErr w:type="spellEnd"/>
      <w:r w:rsidR="00EB07C0" w:rsidRPr="00EE5309">
        <w:t xml:space="preserve"> </w:t>
      </w:r>
      <w:r w:rsidR="00EB07C0" w:rsidRPr="00EE5309">
        <w:rPr>
          <w:bCs/>
        </w:rPr>
        <w:t>peste 55% din cifra de afaceri</w:t>
      </w:r>
      <w:r w:rsidRPr="00EE5309">
        <w:t>;</w:t>
      </w:r>
    </w:p>
    <w:p w:rsidR="00EB07C0" w:rsidRPr="00EE5309" w:rsidRDefault="0014567C" w:rsidP="00AE230A">
      <w:pPr>
        <w:pStyle w:val="NormalWeb"/>
        <w:numPr>
          <w:ilvl w:val="0"/>
          <w:numId w:val="17"/>
        </w:numPr>
        <w:tabs>
          <w:tab w:val="left" w:pos="851"/>
        </w:tabs>
        <w:spacing w:before="0" w:beforeAutospacing="0" w:after="0" w:afterAutospacing="0"/>
        <w:ind w:left="0" w:firstLine="567"/>
        <w:jc w:val="both"/>
      </w:pPr>
      <w:r w:rsidRPr="00EE5309">
        <w:t xml:space="preserve">Consolidarea </w:t>
      </w:r>
      <w:proofErr w:type="spellStart"/>
      <w:r w:rsidRPr="00EE5309">
        <w:t>activităţ</w:t>
      </w:r>
      <w:r w:rsidR="00EB07C0" w:rsidRPr="00EE5309">
        <w:t>ilor</w:t>
      </w:r>
      <w:proofErr w:type="spellEnd"/>
      <w:r w:rsidR="00EB07C0" w:rsidRPr="00EE5309">
        <w:t xml:space="preserve"> </w:t>
      </w:r>
      <w:r w:rsidRPr="00EE5309">
        <w:t xml:space="preserve">companiei </w:t>
      </w:r>
      <w:r w:rsidR="00EB07C0" w:rsidRPr="00EE5309">
        <w:t>ca fur</w:t>
      </w:r>
      <w:r w:rsidRPr="00EE5309">
        <w:t xml:space="preserve">nizor de prim rang de </w:t>
      </w:r>
      <w:proofErr w:type="spellStart"/>
      <w:r w:rsidRPr="00EE5309">
        <w:t>mentenanţă</w:t>
      </w:r>
      <w:proofErr w:type="spellEnd"/>
      <w:r w:rsidR="00EB07C0" w:rsidRPr="00EE5309">
        <w:t xml:space="preserve"> pen</w:t>
      </w:r>
      <w:r w:rsidR="000449B8" w:rsidRPr="00EE5309">
        <w:t xml:space="preserve">tru avioane civile </w:t>
      </w:r>
      <w:proofErr w:type="spellStart"/>
      <w:r w:rsidR="000449B8" w:rsidRPr="00EE5309">
        <w:t>şi</w:t>
      </w:r>
      <w:proofErr w:type="spellEnd"/>
      <w:r w:rsidR="000449B8" w:rsidRPr="00EE5309">
        <w:t xml:space="preserve"> de conversie/</w:t>
      </w:r>
      <w:r w:rsidR="00EB07C0" w:rsidRPr="00EE5309">
        <w:t>modernizare a avioane</w:t>
      </w:r>
      <w:r w:rsidR="000449B8" w:rsidRPr="00EE5309">
        <w:t xml:space="preserve">lor civile, domeniu de </w:t>
      </w:r>
      <w:proofErr w:type="spellStart"/>
      <w:r w:rsidR="000449B8" w:rsidRPr="00EE5309">
        <w:t>activităţi</w:t>
      </w:r>
      <w:proofErr w:type="spellEnd"/>
      <w:r w:rsidR="000449B8" w:rsidRPr="00EE5309">
        <w:t xml:space="preserve"> din care să realizeze</w:t>
      </w:r>
      <w:r w:rsidR="00EB07C0" w:rsidRPr="00EE5309">
        <w:t xml:space="preserve"> peste </w:t>
      </w:r>
      <w:r w:rsidR="00EB07C0" w:rsidRPr="00EE5309">
        <w:rPr>
          <w:bCs/>
        </w:rPr>
        <w:t>20% din cifra de afaceri</w:t>
      </w:r>
      <w:r w:rsidR="00902B06" w:rsidRPr="00EE5309">
        <w:t xml:space="preserve">. </w:t>
      </w:r>
      <w:r w:rsidR="00300D17" w:rsidRPr="00EE5309">
        <w:t>(</w:t>
      </w:r>
      <w:hyperlink r:id="rId21" w:history="1">
        <w:r w:rsidR="00300D17" w:rsidRPr="00EE5309">
          <w:rPr>
            <w:rStyle w:val="Hyperlink"/>
          </w:rPr>
          <w:t>http://www.aerostar.ro/misiunea</w:t>
        </w:r>
      </w:hyperlink>
      <w:r w:rsidR="00300D17" w:rsidRPr="00EE5309">
        <w:t>)</w:t>
      </w:r>
    </w:p>
    <w:p w:rsidR="001815CC" w:rsidRPr="00EE5309" w:rsidRDefault="00C72BAD" w:rsidP="001815CC">
      <w:pPr>
        <w:pStyle w:val="NormalWeb"/>
        <w:spacing w:before="0" w:beforeAutospacing="0" w:after="0" w:afterAutospacing="0"/>
        <w:ind w:firstLine="567"/>
        <w:jc w:val="both"/>
      </w:pPr>
      <w:r w:rsidRPr="00EE5309">
        <w:rPr>
          <w:b/>
          <w:i/>
          <w:color w:val="000000" w:themeColor="text1"/>
        </w:rPr>
        <w:t>S.C. TURBOMECANICA S.A.</w:t>
      </w:r>
      <w:r w:rsidRPr="00EE5309">
        <w:rPr>
          <w:color w:val="000000" w:themeColor="text1"/>
        </w:rPr>
        <w:t xml:space="preserve"> </w:t>
      </w:r>
      <w:proofErr w:type="spellStart"/>
      <w:r w:rsidR="00AE230A" w:rsidRPr="00EE5309">
        <w:t>menţine</w:t>
      </w:r>
      <w:proofErr w:type="spellEnd"/>
      <w:r w:rsidR="00AE230A" w:rsidRPr="00EE5309">
        <w:t xml:space="preserve"> un standard de calitate ridicat pentru produsele fabricate/reparate, care să asigure </w:t>
      </w:r>
      <w:proofErr w:type="spellStart"/>
      <w:r w:rsidR="00AE230A" w:rsidRPr="00EE5309">
        <w:t>satisfacţia</w:t>
      </w:r>
      <w:proofErr w:type="spellEnd"/>
      <w:r w:rsidR="00AE230A" w:rsidRPr="00EE5309">
        <w:t xml:space="preserve"> </w:t>
      </w:r>
      <w:proofErr w:type="spellStart"/>
      <w:r w:rsidR="00AE230A" w:rsidRPr="00EE5309">
        <w:t>clienţilor</w:t>
      </w:r>
      <w:proofErr w:type="spellEnd"/>
      <w:r w:rsidR="00AE230A" w:rsidRPr="00EE5309">
        <w:t xml:space="preserve"> </w:t>
      </w:r>
      <w:proofErr w:type="spellStart"/>
      <w:r w:rsidR="00AE230A" w:rsidRPr="00EE5309">
        <w:t>tradiţionali</w:t>
      </w:r>
      <w:proofErr w:type="spellEnd"/>
      <w:r w:rsidR="00AE230A" w:rsidRPr="00EE5309">
        <w:t xml:space="preserve"> dar </w:t>
      </w:r>
      <w:proofErr w:type="spellStart"/>
      <w:r w:rsidR="00AE230A" w:rsidRPr="00EE5309">
        <w:t>şi</w:t>
      </w:r>
      <w:proofErr w:type="spellEnd"/>
      <w:r w:rsidR="00AE230A" w:rsidRPr="00EE5309">
        <w:t xml:space="preserve"> atragerea de noi </w:t>
      </w:r>
      <w:proofErr w:type="spellStart"/>
      <w:r w:rsidR="00AE230A" w:rsidRPr="00EE5309">
        <w:t>clienţi</w:t>
      </w:r>
      <w:proofErr w:type="spellEnd"/>
      <w:r w:rsidR="00AE230A" w:rsidRPr="00EE5309">
        <w:t xml:space="preserve">, </w:t>
      </w:r>
      <w:proofErr w:type="spellStart"/>
      <w:r w:rsidR="00AE230A" w:rsidRPr="00EE5309">
        <w:t>câştiguri</w:t>
      </w:r>
      <w:proofErr w:type="spellEnd"/>
      <w:r w:rsidR="00AE230A" w:rsidRPr="00EE5309">
        <w:t xml:space="preserve"> optime </w:t>
      </w:r>
      <w:proofErr w:type="spellStart"/>
      <w:r w:rsidR="00AE230A" w:rsidRPr="00EE5309">
        <w:t>şi</w:t>
      </w:r>
      <w:proofErr w:type="spellEnd"/>
      <w:r w:rsidR="00AE230A" w:rsidRPr="00EE5309">
        <w:t xml:space="preserve"> profituri pe termen lung. În prezent, scopul companiei este de a se permanen</w:t>
      </w:r>
      <w:r w:rsidR="001815CC" w:rsidRPr="00EE5309">
        <w:t xml:space="preserve">tiza ca furnizor de componente </w:t>
      </w:r>
      <w:proofErr w:type="spellStart"/>
      <w:r w:rsidR="001815CC" w:rsidRPr="00EE5309">
        <w:t>şi</w:t>
      </w:r>
      <w:proofErr w:type="spellEnd"/>
      <w:r w:rsidR="001815CC" w:rsidRPr="00EE5309">
        <w:t xml:space="preserve"> </w:t>
      </w:r>
      <w:proofErr w:type="spellStart"/>
      <w:r w:rsidR="001815CC" w:rsidRPr="00EE5309">
        <w:t>reparaţii</w:t>
      </w:r>
      <w:proofErr w:type="spellEnd"/>
      <w:r w:rsidR="001815CC" w:rsidRPr="00EE5309">
        <w:t xml:space="preserve"> pentru industria aeronautică cât </w:t>
      </w:r>
      <w:proofErr w:type="spellStart"/>
      <w:r w:rsidR="001815CC" w:rsidRPr="00EE5309">
        <w:t>şi</w:t>
      </w:r>
      <w:proofErr w:type="spellEnd"/>
      <w:r w:rsidR="001815CC" w:rsidRPr="00EE5309">
        <w:t xml:space="preserve"> pentru alte domenii de înalt nivel tehnologic.</w:t>
      </w:r>
    </w:p>
    <w:p w:rsidR="00AE230A" w:rsidRPr="00EE5309" w:rsidRDefault="001815CC" w:rsidP="001815CC">
      <w:pPr>
        <w:pStyle w:val="NormalWeb"/>
        <w:spacing w:before="0" w:beforeAutospacing="0" w:after="0" w:afterAutospacing="0"/>
        <w:ind w:firstLine="567"/>
        <w:jc w:val="both"/>
      </w:pPr>
      <w:r w:rsidRPr="00EE5309">
        <w:t>Î</w:t>
      </w:r>
      <w:r w:rsidR="00AE230A" w:rsidRPr="00EE5309">
        <w:t>n acest co</w:t>
      </w:r>
      <w:r w:rsidR="00A42963" w:rsidRPr="00EE5309">
        <w:t>ntext, strategia companiei</w:t>
      </w:r>
      <w:r w:rsidR="00AE230A" w:rsidRPr="00EE5309">
        <w:t xml:space="preserve"> are la bază dezvoltarea permanentă de programe noi în parteneriat cu nume prestigioase din industria aeronautică.</w:t>
      </w:r>
    </w:p>
    <w:p w:rsidR="00AE230A" w:rsidRPr="00EE5309" w:rsidRDefault="00AE230A" w:rsidP="00AE230A">
      <w:pPr>
        <w:pStyle w:val="NormalWeb"/>
        <w:spacing w:before="0" w:beforeAutospacing="0" w:after="0" w:afterAutospacing="0"/>
        <w:ind w:firstLine="567"/>
        <w:jc w:val="both"/>
      </w:pPr>
      <w:r w:rsidRPr="00EE5309">
        <w:t xml:space="preserve">Schimbările care au avut loc la nivel de management, fondate pe principii de </w:t>
      </w:r>
      <w:proofErr w:type="spellStart"/>
      <w:r w:rsidRPr="00EE5309">
        <w:t>eficien</w:t>
      </w:r>
      <w:r w:rsidR="00A42963" w:rsidRPr="00EE5309">
        <w:t>ţă</w:t>
      </w:r>
      <w:proofErr w:type="spellEnd"/>
      <w:r w:rsidR="00A42963" w:rsidRPr="00EE5309">
        <w:t xml:space="preserve"> </w:t>
      </w:r>
      <w:proofErr w:type="spellStart"/>
      <w:r w:rsidR="00A42963" w:rsidRPr="00EE5309">
        <w:t>ş</w:t>
      </w:r>
      <w:r w:rsidRPr="00EE5309">
        <w:t>i</w:t>
      </w:r>
      <w:proofErr w:type="spellEnd"/>
      <w:r w:rsidRPr="00EE5309">
        <w:t xml:space="preserve"> ef</w:t>
      </w:r>
      <w:r w:rsidR="00A42963" w:rsidRPr="00EE5309">
        <w:t xml:space="preserve">icacitate, alături de </w:t>
      </w:r>
      <w:proofErr w:type="spellStart"/>
      <w:r w:rsidR="00A42963" w:rsidRPr="00EE5309">
        <w:t>inovaţii</w:t>
      </w:r>
      <w:proofErr w:type="spellEnd"/>
      <w:r w:rsidR="00A42963" w:rsidRPr="00EE5309">
        <w:t xml:space="preserve"> </w:t>
      </w:r>
      <w:proofErr w:type="spellStart"/>
      <w:r w:rsidR="00A42963" w:rsidRPr="00EE5309">
        <w:t>ş</w:t>
      </w:r>
      <w:r w:rsidRPr="00EE5309">
        <w:t>i</w:t>
      </w:r>
      <w:proofErr w:type="spellEnd"/>
      <w:r w:rsidRPr="00EE5309">
        <w:t xml:space="preserve"> </w:t>
      </w:r>
      <w:proofErr w:type="spellStart"/>
      <w:r w:rsidRPr="00EE5309">
        <w:t>investiţii</w:t>
      </w:r>
      <w:proofErr w:type="spellEnd"/>
      <w:r w:rsidRPr="00EE5309">
        <w:t xml:space="preserve"> permanente în noi tehnologii au adus cre</w:t>
      </w:r>
      <w:r w:rsidR="007C5BFF" w:rsidRPr="00EE5309">
        <w:t>ș</w:t>
      </w:r>
      <w:r w:rsidRPr="00EE5309">
        <w:t xml:space="preserve">teri progresive continue la nivelul cifrei de afaceri, </w:t>
      </w:r>
      <w:r w:rsidR="00A42963" w:rsidRPr="00EE5309">
        <w:t xml:space="preserve">prin atragerea de noi proiecte </w:t>
      </w:r>
      <w:proofErr w:type="spellStart"/>
      <w:r w:rsidR="00A42963" w:rsidRPr="00EE5309">
        <w:t>ş</w:t>
      </w:r>
      <w:r w:rsidRPr="00EE5309">
        <w:t>i</w:t>
      </w:r>
      <w:proofErr w:type="spellEnd"/>
      <w:r w:rsidRPr="00EE5309">
        <w:t xml:space="preserve"> noi parteneriate.</w:t>
      </w:r>
    </w:p>
    <w:p w:rsidR="00AE230A" w:rsidRPr="00EE5309" w:rsidRDefault="00A42963" w:rsidP="00AE230A">
      <w:pPr>
        <w:pStyle w:val="NormalWeb"/>
        <w:spacing w:before="0" w:beforeAutospacing="0" w:after="0" w:afterAutospacing="0"/>
        <w:ind w:firstLine="567"/>
        <w:jc w:val="both"/>
      </w:pPr>
      <w:r w:rsidRPr="00EE5309">
        <w:t xml:space="preserve">Aflată în permanentă dezvoltare </w:t>
      </w:r>
      <w:proofErr w:type="spellStart"/>
      <w:r w:rsidRPr="00EE5309">
        <w:t>şi</w:t>
      </w:r>
      <w:proofErr w:type="spellEnd"/>
      <w:r w:rsidRPr="00EE5309">
        <w:t xml:space="preserve"> </w:t>
      </w:r>
      <w:proofErr w:type="spellStart"/>
      <w:r w:rsidRPr="00EE5309">
        <w:t>acţ</w:t>
      </w:r>
      <w:r w:rsidR="00AE230A" w:rsidRPr="00EE5309">
        <w:t>ionând</w:t>
      </w:r>
      <w:proofErr w:type="spellEnd"/>
      <w:r w:rsidR="00AE230A" w:rsidRPr="00EE5309">
        <w:t xml:space="preserve"> într-un mediu de afaceri care pune mereu </w:t>
      </w:r>
      <w:r w:rsidR="00BB4BD8" w:rsidRPr="00EE5309">
        <w:t xml:space="preserve">conducerea companiei în </w:t>
      </w:r>
      <w:proofErr w:type="spellStart"/>
      <w:r w:rsidR="00BB4BD8" w:rsidRPr="00EE5309">
        <w:t>faţ</w:t>
      </w:r>
      <w:r w:rsidR="00AE230A" w:rsidRPr="00EE5309">
        <w:t>a</w:t>
      </w:r>
      <w:proofErr w:type="spellEnd"/>
      <w:r w:rsidR="00AE230A" w:rsidRPr="00EE5309">
        <w:t xml:space="preserve"> unor continue provoc</w:t>
      </w:r>
      <w:r w:rsidRPr="00EE5309">
        <w:t>ă</w:t>
      </w:r>
      <w:r w:rsidR="00AE230A" w:rsidRPr="00EE5309">
        <w:t xml:space="preserve">ri, TURBOMECANICA este în orice </w:t>
      </w:r>
      <w:r w:rsidRPr="00EE5309">
        <w:t>moment pregă</w:t>
      </w:r>
      <w:r w:rsidR="00AE230A" w:rsidRPr="00EE5309">
        <w:t>tită să exploreze dezvoltarea de noi programe pentru motoa</w:t>
      </w:r>
      <w:r w:rsidRPr="00EE5309">
        <w:t xml:space="preserve">re cu turbină, alături de </w:t>
      </w:r>
      <w:proofErr w:type="spellStart"/>
      <w:r w:rsidRPr="00EE5309">
        <w:t>clienţii</w:t>
      </w:r>
      <w:proofErr w:type="spellEnd"/>
      <w:r w:rsidRPr="00EE5309">
        <w:t xml:space="preserve"> </w:t>
      </w:r>
      <w:proofErr w:type="spellStart"/>
      <w:r w:rsidRPr="00EE5309">
        <w:t>tradiţ</w:t>
      </w:r>
      <w:r w:rsidR="00AE230A" w:rsidRPr="00EE5309">
        <w:t>ionali</w:t>
      </w:r>
      <w:proofErr w:type="spellEnd"/>
      <w:r w:rsidR="00AE230A" w:rsidRPr="00EE5309">
        <w:t xml:space="preserve"> sau împreună cu noii </w:t>
      </w:r>
      <w:r w:rsidRPr="00EE5309">
        <w:t>parteneri. De asemenea, continuâ</w:t>
      </w:r>
      <w:r w:rsidR="00AE230A" w:rsidRPr="00EE5309">
        <w:t xml:space="preserve">nd programele de </w:t>
      </w:r>
      <w:proofErr w:type="spellStart"/>
      <w:r w:rsidR="00AE230A" w:rsidRPr="00EE5309">
        <w:t>fabrica</w:t>
      </w:r>
      <w:r w:rsidRPr="00EE5309">
        <w:t>ţie</w:t>
      </w:r>
      <w:proofErr w:type="spellEnd"/>
      <w:r w:rsidRPr="00EE5309">
        <w:t xml:space="preserve"> </w:t>
      </w:r>
      <w:proofErr w:type="spellStart"/>
      <w:r w:rsidRPr="00EE5309">
        <w:t>şi</w:t>
      </w:r>
      <w:proofErr w:type="spellEnd"/>
      <w:r w:rsidRPr="00EE5309">
        <w:t xml:space="preserve"> </w:t>
      </w:r>
      <w:proofErr w:type="spellStart"/>
      <w:r w:rsidRPr="00EE5309">
        <w:t>reparaţie</w:t>
      </w:r>
      <w:proofErr w:type="spellEnd"/>
      <w:r w:rsidRPr="00EE5309">
        <w:t xml:space="preserve"> de ansamble </w:t>
      </w:r>
      <w:proofErr w:type="spellStart"/>
      <w:r w:rsidRPr="00EE5309">
        <w:t>ş</w:t>
      </w:r>
      <w:r w:rsidR="00AE230A" w:rsidRPr="00EE5309">
        <w:t>i</w:t>
      </w:r>
      <w:proofErr w:type="spellEnd"/>
      <w:r w:rsidR="00AE230A" w:rsidRPr="00EE5309">
        <w:t xml:space="preserve"> componente de </w:t>
      </w:r>
      <w:proofErr w:type="spellStart"/>
      <w:r w:rsidR="00AE230A" w:rsidRPr="00EE5309">
        <w:t>aviatie</w:t>
      </w:r>
      <w:proofErr w:type="spellEnd"/>
      <w:r w:rsidR="00AE230A" w:rsidRPr="00EE5309">
        <w:t xml:space="preserve"> sau industriale, </w:t>
      </w:r>
      <w:r w:rsidRPr="00EE5309">
        <w:t>managementul companiei este pregătit să î</w:t>
      </w:r>
      <w:r w:rsidR="00AE230A" w:rsidRPr="00EE5309">
        <w:t>ncheie parteneriate strategic</w:t>
      </w:r>
      <w:r w:rsidRPr="00EE5309">
        <w:t xml:space="preserve">e, </w:t>
      </w:r>
      <w:proofErr w:type="spellStart"/>
      <w:r w:rsidRPr="00EE5309">
        <w:t>joint-ventures</w:t>
      </w:r>
      <w:proofErr w:type="spellEnd"/>
      <w:r w:rsidRPr="00EE5309">
        <w:t xml:space="preserve">, acorduri de </w:t>
      </w:r>
      <w:proofErr w:type="spellStart"/>
      <w:r w:rsidRPr="00EE5309">
        <w:t>înfiinţ</w:t>
      </w:r>
      <w:r w:rsidR="00AE230A" w:rsidRPr="00EE5309">
        <w:t>are</w:t>
      </w:r>
      <w:proofErr w:type="spellEnd"/>
      <w:r w:rsidR="00AE230A" w:rsidRPr="00EE5309">
        <w:t xml:space="preserve"> baze de </w:t>
      </w:r>
      <w:proofErr w:type="spellStart"/>
      <w:r w:rsidR="00AE230A" w:rsidRPr="00EE5309">
        <w:t>repara</w:t>
      </w:r>
      <w:r w:rsidRPr="00EE5309">
        <w:t>ţ</w:t>
      </w:r>
      <w:r w:rsidR="00AE230A" w:rsidRPr="00EE5309">
        <w:t>ii</w:t>
      </w:r>
      <w:proofErr w:type="spellEnd"/>
      <w:r w:rsidR="00AE230A" w:rsidRPr="00EE5309">
        <w:t xml:space="preserve"> pentru produse din industria aviatică. Atuul </w:t>
      </w:r>
      <w:r w:rsidRPr="00EE5309">
        <w:t xml:space="preserve">companiei este </w:t>
      </w:r>
      <w:proofErr w:type="spellStart"/>
      <w:r w:rsidRPr="00EE5309">
        <w:t>condiţ</w:t>
      </w:r>
      <w:r w:rsidR="00AE230A" w:rsidRPr="00EE5309">
        <w:t>ia</w:t>
      </w:r>
      <w:proofErr w:type="spellEnd"/>
      <w:r w:rsidR="00AE230A" w:rsidRPr="00EE5309">
        <w:t xml:space="preserve"> </w:t>
      </w:r>
      <w:proofErr w:type="spellStart"/>
      <w:r w:rsidR="00AE230A" w:rsidRPr="00EE5309">
        <w:t>calităţii</w:t>
      </w:r>
      <w:proofErr w:type="spellEnd"/>
      <w:r w:rsidR="00AE230A" w:rsidRPr="00EE5309">
        <w:t xml:space="preserve">, nefăcând niciodată compromisuri în ceea ce </w:t>
      </w:r>
      <w:proofErr w:type="spellStart"/>
      <w:r w:rsidR="00AE230A" w:rsidRPr="00EE5309">
        <w:t>priveşte</w:t>
      </w:r>
      <w:proofErr w:type="spellEnd"/>
      <w:r w:rsidR="00AE230A" w:rsidRPr="00EE5309">
        <w:t xml:space="preserve"> fiabil</w:t>
      </w:r>
      <w:r w:rsidR="00BB4BD8" w:rsidRPr="00EE5309">
        <w:t xml:space="preserve">itatea </w:t>
      </w:r>
      <w:proofErr w:type="spellStart"/>
      <w:r w:rsidR="00BB4BD8" w:rsidRPr="00EE5309">
        <w:t>şi</w:t>
      </w:r>
      <w:proofErr w:type="spellEnd"/>
      <w:r w:rsidR="00BB4BD8" w:rsidRPr="00EE5309">
        <w:t xml:space="preserve"> dorind în </w:t>
      </w:r>
      <w:proofErr w:type="spellStart"/>
      <w:r w:rsidR="00BB4BD8" w:rsidRPr="00EE5309">
        <w:t>permanenţ</w:t>
      </w:r>
      <w:r w:rsidRPr="00EE5309">
        <w:t>ă</w:t>
      </w:r>
      <w:proofErr w:type="spellEnd"/>
      <w:r w:rsidR="00AE230A" w:rsidRPr="00EE5309">
        <w:t xml:space="preserve"> </w:t>
      </w:r>
      <w:proofErr w:type="spellStart"/>
      <w:r w:rsidR="00AF1204" w:rsidRPr="00EE5309">
        <w:t>susţinerea</w:t>
      </w:r>
      <w:proofErr w:type="spellEnd"/>
      <w:r w:rsidR="00AF1204" w:rsidRPr="00EE5309">
        <w:t xml:space="preserve"> intereselor</w:t>
      </w:r>
      <w:r w:rsidR="00AE230A" w:rsidRPr="00EE5309">
        <w:t xml:space="preserve"> partenerilor </w:t>
      </w:r>
      <w:r w:rsidR="00AF1204" w:rsidRPr="00EE5309">
        <w:t>de afaceri</w:t>
      </w:r>
      <w:r w:rsidR="00AE230A" w:rsidRPr="00EE5309">
        <w:t xml:space="preserve"> prin eficientizarea costurilor.</w:t>
      </w:r>
    </w:p>
    <w:p w:rsidR="001E6946" w:rsidRPr="00EE5309" w:rsidRDefault="00AF1204" w:rsidP="001E6946">
      <w:pPr>
        <w:pStyle w:val="NormalWeb"/>
        <w:spacing w:before="0" w:beforeAutospacing="0" w:after="0" w:afterAutospacing="0"/>
        <w:ind w:firstLine="567"/>
        <w:jc w:val="both"/>
      </w:pPr>
      <w:r w:rsidRPr="00EE5309">
        <w:t>TURBOMECANICA este desch</w:t>
      </w:r>
      <w:r w:rsidR="001E6946" w:rsidRPr="00EE5309">
        <w:t xml:space="preserve">isă să sprijine </w:t>
      </w:r>
      <w:proofErr w:type="spellStart"/>
      <w:r w:rsidR="001E6946" w:rsidRPr="00EE5309">
        <w:t>acţ</w:t>
      </w:r>
      <w:r w:rsidR="00AE230A" w:rsidRPr="00EE5309">
        <w:t>iunile</w:t>
      </w:r>
      <w:proofErr w:type="spellEnd"/>
      <w:r w:rsidR="00AE230A" w:rsidRPr="00EE5309">
        <w:t xml:space="preserve"> legate de alte produse pro</w:t>
      </w:r>
      <w:r w:rsidRPr="00EE5309">
        <w:t xml:space="preserve">movate de companii aeronautice în Romania </w:t>
      </w:r>
      <w:proofErr w:type="spellStart"/>
      <w:r w:rsidRPr="00EE5309">
        <w:t>şi</w:t>
      </w:r>
      <w:proofErr w:type="spellEnd"/>
      <w:r w:rsidRPr="00EE5309">
        <w:t xml:space="preserve"> este capabilă să </w:t>
      </w:r>
      <w:proofErr w:type="spellStart"/>
      <w:r w:rsidRPr="00EE5309">
        <w:t>susţ</w:t>
      </w:r>
      <w:r w:rsidR="00AE230A" w:rsidRPr="00EE5309">
        <w:t>in</w:t>
      </w:r>
      <w:r w:rsidRPr="00EE5309">
        <w:t>ă</w:t>
      </w:r>
      <w:proofErr w:type="spellEnd"/>
      <w:r w:rsidR="00AE230A" w:rsidRPr="00EE5309">
        <w:t xml:space="preserve"> prog</w:t>
      </w:r>
      <w:r w:rsidRPr="00EE5309">
        <w:t xml:space="preserve">rame de </w:t>
      </w:r>
      <w:proofErr w:type="spellStart"/>
      <w:r w:rsidRPr="00EE5309">
        <w:t>fabricaţie</w:t>
      </w:r>
      <w:proofErr w:type="spellEnd"/>
      <w:r w:rsidR="00AE230A" w:rsidRPr="00EE5309">
        <w:t>/</w:t>
      </w:r>
      <w:proofErr w:type="spellStart"/>
      <w:r w:rsidRPr="00EE5309">
        <w:t>reparaţie</w:t>
      </w:r>
      <w:proofErr w:type="spellEnd"/>
      <w:r w:rsidR="00AE230A" w:rsidRPr="00EE5309">
        <w:t>/</w:t>
      </w:r>
      <w:proofErr w:type="spellStart"/>
      <w:r w:rsidRPr="00EE5309">
        <w:t>mentenanţă</w:t>
      </w:r>
      <w:proofErr w:type="spellEnd"/>
      <w:r w:rsidRPr="00EE5309">
        <w:t xml:space="preserve"> a componentelor </w:t>
      </w:r>
      <w:proofErr w:type="spellStart"/>
      <w:r w:rsidRPr="00EE5309">
        <w:t>şi</w:t>
      </w:r>
      <w:proofErr w:type="spellEnd"/>
      <w:r w:rsidRPr="00EE5309">
        <w:t xml:space="preserve"> ansamblelor prevăzute a fi livrate în viitor că</w:t>
      </w:r>
      <w:r w:rsidR="00AE230A" w:rsidRPr="00EE5309">
        <w:t>tre operatori din Romania sau din estul Europei. (</w:t>
      </w:r>
      <w:hyperlink r:id="rId22" w:anchor="azi" w:history="1">
        <w:r w:rsidR="00AE230A" w:rsidRPr="00EE5309">
          <w:rPr>
            <w:rStyle w:val="Hyperlink"/>
          </w:rPr>
          <w:t>https://turbomecanica.ro/despre-noi/istoric/#azi</w:t>
        </w:r>
      </w:hyperlink>
      <w:r w:rsidR="00AE230A" w:rsidRPr="00EE5309">
        <w:t>)</w:t>
      </w:r>
    </w:p>
    <w:p w:rsidR="001E6946" w:rsidRPr="00EE5309" w:rsidRDefault="001E6946" w:rsidP="001E6946">
      <w:pPr>
        <w:pStyle w:val="NormalWeb"/>
        <w:spacing w:before="0" w:beforeAutospacing="0" w:after="0" w:afterAutospacing="0"/>
        <w:ind w:firstLine="567"/>
        <w:jc w:val="both"/>
      </w:pPr>
      <w:r w:rsidRPr="00EE5309">
        <w:rPr>
          <w:b/>
          <w:i/>
          <w:color w:val="000000" w:themeColor="text1"/>
        </w:rPr>
        <w:t>S.C.</w:t>
      </w:r>
      <w:r w:rsidR="00755B57" w:rsidRPr="00EE5309">
        <w:rPr>
          <w:b/>
          <w:i/>
          <w:color w:val="000000" w:themeColor="text1"/>
        </w:rPr>
        <w:t xml:space="preserve"> </w:t>
      </w:r>
      <w:r w:rsidRPr="00EE5309">
        <w:rPr>
          <w:b/>
          <w:i/>
          <w:color w:val="000000" w:themeColor="text1"/>
        </w:rPr>
        <w:t xml:space="preserve">IAR S.A. </w:t>
      </w:r>
      <w:r w:rsidRPr="00EE5309">
        <w:t xml:space="preserve">este </w:t>
      </w:r>
      <w:r w:rsidR="00755B57" w:rsidRPr="00EE5309">
        <w:t xml:space="preserve">în prezent </w:t>
      </w:r>
      <w:r w:rsidRPr="00EE5309">
        <w:t xml:space="preserve">o unitate specializată pentru mentenanță, reparații și reparații capitale pentru elicopterele Puma și </w:t>
      </w:r>
      <w:proofErr w:type="spellStart"/>
      <w:r w:rsidRPr="00EE5309">
        <w:t>Alouette</w:t>
      </w:r>
      <w:proofErr w:type="spellEnd"/>
      <w:r w:rsidRPr="00EE5309">
        <w:t xml:space="preserve"> III.</w:t>
      </w:r>
      <w:r w:rsidR="002971EC">
        <w:t xml:space="preserve"> Compania</w:t>
      </w:r>
      <w:r w:rsidRPr="00EE5309">
        <w:t xml:space="preserve"> dezvoltă programe de modernizare, efectuează revizii periodice, reparații capitale și încercări la sol și în zbor; asigură multiple servicii după vânzare: mentenanță, piese de schimb și înlocuiri de echipamente, asistență tehnică; școlarizarea piloților și a tehnicienilor; </w:t>
      </w:r>
      <w:proofErr w:type="spellStart"/>
      <w:r w:rsidRPr="00EE5309">
        <w:t>programme</w:t>
      </w:r>
      <w:proofErr w:type="spellEnd"/>
      <w:r w:rsidRPr="00EE5309">
        <w:t xml:space="preserve"> </w:t>
      </w:r>
      <w:r w:rsidRPr="00EE5309">
        <w:rPr>
          <w:i/>
        </w:rPr>
        <w:t>“</w:t>
      </w:r>
      <w:proofErr w:type="spellStart"/>
      <w:r w:rsidRPr="00EE5309">
        <w:rPr>
          <w:i/>
        </w:rPr>
        <w:t>Follow</w:t>
      </w:r>
      <w:proofErr w:type="spellEnd"/>
      <w:r w:rsidRPr="00EE5309">
        <w:rPr>
          <w:i/>
        </w:rPr>
        <w:t>-on-</w:t>
      </w:r>
      <w:proofErr w:type="spellStart"/>
      <w:r w:rsidRPr="00EE5309">
        <w:rPr>
          <w:i/>
        </w:rPr>
        <w:t>Support</w:t>
      </w:r>
      <w:proofErr w:type="spellEnd"/>
      <w:r w:rsidRPr="00EE5309">
        <w:rPr>
          <w:i/>
        </w:rPr>
        <w:t>”</w:t>
      </w:r>
      <w:r w:rsidRPr="00EE5309">
        <w:t xml:space="preserve"> pentru gama de elicoptere Puma și </w:t>
      </w:r>
      <w:proofErr w:type="spellStart"/>
      <w:r w:rsidRPr="00EE5309">
        <w:t>Alouette</w:t>
      </w:r>
      <w:proofErr w:type="spellEnd"/>
      <w:r w:rsidRPr="00EE5309">
        <w:t xml:space="preserve"> III.</w:t>
      </w:r>
      <w:r w:rsidR="00755B57" w:rsidRPr="00EE5309">
        <w:t xml:space="preserve"> </w:t>
      </w:r>
      <w:r w:rsidRPr="00EE5309">
        <w:t xml:space="preserve">De asemenea, IAR S.A. este implicată în fabricarea de ansamble, subansamble și piese pentru </w:t>
      </w:r>
      <w:proofErr w:type="spellStart"/>
      <w:r w:rsidRPr="00EE5309">
        <w:t>diversi</w:t>
      </w:r>
      <w:proofErr w:type="spellEnd"/>
      <w:r w:rsidRPr="00EE5309">
        <w:t xml:space="preserve"> producători din industria aeronautică mondială (stru</w:t>
      </w:r>
      <w:r w:rsidR="00755B57" w:rsidRPr="00EE5309">
        <w:t>cturi aeronave, cablaje electrice etc.).</w:t>
      </w:r>
    </w:p>
    <w:p w:rsidR="00755B57" w:rsidRPr="00EE5309" w:rsidRDefault="00EC0A9A" w:rsidP="001E6946">
      <w:pPr>
        <w:pStyle w:val="NormalWeb"/>
        <w:spacing w:before="0" w:beforeAutospacing="0" w:after="0" w:afterAutospacing="0"/>
        <w:ind w:firstLine="567"/>
        <w:jc w:val="both"/>
      </w:pPr>
      <w:r>
        <w:t xml:space="preserve">Pentru toate produsele sale, </w:t>
      </w:r>
      <w:r w:rsidR="001E6946" w:rsidRPr="00EE5309">
        <w:t>IAR S.A. asigură multiple servicii “</w:t>
      </w:r>
      <w:r w:rsidR="00755B57" w:rsidRPr="00EE5309">
        <w:t>post</w:t>
      </w:r>
      <w:r w:rsidR="001E6946" w:rsidRPr="00EE5309">
        <w:t xml:space="preserve"> vânzare” pentru a satisface necesitățile clienților săi în domeniul mentenanței, reparațiilor și reparațiilor capitale, de piese de schimb, de școlarizare a piloților și tehnicienilor, de asistență tehnică și intervenții service.</w:t>
      </w:r>
      <w:r w:rsidR="00755B57" w:rsidRPr="00EE5309">
        <w:t xml:space="preserve"> </w:t>
      </w:r>
      <w:r w:rsidR="001E6946" w:rsidRPr="00EE5309">
        <w:t xml:space="preserve">Principalii beneficiari ai elicopterelor </w:t>
      </w:r>
      <w:r w:rsidR="00755B57" w:rsidRPr="00EE5309">
        <w:t xml:space="preserve">Puma și </w:t>
      </w:r>
      <w:proofErr w:type="spellStart"/>
      <w:r w:rsidR="00755B57" w:rsidRPr="00EE5309">
        <w:t>Alouette</w:t>
      </w:r>
      <w:proofErr w:type="spellEnd"/>
      <w:r w:rsidR="00755B57" w:rsidRPr="00EE5309">
        <w:t xml:space="preserve"> III fabricate/</w:t>
      </w:r>
      <w:r w:rsidR="001E6946" w:rsidRPr="00EE5309">
        <w:t>reparate la Brașov sunt: Ministerul Apărării Naționale (Forțele Aeriene și Forțele Navale din România), Serviciul Rom</w:t>
      </w:r>
      <w:r w:rsidR="00755B57" w:rsidRPr="00EE5309">
        <w:t xml:space="preserve">ân de </w:t>
      </w:r>
      <w:proofErr w:type="spellStart"/>
      <w:r w:rsidR="00755B57" w:rsidRPr="00EE5309">
        <w:t>Informaţ</w:t>
      </w:r>
      <w:r w:rsidR="001E6946" w:rsidRPr="00EE5309">
        <w:t>ii</w:t>
      </w:r>
      <w:proofErr w:type="spellEnd"/>
      <w:r w:rsidR="001E6946" w:rsidRPr="00EE5309">
        <w:t xml:space="preserve">, Ministerul de Interne, Eurocopter (Airbus Helicopters), </w:t>
      </w:r>
      <w:proofErr w:type="spellStart"/>
      <w:r w:rsidR="001E6946" w:rsidRPr="00EE5309">
        <w:t>Denel</w:t>
      </w:r>
      <w:proofErr w:type="spellEnd"/>
      <w:r w:rsidR="001E6946" w:rsidRPr="00EE5309">
        <w:t xml:space="preserve"> – Republica Sud-Africană, Forțele Aeriene din E.A.U., Forțele Armate și Forțele Aeriene din Pakistan, Forțele Aeriene din Sudan (1982-1984), Ministerul Apărării din Coasta de F</w:t>
      </w:r>
      <w:r w:rsidR="00755B57" w:rsidRPr="00EE5309">
        <w:t xml:space="preserve">ildeș, </w:t>
      </w:r>
      <w:proofErr w:type="spellStart"/>
      <w:r w:rsidR="00755B57" w:rsidRPr="00EE5309">
        <w:t>Forţele</w:t>
      </w:r>
      <w:proofErr w:type="spellEnd"/>
      <w:r w:rsidR="00755B57" w:rsidRPr="00EE5309">
        <w:t xml:space="preserve"> Aeriene din Liban, </w:t>
      </w:r>
      <w:proofErr w:type="spellStart"/>
      <w:r w:rsidR="00755B57" w:rsidRPr="00EE5309">
        <w:t>Forţ</w:t>
      </w:r>
      <w:r>
        <w:t>ele</w:t>
      </w:r>
      <w:proofErr w:type="spellEnd"/>
      <w:r>
        <w:t xml:space="preserve"> Aeriene din Oman</w:t>
      </w:r>
      <w:r w:rsidR="001E6946" w:rsidRPr="00EE5309">
        <w:t xml:space="preserve"> etc.</w:t>
      </w:r>
    </w:p>
    <w:p w:rsidR="00755B57" w:rsidRPr="00EE5309" w:rsidRDefault="00755B57" w:rsidP="00755B57">
      <w:pPr>
        <w:pStyle w:val="NormalWeb"/>
        <w:spacing w:before="0" w:beforeAutospacing="0" w:after="0" w:afterAutospacing="0"/>
        <w:ind w:firstLine="567"/>
        <w:jc w:val="both"/>
      </w:pPr>
      <w:r w:rsidRPr="00EE5309">
        <w:lastRenderedPageBreak/>
        <w:t>P</w:t>
      </w:r>
      <w:r w:rsidR="001E6946" w:rsidRPr="00EE5309">
        <w:t xml:space="preserve">entru a avea succes în activitățile și acțiunile </w:t>
      </w:r>
      <w:r w:rsidR="00A83AA5">
        <w:t>desfăș</w:t>
      </w:r>
      <w:r w:rsidRPr="00EE5309">
        <w:t>urate</w:t>
      </w:r>
      <w:r w:rsidR="001E6946" w:rsidRPr="00EE5309">
        <w:t xml:space="preserve">, este necesar să </w:t>
      </w:r>
      <w:r w:rsidRPr="00EE5309">
        <w:t>se țină</w:t>
      </w:r>
      <w:r w:rsidR="001E6946" w:rsidRPr="00EE5309">
        <w:t xml:space="preserve"> cont de evoluțiile ce se înregistrează pe plan internațional.</w:t>
      </w:r>
      <w:r w:rsidRPr="00EE5309">
        <w:t xml:space="preserve"> </w:t>
      </w:r>
      <w:r w:rsidR="001E6946" w:rsidRPr="00EE5309">
        <w:t xml:space="preserve">În acest scop </w:t>
      </w:r>
      <w:r w:rsidRPr="00EE5309">
        <w:t>se va</w:t>
      </w:r>
      <w:r w:rsidR="001E6946" w:rsidRPr="00EE5309">
        <w:t xml:space="preserve"> urmări respectarea permanentă a următorului set de valori: </w:t>
      </w:r>
    </w:p>
    <w:p w:rsidR="00755B57" w:rsidRPr="00EE5309" w:rsidRDefault="001E6946" w:rsidP="00755B57">
      <w:pPr>
        <w:pStyle w:val="NormalWeb"/>
        <w:numPr>
          <w:ilvl w:val="0"/>
          <w:numId w:val="17"/>
        </w:numPr>
        <w:tabs>
          <w:tab w:val="left" w:pos="851"/>
        </w:tabs>
        <w:spacing w:before="0" w:beforeAutospacing="0" w:after="0" w:afterAutospacing="0"/>
        <w:ind w:left="0" w:firstLine="567"/>
        <w:jc w:val="both"/>
      </w:pPr>
      <w:r w:rsidRPr="00EE5309">
        <w:t>Satisfacerea cerințelor clienților reprezintă principala prioritate și obiectivul întregii activități, ținând cont de faptul că, în marea lor majoritate, clienții sunt implicați în asigurarea capacității de apărare națională, precum și în alte misiuni de importanță deosebită cum ar fi: misiuni de asigurare a ordinii de drept, misiuni anti-teroriste, misiuni de căutare-salvare, misiuni de intervenție în caz de calamități naturale, supravegherea frontierelor de stat, evacuarea răniților și asistență medicală, transporturi speciale, misiuni de supraveghere aeriană, misiuni de stingere a incen</w:t>
      </w:r>
      <w:r w:rsidR="002777E9">
        <w:t>diilor</w:t>
      </w:r>
      <w:r w:rsidRPr="00EE5309">
        <w:t xml:space="preserve"> etc.</w:t>
      </w:r>
    </w:p>
    <w:p w:rsidR="008850FC" w:rsidRPr="00EE5309" w:rsidRDefault="001E6946" w:rsidP="008850FC">
      <w:pPr>
        <w:pStyle w:val="NormalWeb"/>
        <w:numPr>
          <w:ilvl w:val="0"/>
          <w:numId w:val="17"/>
        </w:numPr>
        <w:tabs>
          <w:tab w:val="left" w:pos="851"/>
        </w:tabs>
        <w:spacing w:before="0" w:beforeAutospacing="0" w:after="0" w:afterAutospacing="0"/>
        <w:ind w:left="0" w:firstLine="567"/>
        <w:jc w:val="both"/>
      </w:pPr>
      <w:r w:rsidRPr="00EE5309">
        <w:t xml:space="preserve">Succesul companiei depinde atât de modul în care </w:t>
      </w:r>
      <w:r w:rsidR="00755B57" w:rsidRPr="00EE5309">
        <w:t xml:space="preserve">se </w:t>
      </w:r>
      <w:proofErr w:type="spellStart"/>
      <w:r w:rsidR="00755B57" w:rsidRPr="00EE5309">
        <w:t>reușeşte</w:t>
      </w:r>
      <w:proofErr w:type="spellEnd"/>
      <w:r w:rsidRPr="00EE5309">
        <w:t xml:space="preserve"> </w:t>
      </w:r>
      <w:r w:rsidR="00755B57" w:rsidRPr="00EE5309">
        <w:t>modernizarea produselor</w:t>
      </w:r>
      <w:r w:rsidRPr="00EE5309">
        <w:t xml:space="preserve">, astfel încât acestea să răspundă într-o cât mai mare măsură cerințelor operaționale ale utilizatorilor, cât și prin implicarea în parteneriate industriale cu mari producători de elicoptere, acțiune care să permită oferirea de produse noi și de pachete complete de servicii aferente acestora. </w:t>
      </w:r>
    </w:p>
    <w:p w:rsidR="00C72BAD" w:rsidRPr="00EE5309" w:rsidRDefault="00027565" w:rsidP="00530F08">
      <w:pPr>
        <w:pStyle w:val="NormalWeb"/>
        <w:numPr>
          <w:ilvl w:val="0"/>
          <w:numId w:val="17"/>
        </w:numPr>
        <w:tabs>
          <w:tab w:val="left" w:pos="851"/>
        </w:tabs>
        <w:spacing w:before="0" w:beforeAutospacing="0" w:after="0" w:afterAutospacing="0"/>
        <w:ind w:left="0" w:firstLine="567"/>
        <w:jc w:val="both"/>
      </w:pPr>
      <w:r w:rsidRPr="00EE5309">
        <w:rPr>
          <w:rStyle w:val="Strong"/>
          <w:b w:val="0"/>
        </w:rPr>
        <w:t xml:space="preserve">Preocuparea </w:t>
      </w:r>
      <w:r w:rsidR="009A5814" w:rsidRPr="00EE5309">
        <w:rPr>
          <w:rStyle w:val="Strong"/>
          <w:b w:val="0"/>
        </w:rPr>
        <w:t xml:space="preserve">continuă </w:t>
      </w:r>
      <w:r w:rsidRPr="00EE5309">
        <w:rPr>
          <w:rStyle w:val="Strong"/>
          <w:b w:val="0"/>
        </w:rPr>
        <w:t>pentru membrii firmei:</w:t>
      </w:r>
      <w:r w:rsidRPr="00EE5309">
        <w:t xml:space="preserve"> </w:t>
      </w:r>
      <w:r w:rsidR="00DD7C19" w:rsidRPr="00EE5309">
        <w:t xml:space="preserve">se </w:t>
      </w:r>
      <w:proofErr w:type="spellStart"/>
      <w:r w:rsidR="00DD7C19" w:rsidRPr="00EE5309">
        <w:t>urmăreşte</w:t>
      </w:r>
      <w:proofErr w:type="spellEnd"/>
      <w:r w:rsidR="001E6946" w:rsidRPr="00EE5309">
        <w:t xml:space="preserve"> selecționarea, instruirea și motivarea salariaților, dar și asigurarea unor condiții optime de muncă, pentru a putea obține cea mai bună calitate în condițiile unor rezultate comerci</w:t>
      </w:r>
      <w:r w:rsidR="00902B06" w:rsidRPr="00EE5309">
        <w:t xml:space="preserve">ale și financiare cât mai bune. </w:t>
      </w:r>
      <w:r w:rsidR="008850FC" w:rsidRPr="00EE5309">
        <w:t>(</w:t>
      </w:r>
      <w:hyperlink r:id="rId23" w:history="1">
        <w:r w:rsidR="008850FC" w:rsidRPr="00EE5309">
          <w:rPr>
            <w:rStyle w:val="Hyperlink"/>
          </w:rPr>
          <w:t>https://www.iar.ro/despre-noi/</w:t>
        </w:r>
      </w:hyperlink>
      <w:r w:rsidR="008850FC" w:rsidRPr="00EE5309">
        <w:t>)</w:t>
      </w:r>
    </w:p>
    <w:p w:rsidR="00530F08" w:rsidRPr="00EE5309" w:rsidRDefault="00530F08" w:rsidP="00530F08">
      <w:pPr>
        <w:pStyle w:val="NormalWeb"/>
        <w:spacing w:before="0" w:beforeAutospacing="0" w:after="0" w:afterAutospacing="0"/>
        <w:ind w:firstLine="567"/>
        <w:jc w:val="both"/>
      </w:pPr>
      <w:r w:rsidRPr="00EE5309">
        <w:rPr>
          <w:b/>
          <w:i/>
          <w:color w:val="000000" w:themeColor="text1"/>
        </w:rPr>
        <w:t xml:space="preserve">S.C. AVIOANE S.A. </w:t>
      </w:r>
      <w:r w:rsidRPr="00EE5309">
        <w:t xml:space="preserve">a fost fondată în </w:t>
      </w:r>
      <w:r w:rsidR="002F15C6">
        <w:t>anul 1972 în scopul producerii ș</w:t>
      </w:r>
      <w:r w:rsidRPr="00EE5309">
        <w:t xml:space="preserve">i furnizării de avioane militare pentru </w:t>
      </w:r>
      <w:proofErr w:type="spellStart"/>
      <w:r w:rsidRPr="00EE5309">
        <w:t>Forţele</w:t>
      </w:r>
      <w:proofErr w:type="spellEnd"/>
      <w:r w:rsidRPr="00EE5309">
        <w:t xml:space="preserve"> Aeriene Române.</w:t>
      </w:r>
    </w:p>
    <w:p w:rsidR="00530F08" w:rsidRPr="00EE5309" w:rsidRDefault="00530F08" w:rsidP="00530F08">
      <w:pPr>
        <w:pStyle w:val="NormalWeb"/>
        <w:spacing w:before="0" w:beforeAutospacing="0" w:after="0" w:afterAutospacing="0"/>
        <w:ind w:firstLine="567"/>
        <w:jc w:val="both"/>
      </w:pPr>
      <w:r w:rsidRPr="00EE5309">
        <w:t xml:space="preserve">Compania </w:t>
      </w:r>
      <w:proofErr w:type="spellStart"/>
      <w:r w:rsidRPr="00EE5309">
        <w:t>ş</w:t>
      </w:r>
      <w:r w:rsidR="00D53F17" w:rsidRPr="00EE5309">
        <w:t>i</w:t>
      </w:r>
      <w:proofErr w:type="spellEnd"/>
      <w:r w:rsidR="00D53F17" w:rsidRPr="00EE5309">
        <w:t>-a început activitatea ca producă</w:t>
      </w:r>
      <w:r w:rsidRPr="00EE5309">
        <w:t xml:space="preserve">tor de avioane prin </w:t>
      </w:r>
      <w:r w:rsidR="00D53F17" w:rsidRPr="00EE5309">
        <w:t xml:space="preserve">cooperarea cu fosta </w:t>
      </w:r>
      <w:proofErr w:type="spellStart"/>
      <w:r w:rsidR="00D53F17" w:rsidRPr="00EE5309">
        <w:t>Yugoslavie</w:t>
      </w:r>
      <w:proofErr w:type="spellEnd"/>
      <w:r w:rsidR="00D53F17" w:rsidRPr="00EE5309">
        <w:t xml:space="preserve"> î</w:t>
      </w:r>
      <w:r w:rsidRPr="00EE5309">
        <w:t>n dezvoltarea proiectului comu</w:t>
      </w:r>
      <w:r w:rsidR="00D53F17" w:rsidRPr="00EE5309">
        <w:t xml:space="preserve">n al avionului de bombardament </w:t>
      </w:r>
      <w:proofErr w:type="spellStart"/>
      <w:r w:rsidR="00D53F17" w:rsidRPr="00EE5309">
        <w:t>ş</w:t>
      </w:r>
      <w:r w:rsidRPr="00EE5309">
        <w:t>i</w:t>
      </w:r>
      <w:proofErr w:type="spellEnd"/>
      <w:r w:rsidRPr="00EE5309">
        <w:t xml:space="preserve"> atac la sol IAR-93. </w:t>
      </w:r>
      <w:r w:rsidR="00D53F17" w:rsidRPr="00EE5309">
        <w:t>Î</w:t>
      </w:r>
      <w:r w:rsidRPr="00EE5309">
        <w:t xml:space="preserve">n perioada anilor 1980, compania a proiectat </w:t>
      </w:r>
      <w:r w:rsidR="003A05DB" w:rsidRPr="00EE5309">
        <w:t xml:space="preserve">împreună cu Institutul </w:t>
      </w:r>
      <w:proofErr w:type="spellStart"/>
      <w:r w:rsidR="003A05DB" w:rsidRPr="00EE5309">
        <w:t>Naţ</w:t>
      </w:r>
      <w:r w:rsidRPr="00EE5309">
        <w:t>ional</w:t>
      </w:r>
      <w:proofErr w:type="spellEnd"/>
      <w:r w:rsidRPr="00EE5309">
        <w:t xml:space="preserve"> de </w:t>
      </w:r>
      <w:proofErr w:type="spellStart"/>
      <w:r w:rsidRPr="00EE5309">
        <w:t>Con</w:t>
      </w:r>
      <w:r w:rsidR="003A05DB" w:rsidRPr="00EE5309">
        <w:t>strucţii</w:t>
      </w:r>
      <w:proofErr w:type="spellEnd"/>
      <w:r w:rsidR="003A05DB" w:rsidRPr="00EE5309">
        <w:t xml:space="preserve"> </w:t>
      </w:r>
      <w:proofErr w:type="spellStart"/>
      <w:r w:rsidR="003A05DB" w:rsidRPr="00EE5309">
        <w:t>Aerospaţiale</w:t>
      </w:r>
      <w:proofErr w:type="spellEnd"/>
      <w:r w:rsidR="003A05DB" w:rsidRPr="00EE5309">
        <w:t xml:space="preserve">, produs în întregime </w:t>
      </w:r>
      <w:proofErr w:type="spellStart"/>
      <w:r w:rsidR="003A05DB" w:rsidRPr="00EE5309">
        <w:t>şi</w:t>
      </w:r>
      <w:proofErr w:type="spellEnd"/>
      <w:r w:rsidR="003A05DB" w:rsidRPr="00EE5309">
        <w:t xml:space="preserve"> calificat împreună</w:t>
      </w:r>
      <w:r w:rsidRPr="00EE5309">
        <w:t xml:space="preserve"> cu Centr</w:t>
      </w:r>
      <w:r w:rsidR="003A05DB" w:rsidRPr="00EE5309">
        <w:t xml:space="preserve">ul de Cercetări </w:t>
      </w:r>
      <w:proofErr w:type="spellStart"/>
      <w:r w:rsidR="003A05DB" w:rsidRPr="00EE5309">
        <w:t>şi</w:t>
      </w:r>
      <w:proofErr w:type="spellEnd"/>
      <w:r w:rsidR="003A05DB" w:rsidRPr="00EE5309">
        <w:t xml:space="preserve"> Încercări î</w:t>
      </w:r>
      <w:r w:rsidRPr="00EE5309">
        <w:t>n Zbor avionul de an</w:t>
      </w:r>
      <w:r w:rsidR="003A05DB" w:rsidRPr="00EE5309">
        <w:t xml:space="preserve">trenament IAR-99; avionul este </w:t>
      </w:r>
      <w:proofErr w:type="spellStart"/>
      <w:r w:rsidR="003A05DB" w:rsidRPr="00EE5309">
        <w:t>şi</w:t>
      </w:r>
      <w:proofErr w:type="spellEnd"/>
      <w:r w:rsidR="003A05DB" w:rsidRPr="00EE5309">
        <w:t xml:space="preserve"> în prezent în </w:t>
      </w:r>
      <w:proofErr w:type="spellStart"/>
      <w:r w:rsidR="003A05DB" w:rsidRPr="00EE5309">
        <w:t>fabricaţie</w:t>
      </w:r>
      <w:proofErr w:type="spellEnd"/>
      <w:r w:rsidR="003A05DB" w:rsidRPr="00EE5309">
        <w:t xml:space="preserve"> </w:t>
      </w:r>
      <w:proofErr w:type="spellStart"/>
      <w:r w:rsidR="003A05DB" w:rsidRPr="00EE5309">
        <w:t>şi</w:t>
      </w:r>
      <w:proofErr w:type="spellEnd"/>
      <w:r w:rsidR="003A05DB" w:rsidRPr="00EE5309">
        <w:t xml:space="preserve"> în serviciul </w:t>
      </w:r>
      <w:proofErr w:type="spellStart"/>
      <w:r w:rsidR="003A05DB" w:rsidRPr="00EE5309">
        <w:t>Forţelor</w:t>
      </w:r>
      <w:proofErr w:type="spellEnd"/>
      <w:r w:rsidR="003A05DB" w:rsidRPr="00EE5309">
        <w:t xml:space="preserve"> Aeriene ale României în versiunea modernizată – IAR 99 Ş</w:t>
      </w:r>
      <w:r w:rsidRPr="00EE5309">
        <w:t>OIM. Avionul este dovada remarcabil</w:t>
      </w:r>
      <w:r w:rsidR="003A05DB" w:rsidRPr="00EE5309">
        <w:t xml:space="preserve">ă a </w:t>
      </w:r>
      <w:proofErr w:type="spellStart"/>
      <w:r w:rsidR="003A05DB" w:rsidRPr="00EE5309">
        <w:t>capabilităţ</w:t>
      </w:r>
      <w:r w:rsidRPr="00EE5309">
        <w:t>ilor</w:t>
      </w:r>
      <w:proofErr w:type="spellEnd"/>
      <w:r w:rsidRPr="00EE5309">
        <w:t xml:space="preserve"> companiei c</w:t>
      </w:r>
      <w:r w:rsidR="003A05DB" w:rsidRPr="00EE5309">
        <w:t xml:space="preserve">a partener ideal în proiectarea </w:t>
      </w:r>
      <w:proofErr w:type="spellStart"/>
      <w:r w:rsidR="003A05DB" w:rsidRPr="00EE5309">
        <w:t>şi</w:t>
      </w:r>
      <w:proofErr w:type="spellEnd"/>
      <w:r w:rsidR="003A05DB" w:rsidRPr="00EE5309">
        <w:t xml:space="preserve"> </w:t>
      </w:r>
      <w:proofErr w:type="spellStart"/>
      <w:r w:rsidR="003A05DB" w:rsidRPr="00EE5309">
        <w:t>execuţia</w:t>
      </w:r>
      <w:proofErr w:type="spellEnd"/>
      <w:r w:rsidR="003A05DB" w:rsidRPr="00EE5309">
        <w:t xml:space="preserve"> produselor de </w:t>
      </w:r>
      <w:proofErr w:type="spellStart"/>
      <w:r w:rsidR="003A05DB" w:rsidRPr="00EE5309">
        <w:t>aviaţie</w:t>
      </w:r>
      <w:proofErr w:type="spellEnd"/>
      <w:r w:rsidR="003A05DB" w:rsidRPr="00EE5309">
        <w:t xml:space="preserve">, cât </w:t>
      </w:r>
      <w:proofErr w:type="spellStart"/>
      <w:r w:rsidR="003A05DB" w:rsidRPr="00EE5309">
        <w:t>ş</w:t>
      </w:r>
      <w:r w:rsidRPr="00EE5309">
        <w:t>i</w:t>
      </w:r>
      <w:proofErr w:type="spellEnd"/>
      <w:r w:rsidRPr="00EE5309">
        <w:t xml:space="preserve"> a celor industriale.</w:t>
      </w:r>
    </w:p>
    <w:p w:rsidR="0006615D" w:rsidRPr="00EE5309" w:rsidRDefault="0006615D" w:rsidP="0006615D">
      <w:pPr>
        <w:pStyle w:val="NormalWeb"/>
        <w:spacing w:before="0" w:beforeAutospacing="0" w:after="0" w:afterAutospacing="0"/>
        <w:ind w:firstLine="567"/>
        <w:jc w:val="both"/>
      </w:pPr>
      <w:r w:rsidRPr="00EE5309">
        <w:t xml:space="preserve">În ceea ce </w:t>
      </w:r>
      <w:proofErr w:type="spellStart"/>
      <w:r w:rsidRPr="00EE5309">
        <w:t>priveşte</w:t>
      </w:r>
      <w:proofErr w:type="spellEnd"/>
      <w:r w:rsidRPr="00EE5309">
        <w:t xml:space="preserve"> </w:t>
      </w:r>
      <w:proofErr w:type="spellStart"/>
      <w:r w:rsidRPr="00EE5309">
        <w:t>capabilităţ</w:t>
      </w:r>
      <w:r w:rsidR="00530F08" w:rsidRPr="00EE5309">
        <w:t>ile</w:t>
      </w:r>
      <w:proofErr w:type="spellEnd"/>
      <w:r w:rsidR="00530F08" w:rsidRPr="00EE5309">
        <w:t xml:space="preserve"> companiei</w:t>
      </w:r>
      <w:r w:rsidRPr="00EE5309">
        <w:t>, acestea</w:t>
      </w:r>
      <w:r w:rsidR="00530F08" w:rsidRPr="00EE5309">
        <w:t xml:space="preserve"> acoper</w:t>
      </w:r>
      <w:r w:rsidRPr="00EE5309">
        <w:t xml:space="preserve">ă un domeniu larg de </w:t>
      </w:r>
      <w:proofErr w:type="spellStart"/>
      <w:r w:rsidRPr="00EE5309">
        <w:t>activităţi</w:t>
      </w:r>
      <w:proofErr w:type="spellEnd"/>
      <w:r w:rsidRPr="00EE5309">
        <w:t xml:space="preserve"> de inginerie </w:t>
      </w:r>
      <w:proofErr w:type="spellStart"/>
      <w:r w:rsidRPr="00EE5309">
        <w:t>şi</w:t>
      </w:r>
      <w:proofErr w:type="spellEnd"/>
      <w:r w:rsidRPr="00EE5309">
        <w:t xml:space="preserve"> proiectare, </w:t>
      </w:r>
      <w:proofErr w:type="spellStart"/>
      <w:r w:rsidRPr="00EE5309">
        <w:t>mentenanţa</w:t>
      </w:r>
      <w:proofErr w:type="spellEnd"/>
      <w:r w:rsidR="00530F08" w:rsidRPr="00EE5309">
        <w:t xml:space="preserve"> produsului, testare, proiectare</w:t>
      </w:r>
      <w:r w:rsidRPr="00EE5309">
        <w:t xml:space="preserve"> </w:t>
      </w:r>
      <w:proofErr w:type="spellStart"/>
      <w:r w:rsidRPr="00EE5309">
        <w:t>şi</w:t>
      </w:r>
      <w:proofErr w:type="spellEnd"/>
      <w:r w:rsidRPr="00EE5309">
        <w:t xml:space="preserve"> </w:t>
      </w:r>
      <w:proofErr w:type="spellStart"/>
      <w:r w:rsidRPr="00EE5309">
        <w:t>execuţie</w:t>
      </w:r>
      <w:proofErr w:type="spellEnd"/>
      <w:r w:rsidRPr="00EE5309">
        <w:t xml:space="preserve"> de scule </w:t>
      </w:r>
      <w:proofErr w:type="spellStart"/>
      <w:r w:rsidRPr="00EE5309">
        <w:t>şi</w:t>
      </w:r>
      <w:proofErr w:type="spellEnd"/>
      <w:r w:rsidRPr="00EE5309">
        <w:t xml:space="preserve"> verificatoare, </w:t>
      </w:r>
      <w:proofErr w:type="spellStart"/>
      <w:r w:rsidRPr="00EE5309">
        <w:t>fabricaţie</w:t>
      </w:r>
      <w:proofErr w:type="spellEnd"/>
      <w:r w:rsidRPr="00EE5309">
        <w:t xml:space="preserve"> de aeronave </w:t>
      </w:r>
      <w:proofErr w:type="spellStart"/>
      <w:r w:rsidRPr="00EE5309">
        <w:t>şi</w:t>
      </w:r>
      <w:proofErr w:type="spellEnd"/>
      <w:r w:rsidRPr="00EE5309">
        <w:t xml:space="preserve"> subansamble structurale </w:t>
      </w:r>
      <w:proofErr w:type="spellStart"/>
      <w:r w:rsidRPr="00EE5309">
        <w:t>şi</w:t>
      </w:r>
      <w:proofErr w:type="spellEnd"/>
      <w:r w:rsidRPr="00EE5309">
        <w:t xml:space="preserve"> suport produs. Procesele </w:t>
      </w:r>
      <w:proofErr w:type="spellStart"/>
      <w:r w:rsidRPr="00EE5309">
        <w:t>ş</w:t>
      </w:r>
      <w:r w:rsidR="00530F08" w:rsidRPr="00EE5309">
        <w:t>i</w:t>
      </w:r>
      <w:proofErr w:type="spellEnd"/>
      <w:r w:rsidR="00530F08" w:rsidRPr="00EE5309">
        <w:t xml:space="preserve"> serviciile oferite de </w:t>
      </w:r>
      <w:r w:rsidRPr="00EE5309">
        <w:t>companie acoperă</w:t>
      </w:r>
      <w:r w:rsidR="00530F08" w:rsidRPr="00EE5309">
        <w:t xml:space="preserve"> aproape toate ariile de </w:t>
      </w:r>
      <w:proofErr w:type="spellStart"/>
      <w:r w:rsidR="00530F08" w:rsidRPr="00EE5309">
        <w:t>fabricatie</w:t>
      </w:r>
      <w:proofErr w:type="spellEnd"/>
      <w:r w:rsidRPr="00EE5309">
        <w:t xml:space="preserve">, </w:t>
      </w:r>
      <w:proofErr w:type="spellStart"/>
      <w:r w:rsidRPr="00EE5309">
        <w:t>şi</w:t>
      </w:r>
      <w:proofErr w:type="spellEnd"/>
      <w:r w:rsidRPr="00EE5309">
        <w:t xml:space="preserve"> anume</w:t>
      </w:r>
      <w:r w:rsidR="00530F08" w:rsidRPr="00EE5309">
        <w:t>:</w:t>
      </w:r>
    </w:p>
    <w:p w:rsidR="0006615D" w:rsidRPr="00EE5309" w:rsidRDefault="00530F08" w:rsidP="0006615D">
      <w:pPr>
        <w:pStyle w:val="NormalWeb"/>
        <w:numPr>
          <w:ilvl w:val="0"/>
          <w:numId w:val="17"/>
        </w:numPr>
        <w:tabs>
          <w:tab w:val="left" w:pos="851"/>
        </w:tabs>
        <w:spacing w:before="0" w:beforeAutospacing="0" w:after="0" w:afterAutospacing="0"/>
        <w:ind w:left="0" w:firstLine="567"/>
        <w:jc w:val="both"/>
      </w:pPr>
      <w:r w:rsidRPr="00EE5309">
        <w:t>prelucrarea p</w:t>
      </w:r>
      <w:r w:rsidR="007F6180" w:rsidRPr="00EE5309">
        <w:t xml:space="preserve">ieselor din aliaje de aluminiu </w:t>
      </w:r>
      <w:proofErr w:type="spellStart"/>
      <w:r w:rsidR="007F6180" w:rsidRPr="00EE5309">
        <w:t>şi</w:t>
      </w:r>
      <w:proofErr w:type="spellEnd"/>
      <w:r w:rsidR="007F6180" w:rsidRPr="00EE5309">
        <w:t xml:space="preserve"> </w:t>
      </w:r>
      <w:proofErr w:type="spellStart"/>
      <w:r w:rsidR="007F6180" w:rsidRPr="00EE5309">
        <w:t>oţ</w:t>
      </w:r>
      <w:r w:rsidRPr="00EE5309">
        <w:t>el</w:t>
      </w:r>
      <w:proofErr w:type="spellEnd"/>
      <w:r w:rsidRPr="00EE5309">
        <w:t>;</w:t>
      </w:r>
    </w:p>
    <w:p w:rsidR="0006615D" w:rsidRPr="00EE5309" w:rsidRDefault="00530F08" w:rsidP="0006615D">
      <w:pPr>
        <w:pStyle w:val="NormalWeb"/>
        <w:numPr>
          <w:ilvl w:val="0"/>
          <w:numId w:val="17"/>
        </w:numPr>
        <w:tabs>
          <w:tab w:val="left" w:pos="851"/>
        </w:tabs>
        <w:spacing w:before="0" w:beforeAutospacing="0" w:after="0" w:afterAutospacing="0"/>
        <w:ind w:left="0" w:firstLine="567"/>
        <w:jc w:val="both"/>
      </w:pPr>
      <w:r w:rsidRPr="00EE5309">
        <w:t xml:space="preserve">procese speciale calificate pentru </w:t>
      </w:r>
      <w:proofErr w:type="spellStart"/>
      <w:r w:rsidRPr="00EE5309">
        <w:t>avia</w:t>
      </w:r>
      <w:r w:rsidR="007F6180" w:rsidRPr="00EE5309">
        <w:t>ţie</w:t>
      </w:r>
      <w:proofErr w:type="spellEnd"/>
      <w:r w:rsidR="007F6180" w:rsidRPr="00EE5309">
        <w:t xml:space="preserve">: tratamente termice </w:t>
      </w:r>
      <w:proofErr w:type="spellStart"/>
      <w:r w:rsidR="007F6180" w:rsidRPr="00EE5309">
        <w:t>şi</w:t>
      </w:r>
      <w:proofErr w:type="spellEnd"/>
      <w:r w:rsidR="007F6180" w:rsidRPr="00EE5309">
        <w:t xml:space="preserve"> de </w:t>
      </w:r>
      <w:proofErr w:type="spellStart"/>
      <w:r w:rsidR="007F6180" w:rsidRPr="00EE5309">
        <w:t>protecţ</w:t>
      </w:r>
      <w:r w:rsidRPr="00EE5309">
        <w:t>ie</w:t>
      </w:r>
      <w:proofErr w:type="spellEnd"/>
      <w:r w:rsidRPr="00EE5309">
        <w:t xml:space="preserve"> a </w:t>
      </w:r>
      <w:proofErr w:type="spellStart"/>
      <w:r w:rsidRPr="00EE5309">
        <w:t>suprafe</w:t>
      </w:r>
      <w:r w:rsidR="007F6180" w:rsidRPr="00EE5309">
        <w:t>ţ</w:t>
      </w:r>
      <w:r w:rsidRPr="00EE5309">
        <w:t>ei</w:t>
      </w:r>
      <w:proofErr w:type="spellEnd"/>
      <w:r w:rsidRPr="00EE5309">
        <w:t xml:space="preserve"> (cadmiere, </w:t>
      </w:r>
      <w:proofErr w:type="spellStart"/>
      <w:r w:rsidRPr="00EE5309">
        <w:t>anodiz</w:t>
      </w:r>
      <w:r w:rsidR="007F6180" w:rsidRPr="00EE5309">
        <w:t>are</w:t>
      </w:r>
      <w:proofErr w:type="spellEnd"/>
      <w:r w:rsidR="007F6180" w:rsidRPr="00EE5309">
        <w:t>, fosfatare, nitrurare ionică</w:t>
      </w:r>
      <w:r w:rsidRPr="00EE5309">
        <w:t xml:space="preserve"> etc</w:t>
      </w:r>
      <w:r w:rsidR="007F6180" w:rsidRPr="00EE5309">
        <w:t>.</w:t>
      </w:r>
      <w:r w:rsidRPr="00EE5309">
        <w:t>);</w:t>
      </w:r>
    </w:p>
    <w:p w:rsidR="0006615D" w:rsidRPr="00EE5309" w:rsidRDefault="007F6180" w:rsidP="0006615D">
      <w:pPr>
        <w:pStyle w:val="NormalWeb"/>
        <w:numPr>
          <w:ilvl w:val="0"/>
          <w:numId w:val="17"/>
        </w:numPr>
        <w:tabs>
          <w:tab w:val="left" w:pos="851"/>
        </w:tabs>
        <w:spacing w:before="0" w:beforeAutospacing="0" w:after="0" w:afterAutospacing="0"/>
        <w:ind w:left="0" w:firstLine="567"/>
        <w:jc w:val="both"/>
      </w:pPr>
      <w:r w:rsidRPr="00EE5309">
        <w:t xml:space="preserve">montaj general, asamblare finală, echipare </w:t>
      </w:r>
      <w:proofErr w:type="spellStart"/>
      <w:r w:rsidRPr="00EE5309">
        <w:t>ş</w:t>
      </w:r>
      <w:r w:rsidR="00530F08" w:rsidRPr="00EE5309">
        <w:t>i</w:t>
      </w:r>
      <w:proofErr w:type="spellEnd"/>
      <w:r w:rsidR="00530F08" w:rsidRPr="00EE5309">
        <w:t xml:space="preserve"> testare;</w:t>
      </w:r>
    </w:p>
    <w:p w:rsidR="0006615D" w:rsidRPr="00EE5309" w:rsidRDefault="007F6180" w:rsidP="0006615D">
      <w:pPr>
        <w:pStyle w:val="NormalWeb"/>
        <w:numPr>
          <w:ilvl w:val="0"/>
          <w:numId w:val="17"/>
        </w:numPr>
        <w:tabs>
          <w:tab w:val="left" w:pos="851"/>
        </w:tabs>
        <w:spacing w:before="0" w:beforeAutospacing="0" w:after="0" w:afterAutospacing="0"/>
        <w:ind w:left="0" w:firstLine="567"/>
        <w:jc w:val="both"/>
      </w:pPr>
      <w:r w:rsidRPr="00EE5309">
        <w:t>vopsire finală (inclusiv vopsiri avion) într-o incintă de mă</w:t>
      </w:r>
      <w:r w:rsidR="00530F08" w:rsidRPr="00EE5309">
        <w:t>rime medie;</w:t>
      </w:r>
    </w:p>
    <w:p w:rsidR="00530F08" w:rsidRPr="00EE5309" w:rsidRDefault="007F6180" w:rsidP="0006615D">
      <w:pPr>
        <w:pStyle w:val="NormalWeb"/>
        <w:numPr>
          <w:ilvl w:val="0"/>
          <w:numId w:val="17"/>
        </w:numPr>
        <w:tabs>
          <w:tab w:val="left" w:pos="851"/>
        </w:tabs>
        <w:spacing w:before="0" w:beforeAutospacing="0" w:after="0" w:afterAutospacing="0"/>
        <w:ind w:left="0" w:firstLine="567"/>
        <w:jc w:val="both"/>
      </w:pPr>
      <w:r w:rsidRPr="00EE5309">
        <w:t>încercă</w:t>
      </w:r>
      <w:r w:rsidR="00530F08" w:rsidRPr="00EE5309">
        <w:t xml:space="preserve">ri </w:t>
      </w:r>
      <w:proofErr w:type="spellStart"/>
      <w:r w:rsidR="00530F08" w:rsidRPr="00EE5309">
        <w:t>def</w:t>
      </w:r>
      <w:r w:rsidRPr="00EE5309">
        <w:t>ectoscopice</w:t>
      </w:r>
      <w:proofErr w:type="spellEnd"/>
      <w:r w:rsidRPr="00EE5309">
        <w:t xml:space="preserve"> nedistructive, lucră</w:t>
      </w:r>
      <w:r w:rsidR="00530F08" w:rsidRPr="00EE5309">
        <w:t>ri de laborato</w:t>
      </w:r>
      <w:r w:rsidRPr="00EE5309">
        <w:t xml:space="preserve">r pentru testarea materialelor </w:t>
      </w:r>
      <w:proofErr w:type="spellStart"/>
      <w:r w:rsidRPr="00EE5309">
        <w:t>şi</w:t>
      </w:r>
      <w:proofErr w:type="spellEnd"/>
      <w:r w:rsidRPr="00EE5309">
        <w:t xml:space="preserve"> echipamentelor </w:t>
      </w:r>
      <w:proofErr w:type="spellStart"/>
      <w:r w:rsidRPr="00EE5309">
        <w:t>şi</w:t>
      </w:r>
      <w:proofErr w:type="spellEnd"/>
      <w:r w:rsidRPr="00EE5309">
        <w:t xml:space="preserve"> mă</w:t>
      </w:r>
      <w:r w:rsidR="00530F08" w:rsidRPr="00EE5309">
        <w:t xml:space="preserve">surare pe </w:t>
      </w:r>
      <w:proofErr w:type="spellStart"/>
      <w:r w:rsidR="00530F08" w:rsidRPr="00EE5309">
        <w:t>ma</w:t>
      </w:r>
      <w:r w:rsidRPr="00EE5309">
        <w:t>ş</w:t>
      </w:r>
      <w:r w:rsidR="00530F08" w:rsidRPr="00EE5309">
        <w:t>ini</w:t>
      </w:r>
      <w:proofErr w:type="spellEnd"/>
      <w:r w:rsidR="00530F08" w:rsidRPr="00EE5309">
        <w:t xml:space="preserve"> digitale</w:t>
      </w:r>
      <w:r w:rsidRPr="00EE5309">
        <w:t xml:space="preserve"> pentru dimensiuni mici, medii </w:t>
      </w:r>
      <w:proofErr w:type="spellStart"/>
      <w:r w:rsidRPr="00EE5309">
        <w:t>ş</w:t>
      </w:r>
      <w:r w:rsidR="00902B06" w:rsidRPr="00EE5309">
        <w:t>i</w:t>
      </w:r>
      <w:proofErr w:type="spellEnd"/>
      <w:r w:rsidR="00902B06" w:rsidRPr="00EE5309">
        <w:t xml:space="preserve"> mari. </w:t>
      </w:r>
      <w:r w:rsidR="00530F08" w:rsidRPr="00EE5309">
        <w:t>(</w:t>
      </w:r>
      <w:hyperlink r:id="rId24" w:history="1">
        <w:r w:rsidR="00530F08" w:rsidRPr="00EE5309">
          <w:rPr>
            <w:rStyle w:val="Hyperlink"/>
          </w:rPr>
          <w:t>http://www.acv.ro/despre-noi/?lang=ro</w:t>
        </w:r>
      </w:hyperlink>
      <w:r w:rsidR="00902B06" w:rsidRPr="00EE5309">
        <w:t>)</w:t>
      </w:r>
    </w:p>
    <w:p w:rsidR="00E1321B" w:rsidRPr="00EE5309" w:rsidRDefault="00617408" w:rsidP="00E1321B">
      <w:pPr>
        <w:pStyle w:val="NormalWeb"/>
        <w:spacing w:before="0" w:beforeAutospacing="0" w:after="0" w:afterAutospacing="0"/>
        <w:ind w:firstLine="567"/>
        <w:jc w:val="both"/>
      </w:pPr>
      <w:r w:rsidRPr="00EE5309">
        <w:rPr>
          <w:b/>
          <w:i/>
          <w:color w:val="000000" w:themeColor="text1"/>
        </w:rPr>
        <w:t xml:space="preserve">S.C. ROMAERO S.A. </w:t>
      </w:r>
      <w:proofErr w:type="spellStart"/>
      <w:r w:rsidR="00E1321B" w:rsidRPr="00EE5309">
        <w:t>deţine</w:t>
      </w:r>
      <w:proofErr w:type="spellEnd"/>
      <w:r w:rsidR="00E1321B" w:rsidRPr="00EE5309">
        <w:t xml:space="preserve"> o î</w:t>
      </w:r>
      <w:r w:rsidR="00AA28EE" w:rsidRPr="00EE5309">
        <w:t>ndelungată</w:t>
      </w:r>
      <w:r w:rsidR="00E1321B" w:rsidRPr="00EE5309">
        <w:t xml:space="preserve"> </w:t>
      </w:r>
      <w:proofErr w:type="spellStart"/>
      <w:r w:rsidR="00E1321B" w:rsidRPr="00EE5309">
        <w:t>experienţă</w:t>
      </w:r>
      <w:proofErr w:type="spellEnd"/>
      <w:r w:rsidR="00E1321B" w:rsidRPr="00EE5309">
        <w:t xml:space="preserve"> în fabricarea de aeronave </w:t>
      </w:r>
      <w:proofErr w:type="spellStart"/>
      <w:r w:rsidR="00E1321B" w:rsidRPr="00EE5309">
        <w:t>şi</w:t>
      </w:r>
      <w:proofErr w:type="spellEnd"/>
      <w:r w:rsidR="00E1321B" w:rsidRPr="00EE5309">
        <w:t xml:space="preserve"> componente de aeronave cum ar fi î</w:t>
      </w:r>
      <w:r w:rsidR="005965AB" w:rsidRPr="00EE5309">
        <w:t>nveliș</w:t>
      </w:r>
      <w:r w:rsidR="00E1321B" w:rsidRPr="00EE5309">
        <w:t xml:space="preserve">uri, componente structurale </w:t>
      </w:r>
      <w:proofErr w:type="spellStart"/>
      <w:r w:rsidR="00E1321B" w:rsidRPr="00EE5309">
        <w:t>şi</w:t>
      </w:r>
      <w:proofErr w:type="spellEnd"/>
      <w:r w:rsidR="00E1321B" w:rsidRPr="00EE5309">
        <w:t xml:space="preserve"> ansamble. În acest domeniu punctele forte ale companiei sunt:</w:t>
      </w:r>
    </w:p>
    <w:p w:rsidR="00E1321B" w:rsidRPr="00EE5309" w:rsidRDefault="00E1321B" w:rsidP="004468D3">
      <w:pPr>
        <w:pStyle w:val="NormalWeb"/>
        <w:numPr>
          <w:ilvl w:val="0"/>
          <w:numId w:val="17"/>
        </w:numPr>
        <w:tabs>
          <w:tab w:val="left" w:pos="851"/>
        </w:tabs>
        <w:spacing w:before="0" w:beforeAutospacing="0" w:after="0" w:afterAutospacing="0"/>
        <w:ind w:left="0" w:firstLine="567"/>
        <w:jc w:val="both"/>
      </w:pPr>
      <w:r w:rsidRPr="00EE5309">
        <w:t>un</w:t>
      </w:r>
      <w:r w:rsidR="00AA28EE" w:rsidRPr="00EE5309">
        <w:t xml:space="preserve"> portofoliu extins de produse: începâ</w:t>
      </w:r>
      <w:r w:rsidR="00E75E59">
        <w:t>nd cu fabricarea</w:t>
      </w:r>
      <w:r w:rsidRPr="00EE5309">
        <w:t xml:space="preserve"> componente</w:t>
      </w:r>
      <w:r w:rsidR="00E75E59">
        <w:t>lor din</w:t>
      </w:r>
      <w:r w:rsidRPr="00EE5309">
        <w:t xml:space="preserve"> clasa „C”, ans</w:t>
      </w:r>
      <w:r w:rsidR="00AA28EE" w:rsidRPr="00EE5309">
        <w:t xml:space="preserve">amble </w:t>
      </w:r>
      <w:r w:rsidR="005965AB" w:rsidRPr="00EE5309">
        <w:t xml:space="preserve">majore </w:t>
      </w:r>
      <w:proofErr w:type="spellStart"/>
      <w:r w:rsidR="005965AB" w:rsidRPr="00EE5309">
        <w:t>şi</w:t>
      </w:r>
      <w:proofErr w:type="spellEnd"/>
      <w:r w:rsidR="005965AB" w:rsidRPr="00EE5309">
        <w:t xml:space="preserve"> minore până la reparaț</w:t>
      </w:r>
      <w:r w:rsidR="00AA28EE" w:rsidRPr="00EE5309">
        <w:t xml:space="preserve">ii complexe </w:t>
      </w:r>
      <w:proofErr w:type="spellStart"/>
      <w:r w:rsidR="00AA28EE" w:rsidRPr="00EE5309">
        <w:t>şi</w:t>
      </w:r>
      <w:proofErr w:type="spellEnd"/>
      <w:r w:rsidR="00AA28EE" w:rsidRPr="00EE5309">
        <w:t xml:space="preserve"> </w:t>
      </w:r>
      <w:proofErr w:type="spellStart"/>
      <w:r w:rsidR="00AA28EE" w:rsidRPr="00EE5309">
        <w:t>operaţiuni</w:t>
      </w:r>
      <w:proofErr w:type="spellEnd"/>
      <w:r w:rsidR="00AA28EE" w:rsidRPr="00EE5309">
        <w:t xml:space="preserve"> de </w:t>
      </w:r>
      <w:proofErr w:type="spellStart"/>
      <w:r w:rsidR="00AA28EE" w:rsidRPr="00EE5309">
        <w:t>mentenanţă</w:t>
      </w:r>
      <w:proofErr w:type="spellEnd"/>
      <w:r w:rsidRPr="00EE5309">
        <w:t>;</w:t>
      </w:r>
    </w:p>
    <w:p w:rsidR="00E1321B" w:rsidRPr="00EE5309" w:rsidRDefault="00AA28EE" w:rsidP="004468D3">
      <w:pPr>
        <w:pStyle w:val="NormalWeb"/>
        <w:numPr>
          <w:ilvl w:val="0"/>
          <w:numId w:val="17"/>
        </w:numPr>
        <w:tabs>
          <w:tab w:val="left" w:pos="851"/>
        </w:tabs>
        <w:spacing w:before="0" w:beforeAutospacing="0" w:after="0" w:afterAutospacing="0"/>
        <w:ind w:left="0" w:firstLine="567"/>
        <w:jc w:val="both"/>
      </w:pPr>
      <w:proofErr w:type="spellStart"/>
      <w:r w:rsidRPr="00EE5309">
        <w:t>capabilităţ</w:t>
      </w:r>
      <w:r w:rsidR="00E1321B" w:rsidRPr="00EE5309">
        <w:t>i</w:t>
      </w:r>
      <w:proofErr w:type="spellEnd"/>
      <w:r w:rsidR="00E1321B" w:rsidRPr="00EE5309">
        <w:t xml:space="preserve"> de proiectare </w:t>
      </w:r>
      <w:proofErr w:type="spellStart"/>
      <w:r w:rsidRPr="00EE5309">
        <w:t>ş</w:t>
      </w:r>
      <w:r w:rsidR="00E1321B" w:rsidRPr="00EE5309">
        <w:t>i</w:t>
      </w:r>
      <w:proofErr w:type="spellEnd"/>
      <w:r w:rsidR="00E1321B" w:rsidRPr="00EE5309">
        <w:t xml:space="preserve"> fabricare SDV-uri;</w:t>
      </w:r>
    </w:p>
    <w:p w:rsidR="00E1321B" w:rsidRPr="00EE5309" w:rsidRDefault="00AA28EE" w:rsidP="004468D3">
      <w:pPr>
        <w:pStyle w:val="NormalWeb"/>
        <w:numPr>
          <w:ilvl w:val="0"/>
          <w:numId w:val="17"/>
        </w:numPr>
        <w:tabs>
          <w:tab w:val="left" w:pos="851"/>
        </w:tabs>
        <w:spacing w:before="0" w:beforeAutospacing="0" w:after="0" w:afterAutospacing="0"/>
        <w:ind w:left="0" w:firstLine="567"/>
        <w:jc w:val="both"/>
      </w:pPr>
      <w:proofErr w:type="spellStart"/>
      <w:r w:rsidRPr="00EE5309">
        <w:t>experienţă</w:t>
      </w:r>
      <w:proofErr w:type="spellEnd"/>
      <w:r w:rsidRPr="00EE5309">
        <w:t xml:space="preserve"> în urma derulă</w:t>
      </w:r>
      <w:r w:rsidR="00E1321B" w:rsidRPr="00EE5309">
        <w:t>rii unor program</w:t>
      </w:r>
      <w:r w:rsidRPr="00EE5309">
        <w:t xml:space="preserve">e extinse: </w:t>
      </w:r>
      <w:proofErr w:type="spellStart"/>
      <w:r w:rsidRPr="00EE5309">
        <w:t>fuselaj</w:t>
      </w:r>
      <w:proofErr w:type="spellEnd"/>
      <w:r w:rsidRPr="00EE5309">
        <w:t xml:space="preserve"> pentru G200 </w:t>
      </w:r>
      <w:proofErr w:type="spellStart"/>
      <w:r w:rsidRPr="00EE5309">
        <w:t>ş</w:t>
      </w:r>
      <w:r w:rsidR="00E1321B" w:rsidRPr="00EE5309">
        <w:t>i</w:t>
      </w:r>
      <w:proofErr w:type="spellEnd"/>
      <w:r w:rsidR="00E1321B" w:rsidRPr="00EE5309">
        <w:t xml:space="preserve"> componente pentru </w:t>
      </w:r>
      <w:proofErr w:type="spellStart"/>
      <w:r w:rsidR="00E1321B" w:rsidRPr="00EE5309">
        <w:t>Hawker</w:t>
      </w:r>
      <w:proofErr w:type="spellEnd"/>
      <w:r w:rsidR="00E1321B" w:rsidRPr="00EE5309">
        <w:t xml:space="preserve"> 800;</w:t>
      </w:r>
    </w:p>
    <w:p w:rsidR="00E1321B" w:rsidRPr="00EE5309" w:rsidRDefault="00AA28EE" w:rsidP="004468D3">
      <w:pPr>
        <w:pStyle w:val="NormalWeb"/>
        <w:numPr>
          <w:ilvl w:val="0"/>
          <w:numId w:val="17"/>
        </w:numPr>
        <w:tabs>
          <w:tab w:val="left" w:pos="851"/>
        </w:tabs>
        <w:spacing w:before="0" w:beforeAutospacing="0" w:after="0" w:afterAutospacing="0"/>
        <w:ind w:left="0" w:firstLine="567"/>
        <w:jc w:val="both"/>
      </w:pPr>
      <w:r w:rsidRPr="00EE5309">
        <w:t>contracte î</w:t>
      </w:r>
      <w:r w:rsidR="00E1321B" w:rsidRPr="00EE5309">
        <w:t xml:space="preserve">n </w:t>
      </w:r>
      <w:proofErr w:type="spellStart"/>
      <w:r w:rsidR="00E1321B" w:rsidRPr="00EE5309">
        <w:t>desf</w:t>
      </w:r>
      <w:r w:rsidRPr="00EE5309">
        <w:t>ăşurare</w:t>
      </w:r>
      <w:proofErr w:type="spellEnd"/>
      <w:r w:rsidRPr="00EE5309">
        <w:t xml:space="preserve"> cu companii </w:t>
      </w:r>
      <w:proofErr w:type="spellStart"/>
      <w:r w:rsidRPr="00EE5309">
        <w:t>aerospaţiale</w:t>
      </w:r>
      <w:proofErr w:type="spellEnd"/>
      <w:r w:rsidRPr="00EE5309">
        <w:t xml:space="preserve"> de profil î</w:t>
      </w:r>
      <w:r w:rsidR="00E1321B" w:rsidRPr="00EE5309">
        <w:t xml:space="preserve">nalt: Boeing, Bombardier, </w:t>
      </w:r>
      <w:proofErr w:type="spellStart"/>
      <w:r w:rsidR="00E1321B" w:rsidRPr="00EE5309">
        <w:t>BAe</w:t>
      </w:r>
      <w:proofErr w:type="spellEnd"/>
      <w:r w:rsidR="00E1321B" w:rsidRPr="00EE5309">
        <w:t xml:space="preserve"> </w:t>
      </w:r>
      <w:proofErr w:type="spellStart"/>
      <w:r w:rsidR="00E1321B" w:rsidRPr="00EE5309">
        <w:t>Systems</w:t>
      </w:r>
      <w:proofErr w:type="spellEnd"/>
      <w:r w:rsidR="00E1321B" w:rsidRPr="00EE5309">
        <w:t xml:space="preserve">, Spirit </w:t>
      </w:r>
      <w:proofErr w:type="spellStart"/>
      <w:r w:rsidR="00E1321B" w:rsidRPr="00EE5309">
        <w:t>Aerosystems</w:t>
      </w:r>
      <w:proofErr w:type="spellEnd"/>
      <w:r w:rsidR="00E1321B" w:rsidRPr="00EE5309">
        <w:t xml:space="preserve">, </w:t>
      </w:r>
      <w:proofErr w:type="spellStart"/>
      <w:r w:rsidR="00E1321B" w:rsidRPr="00EE5309">
        <w:t>Eblit</w:t>
      </w:r>
      <w:proofErr w:type="spellEnd"/>
      <w:r w:rsidR="00E1321B" w:rsidRPr="00EE5309">
        <w:t xml:space="preserve"> </w:t>
      </w:r>
      <w:proofErr w:type="spellStart"/>
      <w:r w:rsidR="00E1321B" w:rsidRPr="00EE5309">
        <w:t>Systems</w:t>
      </w:r>
      <w:proofErr w:type="spellEnd"/>
      <w:r w:rsidR="00E1321B" w:rsidRPr="00EE5309">
        <w:t xml:space="preserve">, </w:t>
      </w:r>
      <w:proofErr w:type="spellStart"/>
      <w:r w:rsidR="00E1321B" w:rsidRPr="00EE5309">
        <w:t>Aerolean</w:t>
      </w:r>
      <w:proofErr w:type="spellEnd"/>
      <w:r w:rsidR="00E1321B" w:rsidRPr="00EE5309">
        <w:t>, SABCA, SAAB, Israel Aerospace Industries;</w:t>
      </w:r>
    </w:p>
    <w:p w:rsidR="00E1321B" w:rsidRPr="00EE5309" w:rsidRDefault="00E1321B" w:rsidP="004468D3">
      <w:pPr>
        <w:pStyle w:val="NormalWeb"/>
        <w:numPr>
          <w:ilvl w:val="0"/>
          <w:numId w:val="17"/>
        </w:numPr>
        <w:tabs>
          <w:tab w:val="left" w:pos="851"/>
        </w:tabs>
        <w:spacing w:before="0" w:beforeAutospacing="0" w:after="0" w:afterAutospacing="0"/>
        <w:ind w:left="0" w:firstLine="567"/>
        <w:jc w:val="both"/>
      </w:pPr>
      <w:r w:rsidRPr="00EE5309">
        <w:t>utilizarea unor procese complexe cu</w:t>
      </w:r>
      <w:r w:rsidR="003204E6">
        <w:t>m ar fi</w:t>
      </w:r>
      <w:r w:rsidR="00AA28EE" w:rsidRPr="00EE5309">
        <w:t xml:space="preserve"> formarea prin tragere </w:t>
      </w:r>
      <w:proofErr w:type="spellStart"/>
      <w:r w:rsidR="00AA28EE" w:rsidRPr="00EE5309">
        <w:t>ş</w:t>
      </w:r>
      <w:r w:rsidRPr="00EE5309">
        <w:t>i</w:t>
      </w:r>
      <w:proofErr w:type="spellEnd"/>
      <w:r w:rsidRPr="00EE5309">
        <w:t xml:space="preserve"> frezarea chimic</w:t>
      </w:r>
      <w:r w:rsidR="00AA28EE" w:rsidRPr="00EE5309">
        <w:t>ă</w:t>
      </w:r>
      <w:r w:rsidRPr="00EE5309">
        <w:t>;</w:t>
      </w:r>
    </w:p>
    <w:p w:rsidR="00E1321B" w:rsidRPr="00EE5309" w:rsidRDefault="00102598" w:rsidP="004468D3">
      <w:pPr>
        <w:pStyle w:val="NormalWeb"/>
        <w:numPr>
          <w:ilvl w:val="0"/>
          <w:numId w:val="17"/>
        </w:numPr>
        <w:tabs>
          <w:tab w:val="left" w:pos="851"/>
        </w:tabs>
        <w:spacing w:before="0" w:beforeAutospacing="0" w:after="0" w:afterAutospacing="0"/>
        <w:ind w:left="0" w:firstLine="567"/>
        <w:jc w:val="both"/>
      </w:pPr>
      <w:r w:rsidRPr="00EE5309">
        <w:t>certifică</w:t>
      </w:r>
      <w:r w:rsidR="00E1321B" w:rsidRPr="00EE5309">
        <w:t>ri extinse de calitate. (</w:t>
      </w:r>
      <w:hyperlink r:id="rId25" w:history="1">
        <w:r w:rsidR="00E1321B" w:rsidRPr="00EE5309">
          <w:rPr>
            <w:rStyle w:val="Hyperlink"/>
          </w:rPr>
          <w:t>https://romaero.com/aerostructuri/</w:t>
        </w:r>
      </w:hyperlink>
      <w:r w:rsidR="00E1321B" w:rsidRPr="00EE5309">
        <w:t>)</w:t>
      </w:r>
    </w:p>
    <w:p w:rsidR="009F6871" w:rsidRPr="00EE5309" w:rsidRDefault="00E1321B" w:rsidP="009F6871">
      <w:pPr>
        <w:pStyle w:val="NormalWeb"/>
        <w:spacing w:before="0" w:beforeAutospacing="0" w:after="0" w:afterAutospacing="0"/>
        <w:ind w:firstLine="567"/>
        <w:jc w:val="both"/>
      </w:pPr>
      <w:r w:rsidRPr="00EE5309">
        <w:lastRenderedPageBreak/>
        <w:t xml:space="preserve">ROMAERO </w:t>
      </w:r>
      <w:r w:rsidR="005965AB" w:rsidRPr="00EE5309">
        <w:t xml:space="preserve">are ca strategie </w:t>
      </w:r>
      <w:proofErr w:type="spellStart"/>
      <w:r w:rsidR="005965AB" w:rsidRPr="00EE5309">
        <w:t>menţinerea</w:t>
      </w:r>
      <w:proofErr w:type="spellEnd"/>
      <w:r w:rsidR="005965AB" w:rsidRPr="00EE5309">
        <w:t xml:space="preserve"> și dezvoltarea capacităț</w:t>
      </w:r>
      <w:r w:rsidR="00617408" w:rsidRPr="00EE5309">
        <w:t xml:space="preserve">ilor de </w:t>
      </w:r>
      <w:proofErr w:type="spellStart"/>
      <w:r w:rsidR="00617408" w:rsidRPr="00EE5309">
        <w:t>fabricaţie</w:t>
      </w:r>
      <w:proofErr w:type="spellEnd"/>
      <w:r w:rsidR="00617408" w:rsidRPr="00EE5309">
        <w:t xml:space="preserve"> </w:t>
      </w:r>
      <w:proofErr w:type="spellStart"/>
      <w:r w:rsidR="00617408" w:rsidRPr="00EE5309">
        <w:t>aerostructuri</w:t>
      </w:r>
      <w:proofErr w:type="spellEnd"/>
      <w:r w:rsidR="00617408" w:rsidRPr="00EE5309">
        <w:t xml:space="preserve"> </w:t>
      </w:r>
      <w:proofErr w:type="spellStart"/>
      <w:r w:rsidR="00617408" w:rsidRPr="00EE5309">
        <w:t>ş</w:t>
      </w:r>
      <w:r w:rsidR="00591874" w:rsidRPr="00EE5309">
        <w:t>i</w:t>
      </w:r>
      <w:proofErr w:type="spellEnd"/>
      <w:r w:rsidR="00591874" w:rsidRPr="00EE5309">
        <w:t xml:space="preserve"> servicii de </w:t>
      </w:r>
      <w:proofErr w:type="spellStart"/>
      <w:r w:rsidR="00591874" w:rsidRPr="00EE5309">
        <w:t>întreţinere</w:t>
      </w:r>
      <w:proofErr w:type="spellEnd"/>
      <w:r w:rsidR="00591874" w:rsidRPr="00EE5309">
        <w:t xml:space="preserve"> </w:t>
      </w:r>
      <w:proofErr w:type="spellStart"/>
      <w:r w:rsidR="00591874" w:rsidRPr="00EE5309">
        <w:t>ş</w:t>
      </w:r>
      <w:r w:rsidR="00617408" w:rsidRPr="00EE5309">
        <w:t>i</w:t>
      </w:r>
      <w:proofErr w:type="spellEnd"/>
      <w:r w:rsidR="00617408" w:rsidRPr="00EE5309">
        <w:t xml:space="preserve"> </w:t>
      </w:r>
      <w:proofErr w:type="spellStart"/>
      <w:r w:rsidR="00617408" w:rsidRPr="00EE5309">
        <w:t>reparaţii</w:t>
      </w:r>
      <w:proofErr w:type="spellEnd"/>
      <w:r w:rsidR="00617408" w:rsidRPr="00EE5309">
        <w:t xml:space="preserve">, modernizări, reconfigurări de avioane civile </w:t>
      </w:r>
      <w:proofErr w:type="spellStart"/>
      <w:r w:rsidR="00617408" w:rsidRPr="00EE5309">
        <w:t>şi</w:t>
      </w:r>
      <w:proofErr w:type="spellEnd"/>
      <w:r w:rsidR="00617408" w:rsidRPr="00EE5309">
        <w:t xml:space="preserve"> militare în </w:t>
      </w:r>
      <w:proofErr w:type="spellStart"/>
      <w:r w:rsidR="00617408" w:rsidRPr="00EE5309">
        <w:t>condiţii</w:t>
      </w:r>
      <w:proofErr w:type="spellEnd"/>
      <w:r w:rsidR="00617408" w:rsidRPr="00EE5309">
        <w:t xml:space="preserve"> de </w:t>
      </w:r>
      <w:proofErr w:type="spellStart"/>
      <w:r w:rsidR="00617408" w:rsidRPr="00EE5309">
        <w:t>eficienţă</w:t>
      </w:r>
      <w:proofErr w:type="spellEnd"/>
      <w:r w:rsidR="00617408" w:rsidRPr="00EE5309">
        <w:t xml:space="preserve"> </w:t>
      </w:r>
      <w:proofErr w:type="spellStart"/>
      <w:r w:rsidR="00617408" w:rsidRPr="00EE5309">
        <w:t>şi</w:t>
      </w:r>
      <w:proofErr w:type="spellEnd"/>
      <w:r w:rsidR="00617408" w:rsidRPr="00EE5309">
        <w:t xml:space="preserve"> profitabilitate.</w:t>
      </w:r>
      <w:r w:rsidR="00591874" w:rsidRPr="00EE5309">
        <w:t xml:space="preserve"> </w:t>
      </w:r>
      <w:r w:rsidR="00617408" w:rsidRPr="00EE5309">
        <w:t>Un rol central în implem</w:t>
      </w:r>
      <w:r w:rsidR="00140760">
        <w:t>entarea strategiei îl are capita</w:t>
      </w:r>
      <w:r w:rsidR="00617408" w:rsidRPr="00EE5309">
        <w:t xml:space="preserve">lul uman, resursa primordială a </w:t>
      </w:r>
      <w:r w:rsidR="005965AB" w:rsidRPr="00EE5309">
        <w:t>companiei.</w:t>
      </w:r>
      <w:r w:rsidR="00591874" w:rsidRPr="00EE5309">
        <w:t xml:space="preserve"> </w:t>
      </w:r>
      <w:r w:rsidR="00617408" w:rsidRPr="00EE5309">
        <w:t>Misiunea managementului resurselor</w:t>
      </w:r>
      <w:r w:rsidR="005965AB" w:rsidRPr="00EE5309">
        <w:t xml:space="preserve"> umane este de a asigura societății personalul instruit ș</w:t>
      </w:r>
      <w:r w:rsidR="00617408" w:rsidRPr="00EE5309">
        <w:t>i motivat corespunzător care să contribuie la real</w:t>
      </w:r>
      <w:r w:rsidR="00902B06" w:rsidRPr="00EE5309">
        <w:t xml:space="preserve">izarea obiectivelor specifice. </w:t>
      </w:r>
      <w:r w:rsidR="00617408" w:rsidRPr="00EE5309">
        <w:t xml:space="preserve">Planificarea resurselor umane se realizează în strânsă </w:t>
      </w:r>
      <w:proofErr w:type="spellStart"/>
      <w:r w:rsidR="00617408" w:rsidRPr="00EE5309">
        <w:t>interdepe</w:t>
      </w:r>
      <w:r w:rsidR="00902B06" w:rsidRPr="00EE5309">
        <w:t>ndenţă</w:t>
      </w:r>
      <w:proofErr w:type="spellEnd"/>
      <w:r w:rsidR="00902B06" w:rsidRPr="00EE5309">
        <w:t xml:space="preserve"> cu resursele financiare </w:t>
      </w:r>
      <w:proofErr w:type="spellStart"/>
      <w:r w:rsidR="00902B06" w:rsidRPr="00EE5309">
        <w:t>şi</w:t>
      </w:r>
      <w:proofErr w:type="spellEnd"/>
      <w:r w:rsidR="00902B06" w:rsidRPr="00EE5309">
        <w:t xml:space="preserve"> materiale ale </w:t>
      </w:r>
      <w:proofErr w:type="spellStart"/>
      <w:r w:rsidR="00902B06" w:rsidRPr="00EE5309">
        <w:t>societăţii</w:t>
      </w:r>
      <w:proofErr w:type="spellEnd"/>
      <w:r w:rsidR="00902B06" w:rsidRPr="00EE5309">
        <w:t>. (</w:t>
      </w:r>
      <w:hyperlink r:id="rId26" w:history="1">
        <w:r w:rsidR="00902B06" w:rsidRPr="00EE5309">
          <w:rPr>
            <w:rStyle w:val="Hyperlink"/>
          </w:rPr>
          <w:t>https://romaero.com/resurse-umane/</w:t>
        </w:r>
      </w:hyperlink>
      <w:r w:rsidR="00902B06" w:rsidRPr="00EE5309">
        <w:t>)</w:t>
      </w:r>
    </w:p>
    <w:p w:rsidR="00EB07C0" w:rsidRPr="00EE5309" w:rsidRDefault="00221429" w:rsidP="007228F4">
      <w:pPr>
        <w:pStyle w:val="NormalWeb"/>
        <w:spacing w:before="0" w:beforeAutospacing="0" w:after="0" w:afterAutospacing="0"/>
        <w:ind w:firstLine="567"/>
        <w:jc w:val="both"/>
        <w:rPr>
          <w:color w:val="000000" w:themeColor="text1"/>
        </w:rPr>
      </w:pPr>
      <w:proofErr w:type="spellStart"/>
      <w:r w:rsidRPr="00EE5309">
        <w:rPr>
          <w:color w:val="000000" w:themeColor="text1"/>
        </w:rPr>
        <w:t>Informaţiile</w:t>
      </w:r>
      <w:proofErr w:type="spellEnd"/>
      <w:r w:rsidRPr="00EE5309">
        <w:rPr>
          <w:color w:val="000000" w:themeColor="text1"/>
        </w:rPr>
        <w:t xml:space="preserve"> financiare preluate din rap</w:t>
      </w:r>
      <w:r w:rsidR="00482F22" w:rsidRPr="00EE5309">
        <w:rPr>
          <w:color w:val="000000" w:themeColor="text1"/>
        </w:rPr>
        <w:t>ortările contabile ale companiilor</w:t>
      </w:r>
      <w:r w:rsidRPr="00EE5309">
        <w:rPr>
          <w:color w:val="000000" w:themeColor="text1"/>
        </w:rPr>
        <w:t xml:space="preserve"> </w:t>
      </w:r>
      <w:r w:rsidR="00482F22" w:rsidRPr="00EE5309">
        <w:rPr>
          <w:color w:val="000000" w:themeColor="text1"/>
        </w:rPr>
        <w:t>au fost prelucrate, calculându-se o serie de indicatori care sunt evidențiați</w:t>
      </w:r>
      <w:r w:rsidR="00C72BAD" w:rsidRPr="00EE5309">
        <w:rPr>
          <w:color w:val="000000" w:themeColor="text1"/>
        </w:rPr>
        <w:t xml:space="preserve"> în tabelul de mai jos:</w:t>
      </w:r>
    </w:p>
    <w:p w:rsidR="00B01BD4" w:rsidRPr="00EE5309" w:rsidRDefault="00B01BD4" w:rsidP="00763216">
      <w:pPr>
        <w:spacing w:after="0" w:line="240" w:lineRule="auto"/>
        <w:ind w:firstLine="567"/>
        <w:rPr>
          <w:rFonts w:ascii="Times New Roman" w:hAnsi="Times New Roman" w:cs="Times New Roman"/>
          <w:b/>
          <w:color w:val="000000" w:themeColor="text1"/>
          <w:sz w:val="20"/>
          <w:szCs w:val="20"/>
        </w:rPr>
      </w:pPr>
    </w:p>
    <w:p w:rsidR="009724B9" w:rsidRPr="00EE5309" w:rsidRDefault="001463C8" w:rsidP="009724B9">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Tabel</w:t>
      </w:r>
      <w:r w:rsidR="00C72BAD" w:rsidRPr="00EE5309">
        <w:rPr>
          <w:rFonts w:ascii="Times New Roman" w:hAnsi="Times New Roman" w:cs="Times New Roman"/>
          <w:color w:val="000000" w:themeColor="text1"/>
          <w:sz w:val="20"/>
          <w:szCs w:val="20"/>
        </w:rPr>
        <w:t xml:space="preserve"> nr. 3</w:t>
      </w:r>
      <w:r w:rsidR="009724B9" w:rsidRPr="00EE5309">
        <w:rPr>
          <w:rFonts w:ascii="Times New Roman" w:hAnsi="Times New Roman" w:cs="Times New Roman"/>
          <w:color w:val="000000" w:themeColor="text1"/>
          <w:sz w:val="20"/>
          <w:szCs w:val="20"/>
        </w:rPr>
        <w:t xml:space="preserve">. Nivelul și dinamica </w:t>
      </w:r>
      <w:r w:rsidR="00C72BAD" w:rsidRPr="00EE5309">
        <w:rPr>
          <w:rFonts w:ascii="Times New Roman" w:hAnsi="Times New Roman" w:cs="Times New Roman"/>
          <w:color w:val="000000" w:themeColor="text1"/>
          <w:sz w:val="20"/>
          <w:szCs w:val="20"/>
        </w:rPr>
        <w:t>rezultatelor financiare</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244"/>
        <w:gridCol w:w="1216"/>
        <w:gridCol w:w="1216"/>
        <w:gridCol w:w="1216"/>
        <w:gridCol w:w="1101"/>
        <w:gridCol w:w="1101"/>
      </w:tblGrid>
      <w:tr w:rsidR="003A7913" w:rsidRPr="00EE5309" w:rsidTr="00B01BD4">
        <w:trPr>
          <w:trHeight w:hRule="exact" w:val="284"/>
          <w:jc w:val="center"/>
        </w:trPr>
        <w:tc>
          <w:tcPr>
            <w:tcW w:w="2103" w:type="dxa"/>
            <w:vMerge w:val="restart"/>
            <w:shd w:val="clear" w:color="auto" w:fill="A6A6A6" w:themeFill="background1" w:themeFillShade="A6"/>
            <w:vAlign w:val="center"/>
            <w:hideMark/>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Compania</w:t>
            </w:r>
          </w:p>
        </w:tc>
        <w:tc>
          <w:tcPr>
            <w:tcW w:w="2244" w:type="dxa"/>
            <w:vMerge w:val="restart"/>
            <w:shd w:val="clear" w:color="auto" w:fill="A6A6A6" w:themeFill="background1" w:themeFillShade="A6"/>
            <w:vAlign w:val="center"/>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Indicatori</w:t>
            </w:r>
          </w:p>
        </w:tc>
        <w:tc>
          <w:tcPr>
            <w:tcW w:w="3648" w:type="dxa"/>
            <w:gridSpan w:val="3"/>
            <w:shd w:val="clear" w:color="auto" w:fill="A6A6A6" w:themeFill="background1" w:themeFillShade="A6"/>
            <w:noWrap/>
            <w:vAlign w:val="center"/>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Perioada de analiză</w:t>
            </w:r>
          </w:p>
        </w:tc>
        <w:tc>
          <w:tcPr>
            <w:tcW w:w="2202" w:type="dxa"/>
            <w:gridSpan w:val="2"/>
            <w:shd w:val="clear" w:color="auto" w:fill="A6A6A6" w:themeFill="background1" w:themeFillShade="A6"/>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Evoluția (%)</w:t>
            </w:r>
          </w:p>
        </w:tc>
      </w:tr>
      <w:tr w:rsidR="003A7913" w:rsidRPr="00EE5309" w:rsidTr="00B01BD4">
        <w:trPr>
          <w:trHeight w:hRule="exact" w:val="284"/>
          <w:jc w:val="center"/>
        </w:trPr>
        <w:tc>
          <w:tcPr>
            <w:tcW w:w="2103" w:type="dxa"/>
            <w:vMerge/>
            <w:shd w:val="clear" w:color="auto" w:fill="A6A6A6" w:themeFill="background1" w:themeFillShade="A6"/>
            <w:vAlign w:val="center"/>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p>
        </w:tc>
        <w:tc>
          <w:tcPr>
            <w:tcW w:w="2244" w:type="dxa"/>
            <w:vMerge/>
            <w:shd w:val="clear" w:color="auto" w:fill="A6A6A6" w:themeFill="background1" w:themeFillShade="A6"/>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p>
        </w:tc>
        <w:tc>
          <w:tcPr>
            <w:tcW w:w="1216" w:type="dxa"/>
            <w:shd w:val="clear" w:color="auto" w:fill="A6A6A6" w:themeFill="background1" w:themeFillShade="A6"/>
            <w:noWrap/>
            <w:vAlign w:val="center"/>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2016</w:t>
            </w:r>
          </w:p>
        </w:tc>
        <w:tc>
          <w:tcPr>
            <w:tcW w:w="1216" w:type="dxa"/>
            <w:shd w:val="clear" w:color="auto" w:fill="A6A6A6" w:themeFill="background1" w:themeFillShade="A6"/>
            <w:noWrap/>
            <w:vAlign w:val="center"/>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2017</w:t>
            </w:r>
          </w:p>
        </w:tc>
        <w:tc>
          <w:tcPr>
            <w:tcW w:w="1216" w:type="dxa"/>
            <w:shd w:val="clear" w:color="auto" w:fill="A6A6A6" w:themeFill="background1" w:themeFillShade="A6"/>
            <w:noWrap/>
            <w:vAlign w:val="center"/>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2018</w:t>
            </w:r>
          </w:p>
        </w:tc>
        <w:tc>
          <w:tcPr>
            <w:tcW w:w="1101" w:type="dxa"/>
            <w:shd w:val="clear" w:color="auto" w:fill="A6A6A6" w:themeFill="background1" w:themeFillShade="A6"/>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2017/2016</w:t>
            </w:r>
          </w:p>
        </w:tc>
        <w:tc>
          <w:tcPr>
            <w:tcW w:w="1101" w:type="dxa"/>
            <w:shd w:val="clear" w:color="auto" w:fill="A6A6A6" w:themeFill="background1" w:themeFillShade="A6"/>
          </w:tcPr>
          <w:p w:rsidR="003A7913" w:rsidRPr="00EE5309" w:rsidRDefault="003A7913" w:rsidP="004203B0">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2018/2017</w:t>
            </w:r>
          </w:p>
        </w:tc>
      </w:tr>
      <w:tr w:rsidR="004468D3" w:rsidRPr="00EE5309" w:rsidTr="00B01BD4">
        <w:trPr>
          <w:trHeight w:hRule="exact" w:val="284"/>
          <w:jc w:val="center"/>
        </w:trPr>
        <w:tc>
          <w:tcPr>
            <w:tcW w:w="2103" w:type="dxa"/>
            <w:vMerge w:val="restart"/>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S.C.</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AEROSTAR</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S.A.</w:t>
            </w: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356.219.105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340.172.330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353.413.272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95,50</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103,89</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Rezultatul net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56.471.595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53.169.633</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79.920.849</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94,15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150,31</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Număr mediu salariați</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1.719</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1.834</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1.804</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106,69</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98,36</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Marja profitului net (%)</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15,85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15,63</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22,61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98,59</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144,68</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Vânzări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207.224,61</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185.481,10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195.905,36</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89,51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105,62</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Profit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32.851,42</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28.991,08</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44.302,02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88,25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152,81</w:t>
            </w:r>
          </w:p>
        </w:tc>
      </w:tr>
      <w:tr w:rsidR="004468D3" w:rsidRPr="00EE5309" w:rsidTr="00B01BD4">
        <w:trPr>
          <w:trHeight w:hRule="exact" w:val="284"/>
          <w:jc w:val="center"/>
        </w:trPr>
        <w:tc>
          <w:tcPr>
            <w:tcW w:w="2103" w:type="dxa"/>
            <w:vMerge w:val="restart"/>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S.C.</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TURBOMECANICA</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S.A.</w:t>
            </w: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83.030.250</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100.766.069</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112.387.772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121,36</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111,53</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Rezultatul net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10.873.045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13.650.921</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24.847.717</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125,55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182,02</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Număr mediu salariați</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430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447</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441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103,95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98,66</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Marja profitului net (%)</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13,10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13,55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22,11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103,45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163,20</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Vânzări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193.093,60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225.427,45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254.847,56</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116,75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113,05</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Profit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25.286,15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30.538,97</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56.344,03</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120,77</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184,50</w:t>
            </w:r>
          </w:p>
        </w:tc>
      </w:tr>
      <w:tr w:rsidR="004468D3" w:rsidRPr="00EE5309" w:rsidTr="00B01BD4">
        <w:trPr>
          <w:trHeight w:hRule="exact" w:val="284"/>
          <w:jc w:val="center"/>
        </w:trPr>
        <w:tc>
          <w:tcPr>
            <w:tcW w:w="2103" w:type="dxa"/>
            <w:vMerge w:val="restart"/>
            <w:shd w:val="clear" w:color="auto" w:fill="auto"/>
            <w:vAlign w:val="center"/>
          </w:tcPr>
          <w:p w:rsidR="004468D3" w:rsidRPr="00EE5309" w:rsidRDefault="004468D3" w:rsidP="004468D3">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4468D3" w:rsidRPr="00EE5309" w:rsidRDefault="004468D3" w:rsidP="004468D3">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IAR</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152.096.365</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192.724.954</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259.274.208</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126,71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134,53</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Rezultatul net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12.213.227</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24.191.976</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31.184.158</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198,08</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128,90</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Număr mediu salariați</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316</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341</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364</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107,91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106,74</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Marja profitului net (%)</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8,03</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12,55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12,03</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156,32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95,82</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Vânzări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481.317,61</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565.175,82</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712.291,78</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117,42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126,03</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Profit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38.649,45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70.944,21</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85.670,76</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183,56</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120,76</w:t>
            </w:r>
          </w:p>
        </w:tc>
      </w:tr>
      <w:tr w:rsidR="004468D3" w:rsidRPr="00EE5309" w:rsidTr="00B01BD4">
        <w:trPr>
          <w:trHeight w:hRule="exact" w:val="284"/>
          <w:jc w:val="center"/>
        </w:trPr>
        <w:tc>
          <w:tcPr>
            <w:tcW w:w="2103" w:type="dxa"/>
            <w:vMerge w:val="restart"/>
            <w:shd w:val="clear" w:color="auto" w:fill="auto"/>
            <w:vAlign w:val="center"/>
          </w:tcPr>
          <w:p w:rsidR="004468D3" w:rsidRPr="00EE5309" w:rsidRDefault="004468D3" w:rsidP="004468D3">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4468D3" w:rsidRPr="00EE5309" w:rsidRDefault="004468D3" w:rsidP="004468D3">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AVIOANE</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23.378.109</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14.774.199</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15.720.390</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63,20</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106,40</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Rezultatul net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99.644</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-7.578.786</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-5.129.364</w:t>
            </w:r>
          </w:p>
        </w:tc>
        <w:tc>
          <w:tcPr>
            <w:tcW w:w="1101" w:type="dxa"/>
            <w:vAlign w:val="center"/>
          </w:tcPr>
          <w:p w:rsidR="004468D3" w:rsidRPr="00EE5309" w:rsidRDefault="00324DE3" w:rsidP="004468D3">
            <w:pPr>
              <w:jc w:val="right"/>
              <w:rPr>
                <w:rFonts w:ascii="Times New Roman" w:hAnsi="Times New Roman" w:cs="Times New Roman"/>
                <w:color w:val="000000"/>
                <w:sz w:val="20"/>
                <w:szCs w:val="20"/>
              </w:rPr>
            </w:pPr>
            <w:r>
              <w:rPr>
                <w:rFonts w:ascii="Times New Roman" w:hAnsi="Times New Roman" w:cs="Times New Roman"/>
                <w:color w:val="000000" w:themeColor="text1"/>
                <w:sz w:val="20"/>
                <w:szCs w:val="20"/>
              </w:rPr>
              <w:t>-</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67,68</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Număr mediu salariați</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255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272</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266</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106,67</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97,79</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Marja profitului net (%)</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0,43</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-51,30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-32,63</w:t>
            </w:r>
          </w:p>
        </w:tc>
        <w:tc>
          <w:tcPr>
            <w:tcW w:w="1101" w:type="dxa"/>
            <w:vAlign w:val="center"/>
          </w:tcPr>
          <w:p w:rsidR="004468D3" w:rsidRPr="00EE5309" w:rsidRDefault="00324DE3" w:rsidP="004468D3">
            <w:pPr>
              <w:jc w:val="right"/>
              <w:rPr>
                <w:rFonts w:ascii="Times New Roman" w:hAnsi="Times New Roman" w:cs="Times New Roman"/>
                <w:color w:val="000000"/>
                <w:sz w:val="20"/>
                <w:szCs w:val="20"/>
              </w:rPr>
            </w:pPr>
            <w:r>
              <w:rPr>
                <w:rFonts w:ascii="Times New Roman" w:hAnsi="Times New Roman" w:cs="Times New Roman"/>
                <w:color w:val="000000" w:themeColor="text1"/>
                <w:sz w:val="20"/>
                <w:szCs w:val="20"/>
              </w:rPr>
              <w:t>-</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63,61</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Vânzări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91.678,86</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54.316,91</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59.099,21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59,25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108,80</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Profit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390,76</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-27.863,18</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-19.283,32</w:t>
            </w:r>
          </w:p>
        </w:tc>
        <w:tc>
          <w:tcPr>
            <w:tcW w:w="1101" w:type="dxa"/>
            <w:vAlign w:val="center"/>
          </w:tcPr>
          <w:p w:rsidR="004468D3" w:rsidRPr="00EE5309" w:rsidRDefault="00324DE3" w:rsidP="004468D3">
            <w:pPr>
              <w:jc w:val="right"/>
              <w:rPr>
                <w:rFonts w:ascii="Times New Roman" w:hAnsi="Times New Roman" w:cs="Times New Roman"/>
                <w:color w:val="000000"/>
                <w:sz w:val="20"/>
                <w:szCs w:val="20"/>
              </w:rPr>
            </w:pPr>
            <w:r>
              <w:rPr>
                <w:rFonts w:ascii="Times New Roman" w:hAnsi="Times New Roman" w:cs="Times New Roman"/>
                <w:color w:val="000000" w:themeColor="text1"/>
                <w:sz w:val="20"/>
                <w:szCs w:val="20"/>
              </w:rPr>
              <w:t>-</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69,21</w:t>
            </w:r>
          </w:p>
        </w:tc>
      </w:tr>
      <w:tr w:rsidR="004468D3" w:rsidRPr="00EE5309" w:rsidTr="00B01BD4">
        <w:trPr>
          <w:trHeight w:hRule="exact" w:val="284"/>
          <w:jc w:val="center"/>
        </w:trPr>
        <w:tc>
          <w:tcPr>
            <w:tcW w:w="2103" w:type="dxa"/>
            <w:vMerge w:val="restart"/>
            <w:shd w:val="clear" w:color="auto" w:fill="auto"/>
            <w:vAlign w:val="center"/>
          </w:tcPr>
          <w:p w:rsidR="004468D3" w:rsidRPr="00EE5309" w:rsidRDefault="004468D3" w:rsidP="004468D3">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4468D3" w:rsidRPr="00EE5309" w:rsidRDefault="004468D3" w:rsidP="004468D3">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ROMAERO</w:t>
            </w:r>
          </w:p>
          <w:p w:rsidR="004468D3" w:rsidRPr="00EE5309" w:rsidRDefault="004468D3" w:rsidP="004468D3">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46.537.544</w:t>
            </w:r>
          </w:p>
        </w:tc>
        <w:tc>
          <w:tcPr>
            <w:tcW w:w="1216" w:type="dxa"/>
            <w:shd w:val="clear" w:color="auto" w:fill="auto"/>
            <w:noWrap/>
            <w:vAlign w:val="bottom"/>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60.089.744</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84.483.620</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129,12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140,60</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Rezultatul net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-60.280.472</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-39.388.337</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-35.308.938</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65,34</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89,64</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Număr mediu salariați</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819</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717</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772</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87,55</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107,67</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Marja profitului net (%)</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-129,53</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-65,55</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-41,79</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50,61</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63,76</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Vânzări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56.822,40</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83.807,17</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109.434,74</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147,49</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130,58</w:t>
            </w:r>
          </w:p>
        </w:tc>
      </w:tr>
      <w:tr w:rsidR="004468D3" w:rsidRPr="00EE5309" w:rsidTr="00B01BD4">
        <w:trPr>
          <w:trHeight w:hRule="exact" w:val="284"/>
          <w:jc w:val="center"/>
        </w:trPr>
        <w:tc>
          <w:tcPr>
            <w:tcW w:w="2103" w:type="dxa"/>
            <w:vMerge/>
            <w:shd w:val="clear" w:color="auto" w:fill="auto"/>
            <w:vAlign w:val="center"/>
          </w:tcPr>
          <w:p w:rsidR="004468D3" w:rsidRPr="00EE5309" w:rsidRDefault="004468D3" w:rsidP="004468D3">
            <w:pPr>
              <w:spacing w:after="0" w:line="240" w:lineRule="auto"/>
              <w:rPr>
                <w:rFonts w:ascii="Times New Roman" w:eastAsia="Times New Roman" w:hAnsi="Times New Roman" w:cs="Times New Roman"/>
                <w:b/>
                <w:color w:val="000000" w:themeColor="text1"/>
                <w:sz w:val="20"/>
                <w:szCs w:val="20"/>
                <w:lang w:eastAsia="ro-RO"/>
              </w:rPr>
            </w:pPr>
          </w:p>
        </w:tc>
        <w:tc>
          <w:tcPr>
            <w:tcW w:w="2244" w:type="dxa"/>
          </w:tcPr>
          <w:p w:rsidR="004468D3" w:rsidRPr="00EE5309" w:rsidRDefault="004468D3" w:rsidP="004468D3">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Profit pe angajat</w:t>
            </w:r>
            <w:r w:rsidR="00FB339A" w:rsidRPr="00EE5309">
              <w:rPr>
                <w:rFonts w:ascii="Times New Roman" w:eastAsia="Times New Roman" w:hAnsi="Times New Roman" w:cs="Times New Roman"/>
                <w:color w:val="000000" w:themeColor="text1"/>
                <w:sz w:val="20"/>
                <w:szCs w:val="20"/>
                <w:lang w:eastAsia="ro-RO"/>
              </w:rPr>
              <w:t xml:space="preserve"> (Ron)</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-73.602,53</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-54.934,92</w:t>
            </w:r>
          </w:p>
        </w:tc>
        <w:tc>
          <w:tcPr>
            <w:tcW w:w="1216" w:type="dxa"/>
            <w:shd w:val="clear" w:color="auto" w:fill="auto"/>
            <w:noWrap/>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-45.736,97</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74,64</w:t>
            </w:r>
          </w:p>
        </w:tc>
        <w:tc>
          <w:tcPr>
            <w:tcW w:w="1101" w:type="dxa"/>
            <w:vAlign w:val="center"/>
          </w:tcPr>
          <w:p w:rsidR="004468D3" w:rsidRPr="00EE5309" w:rsidRDefault="004468D3" w:rsidP="004468D3">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83,26</w:t>
            </w:r>
          </w:p>
        </w:tc>
      </w:tr>
    </w:tbl>
    <w:p w:rsidR="0078669F" w:rsidRPr="00EE5309" w:rsidRDefault="0078669F" w:rsidP="00B01BD4">
      <w:pPr>
        <w:spacing w:after="0" w:line="240" w:lineRule="auto"/>
        <w:jc w:val="both"/>
        <w:outlineLvl w:val="0"/>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 xml:space="preserve">Sursa: </w:t>
      </w:r>
      <w:r w:rsidR="00B01BD4" w:rsidRPr="00EE5309">
        <w:rPr>
          <w:rFonts w:ascii="Times New Roman" w:hAnsi="Times New Roman" w:cs="Times New Roman"/>
          <w:color w:val="000000" w:themeColor="text1"/>
          <w:sz w:val="20"/>
          <w:szCs w:val="20"/>
        </w:rPr>
        <w:t>Elaborare proprie a autorului după rapoartele</w:t>
      </w:r>
      <w:r w:rsidRPr="00EE5309">
        <w:rPr>
          <w:rFonts w:ascii="Times New Roman" w:hAnsi="Times New Roman" w:cs="Times New Roman"/>
          <w:color w:val="000000" w:themeColor="text1"/>
          <w:sz w:val="20"/>
          <w:szCs w:val="20"/>
        </w:rPr>
        <w:t xml:space="preserve"> fi</w:t>
      </w:r>
      <w:r w:rsidR="009E09FC" w:rsidRPr="00EE5309">
        <w:rPr>
          <w:rFonts w:ascii="Times New Roman" w:hAnsi="Times New Roman" w:cs="Times New Roman"/>
          <w:color w:val="000000" w:themeColor="text1"/>
          <w:sz w:val="20"/>
          <w:szCs w:val="20"/>
        </w:rPr>
        <w:t>nanciare anuale ale companiilor</w:t>
      </w:r>
    </w:p>
    <w:p w:rsidR="006D26EE" w:rsidRDefault="006D26EE" w:rsidP="004203B0">
      <w:pPr>
        <w:pStyle w:val="NormalWeb"/>
        <w:tabs>
          <w:tab w:val="left" w:pos="851"/>
        </w:tabs>
        <w:spacing w:before="0" w:beforeAutospacing="0" w:after="0" w:afterAutospacing="0"/>
        <w:ind w:firstLine="567"/>
        <w:jc w:val="both"/>
        <w:rPr>
          <w:color w:val="000000" w:themeColor="text1"/>
        </w:rPr>
      </w:pPr>
    </w:p>
    <w:p w:rsidR="00C8519E" w:rsidRDefault="00C8519E" w:rsidP="004203B0">
      <w:pPr>
        <w:pStyle w:val="NormalWeb"/>
        <w:tabs>
          <w:tab w:val="left" w:pos="851"/>
        </w:tabs>
        <w:spacing w:before="0" w:beforeAutospacing="0" w:after="0" w:afterAutospacing="0"/>
        <w:ind w:firstLine="567"/>
        <w:jc w:val="both"/>
        <w:rPr>
          <w:color w:val="000000" w:themeColor="text1"/>
        </w:rPr>
      </w:pPr>
    </w:p>
    <w:p w:rsidR="00C8519E" w:rsidRPr="00EE5309" w:rsidRDefault="00C8519E" w:rsidP="004203B0">
      <w:pPr>
        <w:pStyle w:val="NormalWeb"/>
        <w:tabs>
          <w:tab w:val="left" w:pos="851"/>
        </w:tabs>
        <w:spacing w:before="0" w:beforeAutospacing="0" w:after="0" w:afterAutospacing="0"/>
        <w:ind w:firstLine="567"/>
        <w:jc w:val="both"/>
        <w:rPr>
          <w:color w:val="000000" w:themeColor="text1"/>
        </w:rPr>
      </w:pPr>
    </w:p>
    <w:p w:rsidR="00D32A77" w:rsidRPr="00EE5309" w:rsidRDefault="00D32A77" w:rsidP="004203B0">
      <w:pPr>
        <w:pStyle w:val="NormalWeb"/>
        <w:tabs>
          <w:tab w:val="left" w:pos="851"/>
        </w:tabs>
        <w:spacing w:before="0" w:beforeAutospacing="0" w:after="0" w:afterAutospacing="0"/>
        <w:ind w:firstLine="567"/>
        <w:jc w:val="both"/>
        <w:rPr>
          <w:color w:val="000000" w:themeColor="text1"/>
        </w:rPr>
      </w:pPr>
    </w:p>
    <w:p w:rsidR="00D32A77" w:rsidRPr="00EE5309" w:rsidRDefault="00D32A77" w:rsidP="004203B0">
      <w:pPr>
        <w:pStyle w:val="NormalWeb"/>
        <w:tabs>
          <w:tab w:val="left" w:pos="851"/>
        </w:tabs>
        <w:spacing w:before="0" w:beforeAutospacing="0" w:after="0" w:afterAutospacing="0"/>
        <w:ind w:firstLine="567"/>
        <w:jc w:val="both"/>
        <w:rPr>
          <w:color w:val="000000" w:themeColor="text1"/>
        </w:rPr>
      </w:pPr>
    </w:p>
    <w:p w:rsidR="00D32A77" w:rsidRPr="00EE5309" w:rsidRDefault="00D32A77" w:rsidP="004203B0">
      <w:pPr>
        <w:pStyle w:val="NormalWeb"/>
        <w:tabs>
          <w:tab w:val="left" w:pos="851"/>
        </w:tabs>
        <w:spacing w:before="0" w:beforeAutospacing="0" w:after="0" w:afterAutospacing="0"/>
        <w:ind w:firstLine="567"/>
        <w:jc w:val="both"/>
        <w:rPr>
          <w:color w:val="000000" w:themeColor="text1"/>
        </w:rPr>
      </w:pPr>
    </w:p>
    <w:p w:rsidR="00482F22" w:rsidRPr="00EE5309" w:rsidRDefault="00482F22" w:rsidP="004203B0">
      <w:pPr>
        <w:pStyle w:val="NormalWeb"/>
        <w:tabs>
          <w:tab w:val="left" w:pos="851"/>
        </w:tabs>
        <w:spacing w:before="0" w:beforeAutospacing="0" w:after="0" w:afterAutospacing="0"/>
        <w:ind w:firstLine="567"/>
        <w:jc w:val="both"/>
        <w:rPr>
          <w:color w:val="000000" w:themeColor="text1"/>
        </w:rPr>
      </w:pPr>
    </w:p>
    <w:p w:rsidR="00D32A77" w:rsidRPr="00EE5309" w:rsidRDefault="0066233B" w:rsidP="004203B0">
      <w:pPr>
        <w:pStyle w:val="NormalWeb"/>
        <w:tabs>
          <w:tab w:val="left" w:pos="851"/>
        </w:tabs>
        <w:spacing w:before="0" w:beforeAutospacing="0" w:after="0" w:afterAutospacing="0"/>
        <w:ind w:firstLine="567"/>
        <w:jc w:val="both"/>
        <w:rPr>
          <w:color w:val="000000" w:themeColor="text1"/>
        </w:rPr>
      </w:pPr>
      <w:r w:rsidRPr="00EE5309">
        <w:rPr>
          <w:color w:val="000000" w:themeColor="text1"/>
        </w:rPr>
        <w:lastRenderedPageBreak/>
        <w:t xml:space="preserve">Nivelul și dinamica cotei de piață a companiilor </w:t>
      </w:r>
      <w:r w:rsidR="00FB339A" w:rsidRPr="00EE5309">
        <w:rPr>
          <w:color w:val="000000" w:themeColor="text1"/>
        </w:rPr>
        <w:t>supuse analizei sunt evidențiate în tabelul de mai jos:</w:t>
      </w:r>
    </w:p>
    <w:p w:rsidR="00482F22" w:rsidRPr="00EE5309" w:rsidRDefault="00482F22" w:rsidP="004203B0">
      <w:pPr>
        <w:pStyle w:val="NormalWeb"/>
        <w:tabs>
          <w:tab w:val="left" w:pos="851"/>
        </w:tabs>
        <w:spacing w:before="0" w:beforeAutospacing="0" w:after="0" w:afterAutospacing="0"/>
        <w:ind w:firstLine="567"/>
        <w:jc w:val="both"/>
        <w:rPr>
          <w:color w:val="000000" w:themeColor="text1"/>
        </w:rPr>
      </w:pPr>
    </w:p>
    <w:p w:rsidR="00D32A77" w:rsidRPr="00EE5309" w:rsidRDefault="00D32A77" w:rsidP="00D32A77">
      <w:pPr>
        <w:pStyle w:val="NormalWeb"/>
        <w:tabs>
          <w:tab w:val="left" w:pos="851"/>
        </w:tabs>
        <w:spacing w:before="0" w:beforeAutospacing="0" w:after="0" w:afterAutospacing="0"/>
        <w:jc w:val="center"/>
        <w:rPr>
          <w:color w:val="000000" w:themeColor="text1"/>
          <w:sz w:val="20"/>
          <w:szCs w:val="20"/>
        </w:rPr>
      </w:pPr>
      <w:r w:rsidRPr="00EE5309">
        <w:rPr>
          <w:color w:val="000000" w:themeColor="text1"/>
          <w:sz w:val="20"/>
          <w:szCs w:val="20"/>
        </w:rPr>
        <w:t>Tabel nr. 4. Cota de piață a companiilor</w:t>
      </w:r>
      <w:r w:rsidR="00FB339A" w:rsidRPr="00EE5309">
        <w:rPr>
          <w:color w:val="000000" w:themeColor="text1"/>
          <w:sz w:val="20"/>
          <w:szCs w:val="20"/>
        </w:rPr>
        <w:t xml:space="preserve"> – România CAEN 3030</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3471"/>
        <w:gridCol w:w="1366"/>
        <w:gridCol w:w="1366"/>
        <w:gridCol w:w="1366"/>
      </w:tblGrid>
      <w:tr w:rsidR="00F56E6A" w:rsidRPr="00EE5309" w:rsidTr="00A34C68">
        <w:trPr>
          <w:trHeight w:hRule="exact" w:val="284"/>
          <w:jc w:val="center"/>
        </w:trPr>
        <w:tc>
          <w:tcPr>
            <w:tcW w:w="2158" w:type="dxa"/>
            <w:vMerge w:val="restart"/>
            <w:shd w:val="clear" w:color="auto" w:fill="A6A6A6" w:themeFill="background1" w:themeFillShade="A6"/>
            <w:vAlign w:val="center"/>
            <w:hideMark/>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Compania</w:t>
            </w:r>
          </w:p>
        </w:tc>
        <w:tc>
          <w:tcPr>
            <w:tcW w:w="3471" w:type="dxa"/>
            <w:vMerge w:val="restart"/>
            <w:shd w:val="clear" w:color="auto" w:fill="A6A6A6" w:themeFill="background1" w:themeFillShade="A6"/>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Indicatori</w:t>
            </w:r>
          </w:p>
        </w:tc>
        <w:tc>
          <w:tcPr>
            <w:tcW w:w="4098" w:type="dxa"/>
            <w:gridSpan w:val="3"/>
            <w:shd w:val="clear" w:color="auto" w:fill="A6A6A6" w:themeFill="background1" w:themeFillShade="A6"/>
            <w:noWrap/>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Perioada de analiză</w:t>
            </w:r>
          </w:p>
        </w:tc>
      </w:tr>
      <w:tr w:rsidR="00F56E6A" w:rsidRPr="00EE5309" w:rsidTr="00A34C68">
        <w:trPr>
          <w:trHeight w:hRule="exact" w:val="284"/>
          <w:jc w:val="center"/>
        </w:trPr>
        <w:tc>
          <w:tcPr>
            <w:tcW w:w="2158" w:type="dxa"/>
            <w:vMerge/>
            <w:shd w:val="clear" w:color="auto" w:fill="A6A6A6" w:themeFill="background1" w:themeFillShade="A6"/>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p>
        </w:tc>
        <w:tc>
          <w:tcPr>
            <w:tcW w:w="3471" w:type="dxa"/>
            <w:vMerge/>
            <w:shd w:val="clear" w:color="auto" w:fill="A6A6A6" w:themeFill="background1" w:themeFillShade="A6"/>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p>
        </w:tc>
        <w:tc>
          <w:tcPr>
            <w:tcW w:w="1366" w:type="dxa"/>
            <w:shd w:val="clear" w:color="auto" w:fill="A6A6A6" w:themeFill="background1" w:themeFillShade="A6"/>
            <w:noWrap/>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2016</w:t>
            </w:r>
          </w:p>
        </w:tc>
        <w:tc>
          <w:tcPr>
            <w:tcW w:w="1366" w:type="dxa"/>
            <w:shd w:val="clear" w:color="auto" w:fill="A6A6A6" w:themeFill="background1" w:themeFillShade="A6"/>
            <w:noWrap/>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2017</w:t>
            </w:r>
          </w:p>
        </w:tc>
        <w:tc>
          <w:tcPr>
            <w:tcW w:w="1366" w:type="dxa"/>
            <w:shd w:val="clear" w:color="auto" w:fill="A6A6A6" w:themeFill="background1" w:themeFillShade="A6"/>
            <w:noWrap/>
            <w:vAlign w:val="center"/>
          </w:tcPr>
          <w:p w:rsidR="00F56E6A" w:rsidRPr="00EE5309" w:rsidRDefault="00F56E6A" w:rsidP="004468D3">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2018</w:t>
            </w:r>
          </w:p>
        </w:tc>
      </w:tr>
      <w:tr w:rsidR="00F56E6A" w:rsidRPr="00EE5309" w:rsidTr="00A34C68">
        <w:trPr>
          <w:trHeight w:hRule="exact" w:val="284"/>
          <w:jc w:val="center"/>
        </w:trPr>
        <w:tc>
          <w:tcPr>
            <w:tcW w:w="2158" w:type="dxa"/>
            <w:vMerge w:val="restart"/>
            <w:shd w:val="clear" w:color="auto" w:fill="auto"/>
            <w:vAlign w:val="center"/>
          </w:tcPr>
          <w:p w:rsidR="00F56E6A" w:rsidRPr="00EE5309" w:rsidRDefault="00F56E6A" w:rsidP="00D32A77">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S.C.</w:t>
            </w:r>
          </w:p>
          <w:p w:rsidR="000936C5" w:rsidRPr="00EE5309" w:rsidRDefault="000936C5" w:rsidP="00D32A77">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AEROSTAR</w:t>
            </w:r>
          </w:p>
          <w:p w:rsidR="00F56E6A" w:rsidRPr="00EE5309" w:rsidRDefault="00F56E6A" w:rsidP="00D32A77">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S.A.</w:t>
            </w:r>
          </w:p>
        </w:tc>
        <w:tc>
          <w:tcPr>
            <w:tcW w:w="3471" w:type="dxa"/>
            <w:vAlign w:val="center"/>
          </w:tcPr>
          <w:p w:rsidR="00F56E6A" w:rsidRPr="00EE5309" w:rsidRDefault="00F56E6A" w:rsidP="002F57CB">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 firmă</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center"/>
          </w:tcPr>
          <w:p w:rsidR="00F56E6A" w:rsidRPr="00EE5309" w:rsidRDefault="00F56E6A" w:rsidP="002F57CB">
            <w:pPr>
              <w:jc w:val="right"/>
              <w:rPr>
                <w:rFonts w:ascii="Times New Roman" w:hAnsi="Times New Roman" w:cs="Times New Roman"/>
                <w:sz w:val="20"/>
                <w:szCs w:val="20"/>
              </w:rPr>
            </w:pPr>
            <w:r w:rsidRPr="00EE5309">
              <w:rPr>
                <w:rFonts w:ascii="Times New Roman" w:hAnsi="Times New Roman" w:cs="Times New Roman"/>
                <w:sz w:val="20"/>
                <w:szCs w:val="20"/>
              </w:rPr>
              <w:t>356.219.105</w:t>
            </w:r>
          </w:p>
        </w:tc>
        <w:tc>
          <w:tcPr>
            <w:tcW w:w="1366" w:type="dxa"/>
            <w:shd w:val="clear" w:color="auto" w:fill="auto"/>
            <w:noWrap/>
            <w:vAlign w:val="center"/>
          </w:tcPr>
          <w:p w:rsidR="00F56E6A" w:rsidRPr="00EE5309" w:rsidRDefault="00F56E6A" w:rsidP="002F57CB">
            <w:pPr>
              <w:jc w:val="right"/>
              <w:rPr>
                <w:rFonts w:ascii="Times New Roman" w:hAnsi="Times New Roman" w:cs="Times New Roman"/>
                <w:sz w:val="20"/>
                <w:szCs w:val="20"/>
              </w:rPr>
            </w:pPr>
            <w:r w:rsidRPr="00EE5309">
              <w:rPr>
                <w:rFonts w:ascii="Times New Roman" w:hAnsi="Times New Roman" w:cs="Times New Roman"/>
                <w:sz w:val="20"/>
                <w:szCs w:val="20"/>
              </w:rPr>
              <w:t>340.172.330</w:t>
            </w:r>
          </w:p>
        </w:tc>
        <w:tc>
          <w:tcPr>
            <w:tcW w:w="1366" w:type="dxa"/>
            <w:shd w:val="clear" w:color="auto" w:fill="auto"/>
            <w:noWrap/>
            <w:vAlign w:val="center"/>
          </w:tcPr>
          <w:p w:rsidR="00F56E6A" w:rsidRPr="00EE5309" w:rsidRDefault="00F56E6A" w:rsidP="002F57CB">
            <w:pPr>
              <w:jc w:val="right"/>
              <w:rPr>
                <w:rFonts w:ascii="Times New Roman" w:hAnsi="Times New Roman" w:cs="Times New Roman"/>
                <w:sz w:val="20"/>
                <w:szCs w:val="20"/>
              </w:rPr>
            </w:pPr>
            <w:r w:rsidRPr="00EE5309">
              <w:rPr>
                <w:rFonts w:ascii="Times New Roman" w:hAnsi="Times New Roman" w:cs="Times New Roman"/>
                <w:sz w:val="20"/>
                <w:szCs w:val="20"/>
              </w:rPr>
              <w:t>353.413.272</w:t>
            </w:r>
          </w:p>
        </w:tc>
      </w:tr>
      <w:tr w:rsidR="00F56E6A" w:rsidRPr="00EE5309" w:rsidTr="00A34C68">
        <w:trPr>
          <w:trHeight w:hRule="exact" w:val="336"/>
          <w:jc w:val="center"/>
        </w:trPr>
        <w:tc>
          <w:tcPr>
            <w:tcW w:w="2158" w:type="dxa"/>
            <w:vMerge/>
            <w:shd w:val="clear" w:color="auto" w:fill="auto"/>
            <w:vAlign w:val="center"/>
          </w:tcPr>
          <w:p w:rsidR="00F56E6A" w:rsidRPr="00EE5309" w:rsidRDefault="00F56E6A" w:rsidP="002F57CB">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 xml:space="preserve">Cifra de afaceri țară </w:t>
            </w:r>
            <w:r w:rsidR="00482F22" w:rsidRPr="00EE5309">
              <w:rPr>
                <w:rFonts w:ascii="Times New Roman" w:eastAsia="Times New Roman" w:hAnsi="Times New Roman" w:cs="Times New Roman"/>
                <w:color w:val="000000" w:themeColor="text1"/>
                <w:sz w:val="20"/>
                <w:szCs w:val="20"/>
                <w:lang w:eastAsia="ro-RO"/>
              </w:rPr>
              <w:t xml:space="preserve">CAEN </w:t>
            </w:r>
            <w:r w:rsidRPr="00EE5309">
              <w:rPr>
                <w:rFonts w:ascii="Times New Roman" w:eastAsia="Times New Roman" w:hAnsi="Times New Roman" w:cs="Times New Roman"/>
                <w:color w:val="000000" w:themeColor="text1"/>
                <w:sz w:val="20"/>
                <w:szCs w:val="20"/>
                <w:lang w:eastAsia="ro-RO"/>
              </w:rPr>
              <w:t>3030</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center"/>
          </w:tcPr>
          <w:p w:rsidR="00F56E6A" w:rsidRPr="00EE5309" w:rsidRDefault="00F56E6A" w:rsidP="002F57CB">
            <w:pPr>
              <w:jc w:val="right"/>
              <w:rPr>
                <w:rFonts w:ascii="Times New Roman" w:hAnsi="Times New Roman" w:cs="Times New Roman"/>
                <w:sz w:val="20"/>
                <w:szCs w:val="20"/>
              </w:rPr>
            </w:pPr>
            <w:r w:rsidRPr="00EE5309">
              <w:rPr>
                <w:rFonts w:ascii="Times New Roman" w:hAnsi="Times New Roman" w:cs="Times New Roman"/>
                <w:sz w:val="20"/>
                <w:szCs w:val="20"/>
              </w:rPr>
              <w:t>1.314.915.841</w:t>
            </w:r>
          </w:p>
        </w:tc>
        <w:tc>
          <w:tcPr>
            <w:tcW w:w="1366" w:type="dxa"/>
            <w:shd w:val="clear" w:color="auto" w:fill="auto"/>
            <w:noWrap/>
            <w:vAlign w:val="center"/>
          </w:tcPr>
          <w:p w:rsidR="00F56E6A" w:rsidRPr="00EE5309" w:rsidRDefault="00F56E6A" w:rsidP="002F57CB">
            <w:pPr>
              <w:jc w:val="right"/>
              <w:rPr>
                <w:rFonts w:ascii="Times New Roman" w:hAnsi="Times New Roman" w:cs="Times New Roman"/>
                <w:sz w:val="20"/>
                <w:szCs w:val="20"/>
              </w:rPr>
            </w:pPr>
            <w:r w:rsidRPr="00EE5309">
              <w:rPr>
                <w:rFonts w:ascii="Times New Roman" w:hAnsi="Times New Roman" w:cs="Times New Roman"/>
                <w:sz w:val="20"/>
                <w:szCs w:val="20"/>
              </w:rPr>
              <w:t>1.452.374.331</w:t>
            </w:r>
          </w:p>
        </w:tc>
        <w:tc>
          <w:tcPr>
            <w:tcW w:w="1366" w:type="dxa"/>
            <w:shd w:val="clear" w:color="auto" w:fill="auto"/>
            <w:noWrap/>
            <w:vAlign w:val="center"/>
          </w:tcPr>
          <w:p w:rsidR="00F56E6A" w:rsidRPr="00EE5309" w:rsidRDefault="00F56E6A" w:rsidP="002F57CB">
            <w:pPr>
              <w:jc w:val="right"/>
              <w:rPr>
                <w:rFonts w:ascii="Times New Roman" w:hAnsi="Times New Roman" w:cs="Times New Roman"/>
                <w:sz w:val="20"/>
                <w:szCs w:val="20"/>
              </w:rPr>
            </w:pPr>
            <w:r w:rsidRPr="00EE5309">
              <w:rPr>
                <w:rFonts w:ascii="Times New Roman" w:hAnsi="Times New Roman" w:cs="Times New Roman"/>
                <w:sz w:val="20"/>
                <w:szCs w:val="20"/>
              </w:rPr>
              <w:t>1.632.817.955</w:t>
            </w:r>
          </w:p>
        </w:tc>
      </w:tr>
      <w:tr w:rsidR="00F56E6A" w:rsidRPr="00EE5309" w:rsidTr="00A34C68">
        <w:trPr>
          <w:trHeight w:hRule="exact" w:val="284"/>
          <w:jc w:val="center"/>
        </w:trPr>
        <w:tc>
          <w:tcPr>
            <w:tcW w:w="2158" w:type="dxa"/>
            <w:vMerge/>
            <w:shd w:val="clear" w:color="auto" w:fill="auto"/>
            <w:vAlign w:val="center"/>
          </w:tcPr>
          <w:p w:rsidR="00F56E6A" w:rsidRPr="00EE5309" w:rsidRDefault="00F56E6A" w:rsidP="002F57CB">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F56E6A" w:rsidRPr="00EE5309" w:rsidRDefault="00F56E6A" w:rsidP="002F57CB">
            <w:pPr>
              <w:spacing w:after="0" w:line="240" w:lineRule="auto"/>
              <w:rPr>
                <w:rFonts w:ascii="Times New Roman" w:eastAsia="Times New Roman" w:hAnsi="Times New Roman" w:cs="Times New Roman"/>
                <w:b/>
                <w:i/>
                <w:color w:val="000000" w:themeColor="text1"/>
                <w:sz w:val="20"/>
                <w:szCs w:val="20"/>
                <w:lang w:eastAsia="ro-RO"/>
              </w:rPr>
            </w:pPr>
            <w:r w:rsidRPr="00EE5309">
              <w:rPr>
                <w:rFonts w:ascii="Times New Roman" w:eastAsia="Times New Roman" w:hAnsi="Times New Roman" w:cs="Times New Roman"/>
                <w:b/>
                <w:i/>
                <w:color w:val="000000" w:themeColor="text1"/>
                <w:sz w:val="20"/>
                <w:szCs w:val="20"/>
                <w:lang w:eastAsia="ro-RO"/>
              </w:rPr>
              <w:t>Cota de piață (%)</w:t>
            </w:r>
          </w:p>
        </w:tc>
        <w:tc>
          <w:tcPr>
            <w:tcW w:w="1366" w:type="dxa"/>
            <w:shd w:val="clear" w:color="auto" w:fill="auto"/>
            <w:noWrap/>
            <w:vAlign w:val="center"/>
          </w:tcPr>
          <w:p w:rsidR="00F56E6A" w:rsidRPr="00EE5309" w:rsidRDefault="00C758ED" w:rsidP="002F57CB">
            <w:pPr>
              <w:spacing w:after="0" w:line="240" w:lineRule="auto"/>
              <w:jc w:val="right"/>
              <w:rPr>
                <w:rFonts w:ascii="Times New Roman" w:hAnsi="Times New Roman" w:cs="Times New Roman"/>
                <w:b/>
                <w:i/>
                <w:color w:val="000000" w:themeColor="text1"/>
                <w:sz w:val="20"/>
                <w:szCs w:val="20"/>
              </w:rPr>
            </w:pPr>
            <w:r w:rsidRPr="00EE5309">
              <w:rPr>
                <w:rFonts w:ascii="Times New Roman" w:hAnsi="Times New Roman" w:cs="Times New Roman"/>
                <w:b/>
                <w:i/>
                <w:color w:val="000000" w:themeColor="text1"/>
                <w:sz w:val="20"/>
                <w:szCs w:val="20"/>
              </w:rPr>
              <w:t>27,09</w:t>
            </w:r>
          </w:p>
        </w:tc>
        <w:tc>
          <w:tcPr>
            <w:tcW w:w="1366" w:type="dxa"/>
            <w:shd w:val="clear" w:color="auto" w:fill="auto"/>
            <w:noWrap/>
            <w:vAlign w:val="center"/>
          </w:tcPr>
          <w:p w:rsidR="00F56E6A" w:rsidRPr="00EE5309" w:rsidRDefault="00F56E6A" w:rsidP="002F57CB">
            <w:pPr>
              <w:spacing w:after="0" w:line="240" w:lineRule="auto"/>
              <w:jc w:val="right"/>
              <w:rPr>
                <w:rFonts w:ascii="Times New Roman" w:hAnsi="Times New Roman" w:cs="Times New Roman"/>
                <w:b/>
                <w:i/>
                <w:color w:val="000000" w:themeColor="text1"/>
                <w:sz w:val="20"/>
                <w:szCs w:val="20"/>
              </w:rPr>
            </w:pPr>
            <w:r w:rsidRPr="00EE5309">
              <w:rPr>
                <w:rFonts w:ascii="Times New Roman" w:hAnsi="Times New Roman" w:cs="Times New Roman"/>
                <w:b/>
                <w:i/>
                <w:color w:val="000000" w:themeColor="text1"/>
                <w:sz w:val="20"/>
                <w:szCs w:val="20"/>
              </w:rPr>
              <w:t>23,4</w:t>
            </w:r>
            <w:r w:rsidR="00C758ED" w:rsidRPr="00EE5309">
              <w:rPr>
                <w:rFonts w:ascii="Times New Roman" w:hAnsi="Times New Roman" w:cs="Times New Roman"/>
                <w:b/>
                <w:i/>
                <w:color w:val="000000" w:themeColor="text1"/>
                <w:sz w:val="20"/>
                <w:szCs w:val="20"/>
              </w:rPr>
              <w:t>2</w:t>
            </w:r>
          </w:p>
        </w:tc>
        <w:tc>
          <w:tcPr>
            <w:tcW w:w="1366" w:type="dxa"/>
            <w:shd w:val="clear" w:color="auto" w:fill="auto"/>
            <w:noWrap/>
            <w:vAlign w:val="center"/>
          </w:tcPr>
          <w:p w:rsidR="00F56E6A" w:rsidRPr="00EE5309" w:rsidRDefault="00F56E6A" w:rsidP="002F57CB">
            <w:pPr>
              <w:spacing w:after="0" w:line="240" w:lineRule="auto"/>
              <w:jc w:val="right"/>
              <w:rPr>
                <w:rFonts w:ascii="Times New Roman" w:hAnsi="Times New Roman" w:cs="Times New Roman"/>
                <w:b/>
                <w:i/>
                <w:color w:val="000000" w:themeColor="text1"/>
                <w:sz w:val="20"/>
                <w:szCs w:val="20"/>
              </w:rPr>
            </w:pPr>
            <w:r w:rsidRPr="00EE5309">
              <w:rPr>
                <w:rFonts w:ascii="Times New Roman" w:hAnsi="Times New Roman" w:cs="Times New Roman"/>
                <w:b/>
                <w:i/>
                <w:color w:val="000000" w:themeColor="text1"/>
                <w:sz w:val="20"/>
                <w:szCs w:val="20"/>
              </w:rPr>
              <w:t>21,6</w:t>
            </w:r>
            <w:r w:rsidR="00C758ED" w:rsidRPr="00EE5309">
              <w:rPr>
                <w:rFonts w:ascii="Times New Roman" w:hAnsi="Times New Roman" w:cs="Times New Roman"/>
                <w:b/>
                <w:i/>
                <w:color w:val="000000" w:themeColor="text1"/>
                <w:sz w:val="20"/>
                <w:szCs w:val="20"/>
              </w:rPr>
              <w:t>4</w:t>
            </w:r>
          </w:p>
        </w:tc>
      </w:tr>
      <w:tr w:rsidR="00F56E6A" w:rsidRPr="00EE5309" w:rsidTr="00A34C68">
        <w:trPr>
          <w:trHeight w:hRule="exact" w:val="284"/>
          <w:jc w:val="center"/>
        </w:trPr>
        <w:tc>
          <w:tcPr>
            <w:tcW w:w="2158" w:type="dxa"/>
            <w:vMerge w:val="restart"/>
            <w:shd w:val="clear" w:color="auto" w:fill="auto"/>
            <w:vAlign w:val="center"/>
          </w:tcPr>
          <w:p w:rsidR="00F56E6A" w:rsidRPr="00EE5309" w:rsidRDefault="00F56E6A" w:rsidP="000D1D86">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S.C.</w:t>
            </w:r>
          </w:p>
          <w:p w:rsidR="00F56E6A" w:rsidRPr="00EE5309" w:rsidRDefault="00F56E6A" w:rsidP="000D1D86">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TURBOMECANICA</w:t>
            </w:r>
          </w:p>
          <w:p w:rsidR="00F56E6A" w:rsidRPr="00EE5309" w:rsidRDefault="00F56E6A" w:rsidP="000D1D86">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S.A.</w:t>
            </w: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 firmă</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83.030.250</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100.766.069</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112.387.772</w:t>
            </w:r>
          </w:p>
        </w:tc>
      </w:tr>
      <w:tr w:rsidR="00F56E6A" w:rsidRPr="00EE5309" w:rsidTr="00A34C68">
        <w:trPr>
          <w:trHeight w:hRule="exact" w:val="284"/>
          <w:jc w:val="center"/>
        </w:trPr>
        <w:tc>
          <w:tcPr>
            <w:tcW w:w="2158" w:type="dxa"/>
            <w:vMerge/>
            <w:shd w:val="clear" w:color="auto" w:fill="auto"/>
            <w:vAlign w:val="center"/>
          </w:tcPr>
          <w:p w:rsidR="00F56E6A" w:rsidRPr="00EE5309" w:rsidRDefault="00F56E6A" w:rsidP="000D1D86">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F56E6A" w:rsidRPr="00EE5309" w:rsidRDefault="00F56E6A" w:rsidP="00482F22">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 xml:space="preserve">Cifra de afaceri țară </w:t>
            </w:r>
            <w:r w:rsidR="00482F22" w:rsidRPr="00EE5309">
              <w:rPr>
                <w:rFonts w:ascii="Times New Roman" w:eastAsia="Times New Roman" w:hAnsi="Times New Roman" w:cs="Times New Roman"/>
                <w:color w:val="000000" w:themeColor="text1"/>
                <w:sz w:val="20"/>
                <w:szCs w:val="20"/>
                <w:lang w:eastAsia="ro-RO"/>
              </w:rPr>
              <w:t>CAEN 3</w:t>
            </w:r>
            <w:r w:rsidRPr="00EE5309">
              <w:rPr>
                <w:rFonts w:ascii="Times New Roman" w:eastAsia="Times New Roman" w:hAnsi="Times New Roman" w:cs="Times New Roman"/>
                <w:color w:val="000000" w:themeColor="text1"/>
                <w:sz w:val="20"/>
                <w:szCs w:val="20"/>
                <w:lang w:eastAsia="ro-RO"/>
              </w:rPr>
              <w:t>030</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1.314.915.841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1.452.374.331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1.632.817.955</w:t>
            </w:r>
          </w:p>
        </w:tc>
      </w:tr>
      <w:tr w:rsidR="00122725" w:rsidRPr="00EE5309" w:rsidTr="00A34C68">
        <w:trPr>
          <w:trHeight w:hRule="exact" w:val="284"/>
          <w:jc w:val="center"/>
        </w:trPr>
        <w:tc>
          <w:tcPr>
            <w:tcW w:w="2158" w:type="dxa"/>
            <w:vMerge/>
            <w:shd w:val="clear" w:color="auto" w:fill="auto"/>
            <w:vAlign w:val="center"/>
          </w:tcPr>
          <w:p w:rsidR="00122725" w:rsidRPr="00EE5309" w:rsidRDefault="00122725" w:rsidP="00122725">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122725" w:rsidRPr="00EE5309" w:rsidRDefault="00122725" w:rsidP="00122725">
            <w:pPr>
              <w:spacing w:after="0" w:line="240" w:lineRule="auto"/>
              <w:rPr>
                <w:rFonts w:ascii="Times New Roman" w:eastAsia="Times New Roman" w:hAnsi="Times New Roman" w:cs="Times New Roman"/>
                <w:b/>
                <w:i/>
                <w:color w:val="000000" w:themeColor="text1"/>
                <w:sz w:val="20"/>
                <w:szCs w:val="20"/>
                <w:lang w:eastAsia="ro-RO"/>
              </w:rPr>
            </w:pPr>
            <w:r w:rsidRPr="00EE5309">
              <w:rPr>
                <w:rFonts w:ascii="Times New Roman" w:eastAsia="Times New Roman" w:hAnsi="Times New Roman" w:cs="Times New Roman"/>
                <w:b/>
                <w:i/>
                <w:color w:val="000000" w:themeColor="text1"/>
                <w:sz w:val="20"/>
                <w:szCs w:val="20"/>
                <w:lang w:eastAsia="ro-RO"/>
              </w:rPr>
              <w:t>Cota de piață (%)</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6,31</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6,94</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6,88</w:t>
            </w:r>
          </w:p>
        </w:tc>
      </w:tr>
      <w:tr w:rsidR="00F56E6A" w:rsidRPr="00EE5309" w:rsidTr="00A34C68">
        <w:trPr>
          <w:trHeight w:hRule="exact" w:val="284"/>
          <w:jc w:val="center"/>
        </w:trPr>
        <w:tc>
          <w:tcPr>
            <w:tcW w:w="2158" w:type="dxa"/>
            <w:vMerge w:val="restart"/>
            <w:shd w:val="clear" w:color="auto" w:fill="auto"/>
            <w:vAlign w:val="center"/>
          </w:tcPr>
          <w:p w:rsidR="00F56E6A" w:rsidRPr="00EE5309" w:rsidRDefault="00F56E6A" w:rsidP="000D1D86">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F56E6A" w:rsidRPr="00EE5309" w:rsidRDefault="00F56E6A" w:rsidP="000D1D86">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IAR</w:t>
            </w:r>
          </w:p>
          <w:p w:rsidR="00F56E6A" w:rsidRPr="00EE5309" w:rsidRDefault="00F56E6A" w:rsidP="000D1D86">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 firmă</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152.096.365</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192.724.954</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259.274.208</w:t>
            </w:r>
          </w:p>
        </w:tc>
      </w:tr>
      <w:tr w:rsidR="00F56E6A" w:rsidRPr="00EE5309" w:rsidTr="00A34C68">
        <w:trPr>
          <w:trHeight w:hRule="exact" w:val="284"/>
          <w:jc w:val="center"/>
        </w:trPr>
        <w:tc>
          <w:tcPr>
            <w:tcW w:w="2158" w:type="dxa"/>
            <w:vMerge/>
            <w:shd w:val="clear" w:color="auto" w:fill="auto"/>
            <w:vAlign w:val="center"/>
          </w:tcPr>
          <w:p w:rsidR="00F56E6A" w:rsidRPr="00EE5309" w:rsidRDefault="00F56E6A" w:rsidP="000D1D86">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 xml:space="preserve">Cifra de afaceri țară </w:t>
            </w:r>
            <w:r w:rsidR="00482F22" w:rsidRPr="00EE5309">
              <w:rPr>
                <w:rFonts w:ascii="Times New Roman" w:eastAsia="Times New Roman" w:hAnsi="Times New Roman" w:cs="Times New Roman"/>
                <w:color w:val="000000" w:themeColor="text1"/>
                <w:sz w:val="20"/>
                <w:szCs w:val="20"/>
                <w:lang w:eastAsia="ro-RO"/>
              </w:rPr>
              <w:t xml:space="preserve">CAEN </w:t>
            </w:r>
            <w:r w:rsidRPr="00EE5309">
              <w:rPr>
                <w:rFonts w:ascii="Times New Roman" w:eastAsia="Times New Roman" w:hAnsi="Times New Roman" w:cs="Times New Roman"/>
                <w:color w:val="000000" w:themeColor="text1"/>
                <w:sz w:val="20"/>
                <w:szCs w:val="20"/>
                <w:lang w:eastAsia="ro-RO"/>
              </w:rPr>
              <w:t>3030</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1.314.915.841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1.452.374.331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1.632.817.955</w:t>
            </w:r>
          </w:p>
        </w:tc>
      </w:tr>
      <w:tr w:rsidR="00122725" w:rsidRPr="00EE5309" w:rsidTr="00A34C68">
        <w:trPr>
          <w:trHeight w:hRule="exact" w:val="284"/>
          <w:jc w:val="center"/>
        </w:trPr>
        <w:tc>
          <w:tcPr>
            <w:tcW w:w="2158" w:type="dxa"/>
            <w:vMerge/>
            <w:shd w:val="clear" w:color="auto" w:fill="auto"/>
            <w:vAlign w:val="center"/>
          </w:tcPr>
          <w:p w:rsidR="00122725" w:rsidRPr="00EE5309" w:rsidRDefault="00122725" w:rsidP="00122725">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122725" w:rsidRPr="00EE5309" w:rsidRDefault="00122725" w:rsidP="00122725">
            <w:pPr>
              <w:spacing w:after="0" w:line="240" w:lineRule="auto"/>
              <w:rPr>
                <w:rFonts w:ascii="Times New Roman" w:eastAsia="Times New Roman" w:hAnsi="Times New Roman" w:cs="Times New Roman"/>
                <w:b/>
                <w:i/>
                <w:color w:val="000000" w:themeColor="text1"/>
                <w:sz w:val="20"/>
                <w:szCs w:val="20"/>
                <w:lang w:eastAsia="ro-RO"/>
              </w:rPr>
            </w:pPr>
            <w:r w:rsidRPr="00EE5309">
              <w:rPr>
                <w:rFonts w:ascii="Times New Roman" w:eastAsia="Times New Roman" w:hAnsi="Times New Roman" w:cs="Times New Roman"/>
                <w:b/>
                <w:i/>
                <w:color w:val="000000" w:themeColor="text1"/>
                <w:sz w:val="20"/>
                <w:szCs w:val="20"/>
                <w:lang w:eastAsia="ro-RO"/>
              </w:rPr>
              <w:t>Cota de piață (%)</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11,57</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13,27</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15,88</w:t>
            </w:r>
          </w:p>
        </w:tc>
      </w:tr>
      <w:tr w:rsidR="00F56E6A" w:rsidRPr="00EE5309" w:rsidTr="00A34C68">
        <w:trPr>
          <w:trHeight w:hRule="exact" w:val="284"/>
          <w:jc w:val="center"/>
        </w:trPr>
        <w:tc>
          <w:tcPr>
            <w:tcW w:w="2158" w:type="dxa"/>
            <w:vMerge w:val="restart"/>
            <w:shd w:val="clear" w:color="auto" w:fill="auto"/>
            <w:vAlign w:val="center"/>
          </w:tcPr>
          <w:p w:rsidR="00F56E6A" w:rsidRPr="00EE5309" w:rsidRDefault="00F56E6A" w:rsidP="000D1D86">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F56E6A" w:rsidRPr="00EE5309" w:rsidRDefault="00F56E6A" w:rsidP="000D1D86">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AVIOANE</w:t>
            </w:r>
          </w:p>
          <w:p w:rsidR="00F56E6A" w:rsidRPr="00EE5309" w:rsidRDefault="00F56E6A" w:rsidP="000D1D86">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 firmă</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23.378.109</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14.774.199</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15.720.390</w:t>
            </w:r>
          </w:p>
        </w:tc>
      </w:tr>
      <w:tr w:rsidR="00F56E6A" w:rsidRPr="00EE5309" w:rsidTr="00A34C68">
        <w:trPr>
          <w:trHeight w:hRule="exact" w:val="284"/>
          <w:jc w:val="center"/>
        </w:trPr>
        <w:tc>
          <w:tcPr>
            <w:tcW w:w="2158" w:type="dxa"/>
            <w:vMerge/>
            <w:shd w:val="clear" w:color="auto" w:fill="auto"/>
            <w:vAlign w:val="center"/>
          </w:tcPr>
          <w:p w:rsidR="00F56E6A" w:rsidRPr="00EE5309" w:rsidRDefault="00F56E6A" w:rsidP="000D1D86">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 xml:space="preserve">Cifra de afaceri țară </w:t>
            </w:r>
            <w:r w:rsidR="00482F22" w:rsidRPr="00EE5309">
              <w:rPr>
                <w:rFonts w:ascii="Times New Roman" w:eastAsia="Times New Roman" w:hAnsi="Times New Roman" w:cs="Times New Roman"/>
                <w:color w:val="000000" w:themeColor="text1"/>
                <w:sz w:val="20"/>
                <w:szCs w:val="20"/>
                <w:lang w:eastAsia="ro-RO"/>
              </w:rPr>
              <w:t xml:space="preserve">CAEN </w:t>
            </w:r>
            <w:r w:rsidRPr="00EE5309">
              <w:rPr>
                <w:rFonts w:ascii="Times New Roman" w:eastAsia="Times New Roman" w:hAnsi="Times New Roman" w:cs="Times New Roman"/>
                <w:color w:val="000000" w:themeColor="text1"/>
                <w:sz w:val="20"/>
                <w:szCs w:val="20"/>
                <w:lang w:eastAsia="ro-RO"/>
              </w:rPr>
              <w:t>3030</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1.314.915.841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1.452.374.331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1.632.817.955</w:t>
            </w:r>
          </w:p>
        </w:tc>
      </w:tr>
      <w:tr w:rsidR="00122725" w:rsidRPr="00EE5309" w:rsidTr="00A34C68">
        <w:trPr>
          <w:trHeight w:hRule="exact" w:val="284"/>
          <w:jc w:val="center"/>
        </w:trPr>
        <w:tc>
          <w:tcPr>
            <w:tcW w:w="2158" w:type="dxa"/>
            <w:vMerge/>
            <w:shd w:val="clear" w:color="auto" w:fill="auto"/>
            <w:vAlign w:val="center"/>
          </w:tcPr>
          <w:p w:rsidR="00122725" w:rsidRPr="00EE5309" w:rsidRDefault="00122725" w:rsidP="00122725">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122725" w:rsidRPr="00EE5309" w:rsidRDefault="00122725" w:rsidP="00122725">
            <w:pPr>
              <w:spacing w:after="0" w:line="240" w:lineRule="auto"/>
              <w:rPr>
                <w:rFonts w:ascii="Times New Roman" w:eastAsia="Times New Roman" w:hAnsi="Times New Roman" w:cs="Times New Roman"/>
                <w:b/>
                <w:i/>
                <w:color w:val="000000" w:themeColor="text1"/>
                <w:sz w:val="20"/>
                <w:szCs w:val="20"/>
                <w:lang w:eastAsia="ro-RO"/>
              </w:rPr>
            </w:pPr>
            <w:r w:rsidRPr="00EE5309">
              <w:rPr>
                <w:rFonts w:ascii="Times New Roman" w:eastAsia="Times New Roman" w:hAnsi="Times New Roman" w:cs="Times New Roman"/>
                <w:b/>
                <w:i/>
                <w:color w:val="000000" w:themeColor="text1"/>
                <w:sz w:val="20"/>
                <w:szCs w:val="20"/>
                <w:lang w:eastAsia="ro-RO"/>
              </w:rPr>
              <w:t>Cota de piață (%)</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1,78</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1,02</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0,96</w:t>
            </w:r>
          </w:p>
        </w:tc>
      </w:tr>
      <w:tr w:rsidR="00F56E6A" w:rsidRPr="00EE5309" w:rsidTr="00A34C68">
        <w:trPr>
          <w:trHeight w:hRule="exact" w:val="284"/>
          <w:jc w:val="center"/>
        </w:trPr>
        <w:tc>
          <w:tcPr>
            <w:tcW w:w="2158" w:type="dxa"/>
            <w:vMerge w:val="restart"/>
            <w:shd w:val="clear" w:color="auto" w:fill="auto"/>
            <w:vAlign w:val="center"/>
          </w:tcPr>
          <w:p w:rsidR="00F56E6A" w:rsidRPr="00EE5309" w:rsidRDefault="00F56E6A" w:rsidP="000D1D86">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F56E6A" w:rsidRPr="00EE5309" w:rsidRDefault="00F56E6A" w:rsidP="000D1D86">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ROMAERO</w:t>
            </w:r>
          </w:p>
          <w:p w:rsidR="00F56E6A" w:rsidRPr="00EE5309" w:rsidRDefault="00F56E6A" w:rsidP="000D1D86">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Cifra de afaceri firmă</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46.537.544</w:t>
            </w:r>
          </w:p>
        </w:tc>
        <w:tc>
          <w:tcPr>
            <w:tcW w:w="1366" w:type="dxa"/>
            <w:shd w:val="clear" w:color="auto" w:fill="auto"/>
            <w:noWrap/>
            <w:vAlign w:val="bottom"/>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sz w:val="20"/>
                <w:szCs w:val="20"/>
              </w:rPr>
              <w:t>60.089.744</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color w:val="000000"/>
                <w:sz w:val="20"/>
                <w:szCs w:val="20"/>
              </w:rPr>
            </w:pPr>
            <w:r w:rsidRPr="00EE5309">
              <w:rPr>
                <w:rFonts w:ascii="Times New Roman" w:hAnsi="Times New Roman" w:cs="Times New Roman"/>
                <w:color w:val="000000" w:themeColor="text1"/>
                <w:sz w:val="20"/>
                <w:szCs w:val="20"/>
              </w:rPr>
              <w:t>84.483.620</w:t>
            </w:r>
          </w:p>
        </w:tc>
      </w:tr>
      <w:tr w:rsidR="00F56E6A" w:rsidRPr="00EE5309" w:rsidTr="00A34C68">
        <w:trPr>
          <w:trHeight w:hRule="exact" w:val="284"/>
          <w:jc w:val="center"/>
        </w:trPr>
        <w:tc>
          <w:tcPr>
            <w:tcW w:w="2158" w:type="dxa"/>
            <w:vMerge/>
            <w:shd w:val="clear" w:color="auto" w:fill="auto"/>
            <w:vAlign w:val="center"/>
          </w:tcPr>
          <w:p w:rsidR="00F56E6A" w:rsidRPr="00EE5309" w:rsidRDefault="00F56E6A" w:rsidP="000D1D86">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F56E6A" w:rsidRPr="00EE5309" w:rsidRDefault="00F56E6A" w:rsidP="000D1D86">
            <w:pPr>
              <w:spacing w:after="0" w:line="240" w:lineRule="auto"/>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color w:val="000000" w:themeColor="text1"/>
                <w:sz w:val="20"/>
                <w:szCs w:val="20"/>
                <w:lang w:eastAsia="ro-RO"/>
              </w:rPr>
              <w:t xml:space="preserve">Cifra de afaceri țară </w:t>
            </w:r>
            <w:r w:rsidR="00482F22" w:rsidRPr="00EE5309">
              <w:rPr>
                <w:rFonts w:ascii="Times New Roman" w:eastAsia="Times New Roman" w:hAnsi="Times New Roman" w:cs="Times New Roman"/>
                <w:color w:val="000000" w:themeColor="text1"/>
                <w:sz w:val="20"/>
                <w:szCs w:val="20"/>
                <w:lang w:eastAsia="ro-RO"/>
              </w:rPr>
              <w:t xml:space="preserve">CAEN </w:t>
            </w:r>
            <w:r w:rsidRPr="00EE5309">
              <w:rPr>
                <w:rFonts w:ascii="Times New Roman" w:eastAsia="Times New Roman" w:hAnsi="Times New Roman" w:cs="Times New Roman"/>
                <w:color w:val="000000" w:themeColor="text1"/>
                <w:sz w:val="20"/>
                <w:szCs w:val="20"/>
                <w:lang w:eastAsia="ro-RO"/>
              </w:rPr>
              <w:t>3030</w:t>
            </w:r>
            <w:r w:rsidR="00A34C68" w:rsidRPr="00EE5309">
              <w:rPr>
                <w:rFonts w:ascii="Times New Roman" w:eastAsia="Times New Roman" w:hAnsi="Times New Roman" w:cs="Times New Roman"/>
                <w:color w:val="000000" w:themeColor="text1"/>
                <w:sz w:val="20"/>
                <w:szCs w:val="20"/>
                <w:lang w:eastAsia="ro-RO"/>
              </w:rPr>
              <w:t xml:space="preserve"> (Ron)</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1.314.915.841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1.452.374.331</w:t>
            </w:r>
          </w:p>
        </w:tc>
        <w:tc>
          <w:tcPr>
            <w:tcW w:w="1366" w:type="dxa"/>
            <w:shd w:val="clear" w:color="auto" w:fill="auto"/>
            <w:noWrap/>
            <w:vAlign w:val="center"/>
          </w:tcPr>
          <w:p w:rsidR="00F56E6A" w:rsidRPr="00EE5309" w:rsidRDefault="00F56E6A" w:rsidP="000D1D86">
            <w:pPr>
              <w:jc w:val="right"/>
              <w:rPr>
                <w:rFonts w:ascii="Times New Roman" w:hAnsi="Times New Roman" w:cs="Times New Roman"/>
                <w:sz w:val="20"/>
                <w:szCs w:val="20"/>
              </w:rPr>
            </w:pPr>
            <w:r w:rsidRPr="00EE5309">
              <w:rPr>
                <w:rFonts w:ascii="Times New Roman" w:hAnsi="Times New Roman" w:cs="Times New Roman"/>
                <w:sz w:val="20"/>
                <w:szCs w:val="20"/>
              </w:rPr>
              <w:t>1.632.817.955</w:t>
            </w:r>
          </w:p>
        </w:tc>
      </w:tr>
      <w:tr w:rsidR="00122725" w:rsidRPr="00EE5309" w:rsidTr="00A34C68">
        <w:trPr>
          <w:trHeight w:hRule="exact" w:val="284"/>
          <w:jc w:val="center"/>
        </w:trPr>
        <w:tc>
          <w:tcPr>
            <w:tcW w:w="2158" w:type="dxa"/>
            <w:vMerge/>
            <w:shd w:val="clear" w:color="auto" w:fill="auto"/>
            <w:vAlign w:val="center"/>
          </w:tcPr>
          <w:p w:rsidR="00122725" w:rsidRPr="00EE5309" w:rsidRDefault="00122725" w:rsidP="00122725">
            <w:pPr>
              <w:spacing w:after="0" w:line="240" w:lineRule="auto"/>
              <w:rPr>
                <w:rFonts w:ascii="Times New Roman" w:eastAsia="Times New Roman" w:hAnsi="Times New Roman" w:cs="Times New Roman"/>
                <w:b/>
                <w:color w:val="000000" w:themeColor="text1"/>
                <w:sz w:val="20"/>
                <w:szCs w:val="20"/>
                <w:lang w:eastAsia="ro-RO"/>
              </w:rPr>
            </w:pPr>
          </w:p>
        </w:tc>
        <w:tc>
          <w:tcPr>
            <w:tcW w:w="3471" w:type="dxa"/>
            <w:vAlign w:val="center"/>
          </w:tcPr>
          <w:p w:rsidR="00122725" w:rsidRPr="00EE5309" w:rsidRDefault="00122725" w:rsidP="00122725">
            <w:pPr>
              <w:spacing w:after="0" w:line="240" w:lineRule="auto"/>
              <w:rPr>
                <w:rFonts w:ascii="Times New Roman" w:eastAsia="Times New Roman" w:hAnsi="Times New Roman" w:cs="Times New Roman"/>
                <w:b/>
                <w:i/>
                <w:color w:val="000000" w:themeColor="text1"/>
                <w:sz w:val="20"/>
                <w:szCs w:val="20"/>
                <w:lang w:eastAsia="ro-RO"/>
              </w:rPr>
            </w:pPr>
            <w:r w:rsidRPr="00EE5309">
              <w:rPr>
                <w:rFonts w:ascii="Times New Roman" w:eastAsia="Times New Roman" w:hAnsi="Times New Roman" w:cs="Times New Roman"/>
                <w:b/>
                <w:i/>
                <w:color w:val="000000" w:themeColor="text1"/>
                <w:sz w:val="20"/>
                <w:szCs w:val="20"/>
                <w:lang w:eastAsia="ro-RO"/>
              </w:rPr>
              <w:t>Cota de piață (%)</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3,54</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4,14</w:t>
            </w:r>
          </w:p>
        </w:tc>
        <w:tc>
          <w:tcPr>
            <w:tcW w:w="1366" w:type="dxa"/>
            <w:shd w:val="clear" w:color="auto" w:fill="auto"/>
            <w:noWrap/>
            <w:vAlign w:val="center"/>
          </w:tcPr>
          <w:p w:rsidR="00122725" w:rsidRPr="00EE5309" w:rsidRDefault="00122725" w:rsidP="00122725">
            <w:pPr>
              <w:jc w:val="right"/>
              <w:rPr>
                <w:rFonts w:ascii="Times New Roman" w:hAnsi="Times New Roman" w:cs="Times New Roman"/>
                <w:b/>
                <w:bCs/>
                <w:i/>
                <w:color w:val="000000"/>
                <w:sz w:val="20"/>
                <w:szCs w:val="20"/>
              </w:rPr>
            </w:pPr>
            <w:r w:rsidRPr="00EE5309">
              <w:rPr>
                <w:rFonts w:ascii="Times New Roman" w:hAnsi="Times New Roman" w:cs="Times New Roman"/>
                <w:b/>
                <w:bCs/>
                <w:i/>
                <w:color w:val="000000" w:themeColor="text1"/>
                <w:sz w:val="20"/>
                <w:szCs w:val="20"/>
              </w:rPr>
              <w:t>5,17</w:t>
            </w:r>
          </w:p>
        </w:tc>
      </w:tr>
    </w:tbl>
    <w:p w:rsidR="008034F4" w:rsidRPr="00EE5309" w:rsidRDefault="008034F4" w:rsidP="008034F4">
      <w:pPr>
        <w:spacing w:after="0" w:line="240" w:lineRule="auto"/>
        <w:ind w:firstLine="567"/>
        <w:jc w:val="both"/>
        <w:outlineLvl w:val="0"/>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 xml:space="preserve">Sursa: </w:t>
      </w:r>
      <w:r w:rsidRPr="00EE5309">
        <w:rPr>
          <w:rFonts w:ascii="Times New Roman" w:hAnsi="Times New Roman" w:cs="Times New Roman"/>
          <w:color w:val="000000" w:themeColor="text1"/>
          <w:sz w:val="20"/>
          <w:szCs w:val="20"/>
        </w:rPr>
        <w:t xml:space="preserve">Elaborare proprie a </w:t>
      </w:r>
      <w:r w:rsidR="00C758ED" w:rsidRPr="00EE5309">
        <w:rPr>
          <w:rFonts w:ascii="Times New Roman" w:hAnsi="Times New Roman" w:cs="Times New Roman"/>
          <w:color w:val="000000" w:themeColor="text1"/>
          <w:sz w:val="20"/>
          <w:szCs w:val="20"/>
        </w:rPr>
        <w:t xml:space="preserve">autorului </w:t>
      </w:r>
      <w:r w:rsidRPr="00EE5309">
        <w:rPr>
          <w:rFonts w:ascii="Times New Roman" w:hAnsi="Times New Roman" w:cs="Times New Roman"/>
          <w:color w:val="000000" w:themeColor="text1"/>
          <w:sz w:val="20"/>
          <w:szCs w:val="20"/>
        </w:rPr>
        <w:t xml:space="preserve">după </w:t>
      </w:r>
      <w:r w:rsidR="00CC269B" w:rsidRPr="00EE5309">
        <w:rPr>
          <w:rFonts w:ascii="Times New Roman" w:hAnsi="Times New Roman" w:cs="Times New Roman"/>
          <w:color w:val="000000" w:themeColor="text1"/>
          <w:sz w:val="20"/>
          <w:szCs w:val="20"/>
        </w:rPr>
        <w:t xml:space="preserve">portalul companiei de servicii financiare </w:t>
      </w:r>
      <w:proofErr w:type="spellStart"/>
      <w:r w:rsidR="00CC269B" w:rsidRPr="00EE5309">
        <w:rPr>
          <w:rFonts w:ascii="Times New Roman" w:hAnsi="Times New Roman" w:cs="Times New Roman"/>
          <w:color w:val="000000" w:themeColor="text1"/>
          <w:sz w:val="20"/>
          <w:szCs w:val="20"/>
        </w:rPr>
        <w:t>RisCo</w:t>
      </w:r>
      <w:proofErr w:type="spellEnd"/>
      <w:r w:rsidR="00CC269B" w:rsidRPr="00EE5309">
        <w:rPr>
          <w:rFonts w:ascii="Times New Roman" w:hAnsi="Times New Roman" w:cs="Times New Roman"/>
          <w:color w:val="000000" w:themeColor="text1"/>
          <w:sz w:val="20"/>
          <w:szCs w:val="20"/>
        </w:rPr>
        <w:t>.</w:t>
      </w:r>
    </w:p>
    <w:p w:rsidR="00B451E1" w:rsidRPr="00EE5309" w:rsidRDefault="00B451E1" w:rsidP="00B451E1">
      <w:pPr>
        <w:pStyle w:val="NormalWeb"/>
        <w:tabs>
          <w:tab w:val="left" w:pos="851"/>
        </w:tabs>
        <w:spacing w:before="0" w:beforeAutospacing="0" w:after="0" w:afterAutospacing="0"/>
        <w:rPr>
          <w:color w:val="000000" w:themeColor="text1"/>
        </w:rPr>
      </w:pPr>
    </w:p>
    <w:p w:rsidR="00B451E1" w:rsidRPr="00EE5309" w:rsidRDefault="00175D74" w:rsidP="00175D74">
      <w:pPr>
        <w:pStyle w:val="NormalWeb"/>
        <w:tabs>
          <w:tab w:val="left" w:pos="851"/>
        </w:tabs>
        <w:spacing w:before="0" w:beforeAutospacing="0" w:after="0" w:afterAutospacing="0"/>
        <w:ind w:firstLine="567"/>
        <w:jc w:val="both"/>
        <w:rPr>
          <w:color w:val="000000" w:themeColor="text1"/>
        </w:rPr>
      </w:pPr>
      <w:r w:rsidRPr="00EE5309">
        <w:rPr>
          <w:color w:val="000000" w:themeColor="text1"/>
        </w:rPr>
        <w:t>Deși în scădere, c</w:t>
      </w:r>
      <w:r w:rsidR="00B451E1" w:rsidRPr="00EE5309">
        <w:rPr>
          <w:color w:val="000000" w:themeColor="text1"/>
        </w:rPr>
        <w:t xml:space="preserve">ota de piață </w:t>
      </w:r>
      <w:r w:rsidRPr="00EE5309">
        <w:rPr>
          <w:color w:val="000000" w:themeColor="text1"/>
        </w:rPr>
        <w:t>cea mai însemnată o deține compania Aerostar S.A., Bacău, urmată de Iar S.A.</w:t>
      </w:r>
      <w:r w:rsidR="002A6C0B">
        <w:rPr>
          <w:color w:val="000000" w:themeColor="text1"/>
        </w:rPr>
        <w:t>, Brașov</w:t>
      </w:r>
      <w:r w:rsidRPr="00EE5309">
        <w:rPr>
          <w:color w:val="000000" w:themeColor="text1"/>
        </w:rPr>
        <w:t xml:space="preserve"> a cărei cotă de piață prezintă un trend ascendent.</w:t>
      </w:r>
      <w:r w:rsidR="00BE128B" w:rsidRPr="00EE5309">
        <w:rPr>
          <w:color w:val="000000" w:themeColor="text1"/>
        </w:rPr>
        <w:t xml:space="preserve"> Creșterea cifrei de afaceri a companiei </w:t>
      </w:r>
      <w:proofErr w:type="spellStart"/>
      <w:r w:rsidR="00BE128B" w:rsidRPr="00EE5309">
        <w:rPr>
          <w:color w:val="000000" w:themeColor="text1"/>
        </w:rPr>
        <w:t>Turbomecanica</w:t>
      </w:r>
      <w:proofErr w:type="spellEnd"/>
      <w:r w:rsidR="00BE128B" w:rsidRPr="00EE5309">
        <w:rPr>
          <w:color w:val="000000" w:themeColor="text1"/>
        </w:rPr>
        <w:t xml:space="preserve"> S.A., București contribuie la o evoluție favorabilă a cotei de p</w:t>
      </w:r>
      <w:r w:rsidR="0072664E" w:rsidRPr="00EE5309">
        <w:rPr>
          <w:color w:val="000000" w:themeColor="text1"/>
        </w:rPr>
        <w:t>iață. Cele mai mici cote de piață sunt deți</w:t>
      </w:r>
      <w:r w:rsidR="0033228C">
        <w:rPr>
          <w:color w:val="000000" w:themeColor="text1"/>
        </w:rPr>
        <w:t xml:space="preserve">nute de companiile </w:t>
      </w:r>
      <w:proofErr w:type="spellStart"/>
      <w:r w:rsidR="0033228C">
        <w:rPr>
          <w:color w:val="000000" w:themeColor="text1"/>
        </w:rPr>
        <w:t>Romaero</w:t>
      </w:r>
      <w:proofErr w:type="spellEnd"/>
      <w:r w:rsidR="0033228C">
        <w:rPr>
          <w:color w:val="000000" w:themeColor="text1"/>
        </w:rPr>
        <w:t xml:space="preserve"> S.A.,</w:t>
      </w:r>
      <w:r w:rsidR="0072664E" w:rsidRPr="00EE5309">
        <w:rPr>
          <w:color w:val="000000" w:themeColor="text1"/>
        </w:rPr>
        <w:t xml:space="preserve"> Buc</w:t>
      </w:r>
      <w:r w:rsidR="00FE4307" w:rsidRPr="00EE5309">
        <w:rPr>
          <w:color w:val="000000" w:themeColor="text1"/>
        </w:rPr>
        <w:t>urești și Avioane S.A., Craiova, cu valori mult sub cele ale competitoarelor.</w:t>
      </w:r>
    </w:p>
    <w:p w:rsidR="00EE7A7C" w:rsidRPr="00EE5309" w:rsidRDefault="00EE7A7C" w:rsidP="00175D74">
      <w:pPr>
        <w:pStyle w:val="NormalWeb"/>
        <w:tabs>
          <w:tab w:val="left" w:pos="851"/>
        </w:tabs>
        <w:spacing w:before="0" w:beforeAutospacing="0" w:after="0" w:afterAutospacing="0"/>
        <w:ind w:firstLine="567"/>
        <w:jc w:val="both"/>
        <w:rPr>
          <w:color w:val="000000" w:themeColor="text1"/>
        </w:rPr>
      </w:pPr>
    </w:p>
    <w:p w:rsidR="00811251" w:rsidRPr="00EE5309" w:rsidRDefault="00811251" w:rsidP="00175D74">
      <w:pPr>
        <w:pStyle w:val="NormalWeb"/>
        <w:tabs>
          <w:tab w:val="left" w:pos="851"/>
        </w:tabs>
        <w:spacing w:before="0" w:beforeAutospacing="0" w:after="0" w:afterAutospacing="0"/>
        <w:ind w:firstLine="567"/>
        <w:jc w:val="both"/>
      </w:pPr>
      <w:r w:rsidRPr="00EE5309">
        <w:rPr>
          <w:color w:val="000000" w:themeColor="text1"/>
        </w:rPr>
        <w:t xml:space="preserve">Rating-urile financiare, create </w:t>
      </w:r>
      <w:r w:rsidRPr="00EE5309">
        <w:t>pe baza mai multor indicatori obținuți din datele financiare oficiale ale companiilor, sunt prezentate în tabelul de mai jos:</w:t>
      </w:r>
    </w:p>
    <w:p w:rsidR="00811251" w:rsidRPr="00EE5309" w:rsidRDefault="00811251" w:rsidP="00175D74">
      <w:pPr>
        <w:pStyle w:val="NormalWeb"/>
        <w:tabs>
          <w:tab w:val="left" w:pos="851"/>
        </w:tabs>
        <w:spacing w:before="0" w:beforeAutospacing="0" w:after="0" w:afterAutospacing="0"/>
        <w:ind w:firstLine="567"/>
        <w:jc w:val="both"/>
        <w:rPr>
          <w:color w:val="000000" w:themeColor="text1"/>
        </w:rPr>
      </w:pPr>
    </w:p>
    <w:p w:rsidR="00360736" w:rsidRPr="00EE5309" w:rsidRDefault="00360736" w:rsidP="00360736">
      <w:pPr>
        <w:pStyle w:val="NormalWeb"/>
        <w:tabs>
          <w:tab w:val="left" w:pos="851"/>
        </w:tabs>
        <w:spacing w:before="0" w:beforeAutospacing="0" w:after="0" w:afterAutospacing="0"/>
        <w:jc w:val="center"/>
        <w:rPr>
          <w:color w:val="000000" w:themeColor="text1"/>
          <w:sz w:val="20"/>
          <w:szCs w:val="20"/>
        </w:rPr>
      </w:pPr>
      <w:r w:rsidRPr="00EE5309">
        <w:rPr>
          <w:color w:val="000000" w:themeColor="text1"/>
          <w:sz w:val="20"/>
          <w:szCs w:val="20"/>
        </w:rPr>
        <w:t>Tabel nr. 5. Rating financiar</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50"/>
        <w:gridCol w:w="851"/>
        <w:gridCol w:w="944"/>
        <w:gridCol w:w="5435"/>
      </w:tblGrid>
      <w:tr w:rsidR="00080CE1" w:rsidRPr="00EE5309" w:rsidTr="00743F32">
        <w:trPr>
          <w:trHeight w:hRule="exact" w:val="284"/>
          <w:jc w:val="center"/>
        </w:trPr>
        <w:tc>
          <w:tcPr>
            <w:tcW w:w="2158" w:type="dxa"/>
            <w:vMerge w:val="restart"/>
            <w:shd w:val="clear" w:color="auto" w:fill="A6A6A6" w:themeFill="background1" w:themeFillShade="A6"/>
            <w:vAlign w:val="center"/>
          </w:tcPr>
          <w:p w:rsidR="00080CE1" w:rsidRPr="00EE5309" w:rsidRDefault="00080CE1" w:rsidP="002F4C24">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Compania</w:t>
            </w:r>
          </w:p>
        </w:tc>
        <w:tc>
          <w:tcPr>
            <w:tcW w:w="2845" w:type="dxa"/>
            <w:gridSpan w:val="3"/>
            <w:shd w:val="clear" w:color="auto" w:fill="A6A6A6" w:themeFill="background1" w:themeFillShade="A6"/>
            <w:noWrap/>
            <w:vAlign w:val="center"/>
          </w:tcPr>
          <w:p w:rsidR="00080CE1" w:rsidRPr="00EE5309" w:rsidRDefault="00080CE1" w:rsidP="00080CE1">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Valoare rating/Calificativ</w:t>
            </w:r>
          </w:p>
        </w:tc>
        <w:tc>
          <w:tcPr>
            <w:tcW w:w="5435" w:type="dxa"/>
            <w:vMerge w:val="restart"/>
            <w:shd w:val="clear" w:color="auto" w:fill="A6A6A6" w:themeFill="background1" w:themeFillShade="A6"/>
            <w:vAlign w:val="center"/>
          </w:tcPr>
          <w:p w:rsidR="00080CE1" w:rsidRPr="00EE5309" w:rsidRDefault="00080CE1" w:rsidP="00080CE1">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Interpretare</w:t>
            </w:r>
          </w:p>
        </w:tc>
      </w:tr>
      <w:tr w:rsidR="00080CE1" w:rsidRPr="00EE5309" w:rsidTr="00743F32">
        <w:trPr>
          <w:trHeight w:hRule="exact" w:val="284"/>
          <w:jc w:val="center"/>
        </w:trPr>
        <w:tc>
          <w:tcPr>
            <w:tcW w:w="2158" w:type="dxa"/>
            <w:vMerge/>
            <w:shd w:val="clear" w:color="auto" w:fill="A6A6A6" w:themeFill="background1" w:themeFillShade="A6"/>
            <w:vAlign w:val="center"/>
          </w:tcPr>
          <w:p w:rsidR="00080CE1" w:rsidRPr="00EE5309" w:rsidRDefault="00080CE1" w:rsidP="00A04A8D">
            <w:pPr>
              <w:spacing w:after="0" w:line="240" w:lineRule="auto"/>
              <w:jc w:val="center"/>
              <w:rPr>
                <w:rFonts w:ascii="Times New Roman" w:eastAsia="Times New Roman" w:hAnsi="Times New Roman" w:cs="Times New Roman"/>
                <w:b/>
                <w:bCs/>
                <w:color w:val="000000" w:themeColor="text1"/>
                <w:sz w:val="20"/>
                <w:szCs w:val="20"/>
                <w:lang w:eastAsia="ro-RO"/>
              </w:rPr>
            </w:pPr>
          </w:p>
        </w:tc>
        <w:tc>
          <w:tcPr>
            <w:tcW w:w="1050" w:type="dxa"/>
            <w:shd w:val="clear" w:color="auto" w:fill="A6A6A6" w:themeFill="background1" w:themeFillShade="A6"/>
            <w:noWrap/>
            <w:vAlign w:val="center"/>
          </w:tcPr>
          <w:p w:rsidR="00080CE1" w:rsidRPr="00EE5309" w:rsidRDefault="00080CE1" w:rsidP="00A04A8D">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2016</w:t>
            </w:r>
          </w:p>
        </w:tc>
        <w:tc>
          <w:tcPr>
            <w:tcW w:w="851" w:type="dxa"/>
            <w:shd w:val="clear" w:color="auto" w:fill="A6A6A6" w:themeFill="background1" w:themeFillShade="A6"/>
            <w:noWrap/>
            <w:vAlign w:val="center"/>
          </w:tcPr>
          <w:p w:rsidR="00080CE1" w:rsidRPr="00EE5309" w:rsidRDefault="00080CE1" w:rsidP="00A04A8D">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2017</w:t>
            </w:r>
          </w:p>
        </w:tc>
        <w:tc>
          <w:tcPr>
            <w:tcW w:w="944" w:type="dxa"/>
            <w:shd w:val="clear" w:color="auto" w:fill="A6A6A6" w:themeFill="background1" w:themeFillShade="A6"/>
            <w:noWrap/>
            <w:vAlign w:val="center"/>
          </w:tcPr>
          <w:p w:rsidR="00080CE1" w:rsidRPr="00EE5309" w:rsidRDefault="00080CE1" w:rsidP="00A04A8D">
            <w:pPr>
              <w:spacing w:after="0" w:line="240" w:lineRule="auto"/>
              <w:jc w:val="center"/>
              <w:rPr>
                <w:rFonts w:ascii="Times New Roman" w:eastAsia="Times New Roman" w:hAnsi="Times New Roman" w:cs="Times New Roman"/>
                <w:b/>
                <w:bCs/>
                <w:color w:val="000000" w:themeColor="text1"/>
                <w:sz w:val="20"/>
                <w:szCs w:val="20"/>
                <w:lang w:eastAsia="ro-RO"/>
              </w:rPr>
            </w:pPr>
            <w:r w:rsidRPr="00EE5309">
              <w:rPr>
                <w:rFonts w:ascii="Times New Roman" w:eastAsia="Times New Roman" w:hAnsi="Times New Roman" w:cs="Times New Roman"/>
                <w:b/>
                <w:bCs/>
                <w:color w:val="000000" w:themeColor="text1"/>
                <w:sz w:val="20"/>
                <w:szCs w:val="20"/>
                <w:lang w:eastAsia="ro-RO"/>
              </w:rPr>
              <w:t>2018</w:t>
            </w:r>
          </w:p>
        </w:tc>
        <w:tc>
          <w:tcPr>
            <w:tcW w:w="5435" w:type="dxa"/>
            <w:vMerge/>
            <w:shd w:val="clear" w:color="auto" w:fill="A6A6A6" w:themeFill="background1" w:themeFillShade="A6"/>
          </w:tcPr>
          <w:p w:rsidR="00080CE1" w:rsidRPr="00EE5309" w:rsidRDefault="00080CE1" w:rsidP="00A04A8D">
            <w:pPr>
              <w:spacing w:after="0" w:line="240" w:lineRule="auto"/>
              <w:jc w:val="center"/>
              <w:rPr>
                <w:rFonts w:ascii="Times New Roman" w:eastAsia="Times New Roman" w:hAnsi="Times New Roman" w:cs="Times New Roman"/>
                <w:b/>
                <w:bCs/>
                <w:color w:val="000000" w:themeColor="text1"/>
                <w:sz w:val="20"/>
                <w:szCs w:val="20"/>
                <w:lang w:eastAsia="ro-RO"/>
              </w:rPr>
            </w:pPr>
          </w:p>
        </w:tc>
      </w:tr>
      <w:tr w:rsidR="00080CE1" w:rsidRPr="00EE5309" w:rsidTr="00743F32">
        <w:trPr>
          <w:trHeight w:hRule="exact" w:val="741"/>
          <w:jc w:val="center"/>
        </w:trPr>
        <w:tc>
          <w:tcPr>
            <w:tcW w:w="2158" w:type="dxa"/>
            <w:vAlign w:val="center"/>
          </w:tcPr>
          <w:p w:rsidR="00080CE1" w:rsidRPr="00EE5309" w:rsidRDefault="00080CE1" w:rsidP="00A04A8D">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S.C.</w:t>
            </w:r>
          </w:p>
          <w:p w:rsidR="00080CE1" w:rsidRPr="00EE5309" w:rsidRDefault="00080CE1" w:rsidP="00A04A8D">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AEROSTAR</w:t>
            </w:r>
          </w:p>
          <w:p w:rsidR="00080CE1" w:rsidRPr="00EE5309" w:rsidRDefault="00080CE1" w:rsidP="00A04A8D">
            <w:pPr>
              <w:spacing w:after="0" w:line="240" w:lineRule="auto"/>
              <w:jc w:val="center"/>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S.A.</w:t>
            </w:r>
          </w:p>
        </w:tc>
        <w:tc>
          <w:tcPr>
            <w:tcW w:w="1050" w:type="dxa"/>
            <w:shd w:val="clear" w:color="auto" w:fill="auto"/>
            <w:noWrap/>
            <w:vAlign w:val="center"/>
          </w:tcPr>
          <w:p w:rsidR="00743F32" w:rsidRPr="00EE5309" w:rsidRDefault="00080CE1" w:rsidP="00743F32">
            <w:pPr>
              <w:spacing w:after="0" w:line="240" w:lineRule="auto"/>
              <w:jc w:val="center"/>
              <w:rPr>
                <w:rFonts w:ascii="Times New Roman" w:hAnsi="Times New Roman" w:cs="Times New Roman"/>
                <w:sz w:val="20"/>
                <w:szCs w:val="20"/>
              </w:rPr>
            </w:pPr>
            <w:r w:rsidRPr="00EE5309">
              <w:rPr>
                <w:rFonts w:ascii="Times New Roman" w:hAnsi="Times New Roman" w:cs="Times New Roman"/>
                <w:sz w:val="20"/>
                <w:szCs w:val="20"/>
              </w:rPr>
              <w:t>9,7</w:t>
            </w:r>
          </w:p>
          <w:p w:rsidR="00080CE1" w:rsidRPr="00EE5309" w:rsidRDefault="00080CE1" w:rsidP="00743F32">
            <w:pPr>
              <w:spacing w:after="0" w:line="240" w:lineRule="auto"/>
              <w:jc w:val="center"/>
              <w:rPr>
                <w:rFonts w:ascii="Times New Roman" w:hAnsi="Times New Roman" w:cs="Times New Roman"/>
                <w:sz w:val="20"/>
                <w:szCs w:val="20"/>
              </w:rPr>
            </w:pPr>
            <w:r w:rsidRPr="00EE5309">
              <w:rPr>
                <w:rFonts w:ascii="Times New Roman" w:hAnsi="Times New Roman" w:cs="Times New Roman"/>
                <w:color w:val="393939"/>
                <w:sz w:val="20"/>
                <w:szCs w:val="20"/>
              </w:rPr>
              <w:t>Foarte bun</w:t>
            </w:r>
          </w:p>
        </w:tc>
        <w:tc>
          <w:tcPr>
            <w:tcW w:w="851"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sz w:val="20"/>
                <w:szCs w:val="20"/>
              </w:rPr>
              <w:t>9,2</w:t>
            </w:r>
          </w:p>
          <w:p w:rsidR="00080CE1" w:rsidRPr="00EE5309" w:rsidRDefault="00080CE1" w:rsidP="00AB2D4C">
            <w:pPr>
              <w:spacing w:after="0" w:line="240" w:lineRule="auto"/>
              <w:jc w:val="center"/>
              <w:rPr>
                <w:rFonts w:ascii="Times New Roman" w:hAnsi="Times New Roman" w:cs="Times New Roman"/>
                <w:b/>
                <w:sz w:val="20"/>
                <w:szCs w:val="20"/>
              </w:rPr>
            </w:pPr>
            <w:r w:rsidRPr="00EE5309">
              <w:rPr>
                <w:rFonts w:ascii="Times New Roman" w:hAnsi="Times New Roman" w:cs="Times New Roman"/>
                <w:color w:val="393939"/>
                <w:sz w:val="20"/>
                <w:szCs w:val="20"/>
              </w:rPr>
              <w:t>Foarte bun</w:t>
            </w:r>
          </w:p>
        </w:tc>
        <w:tc>
          <w:tcPr>
            <w:tcW w:w="944"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sz w:val="20"/>
                <w:szCs w:val="20"/>
              </w:rPr>
              <w:t>8,9</w:t>
            </w:r>
          </w:p>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color w:val="393939"/>
                <w:sz w:val="20"/>
                <w:szCs w:val="20"/>
              </w:rPr>
              <w:t>Foarte bun</w:t>
            </w:r>
          </w:p>
        </w:tc>
        <w:tc>
          <w:tcPr>
            <w:tcW w:w="5435" w:type="dxa"/>
          </w:tcPr>
          <w:p w:rsidR="00080CE1" w:rsidRPr="00EE5309" w:rsidRDefault="00080CE1" w:rsidP="00A04A8D">
            <w:pPr>
              <w:autoSpaceDE w:val="0"/>
              <w:autoSpaceDN w:val="0"/>
              <w:adjustRightInd w:val="0"/>
              <w:spacing w:after="0" w:line="240" w:lineRule="auto"/>
              <w:jc w:val="both"/>
              <w:rPr>
                <w:rFonts w:ascii="Times New Roman" w:hAnsi="Times New Roman" w:cs="Times New Roman"/>
                <w:sz w:val="20"/>
                <w:szCs w:val="20"/>
              </w:rPr>
            </w:pPr>
            <w:r w:rsidRPr="00EE5309">
              <w:rPr>
                <w:rFonts w:ascii="Times New Roman" w:hAnsi="Times New Roman" w:cs="Times New Roman"/>
                <w:color w:val="393939"/>
                <w:sz w:val="20"/>
                <w:szCs w:val="20"/>
              </w:rPr>
              <w:t>Compania are o situație financiară stabilă. Profitabilitatea operațională, cea netă precum și indicatorii de bilanț indică o soliditate financiară fără riscuri pentru perioada următoare.</w:t>
            </w:r>
          </w:p>
        </w:tc>
      </w:tr>
      <w:tr w:rsidR="00080CE1" w:rsidRPr="00EE5309" w:rsidTr="00743F32">
        <w:trPr>
          <w:trHeight w:hRule="exact" w:val="709"/>
          <w:jc w:val="center"/>
        </w:trPr>
        <w:tc>
          <w:tcPr>
            <w:tcW w:w="2158" w:type="dxa"/>
            <w:vAlign w:val="center"/>
          </w:tcPr>
          <w:p w:rsidR="00080CE1" w:rsidRPr="00EE5309" w:rsidRDefault="00080CE1" w:rsidP="00A04A8D">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S.C.</w:t>
            </w:r>
          </w:p>
          <w:p w:rsidR="00080CE1" w:rsidRPr="00EE5309" w:rsidRDefault="00080CE1" w:rsidP="00A04A8D">
            <w:pPr>
              <w:spacing w:after="0" w:line="240" w:lineRule="auto"/>
              <w:jc w:val="center"/>
              <w:rPr>
                <w:rFonts w:ascii="Times New Roman" w:eastAsia="Times New Roman" w:hAnsi="Times New Roman" w:cs="Times New Roman"/>
                <w:b/>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TURBOMECANICA</w:t>
            </w:r>
          </w:p>
          <w:p w:rsidR="00080CE1" w:rsidRPr="00EE5309" w:rsidRDefault="00080CE1" w:rsidP="00A04A8D">
            <w:pPr>
              <w:spacing w:after="0" w:line="240" w:lineRule="auto"/>
              <w:jc w:val="center"/>
              <w:rPr>
                <w:rFonts w:ascii="Times New Roman" w:eastAsia="Times New Roman" w:hAnsi="Times New Roman" w:cs="Times New Roman"/>
                <w:color w:val="000000" w:themeColor="text1"/>
                <w:sz w:val="20"/>
                <w:szCs w:val="20"/>
                <w:lang w:eastAsia="ro-RO"/>
              </w:rPr>
            </w:pPr>
            <w:r w:rsidRPr="00EE5309">
              <w:rPr>
                <w:rFonts w:ascii="Times New Roman" w:eastAsia="Times New Roman" w:hAnsi="Times New Roman" w:cs="Times New Roman"/>
                <w:b/>
                <w:color w:val="000000" w:themeColor="text1"/>
                <w:sz w:val="20"/>
                <w:szCs w:val="20"/>
                <w:lang w:eastAsia="ro-RO"/>
              </w:rPr>
              <w:t>S.A.</w:t>
            </w:r>
          </w:p>
        </w:tc>
        <w:tc>
          <w:tcPr>
            <w:tcW w:w="1050"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sz w:val="20"/>
                <w:szCs w:val="20"/>
              </w:rPr>
              <w:t>7,9</w:t>
            </w:r>
          </w:p>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color w:val="393939"/>
                <w:sz w:val="20"/>
                <w:szCs w:val="20"/>
              </w:rPr>
              <w:t>Foarte bun</w:t>
            </w:r>
          </w:p>
        </w:tc>
        <w:tc>
          <w:tcPr>
            <w:tcW w:w="851"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sz w:val="20"/>
                <w:szCs w:val="20"/>
              </w:rPr>
              <w:t>7,9</w:t>
            </w:r>
          </w:p>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color w:val="393939"/>
                <w:sz w:val="20"/>
                <w:szCs w:val="20"/>
              </w:rPr>
              <w:t>Foarte bun</w:t>
            </w:r>
          </w:p>
        </w:tc>
        <w:tc>
          <w:tcPr>
            <w:tcW w:w="944"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sz w:val="20"/>
                <w:szCs w:val="20"/>
              </w:rPr>
              <w:t>8,4</w:t>
            </w:r>
          </w:p>
          <w:p w:rsidR="00080CE1" w:rsidRPr="00EE5309" w:rsidRDefault="00080CE1" w:rsidP="00AB2D4C">
            <w:pPr>
              <w:spacing w:after="0" w:line="240" w:lineRule="auto"/>
              <w:jc w:val="center"/>
              <w:rPr>
                <w:rFonts w:ascii="Times New Roman" w:hAnsi="Times New Roman" w:cs="Times New Roman"/>
                <w:sz w:val="20"/>
                <w:szCs w:val="20"/>
              </w:rPr>
            </w:pPr>
            <w:r w:rsidRPr="00EE5309">
              <w:rPr>
                <w:rFonts w:ascii="Times New Roman" w:hAnsi="Times New Roman" w:cs="Times New Roman"/>
                <w:color w:val="393939"/>
                <w:sz w:val="20"/>
                <w:szCs w:val="20"/>
              </w:rPr>
              <w:t>Foarte bun</w:t>
            </w:r>
          </w:p>
        </w:tc>
        <w:tc>
          <w:tcPr>
            <w:tcW w:w="5435" w:type="dxa"/>
          </w:tcPr>
          <w:p w:rsidR="00080CE1" w:rsidRPr="00EE5309" w:rsidRDefault="00080CE1" w:rsidP="00A04A8D">
            <w:pPr>
              <w:autoSpaceDE w:val="0"/>
              <w:autoSpaceDN w:val="0"/>
              <w:adjustRightInd w:val="0"/>
              <w:spacing w:after="0" w:line="240" w:lineRule="auto"/>
              <w:jc w:val="both"/>
              <w:rPr>
                <w:rFonts w:ascii="Times New Roman" w:hAnsi="Times New Roman" w:cs="Times New Roman"/>
                <w:sz w:val="20"/>
                <w:szCs w:val="20"/>
              </w:rPr>
            </w:pPr>
            <w:r w:rsidRPr="00EE5309">
              <w:rPr>
                <w:rFonts w:ascii="Times New Roman" w:hAnsi="Times New Roman" w:cs="Times New Roman"/>
                <w:color w:val="393939"/>
                <w:sz w:val="20"/>
                <w:szCs w:val="20"/>
              </w:rPr>
              <w:t>Compania are o situație financiară stabilă. Profitabilitatea operațională, cea netă precum și indicatorii de bilanț indică o soliditate financiară fără riscuri pentru perioada următoare.</w:t>
            </w:r>
          </w:p>
        </w:tc>
      </w:tr>
      <w:tr w:rsidR="00080CE1" w:rsidRPr="00EE5309" w:rsidTr="00743F32">
        <w:trPr>
          <w:trHeight w:hRule="exact" w:val="709"/>
          <w:jc w:val="center"/>
        </w:trPr>
        <w:tc>
          <w:tcPr>
            <w:tcW w:w="2158" w:type="dxa"/>
            <w:vAlign w:val="center"/>
          </w:tcPr>
          <w:p w:rsidR="00080CE1" w:rsidRPr="00EE5309" w:rsidRDefault="00080CE1" w:rsidP="008E4B4A">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080CE1" w:rsidRPr="00EE5309" w:rsidRDefault="00080CE1" w:rsidP="008E4B4A">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IAR</w:t>
            </w:r>
          </w:p>
          <w:p w:rsidR="00080CE1" w:rsidRPr="00EE5309" w:rsidRDefault="00080CE1" w:rsidP="008E4B4A">
            <w:pPr>
              <w:spacing w:after="0" w:line="240" w:lineRule="auto"/>
              <w:jc w:val="center"/>
              <w:rPr>
                <w:rFonts w:ascii="Times New Roman" w:eastAsia="Times New Roman" w:hAnsi="Times New Roman" w:cs="Times New Roman"/>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1050"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8,9</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393939"/>
                <w:sz w:val="20"/>
                <w:szCs w:val="20"/>
              </w:rPr>
              <w:t>Foarte bun</w:t>
            </w:r>
          </w:p>
        </w:tc>
        <w:tc>
          <w:tcPr>
            <w:tcW w:w="851"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9,4</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393939"/>
                <w:sz w:val="20"/>
                <w:szCs w:val="20"/>
              </w:rPr>
              <w:t>Foarte bun</w:t>
            </w:r>
          </w:p>
        </w:tc>
        <w:tc>
          <w:tcPr>
            <w:tcW w:w="944"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8,9</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393939"/>
                <w:sz w:val="20"/>
                <w:szCs w:val="20"/>
              </w:rPr>
              <w:t>Foarte bun</w:t>
            </w:r>
          </w:p>
        </w:tc>
        <w:tc>
          <w:tcPr>
            <w:tcW w:w="5435" w:type="dxa"/>
          </w:tcPr>
          <w:p w:rsidR="00080CE1" w:rsidRPr="00EE5309" w:rsidRDefault="00080CE1" w:rsidP="008E4B4A">
            <w:pPr>
              <w:autoSpaceDE w:val="0"/>
              <w:autoSpaceDN w:val="0"/>
              <w:adjustRightInd w:val="0"/>
              <w:spacing w:after="0" w:line="240" w:lineRule="auto"/>
              <w:jc w:val="both"/>
              <w:rPr>
                <w:rFonts w:ascii="Times New Roman" w:hAnsi="Times New Roman" w:cs="Times New Roman"/>
                <w:sz w:val="20"/>
                <w:szCs w:val="20"/>
              </w:rPr>
            </w:pPr>
            <w:r w:rsidRPr="00EE5309">
              <w:rPr>
                <w:rFonts w:ascii="Times New Roman" w:hAnsi="Times New Roman" w:cs="Times New Roman"/>
                <w:color w:val="393939"/>
                <w:sz w:val="20"/>
                <w:szCs w:val="20"/>
              </w:rPr>
              <w:t>Compania are o situație financiară stabilă. Profitabilitatea operațională, cea netă precum și indicatorii de bilanț indică o soliditate financiară fără riscuri pentru perioada următoare.</w:t>
            </w:r>
          </w:p>
        </w:tc>
      </w:tr>
      <w:tr w:rsidR="00080CE1" w:rsidRPr="00EE5309" w:rsidTr="00743F32">
        <w:trPr>
          <w:trHeight w:hRule="exact" w:val="1840"/>
          <w:jc w:val="center"/>
        </w:trPr>
        <w:tc>
          <w:tcPr>
            <w:tcW w:w="2158" w:type="dxa"/>
            <w:vAlign w:val="center"/>
          </w:tcPr>
          <w:p w:rsidR="00080CE1" w:rsidRPr="00EE5309" w:rsidRDefault="00080CE1" w:rsidP="008E4B4A">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S.C.</w:t>
            </w:r>
          </w:p>
          <w:p w:rsidR="00080CE1" w:rsidRPr="00EE5309" w:rsidRDefault="00080CE1" w:rsidP="008E4B4A">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AVIOANE</w:t>
            </w:r>
          </w:p>
          <w:p w:rsidR="00080CE1" w:rsidRPr="00EE5309" w:rsidRDefault="00080CE1" w:rsidP="008E4B4A">
            <w:pPr>
              <w:spacing w:after="0" w:line="240" w:lineRule="auto"/>
              <w:jc w:val="center"/>
              <w:rPr>
                <w:rFonts w:ascii="Times New Roman" w:eastAsia="Times New Roman" w:hAnsi="Times New Roman" w:cs="Times New Roman"/>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1050"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3,9</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Scăzut</w:t>
            </w:r>
          </w:p>
        </w:tc>
        <w:tc>
          <w:tcPr>
            <w:tcW w:w="851"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3,9</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Scăzut</w:t>
            </w:r>
          </w:p>
        </w:tc>
        <w:tc>
          <w:tcPr>
            <w:tcW w:w="944"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4,8</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Scăzut</w:t>
            </w:r>
          </w:p>
        </w:tc>
        <w:tc>
          <w:tcPr>
            <w:tcW w:w="5435" w:type="dxa"/>
          </w:tcPr>
          <w:p w:rsidR="00080CE1" w:rsidRPr="00EE5309" w:rsidRDefault="00080CE1" w:rsidP="008E4B4A">
            <w:pPr>
              <w:autoSpaceDE w:val="0"/>
              <w:autoSpaceDN w:val="0"/>
              <w:adjustRightInd w:val="0"/>
              <w:spacing w:after="0" w:line="240" w:lineRule="auto"/>
              <w:jc w:val="both"/>
              <w:rPr>
                <w:rFonts w:ascii="Times New Roman" w:hAnsi="Times New Roman" w:cs="Times New Roman"/>
                <w:color w:val="000000" w:themeColor="text1"/>
                <w:sz w:val="20"/>
                <w:szCs w:val="20"/>
              </w:rPr>
            </w:pPr>
            <w:r w:rsidRPr="00EE5309">
              <w:rPr>
                <w:rFonts w:ascii="Times New Roman" w:hAnsi="Times New Roman" w:cs="Times New Roman"/>
                <w:sz w:val="20"/>
                <w:szCs w:val="20"/>
              </w:rPr>
              <w:t xml:space="preserve">Compania se află într-o situație financiară instabilă. Nivelul profitabilității operaționale și nete, precum și situația datoriilor curente nete se află într-o zonă care indică riscuri operaționale și financiare. Este posibil ca în perioada următoare această firmă să se confrunte cu dificultăți în asigurarea lichidităților necesare pentru a-și desfășura activitatea în condiții optime. </w:t>
            </w:r>
            <w:r w:rsidRPr="00EE5309">
              <w:rPr>
                <w:rFonts w:ascii="Times New Roman" w:hAnsi="Times New Roman" w:cs="Times New Roman"/>
                <w:i/>
                <w:sz w:val="20"/>
                <w:szCs w:val="20"/>
              </w:rPr>
              <w:t>Recomandare:</w:t>
            </w:r>
            <w:r w:rsidRPr="00EE5309">
              <w:rPr>
                <w:rFonts w:ascii="Times New Roman" w:hAnsi="Times New Roman" w:cs="Times New Roman"/>
                <w:sz w:val="20"/>
                <w:szCs w:val="20"/>
              </w:rPr>
              <w:t xml:space="preserve"> urmărirea atentă a situației financiare a companiei precum și a evoluției lunare a indicatorilor săi financiari.</w:t>
            </w:r>
          </w:p>
        </w:tc>
      </w:tr>
      <w:tr w:rsidR="00080CE1" w:rsidRPr="00EE5309" w:rsidTr="00743F32">
        <w:trPr>
          <w:trHeight w:hRule="exact" w:val="1724"/>
          <w:jc w:val="center"/>
        </w:trPr>
        <w:tc>
          <w:tcPr>
            <w:tcW w:w="2158" w:type="dxa"/>
            <w:vAlign w:val="center"/>
          </w:tcPr>
          <w:p w:rsidR="00080CE1" w:rsidRPr="00EE5309" w:rsidRDefault="00080CE1" w:rsidP="008E4B4A">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lastRenderedPageBreak/>
              <w:t>S.C.</w:t>
            </w:r>
          </w:p>
          <w:p w:rsidR="00080CE1" w:rsidRPr="00EE5309" w:rsidRDefault="00080CE1" w:rsidP="008E4B4A">
            <w:pPr>
              <w:spacing w:after="0" w:line="240" w:lineRule="auto"/>
              <w:jc w:val="center"/>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ROMAERO</w:t>
            </w:r>
          </w:p>
          <w:p w:rsidR="00080CE1" w:rsidRPr="00EE5309" w:rsidRDefault="00080CE1" w:rsidP="008E4B4A">
            <w:pPr>
              <w:spacing w:after="0" w:line="240" w:lineRule="auto"/>
              <w:jc w:val="center"/>
              <w:rPr>
                <w:rFonts w:ascii="Times New Roman" w:eastAsia="Times New Roman" w:hAnsi="Times New Roman" w:cs="Times New Roman"/>
                <w:color w:val="000000" w:themeColor="text1"/>
                <w:sz w:val="20"/>
                <w:szCs w:val="20"/>
                <w:lang w:eastAsia="ro-RO"/>
              </w:rPr>
            </w:pPr>
            <w:r w:rsidRPr="00EE5309">
              <w:rPr>
                <w:rFonts w:ascii="Times New Roman" w:hAnsi="Times New Roman" w:cs="Times New Roman"/>
                <w:b/>
                <w:color w:val="000000" w:themeColor="text1"/>
                <w:sz w:val="20"/>
                <w:szCs w:val="20"/>
              </w:rPr>
              <w:t>S.A.</w:t>
            </w:r>
          </w:p>
        </w:tc>
        <w:tc>
          <w:tcPr>
            <w:tcW w:w="1050"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5,1</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Normal</w:t>
            </w:r>
          </w:p>
        </w:tc>
        <w:tc>
          <w:tcPr>
            <w:tcW w:w="851"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5,1</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Normal</w:t>
            </w:r>
          </w:p>
        </w:tc>
        <w:tc>
          <w:tcPr>
            <w:tcW w:w="944" w:type="dxa"/>
            <w:shd w:val="clear" w:color="auto" w:fill="auto"/>
            <w:noWrap/>
            <w:vAlign w:val="center"/>
          </w:tcPr>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0</w:t>
            </w:r>
          </w:p>
          <w:p w:rsidR="00080CE1" w:rsidRPr="00EE5309" w:rsidRDefault="00080CE1" w:rsidP="00AB2D4C">
            <w:pPr>
              <w:spacing w:after="0" w:line="240" w:lineRule="auto"/>
              <w:jc w:val="center"/>
              <w:rPr>
                <w:rFonts w:ascii="Times New Roman" w:hAnsi="Times New Roman" w:cs="Times New Roman"/>
                <w:color w:val="000000" w:themeColor="text1"/>
                <w:sz w:val="20"/>
                <w:szCs w:val="20"/>
              </w:rPr>
            </w:pPr>
            <w:r w:rsidRPr="00EE5309">
              <w:rPr>
                <w:rFonts w:ascii="Times New Roman" w:hAnsi="Times New Roman" w:cs="Times New Roman"/>
                <w:color w:val="000000" w:themeColor="text1"/>
                <w:sz w:val="20"/>
                <w:szCs w:val="20"/>
              </w:rPr>
              <w:t>Scăzut</w:t>
            </w:r>
          </w:p>
        </w:tc>
        <w:tc>
          <w:tcPr>
            <w:tcW w:w="5435" w:type="dxa"/>
          </w:tcPr>
          <w:p w:rsidR="00080CE1" w:rsidRPr="00EE5309" w:rsidRDefault="00080CE1" w:rsidP="00EE094F">
            <w:pPr>
              <w:autoSpaceDE w:val="0"/>
              <w:autoSpaceDN w:val="0"/>
              <w:adjustRightInd w:val="0"/>
              <w:spacing w:after="0" w:line="240" w:lineRule="auto"/>
              <w:jc w:val="both"/>
              <w:rPr>
                <w:rFonts w:ascii="Times New Roman" w:hAnsi="Times New Roman" w:cs="Times New Roman"/>
                <w:color w:val="000000" w:themeColor="text1"/>
                <w:sz w:val="20"/>
                <w:szCs w:val="20"/>
              </w:rPr>
            </w:pPr>
            <w:r w:rsidRPr="00EE5309">
              <w:rPr>
                <w:rFonts w:ascii="Times New Roman" w:hAnsi="Times New Roman" w:cs="Times New Roman"/>
                <w:sz w:val="20"/>
                <w:szCs w:val="20"/>
              </w:rPr>
              <w:t>Compania se afla într-o situație financiară normală comparativ cu industria. Nivelul profitabilității operaționale precum și nivelul indicatorilor de solvabilitate indică o poziție financiară confortabilă. Totuși, există posibilitatea ca în următoarele 6-12 luni firma să prezinte anumite riscuri operaționale sau financiare. Este recomandată monitorizarea mai frecventă a evoluției situației acestei companii.</w:t>
            </w:r>
          </w:p>
        </w:tc>
      </w:tr>
    </w:tbl>
    <w:p w:rsidR="00360736" w:rsidRPr="00EE5309" w:rsidRDefault="00360736" w:rsidP="00540D1D">
      <w:pPr>
        <w:spacing w:after="0" w:line="240" w:lineRule="auto"/>
        <w:jc w:val="both"/>
        <w:outlineLvl w:val="0"/>
        <w:rPr>
          <w:rFonts w:ascii="Times New Roman" w:hAnsi="Times New Roman" w:cs="Times New Roman"/>
          <w:b/>
          <w:color w:val="000000" w:themeColor="text1"/>
          <w:sz w:val="20"/>
          <w:szCs w:val="20"/>
        </w:rPr>
      </w:pPr>
      <w:r w:rsidRPr="00EE5309">
        <w:rPr>
          <w:rFonts w:ascii="Times New Roman" w:hAnsi="Times New Roman" w:cs="Times New Roman"/>
          <w:b/>
          <w:color w:val="000000" w:themeColor="text1"/>
          <w:sz w:val="20"/>
          <w:szCs w:val="20"/>
        </w:rPr>
        <w:t xml:space="preserve">Sursa: </w:t>
      </w:r>
      <w:r w:rsidRPr="00EE5309">
        <w:rPr>
          <w:rFonts w:ascii="Times New Roman" w:hAnsi="Times New Roman" w:cs="Times New Roman"/>
          <w:color w:val="000000" w:themeColor="text1"/>
          <w:sz w:val="20"/>
          <w:szCs w:val="20"/>
        </w:rPr>
        <w:t xml:space="preserve">Elaborare proprie a autorului după portalul companiei de servicii financiare </w:t>
      </w:r>
      <w:proofErr w:type="spellStart"/>
      <w:r w:rsidRPr="00EE5309">
        <w:rPr>
          <w:rFonts w:ascii="Times New Roman" w:hAnsi="Times New Roman" w:cs="Times New Roman"/>
          <w:color w:val="000000" w:themeColor="text1"/>
          <w:sz w:val="20"/>
          <w:szCs w:val="20"/>
        </w:rPr>
        <w:t>RisCo</w:t>
      </w:r>
      <w:proofErr w:type="spellEnd"/>
      <w:r w:rsidRPr="00EE5309">
        <w:rPr>
          <w:rFonts w:ascii="Times New Roman" w:hAnsi="Times New Roman" w:cs="Times New Roman"/>
          <w:color w:val="000000" w:themeColor="text1"/>
          <w:sz w:val="20"/>
          <w:szCs w:val="20"/>
        </w:rPr>
        <w:t>.</w:t>
      </w:r>
    </w:p>
    <w:p w:rsidR="00D32A77" w:rsidRPr="00EE5309" w:rsidRDefault="00D32A77" w:rsidP="004203B0">
      <w:pPr>
        <w:pStyle w:val="NormalWeb"/>
        <w:tabs>
          <w:tab w:val="left" w:pos="851"/>
        </w:tabs>
        <w:spacing w:before="0" w:beforeAutospacing="0" w:after="0" w:afterAutospacing="0"/>
        <w:ind w:firstLine="567"/>
        <w:jc w:val="both"/>
        <w:rPr>
          <w:color w:val="000000" w:themeColor="text1"/>
        </w:rPr>
      </w:pPr>
    </w:p>
    <w:p w:rsidR="00E27013" w:rsidRPr="00EE5309" w:rsidRDefault="00EE3CBF" w:rsidP="002D639B">
      <w:pPr>
        <w:pStyle w:val="NormalWeb"/>
        <w:numPr>
          <w:ilvl w:val="0"/>
          <w:numId w:val="2"/>
        </w:numPr>
        <w:tabs>
          <w:tab w:val="left" w:pos="851"/>
        </w:tabs>
        <w:spacing w:before="0" w:beforeAutospacing="0" w:after="0" w:afterAutospacing="0"/>
        <w:ind w:left="0" w:firstLine="567"/>
        <w:jc w:val="both"/>
        <w:rPr>
          <w:rStyle w:val="Strong"/>
          <w:color w:val="000000" w:themeColor="text1"/>
        </w:rPr>
      </w:pPr>
      <w:r w:rsidRPr="00EE5309">
        <w:rPr>
          <w:rStyle w:val="Strong"/>
          <w:color w:val="000000" w:themeColor="text1"/>
        </w:rPr>
        <w:t>CONCLUZII</w:t>
      </w:r>
    </w:p>
    <w:p w:rsidR="00EE3CBF" w:rsidRDefault="00EE3CBF" w:rsidP="00F62D76">
      <w:pPr>
        <w:pStyle w:val="NormalWeb"/>
        <w:spacing w:before="0" w:beforeAutospacing="0" w:after="0" w:afterAutospacing="0"/>
        <w:ind w:firstLine="567"/>
        <w:jc w:val="both"/>
        <w:rPr>
          <w:rStyle w:val="tlid-translation"/>
        </w:rPr>
      </w:pPr>
    </w:p>
    <w:p w:rsidR="00FD21DE" w:rsidRPr="00EE5309" w:rsidRDefault="00FD21DE" w:rsidP="00F62D76">
      <w:pPr>
        <w:pStyle w:val="NormalWeb"/>
        <w:spacing w:before="0" w:beforeAutospacing="0" w:after="0" w:afterAutospacing="0"/>
        <w:ind w:firstLine="567"/>
        <w:jc w:val="both"/>
      </w:pPr>
      <w:r w:rsidRPr="00EE5309">
        <w:rPr>
          <w:rStyle w:val="tlid-translation"/>
        </w:rPr>
        <w:t>În anul 2018, industria aerospațială și de apărare globală s-a redresat și a cunoscut un an solid, pe măsură ce cererea de călătorie a pasagerilor s-a consolidat și cheltuielile militare globale au continuat să crească. Se preconizează că industria își va continua traiectoria de creștere în anii următori ca urmare a creșterii producției de aeronave comerciale și a cheltuielilor de apărare.</w:t>
      </w:r>
    </w:p>
    <w:p w:rsidR="00F62D76" w:rsidRPr="00EE5309" w:rsidRDefault="00F62D76" w:rsidP="00F62D76">
      <w:pPr>
        <w:pStyle w:val="NormalWeb"/>
        <w:spacing w:before="0" w:beforeAutospacing="0" w:after="0" w:afterAutospacing="0"/>
        <w:ind w:firstLine="567"/>
        <w:jc w:val="both"/>
      </w:pPr>
      <w:r w:rsidRPr="00EE5309">
        <w:t xml:space="preserve">În prezent, industria aeronautică românească se confruntă dacă nu cu un declin major cel puțin cu o perioadă de “tranziție”, cauzată în primul rând de situația creată după evenimentele din ’89 când problemelor </w:t>
      </w:r>
      <w:proofErr w:type="spellStart"/>
      <w:r w:rsidRPr="00EE5309">
        <w:t>economico</w:t>
      </w:r>
      <w:proofErr w:type="spellEnd"/>
      <w:r w:rsidRPr="00EE5309">
        <w:t>-sociale și politice li s-a asociat și recesiunea industriei româneș</w:t>
      </w:r>
      <w:r w:rsidR="00FD21DE" w:rsidRPr="00EE5309">
        <w:t>ti. Pentru ca problemele</w:t>
      </w:r>
      <w:r w:rsidR="00896840" w:rsidRPr="00EE5309">
        <w:t xml:space="preserve"> să nu se oprească</w:t>
      </w:r>
      <w:r w:rsidRPr="00EE5309">
        <w:t xml:space="preserve"> aici, Rom</w:t>
      </w:r>
      <w:r w:rsidR="00896840" w:rsidRPr="00EE5309">
        <w:t>ânia se mai confruntă și cu decăderea învățământului în general și a învățământului superior tehnic în special care are ș</w:t>
      </w:r>
      <w:r w:rsidRPr="00EE5309">
        <w:t xml:space="preserve">i va mai avea de suferit. În </w:t>
      </w:r>
      <w:r w:rsidR="00896840" w:rsidRPr="00EE5309">
        <w:t>ciuda acestor aspecte semnalate, Romania va rămâne incontestabil una dintre puținele țări care au avut o contribuție majoră la “începutul aviaț</w:t>
      </w:r>
      <w:r w:rsidRPr="00EE5309">
        <w:t>iei”.</w:t>
      </w:r>
    </w:p>
    <w:p w:rsidR="00673E6E" w:rsidRPr="00EE5309" w:rsidRDefault="00673E6E" w:rsidP="00673E6E">
      <w:pPr>
        <w:pStyle w:val="NormalWeb"/>
        <w:spacing w:before="0" w:beforeAutospacing="0" w:after="0" w:afterAutospacing="0"/>
        <w:ind w:firstLine="567"/>
        <w:jc w:val="both"/>
        <w:rPr>
          <w:color w:val="000000" w:themeColor="text1"/>
        </w:rPr>
      </w:pPr>
      <w:r w:rsidRPr="00EE5309">
        <w:rPr>
          <w:color w:val="000000" w:themeColor="text1"/>
        </w:rPr>
        <w:t>Aspectele reliefate în prezentul articol s-au materializat în analiza profitabilității și a performanței financiare pe baza informațiilor degajate din raportările financiare anuale a cinci companii din industria aeronautică listate la Bursa de valori din București</w:t>
      </w:r>
      <w:r w:rsidRPr="00EE5309">
        <w:rPr>
          <w:color w:val="000000" w:themeColor="text1"/>
          <w:lang w:val="en-US"/>
        </w:rPr>
        <w:t xml:space="preserve">, </w:t>
      </w:r>
      <w:r w:rsidRPr="00EE5309">
        <w:rPr>
          <w:color w:val="000000" w:themeColor="text1"/>
        </w:rPr>
        <w:t xml:space="preserve">în perioada 2016-2018. </w:t>
      </w:r>
    </w:p>
    <w:p w:rsidR="00673E6E" w:rsidRPr="00EE5309" w:rsidRDefault="00673E6E" w:rsidP="00673E6E">
      <w:pPr>
        <w:pStyle w:val="NormalWeb"/>
        <w:spacing w:before="0" w:beforeAutospacing="0" w:after="0" w:afterAutospacing="0"/>
        <w:ind w:firstLine="567"/>
        <w:jc w:val="both"/>
        <w:rPr>
          <w:color w:val="000000" w:themeColor="text1"/>
        </w:rPr>
      </w:pPr>
      <w:r w:rsidRPr="00EE5309">
        <w:rPr>
          <w:color w:val="000000" w:themeColor="text1"/>
        </w:rPr>
        <w:t>Studiul realizat asupra celor cinci comp</w:t>
      </w:r>
      <w:r w:rsidR="00A34D10" w:rsidRPr="00EE5309">
        <w:rPr>
          <w:color w:val="000000" w:themeColor="text1"/>
        </w:rPr>
        <w:t xml:space="preserve">anii din industria aeronautică </w:t>
      </w:r>
      <w:r w:rsidRPr="00EE5309">
        <w:rPr>
          <w:color w:val="000000" w:themeColor="text1"/>
        </w:rPr>
        <w:t xml:space="preserve">a confirmat faptul că </w:t>
      </w:r>
      <w:r w:rsidR="00A71CE8" w:rsidRPr="00EE5309">
        <w:rPr>
          <w:color w:val="000000" w:themeColor="text1"/>
        </w:rPr>
        <w:t xml:space="preserve">performanța financiară a fost atinsă cu precădere în acele companii cu acționariat majoritar privat (S.C. AEROSTAR S.A și S.C. TURBOMECANICA S.A.), </w:t>
      </w:r>
      <w:r w:rsidR="00A71CE8" w:rsidRPr="00EE5309">
        <w:rPr>
          <w:color w:val="393939"/>
        </w:rPr>
        <w:t>profitabilitatea operațională, cea netă precum și indicatorii de bilanț indicând o soliditate financiară fără riscuri pentru perioada următoare.</w:t>
      </w:r>
      <w:r w:rsidR="00A71CE8" w:rsidRPr="00EE5309">
        <w:rPr>
          <w:color w:val="000000" w:themeColor="text1"/>
        </w:rPr>
        <w:t xml:space="preserve"> Spre deosebire de acestea, companiile în care acționariatul majoritar este deținut de statul român prin Ministerul Economiei (S.C. AVIOANE S.A. și S.C. ROMAERO S.A.) se confruntă cu o situație financiară instabilă, n</w:t>
      </w:r>
      <w:r w:rsidR="00A71CE8" w:rsidRPr="00EE5309">
        <w:t xml:space="preserve">ivelul profitabilității operaționale și nete, precum și situația datoriilor curente nete </w:t>
      </w:r>
      <w:r w:rsidR="00AB13AD" w:rsidRPr="00EE5309">
        <w:t>aflându-se</w:t>
      </w:r>
      <w:r w:rsidR="00A71CE8" w:rsidRPr="00EE5309">
        <w:t xml:space="preserve"> într-o zonă care indică ris</w:t>
      </w:r>
      <w:r w:rsidR="00AB13AD" w:rsidRPr="00EE5309">
        <w:t>curi operaționale și financiare fiind necesară</w:t>
      </w:r>
      <w:r w:rsidR="00A71CE8" w:rsidRPr="00EE5309">
        <w:t xml:space="preserve"> urmărirea atentă a </w:t>
      </w:r>
      <w:r w:rsidR="00A34D10" w:rsidRPr="00EE5309">
        <w:t>situației financiare a companiilor</w:t>
      </w:r>
      <w:r w:rsidR="00A71CE8" w:rsidRPr="00EE5309">
        <w:t xml:space="preserve"> precum și a evoluției lunare a indicatorilor săi financiari.</w:t>
      </w:r>
    </w:p>
    <w:p w:rsidR="00673E6E" w:rsidRPr="00EE5309" w:rsidRDefault="001E6049" w:rsidP="00673E6E">
      <w:pPr>
        <w:pStyle w:val="NormalWeb"/>
        <w:spacing w:before="0" w:beforeAutospacing="0" w:after="0" w:afterAutospacing="0"/>
        <w:ind w:firstLine="567"/>
        <w:jc w:val="both"/>
        <w:rPr>
          <w:color w:val="000000" w:themeColor="text1"/>
          <w:szCs w:val="20"/>
        </w:rPr>
      </w:pPr>
      <w:r w:rsidRPr="00EE5309">
        <w:rPr>
          <w:color w:val="000000" w:themeColor="text1"/>
          <w:szCs w:val="20"/>
        </w:rPr>
        <w:t>În ciuda aspectelor semnalate mai sus, s</w:t>
      </w:r>
      <w:r w:rsidR="00673E6E" w:rsidRPr="00EE5309">
        <w:rPr>
          <w:color w:val="000000" w:themeColor="text1"/>
          <w:szCs w:val="20"/>
        </w:rPr>
        <w:t>trategiile implementate de managementul celor cinci companii au permis consolidarea poziției pe piața aeronautică</w:t>
      </w:r>
      <w:r w:rsidRPr="00EE5309">
        <w:rPr>
          <w:color w:val="000000" w:themeColor="text1"/>
          <w:szCs w:val="20"/>
        </w:rPr>
        <w:t xml:space="preserve"> din Româ</w:t>
      </w:r>
      <w:r w:rsidR="00673E6E" w:rsidRPr="00EE5309">
        <w:rPr>
          <w:color w:val="000000" w:themeColor="text1"/>
          <w:szCs w:val="20"/>
        </w:rPr>
        <w:t>nia, o piață foarte dinamică și într-o continuă schimbare.</w:t>
      </w:r>
    </w:p>
    <w:p w:rsidR="00673E6E" w:rsidRPr="00EE5309" w:rsidRDefault="00673E6E" w:rsidP="00673E6E">
      <w:pPr>
        <w:pStyle w:val="NormalWeb"/>
        <w:spacing w:before="0" w:beforeAutospacing="0" w:after="0" w:afterAutospacing="0"/>
        <w:ind w:firstLine="567"/>
        <w:jc w:val="both"/>
        <w:rPr>
          <w:b/>
          <w:color w:val="000000" w:themeColor="text1"/>
        </w:rPr>
      </w:pPr>
      <w:r w:rsidRPr="00EE5309">
        <w:rPr>
          <w:color w:val="000000" w:themeColor="text1"/>
          <w:szCs w:val="20"/>
        </w:rPr>
        <w:t xml:space="preserve">Aspectele surprinse în acest studiu sunt doar o parte a unei investigații ce se poate realiza în acest domeniu extrem de complex și dinamic, </w:t>
      </w:r>
      <w:r w:rsidRPr="00EE5309">
        <w:rPr>
          <w:color w:val="000000" w:themeColor="text1"/>
        </w:rPr>
        <w:t>lăsând deschise orizonturile unor cercetări viitoare.</w:t>
      </w:r>
    </w:p>
    <w:p w:rsidR="00FB4CE0" w:rsidRPr="00EE5309" w:rsidRDefault="00FB4CE0" w:rsidP="007228F4">
      <w:pPr>
        <w:pStyle w:val="NormalWeb"/>
        <w:spacing w:before="0" w:beforeAutospacing="0" w:after="0" w:afterAutospacing="0"/>
        <w:ind w:firstLine="567"/>
        <w:jc w:val="both"/>
        <w:rPr>
          <w:b/>
          <w:color w:val="000000" w:themeColor="text1"/>
        </w:rPr>
      </w:pPr>
    </w:p>
    <w:p w:rsidR="00C44EBB" w:rsidRDefault="00EE3CBF" w:rsidP="009A492B">
      <w:pPr>
        <w:pStyle w:val="NormalWeb"/>
        <w:spacing w:before="0" w:beforeAutospacing="0" w:after="0" w:afterAutospacing="0"/>
        <w:ind w:firstLine="567"/>
        <w:jc w:val="both"/>
        <w:rPr>
          <w:b/>
          <w:color w:val="000000" w:themeColor="text1"/>
        </w:rPr>
      </w:pPr>
      <w:r w:rsidRPr="009A492B">
        <w:rPr>
          <w:b/>
          <w:color w:val="000000" w:themeColor="text1"/>
        </w:rPr>
        <w:t>BIBLIOGRAFIE</w:t>
      </w:r>
    </w:p>
    <w:p w:rsidR="00EE3CBF" w:rsidRPr="009A492B" w:rsidRDefault="00EE3CBF" w:rsidP="009A492B">
      <w:pPr>
        <w:pStyle w:val="NormalWeb"/>
        <w:spacing w:before="0" w:beforeAutospacing="0" w:after="0" w:afterAutospacing="0"/>
        <w:ind w:firstLine="567"/>
        <w:jc w:val="both"/>
        <w:rPr>
          <w:b/>
          <w:color w:val="000000" w:themeColor="text1"/>
        </w:rPr>
      </w:pPr>
    </w:p>
    <w:p w:rsidR="00BC51FC" w:rsidRPr="00C8519E" w:rsidRDefault="00BC51FC" w:rsidP="00812EE6">
      <w:pPr>
        <w:pStyle w:val="ListParagraph"/>
        <w:numPr>
          <w:ilvl w:val="0"/>
          <w:numId w:val="23"/>
        </w:numPr>
        <w:tabs>
          <w:tab w:val="left" w:pos="851"/>
        </w:tabs>
        <w:spacing w:after="0"/>
        <w:ind w:left="0" w:firstLine="567"/>
        <w:jc w:val="both"/>
        <w:rPr>
          <w:rFonts w:ascii="Times New Roman" w:hAnsi="Times New Roman" w:cs="Times New Roman"/>
          <w:sz w:val="24"/>
          <w:szCs w:val="24"/>
        </w:rPr>
      </w:pPr>
      <w:proofErr w:type="spellStart"/>
      <w:r w:rsidRPr="00C8519E">
        <w:rPr>
          <w:rFonts w:ascii="Times New Roman" w:hAnsi="Times New Roman" w:cs="Times New Roman"/>
          <w:sz w:val="24"/>
          <w:szCs w:val="24"/>
        </w:rPr>
        <w:t>Burgess</w:t>
      </w:r>
      <w:proofErr w:type="spellEnd"/>
      <w:r w:rsidRPr="00C8519E">
        <w:rPr>
          <w:rFonts w:ascii="Times New Roman" w:hAnsi="Times New Roman" w:cs="Times New Roman"/>
          <w:sz w:val="24"/>
          <w:szCs w:val="24"/>
        </w:rPr>
        <w:t xml:space="preserve"> T.F., </w:t>
      </w:r>
      <w:proofErr w:type="spellStart"/>
      <w:r w:rsidRPr="00C8519E">
        <w:rPr>
          <w:rFonts w:ascii="Times New Roman" w:hAnsi="Times New Roman" w:cs="Times New Roman"/>
          <w:sz w:val="24"/>
          <w:szCs w:val="24"/>
        </w:rPr>
        <w:t>McKee</w:t>
      </w:r>
      <w:proofErr w:type="spellEnd"/>
      <w:r w:rsidRPr="00C8519E">
        <w:rPr>
          <w:rFonts w:ascii="Times New Roman" w:hAnsi="Times New Roman" w:cs="Times New Roman"/>
          <w:sz w:val="24"/>
          <w:szCs w:val="24"/>
        </w:rPr>
        <w:t xml:space="preserve"> D., </w:t>
      </w:r>
      <w:proofErr w:type="spellStart"/>
      <w:r w:rsidRPr="00C8519E">
        <w:rPr>
          <w:rFonts w:ascii="Times New Roman" w:hAnsi="Times New Roman" w:cs="Times New Roman"/>
          <w:sz w:val="24"/>
          <w:szCs w:val="24"/>
        </w:rPr>
        <w:t>Kidd</w:t>
      </w:r>
      <w:proofErr w:type="spellEnd"/>
      <w:r w:rsidRPr="00C8519E">
        <w:rPr>
          <w:rFonts w:ascii="Times New Roman" w:hAnsi="Times New Roman" w:cs="Times New Roman"/>
          <w:sz w:val="24"/>
          <w:szCs w:val="24"/>
        </w:rPr>
        <w:t xml:space="preserve"> C., </w:t>
      </w:r>
      <w:r w:rsidR="00163CB8">
        <w:rPr>
          <w:rFonts w:ascii="Times New Roman" w:hAnsi="Times New Roman" w:cs="Times New Roman"/>
          <w:sz w:val="24"/>
          <w:szCs w:val="24"/>
        </w:rPr>
        <w:t xml:space="preserve">(2005), </w:t>
      </w:r>
      <w:proofErr w:type="spellStart"/>
      <w:r w:rsidRPr="00C8519E">
        <w:rPr>
          <w:rFonts w:ascii="Times New Roman" w:hAnsi="Times New Roman" w:cs="Times New Roman"/>
          <w:i/>
          <w:sz w:val="24"/>
          <w:szCs w:val="24"/>
        </w:rPr>
        <w:t>Configuration</w:t>
      </w:r>
      <w:proofErr w:type="spellEnd"/>
      <w:r w:rsidRPr="00C8519E">
        <w:rPr>
          <w:rFonts w:ascii="Times New Roman" w:hAnsi="Times New Roman" w:cs="Times New Roman"/>
          <w:i/>
          <w:sz w:val="24"/>
          <w:szCs w:val="24"/>
        </w:rPr>
        <w:t xml:space="preserve"> management in </w:t>
      </w:r>
      <w:proofErr w:type="spellStart"/>
      <w:r w:rsidRPr="00C8519E">
        <w:rPr>
          <w:rFonts w:ascii="Times New Roman" w:hAnsi="Times New Roman" w:cs="Times New Roman"/>
          <w:i/>
          <w:sz w:val="24"/>
          <w:szCs w:val="24"/>
        </w:rPr>
        <w:t>the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aerospace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industry</w:t>
      </w:r>
      <w:proofErr w:type="spellEnd"/>
      <w:r w:rsidRPr="00C8519E">
        <w:rPr>
          <w:rFonts w:ascii="Times New Roman" w:hAnsi="Times New Roman" w:cs="Times New Roman"/>
          <w:i/>
          <w:sz w:val="24"/>
          <w:szCs w:val="24"/>
        </w:rPr>
        <w:t xml:space="preserve">: a </w:t>
      </w:r>
      <w:proofErr w:type="spellStart"/>
      <w:r w:rsidRPr="00C8519E">
        <w:rPr>
          <w:rFonts w:ascii="Times New Roman" w:hAnsi="Times New Roman" w:cs="Times New Roman"/>
          <w:i/>
          <w:sz w:val="24"/>
          <w:szCs w:val="24"/>
        </w:rPr>
        <w:t>review</w:t>
      </w:r>
      <w:proofErr w:type="spellEnd"/>
      <w:r w:rsidRPr="00C8519E">
        <w:rPr>
          <w:rFonts w:ascii="Times New Roman" w:hAnsi="Times New Roman" w:cs="Times New Roman"/>
          <w:i/>
          <w:sz w:val="24"/>
          <w:szCs w:val="24"/>
        </w:rPr>
        <w:t xml:space="preserve"> of </w:t>
      </w:r>
      <w:proofErr w:type="spellStart"/>
      <w:r w:rsidRPr="00C8519E">
        <w:rPr>
          <w:rFonts w:ascii="Times New Roman" w:hAnsi="Times New Roman" w:cs="Times New Roman"/>
          <w:i/>
          <w:sz w:val="24"/>
          <w:szCs w:val="24"/>
        </w:rPr>
        <w:t>industry</w:t>
      </w:r>
      <w:proofErr w:type="spellEnd"/>
      <w:r w:rsidRPr="00C8519E">
        <w:rPr>
          <w:rFonts w:ascii="Times New Roman" w:hAnsi="Times New Roman" w:cs="Times New Roman"/>
          <w:i/>
          <w:sz w:val="24"/>
          <w:szCs w:val="24"/>
        </w:rPr>
        <w:t xml:space="preserve"> practice</w:t>
      </w:r>
      <w:r w:rsidRPr="00C8519E">
        <w:rPr>
          <w:rFonts w:ascii="Times New Roman" w:hAnsi="Times New Roman" w:cs="Times New Roman"/>
          <w:sz w:val="24"/>
          <w:szCs w:val="24"/>
        </w:rPr>
        <w:t xml:space="preserve">, International Journal of </w:t>
      </w:r>
      <w:proofErr w:type="spellStart"/>
      <w:r w:rsidRPr="00C8519E">
        <w:rPr>
          <w:rFonts w:ascii="Times New Roman" w:hAnsi="Times New Roman" w:cs="Times New Roman"/>
          <w:sz w:val="24"/>
          <w:szCs w:val="24"/>
        </w:rPr>
        <w:t>Operations</w:t>
      </w:r>
      <w:proofErr w:type="spellEnd"/>
      <w:r w:rsidRPr="00C8519E">
        <w:rPr>
          <w:rFonts w:ascii="Times New Roman" w:hAnsi="Times New Roman" w:cs="Times New Roman"/>
          <w:sz w:val="24"/>
          <w:szCs w:val="24"/>
        </w:rPr>
        <w:t xml:space="preserve"> &amp; </w:t>
      </w:r>
      <w:proofErr w:type="spellStart"/>
      <w:r w:rsidRPr="00C8519E">
        <w:rPr>
          <w:rFonts w:ascii="Times New Roman" w:hAnsi="Times New Roman" w:cs="Times New Roman"/>
          <w:sz w:val="24"/>
          <w:szCs w:val="24"/>
        </w:rPr>
        <w:t>Produc</w:t>
      </w:r>
      <w:r w:rsidR="00163CB8">
        <w:rPr>
          <w:rFonts w:ascii="Times New Roman" w:hAnsi="Times New Roman" w:cs="Times New Roman"/>
          <w:sz w:val="24"/>
          <w:szCs w:val="24"/>
        </w:rPr>
        <w:t>tion</w:t>
      </w:r>
      <w:proofErr w:type="spellEnd"/>
      <w:r w:rsidR="00163CB8">
        <w:rPr>
          <w:rFonts w:ascii="Times New Roman" w:hAnsi="Times New Roman" w:cs="Times New Roman"/>
          <w:sz w:val="24"/>
          <w:szCs w:val="24"/>
        </w:rPr>
        <w:t xml:space="preserve"> </w:t>
      </w:r>
      <w:proofErr w:type="spellStart"/>
      <w:r w:rsidR="00163CB8">
        <w:rPr>
          <w:rFonts w:ascii="Times New Roman" w:hAnsi="Times New Roman" w:cs="Times New Roman"/>
          <w:sz w:val="24"/>
          <w:szCs w:val="24"/>
        </w:rPr>
        <w:t>Mangement</w:t>
      </w:r>
      <w:proofErr w:type="spellEnd"/>
      <w:r w:rsidR="00163CB8">
        <w:rPr>
          <w:rFonts w:ascii="Times New Roman" w:hAnsi="Times New Roman" w:cs="Times New Roman"/>
          <w:sz w:val="24"/>
          <w:szCs w:val="24"/>
        </w:rPr>
        <w:t>, ISSN 0144-3577</w:t>
      </w:r>
    </w:p>
    <w:p w:rsidR="00BC51FC" w:rsidRPr="00C8519E" w:rsidRDefault="00BC51FC" w:rsidP="00812EE6">
      <w:pPr>
        <w:pStyle w:val="ListParagraph"/>
        <w:numPr>
          <w:ilvl w:val="0"/>
          <w:numId w:val="23"/>
        </w:numPr>
        <w:tabs>
          <w:tab w:val="left" w:pos="851"/>
        </w:tabs>
        <w:ind w:left="0" w:firstLine="567"/>
        <w:jc w:val="both"/>
        <w:rPr>
          <w:rFonts w:ascii="Times New Roman" w:hAnsi="Times New Roman" w:cs="Times New Roman"/>
          <w:sz w:val="24"/>
          <w:szCs w:val="24"/>
        </w:rPr>
      </w:pPr>
      <w:proofErr w:type="spellStart"/>
      <w:r w:rsidRPr="00C8519E">
        <w:rPr>
          <w:rFonts w:ascii="Times New Roman" w:hAnsi="Times New Roman" w:cs="Times New Roman"/>
          <w:color w:val="000000" w:themeColor="text1"/>
          <w:sz w:val="24"/>
          <w:szCs w:val="24"/>
          <w:shd w:val="clear" w:color="auto" w:fill="FFFFFF"/>
        </w:rPr>
        <w:t>Haque</w:t>
      </w:r>
      <w:proofErr w:type="spellEnd"/>
      <w:r w:rsidRPr="00C8519E">
        <w:rPr>
          <w:rFonts w:ascii="Times New Roman" w:hAnsi="Times New Roman" w:cs="Times New Roman"/>
          <w:color w:val="000000" w:themeColor="text1"/>
          <w:sz w:val="24"/>
          <w:szCs w:val="24"/>
          <w:shd w:val="clear" w:color="auto" w:fill="FFFFFF"/>
        </w:rPr>
        <w:t xml:space="preserve"> B., Moore M.J., </w:t>
      </w:r>
      <w:r w:rsidR="00163CB8">
        <w:rPr>
          <w:rFonts w:ascii="Times New Roman" w:hAnsi="Times New Roman" w:cs="Times New Roman"/>
          <w:color w:val="000000" w:themeColor="text1"/>
          <w:sz w:val="24"/>
          <w:szCs w:val="24"/>
          <w:shd w:val="clear" w:color="auto" w:fill="FFFFFF"/>
        </w:rPr>
        <w:t xml:space="preserve">(2004), </w:t>
      </w:r>
      <w:proofErr w:type="spellStart"/>
      <w:r w:rsidRPr="00C8519E">
        <w:rPr>
          <w:rFonts w:ascii="Times New Roman" w:hAnsi="Times New Roman" w:cs="Times New Roman"/>
          <w:i/>
          <w:sz w:val="24"/>
          <w:szCs w:val="24"/>
        </w:rPr>
        <w:t>Measures</w:t>
      </w:r>
      <w:proofErr w:type="spellEnd"/>
      <w:r w:rsidRPr="00C8519E">
        <w:rPr>
          <w:rFonts w:ascii="Times New Roman" w:hAnsi="Times New Roman" w:cs="Times New Roman"/>
          <w:i/>
          <w:sz w:val="24"/>
          <w:szCs w:val="24"/>
        </w:rPr>
        <w:t xml:space="preserve"> of performance for </w:t>
      </w:r>
      <w:proofErr w:type="spellStart"/>
      <w:r w:rsidRPr="00C8519E">
        <w:rPr>
          <w:rFonts w:ascii="Times New Roman" w:hAnsi="Times New Roman" w:cs="Times New Roman"/>
          <w:i/>
          <w:sz w:val="24"/>
          <w:szCs w:val="24"/>
        </w:rPr>
        <w:t>lean</w:t>
      </w:r>
      <w:proofErr w:type="spellEnd"/>
      <w:r w:rsidRPr="00C8519E">
        <w:rPr>
          <w:rFonts w:ascii="Times New Roman" w:hAnsi="Times New Roman" w:cs="Times New Roman"/>
          <w:i/>
          <w:sz w:val="24"/>
          <w:szCs w:val="24"/>
        </w:rPr>
        <w:t xml:space="preserve"> product </w:t>
      </w:r>
      <w:proofErr w:type="spellStart"/>
      <w:r w:rsidRPr="00C8519E">
        <w:rPr>
          <w:rFonts w:ascii="Times New Roman" w:hAnsi="Times New Roman" w:cs="Times New Roman"/>
          <w:i/>
          <w:sz w:val="24"/>
          <w:szCs w:val="24"/>
        </w:rPr>
        <w:t>introduction</w:t>
      </w:r>
      <w:proofErr w:type="spellEnd"/>
      <w:r w:rsidRPr="00C8519E">
        <w:rPr>
          <w:rFonts w:ascii="Times New Roman" w:hAnsi="Times New Roman" w:cs="Times New Roman"/>
          <w:i/>
          <w:sz w:val="24"/>
          <w:szCs w:val="24"/>
        </w:rPr>
        <w:t xml:space="preserve"> in </w:t>
      </w:r>
      <w:proofErr w:type="spellStart"/>
      <w:r w:rsidRPr="00C8519E">
        <w:rPr>
          <w:rFonts w:ascii="Times New Roman" w:hAnsi="Times New Roman" w:cs="Times New Roman"/>
          <w:i/>
          <w:sz w:val="24"/>
          <w:szCs w:val="24"/>
        </w:rPr>
        <w:t>the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aerospace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industry</w:t>
      </w:r>
      <w:proofErr w:type="spellEnd"/>
      <w:r w:rsidRPr="00C8519E">
        <w:rPr>
          <w:rFonts w:ascii="Times New Roman" w:hAnsi="Times New Roman" w:cs="Times New Roman"/>
          <w:sz w:val="24"/>
          <w:szCs w:val="24"/>
        </w:rPr>
        <w:t xml:space="preserve">, volume 218, </w:t>
      </w:r>
      <w:proofErr w:type="spellStart"/>
      <w:r w:rsidRPr="00C8519E">
        <w:rPr>
          <w:rFonts w:ascii="Times New Roman" w:hAnsi="Times New Roman" w:cs="Times New Roman"/>
          <w:sz w:val="24"/>
          <w:szCs w:val="24"/>
        </w:rPr>
        <w:t>issue</w:t>
      </w:r>
      <w:proofErr w:type="spellEnd"/>
      <w:r w:rsidRPr="00C8519E">
        <w:rPr>
          <w:rFonts w:ascii="Times New Roman" w:hAnsi="Times New Roman" w:cs="Times New Roman"/>
          <w:sz w:val="24"/>
          <w:szCs w:val="24"/>
        </w:rPr>
        <w:t xml:space="preserve"> 1</w:t>
      </w:r>
      <w:r w:rsidR="00163CB8">
        <w:rPr>
          <w:rFonts w:ascii="Times New Roman" w:hAnsi="Times New Roman" w:cs="Times New Roman"/>
          <w:sz w:val="24"/>
          <w:szCs w:val="24"/>
        </w:rPr>
        <w:t xml:space="preserve">0, </w:t>
      </w:r>
      <w:proofErr w:type="spellStart"/>
      <w:r w:rsidR="00163CB8">
        <w:rPr>
          <w:rFonts w:ascii="Times New Roman" w:hAnsi="Times New Roman" w:cs="Times New Roman"/>
          <w:sz w:val="24"/>
          <w:szCs w:val="24"/>
        </w:rPr>
        <w:t>pages</w:t>
      </w:r>
      <w:proofErr w:type="spellEnd"/>
      <w:r w:rsidR="00163CB8">
        <w:rPr>
          <w:rFonts w:ascii="Times New Roman" w:hAnsi="Times New Roman" w:cs="Times New Roman"/>
          <w:sz w:val="24"/>
          <w:szCs w:val="24"/>
        </w:rPr>
        <w:t xml:space="preserve"> 1387-1398</w:t>
      </w:r>
    </w:p>
    <w:p w:rsidR="00BC51FC" w:rsidRPr="00C8519E" w:rsidRDefault="00BC51FC" w:rsidP="00812EE6">
      <w:pPr>
        <w:pStyle w:val="ListParagraph"/>
        <w:numPr>
          <w:ilvl w:val="0"/>
          <w:numId w:val="23"/>
        </w:numPr>
        <w:tabs>
          <w:tab w:val="left" w:pos="851"/>
        </w:tabs>
        <w:spacing w:after="0"/>
        <w:ind w:left="0" w:firstLine="567"/>
        <w:jc w:val="both"/>
        <w:rPr>
          <w:rFonts w:ascii="Times New Roman" w:hAnsi="Times New Roman" w:cs="Times New Roman"/>
          <w:sz w:val="24"/>
          <w:szCs w:val="24"/>
        </w:rPr>
      </w:pPr>
      <w:r w:rsidRPr="00C8519E">
        <w:rPr>
          <w:rFonts w:ascii="Times New Roman" w:hAnsi="Times New Roman" w:cs="Times New Roman"/>
          <w:sz w:val="24"/>
          <w:szCs w:val="24"/>
        </w:rPr>
        <w:t xml:space="preserve">Herman O. </w:t>
      </w:r>
      <w:proofErr w:type="spellStart"/>
      <w:r w:rsidRPr="00C8519E">
        <w:rPr>
          <w:rFonts w:ascii="Times New Roman" w:hAnsi="Times New Roman" w:cs="Times New Roman"/>
          <w:sz w:val="24"/>
          <w:szCs w:val="24"/>
        </w:rPr>
        <w:t>Stekler</w:t>
      </w:r>
      <w:proofErr w:type="spellEnd"/>
      <w:r w:rsidRPr="00C8519E">
        <w:rPr>
          <w:rFonts w:ascii="Times New Roman" w:hAnsi="Times New Roman" w:cs="Times New Roman"/>
          <w:sz w:val="24"/>
          <w:szCs w:val="24"/>
        </w:rPr>
        <w:t xml:space="preserve">, </w:t>
      </w:r>
      <w:r w:rsidR="00163CB8">
        <w:rPr>
          <w:rFonts w:ascii="Times New Roman" w:hAnsi="Times New Roman" w:cs="Times New Roman"/>
          <w:sz w:val="24"/>
          <w:szCs w:val="24"/>
        </w:rPr>
        <w:t xml:space="preserve">(1965), </w:t>
      </w:r>
      <w:r w:rsidRPr="00C8519E">
        <w:rPr>
          <w:rFonts w:ascii="Times New Roman" w:hAnsi="Times New Roman" w:cs="Times New Roman"/>
          <w:i/>
          <w:sz w:val="24"/>
          <w:szCs w:val="24"/>
        </w:rPr>
        <w:t xml:space="preserve">The </w:t>
      </w:r>
      <w:proofErr w:type="spellStart"/>
      <w:r w:rsidRPr="00C8519E">
        <w:rPr>
          <w:rFonts w:ascii="Times New Roman" w:hAnsi="Times New Roman" w:cs="Times New Roman"/>
          <w:i/>
          <w:sz w:val="24"/>
          <w:szCs w:val="24"/>
        </w:rPr>
        <w:t>structure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and</w:t>
      </w:r>
      <w:proofErr w:type="spellEnd"/>
      <w:r w:rsidRPr="00C8519E">
        <w:rPr>
          <w:rFonts w:ascii="Times New Roman" w:hAnsi="Times New Roman" w:cs="Times New Roman"/>
          <w:i/>
          <w:sz w:val="24"/>
          <w:szCs w:val="24"/>
        </w:rPr>
        <w:t xml:space="preserve"> performance of </w:t>
      </w:r>
      <w:proofErr w:type="spellStart"/>
      <w:r w:rsidRPr="00C8519E">
        <w:rPr>
          <w:rFonts w:ascii="Times New Roman" w:hAnsi="Times New Roman" w:cs="Times New Roman"/>
          <w:i/>
          <w:sz w:val="24"/>
          <w:szCs w:val="24"/>
        </w:rPr>
        <w:t>the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aerospace</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industry</w:t>
      </w:r>
      <w:proofErr w:type="spellEnd"/>
      <w:r w:rsidRPr="00C8519E">
        <w:rPr>
          <w:rFonts w:ascii="Times New Roman" w:hAnsi="Times New Roman" w:cs="Times New Roman"/>
          <w:sz w:val="24"/>
          <w:szCs w:val="24"/>
        </w:rPr>
        <w:t>, Univ</w:t>
      </w:r>
      <w:r w:rsidR="00163CB8">
        <w:rPr>
          <w:rFonts w:ascii="Times New Roman" w:hAnsi="Times New Roman" w:cs="Times New Roman"/>
          <w:sz w:val="24"/>
          <w:szCs w:val="24"/>
        </w:rPr>
        <w:t>ersity of California Press</w:t>
      </w:r>
    </w:p>
    <w:p w:rsidR="00BC51FC" w:rsidRPr="00C8519E" w:rsidRDefault="00BC51FC" w:rsidP="00812EE6">
      <w:pPr>
        <w:pStyle w:val="NormalWeb"/>
        <w:numPr>
          <w:ilvl w:val="0"/>
          <w:numId w:val="23"/>
        </w:numPr>
        <w:tabs>
          <w:tab w:val="left" w:pos="851"/>
        </w:tabs>
        <w:spacing w:before="0" w:beforeAutospacing="0" w:after="0" w:afterAutospacing="0"/>
        <w:ind w:left="0" w:firstLine="567"/>
        <w:jc w:val="both"/>
        <w:rPr>
          <w:rStyle w:val="Hyperlink"/>
          <w:b/>
          <w:color w:val="000000" w:themeColor="text1"/>
          <w:u w:val="none"/>
        </w:rPr>
      </w:pPr>
      <w:proofErr w:type="spellStart"/>
      <w:r w:rsidRPr="00C8519E">
        <w:t>Mocenco</w:t>
      </w:r>
      <w:proofErr w:type="spellEnd"/>
      <w:r w:rsidRPr="00C8519E">
        <w:t xml:space="preserve"> Daniela, </w:t>
      </w:r>
      <w:proofErr w:type="spellStart"/>
      <w:r w:rsidRPr="00C8519E">
        <w:t>Dudian</w:t>
      </w:r>
      <w:proofErr w:type="spellEnd"/>
      <w:r w:rsidRPr="00C8519E">
        <w:t xml:space="preserve"> Monica, </w:t>
      </w:r>
      <w:r w:rsidR="0013776D">
        <w:t xml:space="preserve">(2014), </w:t>
      </w:r>
      <w:r w:rsidRPr="00C8519E">
        <w:rPr>
          <w:i/>
        </w:rPr>
        <w:t xml:space="preserve">Management </w:t>
      </w:r>
      <w:proofErr w:type="spellStart"/>
      <w:r w:rsidRPr="00C8519E">
        <w:rPr>
          <w:i/>
        </w:rPr>
        <w:t>strategies</w:t>
      </w:r>
      <w:proofErr w:type="spellEnd"/>
      <w:r w:rsidRPr="00C8519E">
        <w:rPr>
          <w:i/>
        </w:rPr>
        <w:t xml:space="preserve"> in european aeronautic </w:t>
      </w:r>
      <w:proofErr w:type="spellStart"/>
      <w:r w:rsidRPr="00C8519E">
        <w:rPr>
          <w:i/>
        </w:rPr>
        <w:t>industry</w:t>
      </w:r>
      <w:proofErr w:type="spellEnd"/>
      <w:r w:rsidRPr="00C8519E">
        <w:rPr>
          <w:i/>
        </w:rPr>
        <w:t xml:space="preserve"> in </w:t>
      </w:r>
      <w:proofErr w:type="spellStart"/>
      <w:r w:rsidRPr="00C8519E">
        <w:rPr>
          <w:i/>
        </w:rPr>
        <w:t>the</w:t>
      </w:r>
      <w:proofErr w:type="spellEnd"/>
      <w:r w:rsidRPr="00C8519E">
        <w:rPr>
          <w:i/>
        </w:rPr>
        <w:t xml:space="preserve"> 1970-2013 period</w:t>
      </w:r>
      <w:r w:rsidRPr="00C8519E">
        <w:t xml:space="preserve">, </w:t>
      </w:r>
      <w:proofErr w:type="spellStart"/>
      <w:r w:rsidRPr="00C8519E">
        <w:t>Proceedings</w:t>
      </w:r>
      <w:proofErr w:type="spellEnd"/>
      <w:r w:rsidRPr="00C8519E">
        <w:t xml:space="preserve"> of </w:t>
      </w:r>
      <w:proofErr w:type="spellStart"/>
      <w:r w:rsidRPr="00C8519E">
        <w:t>the</w:t>
      </w:r>
      <w:proofErr w:type="spellEnd"/>
      <w:r w:rsidRPr="00C8519E">
        <w:t xml:space="preserve"> 8</w:t>
      </w:r>
      <w:r w:rsidRPr="00C8519E">
        <w:rPr>
          <w:vertAlign w:val="superscript"/>
        </w:rPr>
        <w:t>th</w:t>
      </w:r>
      <w:r w:rsidRPr="00C8519E">
        <w:t xml:space="preserve"> </w:t>
      </w:r>
      <w:proofErr w:type="spellStart"/>
      <w:r w:rsidRPr="00C8519E">
        <w:t>international</w:t>
      </w:r>
      <w:proofErr w:type="spellEnd"/>
      <w:r w:rsidRPr="00C8519E">
        <w:t xml:space="preserve"> management </w:t>
      </w:r>
      <w:proofErr w:type="spellStart"/>
      <w:r w:rsidRPr="00C8519E">
        <w:t>conference</w:t>
      </w:r>
      <w:proofErr w:type="spellEnd"/>
      <w:r w:rsidRPr="00C8519E">
        <w:t xml:space="preserve"> „Management </w:t>
      </w:r>
      <w:proofErr w:type="spellStart"/>
      <w:r w:rsidRPr="00C8519E">
        <w:t>challenges</w:t>
      </w:r>
      <w:proofErr w:type="spellEnd"/>
      <w:r w:rsidRPr="00C8519E">
        <w:t xml:space="preserve"> for </w:t>
      </w:r>
      <w:proofErr w:type="spellStart"/>
      <w:r w:rsidRPr="00C8519E">
        <w:t>sustainable</w:t>
      </w:r>
      <w:proofErr w:type="spellEnd"/>
      <w:r w:rsidRPr="00C8519E">
        <w:t xml:space="preserve"> </w:t>
      </w:r>
      <w:proofErr w:type="spellStart"/>
      <w:r w:rsidRPr="00C8519E">
        <w:t>development</w:t>
      </w:r>
      <w:proofErr w:type="spellEnd"/>
      <w:r w:rsidRPr="00C8519E">
        <w:t xml:space="preserve">”, </w:t>
      </w:r>
      <w:proofErr w:type="spellStart"/>
      <w:r w:rsidRPr="00C8519E">
        <w:t>November</w:t>
      </w:r>
      <w:proofErr w:type="spellEnd"/>
      <w:r w:rsidRPr="00C8519E">
        <w:t xml:space="preserve"> 6</w:t>
      </w:r>
      <w:r w:rsidRPr="00C8519E">
        <w:rPr>
          <w:vertAlign w:val="superscript"/>
        </w:rPr>
        <w:t>th</w:t>
      </w:r>
      <w:r w:rsidRPr="00C8519E">
        <w:t>-7</w:t>
      </w:r>
      <w:r w:rsidRPr="00C8519E">
        <w:rPr>
          <w:vertAlign w:val="superscript"/>
        </w:rPr>
        <w:t>th</w:t>
      </w:r>
      <w:r w:rsidRPr="00C8519E">
        <w:t xml:space="preserve">, </w:t>
      </w:r>
      <w:proofErr w:type="spellStart"/>
      <w:r w:rsidRPr="00C8519E">
        <w:t>Bucharest</w:t>
      </w:r>
      <w:proofErr w:type="spellEnd"/>
      <w:r w:rsidRPr="00C8519E">
        <w:t xml:space="preserve">, Romania, </w:t>
      </w:r>
      <w:proofErr w:type="spellStart"/>
      <w:r w:rsidRPr="00C8519E">
        <w:t>accessible</w:t>
      </w:r>
      <w:proofErr w:type="spellEnd"/>
      <w:r w:rsidRPr="00C8519E">
        <w:t xml:space="preserve"> at </w:t>
      </w:r>
      <w:hyperlink r:id="rId27" w:history="1">
        <w:r w:rsidRPr="00C8519E">
          <w:rPr>
            <w:rStyle w:val="Hyperlink"/>
          </w:rPr>
          <w:t>http://conferinta.management.ase.ro/archives/2014/pdf/24.pdf</w:t>
        </w:r>
      </w:hyperlink>
      <w:r w:rsidRPr="00C8519E">
        <w:rPr>
          <w:rStyle w:val="Hyperlink"/>
        </w:rPr>
        <w:t>;</w:t>
      </w:r>
    </w:p>
    <w:p w:rsidR="00BC51FC" w:rsidRPr="00C8519E" w:rsidRDefault="00BC51FC" w:rsidP="00812EE6">
      <w:pPr>
        <w:pStyle w:val="ListParagraph"/>
        <w:numPr>
          <w:ilvl w:val="0"/>
          <w:numId w:val="23"/>
        </w:numPr>
        <w:tabs>
          <w:tab w:val="left" w:pos="851"/>
        </w:tabs>
        <w:spacing w:after="0"/>
        <w:ind w:left="0" w:firstLine="567"/>
        <w:jc w:val="both"/>
        <w:rPr>
          <w:rFonts w:ascii="Times New Roman" w:hAnsi="Times New Roman" w:cs="Times New Roman"/>
          <w:sz w:val="24"/>
          <w:szCs w:val="24"/>
        </w:rPr>
      </w:pPr>
      <w:r w:rsidRPr="00C8519E">
        <w:rPr>
          <w:rFonts w:ascii="Times New Roman" w:hAnsi="Times New Roman" w:cs="Times New Roman"/>
          <w:sz w:val="24"/>
          <w:szCs w:val="24"/>
        </w:rPr>
        <w:lastRenderedPageBreak/>
        <w:t xml:space="preserve">Naomi J. </w:t>
      </w:r>
      <w:proofErr w:type="spellStart"/>
      <w:r w:rsidRPr="00C8519E">
        <w:rPr>
          <w:rFonts w:ascii="Times New Roman" w:hAnsi="Times New Roman" w:cs="Times New Roman"/>
          <w:sz w:val="24"/>
          <w:szCs w:val="24"/>
        </w:rPr>
        <w:t>Brookes</w:t>
      </w:r>
      <w:proofErr w:type="spellEnd"/>
      <w:r w:rsidRPr="00C8519E">
        <w:rPr>
          <w:rFonts w:ascii="Times New Roman" w:hAnsi="Times New Roman" w:cs="Times New Roman"/>
          <w:sz w:val="24"/>
          <w:szCs w:val="24"/>
        </w:rPr>
        <w:t xml:space="preserve">, </w:t>
      </w:r>
      <w:proofErr w:type="spellStart"/>
      <w:r w:rsidRPr="00C8519E">
        <w:rPr>
          <w:rFonts w:ascii="Times New Roman" w:hAnsi="Times New Roman" w:cs="Times New Roman"/>
          <w:sz w:val="24"/>
          <w:szCs w:val="24"/>
        </w:rPr>
        <w:t>Sue</w:t>
      </w:r>
      <w:proofErr w:type="spellEnd"/>
      <w:r w:rsidRPr="00C8519E">
        <w:rPr>
          <w:rFonts w:ascii="Times New Roman" w:hAnsi="Times New Roman" w:cs="Times New Roman"/>
          <w:sz w:val="24"/>
          <w:szCs w:val="24"/>
        </w:rPr>
        <w:t xml:space="preserve"> C. </w:t>
      </w:r>
      <w:proofErr w:type="spellStart"/>
      <w:r w:rsidRPr="00C8519E">
        <w:rPr>
          <w:rFonts w:ascii="Times New Roman" w:hAnsi="Times New Roman" w:cs="Times New Roman"/>
          <w:sz w:val="24"/>
          <w:szCs w:val="24"/>
        </w:rPr>
        <w:t>Morton</w:t>
      </w:r>
      <w:proofErr w:type="spellEnd"/>
      <w:r w:rsidRPr="00C8519E">
        <w:rPr>
          <w:rFonts w:ascii="Times New Roman" w:hAnsi="Times New Roman" w:cs="Times New Roman"/>
          <w:sz w:val="24"/>
          <w:szCs w:val="24"/>
        </w:rPr>
        <w:t xml:space="preserve">, Steve </w:t>
      </w:r>
      <w:proofErr w:type="spellStart"/>
      <w:r w:rsidRPr="00C8519E">
        <w:rPr>
          <w:rFonts w:ascii="Times New Roman" w:hAnsi="Times New Roman" w:cs="Times New Roman"/>
          <w:sz w:val="24"/>
          <w:szCs w:val="24"/>
        </w:rPr>
        <w:t>Grossman</w:t>
      </w:r>
      <w:proofErr w:type="spellEnd"/>
      <w:r w:rsidRPr="00C8519E">
        <w:rPr>
          <w:rFonts w:ascii="Times New Roman" w:hAnsi="Times New Roman" w:cs="Times New Roman"/>
          <w:sz w:val="24"/>
          <w:szCs w:val="24"/>
        </w:rPr>
        <w:t xml:space="preserve">, Paul </w:t>
      </w:r>
      <w:proofErr w:type="spellStart"/>
      <w:r w:rsidRPr="00C8519E">
        <w:rPr>
          <w:rFonts w:ascii="Times New Roman" w:hAnsi="Times New Roman" w:cs="Times New Roman"/>
          <w:sz w:val="24"/>
          <w:szCs w:val="24"/>
        </w:rPr>
        <w:t>Joesbury</w:t>
      </w:r>
      <w:proofErr w:type="spellEnd"/>
      <w:r w:rsidRPr="00C8519E">
        <w:rPr>
          <w:rFonts w:ascii="Times New Roman" w:hAnsi="Times New Roman" w:cs="Times New Roman"/>
          <w:sz w:val="24"/>
          <w:szCs w:val="24"/>
        </w:rPr>
        <w:t xml:space="preserve">, Duncan </w:t>
      </w:r>
      <w:proofErr w:type="spellStart"/>
      <w:r w:rsidRPr="00C8519E">
        <w:rPr>
          <w:rFonts w:ascii="Times New Roman" w:hAnsi="Times New Roman" w:cs="Times New Roman"/>
          <w:sz w:val="24"/>
          <w:szCs w:val="24"/>
        </w:rPr>
        <w:t>Varnes</w:t>
      </w:r>
      <w:proofErr w:type="spellEnd"/>
      <w:r w:rsidRPr="00C8519E">
        <w:rPr>
          <w:rFonts w:ascii="Times New Roman" w:hAnsi="Times New Roman" w:cs="Times New Roman"/>
          <w:sz w:val="24"/>
          <w:szCs w:val="24"/>
        </w:rPr>
        <w:t xml:space="preserve">, </w:t>
      </w:r>
      <w:r w:rsidR="00BC20B4">
        <w:rPr>
          <w:rFonts w:ascii="Times New Roman" w:hAnsi="Times New Roman" w:cs="Times New Roman"/>
          <w:sz w:val="24"/>
          <w:szCs w:val="24"/>
        </w:rPr>
        <w:t xml:space="preserve">(2007), </w:t>
      </w:r>
      <w:proofErr w:type="spellStart"/>
      <w:r w:rsidRPr="00C8519E">
        <w:rPr>
          <w:rFonts w:ascii="Times New Roman" w:hAnsi="Times New Roman" w:cs="Times New Roman"/>
          <w:i/>
          <w:sz w:val="24"/>
          <w:szCs w:val="24"/>
        </w:rPr>
        <w:t>Analyzing</w:t>
      </w:r>
      <w:proofErr w:type="spellEnd"/>
      <w:r w:rsidRPr="00C8519E">
        <w:rPr>
          <w:rFonts w:ascii="Times New Roman" w:hAnsi="Times New Roman" w:cs="Times New Roman"/>
          <w:i/>
          <w:sz w:val="24"/>
          <w:szCs w:val="24"/>
        </w:rPr>
        <w:t xml:space="preserve"> Social Capital </w:t>
      </w:r>
      <w:proofErr w:type="spellStart"/>
      <w:r w:rsidRPr="00C8519E">
        <w:rPr>
          <w:rFonts w:ascii="Times New Roman" w:hAnsi="Times New Roman" w:cs="Times New Roman"/>
          <w:i/>
          <w:sz w:val="24"/>
          <w:szCs w:val="24"/>
        </w:rPr>
        <w:t>to</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Improve</w:t>
      </w:r>
      <w:proofErr w:type="spellEnd"/>
      <w:r w:rsidRPr="00C8519E">
        <w:rPr>
          <w:rFonts w:ascii="Times New Roman" w:hAnsi="Times New Roman" w:cs="Times New Roman"/>
          <w:i/>
          <w:sz w:val="24"/>
          <w:szCs w:val="24"/>
        </w:rPr>
        <w:t xml:space="preserve"> Product </w:t>
      </w:r>
      <w:proofErr w:type="spellStart"/>
      <w:r w:rsidRPr="00C8519E">
        <w:rPr>
          <w:rFonts w:ascii="Times New Roman" w:hAnsi="Times New Roman" w:cs="Times New Roman"/>
          <w:i/>
          <w:sz w:val="24"/>
          <w:szCs w:val="24"/>
        </w:rPr>
        <w:t>Development</w:t>
      </w:r>
      <w:proofErr w:type="spellEnd"/>
      <w:r w:rsidRPr="00C8519E">
        <w:rPr>
          <w:rFonts w:ascii="Times New Roman" w:hAnsi="Times New Roman" w:cs="Times New Roman"/>
          <w:i/>
          <w:sz w:val="24"/>
          <w:szCs w:val="24"/>
        </w:rPr>
        <w:t xml:space="preserve"> Team Performance: </w:t>
      </w:r>
      <w:proofErr w:type="spellStart"/>
      <w:r w:rsidRPr="00C8519E">
        <w:rPr>
          <w:rFonts w:ascii="Times New Roman" w:hAnsi="Times New Roman" w:cs="Times New Roman"/>
          <w:i/>
          <w:sz w:val="24"/>
          <w:szCs w:val="24"/>
        </w:rPr>
        <w:t>Action-Research</w:t>
      </w:r>
      <w:proofErr w:type="spellEnd"/>
      <w:r w:rsidRPr="00C8519E">
        <w:rPr>
          <w:rFonts w:ascii="Times New Roman" w:hAnsi="Times New Roman" w:cs="Times New Roman"/>
          <w:i/>
          <w:sz w:val="24"/>
          <w:szCs w:val="24"/>
        </w:rPr>
        <w:t xml:space="preserve"> </w:t>
      </w:r>
      <w:proofErr w:type="spellStart"/>
      <w:r w:rsidRPr="00C8519E">
        <w:rPr>
          <w:rFonts w:ascii="Times New Roman" w:hAnsi="Times New Roman" w:cs="Times New Roman"/>
          <w:i/>
          <w:sz w:val="24"/>
          <w:szCs w:val="24"/>
        </w:rPr>
        <w:t>Investigations</w:t>
      </w:r>
      <w:proofErr w:type="spellEnd"/>
      <w:r w:rsidRPr="00C8519E">
        <w:rPr>
          <w:rFonts w:ascii="Times New Roman" w:hAnsi="Times New Roman" w:cs="Times New Roman"/>
          <w:i/>
          <w:sz w:val="24"/>
          <w:szCs w:val="24"/>
        </w:rPr>
        <w:t xml:space="preserve"> in </w:t>
      </w:r>
      <w:proofErr w:type="spellStart"/>
      <w:r w:rsidRPr="00C8519E">
        <w:rPr>
          <w:rFonts w:ascii="Times New Roman" w:hAnsi="Times New Roman" w:cs="Times New Roman"/>
          <w:i/>
          <w:sz w:val="24"/>
          <w:szCs w:val="24"/>
        </w:rPr>
        <w:t>the</w:t>
      </w:r>
      <w:proofErr w:type="spellEnd"/>
      <w:r w:rsidRPr="00C8519E">
        <w:rPr>
          <w:rFonts w:ascii="Times New Roman" w:hAnsi="Times New Roman" w:cs="Times New Roman"/>
          <w:i/>
          <w:sz w:val="24"/>
          <w:szCs w:val="24"/>
        </w:rPr>
        <w:t xml:space="preserve"> Aerospace Industry </w:t>
      </w:r>
      <w:proofErr w:type="spellStart"/>
      <w:r w:rsidRPr="00C8519E">
        <w:rPr>
          <w:rFonts w:ascii="Times New Roman" w:hAnsi="Times New Roman" w:cs="Times New Roman"/>
          <w:i/>
          <w:sz w:val="24"/>
          <w:szCs w:val="24"/>
        </w:rPr>
        <w:t>With</w:t>
      </w:r>
      <w:proofErr w:type="spellEnd"/>
      <w:r w:rsidRPr="00C8519E">
        <w:rPr>
          <w:rFonts w:ascii="Times New Roman" w:hAnsi="Times New Roman" w:cs="Times New Roman"/>
          <w:i/>
          <w:sz w:val="24"/>
          <w:szCs w:val="24"/>
        </w:rPr>
        <w:t xml:space="preserve"> TRW </w:t>
      </w:r>
      <w:proofErr w:type="spellStart"/>
      <w:r w:rsidRPr="00C8519E">
        <w:rPr>
          <w:rFonts w:ascii="Times New Roman" w:hAnsi="Times New Roman" w:cs="Times New Roman"/>
          <w:i/>
          <w:sz w:val="24"/>
          <w:szCs w:val="24"/>
        </w:rPr>
        <w:t>and</w:t>
      </w:r>
      <w:proofErr w:type="spellEnd"/>
      <w:r w:rsidRPr="00C8519E">
        <w:rPr>
          <w:rFonts w:ascii="Times New Roman" w:hAnsi="Times New Roman" w:cs="Times New Roman"/>
          <w:i/>
          <w:sz w:val="24"/>
          <w:szCs w:val="24"/>
        </w:rPr>
        <w:t xml:space="preserve"> GKN</w:t>
      </w:r>
      <w:r w:rsidRPr="00C8519E">
        <w:rPr>
          <w:rFonts w:ascii="Times New Roman" w:hAnsi="Times New Roman" w:cs="Times New Roman"/>
          <w:sz w:val="24"/>
          <w:szCs w:val="24"/>
        </w:rPr>
        <w:t xml:space="preserve">, </w:t>
      </w:r>
      <w:proofErr w:type="spellStart"/>
      <w:r w:rsidRPr="00C8519E">
        <w:rPr>
          <w:rFonts w:ascii="Times New Roman" w:hAnsi="Times New Roman" w:cs="Times New Roman"/>
          <w:sz w:val="24"/>
          <w:szCs w:val="24"/>
        </w:rPr>
        <w:t>published</w:t>
      </w:r>
      <w:proofErr w:type="spellEnd"/>
      <w:r w:rsidRPr="00C8519E">
        <w:rPr>
          <w:rFonts w:ascii="Times New Roman" w:hAnsi="Times New Roman" w:cs="Times New Roman"/>
          <w:sz w:val="24"/>
          <w:szCs w:val="24"/>
        </w:rPr>
        <w:t xml:space="preserve"> in IEEE </w:t>
      </w:r>
      <w:proofErr w:type="spellStart"/>
      <w:r w:rsidRPr="00C8519E">
        <w:rPr>
          <w:rFonts w:ascii="Times New Roman" w:hAnsi="Times New Roman" w:cs="Times New Roman"/>
          <w:sz w:val="24"/>
          <w:szCs w:val="24"/>
        </w:rPr>
        <w:t>Transactions</w:t>
      </w:r>
      <w:proofErr w:type="spellEnd"/>
      <w:r w:rsidRPr="00C8519E">
        <w:rPr>
          <w:rFonts w:ascii="Times New Roman" w:hAnsi="Times New Roman" w:cs="Times New Roman"/>
          <w:sz w:val="24"/>
          <w:szCs w:val="24"/>
        </w:rPr>
        <w:t xml:space="preserve"> on Engineering Management, volume 54, </w:t>
      </w:r>
      <w:proofErr w:type="spellStart"/>
      <w:r w:rsidRPr="00C8519E">
        <w:rPr>
          <w:rFonts w:ascii="Times New Roman" w:hAnsi="Times New Roman" w:cs="Times New Roman"/>
          <w:sz w:val="24"/>
          <w:szCs w:val="24"/>
        </w:rPr>
        <w:t>issue</w:t>
      </w:r>
      <w:proofErr w:type="spellEnd"/>
      <w:r w:rsidR="00BC20B4">
        <w:rPr>
          <w:rFonts w:ascii="Times New Roman" w:hAnsi="Times New Roman" w:cs="Times New Roman"/>
          <w:sz w:val="24"/>
          <w:szCs w:val="24"/>
        </w:rPr>
        <w:t xml:space="preserve"> 4, </w:t>
      </w:r>
      <w:proofErr w:type="spellStart"/>
      <w:r w:rsidR="00BC20B4">
        <w:rPr>
          <w:rFonts w:ascii="Times New Roman" w:hAnsi="Times New Roman" w:cs="Times New Roman"/>
          <w:sz w:val="24"/>
          <w:szCs w:val="24"/>
        </w:rPr>
        <w:t>pages</w:t>
      </w:r>
      <w:proofErr w:type="spellEnd"/>
      <w:r w:rsidR="00BC20B4">
        <w:rPr>
          <w:rFonts w:ascii="Times New Roman" w:hAnsi="Times New Roman" w:cs="Times New Roman"/>
          <w:sz w:val="24"/>
          <w:szCs w:val="24"/>
        </w:rPr>
        <w:t xml:space="preserve"> 814-830</w:t>
      </w:r>
    </w:p>
    <w:p w:rsidR="00BC51FC" w:rsidRPr="00C8519E" w:rsidRDefault="00BC51FC" w:rsidP="00812EE6">
      <w:pPr>
        <w:pStyle w:val="Heading1"/>
        <w:numPr>
          <w:ilvl w:val="0"/>
          <w:numId w:val="23"/>
        </w:numPr>
        <w:tabs>
          <w:tab w:val="left" w:pos="851"/>
        </w:tabs>
        <w:spacing w:before="0" w:beforeAutospacing="0" w:after="0" w:afterAutospacing="0"/>
        <w:ind w:left="0" w:firstLine="567"/>
        <w:jc w:val="both"/>
        <w:rPr>
          <w:b w:val="0"/>
          <w:sz w:val="24"/>
          <w:szCs w:val="24"/>
        </w:rPr>
      </w:pPr>
      <w:r w:rsidRPr="00C8519E">
        <w:rPr>
          <w:b w:val="0"/>
          <w:sz w:val="24"/>
          <w:szCs w:val="24"/>
        </w:rPr>
        <w:t xml:space="preserve">Vittorio </w:t>
      </w:r>
      <w:proofErr w:type="spellStart"/>
      <w:r w:rsidRPr="00C8519E">
        <w:rPr>
          <w:b w:val="0"/>
          <w:sz w:val="24"/>
          <w:szCs w:val="24"/>
        </w:rPr>
        <w:t>Chiesa</w:t>
      </w:r>
      <w:proofErr w:type="spellEnd"/>
      <w:r w:rsidRPr="00C8519E">
        <w:rPr>
          <w:b w:val="0"/>
          <w:sz w:val="24"/>
          <w:szCs w:val="24"/>
        </w:rPr>
        <w:t xml:space="preserve">, Federico </w:t>
      </w:r>
      <w:proofErr w:type="spellStart"/>
      <w:r w:rsidRPr="00C8519E">
        <w:rPr>
          <w:b w:val="0"/>
          <w:sz w:val="24"/>
          <w:szCs w:val="24"/>
        </w:rPr>
        <w:t>Frattini</w:t>
      </w:r>
      <w:proofErr w:type="spellEnd"/>
      <w:r w:rsidRPr="00C8519E">
        <w:rPr>
          <w:b w:val="0"/>
          <w:sz w:val="24"/>
          <w:szCs w:val="24"/>
        </w:rPr>
        <w:t xml:space="preserve">, Valentina </w:t>
      </w:r>
      <w:proofErr w:type="spellStart"/>
      <w:r w:rsidRPr="00C8519E">
        <w:rPr>
          <w:b w:val="0"/>
          <w:sz w:val="24"/>
          <w:szCs w:val="24"/>
        </w:rPr>
        <w:t>Lazzarotti</w:t>
      </w:r>
      <w:proofErr w:type="spellEnd"/>
      <w:r w:rsidRPr="00C8519E">
        <w:rPr>
          <w:b w:val="0"/>
          <w:sz w:val="24"/>
          <w:szCs w:val="24"/>
        </w:rPr>
        <w:t xml:space="preserve">, </w:t>
      </w:r>
      <w:proofErr w:type="spellStart"/>
      <w:r w:rsidRPr="00C8519E">
        <w:rPr>
          <w:b w:val="0"/>
          <w:sz w:val="24"/>
          <w:szCs w:val="24"/>
        </w:rPr>
        <w:t>Raffaella</w:t>
      </w:r>
      <w:proofErr w:type="spellEnd"/>
      <w:r w:rsidRPr="00C8519E">
        <w:rPr>
          <w:b w:val="0"/>
          <w:sz w:val="24"/>
          <w:szCs w:val="24"/>
        </w:rPr>
        <w:t xml:space="preserve"> Manzini,</w:t>
      </w:r>
      <w:r w:rsidR="004C472C">
        <w:rPr>
          <w:b w:val="0"/>
          <w:sz w:val="24"/>
          <w:szCs w:val="24"/>
        </w:rPr>
        <w:t xml:space="preserve"> (2007),</w:t>
      </w:r>
      <w:r w:rsidRPr="00C8519E">
        <w:rPr>
          <w:b w:val="0"/>
          <w:i/>
          <w:sz w:val="24"/>
          <w:szCs w:val="24"/>
        </w:rPr>
        <w:t xml:space="preserve"> </w:t>
      </w:r>
      <w:proofErr w:type="spellStart"/>
      <w:r w:rsidRPr="00C8519E">
        <w:rPr>
          <w:b w:val="0"/>
          <w:i/>
          <w:sz w:val="24"/>
          <w:szCs w:val="24"/>
        </w:rPr>
        <w:t>Measuring</w:t>
      </w:r>
      <w:proofErr w:type="spellEnd"/>
      <w:r w:rsidRPr="00C8519E">
        <w:rPr>
          <w:b w:val="0"/>
          <w:i/>
          <w:sz w:val="24"/>
          <w:szCs w:val="24"/>
        </w:rPr>
        <w:t xml:space="preserve"> Performance in New Product </w:t>
      </w:r>
      <w:proofErr w:type="spellStart"/>
      <w:r w:rsidRPr="00C8519E">
        <w:rPr>
          <w:b w:val="0"/>
          <w:i/>
          <w:sz w:val="24"/>
          <w:szCs w:val="24"/>
        </w:rPr>
        <w:t>Development</w:t>
      </w:r>
      <w:proofErr w:type="spellEnd"/>
      <w:r w:rsidRPr="00C8519E">
        <w:rPr>
          <w:b w:val="0"/>
          <w:i/>
          <w:sz w:val="24"/>
          <w:szCs w:val="24"/>
        </w:rPr>
        <w:t xml:space="preserve"> </w:t>
      </w:r>
      <w:proofErr w:type="spellStart"/>
      <w:r w:rsidRPr="00C8519E">
        <w:rPr>
          <w:b w:val="0"/>
          <w:i/>
          <w:sz w:val="24"/>
          <w:szCs w:val="24"/>
        </w:rPr>
        <w:t>Projects</w:t>
      </w:r>
      <w:proofErr w:type="spellEnd"/>
      <w:r w:rsidRPr="00C8519E">
        <w:rPr>
          <w:b w:val="0"/>
          <w:i/>
          <w:sz w:val="24"/>
          <w:szCs w:val="24"/>
        </w:rPr>
        <w:t xml:space="preserve">: A Case </w:t>
      </w:r>
      <w:proofErr w:type="spellStart"/>
      <w:r w:rsidRPr="00C8519E">
        <w:rPr>
          <w:b w:val="0"/>
          <w:i/>
          <w:sz w:val="24"/>
          <w:szCs w:val="24"/>
        </w:rPr>
        <w:t>Study</w:t>
      </w:r>
      <w:proofErr w:type="spellEnd"/>
      <w:r w:rsidRPr="00C8519E">
        <w:rPr>
          <w:b w:val="0"/>
          <w:i/>
          <w:sz w:val="24"/>
          <w:szCs w:val="24"/>
        </w:rPr>
        <w:t xml:space="preserve"> in </w:t>
      </w:r>
      <w:proofErr w:type="spellStart"/>
      <w:r w:rsidRPr="00C8519E">
        <w:rPr>
          <w:b w:val="0"/>
          <w:i/>
          <w:sz w:val="24"/>
          <w:szCs w:val="24"/>
        </w:rPr>
        <w:t>the</w:t>
      </w:r>
      <w:proofErr w:type="spellEnd"/>
      <w:r w:rsidRPr="00C8519E">
        <w:rPr>
          <w:b w:val="0"/>
          <w:i/>
          <w:sz w:val="24"/>
          <w:szCs w:val="24"/>
        </w:rPr>
        <w:t xml:space="preserve"> Aerospace Industry</w:t>
      </w:r>
      <w:r w:rsidRPr="00C8519E">
        <w:rPr>
          <w:b w:val="0"/>
          <w:sz w:val="24"/>
          <w:szCs w:val="24"/>
        </w:rPr>
        <w:t xml:space="preserve">, volume 38, </w:t>
      </w:r>
      <w:proofErr w:type="spellStart"/>
      <w:r w:rsidRPr="00C8519E">
        <w:rPr>
          <w:b w:val="0"/>
          <w:sz w:val="24"/>
          <w:szCs w:val="24"/>
        </w:rPr>
        <w:t>issu</w:t>
      </w:r>
      <w:r w:rsidR="004C472C">
        <w:rPr>
          <w:b w:val="0"/>
          <w:sz w:val="24"/>
          <w:szCs w:val="24"/>
        </w:rPr>
        <w:t>e</w:t>
      </w:r>
      <w:proofErr w:type="spellEnd"/>
      <w:r w:rsidR="004C472C">
        <w:rPr>
          <w:b w:val="0"/>
          <w:sz w:val="24"/>
          <w:szCs w:val="24"/>
        </w:rPr>
        <w:t xml:space="preserve"> 4, </w:t>
      </w:r>
      <w:proofErr w:type="spellStart"/>
      <w:r w:rsidR="004C472C">
        <w:rPr>
          <w:b w:val="0"/>
          <w:sz w:val="24"/>
          <w:szCs w:val="24"/>
        </w:rPr>
        <w:t>pages</w:t>
      </w:r>
      <w:proofErr w:type="spellEnd"/>
      <w:r w:rsidR="004C472C">
        <w:rPr>
          <w:b w:val="0"/>
          <w:sz w:val="24"/>
          <w:szCs w:val="24"/>
        </w:rPr>
        <w:t xml:space="preserve"> 45-59</w:t>
      </w:r>
      <w:bookmarkStart w:id="0" w:name="_GoBack"/>
      <w:bookmarkEnd w:id="0"/>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28" w:history="1">
        <w:r w:rsidR="00BC51FC" w:rsidRPr="00C8519E">
          <w:rPr>
            <w:rStyle w:val="Hyperlink"/>
            <w:rFonts w:ascii="Times New Roman" w:hAnsi="Times New Roman" w:cs="Times New Roman"/>
            <w:sz w:val="24"/>
            <w:szCs w:val="24"/>
          </w:rPr>
          <w:t>http://2018ar.utc.com/assets/pdf/UTC2018AR-full-report.pdf</w:t>
        </w:r>
      </w:hyperlink>
      <w:r w:rsidR="00BC51FC" w:rsidRPr="00C8519E">
        <w:rPr>
          <w:rFonts w:ascii="Times New Roman" w:hAnsi="Times New Roman" w:cs="Times New Roman"/>
          <w:sz w:val="24"/>
          <w:szCs w:val="24"/>
        </w:rPr>
        <w:t>, p. 12.</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29" w:history="1">
        <w:r w:rsidR="00BC51FC" w:rsidRPr="00C8519E">
          <w:rPr>
            <w:rStyle w:val="Hyperlink"/>
            <w:rFonts w:ascii="Times New Roman" w:hAnsi="Times New Roman" w:cs="Times New Roman"/>
            <w:sz w:val="24"/>
            <w:szCs w:val="24"/>
          </w:rPr>
          <w:t>http://s2.q4cdn.com/661678649/files/doc_financials/annual/2019/Boeing-2018AR-Final.pdf</w:t>
        </w:r>
      </w:hyperlink>
      <w:r w:rsidR="00BC51FC" w:rsidRPr="00C8519E">
        <w:rPr>
          <w:rFonts w:ascii="Times New Roman" w:hAnsi="Times New Roman" w:cs="Times New Roman"/>
          <w:sz w:val="24"/>
          <w:szCs w:val="24"/>
        </w:rPr>
        <w:t>, p. 18</w:t>
      </w:r>
    </w:p>
    <w:p w:rsidR="00BC51FC" w:rsidRPr="00A82136"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pacing w:val="-4"/>
          <w:sz w:val="24"/>
          <w:szCs w:val="24"/>
        </w:rPr>
      </w:pPr>
      <w:hyperlink r:id="rId30" w:history="1">
        <w:r w:rsidR="00BC51FC" w:rsidRPr="00A82136">
          <w:rPr>
            <w:rStyle w:val="Hyperlink"/>
            <w:rFonts w:ascii="Times New Roman" w:hAnsi="Times New Roman" w:cs="Times New Roman"/>
            <w:spacing w:val="-4"/>
            <w:sz w:val="24"/>
            <w:szCs w:val="24"/>
          </w:rPr>
          <w:t>http://www.annualreports.com/HostedData/AnnualReportArchive/b/LSE_BA_2017.pdf</w:t>
        </w:r>
      </w:hyperlink>
      <w:r w:rsidR="00BC51FC" w:rsidRPr="00A82136">
        <w:rPr>
          <w:rFonts w:ascii="Times New Roman" w:hAnsi="Times New Roman" w:cs="Times New Roman"/>
          <w:spacing w:val="-4"/>
          <w:sz w:val="24"/>
          <w:szCs w:val="24"/>
        </w:rPr>
        <w:t>, p. 29</w:t>
      </w:r>
    </w:p>
    <w:p w:rsidR="00BC51FC" w:rsidRPr="00A82136"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pacing w:val="-4"/>
          <w:sz w:val="24"/>
          <w:szCs w:val="24"/>
        </w:rPr>
      </w:pPr>
      <w:hyperlink r:id="rId31" w:history="1">
        <w:r w:rsidR="00BC51FC" w:rsidRPr="00A82136">
          <w:rPr>
            <w:rStyle w:val="Hyperlink"/>
            <w:rFonts w:ascii="Times New Roman" w:hAnsi="Times New Roman" w:cs="Times New Roman"/>
            <w:spacing w:val="-4"/>
            <w:sz w:val="24"/>
            <w:szCs w:val="24"/>
          </w:rPr>
          <w:t>http://www.annualreports.com/HostedData/AnnualReports/PDF/LSE_BA_2018.pdf</w:t>
        </w:r>
      </w:hyperlink>
      <w:r w:rsidR="00BC51FC" w:rsidRPr="00A82136">
        <w:rPr>
          <w:rFonts w:ascii="Times New Roman" w:hAnsi="Times New Roman" w:cs="Times New Roman"/>
          <w:spacing w:val="-4"/>
          <w:sz w:val="24"/>
          <w:szCs w:val="24"/>
        </w:rPr>
        <w:t>, p. 36</w:t>
      </w:r>
    </w:p>
    <w:p w:rsidR="00BC51FC" w:rsidRPr="00A82136" w:rsidRDefault="00166E61" w:rsidP="00A82136">
      <w:pPr>
        <w:pStyle w:val="ListParagraph"/>
        <w:numPr>
          <w:ilvl w:val="0"/>
          <w:numId w:val="23"/>
        </w:numPr>
        <w:tabs>
          <w:tab w:val="left" w:pos="993"/>
        </w:tabs>
        <w:spacing w:after="0"/>
        <w:ind w:left="0" w:firstLine="567"/>
        <w:jc w:val="both"/>
        <w:rPr>
          <w:rFonts w:ascii="Times New Roman" w:hAnsi="Times New Roman" w:cs="Times New Roman"/>
          <w:spacing w:val="-6"/>
          <w:sz w:val="24"/>
          <w:szCs w:val="24"/>
        </w:rPr>
      </w:pPr>
      <w:hyperlink r:id="rId32" w:history="1">
        <w:r w:rsidR="00BC51FC" w:rsidRPr="00A82136">
          <w:rPr>
            <w:rStyle w:val="Hyperlink"/>
            <w:rFonts w:ascii="Times New Roman" w:hAnsi="Times New Roman" w:cs="Times New Roman"/>
            <w:spacing w:val="-6"/>
            <w:sz w:val="24"/>
            <w:szCs w:val="24"/>
          </w:rPr>
          <w:t>http://www.annualreports.com/HostedData/AnnualReports/PDF/NYSE_RTN_2018.pdf</w:t>
        </w:r>
      </w:hyperlink>
      <w:r w:rsidR="00BC51FC" w:rsidRPr="00A82136">
        <w:rPr>
          <w:rFonts w:ascii="Times New Roman" w:hAnsi="Times New Roman" w:cs="Times New Roman"/>
          <w:spacing w:val="-6"/>
          <w:sz w:val="24"/>
          <w:szCs w:val="24"/>
        </w:rPr>
        <w:t>, p. 79</w:t>
      </w:r>
    </w:p>
    <w:p w:rsidR="00BC51FC" w:rsidRPr="00C8519E" w:rsidRDefault="00166E61" w:rsidP="00812EE6">
      <w:pPr>
        <w:pStyle w:val="ListParagraph"/>
        <w:numPr>
          <w:ilvl w:val="0"/>
          <w:numId w:val="23"/>
        </w:numPr>
        <w:tabs>
          <w:tab w:val="left" w:pos="851"/>
          <w:tab w:val="left" w:pos="993"/>
        </w:tabs>
        <w:spacing w:after="0"/>
        <w:ind w:left="0" w:firstLine="567"/>
        <w:jc w:val="both"/>
        <w:rPr>
          <w:rStyle w:val="tlid-translation"/>
          <w:rFonts w:ascii="Times New Roman" w:hAnsi="Times New Roman" w:cs="Times New Roman"/>
          <w:sz w:val="24"/>
          <w:szCs w:val="24"/>
        </w:rPr>
      </w:pPr>
      <w:hyperlink r:id="rId33" w:history="1">
        <w:r w:rsidR="00BC51FC" w:rsidRPr="00C8519E">
          <w:rPr>
            <w:rStyle w:val="Hyperlink"/>
            <w:rFonts w:ascii="Times New Roman" w:hAnsi="Times New Roman" w:cs="Times New Roman"/>
            <w:sz w:val="24"/>
            <w:szCs w:val="24"/>
          </w:rPr>
          <w:t>http://www.investineu.com/content/aerospace-sector-eu</w:t>
        </w:r>
      </w:hyperlink>
      <w:r w:rsidR="00BC51FC" w:rsidRPr="00C8519E">
        <w:rPr>
          <w:rStyle w:val="tlid-translation"/>
          <w:rFonts w:ascii="Times New Roman" w:hAnsi="Times New Roman" w:cs="Times New Roman"/>
          <w:sz w:val="24"/>
          <w:szCs w:val="24"/>
        </w:rPr>
        <w:t>, accesat la 14.10.2019</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34" w:history="1">
        <w:r w:rsidR="00BC51FC" w:rsidRPr="00C8519E">
          <w:rPr>
            <w:rStyle w:val="Hyperlink"/>
            <w:rFonts w:ascii="Times New Roman" w:hAnsi="Times New Roman" w:cs="Times New Roman"/>
            <w:sz w:val="24"/>
            <w:szCs w:val="24"/>
          </w:rPr>
          <w:t>https://annualreport.airbus.com/pdf/Complete_Annual_Report.pdf</w:t>
        </w:r>
      </w:hyperlink>
      <w:r w:rsidR="00BC51FC" w:rsidRPr="00C8519E">
        <w:rPr>
          <w:rFonts w:ascii="Times New Roman" w:hAnsi="Times New Roman" w:cs="Times New Roman"/>
          <w:sz w:val="24"/>
          <w:szCs w:val="24"/>
        </w:rPr>
        <w:t>, p. 27</w:t>
      </w:r>
    </w:p>
    <w:p w:rsidR="00BC51FC" w:rsidRPr="00C8519E" w:rsidRDefault="00166E61" w:rsidP="00812EE6">
      <w:pPr>
        <w:pStyle w:val="NormalWeb"/>
        <w:numPr>
          <w:ilvl w:val="0"/>
          <w:numId w:val="23"/>
        </w:numPr>
        <w:tabs>
          <w:tab w:val="left" w:pos="851"/>
          <w:tab w:val="left" w:pos="993"/>
        </w:tabs>
        <w:spacing w:before="0" w:beforeAutospacing="0" w:after="0" w:afterAutospacing="0"/>
        <w:ind w:left="0" w:firstLine="567"/>
        <w:jc w:val="both"/>
        <w:rPr>
          <w:rStyle w:val="Hyperlink"/>
        </w:rPr>
      </w:pPr>
      <w:hyperlink r:id="rId35" w:history="1">
        <w:r w:rsidR="00BC51FC" w:rsidRPr="00C8519E">
          <w:rPr>
            <w:rStyle w:val="Hyperlink"/>
          </w:rPr>
          <w:t>https://ec.europa.eu/growth/sectors/aeronautics_en</w:t>
        </w:r>
      </w:hyperlink>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b/>
          <w:color w:val="000000" w:themeColor="text1"/>
          <w:sz w:val="24"/>
          <w:szCs w:val="24"/>
        </w:rPr>
      </w:pPr>
      <w:hyperlink r:id="rId36" w:history="1">
        <w:r w:rsidR="00BC51FC" w:rsidRPr="00C8519E">
          <w:rPr>
            <w:rStyle w:val="Hyperlink"/>
            <w:rFonts w:ascii="Times New Roman" w:hAnsi="Times New Roman" w:cs="Times New Roman"/>
            <w:sz w:val="24"/>
            <w:szCs w:val="24"/>
          </w:rPr>
          <w:t>https://www.army-technology.com/features/worlds-biggest-aerospace-defence-companies-2018/</w:t>
        </w:r>
      </w:hyperlink>
      <w:r w:rsidR="00700730">
        <w:rPr>
          <w:rFonts w:ascii="Times New Roman" w:hAnsi="Times New Roman" w:cs="Times New Roman"/>
          <w:sz w:val="24"/>
          <w:szCs w:val="24"/>
        </w:rPr>
        <w:t xml:space="preserve">, </w:t>
      </w:r>
      <w:proofErr w:type="spellStart"/>
      <w:r w:rsidR="00700730">
        <w:rPr>
          <w:rFonts w:ascii="Times New Roman" w:hAnsi="Times New Roman" w:cs="Times New Roman"/>
          <w:sz w:val="24"/>
          <w:szCs w:val="24"/>
        </w:rPr>
        <w:t>accessed</w:t>
      </w:r>
      <w:proofErr w:type="spellEnd"/>
      <w:r w:rsidR="00700730">
        <w:rPr>
          <w:rFonts w:ascii="Times New Roman" w:hAnsi="Times New Roman" w:cs="Times New Roman"/>
          <w:sz w:val="24"/>
          <w:szCs w:val="24"/>
        </w:rPr>
        <w:t xml:space="preserve"> on 10/16/2019</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37" w:history="1">
        <w:r w:rsidR="00BC51FC" w:rsidRPr="00C8519E">
          <w:rPr>
            <w:rStyle w:val="Hyperlink"/>
            <w:rFonts w:ascii="Times New Roman" w:hAnsi="Times New Roman" w:cs="Times New Roman"/>
            <w:sz w:val="24"/>
            <w:szCs w:val="24"/>
          </w:rPr>
          <w:t>https://www.bloomberg.com/profile/company/2061Q:FP</w:t>
        </w:r>
      </w:hyperlink>
      <w:r w:rsidR="00BC51FC" w:rsidRPr="00C8519E">
        <w:rPr>
          <w:rFonts w:ascii="Times New Roman" w:hAnsi="Times New Roman" w:cs="Times New Roman"/>
          <w:sz w:val="24"/>
          <w:szCs w:val="24"/>
        </w:rPr>
        <w:t xml:space="preserve">, </w:t>
      </w:r>
      <w:proofErr w:type="spellStart"/>
      <w:r w:rsidR="00BC51FC" w:rsidRPr="00C8519E">
        <w:rPr>
          <w:rFonts w:ascii="Times New Roman" w:hAnsi="Times New Roman" w:cs="Times New Roman"/>
          <w:sz w:val="24"/>
          <w:szCs w:val="24"/>
        </w:rPr>
        <w:t>accessed</w:t>
      </w:r>
      <w:proofErr w:type="spellEnd"/>
      <w:r w:rsidR="00BC51FC" w:rsidRPr="00C8519E">
        <w:rPr>
          <w:rFonts w:ascii="Times New Roman" w:hAnsi="Times New Roman" w:cs="Times New Roman"/>
          <w:sz w:val="24"/>
          <w:szCs w:val="24"/>
        </w:rPr>
        <w:t xml:space="preserve"> on 10/16/2019</w:t>
      </w:r>
    </w:p>
    <w:p w:rsidR="00BC51FC"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38" w:history="1">
        <w:r w:rsidR="00BC51FC" w:rsidRPr="00C8519E">
          <w:rPr>
            <w:rStyle w:val="Hyperlink"/>
            <w:rFonts w:ascii="Times New Roman" w:hAnsi="Times New Roman" w:cs="Times New Roman"/>
            <w:sz w:val="24"/>
            <w:szCs w:val="24"/>
          </w:rPr>
          <w:t>https://www.britannica.com/topic/European-Aeronautic-Defence-and-Space-Company</w:t>
        </w:r>
      </w:hyperlink>
      <w:r w:rsidR="00BC51FC">
        <w:rPr>
          <w:rFonts w:ascii="Times New Roman" w:hAnsi="Times New Roman" w:cs="Times New Roman"/>
          <w:sz w:val="24"/>
          <w:szCs w:val="24"/>
        </w:rPr>
        <w:t xml:space="preserve">, </w:t>
      </w:r>
      <w:proofErr w:type="spellStart"/>
      <w:r w:rsidR="00BC51FC">
        <w:rPr>
          <w:rFonts w:ascii="Times New Roman" w:hAnsi="Times New Roman" w:cs="Times New Roman"/>
          <w:sz w:val="24"/>
          <w:szCs w:val="24"/>
        </w:rPr>
        <w:t>accessed</w:t>
      </w:r>
      <w:proofErr w:type="spellEnd"/>
      <w:r w:rsidR="00BC51FC">
        <w:rPr>
          <w:rFonts w:ascii="Times New Roman" w:hAnsi="Times New Roman" w:cs="Times New Roman"/>
          <w:sz w:val="24"/>
          <w:szCs w:val="24"/>
        </w:rPr>
        <w:t xml:space="preserve"> on 10/16/2019</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39" w:history="1">
        <w:r w:rsidR="00BC51FC" w:rsidRPr="00C8519E">
          <w:rPr>
            <w:rStyle w:val="Hyperlink"/>
            <w:rFonts w:ascii="Times New Roman" w:hAnsi="Times New Roman" w:cs="Times New Roman"/>
            <w:sz w:val="24"/>
            <w:szCs w:val="24"/>
          </w:rPr>
          <w:t>https://www.ge.com/investor-relations/sites/default/files/GE_AR18.pdf</w:t>
        </w:r>
      </w:hyperlink>
      <w:r w:rsidR="00BC51FC" w:rsidRPr="00C8519E">
        <w:rPr>
          <w:rFonts w:ascii="Times New Roman" w:hAnsi="Times New Roman" w:cs="Times New Roman"/>
          <w:sz w:val="24"/>
          <w:szCs w:val="24"/>
        </w:rPr>
        <w:t>, p. 13</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40" w:history="1">
        <w:r w:rsidR="00BC51FC" w:rsidRPr="00C8519E">
          <w:rPr>
            <w:rStyle w:val="Hyperlink"/>
            <w:rFonts w:ascii="Times New Roman" w:hAnsi="Times New Roman" w:cs="Times New Roman"/>
            <w:sz w:val="24"/>
            <w:szCs w:val="24"/>
          </w:rPr>
          <w:t>https://www.lockheedmartin.com/content/dam/lockheed-martin/eo/documents/annual-reports/2018-annual-report.pdf</w:t>
        </w:r>
      </w:hyperlink>
      <w:r w:rsidR="00BC51FC" w:rsidRPr="00C8519E">
        <w:rPr>
          <w:rFonts w:ascii="Times New Roman" w:hAnsi="Times New Roman" w:cs="Times New Roman"/>
          <w:sz w:val="24"/>
          <w:szCs w:val="24"/>
        </w:rPr>
        <w:t>, p. 2</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41" w:history="1">
        <w:r w:rsidR="00BC51FC" w:rsidRPr="00C8519E">
          <w:rPr>
            <w:rStyle w:val="Hyperlink"/>
            <w:rFonts w:ascii="Times New Roman" w:hAnsi="Times New Roman" w:cs="Times New Roman"/>
            <w:sz w:val="24"/>
            <w:szCs w:val="24"/>
          </w:rPr>
          <w:t>https://www.northropgrumman.com/AboutUs/AnnualReports/Documents/pdfs/2018_noc_ar.pdf</w:t>
        </w:r>
      </w:hyperlink>
      <w:r w:rsidR="00BC51FC" w:rsidRPr="00C8519E">
        <w:rPr>
          <w:rFonts w:ascii="Times New Roman" w:hAnsi="Times New Roman" w:cs="Times New Roman"/>
          <w:sz w:val="24"/>
          <w:szCs w:val="24"/>
        </w:rPr>
        <w:t>, p. 24</w:t>
      </w:r>
    </w:p>
    <w:p w:rsidR="00BC51FC" w:rsidRPr="00C8519E" w:rsidRDefault="00166E61" w:rsidP="00812EE6">
      <w:pPr>
        <w:pStyle w:val="NormalWeb"/>
        <w:numPr>
          <w:ilvl w:val="0"/>
          <w:numId w:val="23"/>
        </w:numPr>
        <w:tabs>
          <w:tab w:val="left" w:pos="851"/>
          <w:tab w:val="left" w:pos="993"/>
        </w:tabs>
        <w:spacing w:before="0" w:beforeAutospacing="0" w:after="0" w:afterAutospacing="0"/>
        <w:ind w:left="0" w:firstLine="567"/>
        <w:jc w:val="both"/>
        <w:rPr>
          <w:b/>
          <w:color w:val="000000" w:themeColor="text1"/>
        </w:rPr>
      </w:pPr>
      <w:hyperlink r:id="rId42" w:history="1">
        <w:r w:rsidR="00BC51FC" w:rsidRPr="00C8519E">
          <w:rPr>
            <w:rStyle w:val="Hyperlink"/>
          </w:rPr>
          <w:t>https://www.quora.com/Which-are-the-top-5-countries-with-the-best-aerospace-industry-in-the-world</w:t>
        </w:r>
      </w:hyperlink>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43" w:history="1">
        <w:r w:rsidR="00BC51FC" w:rsidRPr="00C8519E">
          <w:rPr>
            <w:rStyle w:val="Hyperlink"/>
            <w:rFonts w:ascii="Times New Roman" w:hAnsi="Times New Roman" w:cs="Times New Roman"/>
            <w:sz w:val="24"/>
            <w:szCs w:val="24"/>
          </w:rPr>
          <w:t>https://www.rolls-royce.com/~/media/Files/R/Rolls-Royce/documents/annual-report/2017/2017-full-annual-report.pdf</w:t>
        </w:r>
      </w:hyperlink>
      <w:r w:rsidR="00BC51FC" w:rsidRPr="00C8519E">
        <w:rPr>
          <w:rFonts w:ascii="Times New Roman" w:hAnsi="Times New Roman" w:cs="Times New Roman"/>
          <w:sz w:val="24"/>
          <w:szCs w:val="24"/>
        </w:rPr>
        <w:t>, p. 1</w:t>
      </w:r>
    </w:p>
    <w:p w:rsidR="00BC51FC" w:rsidRPr="00C8519E" w:rsidRDefault="00166E61" w:rsidP="00812EE6">
      <w:pPr>
        <w:pStyle w:val="ListParagraph"/>
        <w:numPr>
          <w:ilvl w:val="0"/>
          <w:numId w:val="23"/>
        </w:numPr>
        <w:tabs>
          <w:tab w:val="left" w:pos="851"/>
          <w:tab w:val="left" w:pos="993"/>
        </w:tabs>
        <w:spacing w:after="0"/>
        <w:ind w:left="0" w:firstLine="567"/>
        <w:jc w:val="both"/>
        <w:rPr>
          <w:rFonts w:ascii="Times New Roman" w:hAnsi="Times New Roman" w:cs="Times New Roman"/>
          <w:sz w:val="24"/>
          <w:szCs w:val="24"/>
        </w:rPr>
      </w:pPr>
      <w:hyperlink r:id="rId44" w:history="1">
        <w:r w:rsidR="00BC51FC" w:rsidRPr="00C8519E">
          <w:rPr>
            <w:rStyle w:val="Hyperlink"/>
            <w:rFonts w:ascii="Times New Roman" w:hAnsi="Times New Roman" w:cs="Times New Roman"/>
            <w:sz w:val="24"/>
            <w:szCs w:val="24"/>
          </w:rPr>
          <w:t>https://www.rolls-royce.com/~/media/Files/R/Rolls-Royce/documents/annual-report/2018/2018-full-annual-report.pdf</w:t>
        </w:r>
      </w:hyperlink>
      <w:r w:rsidR="00BC51FC" w:rsidRPr="00C8519E">
        <w:rPr>
          <w:rFonts w:ascii="Times New Roman" w:hAnsi="Times New Roman" w:cs="Times New Roman"/>
          <w:sz w:val="24"/>
          <w:szCs w:val="24"/>
        </w:rPr>
        <w:t>, p. 1</w:t>
      </w:r>
    </w:p>
    <w:p w:rsidR="00BC51FC" w:rsidRPr="00C8519E" w:rsidRDefault="00166E61" w:rsidP="00812EE6">
      <w:pPr>
        <w:pStyle w:val="ListParagraph"/>
        <w:numPr>
          <w:ilvl w:val="0"/>
          <w:numId w:val="23"/>
        </w:numPr>
        <w:tabs>
          <w:tab w:val="left" w:pos="851"/>
          <w:tab w:val="left" w:pos="993"/>
        </w:tabs>
        <w:spacing w:after="0"/>
        <w:ind w:left="0" w:firstLine="567"/>
        <w:jc w:val="both"/>
        <w:rPr>
          <w:rStyle w:val="Hyperlink"/>
          <w:rFonts w:ascii="Times New Roman" w:hAnsi="Times New Roman" w:cs="Times New Roman"/>
          <w:color w:val="auto"/>
          <w:sz w:val="24"/>
          <w:szCs w:val="24"/>
          <w:u w:val="none"/>
        </w:rPr>
      </w:pPr>
      <w:hyperlink r:id="rId45" w:history="1">
        <w:r w:rsidR="00BC51FC" w:rsidRPr="00C8519E">
          <w:rPr>
            <w:rStyle w:val="Hyperlink"/>
            <w:rFonts w:ascii="Times New Roman" w:hAnsi="Times New Roman" w:cs="Times New Roman"/>
            <w:sz w:val="24"/>
            <w:szCs w:val="24"/>
          </w:rPr>
          <w:t>https://www.safran-group.com/sites/group/files/safran_ri_2018_uk_mel.pdf</w:t>
        </w:r>
      </w:hyperlink>
    </w:p>
    <w:p w:rsidR="00BC51FC" w:rsidRPr="00C8519E" w:rsidRDefault="00166E61" w:rsidP="00812EE6">
      <w:pPr>
        <w:pStyle w:val="ListParagraph"/>
        <w:numPr>
          <w:ilvl w:val="0"/>
          <w:numId w:val="23"/>
        </w:numPr>
        <w:tabs>
          <w:tab w:val="left" w:pos="851"/>
          <w:tab w:val="left" w:pos="993"/>
        </w:tabs>
        <w:spacing w:after="0"/>
        <w:ind w:left="0" w:firstLine="567"/>
        <w:jc w:val="both"/>
        <w:rPr>
          <w:rStyle w:val="Hyperlink"/>
          <w:rFonts w:ascii="Times New Roman" w:hAnsi="Times New Roman" w:cs="Times New Roman"/>
          <w:b/>
          <w:color w:val="000000" w:themeColor="text1"/>
          <w:sz w:val="24"/>
          <w:szCs w:val="24"/>
          <w:u w:val="none"/>
        </w:rPr>
      </w:pPr>
      <w:hyperlink r:id="rId46" w:history="1">
        <w:r w:rsidR="00BC51FC" w:rsidRPr="00C8519E">
          <w:rPr>
            <w:rStyle w:val="Hyperlink"/>
            <w:rFonts w:ascii="Times New Roman" w:hAnsi="Times New Roman" w:cs="Times New Roman"/>
            <w:sz w:val="24"/>
            <w:szCs w:val="24"/>
          </w:rPr>
          <w:t>www.acv.ro</w:t>
        </w:r>
      </w:hyperlink>
    </w:p>
    <w:p w:rsidR="00BC51FC" w:rsidRPr="00C8519E" w:rsidRDefault="00166E61" w:rsidP="00812EE6">
      <w:pPr>
        <w:pStyle w:val="ListParagraph"/>
        <w:numPr>
          <w:ilvl w:val="0"/>
          <w:numId w:val="23"/>
        </w:numPr>
        <w:tabs>
          <w:tab w:val="left" w:pos="851"/>
          <w:tab w:val="left" w:pos="993"/>
        </w:tabs>
        <w:ind w:left="0" w:firstLine="567"/>
        <w:rPr>
          <w:rFonts w:ascii="Times New Roman" w:hAnsi="Times New Roman" w:cs="Times New Roman"/>
          <w:sz w:val="24"/>
          <w:szCs w:val="24"/>
        </w:rPr>
      </w:pPr>
      <w:hyperlink r:id="rId47" w:history="1">
        <w:r w:rsidR="00BC51FC" w:rsidRPr="00C8519E">
          <w:rPr>
            <w:rStyle w:val="Hyperlink"/>
            <w:rFonts w:ascii="Times New Roman" w:hAnsi="Times New Roman" w:cs="Times New Roman"/>
            <w:sz w:val="24"/>
            <w:szCs w:val="24"/>
          </w:rPr>
          <w:t>www.aerostar.ro</w:t>
        </w:r>
      </w:hyperlink>
    </w:p>
    <w:p w:rsidR="00BC51FC" w:rsidRPr="00C8519E" w:rsidRDefault="00166E61" w:rsidP="00812EE6">
      <w:pPr>
        <w:pStyle w:val="ListParagraph"/>
        <w:numPr>
          <w:ilvl w:val="0"/>
          <w:numId w:val="23"/>
        </w:numPr>
        <w:tabs>
          <w:tab w:val="left" w:pos="851"/>
          <w:tab w:val="left" w:pos="993"/>
        </w:tabs>
        <w:spacing w:after="0"/>
        <w:ind w:left="0" w:firstLine="567"/>
        <w:jc w:val="both"/>
        <w:rPr>
          <w:rStyle w:val="Hyperlink"/>
          <w:rFonts w:ascii="Times New Roman" w:hAnsi="Times New Roman" w:cs="Times New Roman"/>
          <w:b/>
          <w:color w:val="000000" w:themeColor="text1"/>
          <w:sz w:val="24"/>
          <w:szCs w:val="24"/>
          <w:u w:val="none"/>
        </w:rPr>
      </w:pPr>
      <w:hyperlink r:id="rId48" w:history="1">
        <w:r w:rsidR="00BC51FC" w:rsidRPr="00C8519E">
          <w:rPr>
            <w:rStyle w:val="Hyperlink"/>
            <w:rFonts w:ascii="Times New Roman" w:hAnsi="Times New Roman" w:cs="Times New Roman"/>
            <w:sz w:val="24"/>
            <w:szCs w:val="24"/>
          </w:rPr>
          <w:t>www.bvb.ro</w:t>
        </w:r>
      </w:hyperlink>
    </w:p>
    <w:p w:rsidR="00BC51FC" w:rsidRPr="00C8519E" w:rsidRDefault="00166E61" w:rsidP="00812EE6">
      <w:pPr>
        <w:pStyle w:val="ListParagraph"/>
        <w:numPr>
          <w:ilvl w:val="0"/>
          <w:numId w:val="23"/>
        </w:numPr>
        <w:tabs>
          <w:tab w:val="left" w:pos="851"/>
          <w:tab w:val="left" w:pos="993"/>
        </w:tabs>
        <w:spacing w:after="0"/>
        <w:ind w:left="0" w:firstLine="567"/>
        <w:jc w:val="both"/>
        <w:rPr>
          <w:rStyle w:val="Hyperlink"/>
          <w:rFonts w:ascii="Times New Roman" w:hAnsi="Times New Roman" w:cs="Times New Roman"/>
          <w:b/>
          <w:color w:val="000000" w:themeColor="text1"/>
          <w:sz w:val="24"/>
          <w:szCs w:val="24"/>
          <w:u w:val="none"/>
        </w:rPr>
      </w:pPr>
      <w:hyperlink r:id="rId49" w:history="1">
        <w:r w:rsidR="00BC51FC" w:rsidRPr="00C8519E">
          <w:rPr>
            <w:rStyle w:val="Hyperlink"/>
            <w:rFonts w:ascii="Times New Roman" w:hAnsi="Times New Roman" w:cs="Times New Roman"/>
            <w:sz w:val="24"/>
            <w:szCs w:val="24"/>
          </w:rPr>
          <w:t>www.iar.ro</w:t>
        </w:r>
      </w:hyperlink>
    </w:p>
    <w:p w:rsidR="00BC51FC" w:rsidRPr="00C8519E" w:rsidRDefault="00166E61" w:rsidP="00812EE6">
      <w:pPr>
        <w:pStyle w:val="ListParagraph"/>
        <w:numPr>
          <w:ilvl w:val="0"/>
          <w:numId w:val="23"/>
        </w:numPr>
        <w:tabs>
          <w:tab w:val="left" w:pos="851"/>
          <w:tab w:val="left" w:pos="993"/>
        </w:tabs>
        <w:ind w:left="0" w:firstLine="567"/>
        <w:rPr>
          <w:rFonts w:ascii="Times New Roman" w:hAnsi="Times New Roman" w:cs="Times New Roman"/>
          <w:sz w:val="24"/>
          <w:szCs w:val="24"/>
        </w:rPr>
      </w:pPr>
      <w:hyperlink r:id="rId50" w:history="1">
        <w:r w:rsidR="00BC51FC" w:rsidRPr="00C8519E">
          <w:rPr>
            <w:rStyle w:val="Hyperlink"/>
            <w:rFonts w:ascii="Times New Roman" w:hAnsi="Times New Roman" w:cs="Times New Roman"/>
            <w:sz w:val="24"/>
            <w:szCs w:val="24"/>
          </w:rPr>
          <w:t>www.risco.ro</w:t>
        </w:r>
      </w:hyperlink>
    </w:p>
    <w:p w:rsidR="00BC51FC" w:rsidRPr="00C8519E" w:rsidRDefault="00166E61" w:rsidP="00812EE6">
      <w:pPr>
        <w:pStyle w:val="ListParagraph"/>
        <w:numPr>
          <w:ilvl w:val="0"/>
          <w:numId w:val="23"/>
        </w:numPr>
        <w:tabs>
          <w:tab w:val="left" w:pos="851"/>
          <w:tab w:val="left" w:pos="993"/>
        </w:tabs>
        <w:ind w:left="0" w:firstLine="567"/>
        <w:rPr>
          <w:rFonts w:ascii="Times New Roman" w:hAnsi="Times New Roman" w:cs="Times New Roman"/>
          <w:sz w:val="24"/>
          <w:szCs w:val="24"/>
        </w:rPr>
      </w:pPr>
      <w:hyperlink r:id="rId51" w:history="1">
        <w:r w:rsidR="00BC51FC" w:rsidRPr="00C8519E">
          <w:rPr>
            <w:rStyle w:val="Hyperlink"/>
            <w:rFonts w:ascii="Times New Roman" w:hAnsi="Times New Roman" w:cs="Times New Roman"/>
            <w:sz w:val="24"/>
            <w:szCs w:val="24"/>
          </w:rPr>
          <w:t>www.romaero.com</w:t>
        </w:r>
      </w:hyperlink>
    </w:p>
    <w:p w:rsidR="00BC51FC" w:rsidRPr="00C8519E" w:rsidRDefault="00166E61" w:rsidP="00812EE6">
      <w:pPr>
        <w:pStyle w:val="ListParagraph"/>
        <w:numPr>
          <w:ilvl w:val="0"/>
          <w:numId w:val="23"/>
        </w:numPr>
        <w:tabs>
          <w:tab w:val="left" w:pos="851"/>
          <w:tab w:val="left" w:pos="993"/>
        </w:tabs>
        <w:ind w:left="0" w:firstLine="567"/>
        <w:rPr>
          <w:rFonts w:ascii="Times New Roman" w:hAnsi="Times New Roman" w:cs="Times New Roman"/>
          <w:sz w:val="24"/>
          <w:szCs w:val="24"/>
        </w:rPr>
      </w:pPr>
      <w:hyperlink r:id="rId52" w:history="1">
        <w:r w:rsidR="00BC51FC" w:rsidRPr="00C8519E">
          <w:rPr>
            <w:rStyle w:val="Hyperlink"/>
            <w:rFonts w:ascii="Times New Roman" w:hAnsi="Times New Roman" w:cs="Times New Roman"/>
            <w:sz w:val="24"/>
            <w:szCs w:val="24"/>
          </w:rPr>
          <w:t>www.turbomecanica.ro</w:t>
        </w:r>
      </w:hyperlink>
    </w:p>
    <w:sectPr w:rsidR="00BC51FC" w:rsidRPr="00C8519E" w:rsidSect="00425B8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E61" w:rsidRDefault="00166E61" w:rsidP="001B1BE2">
      <w:pPr>
        <w:spacing w:after="0" w:line="240" w:lineRule="auto"/>
      </w:pPr>
      <w:r>
        <w:separator/>
      </w:r>
    </w:p>
  </w:endnote>
  <w:endnote w:type="continuationSeparator" w:id="0">
    <w:p w:rsidR="00166E61" w:rsidRDefault="00166E61" w:rsidP="001B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E61" w:rsidRDefault="00166E61" w:rsidP="001B1BE2">
      <w:pPr>
        <w:spacing w:after="0" w:line="240" w:lineRule="auto"/>
      </w:pPr>
      <w:r>
        <w:separator/>
      </w:r>
    </w:p>
  </w:footnote>
  <w:footnote w:type="continuationSeparator" w:id="0">
    <w:p w:rsidR="00166E61" w:rsidRDefault="00166E61" w:rsidP="001B1BE2">
      <w:pPr>
        <w:spacing w:after="0" w:line="240" w:lineRule="auto"/>
      </w:pPr>
      <w:r>
        <w:continuationSeparator/>
      </w:r>
    </w:p>
  </w:footnote>
  <w:footnote w:id="1">
    <w:p w:rsidR="002A6C0B" w:rsidRPr="00CC54E9" w:rsidRDefault="002A6C0B" w:rsidP="0089488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1" w:history="1">
        <w:r w:rsidRPr="00CC54E9">
          <w:rPr>
            <w:rStyle w:val="Hyperlink"/>
            <w:rFonts w:ascii="Times New Roman" w:hAnsi="Times New Roman" w:cs="Times New Roman"/>
          </w:rPr>
          <w:t>http://s2.q4cdn.com/661678649/files/doc_financials/annual/2019/Boeing-2018AR-Final.pdf</w:t>
        </w:r>
      </w:hyperlink>
      <w:r w:rsidRPr="00CC54E9">
        <w:rPr>
          <w:rFonts w:ascii="Times New Roman" w:hAnsi="Times New Roman" w:cs="Times New Roman"/>
        </w:rPr>
        <w:t>, p. 18.</w:t>
      </w:r>
    </w:p>
  </w:footnote>
  <w:footnote w:id="2">
    <w:p w:rsidR="002A6C0B" w:rsidRPr="00CC54E9" w:rsidRDefault="002A6C0B" w:rsidP="0089488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2" w:history="1">
        <w:r w:rsidRPr="00CC54E9">
          <w:rPr>
            <w:rStyle w:val="Hyperlink"/>
            <w:rFonts w:ascii="Times New Roman" w:hAnsi="Times New Roman" w:cs="Times New Roman"/>
          </w:rPr>
          <w:t>https://annualreport.airbus.com/pdf/Complete_Annual_Report.pdf</w:t>
        </w:r>
      </w:hyperlink>
      <w:r w:rsidRPr="00CC54E9">
        <w:rPr>
          <w:rFonts w:ascii="Times New Roman" w:hAnsi="Times New Roman" w:cs="Times New Roman"/>
        </w:rPr>
        <w:t>, p. 27.</w:t>
      </w:r>
    </w:p>
  </w:footnote>
  <w:footnote w:id="3">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3" w:history="1">
        <w:r w:rsidRPr="00CC54E9">
          <w:rPr>
            <w:rStyle w:val="Hyperlink"/>
            <w:rFonts w:ascii="Times New Roman" w:hAnsi="Times New Roman" w:cs="Times New Roman"/>
          </w:rPr>
          <w:t>http://2018ar.utc.com/assets/pdf/UTC2018AR-full-report.pdf</w:t>
        </w:r>
      </w:hyperlink>
      <w:r w:rsidRPr="00CC54E9">
        <w:rPr>
          <w:rFonts w:ascii="Times New Roman" w:hAnsi="Times New Roman" w:cs="Times New Roman"/>
        </w:rPr>
        <w:t>, p. 12.</w:t>
      </w:r>
    </w:p>
  </w:footnote>
  <w:footnote w:id="4">
    <w:p w:rsidR="002A6C0B" w:rsidRPr="004116AD" w:rsidRDefault="002A6C0B">
      <w:pPr>
        <w:pStyle w:val="FootnoteText"/>
        <w:rPr>
          <w:rFonts w:ascii="Times New Roman" w:hAnsi="Times New Roman" w:cs="Times New Roman"/>
          <w:spacing w:val="-4"/>
        </w:rPr>
      </w:pPr>
      <w:r w:rsidRPr="004116AD">
        <w:rPr>
          <w:rStyle w:val="FootnoteReference"/>
          <w:rFonts w:ascii="Times New Roman" w:hAnsi="Times New Roman" w:cs="Times New Roman"/>
          <w:spacing w:val="-4"/>
        </w:rPr>
        <w:footnoteRef/>
      </w:r>
      <w:r w:rsidRPr="004116AD">
        <w:rPr>
          <w:rFonts w:ascii="Times New Roman" w:hAnsi="Times New Roman" w:cs="Times New Roman"/>
          <w:spacing w:val="-4"/>
        </w:rPr>
        <w:t xml:space="preserve"> </w:t>
      </w:r>
      <w:hyperlink r:id="rId4" w:history="1">
        <w:r w:rsidRPr="004116AD">
          <w:rPr>
            <w:rStyle w:val="Hyperlink"/>
            <w:rFonts w:ascii="Times New Roman" w:hAnsi="Times New Roman" w:cs="Times New Roman"/>
            <w:spacing w:val="-4"/>
          </w:rPr>
          <w:t>https://www.lockheedmartin.com/content/dam/lockheed-martin/eo/documents/annual-reports/2018-annual-report.pdf</w:t>
        </w:r>
      </w:hyperlink>
      <w:r w:rsidRPr="004116AD">
        <w:rPr>
          <w:rFonts w:ascii="Times New Roman" w:hAnsi="Times New Roman" w:cs="Times New Roman"/>
          <w:spacing w:val="-4"/>
        </w:rPr>
        <w:t>, p. 2.</w:t>
      </w:r>
    </w:p>
  </w:footnote>
  <w:footnote w:id="5">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hyperlink r:id="rId5" w:history="1">
        <w:r w:rsidRPr="00CC54E9">
          <w:rPr>
            <w:rStyle w:val="Hyperlink"/>
            <w:rFonts w:ascii="Times New Roman" w:hAnsi="Times New Roman" w:cs="Times New Roman"/>
          </w:rPr>
          <w:t>https://www.ge.com/investor-relations/sites/default/files/GE_AR18.pdf</w:t>
        </w:r>
      </w:hyperlink>
      <w:r w:rsidRPr="00CC54E9">
        <w:rPr>
          <w:rFonts w:ascii="Times New Roman" w:hAnsi="Times New Roman" w:cs="Times New Roman"/>
        </w:rPr>
        <w:t>, p. 13.</w:t>
      </w:r>
    </w:p>
  </w:footnote>
  <w:footnote w:id="6">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6" w:history="1">
        <w:r w:rsidRPr="00CC54E9">
          <w:rPr>
            <w:rStyle w:val="Hyperlink"/>
            <w:rFonts w:ascii="Times New Roman" w:hAnsi="Times New Roman" w:cs="Times New Roman"/>
          </w:rPr>
          <w:t>https://www.northropgrumman.com/AboutUs/AnnualReports/Documents/pdfs/2018_noc_ar.pdf</w:t>
        </w:r>
      </w:hyperlink>
      <w:r w:rsidRPr="00CC54E9">
        <w:rPr>
          <w:rFonts w:ascii="Times New Roman" w:hAnsi="Times New Roman" w:cs="Times New Roman"/>
        </w:rPr>
        <w:t>, p. 24.</w:t>
      </w:r>
    </w:p>
  </w:footnote>
  <w:footnote w:id="7">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7" w:history="1">
        <w:r w:rsidRPr="00CC54E9">
          <w:rPr>
            <w:rStyle w:val="Hyperlink"/>
            <w:rFonts w:ascii="Times New Roman" w:hAnsi="Times New Roman" w:cs="Times New Roman"/>
          </w:rPr>
          <w:t>http://www.annualreports.com/HostedData/AnnualReports/PDF/NYSE_RTN_2018.pdf</w:t>
        </w:r>
      </w:hyperlink>
      <w:r w:rsidRPr="00CC54E9">
        <w:rPr>
          <w:rFonts w:ascii="Times New Roman" w:hAnsi="Times New Roman" w:cs="Times New Roman"/>
        </w:rPr>
        <w:t>, p. 79.</w:t>
      </w:r>
    </w:p>
  </w:footnote>
  <w:footnote w:id="8">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8" w:history="1">
        <w:r w:rsidRPr="00CC54E9">
          <w:rPr>
            <w:rStyle w:val="Hyperlink"/>
            <w:rFonts w:ascii="Times New Roman" w:hAnsi="Times New Roman" w:cs="Times New Roman"/>
          </w:rPr>
          <w:t>https://www.safran-group.com/sites/group/files/safran_ri_2018_uk_mel.pdf</w:t>
        </w:r>
      </w:hyperlink>
    </w:p>
  </w:footnote>
  <w:footnote w:id="9">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9" w:history="1">
        <w:r w:rsidRPr="00CC54E9">
          <w:rPr>
            <w:rStyle w:val="Hyperlink"/>
            <w:rFonts w:ascii="Times New Roman" w:hAnsi="Times New Roman" w:cs="Times New Roman"/>
          </w:rPr>
          <w:t>http://www.annualreports.com/HostedData/AnnualReportArchive/b/LSE_BA_2017.pdf</w:t>
        </w:r>
      </w:hyperlink>
      <w:r w:rsidRPr="00CC54E9">
        <w:rPr>
          <w:rFonts w:ascii="Times New Roman" w:hAnsi="Times New Roman" w:cs="Times New Roman"/>
        </w:rPr>
        <w:t>, p. 29.</w:t>
      </w:r>
    </w:p>
    <w:p w:rsidR="002A6C0B" w:rsidRPr="00CC54E9" w:rsidRDefault="00166E61">
      <w:pPr>
        <w:pStyle w:val="FootnoteText"/>
        <w:rPr>
          <w:rFonts w:ascii="Times New Roman" w:hAnsi="Times New Roman" w:cs="Times New Roman"/>
        </w:rPr>
      </w:pPr>
      <w:hyperlink r:id="rId10" w:history="1">
        <w:r w:rsidR="002A6C0B" w:rsidRPr="00CC54E9">
          <w:rPr>
            <w:rStyle w:val="Hyperlink"/>
            <w:rFonts w:ascii="Times New Roman" w:hAnsi="Times New Roman" w:cs="Times New Roman"/>
          </w:rPr>
          <w:t>http://www.annualreports.com/HostedData/AnnualReports/PDF/LSE_BA_2018.pdf</w:t>
        </w:r>
      </w:hyperlink>
      <w:r w:rsidR="002A6C0B" w:rsidRPr="00CC54E9">
        <w:rPr>
          <w:rFonts w:ascii="Times New Roman" w:hAnsi="Times New Roman" w:cs="Times New Roman"/>
        </w:rPr>
        <w:t>, p. 36.</w:t>
      </w:r>
    </w:p>
  </w:footnote>
  <w:footnote w:id="10">
    <w:p w:rsidR="002A6C0B" w:rsidRPr="00CC54E9" w:rsidRDefault="002A6C0B">
      <w:pPr>
        <w:pStyle w:val="FootnoteText"/>
        <w:rPr>
          <w:rFonts w:ascii="Times New Roman" w:hAnsi="Times New Roman" w:cs="Times New Roman"/>
        </w:rPr>
      </w:pPr>
      <w:r w:rsidRPr="00CC54E9">
        <w:rPr>
          <w:rStyle w:val="FootnoteReference"/>
          <w:rFonts w:ascii="Times New Roman" w:hAnsi="Times New Roman" w:cs="Times New Roman"/>
        </w:rPr>
        <w:footnoteRef/>
      </w:r>
      <w:r w:rsidRPr="00CC54E9">
        <w:rPr>
          <w:rFonts w:ascii="Times New Roman" w:hAnsi="Times New Roman" w:cs="Times New Roman"/>
        </w:rPr>
        <w:t xml:space="preserve"> </w:t>
      </w:r>
      <w:hyperlink r:id="rId11" w:history="1">
        <w:r w:rsidRPr="00CC54E9">
          <w:rPr>
            <w:rStyle w:val="Hyperlink"/>
            <w:rFonts w:ascii="Times New Roman" w:hAnsi="Times New Roman" w:cs="Times New Roman"/>
          </w:rPr>
          <w:t>https://www.rolls-royce.com/~/media/Files/R/Rolls-Royce/documents/annual-report/2017/2017-full-annual-report.pdf</w:t>
        </w:r>
      </w:hyperlink>
      <w:r w:rsidRPr="00CC54E9">
        <w:rPr>
          <w:rFonts w:ascii="Times New Roman" w:hAnsi="Times New Roman" w:cs="Times New Roman"/>
        </w:rPr>
        <w:t>, p. 1.</w:t>
      </w:r>
    </w:p>
    <w:p w:rsidR="002A6C0B" w:rsidRPr="004116AD" w:rsidRDefault="00166E61">
      <w:pPr>
        <w:pStyle w:val="FootnoteText"/>
        <w:rPr>
          <w:rFonts w:ascii="Times New Roman" w:hAnsi="Times New Roman" w:cs="Times New Roman"/>
          <w:spacing w:val="-4"/>
        </w:rPr>
      </w:pPr>
      <w:hyperlink r:id="rId12" w:history="1">
        <w:r w:rsidR="002A6C0B" w:rsidRPr="004116AD">
          <w:rPr>
            <w:rStyle w:val="Hyperlink"/>
            <w:rFonts w:ascii="Times New Roman" w:hAnsi="Times New Roman" w:cs="Times New Roman"/>
            <w:spacing w:val="-4"/>
          </w:rPr>
          <w:t>https://www.rolls-royce.com/~/media/Files/R/Rolls-Royce/documents/annual-report/2018/2018-full-annual-report.pdf</w:t>
        </w:r>
      </w:hyperlink>
      <w:r w:rsidR="002A6C0B" w:rsidRPr="004116AD">
        <w:rPr>
          <w:rFonts w:ascii="Times New Roman" w:hAnsi="Times New Roman" w:cs="Times New Roman"/>
          <w:spacing w:val="-4"/>
        </w:rPr>
        <w:t>,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5924"/>
    <w:multiLevelType w:val="hybridMultilevel"/>
    <w:tmpl w:val="0D0E56FE"/>
    <w:lvl w:ilvl="0" w:tplc="BCFCA804">
      <w:start w:val="1"/>
      <w:numFmt w:val="upperRoman"/>
      <w:lvlText w:val="%1."/>
      <w:lvlJc w:val="left"/>
      <w:pPr>
        <w:ind w:left="1287" w:hanging="7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0CB94786"/>
    <w:multiLevelType w:val="hybridMultilevel"/>
    <w:tmpl w:val="0BBED494"/>
    <w:lvl w:ilvl="0" w:tplc="8AE610A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CF6F3F"/>
    <w:multiLevelType w:val="hybridMultilevel"/>
    <w:tmpl w:val="1F3E1776"/>
    <w:lvl w:ilvl="0" w:tplc="8AE610A6">
      <w:start w:val="1"/>
      <w:numFmt w:val="decimal"/>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nsid w:val="16C35A26"/>
    <w:multiLevelType w:val="hybridMultilevel"/>
    <w:tmpl w:val="F62A2A36"/>
    <w:lvl w:ilvl="0" w:tplc="C6D2FB36">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1BD206C8"/>
    <w:multiLevelType w:val="hybridMultilevel"/>
    <w:tmpl w:val="A65801AE"/>
    <w:lvl w:ilvl="0" w:tplc="04180017">
      <w:start w:val="1"/>
      <w:numFmt w:val="lowerLetter"/>
      <w:lvlText w:val="%1)"/>
      <w:lvlJc w:val="left"/>
      <w:pPr>
        <w:ind w:left="928" w:hanging="36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5">
    <w:nsid w:val="24B86653"/>
    <w:multiLevelType w:val="hybridMultilevel"/>
    <w:tmpl w:val="91501488"/>
    <w:lvl w:ilvl="0" w:tplc="FE0CBAB4">
      <w:start w:val="1"/>
      <w:numFmt w:val="lowerLetter"/>
      <w:lvlText w:val="%1)"/>
      <w:lvlJc w:val="left"/>
      <w:pPr>
        <w:ind w:left="720" w:hanging="360"/>
      </w:pPr>
      <w:rPr>
        <w:rFonts w:hint="default"/>
        <w:b w:val="0"/>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7C97360"/>
    <w:multiLevelType w:val="hybridMultilevel"/>
    <w:tmpl w:val="294EED30"/>
    <w:lvl w:ilvl="0" w:tplc="74BA9824">
      <w:start w:val="1"/>
      <w:numFmt w:val="lowerLetter"/>
      <w:lvlText w:val="%1)"/>
      <w:lvlJc w:val="left"/>
      <w:pPr>
        <w:ind w:left="1069" w:hanging="360"/>
      </w:pPr>
      <w:rPr>
        <w:rFonts w:hint="default"/>
        <w:b w:val="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35B52F3E"/>
    <w:multiLevelType w:val="hybridMultilevel"/>
    <w:tmpl w:val="CC6A8100"/>
    <w:lvl w:ilvl="0" w:tplc="80C228B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381C42C0"/>
    <w:multiLevelType w:val="hybridMultilevel"/>
    <w:tmpl w:val="0BBED494"/>
    <w:lvl w:ilvl="0" w:tplc="8AE610A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9565FB3"/>
    <w:multiLevelType w:val="hybridMultilevel"/>
    <w:tmpl w:val="A65801A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4FC2F57"/>
    <w:multiLevelType w:val="hybridMultilevel"/>
    <w:tmpl w:val="37D2DAD4"/>
    <w:lvl w:ilvl="0" w:tplc="86C2295C">
      <w:start w:val="1"/>
      <w:numFmt w:val="lowerLetter"/>
      <w:lvlText w:val="%1)"/>
      <w:lvlJc w:val="left"/>
      <w:pPr>
        <w:ind w:left="927" w:hanging="360"/>
      </w:pPr>
      <w:rPr>
        <w:rFonts w:eastAsiaTheme="minorHAnsi"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nsid w:val="49062B98"/>
    <w:multiLevelType w:val="hybridMultilevel"/>
    <w:tmpl w:val="8AB8519C"/>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2">
    <w:nsid w:val="4BD9798F"/>
    <w:multiLevelType w:val="multilevel"/>
    <w:tmpl w:val="8232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6D350A"/>
    <w:multiLevelType w:val="hybridMultilevel"/>
    <w:tmpl w:val="2280F0BE"/>
    <w:lvl w:ilvl="0" w:tplc="8AE610A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5E87663"/>
    <w:multiLevelType w:val="hybridMultilevel"/>
    <w:tmpl w:val="276A8B86"/>
    <w:lvl w:ilvl="0" w:tplc="61A09712">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5CA2088A"/>
    <w:multiLevelType w:val="hybridMultilevel"/>
    <w:tmpl w:val="B00A10C8"/>
    <w:lvl w:ilvl="0" w:tplc="2C5041E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nsid w:val="61EF6605"/>
    <w:multiLevelType w:val="hybridMultilevel"/>
    <w:tmpl w:val="0BBED494"/>
    <w:lvl w:ilvl="0" w:tplc="8AE610A6">
      <w:start w:val="1"/>
      <w:numFmt w:val="decimal"/>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5F52A22"/>
    <w:multiLevelType w:val="hybridMultilevel"/>
    <w:tmpl w:val="5DD2D870"/>
    <w:lvl w:ilvl="0" w:tplc="F7C611D2">
      <w:start w:val="1"/>
      <w:numFmt w:val="decimal"/>
      <w:lvlText w:val="%1."/>
      <w:lvlJc w:val="left"/>
      <w:pPr>
        <w:ind w:left="927" w:hanging="360"/>
      </w:pPr>
      <w:rPr>
        <w:rFonts w:hint="default"/>
        <w:b w:val="0"/>
        <w:color w:val="auto"/>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8">
    <w:nsid w:val="6CF24630"/>
    <w:multiLevelType w:val="hybridMultilevel"/>
    <w:tmpl w:val="50A085E0"/>
    <w:lvl w:ilvl="0" w:tplc="0B7607B6">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nsid w:val="6DC61A88"/>
    <w:multiLevelType w:val="hybridMultilevel"/>
    <w:tmpl w:val="2570B116"/>
    <w:lvl w:ilvl="0" w:tplc="0AAA973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A782FA1"/>
    <w:multiLevelType w:val="hybridMultilevel"/>
    <w:tmpl w:val="75B077F8"/>
    <w:lvl w:ilvl="0" w:tplc="DF4E517C">
      <w:start w:val="1"/>
      <w:numFmt w:val="decimal"/>
      <w:lvlText w:val="%1."/>
      <w:lvlJc w:val="left"/>
      <w:pPr>
        <w:ind w:left="360"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1">
    <w:nsid w:val="7B471FEE"/>
    <w:multiLevelType w:val="hybridMultilevel"/>
    <w:tmpl w:val="F9108CFA"/>
    <w:lvl w:ilvl="0" w:tplc="5D249964">
      <w:start w:val="296"/>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nsid w:val="7DBD1400"/>
    <w:multiLevelType w:val="hybridMultilevel"/>
    <w:tmpl w:val="CCC6432E"/>
    <w:lvl w:ilvl="0" w:tplc="0418000D">
      <w:start w:val="1"/>
      <w:numFmt w:val="bullet"/>
      <w:lvlText w:val=""/>
      <w:lvlJc w:val="left"/>
      <w:pPr>
        <w:ind w:left="1287" w:hanging="360"/>
      </w:pPr>
      <w:rPr>
        <w:rFonts w:ascii="Wingdings" w:hAnsi="Wingdings" w:hint="default"/>
        <w:sz w:val="24"/>
        <w:szCs w:val="24"/>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3"/>
  </w:num>
  <w:num w:numId="2">
    <w:abstractNumId w:val="20"/>
  </w:num>
  <w:num w:numId="3">
    <w:abstractNumId w:val="15"/>
  </w:num>
  <w:num w:numId="4">
    <w:abstractNumId w:val="6"/>
  </w:num>
  <w:num w:numId="5">
    <w:abstractNumId w:val="10"/>
  </w:num>
  <w:num w:numId="6">
    <w:abstractNumId w:val="19"/>
  </w:num>
  <w:num w:numId="7">
    <w:abstractNumId w:val="7"/>
  </w:num>
  <w:num w:numId="8">
    <w:abstractNumId w:val="5"/>
  </w:num>
  <w:num w:numId="9">
    <w:abstractNumId w:val="9"/>
  </w:num>
  <w:num w:numId="10">
    <w:abstractNumId w:val="4"/>
  </w:num>
  <w:num w:numId="11">
    <w:abstractNumId w:val="21"/>
  </w:num>
  <w:num w:numId="12">
    <w:abstractNumId w:val="14"/>
  </w:num>
  <w:num w:numId="13">
    <w:abstractNumId w:val="0"/>
  </w:num>
  <w:num w:numId="14">
    <w:abstractNumId w:val="18"/>
  </w:num>
  <w:num w:numId="15">
    <w:abstractNumId w:val="22"/>
  </w:num>
  <w:num w:numId="16">
    <w:abstractNumId w:val="12"/>
  </w:num>
  <w:num w:numId="17">
    <w:abstractNumId w:val="11"/>
  </w:num>
  <w:num w:numId="18">
    <w:abstractNumId w:val="17"/>
  </w:num>
  <w:num w:numId="19">
    <w:abstractNumId w:val="1"/>
  </w:num>
  <w:num w:numId="20">
    <w:abstractNumId w:val="8"/>
  </w:num>
  <w:num w:numId="21">
    <w:abstractNumId w:val="16"/>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42E"/>
    <w:rsid w:val="000008CE"/>
    <w:rsid w:val="0000367F"/>
    <w:rsid w:val="00006C99"/>
    <w:rsid w:val="00006FE4"/>
    <w:rsid w:val="00016052"/>
    <w:rsid w:val="00022767"/>
    <w:rsid w:val="000232B4"/>
    <w:rsid w:val="0002355B"/>
    <w:rsid w:val="00023B43"/>
    <w:rsid w:val="00027565"/>
    <w:rsid w:val="00032095"/>
    <w:rsid w:val="000337DF"/>
    <w:rsid w:val="00042B87"/>
    <w:rsid w:val="000449B8"/>
    <w:rsid w:val="0004542E"/>
    <w:rsid w:val="00045F33"/>
    <w:rsid w:val="00047277"/>
    <w:rsid w:val="00052FEA"/>
    <w:rsid w:val="00053606"/>
    <w:rsid w:val="00055F3D"/>
    <w:rsid w:val="00062696"/>
    <w:rsid w:val="0006276B"/>
    <w:rsid w:val="00062C47"/>
    <w:rsid w:val="0006615D"/>
    <w:rsid w:val="00066C25"/>
    <w:rsid w:val="0007445F"/>
    <w:rsid w:val="00080CE1"/>
    <w:rsid w:val="00084D29"/>
    <w:rsid w:val="000851FF"/>
    <w:rsid w:val="000856E4"/>
    <w:rsid w:val="00085EE0"/>
    <w:rsid w:val="00086069"/>
    <w:rsid w:val="00086BBE"/>
    <w:rsid w:val="000936C5"/>
    <w:rsid w:val="00093D23"/>
    <w:rsid w:val="00097CE9"/>
    <w:rsid w:val="000A0BAC"/>
    <w:rsid w:val="000A5077"/>
    <w:rsid w:val="000A6009"/>
    <w:rsid w:val="000B3764"/>
    <w:rsid w:val="000B6FB6"/>
    <w:rsid w:val="000C4885"/>
    <w:rsid w:val="000C50AB"/>
    <w:rsid w:val="000D1D86"/>
    <w:rsid w:val="000D3678"/>
    <w:rsid w:val="000D6378"/>
    <w:rsid w:val="000E052E"/>
    <w:rsid w:val="000E1BC1"/>
    <w:rsid w:val="000E75FF"/>
    <w:rsid w:val="000F3AFD"/>
    <w:rsid w:val="000F5E9B"/>
    <w:rsid w:val="000F6018"/>
    <w:rsid w:val="000F7395"/>
    <w:rsid w:val="00102598"/>
    <w:rsid w:val="00107CE8"/>
    <w:rsid w:val="00116736"/>
    <w:rsid w:val="00117E56"/>
    <w:rsid w:val="00121152"/>
    <w:rsid w:val="00122725"/>
    <w:rsid w:val="001227AB"/>
    <w:rsid w:val="00123236"/>
    <w:rsid w:val="00123C15"/>
    <w:rsid w:val="00125278"/>
    <w:rsid w:val="001353AD"/>
    <w:rsid w:val="00135E8C"/>
    <w:rsid w:val="0013741A"/>
    <w:rsid w:val="0013776D"/>
    <w:rsid w:val="00140760"/>
    <w:rsid w:val="0014114A"/>
    <w:rsid w:val="0014321C"/>
    <w:rsid w:val="0014567C"/>
    <w:rsid w:val="001463C8"/>
    <w:rsid w:val="00147106"/>
    <w:rsid w:val="00152874"/>
    <w:rsid w:val="00152A55"/>
    <w:rsid w:val="001530BD"/>
    <w:rsid w:val="00160079"/>
    <w:rsid w:val="00160293"/>
    <w:rsid w:val="00160D48"/>
    <w:rsid w:val="00162B2E"/>
    <w:rsid w:val="00163CB8"/>
    <w:rsid w:val="00165B6B"/>
    <w:rsid w:val="00166E61"/>
    <w:rsid w:val="00175D74"/>
    <w:rsid w:val="00180BD2"/>
    <w:rsid w:val="001815CC"/>
    <w:rsid w:val="00181FED"/>
    <w:rsid w:val="00182604"/>
    <w:rsid w:val="00184328"/>
    <w:rsid w:val="00191A09"/>
    <w:rsid w:val="00192115"/>
    <w:rsid w:val="00193271"/>
    <w:rsid w:val="001A1020"/>
    <w:rsid w:val="001A2238"/>
    <w:rsid w:val="001A3036"/>
    <w:rsid w:val="001A6375"/>
    <w:rsid w:val="001B0A42"/>
    <w:rsid w:val="001B1731"/>
    <w:rsid w:val="001B1BE2"/>
    <w:rsid w:val="001B5DB1"/>
    <w:rsid w:val="001C2D7D"/>
    <w:rsid w:val="001C361F"/>
    <w:rsid w:val="001C3710"/>
    <w:rsid w:val="001C4EDC"/>
    <w:rsid w:val="001C4F06"/>
    <w:rsid w:val="001C5ED4"/>
    <w:rsid w:val="001D270A"/>
    <w:rsid w:val="001D4609"/>
    <w:rsid w:val="001E041C"/>
    <w:rsid w:val="001E0FB6"/>
    <w:rsid w:val="001E5249"/>
    <w:rsid w:val="001E6049"/>
    <w:rsid w:val="001E63EC"/>
    <w:rsid w:val="001E6946"/>
    <w:rsid w:val="001F085D"/>
    <w:rsid w:val="001F0D40"/>
    <w:rsid w:val="001F2104"/>
    <w:rsid w:val="001F4D28"/>
    <w:rsid w:val="001F5355"/>
    <w:rsid w:val="001F5D60"/>
    <w:rsid w:val="002005D1"/>
    <w:rsid w:val="00207CF3"/>
    <w:rsid w:val="00214C17"/>
    <w:rsid w:val="002150E5"/>
    <w:rsid w:val="00216A5E"/>
    <w:rsid w:val="00221429"/>
    <w:rsid w:val="00221D08"/>
    <w:rsid w:val="002253F0"/>
    <w:rsid w:val="00232255"/>
    <w:rsid w:val="0023302B"/>
    <w:rsid w:val="00233D18"/>
    <w:rsid w:val="002376E0"/>
    <w:rsid w:val="00237DF5"/>
    <w:rsid w:val="002441FA"/>
    <w:rsid w:val="002466D8"/>
    <w:rsid w:val="0024686C"/>
    <w:rsid w:val="0025075D"/>
    <w:rsid w:val="00253519"/>
    <w:rsid w:val="002560B6"/>
    <w:rsid w:val="00256D7D"/>
    <w:rsid w:val="00264E43"/>
    <w:rsid w:val="0026512A"/>
    <w:rsid w:val="00265FA3"/>
    <w:rsid w:val="0026627A"/>
    <w:rsid w:val="00266BB1"/>
    <w:rsid w:val="00270DC6"/>
    <w:rsid w:val="002713E0"/>
    <w:rsid w:val="00271A37"/>
    <w:rsid w:val="00271B95"/>
    <w:rsid w:val="00275193"/>
    <w:rsid w:val="0027661B"/>
    <w:rsid w:val="00277479"/>
    <w:rsid w:val="00277555"/>
    <w:rsid w:val="002777E9"/>
    <w:rsid w:val="00280C61"/>
    <w:rsid w:val="00281A9D"/>
    <w:rsid w:val="00287BF9"/>
    <w:rsid w:val="00291EE7"/>
    <w:rsid w:val="002971EC"/>
    <w:rsid w:val="002A229C"/>
    <w:rsid w:val="002A348D"/>
    <w:rsid w:val="002A6007"/>
    <w:rsid w:val="002A6C0B"/>
    <w:rsid w:val="002B04E1"/>
    <w:rsid w:val="002B25B4"/>
    <w:rsid w:val="002C3B9A"/>
    <w:rsid w:val="002C6C7E"/>
    <w:rsid w:val="002D035A"/>
    <w:rsid w:val="002D639B"/>
    <w:rsid w:val="002D641E"/>
    <w:rsid w:val="002D778A"/>
    <w:rsid w:val="002D799C"/>
    <w:rsid w:val="002D7F9D"/>
    <w:rsid w:val="002E1307"/>
    <w:rsid w:val="002F01FA"/>
    <w:rsid w:val="002F15C6"/>
    <w:rsid w:val="002F41E6"/>
    <w:rsid w:val="002F4C24"/>
    <w:rsid w:val="002F57CB"/>
    <w:rsid w:val="002F5C2B"/>
    <w:rsid w:val="002F5DB7"/>
    <w:rsid w:val="00300D17"/>
    <w:rsid w:val="00301CE7"/>
    <w:rsid w:val="00302E4B"/>
    <w:rsid w:val="0031167A"/>
    <w:rsid w:val="00317CBE"/>
    <w:rsid w:val="003204E6"/>
    <w:rsid w:val="003234DE"/>
    <w:rsid w:val="00324214"/>
    <w:rsid w:val="00324A6B"/>
    <w:rsid w:val="00324DE3"/>
    <w:rsid w:val="00326205"/>
    <w:rsid w:val="00326E4F"/>
    <w:rsid w:val="00327C79"/>
    <w:rsid w:val="0033228C"/>
    <w:rsid w:val="0033259A"/>
    <w:rsid w:val="00340041"/>
    <w:rsid w:val="00341172"/>
    <w:rsid w:val="00344CAF"/>
    <w:rsid w:val="0035180A"/>
    <w:rsid w:val="00351B08"/>
    <w:rsid w:val="00360736"/>
    <w:rsid w:val="00360E22"/>
    <w:rsid w:val="00362D57"/>
    <w:rsid w:val="00363B1D"/>
    <w:rsid w:val="00366644"/>
    <w:rsid w:val="00371C04"/>
    <w:rsid w:val="00372275"/>
    <w:rsid w:val="003722D3"/>
    <w:rsid w:val="00382BC7"/>
    <w:rsid w:val="0038482C"/>
    <w:rsid w:val="003865B4"/>
    <w:rsid w:val="0038786A"/>
    <w:rsid w:val="003906FF"/>
    <w:rsid w:val="00391C40"/>
    <w:rsid w:val="00392A24"/>
    <w:rsid w:val="00395A69"/>
    <w:rsid w:val="003A0115"/>
    <w:rsid w:val="003A05DB"/>
    <w:rsid w:val="003A5169"/>
    <w:rsid w:val="003A6BFD"/>
    <w:rsid w:val="003A7913"/>
    <w:rsid w:val="003B174B"/>
    <w:rsid w:val="003B3EBE"/>
    <w:rsid w:val="003B56EF"/>
    <w:rsid w:val="003B704C"/>
    <w:rsid w:val="003B7AF2"/>
    <w:rsid w:val="003C0E63"/>
    <w:rsid w:val="003C5308"/>
    <w:rsid w:val="003C5E70"/>
    <w:rsid w:val="003D0577"/>
    <w:rsid w:val="003D539F"/>
    <w:rsid w:val="003E0281"/>
    <w:rsid w:val="003E2598"/>
    <w:rsid w:val="003E278E"/>
    <w:rsid w:val="003E4F0F"/>
    <w:rsid w:val="003E6A4E"/>
    <w:rsid w:val="003E706D"/>
    <w:rsid w:val="003F16EE"/>
    <w:rsid w:val="003F79D7"/>
    <w:rsid w:val="00400823"/>
    <w:rsid w:val="004022B2"/>
    <w:rsid w:val="004030E4"/>
    <w:rsid w:val="0040458E"/>
    <w:rsid w:val="0040745F"/>
    <w:rsid w:val="0040791A"/>
    <w:rsid w:val="004116AD"/>
    <w:rsid w:val="00412ADA"/>
    <w:rsid w:val="00414082"/>
    <w:rsid w:val="004159EC"/>
    <w:rsid w:val="00416A47"/>
    <w:rsid w:val="00417F98"/>
    <w:rsid w:val="004203B0"/>
    <w:rsid w:val="0042139C"/>
    <w:rsid w:val="00425B8B"/>
    <w:rsid w:val="0043151F"/>
    <w:rsid w:val="00432CC7"/>
    <w:rsid w:val="0043592E"/>
    <w:rsid w:val="0043665D"/>
    <w:rsid w:val="004419A3"/>
    <w:rsid w:val="004468D3"/>
    <w:rsid w:val="0045063D"/>
    <w:rsid w:val="0045214E"/>
    <w:rsid w:val="00453558"/>
    <w:rsid w:val="00453567"/>
    <w:rsid w:val="00463759"/>
    <w:rsid w:val="00464863"/>
    <w:rsid w:val="00467152"/>
    <w:rsid w:val="004701A6"/>
    <w:rsid w:val="00470717"/>
    <w:rsid w:val="00470D56"/>
    <w:rsid w:val="004730D6"/>
    <w:rsid w:val="004748DB"/>
    <w:rsid w:val="00482F22"/>
    <w:rsid w:val="00483179"/>
    <w:rsid w:val="004837F0"/>
    <w:rsid w:val="00485C76"/>
    <w:rsid w:val="0049149E"/>
    <w:rsid w:val="004917DF"/>
    <w:rsid w:val="00496984"/>
    <w:rsid w:val="004A13FB"/>
    <w:rsid w:val="004A35B4"/>
    <w:rsid w:val="004A48D0"/>
    <w:rsid w:val="004A4BCC"/>
    <w:rsid w:val="004A6AB3"/>
    <w:rsid w:val="004A74CB"/>
    <w:rsid w:val="004B046E"/>
    <w:rsid w:val="004B546E"/>
    <w:rsid w:val="004B6B2A"/>
    <w:rsid w:val="004B707D"/>
    <w:rsid w:val="004C166C"/>
    <w:rsid w:val="004C3A46"/>
    <w:rsid w:val="004C472C"/>
    <w:rsid w:val="004C65E1"/>
    <w:rsid w:val="004D1C8A"/>
    <w:rsid w:val="004D1DDA"/>
    <w:rsid w:val="004E0210"/>
    <w:rsid w:val="004E0514"/>
    <w:rsid w:val="004E3895"/>
    <w:rsid w:val="004E391E"/>
    <w:rsid w:val="004E6BE9"/>
    <w:rsid w:val="004E79B5"/>
    <w:rsid w:val="004F2639"/>
    <w:rsid w:val="004F55A9"/>
    <w:rsid w:val="00500405"/>
    <w:rsid w:val="0050162B"/>
    <w:rsid w:val="005018D3"/>
    <w:rsid w:val="00501C49"/>
    <w:rsid w:val="00501DB2"/>
    <w:rsid w:val="005039A3"/>
    <w:rsid w:val="00504B65"/>
    <w:rsid w:val="005057F3"/>
    <w:rsid w:val="00511392"/>
    <w:rsid w:val="00512C1A"/>
    <w:rsid w:val="00513089"/>
    <w:rsid w:val="00513AE3"/>
    <w:rsid w:val="005168A3"/>
    <w:rsid w:val="00522203"/>
    <w:rsid w:val="00524A18"/>
    <w:rsid w:val="005250D7"/>
    <w:rsid w:val="005278E8"/>
    <w:rsid w:val="00530F08"/>
    <w:rsid w:val="0053371E"/>
    <w:rsid w:val="00536589"/>
    <w:rsid w:val="00536759"/>
    <w:rsid w:val="00540D1D"/>
    <w:rsid w:val="005432EA"/>
    <w:rsid w:val="00544A57"/>
    <w:rsid w:val="00563238"/>
    <w:rsid w:val="0057047E"/>
    <w:rsid w:val="005704EF"/>
    <w:rsid w:val="00570D5E"/>
    <w:rsid w:val="00572CB6"/>
    <w:rsid w:val="00573736"/>
    <w:rsid w:val="00573A81"/>
    <w:rsid w:val="00574BD1"/>
    <w:rsid w:val="00575E5D"/>
    <w:rsid w:val="00580142"/>
    <w:rsid w:val="00581DDA"/>
    <w:rsid w:val="00581FC2"/>
    <w:rsid w:val="00591874"/>
    <w:rsid w:val="00591D9D"/>
    <w:rsid w:val="005925DA"/>
    <w:rsid w:val="00593E81"/>
    <w:rsid w:val="005959E8"/>
    <w:rsid w:val="005965AB"/>
    <w:rsid w:val="00597EC7"/>
    <w:rsid w:val="005A3DE6"/>
    <w:rsid w:val="005A46B8"/>
    <w:rsid w:val="005A5A3B"/>
    <w:rsid w:val="005A5D99"/>
    <w:rsid w:val="005B029D"/>
    <w:rsid w:val="005B24B6"/>
    <w:rsid w:val="005B3CFF"/>
    <w:rsid w:val="005B3FA2"/>
    <w:rsid w:val="005B4658"/>
    <w:rsid w:val="005B7409"/>
    <w:rsid w:val="005B7861"/>
    <w:rsid w:val="005C24F2"/>
    <w:rsid w:val="005C2BA7"/>
    <w:rsid w:val="005C4B7B"/>
    <w:rsid w:val="005C6D05"/>
    <w:rsid w:val="005D077F"/>
    <w:rsid w:val="005D1622"/>
    <w:rsid w:val="005D1B5D"/>
    <w:rsid w:val="005D5908"/>
    <w:rsid w:val="005D6D2C"/>
    <w:rsid w:val="005E072F"/>
    <w:rsid w:val="005E1DF0"/>
    <w:rsid w:val="005E34E4"/>
    <w:rsid w:val="005E4C77"/>
    <w:rsid w:val="005E7F92"/>
    <w:rsid w:val="005F1CEC"/>
    <w:rsid w:val="005F4D5A"/>
    <w:rsid w:val="005F616D"/>
    <w:rsid w:val="00600E57"/>
    <w:rsid w:val="00604CA7"/>
    <w:rsid w:val="006052B2"/>
    <w:rsid w:val="00605D49"/>
    <w:rsid w:val="00611F30"/>
    <w:rsid w:val="0061446C"/>
    <w:rsid w:val="00617408"/>
    <w:rsid w:val="00620ACA"/>
    <w:rsid w:val="00621C99"/>
    <w:rsid w:val="00622083"/>
    <w:rsid w:val="00625523"/>
    <w:rsid w:val="00626522"/>
    <w:rsid w:val="00632AD7"/>
    <w:rsid w:val="00635F19"/>
    <w:rsid w:val="00637B67"/>
    <w:rsid w:val="006476D4"/>
    <w:rsid w:val="00650A5C"/>
    <w:rsid w:val="00652CFA"/>
    <w:rsid w:val="006530C6"/>
    <w:rsid w:val="00655C15"/>
    <w:rsid w:val="00656A38"/>
    <w:rsid w:val="0066233B"/>
    <w:rsid w:val="00662EF2"/>
    <w:rsid w:val="0066431C"/>
    <w:rsid w:val="00666C92"/>
    <w:rsid w:val="0067073D"/>
    <w:rsid w:val="00672DE7"/>
    <w:rsid w:val="00673E6E"/>
    <w:rsid w:val="00681DD9"/>
    <w:rsid w:val="006824CA"/>
    <w:rsid w:val="006876EE"/>
    <w:rsid w:val="006877FF"/>
    <w:rsid w:val="00690896"/>
    <w:rsid w:val="00692074"/>
    <w:rsid w:val="00693C1D"/>
    <w:rsid w:val="006952D3"/>
    <w:rsid w:val="006A138B"/>
    <w:rsid w:val="006A223B"/>
    <w:rsid w:val="006A565F"/>
    <w:rsid w:val="006A639F"/>
    <w:rsid w:val="006B187F"/>
    <w:rsid w:val="006B2061"/>
    <w:rsid w:val="006B6C50"/>
    <w:rsid w:val="006C1789"/>
    <w:rsid w:val="006C2253"/>
    <w:rsid w:val="006C4466"/>
    <w:rsid w:val="006C613A"/>
    <w:rsid w:val="006C6261"/>
    <w:rsid w:val="006C7EE7"/>
    <w:rsid w:val="006D1FB1"/>
    <w:rsid w:val="006D26EE"/>
    <w:rsid w:val="006D3D69"/>
    <w:rsid w:val="006D42FC"/>
    <w:rsid w:val="006D4C2C"/>
    <w:rsid w:val="006D5661"/>
    <w:rsid w:val="006E142E"/>
    <w:rsid w:val="006E6429"/>
    <w:rsid w:val="006E7A3F"/>
    <w:rsid w:val="006F2196"/>
    <w:rsid w:val="006F5C89"/>
    <w:rsid w:val="006F6A49"/>
    <w:rsid w:val="00700730"/>
    <w:rsid w:val="00706348"/>
    <w:rsid w:val="00710708"/>
    <w:rsid w:val="007156B4"/>
    <w:rsid w:val="00721AF3"/>
    <w:rsid w:val="007228F4"/>
    <w:rsid w:val="0072664E"/>
    <w:rsid w:val="007327F1"/>
    <w:rsid w:val="00734BE9"/>
    <w:rsid w:val="00735849"/>
    <w:rsid w:val="00736C50"/>
    <w:rsid w:val="007400F1"/>
    <w:rsid w:val="00740969"/>
    <w:rsid w:val="00743F32"/>
    <w:rsid w:val="00747162"/>
    <w:rsid w:val="007530BF"/>
    <w:rsid w:val="00753E07"/>
    <w:rsid w:val="00754526"/>
    <w:rsid w:val="00755B57"/>
    <w:rsid w:val="00756837"/>
    <w:rsid w:val="00756884"/>
    <w:rsid w:val="00762747"/>
    <w:rsid w:val="00763216"/>
    <w:rsid w:val="0076376C"/>
    <w:rsid w:val="00764052"/>
    <w:rsid w:val="00774AE3"/>
    <w:rsid w:val="0077583F"/>
    <w:rsid w:val="00777D87"/>
    <w:rsid w:val="007821DE"/>
    <w:rsid w:val="007840F3"/>
    <w:rsid w:val="0078669F"/>
    <w:rsid w:val="0078702F"/>
    <w:rsid w:val="00787C79"/>
    <w:rsid w:val="00794888"/>
    <w:rsid w:val="00794D52"/>
    <w:rsid w:val="00797AED"/>
    <w:rsid w:val="007A0268"/>
    <w:rsid w:val="007A3A6E"/>
    <w:rsid w:val="007A5DF9"/>
    <w:rsid w:val="007A68ED"/>
    <w:rsid w:val="007B074A"/>
    <w:rsid w:val="007B1D1A"/>
    <w:rsid w:val="007B497A"/>
    <w:rsid w:val="007B6E83"/>
    <w:rsid w:val="007C4371"/>
    <w:rsid w:val="007C5BFF"/>
    <w:rsid w:val="007D06D9"/>
    <w:rsid w:val="007D1757"/>
    <w:rsid w:val="007D53B4"/>
    <w:rsid w:val="007E2765"/>
    <w:rsid w:val="007E51D8"/>
    <w:rsid w:val="007E5F78"/>
    <w:rsid w:val="007F035D"/>
    <w:rsid w:val="007F1049"/>
    <w:rsid w:val="007F6180"/>
    <w:rsid w:val="008034F4"/>
    <w:rsid w:val="00810906"/>
    <w:rsid w:val="00811251"/>
    <w:rsid w:val="00812EE6"/>
    <w:rsid w:val="008142B9"/>
    <w:rsid w:val="00817D6A"/>
    <w:rsid w:val="00821D76"/>
    <w:rsid w:val="00821F7B"/>
    <w:rsid w:val="008308D7"/>
    <w:rsid w:val="0083371C"/>
    <w:rsid w:val="00840063"/>
    <w:rsid w:val="00840C94"/>
    <w:rsid w:val="0084312A"/>
    <w:rsid w:val="00846218"/>
    <w:rsid w:val="008462B8"/>
    <w:rsid w:val="00851B79"/>
    <w:rsid w:val="0085561B"/>
    <w:rsid w:val="00860D05"/>
    <w:rsid w:val="00861999"/>
    <w:rsid w:val="00866C12"/>
    <w:rsid w:val="0087131D"/>
    <w:rsid w:val="0087183A"/>
    <w:rsid w:val="00873857"/>
    <w:rsid w:val="00874FD9"/>
    <w:rsid w:val="00876C4D"/>
    <w:rsid w:val="008813BD"/>
    <w:rsid w:val="00883037"/>
    <w:rsid w:val="00883303"/>
    <w:rsid w:val="00883BD8"/>
    <w:rsid w:val="008850FC"/>
    <w:rsid w:val="00890A5E"/>
    <w:rsid w:val="00892AEE"/>
    <w:rsid w:val="0089370A"/>
    <w:rsid w:val="0089488B"/>
    <w:rsid w:val="008965DC"/>
    <w:rsid w:val="00896840"/>
    <w:rsid w:val="00897E29"/>
    <w:rsid w:val="008A0C19"/>
    <w:rsid w:val="008A0D07"/>
    <w:rsid w:val="008A3198"/>
    <w:rsid w:val="008A3E77"/>
    <w:rsid w:val="008A645D"/>
    <w:rsid w:val="008B07F3"/>
    <w:rsid w:val="008B083D"/>
    <w:rsid w:val="008B2839"/>
    <w:rsid w:val="008B6017"/>
    <w:rsid w:val="008C037F"/>
    <w:rsid w:val="008C2A46"/>
    <w:rsid w:val="008C4AD4"/>
    <w:rsid w:val="008C648B"/>
    <w:rsid w:val="008C6CA1"/>
    <w:rsid w:val="008C752F"/>
    <w:rsid w:val="008C77C1"/>
    <w:rsid w:val="008D2569"/>
    <w:rsid w:val="008D3247"/>
    <w:rsid w:val="008D62AC"/>
    <w:rsid w:val="008D6614"/>
    <w:rsid w:val="008E24F4"/>
    <w:rsid w:val="008E4B4A"/>
    <w:rsid w:val="008E556C"/>
    <w:rsid w:val="008E6D65"/>
    <w:rsid w:val="008F0686"/>
    <w:rsid w:val="00900AAF"/>
    <w:rsid w:val="00902B06"/>
    <w:rsid w:val="00902B20"/>
    <w:rsid w:val="009054F3"/>
    <w:rsid w:val="00905DA6"/>
    <w:rsid w:val="0090604F"/>
    <w:rsid w:val="00906053"/>
    <w:rsid w:val="009069F8"/>
    <w:rsid w:val="00910425"/>
    <w:rsid w:val="00913012"/>
    <w:rsid w:val="00913C9B"/>
    <w:rsid w:val="00921D60"/>
    <w:rsid w:val="00922127"/>
    <w:rsid w:val="009230D4"/>
    <w:rsid w:val="00923667"/>
    <w:rsid w:val="00925397"/>
    <w:rsid w:val="00931BB4"/>
    <w:rsid w:val="0093293A"/>
    <w:rsid w:val="00935A85"/>
    <w:rsid w:val="0094138B"/>
    <w:rsid w:val="009420F1"/>
    <w:rsid w:val="00942E8A"/>
    <w:rsid w:val="00943D04"/>
    <w:rsid w:val="00951B5B"/>
    <w:rsid w:val="00952FF6"/>
    <w:rsid w:val="009566F2"/>
    <w:rsid w:val="00960B47"/>
    <w:rsid w:val="00961597"/>
    <w:rsid w:val="00964C0A"/>
    <w:rsid w:val="00965258"/>
    <w:rsid w:val="00966D39"/>
    <w:rsid w:val="00970B6F"/>
    <w:rsid w:val="009724B9"/>
    <w:rsid w:val="00974BEE"/>
    <w:rsid w:val="00982012"/>
    <w:rsid w:val="00982E79"/>
    <w:rsid w:val="0098619B"/>
    <w:rsid w:val="00986AA1"/>
    <w:rsid w:val="009A0E24"/>
    <w:rsid w:val="009A3202"/>
    <w:rsid w:val="009A370A"/>
    <w:rsid w:val="009A37C2"/>
    <w:rsid w:val="009A492B"/>
    <w:rsid w:val="009A563A"/>
    <w:rsid w:val="009A5814"/>
    <w:rsid w:val="009A5FFF"/>
    <w:rsid w:val="009B21C9"/>
    <w:rsid w:val="009B303F"/>
    <w:rsid w:val="009B406D"/>
    <w:rsid w:val="009B64CB"/>
    <w:rsid w:val="009B75CF"/>
    <w:rsid w:val="009C2F8B"/>
    <w:rsid w:val="009C5879"/>
    <w:rsid w:val="009C5CF2"/>
    <w:rsid w:val="009C5E13"/>
    <w:rsid w:val="009E08EF"/>
    <w:rsid w:val="009E09FC"/>
    <w:rsid w:val="009F0E26"/>
    <w:rsid w:val="009F495F"/>
    <w:rsid w:val="009F62EF"/>
    <w:rsid w:val="009F6871"/>
    <w:rsid w:val="009F7FD5"/>
    <w:rsid w:val="00A02EE8"/>
    <w:rsid w:val="00A03129"/>
    <w:rsid w:val="00A04A8D"/>
    <w:rsid w:val="00A11822"/>
    <w:rsid w:val="00A13694"/>
    <w:rsid w:val="00A14606"/>
    <w:rsid w:val="00A16C98"/>
    <w:rsid w:val="00A20118"/>
    <w:rsid w:val="00A22119"/>
    <w:rsid w:val="00A24AA0"/>
    <w:rsid w:val="00A27AF0"/>
    <w:rsid w:val="00A34C68"/>
    <w:rsid w:val="00A34D10"/>
    <w:rsid w:val="00A41120"/>
    <w:rsid w:val="00A42963"/>
    <w:rsid w:val="00A42EC2"/>
    <w:rsid w:val="00A477DC"/>
    <w:rsid w:val="00A542C8"/>
    <w:rsid w:val="00A564D8"/>
    <w:rsid w:val="00A6570C"/>
    <w:rsid w:val="00A70FF7"/>
    <w:rsid w:val="00A71C40"/>
    <w:rsid w:val="00A71CE8"/>
    <w:rsid w:val="00A72A94"/>
    <w:rsid w:val="00A72EC4"/>
    <w:rsid w:val="00A82136"/>
    <w:rsid w:val="00A82D19"/>
    <w:rsid w:val="00A83AA5"/>
    <w:rsid w:val="00A84334"/>
    <w:rsid w:val="00A8623D"/>
    <w:rsid w:val="00A87B0A"/>
    <w:rsid w:val="00A919B8"/>
    <w:rsid w:val="00A95382"/>
    <w:rsid w:val="00A9675D"/>
    <w:rsid w:val="00AA04E2"/>
    <w:rsid w:val="00AA28EE"/>
    <w:rsid w:val="00AA4D01"/>
    <w:rsid w:val="00AA4D1B"/>
    <w:rsid w:val="00AB00DC"/>
    <w:rsid w:val="00AB106D"/>
    <w:rsid w:val="00AB11A5"/>
    <w:rsid w:val="00AB13AD"/>
    <w:rsid w:val="00AB2D4C"/>
    <w:rsid w:val="00AC0BE8"/>
    <w:rsid w:val="00AC2080"/>
    <w:rsid w:val="00AC3729"/>
    <w:rsid w:val="00AC3AEE"/>
    <w:rsid w:val="00AC3E2B"/>
    <w:rsid w:val="00AC7695"/>
    <w:rsid w:val="00AD5B3D"/>
    <w:rsid w:val="00AE1271"/>
    <w:rsid w:val="00AE230A"/>
    <w:rsid w:val="00AE3888"/>
    <w:rsid w:val="00AE64B0"/>
    <w:rsid w:val="00AF1204"/>
    <w:rsid w:val="00AF12FE"/>
    <w:rsid w:val="00B01874"/>
    <w:rsid w:val="00B018DC"/>
    <w:rsid w:val="00B01BD4"/>
    <w:rsid w:val="00B01C7A"/>
    <w:rsid w:val="00B03C58"/>
    <w:rsid w:val="00B04945"/>
    <w:rsid w:val="00B04F88"/>
    <w:rsid w:val="00B109FC"/>
    <w:rsid w:val="00B13632"/>
    <w:rsid w:val="00B201F3"/>
    <w:rsid w:val="00B2175B"/>
    <w:rsid w:val="00B24963"/>
    <w:rsid w:val="00B31372"/>
    <w:rsid w:val="00B32E2C"/>
    <w:rsid w:val="00B34B8C"/>
    <w:rsid w:val="00B36A47"/>
    <w:rsid w:val="00B36ED4"/>
    <w:rsid w:val="00B40E9C"/>
    <w:rsid w:val="00B42C21"/>
    <w:rsid w:val="00B44CD1"/>
    <w:rsid w:val="00B451E1"/>
    <w:rsid w:val="00B47474"/>
    <w:rsid w:val="00B476A8"/>
    <w:rsid w:val="00B60223"/>
    <w:rsid w:val="00B65046"/>
    <w:rsid w:val="00B656D2"/>
    <w:rsid w:val="00B66B8F"/>
    <w:rsid w:val="00B708BE"/>
    <w:rsid w:val="00B766A8"/>
    <w:rsid w:val="00B80A95"/>
    <w:rsid w:val="00B83007"/>
    <w:rsid w:val="00B93685"/>
    <w:rsid w:val="00B938FB"/>
    <w:rsid w:val="00B93A50"/>
    <w:rsid w:val="00B97080"/>
    <w:rsid w:val="00BA0176"/>
    <w:rsid w:val="00BA189F"/>
    <w:rsid w:val="00BA4F60"/>
    <w:rsid w:val="00BB0933"/>
    <w:rsid w:val="00BB09EC"/>
    <w:rsid w:val="00BB1CD7"/>
    <w:rsid w:val="00BB487D"/>
    <w:rsid w:val="00BB4BD8"/>
    <w:rsid w:val="00BC19E7"/>
    <w:rsid w:val="00BC20B4"/>
    <w:rsid w:val="00BC3E5B"/>
    <w:rsid w:val="00BC49F9"/>
    <w:rsid w:val="00BC51FC"/>
    <w:rsid w:val="00BC7807"/>
    <w:rsid w:val="00BE128B"/>
    <w:rsid w:val="00BE36F9"/>
    <w:rsid w:val="00BE3EFC"/>
    <w:rsid w:val="00BE4395"/>
    <w:rsid w:val="00BE5C1C"/>
    <w:rsid w:val="00BE5DF3"/>
    <w:rsid w:val="00BF0E4F"/>
    <w:rsid w:val="00BF1DB8"/>
    <w:rsid w:val="00BF4687"/>
    <w:rsid w:val="00C0001A"/>
    <w:rsid w:val="00C01891"/>
    <w:rsid w:val="00C06BCA"/>
    <w:rsid w:val="00C06FAF"/>
    <w:rsid w:val="00C104EC"/>
    <w:rsid w:val="00C11E7C"/>
    <w:rsid w:val="00C12EB3"/>
    <w:rsid w:val="00C17EF8"/>
    <w:rsid w:val="00C20BDF"/>
    <w:rsid w:val="00C2169C"/>
    <w:rsid w:val="00C21744"/>
    <w:rsid w:val="00C24593"/>
    <w:rsid w:val="00C245D1"/>
    <w:rsid w:val="00C2609E"/>
    <w:rsid w:val="00C44EBB"/>
    <w:rsid w:val="00C4745F"/>
    <w:rsid w:val="00C476BA"/>
    <w:rsid w:val="00C513C7"/>
    <w:rsid w:val="00C66A09"/>
    <w:rsid w:val="00C71ACC"/>
    <w:rsid w:val="00C72BAD"/>
    <w:rsid w:val="00C758ED"/>
    <w:rsid w:val="00C76C1D"/>
    <w:rsid w:val="00C80A8C"/>
    <w:rsid w:val="00C82DE2"/>
    <w:rsid w:val="00C8519E"/>
    <w:rsid w:val="00C860E3"/>
    <w:rsid w:val="00C9078C"/>
    <w:rsid w:val="00C94377"/>
    <w:rsid w:val="00C961FB"/>
    <w:rsid w:val="00C977A1"/>
    <w:rsid w:val="00C9792B"/>
    <w:rsid w:val="00C97A06"/>
    <w:rsid w:val="00CA00D5"/>
    <w:rsid w:val="00CA2A58"/>
    <w:rsid w:val="00CB0734"/>
    <w:rsid w:val="00CB1826"/>
    <w:rsid w:val="00CB41BA"/>
    <w:rsid w:val="00CB6DE3"/>
    <w:rsid w:val="00CB7522"/>
    <w:rsid w:val="00CC013D"/>
    <w:rsid w:val="00CC0451"/>
    <w:rsid w:val="00CC16A0"/>
    <w:rsid w:val="00CC269B"/>
    <w:rsid w:val="00CC373A"/>
    <w:rsid w:val="00CC54E9"/>
    <w:rsid w:val="00CC6111"/>
    <w:rsid w:val="00CD3E7E"/>
    <w:rsid w:val="00CE25EF"/>
    <w:rsid w:val="00CE4D09"/>
    <w:rsid w:val="00CE5683"/>
    <w:rsid w:val="00CE5CE7"/>
    <w:rsid w:val="00CE61F5"/>
    <w:rsid w:val="00CF1FBF"/>
    <w:rsid w:val="00CF46DD"/>
    <w:rsid w:val="00CF51A5"/>
    <w:rsid w:val="00CF6962"/>
    <w:rsid w:val="00CF6FC1"/>
    <w:rsid w:val="00CF75FE"/>
    <w:rsid w:val="00D01DA5"/>
    <w:rsid w:val="00D03DB9"/>
    <w:rsid w:val="00D058E3"/>
    <w:rsid w:val="00D061CE"/>
    <w:rsid w:val="00D152C8"/>
    <w:rsid w:val="00D161BC"/>
    <w:rsid w:val="00D163E1"/>
    <w:rsid w:val="00D2230B"/>
    <w:rsid w:val="00D224FE"/>
    <w:rsid w:val="00D22F87"/>
    <w:rsid w:val="00D24FAE"/>
    <w:rsid w:val="00D256E9"/>
    <w:rsid w:val="00D27526"/>
    <w:rsid w:val="00D32A77"/>
    <w:rsid w:val="00D32EB3"/>
    <w:rsid w:val="00D3492E"/>
    <w:rsid w:val="00D37553"/>
    <w:rsid w:val="00D422AD"/>
    <w:rsid w:val="00D50976"/>
    <w:rsid w:val="00D509AF"/>
    <w:rsid w:val="00D53F17"/>
    <w:rsid w:val="00D55446"/>
    <w:rsid w:val="00D6275F"/>
    <w:rsid w:val="00D6586F"/>
    <w:rsid w:val="00D66BF9"/>
    <w:rsid w:val="00D67EA7"/>
    <w:rsid w:val="00D75F22"/>
    <w:rsid w:val="00D77332"/>
    <w:rsid w:val="00D82A08"/>
    <w:rsid w:val="00D87382"/>
    <w:rsid w:val="00D92D8D"/>
    <w:rsid w:val="00D9387B"/>
    <w:rsid w:val="00D94896"/>
    <w:rsid w:val="00D96340"/>
    <w:rsid w:val="00DA0D1F"/>
    <w:rsid w:val="00DA3855"/>
    <w:rsid w:val="00DA54CA"/>
    <w:rsid w:val="00DA5D55"/>
    <w:rsid w:val="00DB095C"/>
    <w:rsid w:val="00DB26FE"/>
    <w:rsid w:val="00DD24EE"/>
    <w:rsid w:val="00DD3559"/>
    <w:rsid w:val="00DD3FB4"/>
    <w:rsid w:val="00DD7C19"/>
    <w:rsid w:val="00DE0EBF"/>
    <w:rsid w:val="00DE0F2D"/>
    <w:rsid w:val="00DE20D0"/>
    <w:rsid w:val="00DE2FED"/>
    <w:rsid w:val="00DE60EA"/>
    <w:rsid w:val="00DE6FD8"/>
    <w:rsid w:val="00DF2459"/>
    <w:rsid w:val="00DF3837"/>
    <w:rsid w:val="00DF3A9D"/>
    <w:rsid w:val="00DF5425"/>
    <w:rsid w:val="00E02D0F"/>
    <w:rsid w:val="00E06113"/>
    <w:rsid w:val="00E13169"/>
    <w:rsid w:val="00E1321B"/>
    <w:rsid w:val="00E141E2"/>
    <w:rsid w:val="00E14B06"/>
    <w:rsid w:val="00E238F8"/>
    <w:rsid w:val="00E259A8"/>
    <w:rsid w:val="00E25A96"/>
    <w:rsid w:val="00E2684E"/>
    <w:rsid w:val="00E26973"/>
    <w:rsid w:val="00E27013"/>
    <w:rsid w:val="00E27A6E"/>
    <w:rsid w:val="00E27F2C"/>
    <w:rsid w:val="00E33638"/>
    <w:rsid w:val="00E35EE1"/>
    <w:rsid w:val="00E40E83"/>
    <w:rsid w:val="00E42D40"/>
    <w:rsid w:val="00E42EF1"/>
    <w:rsid w:val="00E43B84"/>
    <w:rsid w:val="00E45E15"/>
    <w:rsid w:val="00E4688C"/>
    <w:rsid w:val="00E46E60"/>
    <w:rsid w:val="00E5102C"/>
    <w:rsid w:val="00E52D8D"/>
    <w:rsid w:val="00E53DC7"/>
    <w:rsid w:val="00E643F2"/>
    <w:rsid w:val="00E70CF0"/>
    <w:rsid w:val="00E72EF2"/>
    <w:rsid w:val="00E7377E"/>
    <w:rsid w:val="00E74AB9"/>
    <w:rsid w:val="00E756FB"/>
    <w:rsid w:val="00E75E59"/>
    <w:rsid w:val="00E84B21"/>
    <w:rsid w:val="00E84C24"/>
    <w:rsid w:val="00E8714E"/>
    <w:rsid w:val="00E87A3A"/>
    <w:rsid w:val="00E94073"/>
    <w:rsid w:val="00E9420A"/>
    <w:rsid w:val="00EA32A5"/>
    <w:rsid w:val="00EA449C"/>
    <w:rsid w:val="00EA6AB5"/>
    <w:rsid w:val="00EB07C0"/>
    <w:rsid w:val="00EB0CE8"/>
    <w:rsid w:val="00EB0FE6"/>
    <w:rsid w:val="00EB2633"/>
    <w:rsid w:val="00EB2F0C"/>
    <w:rsid w:val="00EB6FD8"/>
    <w:rsid w:val="00EC038E"/>
    <w:rsid w:val="00EC0A9A"/>
    <w:rsid w:val="00EC2D89"/>
    <w:rsid w:val="00EC73EA"/>
    <w:rsid w:val="00EC79BA"/>
    <w:rsid w:val="00ED0425"/>
    <w:rsid w:val="00ED3694"/>
    <w:rsid w:val="00ED3B2E"/>
    <w:rsid w:val="00ED509E"/>
    <w:rsid w:val="00ED5918"/>
    <w:rsid w:val="00ED627A"/>
    <w:rsid w:val="00ED7D1F"/>
    <w:rsid w:val="00EE094F"/>
    <w:rsid w:val="00EE2F83"/>
    <w:rsid w:val="00EE3CBF"/>
    <w:rsid w:val="00EE41F2"/>
    <w:rsid w:val="00EE4765"/>
    <w:rsid w:val="00EE5309"/>
    <w:rsid w:val="00EE7A7C"/>
    <w:rsid w:val="00F0282F"/>
    <w:rsid w:val="00F03097"/>
    <w:rsid w:val="00F032AF"/>
    <w:rsid w:val="00F03609"/>
    <w:rsid w:val="00F06618"/>
    <w:rsid w:val="00F071FF"/>
    <w:rsid w:val="00F10320"/>
    <w:rsid w:val="00F1108E"/>
    <w:rsid w:val="00F13049"/>
    <w:rsid w:val="00F228FA"/>
    <w:rsid w:val="00F248A2"/>
    <w:rsid w:val="00F24C88"/>
    <w:rsid w:val="00F257E3"/>
    <w:rsid w:val="00F303B4"/>
    <w:rsid w:val="00F32BD3"/>
    <w:rsid w:val="00F33D30"/>
    <w:rsid w:val="00F46AF8"/>
    <w:rsid w:val="00F5057F"/>
    <w:rsid w:val="00F50D41"/>
    <w:rsid w:val="00F524B4"/>
    <w:rsid w:val="00F53E70"/>
    <w:rsid w:val="00F54832"/>
    <w:rsid w:val="00F56E6A"/>
    <w:rsid w:val="00F6024D"/>
    <w:rsid w:val="00F62D76"/>
    <w:rsid w:val="00F66379"/>
    <w:rsid w:val="00F66929"/>
    <w:rsid w:val="00F73616"/>
    <w:rsid w:val="00F76578"/>
    <w:rsid w:val="00F773F4"/>
    <w:rsid w:val="00F77D70"/>
    <w:rsid w:val="00F77E0F"/>
    <w:rsid w:val="00F82B5D"/>
    <w:rsid w:val="00F831D1"/>
    <w:rsid w:val="00F858A4"/>
    <w:rsid w:val="00F85BD0"/>
    <w:rsid w:val="00F929D6"/>
    <w:rsid w:val="00F954A9"/>
    <w:rsid w:val="00FA11EB"/>
    <w:rsid w:val="00FA1DD9"/>
    <w:rsid w:val="00FA5684"/>
    <w:rsid w:val="00FB05DB"/>
    <w:rsid w:val="00FB339A"/>
    <w:rsid w:val="00FB4CE0"/>
    <w:rsid w:val="00FB5363"/>
    <w:rsid w:val="00FC4E0C"/>
    <w:rsid w:val="00FD21DE"/>
    <w:rsid w:val="00FD3BDA"/>
    <w:rsid w:val="00FD4299"/>
    <w:rsid w:val="00FD4C08"/>
    <w:rsid w:val="00FD552F"/>
    <w:rsid w:val="00FD5F31"/>
    <w:rsid w:val="00FD6A3A"/>
    <w:rsid w:val="00FE4307"/>
    <w:rsid w:val="00FF4127"/>
    <w:rsid w:val="00FF4D26"/>
    <w:rsid w:val="00FF56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EC9C9-125D-4956-B19D-EE39B50B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03D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Heading2">
    <w:name w:val="heading 2"/>
    <w:basedOn w:val="Normal"/>
    <w:link w:val="Heading2Char"/>
    <w:uiPriority w:val="9"/>
    <w:qFormat/>
    <w:rsid w:val="00D03DB9"/>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paragraph" w:styleId="Heading3">
    <w:name w:val="heading 3"/>
    <w:basedOn w:val="Normal"/>
    <w:next w:val="Normal"/>
    <w:link w:val="Heading3Char"/>
    <w:uiPriority w:val="9"/>
    <w:semiHidden/>
    <w:unhideWhenUsed/>
    <w:qFormat/>
    <w:rsid w:val="007D06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3AFD"/>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0F3AFD"/>
    <w:rPr>
      <w:b/>
      <w:bCs/>
    </w:rPr>
  </w:style>
  <w:style w:type="character" w:styleId="Hyperlink">
    <w:name w:val="Hyperlink"/>
    <w:basedOn w:val="DefaultParagraphFont"/>
    <w:uiPriority w:val="99"/>
    <w:unhideWhenUsed/>
    <w:rsid w:val="000F3AFD"/>
    <w:rPr>
      <w:color w:val="0000FF"/>
      <w:u w:val="single"/>
    </w:rPr>
  </w:style>
  <w:style w:type="character" w:customStyle="1" w:styleId="Heading1Char">
    <w:name w:val="Heading 1 Char"/>
    <w:basedOn w:val="DefaultParagraphFont"/>
    <w:link w:val="Heading1"/>
    <w:uiPriority w:val="9"/>
    <w:rsid w:val="00D03DB9"/>
    <w:rPr>
      <w:rFonts w:ascii="Times New Roman" w:eastAsia="Times New Roman" w:hAnsi="Times New Roman" w:cs="Times New Roman"/>
      <w:b/>
      <w:bCs/>
      <w:kern w:val="36"/>
      <w:sz w:val="48"/>
      <w:szCs w:val="48"/>
      <w:lang w:eastAsia="ro-RO"/>
    </w:rPr>
  </w:style>
  <w:style w:type="character" w:customStyle="1" w:styleId="Heading2Char">
    <w:name w:val="Heading 2 Char"/>
    <w:basedOn w:val="DefaultParagraphFont"/>
    <w:link w:val="Heading2"/>
    <w:uiPriority w:val="9"/>
    <w:rsid w:val="00D03DB9"/>
    <w:rPr>
      <w:rFonts w:ascii="Times New Roman" w:eastAsia="Times New Roman" w:hAnsi="Times New Roman" w:cs="Times New Roman"/>
      <w:b/>
      <w:bCs/>
      <w:sz w:val="36"/>
      <w:szCs w:val="36"/>
      <w:lang w:eastAsia="ro-RO"/>
    </w:rPr>
  </w:style>
  <w:style w:type="table" w:styleId="TableGrid">
    <w:name w:val="Table Grid"/>
    <w:basedOn w:val="TableNormal"/>
    <w:uiPriority w:val="39"/>
    <w:rsid w:val="005F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7D06D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858A4"/>
    <w:pPr>
      <w:ind w:left="720"/>
      <w:contextualSpacing/>
    </w:pPr>
  </w:style>
  <w:style w:type="character" w:styleId="Emphasis">
    <w:name w:val="Emphasis"/>
    <w:basedOn w:val="DefaultParagraphFont"/>
    <w:uiPriority w:val="20"/>
    <w:qFormat/>
    <w:rsid w:val="007B497A"/>
    <w:rPr>
      <w:i/>
      <w:iCs/>
    </w:rPr>
  </w:style>
  <w:style w:type="character" w:styleId="FollowedHyperlink">
    <w:name w:val="FollowedHyperlink"/>
    <w:basedOn w:val="DefaultParagraphFont"/>
    <w:uiPriority w:val="99"/>
    <w:semiHidden/>
    <w:unhideWhenUsed/>
    <w:rsid w:val="00125278"/>
    <w:rPr>
      <w:color w:val="954F72" w:themeColor="followedHyperlink"/>
      <w:u w:val="single"/>
    </w:rPr>
  </w:style>
  <w:style w:type="paragraph" w:styleId="FootnoteText">
    <w:name w:val="footnote text"/>
    <w:basedOn w:val="Normal"/>
    <w:link w:val="FootnoteTextChar"/>
    <w:uiPriority w:val="99"/>
    <w:unhideWhenUsed/>
    <w:rsid w:val="001B1BE2"/>
    <w:pPr>
      <w:spacing w:after="0" w:line="240" w:lineRule="auto"/>
    </w:pPr>
    <w:rPr>
      <w:sz w:val="20"/>
      <w:szCs w:val="20"/>
    </w:rPr>
  </w:style>
  <w:style w:type="character" w:customStyle="1" w:styleId="FootnoteTextChar">
    <w:name w:val="Footnote Text Char"/>
    <w:basedOn w:val="DefaultParagraphFont"/>
    <w:link w:val="FootnoteText"/>
    <w:uiPriority w:val="99"/>
    <w:rsid w:val="001B1BE2"/>
    <w:rPr>
      <w:sz w:val="20"/>
      <w:szCs w:val="20"/>
    </w:rPr>
  </w:style>
  <w:style w:type="character" w:styleId="FootnoteReference">
    <w:name w:val="footnote reference"/>
    <w:basedOn w:val="DefaultParagraphFont"/>
    <w:uiPriority w:val="99"/>
    <w:semiHidden/>
    <w:unhideWhenUsed/>
    <w:rsid w:val="001B1BE2"/>
    <w:rPr>
      <w:vertAlign w:val="superscript"/>
    </w:rPr>
  </w:style>
  <w:style w:type="table" w:customStyle="1" w:styleId="TableGrid1">
    <w:name w:val="Table Grid1"/>
    <w:basedOn w:val="TableNormal"/>
    <w:next w:val="TableGrid"/>
    <w:uiPriority w:val="39"/>
    <w:rsid w:val="001232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97080"/>
    <w:pPr>
      <w:spacing w:after="0" w:line="360" w:lineRule="auto"/>
      <w:jc w:val="both"/>
    </w:pPr>
    <w:rPr>
      <w:rFonts w:ascii="Calibri" w:eastAsia="Times New Roman" w:hAnsi="Calibri" w:cs="Times New Roman"/>
      <w:sz w:val="24"/>
      <w:szCs w:val="24"/>
      <w:lang w:val="en-US" w:bidi="en-US"/>
    </w:rPr>
  </w:style>
  <w:style w:type="character" w:customStyle="1" w:styleId="BodyTextIndentChar">
    <w:name w:val="Body Text Indent Char"/>
    <w:basedOn w:val="DefaultParagraphFont"/>
    <w:link w:val="BodyTextIndent"/>
    <w:rsid w:val="00B97080"/>
    <w:rPr>
      <w:rFonts w:ascii="Calibri" w:eastAsia="Times New Roman" w:hAnsi="Calibri" w:cs="Times New Roman"/>
      <w:sz w:val="24"/>
      <w:szCs w:val="24"/>
      <w:lang w:val="en-US" w:bidi="en-US"/>
    </w:rPr>
  </w:style>
  <w:style w:type="paragraph" w:styleId="Header">
    <w:name w:val="header"/>
    <w:basedOn w:val="Normal"/>
    <w:link w:val="HeaderChar"/>
    <w:uiPriority w:val="99"/>
    <w:unhideWhenUsed/>
    <w:rsid w:val="0078669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669F"/>
  </w:style>
  <w:style w:type="paragraph" w:styleId="Footer">
    <w:name w:val="footer"/>
    <w:basedOn w:val="Normal"/>
    <w:link w:val="FooterChar"/>
    <w:uiPriority w:val="99"/>
    <w:unhideWhenUsed/>
    <w:rsid w:val="0078669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669F"/>
  </w:style>
  <w:style w:type="paragraph" w:styleId="BalloonText">
    <w:name w:val="Balloon Text"/>
    <w:basedOn w:val="Normal"/>
    <w:link w:val="BalloonTextChar"/>
    <w:uiPriority w:val="99"/>
    <w:semiHidden/>
    <w:unhideWhenUsed/>
    <w:rsid w:val="00A71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C40"/>
    <w:rPr>
      <w:rFonts w:ascii="Segoe UI" w:hAnsi="Segoe UI" w:cs="Segoe UI"/>
      <w:sz w:val="18"/>
      <w:szCs w:val="18"/>
    </w:rPr>
  </w:style>
  <w:style w:type="character" w:customStyle="1" w:styleId="tlid-translation">
    <w:name w:val="tlid-translation"/>
    <w:basedOn w:val="DefaultParagraphFont"/>
    <w:rsid w:val="00D37553"/>
  </w:style>
  <w:style w:type="character" w:customStyle="1" w:styleId="contribdegrees">
    <w:name w:val="contribdegrees"/>
    <w:basedOn w:val="DefaultParagraphFont"/>
    <w:rsid w:val="00604CA7"/>
  </w:style>
  <w:style w:type="character" w:customStyle="1" w:styleId="trans-target-highlight">
    <w:name w:val="trans-target-highlight"/>
    <w:basedOn w:val="DefaultParagraphFont"/>
    <w:rsid w:val="004A74CB"/>
  </w:style>
  <w:style w:type="paragraph" w:customStyle="1" w:styleId="fleft">
    <w:name w:val="f_left"/>
    <w:basedOn w:val="Normal"/>
    <w:rsid w:val="00D256E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fleft1">
    <w:name w:val="f_left1"/>
    <w:basedOn w:val="DefaultParagraphFont"/>
    <w:rsid w:val="00D25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586">
      <w:bodyDiv w:val="1"/>
      <w:marLeft w:val="0"/>
      <w:marRight w:val="0"/>
      <w:marTop w:val="0"/>
      <w:marBottom w:val="0"/>
      <w:divBdr>
        <w:top w:val="none" w:sz="0" w:space="0" w:color="auto"/>
        <w:left w:val="none" w:sz="0" w:space="0" w:color="auto"/>
        <w:bottom w:val="none" w:sz="0" w:space="0" w:color="auto"/>
        <w:right w:val="none" w:sz="0" w:space="0" w:color="auto"/>
      </w:divBdr>
    </w:div>
    <w:div w:id="45762311">
      <w:bodyDiv w:val="1"/>
      <w:marLeft w:val="0"/>
      <w:marRight w:val="0"/>
      <w:marTop w:val="0"/>
      <w:marBottom w:val="0"/>
      <w:divBdr>
        <w:top w:val="none" w:sz="0" w:space="0" w:color="auto"/>
        <w:left w:val="none" w:sz="0" w:space="0" w:color="auto"/>
        <w:bottom w:val="none" w:sz="0" w:space="0" w:color="auto"/>
        <w:right w:val="none" w:sz="0" w:space="0" w:color="auto"/>
      </w:divBdr>
    </w:div>
    <w:div w:id="110978239">
      <w:bodyDiv w:val="1"/>
      <w:marLeft w:val="0"/>
      <w:marRight w:val="0"/>
      <w:marTop w:val="0"/>
      <w:marBottom w:val="0"/>
      <w:divBdr>
        <w:top w:val="none" w:sz="0" w:space="0" w:color="auto"/>
        <w:left w:val="none" w:sz="0" w:space="0" w:color="auto"/>
        <w:bottom w:val="none" w:sz="0" w:space="0" w:color="auto"/>
        <w:right w:val="none" w:sz="0" w:space="0" w:color="auto"/>
      </w:divBdr>
    </w:div>
    <w:div w:id="145703502">
      <w:bodyDiv w:val="1"/>
      <w:marLeft w:val="0"/>
      <w:marRight w:val="0"/>
      <w:marTop w:val="0"/>
      <w:marBottom w:val="0"/>
      <w:divBdr>
        <w:top w:val="none" w:sz="0" w:space="0" w:color="auto"/>
        <w:left w:val="none" w:sz="0" w:space="0" w:color="auto"/>
        <w:bottom w:val="none" w:sz="0" w:space="0" w:color="auto"/>
        <w:right w:val="none" w:sz="0" w:space="0" w:color="auto"/>
      </w:divBdr>
    </w:div>
    <w:div w:id="191770501">
      <w:bodyDiv w:val="1"/>
      <w:marLeft w:val="0"/>
      <w:marRight w:val="0"/>
      <w:marTop w:val="0"/>
      <w:marBottom w:val="0"/>
      <w:divBdr>
        <w:top w:val="none" w:sz="0" w:space="0" w:color="auto"/>
        <w:left w:val="none" w:sz="0" w:space="0" w:color="auto"/>
        <w:bottom w:val="none" w:sz="0" w:space="0" w:color="auto"/>
        <w:right w:val="none" w:sz="0" w:space="0" w:color="auto"/>
      </w:divBdr>
      <w:divsChild>
        <w:div w:id="1561288561">
          <w:marLeft w:val="0"/>
          <w:marRight w:val="0"/>
          <w:marTop w:val="0"/>
          <w:marBottom w:val="0"/>
          <w:divBdr>
            <w:top w:val="none" w:sz="0" w:space="0" w:color="auto"/>
            <w:left w:val="none" w:sz="0" w:space="0" w:color="auto"/>
            <w:bottom w:val="none" w:sz="0" w:space="0" w:color="auto"/>
            <w:right w:val="none" w:sz="0" w:space="0" w:color="auto"/>
          </w:divBdr>
          <w:divsChild>
            <w:div w:id="14903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858">
      <w:bodyDiv w:val="1"/>
      <w:marLeft w:val="0"/>
      <w:marRight w:val="0"/>
      <w:marTop w:val="0"/>
      <w:marBottom w:val="0"/>
      <w:divBdr>
        <w:top w:val="none" w:sz="0" w:space="0" w:color="auto"/>
        <w:left w:val="none" w:sz="0" w:space="0" w:color="auto"/>
        <w:bottom w:val="none" w:sz="0" w:space="0" w:color="auto"/>
        <w:right w:val="none" w:sz="0" w:space="0" w:color="auto"/>
      </w:divBdr>
    </w:div>
    <w:div w:id="233010916">
      <w:bodyDiv w:val="1"/>
      <w:marLeft w:val="0"/>
      <w:marRight w:val="0"/>
      <w:marTop w:val="0"/>
      <w:marBottom w:val="0"/>
      <w:divBdr>
        <w:top w:val="none" w:sz="0" w:space="0" w:color="auto"/>
        <w:left w:val="none" w:sz="0" w:space="0" w:color="auto"/>
        <w:bottom w:val="none" w:sz="0" w:space="0" w:color="auto"/>
        <w:right w:val="none" w:sz="0" w:space="0" w:color="auto"/>
      </w:divBdr>
    </w:div>
    <w:div w:id="243608195">
      <w:bodyDiv w:val="1"/>
      <w:marLeft w:val="0"/>
      <w:marRight w:val="0"/>
      <w:marTop w:val="0"/>
      <w:marBottom w:val="0"/>
      <w:divBdr>
        <w:top w:val="none" w:sz="0" w:space="0" w:color="auto"/>
        <w:left w:val="none" w:sz="0" w:space="0" w:color="auto"/>
        <w:bottom w:val="none" w:sz="0" w:space="0" w:color="auto"/>
        <w:right w:val="none" w:sz="0" w:space="0" w:color="auto"/>
      </w:divBdr>
    </w:div>
    <w:div w:id="243805059">
      <w:bodyDiv w:val="1"/>
      <w:marLeft w:val="0"/>
      <w:marRight w:val="0"/>
      <w:marTop w:val="0"/>
      <w:marBottom w:val="0"/>
      <w:divBdr>
        <w:top w:val="none" w:sz="0" w:space="0" w:color="auto"/>
        <w:left w:val="none" w:sz="0" w:space="0" w:color="auto"/>
        <w:bottom w:val="none" w:sz="0" w:space="0" w:color="auto"/>
        <w:right w:val="none" w:sz="0" w:space="0" w:color="auto"/>
      </w:divBdr>
    </w:div>
    <w:div w:id="260915154">
      <w:bodyDiv w:val="1"/>
      <w:marLeft w:val="0"/>
      <w:marRight w:val="0"/>
      <w:marTop w:val="0"/>
      <w:marBottom w:val="0"/>
      <w:divBdr>
        <w:top w:val="none" w:sz="0" w:space="0" w:color="auto"/>
        <w:left w:val="none" w:sz="0" w:space="0" w:color="auto"/>
        <w:bottom w:val="none" w:sz="0" w:space="0" w:color="auto"/>
        <w:right w:val="none" w:sz="0" w:space="0" w:color="auto"/>
      </w:divBdr>
    </w:div>
    <w:div w:id="341516266">
      <w:bodyDiv w:val="1"/>
      <w:marLeft w:val="0"/>
      <w:marRight w:val="0"/>
      <w:marTop w:val="0"/>
      <w:marBottom w:val="0"/>
      <w:divBdr>
        <w:top w:val="none" w:sz="0" w:space="0" w:color="auto"/>
        <w:left w:val="none" w:sz="0" w:space="0" w:color="auto"/>
        <w:bottom w:val="none" w:sz="0" w:space="0" w:color="auto"/>
        <w:right w:val="none" w:sz="0" w:space="0" w:color="auto"/>
      </w:divBdr>
    </w:div>
    <w:div w:id="414474611">
      <w:bodyDiv w:val="1"/>
      <w:marLeft w:val="0"/>
      <w:marRight w:val="0"/>
      <w:marTop w:val="0"/>
      <w:marBottom w:val="0"/>
      <w:divBdr>
        <w:top w:val="none" w:sz="0" w:space="0" w:color="auto"/>
        <w:left w:val="none" w:sz="0" w:space="0" w:color="auto"/>
        <w:bottom w:val="none" w:sz="0" w:space="0" w:color="auto"/>
        <w:right w:val="none" w:sz="0" w:space="0" w:color="auto"/>
      </w:divBdr>
    </w:div>
    <w:div w:id="420227139">
      <w:bodyDiv w:val="1"/>
      <w:marLeft w:val="0"/>
      <w:marRight w:val="0"/>
      <w:marTop w:val="0"/>
      <w:marBottom w:val="0"/>
      <w:divBdr>
        <w:top w:val="none" w:sz="0" w:space="0" w:color="auto"/>
        <w:left w:val="none" w:sz="0" w:space="0" w:color="auto"/>
        <w:bottom w:val="none" w:sz="0" w:space="0" w:color="auto"/>
        <w:right w:val="none" w:sz="0" w:space="0" w:color="auto"/>
      </w:divBdr>
    </w:div>
    <w:div w:id="469832867">
      <w:bodyDiv w:val="1"/>
      <w:marLeft w:val="0"/>
      <w:marRight w:val="0"/>
      <w:marTop w:val="0"/>
      <w:marBottom w:val="0"/>
      <w:divBdr>
        <w:top w:val="none" w:sz="0" w:space="0" w:color="auto"/>
        <w:left w:val="none" w:sz="0" w:space="0" w:color="auto"/>
        <w:bottom w:val="none" w:sz="0" w:space="0" w:color="auto"/>
        <w:right w:val="none" w:sz="0" w:space="0" w:color="auto"/>
      </w:divBdr>
    </w:div>
    <w:div w:id="524753625">
      <w:bodyDiv w:val="1"/>
      <w:marLeft w:val="0"/>
      <w:marRight w:val="0"/>
      <w:marTop w:val="0"/>
      <w:marBottom w:val="0"/>
      <w:divBdr>
        <w:top w:val="none" w:sz="0" w:space="0" w:color="auto"/>
        <w:left w:val="none" w:sz="0" w:space="0" w:color="auto"/>
        <w:bottom w:val="none" w:sz="0" w:space="0" w:color="auto"/>
        <w:right w:val="none" w:sz="0" w:space="0" w:color="auto"/>
      </w:divBdr>
    </w:div>
    <w:div w:id="528571730">
      <w:bodyDiv w:val="1"/>
      <w:marLeft w:val="0"/>
      <w:marRight w:val="0"/>
      <w:marTop w:val="0"/>
      <w:marBottom w:val="0"/>
      <w:divBdr>
        <w:top w:val="none" w:sz="0" w:space="0" w:color="auto"/>
        <w:left w:val="none" w:sz="0" w:space="0" w:color="auto"/>
        <w:bottom w:val="none" w:sz="0" w:space="0" w:color="auto"/>
        <w:right w:val="none" w:sz="0" w:space="0" w:color="auto"/>
      </w:divBdr>
      <w:divsChild>
        <w:div w:id="1186556556">
          <w:marLeft w:val="0"/>
          <w:marRight w:val="0"/>
          <w:marTop w:val="0"/>
          <w:marBottom w:val="0"/>
          <w:divBdr>
            <w:top w:val="none" w:sz="0" w:space="0" w:color="auto"/>
            <w:left w:val="none" w:sz="0" w:space="0" w:color="auto"/>
            <w:bottom w:val="none" w:sz="0" w:space="0" w:color="auto"/>
            <w:right w:val="none" w:sz="0" w:space="0" w:color="auto"/>
          </w:divBdr>
        </w:div>
      </w:divsChild>
    </w:div>
    <w:div w:id="563106581">
      <w:bodyDiv w:val="1"/>
      <w:marLeft w:val="0"/>
      <w:marRight w:val="0"/>
      <w:marTop w:val="0"/>
      <w:marBottom w:val="0"/>
      <w:divBdr>
        <w:top w:val="none" w:sz="0" w:space="0" w:color="auto"/>
        <w:left w:val="none" w:sz="0" w:space="0" w:color="auto"/>
        <w:bottom w:val="none" w:sz="0" w:space="0" w:color="auto"/>
        <w:right w:val="none" w:sz="0" w:space="0" w:color="auto"/>
      </w:divBdr>
    </w:div>
    <w:div w:id="647904380">
      <w:bodyDiv w:val="1"/>
      <w:marLeft w:val="0"/>
      <w:marRight w:val="0"/>
      <w:marTop w:val="0"/>
      <w:marBottom w:val="0"/>
      <w:divBdr>
        <w:top w:val="none" w:sz="0" w:space="0" w:color="auto"/>
        <w:left w:val="none" w:sz="0" w:space="0" w:color="auto"/>
        <w:bottom w:val="none" w:sz="0" w:space="0" w:color="auto"/>
        <w:right w:val="none" w:sz="0" w:space="0" w:color="auto"/>
      </w:divBdr>
    </w:div>
    <w:div w:id="710810435">
      <w:bodyDiv w:val="1"/>
      <w:marLeft w:val="0"/>
      <w:marRight w:val="0"/>
      <w:marTop w:val="0"/>
      <w:marBottom w:val="0"/>
      <w:divBdr>
        <w:top w:val="none" w:sz="0" w:space="0" w:color="auto"/>
        <w:left w:val="none" w:sz="0" w:space="0" w:color="auto"/>
        <w:bottom w:val="none" w:sz="0" w:space="0" w:color="auto"/>
        <w:right w:val="none" w:sz="0" w:space="0" w:color="auto"/>
      </w:divBdr>
    </w:div>
    <w:div w:id="716709351">
      <w:bodyDiv w:val="1"/>
      <w:marLeft w:val="0"/>
      <w:marRight w:val="0"/>
      <w:marTop w:val="0"/>
      <w:marBottom w:val="0"/>
      <w:divBdr>
        <w:top w:val="none" w:sz="0" w:space="0" w:color="auto"/>
        <w:left w:val="none" w:sz="0" w:space="0" w:color="auto"/>
        <w:bottom w:val="none" w:sz="0" w:space="0" w:color="auto"/>
        <w:right w:val="none" w:sz="0" w:space="0" w:color="auto"/>
      </w:divBdr>
    </w:div>
    <w:div w:id="732629477">
      <w:bodyDiv w:val="1"/>
      <w:marLeft w:val="0"/>
      <w:marRight w:val="0"/>
      <w:marTop w:val="0"/>
      <w:marBottom w:val="0"/>
      <w:divBdr>
        <w:top w:val="none" w:sz="0" w:space="0" w:color="auto"/>
        <w:left w:val="none" w:sz="0" w:space="0" w:color="auto"/>
        <w:bottom w:val="none" w:sz="0" w:space="0" w:color="auto"/>
        <w:right w:val="none" w:sz="0" w:space="0" w:color="auto"/>
      </w:divBdr>
    </w:div>
    <w:div w:id="762458378">
      <w:bodyDiv w:val="1"/>
      <w:marLeft w:val="0"/>
      <w:marRight w:val="0"/>
      <w:marTop w:val="0"/>
      <w:marBottom w:val="0"/>
      <w:divBdr>
        <w:top w:val="none" w:sz="0" w:space="0" w:color="auto"/>
        <w:left w:val="none" w:sz="0" w:space="0" w:color="auto"/>
        <w:bottom w:val="none" w:sz="0" w:space="0" w:color="auto"/>
        <w:right w:val="none" w:sz="0" w:space="0" w:color="auto"/>
      </w:divBdr>
    </w:div>
    <w:div w:id="763653545">
      <w:bodyDiv w:val="1"/>
      <w:marLeft w:val="0"/>
      <w:marRight w:val="0"/>
      <w:marTop w:val="0"/>
      <w:marBottom w:val="0"/>
      <w:divBdr>
        <w:top w:val="none" w:sz="0" w:space="0" w:color="auto"/>
        <w:left w:val="none" w:sz="0" w:space="0" w:color="auto"/>
        <w:bottom w:val="none" w:sz="0" w:space="0" w:color="auto"/>
        <w:right w:val="none" w:sz="0" w:space="0" w:color="auto"/>
      </w:divBdr>
    </w:div>
    <w:div w:id="793913985">
      <w:bodyDiv w:val="1"/>
      <w:marLeft w:val="0"/>
      <w:marRight w:val="0"/>
      <w:marTop w:val="0"/>
      <w:marBottom w:val="0"/>
      <w:divBdr>
        <w:top w:val="none" w:sz="0" w:space="0" w:color="auto"/>
        <w:left w:val="none" w:sz="0" w:space="0" w:color="auto"/>
        <w:bottom w:val="none" w:sz="0" w:space="0" w:color="auto"/>
        <w:right w:val="none" w:sz="0" w:space="0" w:color="auto"/>
      </w:divBdr>
    </w:div>
    <w:div w:id="840849846">
      <w:bodyDiv w:val="1"/>
      <w:marLeft w:val="0"/>
      <w:marRight w:val="0"/>
      <w:marTop w:val="0"/>
      <w:marBottom w:val="0"/>
      <w:divBdr>
        <w:top w:val="none" w:sz="0" w:space="0" w:color="auto"/>
        <w:left w:val="none" w:sz="0" w:space="0" w:color="auto"/>
        <w:bottom w:val="none" w:sz="0" w:space="0" w:color="auto"/>
        <w:right w:val="none" w:sz="0" w:space="0" w:color="auto"/>
      </w:divBdr>
      <w:divsChild>
        <w:div w:id="1795715084">
          <w:marLeft w:val="0"/>
          <w:marRight w:val="0"/>
          <w:marTop w:val="0"/>
          <w:marBottom w:val="0"/>
          <w:divBdr>
            <w:top w:val="none" w:sz="0" w:space="0" w:color="auto"/>
            <w:left w:val="none" w:sz="0" w:space="0" w:color="auto"/>
            <w:bottom w:val="none" w:sz="0" w:space="0" w:color="auto"/>
            <w:right w:val="none" w:sz="0" w:space="0" w:color="auto"/>
          </w:divBdr>
        </w:div>
      </w:divsChild>
    </w:div>
    <w:div w:id="849293687">
      <w:bodyDiv w:val="1"/>
      <w:marLeft w:val="0"/>
      <w:marRight w:val="0"/>
      <w:marTop w:val="0"/>
      <w:marBottom w:val="0"/>
      <w:divBdr>
        <w:top w:val="none" w:sz="0" w:space="0" w:color="auto"/>
        <w:left w:val="none" w:sz="0" w:space="0" w:color="auto"/>
        <w:bottom w:val="none" w:sz="0" w:space="0" w:color="auto"/>
        <w:right w:val="none" w:sz="0" w:space="0" w:color="auto"/>
      </w:divBdr>
    </w:div>
    <w:div w:id="851146703">
      <w:bodyDiv w:val="1"/>
      <w:marLeft w:val="0"/>
      <w:marRight w:val="0"/>
      <w:marTop w:val="0"/>
      <w:marBottom w:val="0"/>
      <w:divBdr>
        <w:top w:val="none" w:sz="0" w:space="0" w:color="auto"/>
        <w:left w:val="none" w:sz="0" w:space="0" w:color="auto"/>
        <w:bottom w:val="none" w:sz="0" w:space="0" w:color="auto"/>
        <w:right w:val="none" w:sz="0" w:space="0" w:color="auto"/>
      </w:divBdr>
    </w:div>
    <w:div w:id="922109784">
      <w:bodyDiv w:val="1"/>
      <w:marLeft w:val="0"/>
      <w:marRight w:val="0"/>
      <w:marTop w:val="0"/>
      <w:marBottom w:val="0"/>
      <w:divBdr>
        <w:top w:val="none" w:sz="0" w:space="0" w:color="auto"/>
        <w:left w:val="none" w:sz="0" w:space="0" w:color="auto"/>
        <w:bottom w:val="none" w:sz="0" w:space="0" w:color="auto"/>
        <w:right w:val="none" w:sz="0" w:space="0" w:color="auto"/>
      </w:divBdr>
    </w:div>
    <w:div w:id="1092892018">
      <w:bodyDiv w:val="1"/>
      <w:marLeft w:val="0"/>
      <w:marRight w:val="0"/>
      <w:marTop w:val="0"/>
      <w:marBottom w:val="0"/>
      <w:divBdr>
        <w:top w:val="none" w:sz="0" w:space="0" w:color="auto"/>
        <w:left w:val="none" w:sz="0" w:space="0" w:color="auto"/>
        <w:bottom w:val="none" w:sz="0" w:space="0" w:color="auto"/>
        <w:right w:val="none" w:sz="0" w:space="0" w:color="auto"/>
      </w:divBdr>
      <w:divsChild>
        <w:div w:id="766463613">
          <w:marLeft w:val="0"/>
          <w:marRight w:val="0"/>
          <w:marTop w:val="0"/>
          <w:marBottom w:val="0"/>
          <w:divBdr>
            <w:top w:val="none" w:sz="0" w:space="0" w:color="auto"/>
            <w:left w:val="none" w:sz="0" w:space="0" w:color="auto"/>
            <w:bottom w:val="none" w:sz="0" w:space="0" w:color="auto"/>
            <w:right w:val="none" w:sz="0" w:space="0" w:color="auto"/>
          </w:divBdr>
          <w:divsChild>
            <w:div w:id="1779253874">
              <w:marLeft w:val="0"/>
              <w:marRight w:val="0"/>
              <w:marTop w:val="0"/>
              <w:marBottom w:val="0"/>
              <w:divBdr>
                <w:top w:val="none" w:sz="0" w:space="0" w:color="auto"/>
                <w:left w:val="none" w:sz="0" w:space="0" w:color="auto"/>
                <w:bottom w:val="none" w:sz="0" w:space="0" w:color="auto"/>
                <w:right w:val="none" w:sz="0" w:space="0" w:color="auto"/>
              </w:divBdr>
              <w:divsChild>
                <w:div w:id="1665695015">
                  <w:marLeft w:val="0"/>
                  <w:marRight w:val="0"/>
                  <w:marTop w:val="0"/>
                  <w:marBottom w:val="0"/>
                  <w:divBdr>
                    <w:top w:val="none" w:sz="0" w:space="0" w:color="auto"/>
                    <w:left w:val="none" w:sz="0" w:space="0" w:color="auto"/>
                    <w:bottom w:val="none" w:sz="0" w:space="0" w:color="auto"/>
                    <w:right w:val="none" w:sz="0" w:space="0" w:color="auto"/>
                  </w:divBdr>
                  <w:divsChild>
                    <w:div w:id="599143106">
                      <w:marLeft w:val="0"/>
                      <w:marRight w:val="0"/>
                      <w:marTop w:val="0"/>
                      <w:marBottom w:val="0"/>
                      <w:divBdr>
                        <w:top w:val="none" w:sz="0" w:space="0" w:color="auto"/>
                        <w:left w:val="none" w:sz="0" w:space="0" w:color="auto"/>
                        <w:bottom w:val="none" w:sz="0" w:space="0" w:color="auto"/>
                        <w:right w:val="none" w:sz="0" w:space="0" w:color="auto"/>
                      </w:divBdr>
                      <w:divsChild>
                        <w:div w:id="1764885395">
                          <w:marLeft w:val="0"/>
                          <w:marRight w:val="0"/>
                          <w:marTop w:val="0"/>
                          <w:marBottom w:val="0"/>
                          <w:divBdr>
                            <w:top w:val="none" w:sz="0" w:space="0" w:color="auto"/>
                            <w:left w:val="none" w:sz="0" w:space="0" w:color="auto"/>
                            <w:bottom w:val="none" w:sz="0" w:space="0" w:color="auto"/>
                            <w:right w:val="none" w:sz="0" w:space="0" w:color="auto"/>
                          </w:divBdr>
                          <w:divsChild>
                            <w:div w:id="354968846">
                              <w:marLeft w:val="0"/>
                              <w:marRight w:val="0"/>
                              <w:marTop w:val="0"/>
                              <w:marBottom w:val="0"/>
                              <w:divBdr>
                                <w:top w:val="none" w:sz="0" w:space="0" w:color="auto"/>
                                <w:left w:val="none" w:sz="0" w:space="0" w:color="auto"/>
                                <w:bottom w:val="none" w:sz="0" w:space="0" w:color="auto"/>
                                <w:right w:val="none" w:sz="0" w:space="0" w:color="auto"/>
                              </w:divBdr>
                              <w:divsChild>
                                <w:div w:id="954866971">
                                  <w:marLeft w:val="0"/>
                                  <w:marRight w:val="0"/>
                                  <w:marTop w:val="0"/>
                                  <w:marBottom w:val="0"/>
                                  <w:divBdr>
                                    <w:top w:val="none" w:sz="0" w:space="0" w:color="auto"/>
                                    <w:left w:val="none" w:sz="0" w:space="0" w:color="auto"/>
                                    <w:bottom w:val="none" w:sz="0" w:space="0" w:color="auto"/>
                                    <w:right w:val="none" w:sz="0" w:space="0" w:color="auto"/>
                                  </w:divBdr>
                                  <w:divsChild>
                                    <w:div w:id="248467910">
                                      <w:marLeft w:val="0"/>
                                      <w:marRight w:val="0"/>
                                      <w:marTop w:val="0"/>
                                      <w:marBottom w:val="0"/>
                                      <w:divBdr>
                                        <w:top w:val="none" w:sz="0" w:space="0" w:color="auto"/>
                                        <w:left w:val="none" w:sz="0" w:space="0" w:color="auto"/>
                                        <w:bottom w:val="none" w:sz="0" w:space="0" w:color="auto"/>
                                        <w:right w:val="none" w:sz="0" w:space="0" w:color="auto"/>
                                      </w:divBdr>
                                      <w:divsChild>
                                        <w:div w:id="1347637337">
                                          <w:marLeft w:val="0"/>
                                          <w:marRight w:val="0"/>
                                          <w:marTop w:val="0"/>
                                          <w:marBottom w:val="0"/>
                                          <w:divBdr>
                                            <w:top w:val="none" w:sz="0" w:space="0" w:color="auto"/>
                                            <w:left w:val="none" w:sz="0" w:space="0" w:color="auto"/>
                                            <w:bottom w:val="none" w:sz="0" w:space="0" w:color="auto"/>
                                            <w:right w:val="none" w:sz="0" w:space="0" w:color="auto"/>
                                          </w:divBdr>
                                          <w:divsChild>
                                            <w:div w:id="19645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595703">
      <w:bodyDiv w:val="1"/>
      <w:marLeft w:val="0"/>
      <w:marRight w:val="0"/>
      <w:marTop w:val="0"/>
      <w:marBottom w:val="0"/>
      <w:divBdr>
        <w:top w:val="none" w:sz="0" w:space="0" w:color="auto"/>
        <w:left w:val="none" w:sz="0" w:space="0" w:color="auto"/>
        <w:bottom w:val="none" w:sz="0" w:space="0" w:color="auto"/>
        <w:right w:val="none" w:sz="0" w:space="0" w:color="auto"/>
      </w:divBdr>
    </w:div>
    <w:div w:id="1192764533">
      <w:bodyDiv w:val="1"/>
      <w:marLeft w:val="0"/>
      <w:marRight w:val="0"/>
      <w:marTop w:val="0"/>
      <w:marBottom w:val="0"/>
      <w:divBdr>
        <w:top w:val="none" w:sz="0" w:space="0" w:color="auto"/>
        <w:left w:val="none" w:sz="0" w:space="0" w:color="auto"/>
        <w:bottom w:val="none" w:sz="0" w:space="0" w:color="auto"/>
        <w:right w:val="none" w:sz="0" w:space="0" w:color="auto"/>
      </w:divBdr>
      <w:divsChild>
        <w:div w:id="1668098696">
          <w:marLeft w:val="0"/>
          <w:marRight w:val="0"/>
          <w:marTop w:val="0"/>
          <w:marBottom w:val="0"/>
          <w:divBdr>
            <w:top w:val="none" w:sz="0" w:space="0" w:color="auto"/>
            <w:left w:val="none" w:sz="0" w:space="0" w:color="auto"/>
            <w:bottom w:val="none" w:sz="0" w:space="0" w:color="auto"/>
            <w:right w:val="none" w:sz="0" w:space="0" w:color="auto"/>
          </w:divBdr>
          <w:divsChild>
            <w:div w:id="1585993460">
              <w:marLeft w:val="0"/>
              <w:marRight w:val="0"/>
              <w:marTop w:val="0"/>
              <w:marBottom w:val="0"/>
              <w:divBdr>
                <w:top w:val="none" w:sz="0" w:space="0" w:color="auto"/>
                <w:left w:val="none" w:sz="0" w:space="0" w:color="auto"/>
                <w:bottom w:val="none" w:sz="0" w:space="0" w:color="auto"/>
                <w:right w:val="none" w:sz="0" w:space="0" w:color="auto"/>
              </w:divBdr>
              <w:divsChild>
                <w:div w:id="1065834034">
                  <w:marLeft w:val="0"/>
                  <w:marRight w:val="0"/>
                  <w:marTop w:val="0"/>
                  <w:marBottom w:val="0"/>
                  <w:divBdr>
                    <w:top w:val="none" w:sz="0" w:space="0" w:color="auto"/>
                    <w:left w:val="none" w:sz="0" w:space="0" w:color="auto"/>
                    <w:bottom w:val="none" w:sz="0" w:space="0" w:color="auto"/>
                    <w:right w:val="none" w:sz="0" w:space="0" w:color="auto"/>
                  </w:divBdr>
                  <w:divsChild>
                    <w:div w:id="868686711">
                      <w:marLeft w:val="0"/>
                      <w:marRight w:val="0"/>
                      <w:marTop w:val="0"/>
                      <w:marBottom w:val="0"/>
                      <w:divBdr>
                        <w:top w:val="none" w:sz="0" w:space="0" w:color="auto"/>
                        <w:left w:val="none" w:sz="0" w:space="0" w:color="auto"/>
                        <w:bottom w:val="none" w:sz="0" w:space="0" w:color="auto"/>
                        <w:right w:val="none" w:sz="0" w:space="0" w:color="auto"/>
                      </w:divBdr>
                      <w:divsChild>
                        <w:div w:id="3733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184364">
      <w:bodyDiv w:val="1"/>
      <w:marLeft w:val="0"/>
      <w:marRight w:val="0"/>
      <w:marTop w:val="0"/>
      <w:marBottom w:val="0"/>
      <w:divBdr>
        <w:top w:val="none" w:sz="0" w:space="0" w:color="auto"/>
        <w:left w:val="none" w:sz="0" w:space="0" w:color="auto"/>
        <w:bottom w:val="none" w:sz="0" w:space="0" w:color="auto"/>
        <w:right w:val="none" w:sz="0" w:space="0" w:color="auto"/>
      </w:divBdr>
    </w:div>
    <w:div w:id="1253736098">
      <w:bodyDiv w:val="1"/>
      <w:marLeft w:val="0"/>
      <w:marRight w:val="0"/>
      <w:marTop w:val="0"/>
      <w:marBottom w:val="0"/>
      <w:divBdr>
        <w:top w:val="none" w:sz="0" w:space="0" w:color="auto"/>
        <w:left w:val="none" w:sz="0" w:space="0" w:color="auto"/>
        <w:bottom w:val="none" w:sz="0" w:space="0" w:color="auto"/>
        <w:right w:val="none" w:sz="0" w:space="0" w:color="auto"/>
      </w:divBdr>
    </w:div>
    <w:div w:id="1259560138">
      <w:bodyDiv w:val="1"/>
      <w:marLeft w:val="0"/>
      <w:marRight w:val="0"/>
      <w:marTop w:val="0"/>
      <w:marBottom w:val="0"/>
      <w:divBdr>
        <w:top w:val="none" w:sz="0" w:space="0" w:color="auto"/>
        <w:left w:val="none" w:sz="0" w:space="0" w:color="auto"/>
        <w:bottom w:val="none" w:sz="0" w:space="0" w:color="auto"/>
        <w:right w:val="none" w:sz="0" w:space="0" w:color="auto"/>
      </w:divBdr>
    </w:div>
    <w:div w:id="1259753491">
      <w:bodyDiv w:val="1"/>
      <w:marLeft w:val="0"/>
      <w:marRight w:val="0"/>
      <w:marTop w:val="0"/>
      <w:marBottom w:val="0"/>
      <w:divBdr>
        <w:top w:val="none" w:sz="0" w:space="0" w:color="auto"/>
        <w:left w:val="none" w:sz="0" w:space="0" w:color="auto"/>
        <w:bottom w:val="none" w:sz="0" w:space="0" w:color="auto"/>
        <w:right w:val="none" w:sz="0" w:space="0" w:color="auto"/>
      </w:divBdr>
    </w:div>
    <w:div w:id="1377244439">
      <w:bodyDiv w:val="1"/>
      <w:marLeft w:val="0"/>
      <w:marRight w:val="0"/>
      <w:marTop w:val="0"/>
      <w:marBottom w:val="0"/>
      <w:divBdr>
        <w:top w:val="none" w:sz="0" w:space="0" w:color="auto"/>
        <w:left w:val="none" w:sz="0" w:space="0" w:color="auto"/>
        <w:bottom w:val="none" w:sz="0" w:space="0" w:color="auto"/>
        <w:right w:val="none" w:sz="0" w:space="0" w:color="auto"/>
      </w:divBdr>
    </w:div>
    <w:div w:id="1452937496">
      <w:bodyDiv w:val="1"/>
      <w:marLeft w:val="0"/>
      <w:marRight w:val="0"/>
      <w:marTop w:val="0"/>
      <w:marBottom w:val="0"/>
      <w:divBdr>
        <w:top w:val="none" w:sz="0" w:space="0" w:color="auto"/>
        <w:left w:val="none" w:sz="0" w:space="0" w:color="auto"/>
        <w:bottom w:val="none" w:sz="0" w:space="0" w:color="auto"/>
        <w:right w:val="none" w:sz="0" w:space="0" w:color="auto"/>
      </w:divBdr>
    </w:div>
    <w:div w:id="1489133087">
      <w:bodyDiv w:val="1"/>
      <w:marLeft w:val="0"/>
      <w:marRight w:val="0"/>
      <w:marTop w:val="0"/>
      <w:marBottom w:val="0"/>
      <w:divBdr>
        <w:top w:val="none" w:sz="0" w:space="0" w:color="auto"/>
        <w:left w:val="none" w:sz="0" w:space="0" w:color="auto"/>
        <w:bottom w:val="none" w:sz="0" w:space="0" w:color="auto"/>
        <w:right w:val="none" w:sz="0" w:space="0" w:color="auto"/>
      </w:divBdr>
      <w:divsChild>
        <w:div w:id="1692995744">
          <w:marLeft w:val="0"/>
          <w:marRight w:val="0"/>
          <w:marTop w:val="0"/>
          <w:marBottom w:val="0"/>
          <w:divBdr>
            <w:top w:val="none" w:sz="0" w:space="0" w:color="auto"/>
            <w:left w:val="none" w:sz="0" w:space="0" w:color="auto"/>
            <w:bottom w:val="none" w:sz="0" w:space="0" w:color="auto"/>
            <w:right w:val="none" w:sz="0" w:space="0" w:color="auto"/>
          </w:divBdr>
          <w:divsChild>
            <w:div w:id="6695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0439">
      <w:bodyDiv w:val="1"/>
      <w:marLeft w:val="0"/>
      <w:marRight w:val="0"/>
      <w:marTop w:val="0"/>
      <w:marBottom w:val="0"/>
      <w:divBdr>
        <w:top w:val="none" w:sz="0" w:space="0" w:color="auto"/>
        <w:left w:val="none" w:sz="0" w:space="0" w:color="auto"/>
        <w:bottom w:val="none" w:sz="0" w:space="0" w:color="auto"/>
        <w:right w:val="none" w:sz="0" w:space="0" w:color="auto"/>
      </w:divBdr>
    </w:div>
    <w:div w:id="1686899203">
      <w:bodyDiv w:val="1"/>
      <w:marLeft w:val="0"/>
      <w:marRight w:val="0"/>
      <w:marTop w:val="0"/>
      <w:marBottom w:val="0"/>
      <w:divBdr>
        <w:top w:val="none" w:sz="0" w:space="0" w:color="auto"/>
        <w:left w:val="none" w:sz="0" w:space="0" w:color="auto"/>
        <w:bottom w:val="none" w:sz="0" w:space="0" w:color="auto"/>
        <w:right w:val="none" w:sz="0" w:space="0" w:color="auto"/>
      </w:divBdr>
    </w:div>
    <w:div w:id="1762678164">
      <w:bodyDiv w:val="1"/>
      <w:marLeft w:val="0"/>
      <w:marRight w:val="0"/>
      <w:marTop w:val="0"/>
      <w:marBottom w:val="0"/>
      <w:divBdr>
        <w:top w:val="none" w:sz="0" w:space="0" w:color="auto"/>
        <w:left w:val="none" w:sz="0" w:space="0" w:color="auto"/>
        <w:bottom w:val="none" w:sz="0" w:space="0" w:color="auto"/>
        <w:right w:val="none" w:sz="0" w:space="0" w:color="auto"/>
      </w:divBdr>
    </w:div>
    <w:div w:id="1765566149">
      <w:bodyDiv w:val="1"/>
      <w:marLeft w:val="0"/>
      <w:marRight w:val="0"/>
      <w:marTop w:val="0"/>
      <w:marBottom w:val="0"/>
      <w:divBdr>
        <w:top w:val="none" w:sz="0" w:space="0" w:color="auto"/>
        <w:left w:val="none" w:sz="0" w:space="0" w:color="auto"/>
        <w:bottom w:val="none" w:sz="0" w:space="0" w:color="auto"/>
        <w:right w:val="none" w:sz="0" w:space="0" w:color="auto"/>
      </w:divBdr>
    </w:div>
    <w:div w:id="1770151819">
      <w:bodyDiv w:val="1"/>
      <w:marLeft w:val="0"/>
      <w:marRight w:val="0"/>
      <w:marTop w:val="0"/>
      <w:marBottom w:val="0"/>
      <w:divBdr>
        <w:top w:val="none" w:sz="0" w:space="0" w:color="auto"/>
        <w:left w:val="none" w:sz="0" w:space="0" w:color="auto"/>
        <w:bottom w:val="none" w:sz="0" w:space="0" w:color="auto"/>
        <w:right w:val="none" w:sz="0" w:space="0" w:color="auto"/>
      </w:divBdr>
    </w:div>
    <w:div w:id="1796213664">
      <w:bodyDiv w:val="1"/>
      <w:marLeft w:val="0"/>
      <w:marRight w:val="0"/>
      <w:marTop w:val="0"/>
      <w:marBottom w:val="0"/>
      <w:divBdr>
        <w:top w:val="none" w:sz="0" w:space="0" w:color="auto"/>
        <w:left w:val="none" w:sz="0" w:space="0" w:color="auto"/>
        <w:bottom w:val="none" w:sz="0" w:space="0" w:color="auto"/>
        <w:right w:val="none" w:sz="0" w:space="0" w:color="auto"/>
      </w:divBdr>
    </w:div>
    <w:div w:id="1971205785">
      <w:bodyDiv w:val="1"/>
      <w:marLeft w:val="0"/>
      <w:marRight w:val="0"/>
      <w:marTop w:val="0"/>
      <w:marBottom w:val="0"/>
      <w:divBdr>
        <w:top w:val="none" w:sz="0" w:space="0" w:color="auto"/>
        <w:left w:val="none" w:sz="0" w:space="0" w:color="auto"/>
        <w:bottom w:val="none" w:sz="0" w:space="0" w:color="auto"/>
        <w:right w:val="none" w:sz="0" w:space="0" w:color="auto"/>
      </w:divBdr>
    </w:div>
    <w:div w:id="2069498123">
      <w:bodyDiv w:val="1"/>
      <w:marLeft w:val="0"/>
      <w:marRight w:val="0"/>
      <w:marTop w:val="0"/>
      <w:marBottom w:val="0"/>
      <w:divBdr>
        <w:top w:val="none" w:sz="0" w:space="0" w:color="auto"/>
        <w:left w:val="none" w:sz="0" w:space="0" w:color="auto"/>
        <w:bottom w:val="none" w:sz="0" w:space="0" w:color="auto"/>
        <w:right w:val="none" w:sz="0" w:space="0" w:color="auto"/>
      </w:divBdr>
    </w:div>
    <w:div w:id="209801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maero.com" TargetMode="External"/><Relationship Id="rId18" Type="http://schemas.openxmlformats.org/officeDocument/2006/relationships/hyperlink" Target="https://www.britannica.com/topic/European-Aeronautic-Defence-and-Space-Company" TargetMode="External"/><Relationship Id="rId26" Type="http://schemas.openxmlformats.org/officeDocument/2006/relationships/hyperlink" Target="https://romaero.com/resurse-umane/" TargetMode="External"/><Relationship Id="rId39" Type="http://schemas.openxmlformats.org/officeDocument/2006/relationships/hyperlink" Target="https://www.ge.com/investor-relations/sites/default/files/GE_AR18.pdf" TargetMode="External"/><Relationship Id="rId21" Type="http://schemas.openxmlformats.org/officeDocument/2006/relationships/hyperlink" Target="http://www.aerostar.ro/misiunea" TargetMode="External"/><Relationship Id="rId34" Type="http://schemas.openxmlformats.org/officeDocument/2006/relationships/hyperlink" Target="https://annualreport.airbus.com/pdf/Complete_Annual_Report.pdf" TargetMode="External"/><Relationship Id="rId42" Type="http://schemas.openxmlformats.org/officeDocument/2006/relationships/hyperlink" Target="https://www.quora.com/Which-are-the-top-5-countries-with-the-best-aerospace-industry-in-the-world" TargetMode="External"/><Relationship Id="rId47" Type="http://schemas.openxmlformats.org/officeDocument/2006/relationships/hyperlink" Target="http://www.aerostar.ro" TargetMode="External"/><Relationship Id="rId50" Type="http://schemas.openxmlformats.org/officeDocument/2006/relationships/hyperlink" Target="http://www.risco.r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nvestineu.com/content/aerospace-sector-eu" TargetMode="External"/><Relationship Id="rId29" Type="http://schemas.openxmlformats.org/officeDocument/2006/relationships/hyperlink" Target="http://s2.q4cdn.com/661678649/files/doc_financials/annual/2019/Boeing-2018AR-Final.pdf" TargetMode="External"/><Relationship Id="rId11" Type="http://schemas.openxmlformats.org/officeDocument/2006/relationships/hyperlink" Target="http://www.turbomecanica.ro" TargetMode="External"/><Relationship Id="rId24" Type="http://schemas.openxmlformats.org/officeDocument/2006/relationships/hyperlink" Target="http://www.acv.ro/despre-noi/?lang=ro" TargetMode="External"/><Relationship Id="rId32" Type="http://schemas.openxmlformats.org/officeDocument/2006/relationships/hyperlink" Target="http://www.annualreports.com/HostedData/AnnualReports/PDF/NYSE_RTN_2018.pdf" TargetMode="External"/><Relationship Id="rId37" Type="http://schemas.openxmlformats.org/officeDocument/2006/relationships/hyperlink" Target="https://www.bloomberg.com/profile/company/2061Q:FP" TargetMode="External"/><Relationship Id="rId40" Type="http://schemas.openxmlformats.org/officeDocument/2006/relationships/hyperlink" Target="https://www.lockheedmartin.com/content/dam/lockheed-martin/eo/documents/annual-reports/2018-annual-report.pdf" TargetMode="External"/><Relationship Id="rId45" Type="http://schemas.openxmlformats.org/officeDocument/2006/relationships/hyperlink" Target="https://www.safran-group.com/sites/group/files/safran_ri_2018_uk_mel.pd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erostar.ro" TargetMode="External"/><Relationship Id="rId19" Type="http://schemas.openxmlformats.org/officeDocument/2006/relationships/hyperlink" Target="http://www.investineu.com/content/aerospace-sector-eu" TargetMode="External"/><Relationship Id="rId31" Type="http://schemas.openxmlformats.org/officeDocument/2006/relationships/hyperlink" Target="http://www.annualreports.com/HostedData/AnnualReports/PDF/LSE_BA_2018.pdf" TargetMode="External"/><Relationship Id="rId44" Type="http://schemas.openxmlformats.org/officeDocument/2006/relationships/hyperlink" Target="https://www.rolls-royce.com/~/media/Files/R/Rolls-Royce/documents/annual-report/2018/2018-full-annual-report.pdf" TargetMode="External"/><Relationship Id="rId52" Type="http://schemas.openxmlformats.org/officeDocument/2006/relationships/hyperlink" Target="http://www.turbomecanica.ro" TargetMode="External"/><Relationship Id="rId4" Type="http://schemas.openxmlformats.org/officeDocument/2006/relationships/settings" Target="settings.xml"/><Relationship Id="rId9" Type="http://schemas.openxmlformats.org/officeDocument/2006/relationships/hyperlink" Target="http://www.risco.ro" TargetMode="External"/><Relationship Id="rId14" Type="http://schemas.openxmlformats.org/officeDocument/2006/relationships/hyperlink" Target="http://www.bvb.ro" TargetMode="External"/><Relationship Id="rId22" Type="http://schemas.openxmlformats.org/officeDocument/2006/relationships/hyperlink" Target="https://turbomecanica.ro/despre-noi/istoric/" TargetMode="External"/><Relationship Id="rId27" Type="http://schemas.openxmlformats.org/officeDocument/2006/relationships/hyperlink" Target="http://conferinta.management.ase.ro/archives/2014/pdf/24.pdf" TargetMode="External"/><Relationship Id="rId30" Type="http://schemas.openxmlformats.org/officeDocument/2006/relationships/hyperlink" Target="http://www.annualreports.com/HostedData/AnnualReportArchive/b/LSE_BA_2017.pdf" TargetMode="External"/><Relationship Id="rId35" Type="http://schemas.openxmlformats.org/officeDocument/2006/relationships/hyperlink" Target="https://ec.europa.eu/growth/sectors/aeronautics_en" TargetMode="External"/><Relationship Id="rId43" Type="http://schemas.openxmlformats.org/officeDocument/2006/relationships/hyperlink" Target="https://www.rolls-royce.com/~/media/Files/R/Rolls-Royce/documents/annual-report/2017/2017-full-annual-report.pdf" TargetMode="External"/><Relationship Id="rId48" Type="http://schemas.openxmlformats.org/officeDocument/2006/relationships/hyperlink" Target="http://www.bvb.ro" TargetMode="External"/><Relationship Id="rId8" Type="http://schemas.openxmlformats.org/officeDocument/2006/relationships/hyperlink" Target="https://www.quora.com/Which-are-the-top-5-countries-with-the-best-aerospace-industry-in-the-world" TargetMode="External"/><Relationship Id="rId51" Type="http://schemas.openxmlformats.org/officeDocument/2006/relationships/hyperlink" Target="http://www.romaero.com" TargetMode="External"/><Relationship Id="rId3" Type="http://schemas.openxmlformats.org/officeDocument/2006/relationships/styles" Target="styles.xml"/><Relationship Id="rId12" Type="http://schemas.openxmlformats.org/officeDocument/2006/relationships/hyperlink" Target="http://www.acv.ro" TargetMode="External"/><Relationship Id="rId17" Type="http://schemas.openxmlformats.org/officeDocument/2006/relationships/hyperlink" Target="https://www.bloomberg.com/profile/company/2061Q:FP" TargetMode="External"/><Relationship Id="rId25" Type="http://schemas.openxmlformats.org/officeDocument/2006/relationships/hyperlink" Target="https://romaero.com/aerostructuri/" TargetMode="External"/><Relationship Id="rId33" Type="http://schemas.openxmlformats.org/officeDocument/2006/relationships/hyperlink" Target="http://www.investineu.com/content/aerospace-sector-eu" TargetMode="External"/><Relationship Id="rId38" Type="http://schemas.openxmlformats.org/officeDocument/2006/relationships/hyperlink" Target="https://www.britannica.com/topic/European-Aeronautic-Defence-and-Space-Company" TargetMode="External"/><Relationship Id="rId46" Type="http://schemas.openxmlformats.org/officeDocument/2006/relationships/hyperlink" Target="http://www.acv.ro" TargetMode="External"/><Relationship Id="rId20" Type="http://schemas.openxmlformats.org/officeDocument/2006/relationships/hyperlink" Target="http://www.aerostar.ro/dezvoltare" TargetMode="External"/><Relationship Id="rId41" Type="http://schemas.openxmlformats.org/officeDocument/2006/relationships/hyperlink" Target="https://www.northropgrumman.com/AboutUs/AnnualReports/Documents/pdfs/2018_noc_ar.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my-technology.com/features/worlds-biggest-aerospace-defence-companies-2018/" TargetMode="External"/><Relationship Id="rId23" Type="http://schemas.openxmlformats.org/officeDocument/2006/relationships/hyperlink" Target="https://www.iar.ro/despre-noi/" TargetMode="External"/><Relationship Id="rId28" Type="http://schemas.openxmlformats.org/officeDocument/2006/relationships/hyperlink" Target="http://2018ar.utc.com/assets/pdf/UTC2018AR-full-report.pdf" TargetMode="External"/><Relationship Id="rId36" Type="http://schemas.openxmlformats.org/officeDocument/2006/relationships/hyperlink" Target="https://www.army-technology.com/features/worlds-biggest-aerospace-defence-companies-2018/" TargetMode="External"/><Relationship Id="rId49" Type="http://schemas.openxmlformats.org/officeDocument/2006/relationships/hyperlink" Target="http://www.iar.ro"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afran-group.com/sites/group/files/safran_ri_2018_uk_mel.pdf" TargetMode="External"/><Relationship Id="rId3" Type="http://schemas.openxmlformats.org/officeDocument/2006/relationships/hyperlink" Target="http://2018ar.utc.com/assets/pdf/UTC2018AR-full-report.pdf" TargetMode="External"/><Relationship Id="rId7" Type="http://schemas.openxmlformats.org/officeDocument/2006/relationships/hyperlink" Target="http://www.annualreports.com/HostedData/AnnualReports/PDF/NYSE_RTN_2018.pdf" TargetMode="External"/><Relationship Id="rId12" Type="http://schemas.openxmlformats.org/officeDocument/2006/relationships/hyperlink" Target="https://www.rolls-royce.com/~/media/Files/R/Rolls-Royce/documents/annual-report/2018/2018-full-annual-report.pdf" TargetMode="External"/><Relationship Id="rId2" Type="http://schemas.openxmlformats.org/officeDocument/2006/relationships/hyperlink" Target="https://annualreport.airbus.com/pdf/Complete_Annual_Report.pdf" TargetMode="External"/><Relationship Id="rId1" Type="http://schemas.openxmlformats.org/officeDocument/2006/relationships/hyperlink" Target="http://s2.q4cdn.com/661678649/files/doc_financials/annual/2019/Boeing-2018AR-Final.pdf" TargetMode="External"/><Relationship Id="rId6" Type="http://schemas.openxmlformats.org/officeDocument/2006/relationships/hyperlink" Target="https://www.northropgrumman.com/AboutUs/AnnualReports/Documents/pdfs/2018_noc_ar.pdf" TargetMode="External"/><Relationship Id="rId11" Type="http://schemas.openxmlformats.org/officeDocument/2006/relationships/hyperlink" Target="https://www.rolls-royce.com/~/media/Files/R/Rolls-Royce/documents/annual-report/2017/2017-full-annual-report.pdf" TargetMode="External"/><Relationship Id="rId5" Type="http://schemas.openxmlformats.org/officeDocument/2006/relationships/hyperlink" Target="https://www.ge.com/investor-relations/sites/default/files/GE_AR18.pdf" TargetMode="External"/><Relationship Id="rId10" Type="http://schemas.openxmlformats.org/officeDocument/2006/relationships/hyperlink" Target="http://www.annualreports.com/HostedData/AnnualReports/PDF/LSE_BA_2018.pdf" TargetMode="External"/><Relationship Id="rId4" Type="http://schemas.openxmlformats.org/officeDocument/2006/relationships/hyperlink" Target="https://www.lockheedmartin.com/content/dam/lockheed-martin/eo/documents/annual-reports/2018-annual-report.pdf" TargetMode="External"/><Relationship Id="rId9" Type="http://schemas.openxmlformats.org/officeDocument/2006/relationships/hyperlink" Target="http://www.annualreports.com/HostedData/AnnualReportArchive/b/LSE_BA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BDFE3-FB4B-4FAF-B7A4-6FD45B599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2367</TotalTime>
  <Pages>10</Pages>
  <Words>5729</Words>
  <Characters>33232</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cp:lastModifiedBy>
  <cp:revision>266</cp:revision>
  <cp:lastPrinted>2019-10-11T08:30:00Z</cp:lastPrinted>
  <dcterms:created xsi:type="dcterms:W3CDTF">2019-04-15T15:16:00Z</dcterms:created>
  <dcterms:modified xsi:type="dcterms:W3CDTF">2019-10-29T11:39:00Z</dcterms:modified>
</cp:coreProperties>
</file>