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589" w:rsidRPr="007228F4" w:rsidRDefault="00536589" w:rsidP="0027519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228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Dinamica profitabilității în companiile farmaceutice românești sub impactul schimbărilor în mediul de afaceri contemporan</w:t>
      </w:r>
    </w:p>
    <w:p w:rsidR="00536589" w:rsidRDefault="00536589" w:rsidP="003C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B8F" w:rsidRPr="007228F4" w:rsidRDefault="00B66B8F" w:rsidP="003C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F9D" w:rsidRPr="007228F4" w:rsidRDefault="002D7F9D" w:rsidP="00B36ED4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7228F4">
        <w:rPr>
          <w:rFonts w:ascii="Times New Roman" w:hAnsi="Times New Roman" w:cs="Times New Roman"/>
          <w:b/>
          <w:sz w:val="20"/>
          <w:szCs w:val="20"/>
        </w:rPr>
        <w:t>Associate</w:t>
      </w:r>
      <w:proofErr w:type="spellEnd"/>
      <w:r w:rsidRPr="007228F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228F4">
        <w:rPr>
          <w:rFonts w:ascii="Times New Roman" w:hAnsi="Times New Roman" w:cs="Times New Roman"/>
          <w:b/>
          <w:sz w:val="20"/>
          <w:szCs w:val="20"/>
        </w:rPr>
        <w:t>Professor</w:t>
      </w:r>
      <w:proofErr w:type="spellEnd"/>
      <w:r w:rsidRPr="007228F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228F4">
        <w:rPr>
          <w:rFonts w:ascii="Times New Roman" w:hAnsi="Times New Roman" w:cs="Times New Roman"/>
          <w:b/>
          <w:sz w:val="20"/>
          <w:szCs w:val="20"/>
        </w:rPr>
        <w:t>PhD</w:t>
      </w:r>
      <w:proofErr w:type="spellEnd"/>
      <w:r w:rsidRPr="007228F4">
        <w:rPr>
          <w:rFonts w:ascii="Times New Roman" w:hAnsi="Times New Roman" w:cs="Times New Roman"/>
          <w:b/>
          <w:sz w:val="20"/>
          <w:szCs w:val="20"/>
        </w:rPr>
        <w:t xml:space="preserve"> Ștefăniță ȘUȘU</w:t>
      </w:r>
    </w:p>
    <w:p w:rsidR="002D7F9D" w:rsidRPr="007228F4" w:rsidRDefault="002D7F9D" w:rsidP="00B36ED4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7228F4">
        <w:rPr>
          <w:rFonts w:ascii="Times New Roman" w:hAnsi="Times New Roman" w:cs="Times New Roman"/>
          <w:i/>
          <w:sz w:val="20"/>
          <w:szCs w:val="20"/>
        </w:rPr>
        <w:t>Faculty</w:t>
      </w:r>
      <w:proofErr w:type="spellEnd"/>
      <w:r w:rsidRPr="007228F4">
        <w:rPr>
          <w:rFonts w:ascii="Times New Roman" w:hAnsi="Times New Roman" w:cs="Times New Roman"/>
          <w:i/>
          <w:sz w:val="20"/>
          <w:szCs w:val="20"/>
        </w:rPr>
        <w:t xml:space="preserve"> of Economic </w:t>
      </w:r>
      <w:proofErr w:type="spellStart"/>
      <w:r w:rsidRPr="007228F4">
        <w:rPr>
          <w:rFonts w:ascii="Times New Roman" w:hAnsi="Times New Roman" w:cs="Times New Roman"/>
          <w:i/>
          <w:sz w:val="20"/>
          <w:szCs w:val="20"/>
        </w:rPr>
        <w:t>Sciences</w:t>
      </w:r>
      <w:proofErr w:type="spellEnd"/>
      <w:r w:rsidRPr="007228F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7228F4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Pr="007228F4">
        <w:rPr>
          <w:rFonts w:ascii="Times New Roman" w:hAnsi="Times New Roman" w:cs="Times New Roman"/>
          <w:i/>
          <w:sz w:val="20"/>
          <w:szCs w:val="20"/>
        </w:rPr>
        <w:t xml:space="preserve"> Public </w:t>
      </w:r>
      <w:proofErr w:type="spellStart"/>
      <w:r w:rsidRPr="007228F4">
        <w:rPr>
          <w:rFonts w:ascii="Times New Roman" w:hAnsi="Times New Roman" w:cs="Times New Roman"/>
          <w:i/>
          <w:sz w:val="20"/>
          <w:szCs w:val="20"/>
        </w:rPr>
        <w:t>Administration</w:t>
      </w:r>
      <w:proofErr w:type="spellEnd"/>
    </w:p>
    <w:p w:rsidR="002D7F9D" w:rsidRPr="007228F4" w:rsidRDefault="002D7F9D" w:rsidP="00B36ED4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228F4">
        <w:rPr>
          <w:rFonts w:ascii="Times New Roman" w:hAnsi="Times New Roman" w:cs="Times New Roman"/>
          <w:i/>
          <w:sz w:val="20"/>
          <w:szCs w:val="20"/>
        </w:rPr>
        <w:t>“Ștefan cel Mare” University of Suceava, Romania</w:t>
      </w:r>
    </w:p>
    <w:p w:rsidR="002D7F9D" w:rsidRPr="007228F4" w:rsidRDefault="002D7F9D" w:rsidP="00B36ED4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228F4">
        <w:rPr>
          <w:rFonts w:ascii="Times New Roman" w:hAnsi="Times New Roman" w:cs="Times New Roman"/>
          <w:i/>
          <w:sz w:val="20"/>
          <w:szCs w:val="20"/>
        </w:rPr>
        <w:t>stefanitas@seap.usv.ro</w:t>
      </w:r>
    </w:p>
    <w:p w:rsidR="002D7F9D" w:rsidRPr="007228F4" w:rsidRDefault="002D7F9D" w:rsidP="00B36ED4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7228F4">
        <w:rPr>
          <w:rFonts w:ascii="Times New Roman" w:hAnsi="Times New Roman" w:cs="Times New Roman"/>
          <w:b/>
          <w:sz w:val="20"/>
          <w:szCs w:val="20"/>
        </w:rPr>
        <w:t>Associate</w:t>
      </w:r>
      <w:proofErr w:type="spellEnd"/>
      <w:r w:rsidRPr="007228F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228F4">
        <w:rPr>
          <w:rFonts w:ascii="Times New Roman" w:hAnsi="Times New Roman" w:cs="Times New Roman"/>
          <w:b/>
          <w:sz w:val="20"/>
          <w:szCs w:val="20"/>
        </w:rPr>
        <w:t>Professor</w:t>
      </w:r>
      <w:proofErr w:type="spellEnd"/>
      <w:r w:rsidRPr="007228F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228F4">
        <w:rPr>
          <w:rFonts w:ascii="Times New Roman" w:hAnsi="Times New Roman" w:cs="Times New Roman"/>
          <w:b/>
          <w:sz w:val="20"/>
          <w:szCs w:val="20"/>
        </w:rPr>
        <w:t>PhD</w:t>
      </w:r>
      <w:proofErr w:type="spellEnd"/>
      <w:r w:rsidRPr="007228F4">
        <w:rPr>
          <w:rFonts w:ascii="Times New Roman" w:hAnsi="Times New Roman" w:cs="Times New Roman"/>
          <w:b/>
          <w:sz w:val="20"/>
          <w:szCs w:val="20"/>
        </w:rPr>
        <w:t xml:space="preserve"> Mihaela BÎRSAN</w:t>
      </w:r>
    </w:p>
    <w:p w:rsidR="002D7F9D" w:rsidRPr="007228F4" w:rsidRDefault="002D7F9D" w:rsidP="00B36ED4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7228F4">
        <w:rPr>
          <w:rFonts w:ascii="Times New Roman" w:hAnsi="Times New Roman" w:cs="Times New Roman"/>
          <w:i/>
          <w:sz w:val="20"/>
          <w:szCs w:val="20"/>
        </w:rPr>
        <w:t>Faculty</w:t>
      </w:r>
      <w:proofErr w:type="spellEnd"/>
      <w:r w:rsidRPr="007228F4">
        <w:rPr>
          <w:rFonts w:ascii="Times New Roman" w:hAnsi="Times New Roman" w:cs="Times New Roman"/>
          <w:i/>
          <w:sz w:val="20"/>
          <w:szCs w:val="20"/>
        </w:rPr>
        <w:t xml:space="preserve"> of Economic </w:t>
      </w:r>
      <w:proofErr w:type="spellStart"/>
      <w:r w:rsidRPr="007228F4">
        <w:rPr>
          <w:rFonts w:ascii="Times New Roman" w:hAnsi="Times New Roman" w:cs="Times New Roman"/>
          <w:i/>
          <w:sz w:val="20"/>
          <w:szCs w:val="20"/>
        </w:rPr>
        <w:t>Sciences</w:t>
      </w:r>
      <w:proofErr w:type="spellEnd"/>
      <w:r w:rsidRPr="007228F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7228F4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Pr="007228F4">
        <w:rPr>
          <w:rFonts w:ascii="Times New Roman" w:hAnsi="Times New Roman" w:cs="Times New Roman"/>
          <w:i/>
          <w:sz w:val="20"/>
          <w:szCs w:val="20"/>
        </w:rPr>
        <w:t xml:space="preserve"> Public </w:t>
      </w:r>
      <w:proofErr w:type="spellStart"/>
      <w:r w:rsidRPr="007228F4">
        <w:rPr>
          <w:rFonts w:ascii="Times New Roman" w:hAnsi="Times New Roman" w:cs="Times New Roman"/>
          <w:i/>
          <w:sz w:val="20"/>
          <w:szCs w:val="20"/>
        </w:rPr>
        <w:t>Administration</w:t>
      </w:r>
      <w:proofErr w:type="spellEnd"/>
    </w:p>
    <w:p w:rsidR="002D7F9D" w:rsidRPr="007228F4" w:rsidRDefault="002D7F9D" w:rsidP="00B36ED4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228F4">
        <w:rPr>
          <w:rFonts w:ascii="Times New Roman" w:hAnsi="Times New Roman" w:cs="Times New Roman"/>
          <w:i/>
          <w:sz w:val="20"/>
          <w:szCs w:val="20"/>
        </w:rPr>
        <w:t>“Ștefan cel Mare” University of Suceava, Romania</w:t>
      </w:r>
    </w:p>
    <w:p w:rsidR="002D7F9D" w:rsidRPr="007228F4" w:rsidRDefault="002D7F9D" w:rsidP="00B36ED4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228F4">
        <w:rPr>
          <w:rFonts w:ascii="Times New Roman" w:hAnsi="Times New Roman" w:cs="Times New Roman"/>
          <w:i/>
          <w:sz w:val="20"/>
          <w:szCs w:val="20"/>
        </w:rPr>
        <w:t>mihaelab@seap.usv.ro</w:t>
      </w:r>
    </w:p>
    <w:p w:rsidR="002D7F9D" w:rsidRPr="007228F4" w:rsidRDefault="002D7F9D" w:rsidP="00B36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589" w:rsidRPr="007228F4" w:rsidRDefault="00536589" w:rsidP="00B36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046" w:rsidRPr="007228F4" w:rsidRDefault="00B65046" w:rsidP="00A03129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7228F4">
        <w:rPr>
          <w:rFonts w:ascii="Times New Roman" w:hAnsi="Times New Roman" w:cs="Times New Roman"/>
          <w:b/>
          <w:sz w:val="20"/>
          <w:szCs w:val="20"/>
        </w:rPr>
        <w:t>Abstract</w:t>
      </w:r>
    </w:p>
    <w:p w:rsidR="007D53B4" w:rsidRPr="007228F4" w:rsidRDefault="007D53B4" w:rsidP="001471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7228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The </w:t>
      </w:r>
      <w:proofErr w:type="spellStart"/>
      <w:r w:rsidRPr="007228F4">
        <w:rPr>
          <w:rFonts w:ascii="Times New Roman" w:eastAsia="Times New Roman" w:hAnsi="Times New Roman" w:cs="Times New Roman"/>
          <w:sz w:val="20"/>
          <w:szCs w:val="20"/>
          <w:lang w:eastAsia="ro-RO"/>
        </w:rPr>
        <w:t>pharmaceutical</w:t>
      </w:r>
      <w:proofErr w:type="spellEnd"/>
      <w:r w:rsidRPr="007228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7228F4">
        <w:rPr>
          <w:rFonts w:ascii="Times New Roman" w:eastAsia="Times New Roman" w:hAnsi="Times New Roman" w:cs="Times New Roman"/>
          <w:sz w:val="20"/>
          <w:szCs w:val="20"/>
          <w:lang w:eastAsia="ro-RO"/>
        </w:rPr>
        <w:t>industry</w:t>
      </w:r>
      <w:proofErr w:type="spellEnd"/>
      <w:r w:rsidRPr="007228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7228F4">
        <w:rPr>
          <w:rFonts w:ascii="Times New Roman" w:eastAsia="Times New Roman" w:hAnsi="Times New Roman" w:cs="Times New Roman"/>
          <w:sz w:val="20"/>
          <w:szCs w:val="20"/>
          <w:lang w:eastAsia="ro-RO"/>
        </w:rPr>
        <w:t>has</w:t>
      </w:r>
      <w:proofErr w:type="spellEnd"/>
      <w:r w:rsidRPr="007228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7228F4">
        <w:rPr>
          <w:rFonts w:ascii="Times New Roman" w:eastAsia="Times New Roman" w:hAnsi="Times New Roman" w:cs="Times New Roman"/>
          <w:sz w:val="20"/>
          <w:szCs w:val="20"/>
          <w:lang w:eastAsia="ro-RO"/>
        </w:rPr>
        <w:t>become</w:t>
      </w:r>
      <w:proofErr w:type="spellEnd"/>
      <w:r w:rsidRPr="007228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a </w:t>
      </w:r>
      <w:proofErr w:type="spellStart"/>
      <w:r w:rsidRPr="007228F4">
        <w:rPr>
          <w:rFonts w:ascii="Times New Roman" w:eastAsia="Times New Roman" w:hAnsi="Times New Roman" w:cs="Times New Roman"/>
          <w:sz w:val="20"/>
          <w:szCs w:val="20"/>
          <w:lang w:eastAsia="ro-RO"/>
        </w:rPr>
        <w:t>large</w:t>
      </w:r>
      <w:proofErr w:type="spellEnd"/>
      <w:r w:rsidRPr="007228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7228F4">
        <w:rPr>
          <w:rFonts w:ascii="Times New Roman" w:eastAsia="Times New Roman" w:hAnsi="Times New Roman" w:cs="Times New Roman"/>
          <w:sz w:val="20"/>
          <w:szCs w:val="20"/>
          <w:lang w:eastAsia="ro-RO"/>
        </w:rPr>
        <w:t>and</w:t>
      </w:r>
      <w:proofErr w:type="spellEnd"/>
      <w:r w:rsidRPr="007228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7228F4">
        <w:rPr>
          <w:rFonts w:ascii="Times New Roman" w:eastAsia="Times New Roman" w:hAnsi="Times New Roman" w:cs="Times New Roman"/>
          <w:sz w:val="20"/>
          <w:szCs w:val="20"/>
          <w:lang w:eastAsia="ro-RO"/>
        </w:rPr>
        <w:t>very</w:t>
      </w:r>
      <w:proofErr w:type="spellEnd"/>
      <w:r w:rsidRPr="007228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complex </w:t>
      </w:r>
      <w:proofErr w:type="spellStart"/>
      <w:r w:rsidRPr="007228F4">
        <w:rPr>
          <w:rFonts w:ascii="Times New Roman" w:eastAsia="Times New Roman" w:hAnsi="Times New Roman" w:cs="Times New Roman"/>
          <w:sz w:val="20"/>
          <w:szCs w:val="20"/>
          <w:lang w:eastAsia="ro-RO"/>
        </w:rPr>
        <w:t>enterprise</w:t>
      </w:r>
      <w:proofErr w:type="spellEnd"/>
      <w:r w:rsidR="007228F4">
        <w:rPr>
          <w:rFonts w:ascii="Times New Roman" w:eastAsia="Times New Roman" w:hAnsi="Times New Roman" w:cs="Times New Roman"/>
          <w:sz w:val="20"/>
          <w:szCs w:val="20"/>
          <w:lang w:eastAsia="ro-RO"/>
        </w:rPr>
        <w:t>.</w:t>
      </w:r>
    </w:p>
    <w:p w:rsidR="00734BE9" w:rsidRPr="007228F4" w:rsidRDefault="007D53B4" w:rsidP="00986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228F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De la începuturile sale la începutul secolului al XIX-lea, </w:t>
      </w:r>
      <w:r w:rsidR="00734BE9" w:rsidRPr="007228F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aceasta </w:t>
      </w:r>
      <w:r w:rsidRPr="007228F4">
        <w:rPr>
          <w:rFonts w:ascii="Times New Roman" w:hAnsi="Times New Roman" w:cs="Times New Roman"/>
          <w:sz w:val="20"/>
          <w:szCs w:val="20"/>
          <w:shd w:val="clear" w:color="auto" w:fill="FFFFFF"/>
        </w:rPr>
        <w:t>industri</w:t>
      </w:r>
      <w:r w:rsidR="00734BE9" w:rsidRPr="007228F4">
        <w:rPr>
          <w:rFonts w:ascii="Times New Roman" w:hAnsi="Times New Roman" w:cs="Times New Roman"/>
          <w:sz w:val="20"/>
          <w:szCs w:val="20"/>
          <w:shd w:val="clear" w:color="auto" w:fill="FFFFFF"/>
        </w:rPr>
        <w:t>e</w:t>
      </w:r>
      <w:r w:rsidRPr="007228F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766A8" w:rsidRPr="007228F4">
        <w:rPr>
          <w:rFonts w:ascii="Times New Roman" w:hAnsi="Times New Roman" w:cs="Times New Roman"/>
          <w:sz w:val="20"/>
          <w:szCs w:val="20"/>
          <w:shd w:val="clear" w:color="auto" w:fill="FFFFFF"/>
        </w:rPr>
        <w:t>s-a transformat in</w:t>
      </w:r>
      <w:r w:rsidRPr="007228F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una dintre cele mai profitabile și mai influente </w:t>
      </w:r>
      <w:r w:rsidR="00B766A8" w:rsidRPr="007228F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industrii considerat a fi unul din ce cei mai mari investitori in cercetare si dezvoltare </w:t>
      </w:r>
      <w:proofErr w:type="spellStart"/>
      <w:r w:rsidR="00B766A8" w:rsidRPr="007228F4">
        <w:rPr>
          <w:rFonts w:ascii="Times New Roman" w:hAnsi="Times New Roman" w:cs="Times New Roman"/>
          <w:sz w:val="20"/>
          <w:szCs w:val="20"/>
          <w:shd w:val="clear" w:color="auto" w:fill="FFFFFF"/>
        </w:rPr>
        <w:t>atat</w:t>
      </w:r>
      <w:proofErr w:type="spellEnd"/>
      <w:r w:rsidR="00B766A8" w:rsidRPr="007228F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la nivel european cat si mondial</w:t>
      </w:r>
      <w:r w:rsidR="006876EE" w:rsidRPr="007228F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="00B766A8" w:rsidRPr="007228F4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986AA1" w:rsidRPr="007228F4">
        <w:rPr>
          <w:rFonts w:ascii="Times New Roman" w:hAnsi="Times New Roman" w:cs="Times New Roman"/>
          <w:sz w:val="20"/>
          <w:szCs w:val="20"/>
          <w:shd w:val="clear" w:color="auto" w:fill="FFFFFF"/>
        </w:rPr>
        <w:t>o piață a îngrijirii sănătății conectată la nivel global.</w:t>
      </w:r>
    </w:p>
    <w:p w:rsidR="00B34B8C" w:rsidRPr="007228F4" w:rsidRDefault="001F2104" w:rsidP="001F21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</w:pPr>
      <w:r w:rsidRPr="007228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Industria farmaceutica </w:t>
      </w:r>
      <w:proofErr w:type="spellStart"/>
      <w:r w:rsidRPr="007228F4">
        <w:rPr>
          <w:rFonts w:ascii="Times New Roman" w:eastAsia="Times New Roman" w:hAnsi="Times New Roman" w:cs="Times New Roman"/>
          <w:sz w:val="20"/>
          <w:szCs w:val="20"/>
          <w:lang w:eastAsia="ro-RO"/>
        </w:rPr>
        <w:t>activeaza</w:t>
      </w:r>
      <w:proofErr w:type="spellEnd"/>
      <w:r w:rsidRPr="007228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pe o </w:t>
      </w:r>
      <w:proofErr w:type="spellStart"/>
      <w:r w:rsidRPr="007228F4">
        <w:rPr>
          <w:rFonts w:ascii="Times New Roman" w:eastAsia="Times New Roman" w:hAnsi="Times New Roman" w:cs="Times New Roman"/>
          <w:sz w:val="20"/>
          <w:szCs w:val="20"/>
          <w:lang w:eastAsia="ro-RO"/>
        </w:rPr>
        <w:t>piata</w:t>
      </w:r>
      <w:proofErr w:type="spellEnd"/>
      <w:r w:rsidRPr="007228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extrem de profitabila, cu marje mari de profit, </w:t>
      </w:r>
      <w:proofErr w:type="spellStart"/>
      <w:r w:rsidRPr="007228F4">
        <w:rPr>
          <w:rFonts w:ascii="Times New Roman" w:eastAsia="Times New Roman" w:hAnsi="Times New Roman" w:cs="Times New Roman"/>
          <w:sz w:val="20"/>
          <w:szCs w:val="20"/>
          <w:lang w:eastAsia="ro-RO"/>
        </w:rPr>
        <w:t>diferentiat</w:t>
      </w:r>
      <w:proofErr w:type="spellEnd"/>
      <w:r w:rsidRPr="007228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, desigur in </w:t>
      </w:r>
      <w:proofErr w:type="spellStart"/>
      <w:r w:rsidRPr="007228F4">
        <w:rPr>
          <w:rFonts w:ascii="Times New Roman" w:eastAsia="Times New Roman" w:hAnsi="Times New Roman" w:cs="Times New Roman"/>
          <w:sz w:val="20"/>
          <w:szCs w:val="20"/>
          <w:lang w:eastAsia="ro-RO"/>
        </w:rPr>
        <w:t>functie</w:t>
      </w:r>
      <w:proofErr w:type="spellEnd"/>
      <w:r w:rsidRPr="007228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7228F4">
        <w:rPr>
          <w:rFonts w:ascii="Times New Roman" w:eastAsia="Times New Roman" w:hAnsi="Times New Roman" w:cs="Times New Roman"/>
          <w:sz w:val="20"/>
          <w:szCs w:val="20"/>
          <w:lang w:eastAsia="ro-RO"/>
        </w:rPr>
        <w:t>marimea</w:t>
      </w:r>
      <w:proofErr w:type="spellEnd"/>
      <w:r w:rsidRPr="007228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afacerii si de stadiul de dezvoltare. </w:t>
      </w:r>
      <w:proofErr w:type="spellStart"/>
      <w:r w:rsidRPr="007228F4">
        <w:rPr>
          <w:rFonts w:ascii="Times New Roman" w:eastAsia="Times New Roman" w:hAnsi="Times New Roman" w:cs="Times New Roman"/>
          <w:sz w:val="20"/>
          <w:szCs w:val="20"/>
          <w:lang w:eastAsia="ro-RO"/>
        </w:rPr>
        <w:t>Provocarile</w:t>
      </w:r>
      <w:proofErr w:type="spellEnd"/>
      <w:r w:rsidRPr="007228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din mediul de afaceri </w:t>
      </w:r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le-a impus </w:t>
      </w:r>
      <w:proofErr w:type="spellStart"/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to</w:t>
      </w:r>
      <w:proofErr w:type="spellEnd"/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adjust</w:t>
      </w:r>
      <w:proofErr w:type="spellEnd"/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their</w:t>
      </w:r>
      <w:proofErr w:type="spellEnd"/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business </w:t>
      </w:r>
      <w:proofErr w:type="spellStart"/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models</w:t>
      </w:r>
      <w:proofErr w:type="spellEnd"/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to</w:t>
      </w:r>
      <w:proofErr w:type="spellEnd"/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fit </w:t>
      </w:r>
      <w:proofErr w:type="spellStart"/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the</w:t>
      </w:r>
      <w:proofErr w:type="spellEnd"/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new</w:t>
      </w:r>
      <w:proofErr w:type="spellEnd"/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market </w:t>
      </w:r>
      <w:proofErr w:type="spellStart"/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requirements</w:t>
      </w:r>
      <w:proofErr w:type="spellEnd"/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and</w:t>
      </w:r>
      <w:proofErr w:type="spellEnd"/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ensuring</w:t>
      </w:r>
      <w:proofErr w:type="spellEnd"/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business </w:t>
      </w:r>
      <w:proofErr w:type="spellStart"/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success</w:t>
      </w:r>
      <w:proofErr w:type="spellEnd"/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.</w:t>
      </w:r>
    </w:p>
    <w:p w:rsidR="001F2104" w:rsidRPr="007228F4" w:rsidRDefault="001F2104" w:rsidP="001F21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Cum s-au comportat companiile </w:t>
      </w:r>
      <w:proofErr w:type="spellStart"/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romanesti</w:t>
      </w:r>
      <w:proofErr w:type="spellEnd"/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in raport cu mediul de afaceri globalizat si care le este nivelul de profitabilitate care sa le asigure sustenabilitatea ? La aceste </w:t>
      </w:r>
      <w:proofErr w:type="spellStart"/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intrebari</w:t>
      </w:r>
      <w:proofErr w:type="spellEnd"/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studiul de fata </w:t>
      </w:r>
      <w:proofErr w:type="spellStart"/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cauta</w:t>
      </w:r>
      <w:proofErr w:type="spellEnd"/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sa </w:t>
      </w:r>
      <w:proofErr w:type="spellStart"/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aduca</w:t>
      </w:r>
      <w:proofErr w:type="spellEnd"/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rasppuns</w:t>
      </w:r>
      <w:proofErr w:type="spellEnd"/>
      <w:r w:rsidRPr="007228F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.</w:t>
      </w:r>
    </w:p>
    <w:p w:rsidR="006876EE" w:rsidRPr="007228F4" w:rsidRDefault="006876EE" w:rsidP="00B34B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6876EE" w:rsidRPr="007228F4" w:rsidRDefault="006876EE" w:rsidP="00B34B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265FA3" w:rsidRPr="007228F4" w:rsidRDefault="00265FA3" w:rsidP="00A03129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7228F4">
        <w:rPr>
          <w:rFonts w:ascii="Times New Roman" w:hAnsi="Times New Roman" w:cs="Times New Roman"/>
          <w:b/>
          <w:sz w:val="20"/>
          <w:szCs w:val="20"/>
        </w:rPr>
        <w:t>Keywords</w:t>
      </w:r>
      <w:proofErr w:type="spellEnd"/>
      <w:r w:rsidR="000C4885" w:rsidRPr="007228F4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277555" w:rsidRPr="007228F4">
        <w:rPr>
          <w:rFonts w:ascii="Times New Roman" w:hAnsi="Times New Roman" w:cs="Times New Roman"/>
          <w:sz w:val="20"/>
          <w:szCs w:val="20"/>
        </w:rPr>
        <w:t xml:space="preserve">analiză, companii farmaceutice, </w:t>
      </w:r>
      <w:r w:rsidR="00D6586F" w:rsidRPr="007228F4">
        <w:rPr>
          <w:rFonts w:ascii="Times New Roman" w:hAnsi="Times New Roman" w:cs="Times New Roman"/>
          <w:sz w:val="20"/>
          <w:szCs w:val="20"/>
        </w:rPr>
        <w:t xml:space="preserve">profitabilitate, </w:t>
      </w:r>
      <w:r w:rsidR="00B66B8F">
        <w:rPr>
          <w:rFonts w:ascii="Times New Roman" w:hAnsi="Times New Roman" w:cs="Times New Roman"/>
          <w:sz w:val="20"/>
          <w:szCs w:val="20"/>
        </w:rPr>
        <w:t xml:space="preserve">performanță financiară, </w:t>
      </w:r>
      <w:r w:rsidR="00D6586F" w:rsidRPr="007228F4">
        <w:rPr>
          <w:rFonts w:ascii="Times New Roman" w:hAnsi="Times New Roman" w:cs="Times New Roman"/>
          <w:sz w:val="20"/>
          <w:szCs w:val="20"/>
        </w:rPr>
        <w:t>mediu de afaceri</w:t>
      </w:r>
    </w:p>
    <w:p w:rsidR="00265FA3" w:rsidRPr="007228F4" w:rsidRDefault="00265FA3" w:rsidP="00A03129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</w:p>
    <w:p w:rsidR="00265FA3" w:rsidRPr="00B66B8F" w:rsidRDefault="00265FA3" w:rsidP="00A03129">
      <w:pPr>
        <w:spacing w:after="0" w:line="240" w:lineRule="auto"/>
        <w:ind w:firstLine="567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7228F4">
        <w:rPr>
          <w:rFonts w:ascii="Times New Roman" w:hAnsi="Times New Roman" w:cs="Times New Roman"/>
          <w:b/>
          <w:sz w:val="20"/>
          <w:szCs w:val="20"/>
        </w:rPr>
        <w:t xml:space="preserve">JEL </w:t>
      </w:r>
      <w:proofErr w:type="spellStart"/>
      <w:r w:rsidRPr="007228F4">
        <w:rPr>
          <w:rFonts w:ascii="Times New Roman" w:hAnsi="Times New Roman" w:cs="Times New Roman"/>
          <w:b/>
          <w:sz w:val="20"/>
          <w:szCs w:val="20"/>
        </w:rPr>
        <w:t>Classification</w:t>
      </w:r>
      <w:proofErr w:type="spellEnd"/>
      <w:r w:rsidR="000C4885" w:rsidRPr="007228F4">
        <w:rPr>
          <w:rFonts w:ascii="Times New Roman" w:hAnsi="Times New Roman" w:cs="Times New Roman"/>
          <w:b/>
          <w:sz w:val="20"/>
          <w:szCs w:val="20"/>
        </w:rPr>
        <w:t>:</w:t>
      </w:r>
      <w:r w:rsidR="00277555" w:rsidRPr="007228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94896" w:rsidRPr="007228F4">
        <w:rPr>
          <w:rFonts w:ascii="Times New Roman" w:hAnsi="Times New Roman" w:cs="Times New Roman"/>
          <w:sz w:val="20"/>
          <w:szCs w:val="20"/>
        </w:rPr>
        <w:t xml:space="preserve">D20, </w:t>
      </w:r>
      <w:r w:rsidR="00E141E2" w:rsidRPr="007228F4">
        <w:rPr>
          <w:rFonts w:ascii="Times New Roman" w:hAnsi="Times New Roman" w:cs="Times New Roman"/>
          <w:sz w:val="20"/>
          <w:szCs w:val="20"/>
        </w:rPr>
        <w:t xml:space="preserve">I15, </w:t>
      </w:r>
      <w:r w:rsidR="00B66B8F">
        <w:rPr>
          <w:rFonts w:ascii="Times New Roman" w:hAnsi="Times New Roman" w:cs="Times New Roman"/>
          <w:color w:val="FF0000"/>
          <w:sz w:val="20"/>
          <w:szCs w:val="20"/>
        </w:rPr>
        <w:t>să verificați încadrarea</w:t>
      </w:r>
    </w:p>
    <w:p w:rsidR="00265FA3" w:rsidRPr="007228F4" w:rsidRDefault="00265FA3" w:rsidP="00A0312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9A563A" w:rsidRPr="007228F4" w:rsidRDefault="009A563A" w:rsidP="007C4371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7228F4">
        <w:rPr>
          <w:rFonts w:ascii="Times New Roman" w:hAnsi="Times New Roman" w:cs="Times New Roman"/>
          <w:b/>
          <w:sz w:val="24"/>
          <w:szCs w:val="24"/>
        </w:rPr>
        <w:t>Introducere</w:t>
      </w:r>
    </w:p>
    <w:p w:rsidR="00E27F2C" w:rsidRPr="007228F4" w:rsidRDefault="00E27F2C" w:rsidP="007228F4">
      <w:pPr>
        <w:pStyle w:val="NormalWeb"/>
        <w:spacing w:before="0" w:beforeAutospacing="0" w:after="0" w:afterAutospacing="0"/>
        <w:ind w:firstLine="567"/>
        <w:jc w:val="both"/>
        <w:rPr>
          <w:rStyle w:val="Strong"/>
        </w:rPr>
      </w:pPr>
      <w:r w:rsidRPr="007228F4">
        <w:rPr>
          <w:rStyle w:val="Strong"/>
        </w:rPr>
        <w:t>Industria farmaceutica si mediul de afaceri</w:t>
      </w:r>
    </w:p>
    <w:p w:rsidR="00E27F2C" w:rsidRPr="007228F4" w:rsidRDefault="00E27F2C" w:rsidP="007228F4">
      <w:pPr>
        <w:pStyle w:val="NormalWeb"/>
        <w:spacing w:before="0" w:beforeAutospacing="0" w:after="0" w:afterAutospacing="0"/>
        <w:ind w:firstLine="567"/>
        <w:jc w:val="both"/>
        <w:rPr>
          <w:rStyle w:val="Strong"/>
        </w:rPr>
      </w:pPr>
      <w:r w:rsidRPr="007228F4">
        <w:rPr>
          <w:rStyle w:val="Strong"/>
        </w:rPr>
        <w:t>Global</w:t>
      </w:r>
    </w:p>
    <w:p w:rsidR="00BE5C1C" w:rsidRPr="007228F4" w:rsidRDefault="00942E8A" w:rsidP="007228F4">
      <w:pPr>
        <w:pStyle w:val="NormalWeb"/>
        <w:spacing w:before="0" w:beforeAutospacing="0" w:after="0" w:afterAutospacing="0"/>
        <w:ind w:firstLine="567"/>
        <w:jc w:val="both"/>
        <w:rPr>
          <w:bCs/>
        </w:rPr>
      </w:pPr>
      <w:r w:rsidRPr="007228F4">
        <w:rPr>
          <w:bCs/>
        </w:rPr>
        <w:t xml:space="preserve">Chiar dacă activează pe o piață extrem de profitabilă, </w:t>
      </w:r>
      <w:r w:rsidR="00693C1D" w:rsidRPr="007228F4">
        <w:rPr>
          <w:bCs/>
        </w:rPr>
        <w:t xml:space="preserve">cu  </w:t>
      </w:r>
      <w:proofErr w:type="spellStart"/>
      <w:r w:rsidR="00693C1D" w:rsidRPr="007228F4">
        <w:rPr>
          <w:bCs/>
        </w:rPr>
        <w:t>cresteri</w:t>
      </w:r>
      <w:proofErr w:type="spellEnd"/>
      <w:r w:rsidR="00693C1D" w:rsidRPr="007228F4">
        <w:rPr>
          <w:bCs/>
        </w:rPr>
        <w:t xml:space="preserve"> </w:t>
      </w:r>
      <w:proofErr w:type="spellStart"/>
      <w:r w:rsidR="00693C1D" w:rsidRPr="007228F4">
        <w:rPr>
          <w:bCs/>
        </w:rPr>
        <w:t>sustinute</w:t>
      </w:r>
      <w:proofErr w:type="spellEnd"/>
      <w:r w:rsidR="00693C1D" w:rsidRPr="007228F4">
        <w:rPr>
          <w:bCs/>
        </w:rPr>
        <w:t xml:space="preserve">, an </w:t>
      </w:r>
      <w:proofErr w:type="spellStart"/>
      <w:r w:rsidR="00693C1D" w:rsidRPr="007228F4">
        <w:rPr>
          <w:bCs/>
        </w:rPr>
        <w:t>average</w:t>
      </w:r>
      <w:proofErr w:type="spellEnd"/>
      <w:r w:rsidR="00693C1D" w:rsidRPr="007228F4">
        <w:rPr>
          <w:bCs/>
        </w:rPr>
        <w:t xml:space="preserve"> </w:t>
      </w:r>
      <w:proofErr w:type="spellStart"/>
      <w:r w:rsidR="00693C1D" w:rsidRPr="007228F4">
        <w:rPr>
          <w:bCs/>
        </w:rPr>
        <w:t>by</w:t>
      </w:r>
      <w:proofErr w:type="spellEnd"/>
      <w:r w:rsidR="00693C1D" w:rsidRPr="007228F4">
        <w:rPr>
          <w:bCs/>
        </w:rPr>
        <w:t xml:space="preserve"> 4.5% </w:t>
      </w:r>
      <w:proofErr w:type="spellStart"/>
      <w:r w:rsidR="00693C1D" w:rsidRPr="007228F4">
        <w:rPr>
          <w:bCs/>
        </w:rPr>
        <w:t>annually</w:t>
      </w:r>
      <w:proofErr w:type="spellEnd"/>
      <w:r w:rsidR="00693C1D" w:rsidRPr="007228F4">
        <w:rPr>
          <w:bCs/>
        </w:rPr>
        <w:t xml:space="preserve">, </w:t>
      </w:r>
      <w:proofErr w:type="spellStart"/>
      <w:r w:rsidR="00693C1D" w:rsidRPr="007228F4">
        <w:rPr>
          <w:bCs/>
        </w:rPr>
        <w:t>through</w:t>
      </w:r>
      <w:proofErr w:type="spellEnd"/>
      <w:r w:rsidR="00693C1D" w:rsidRPr="007228F4">
        <w:rPr>
          <w:bCs/>
        </w:rPr>
        <w:t xml:space="preserve"> 2016; </w:t>
      </w:r>
      <w:proofErr w:type="spellStart"/>
      <w:r w:rsidR="00693C1D" w:rsidRPr="007228F4">
        <w:rPr>
          <w:bCs/>
        </w:rPr>
        <w:t>growth</w:t>
      </w:r>
      <w:proofErr w:type="spellEnd"/>
      <w:r w:rsidR="00693C1D" w:rsidRPr="007228F4">
        <w:rPr>
          <w:bCs/>
        </w:rPr>
        <w:t xml:space="preserve"> in </w:t>
      </w:r>
      <w:proofErr w:type="spellStart"/>
      <w:r w:rsidR="00693C1D" w:rsidRPr="007228F4">
        <w:rPr>
          <w:bCs/>
        </w:rPr>
        <w:t>emerging</w:t>
      </w:r>
      <w:proofErr w:type="spellEnd"/>
      <w:r w:rsidR="00693C1D" w:rsidRPr="007228F4">
        <w:rPr>
          <w:bCs/>
        </w:rPr>
        <w:t xml:space="preserve"> market </w:t>
      </w:r>
      <w:proofErr w:type="spellStart"/>
      <w:r w:rsidR="00693C1D" w:rsidRPr="007228F4">
        <w:rPr>
          <w:bCs/>
        </w:rPr>
        <w:t>will</w:t>
      </w:r>
      <w:proofErr w:type="spellEnd"/>
      <w:r w:rsidR="00693C1D" w:rsidRPr="007228F4">
        <w:rPr>
          <w:bCs/>
        </w:rPr>
        <w:t xml:space="preserve"> </w:t>
      </w:r>
      <w:proofErr w:type="spellStart"/>
      <w:r w:rsidR="00693C1D" w:rsidRPr="007228F4">
        <w:rPr>
          <w:bCs/>
        </w:rPr>
        <w:t>increase</w:t>
      </w:r>
      <w:proofErr w:type="spellEnd"/>
      <w:r w:rsidR="00693C1D" w:rsidRPr="007228F4">
        <w:rPr>
          <w:bCs/>
        </w:rPr>
        <w:t xml:space="preserve"> </w:t>
      </w:r>
      <w:proofErr w:type="spellStart"/>
      <w:r w:rsidR="00693C1D" w:rsidRPr="007228F4">
        <w:rPr>
          <w:bCs/>
        </w:rPr>
        <w:t>by</w:t>
      </w:r>
      <w:proofErr w:type="spellEnd"/>
      <w:r w:rsidR="00693C1D" w:rsidRPr="007228F4">
        <w:rPr>
          <w:bCs/>
        </w:rPr>
        <w:t xml:space="preserve"> </w:t>
      </w:r>
      <w:proofErr w:type="spellStart"/>
      <w:r w:rsidR="00693C1D" w:rsidRPr="007228F4">
        <w:rPr>
          <w:bCs/>
        </w:rPr>
        <w:t>almost</w:t>
      </w:r>
      <w:proofErr w:type="spellEnd"/>
      <w:r w:rsidR="00693C1D" w:rsidRPr="007228F4">
        <w:rPr>
          <w:bCs/>
        </w:rPr>
        <w:t xml:space="preserve"> 12% </w:t>
      </w:r>
      <w:r w:rsidR="002F5C2B" w:rsidRPr="007228F4">
        <w:rPr>
          <w:bCs/>
          <w:color w:val="FF0000"/>
        </w:rPr>
        <w:t>(</w:t>
      </w:r>
      <w:r w:rsidR="00693C1D" w:rsidRPr="007228F4">
        <w:rPr>
          <w:bCs/>
          <w:color w:val="0070C0"/>
        </w:rPr>
        <w:t xml:space="preserve">Roland Berger (2013) </w:t>
      </w:r>
      <w:r w:rsidRPr="007228F4">
        <w:rPr>
          <w:bCs/>
        </w:rPr>
        <w:t>companiile farmaceutice se confruntă cu multe provocări</w:t>
      </w:r>
      <w:r w:rsidR="002B25B4" w:rsidRPr="007228F4">
        <w:rPr>
          <w:bCs/>
        </w:rPr>
        <w:t>,</w:t>
      </w:r>
      <w:r w:rsidR="00351B08" w:rsidRPr="007228F4">
        <w:rPr>
          <w:bCs/>
        </w:rPr>
        <w:t xml:space="preserve"> ceea ce le impune </w:t>
      </w:r>
      <w:proofErr w:type="spellStart"/>
      <w:r w:rsidR="00F0282F" w:rsidRPr="007228F4">
        <w:rPr>
          <w:bCs/>
        </w:rPr>
        <w:t>to</w:t>
      </w:r>
      <w:proofErr w:type="spellEnd"/>
      <w:r w:rsidR="00351B08" w:rsidRPr="007228F4">
        <w:rPr>
          <w:bCs/>
        </w:rPr>
        <w:t xml:space="preserve"> </w:t>
      </w:r>
      <w:proofErr w:type="spellStart"/>
      <w:r w:rsidR="00351B08" w:rsidRPr="007228F4">
        <w:rPr>
          <w:bCs/>
        </w:rPr>
        <w:t>adjust</w:t>
      </w:r>
      <w:proofErr w:type="spellEnd"/>
      <w:r w:rsidR="00351B08" w:rsidRPr="007228F4">
        <w:rPr>
          <w:bCs/>
        </w:rPr>
        <w:t xml:space="preserve"> </w:t>
      </w:r>
      <w:proofErr w:type="spellStart"/>
      <w:r w:rsidR="00351B08" w:rsidRPr="007228F4">
        <w:rPr>
          <w:bCs/>
        </w:rPr>
        <w:t>their</w:t>
      </w:r>
      <w:proofErr w:type="spellEnd"/>
      <w:r w:rsidR="00351B08" w:rsidRPr="007228F4">
        <w:rPr>
          <w:bCs/>
        </w:rPr>
        <w:t xml:space="preserve"> business </w:t>
      </w:r>
      <w:proofErr w:type="spellStart"/>
      <w:r w:rsidR="00351B08" w:rsidRPr="007228F4">
        <w:rPr>
          <w:bCs/>
        </w:rPr>
        <w:t>models</w:t>
      </w:r>
      <w:proofErr w:type="spellEnd"/>
      <w:r w:rsidR="00351B08" w:rsidRPr="007228F4">
        <w:rPr>
          <w:bCs/>
        </w:rPr>
        <w:t xml:space="preserve"> </w:t>
      </w:r>
      <w:proofErr w:type="spellStart"/>
      <w:r w:rsidR="00351B08" w:rsidRPr="007228F4">
        <w:rPr>
          <w:bCs/>
        </w:rPr>
        <w:t>to</w:t>
      </w:r>
      <w:proofErr w:type="spellEnd"/>
      <w:r w:rsidR="00351B08" w:rsidRPr="007228F4">
        <w:rPr>
          <w:bCs/>
        </w:rPr>
        <w:t xml:space="preserve"> </w:t>
      </w:r>
      <w:r w:rsidR="00F0282F" w:rsidRPr="007228F4">
        <w:rPr>
          <w:bCs/>
        </w:rPr>
        <w:t xml:space="preserve">fit </w:t>
      </w:r>
      <w:proofErr w:type="spellStart"/>
      <w:r w:rsidR="00F0282F" w:rsidRPr="007228F4">
        <w:rPr>
          <w:bCs/>
        </w:rPr>
        <w:t>the</w:t>
      </w:r>
      <w:proofErr w:type="spellEnd"/>
      <w:r w:rsidR="00F0282F" w:rsidRPr="007228F4">
        <w:rPr>
          <w:bCs/>
        </w:rPr>
        <w:t xml:space="preserve"> </w:t>
      </w:r>
      <w:proofErr w:type="spellStart"/>
      <w:r w:rsidR="00F0282F" w:rsidRPr="007228F4">
        <w:rPr>
          <w:bCs/>
        </w:rPr>
        <w:t>new</w:t>
      </w:r>
      <w:proofErr w:type="spellEnd"/>
      <w:r w:rsidR="00F0282F" w:rsidRPr="007228F4">
        <w:rPr>
          <w:bCs/>
        </w:rPr>
        <w:t xml:space="preserve"> market </w:t>
      </w:r>
      <w:proofErr w:type="spellStart"/>
      <w:r w:rsidR="00F0282F" w:rsidRPr="007228F4">
        <w:rPr>
          <w:bCs/>
        </w:rPr>
        <w:t>requirements</w:t>
      </w:r>
      <w:proofErr w:type="spellEnd"/>
      <w:r w:rsidR="001C361F" w:rsidRPr="007228F4">
        <w:rPr>
          <w:bCs/>
        </w:rPr>
        <w:t xml:space="preserve"> </w:t>
      </w:r>
      <w:proofErr w:type="spellStart"/>
      <w:r w:rsidR="001C361F" w:rsidRPr="007228F4">
        <w:rPr>
          <w:bCs/>
        </w:rPr>
        <w:t>and</w:t>
      </w:r>
      <w:proofErr w:type="spellEnd"/>
      <w:r w:rsidR="001C361F" w:rsidRPr="007228F4">
        <w:rPr>
          <w:bCs/>
        </w:rPr>
        <w:t xml:space="preserve"> </w:t>
      </w:r>
      <w:proofErr w:type="spellStart"/>
      <w:r w:rsidR="001C361F" w:rsidRPr="007228F4">
        <w:rPr>
          <w:bCs/>
        </w:rPr>
        <w:t>ensuring</w:t>
      </w:r>
      <w:proofErr w:type="spellEnd"/>
      <w:r w:rsidR="001C361F" w:rsidRPr="007228F4">
        <w:rPr>
          <w:bCs/>
        </w:rPr>
        <w:t xml:space="preserve"> business </w:t>
      </w:r>
      <w:proofErr w:type="spellStart"/>
      <w:r w:rsidR="001C361F" w:rsidRPr="007228F4">
        <w:rPr>
          <w:bCs/>
        </w:rPr>
        <w:t>success</w:t>
      </w:r>
      <w:proofErr w:type="spellEnd"/>
      <w:r w:rsidR="001C361F" w:rsidRPr="007228F4">
        <w:rPr>
          <w:bCs/>
        </w:rPr>
        <w:t>.</w:t>
      </w:r>
      <w:r w:rsidR="00F0282F" w:rsidRPr="007228F4">
        <w:rPr>
          <w:bCs/>
        </w:rPr>
        <w:t xml:space="preserve"> </w:t>
      </w:r>
    </w:p>
    <w:p w:rsidR="00B766A8" w:rsidRPr="007228F4" w:rsidRDefault="002B25B4" w:rsidP="007228F4">
      <w:pPr>
        <w:pStyle w:val="NormalWeb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7228F4">
        <w:rPr>
          <w:rFonts w:eastAsiaTheme="minorHAnsi"/>
          <w:lang w:eastAsia="en-US"/>
        </w:rPr>
        <w:t xml:space="preserve">Organizațiile  se confruntă cu probleme ce afectează concomitent dezvoltarea, producția și distribuția – de </w:t>
      </w:r>
      <w:r w:rsidR="004C166C" w:rsidRPr="007228F4">
        <w:rPr>
          <w:bCs/>
        </w:rPr>
        <w:t xml:space="preserve">la </w:t>
      </w:r>
      <w:r w:rsidR="00942E8A" w:rsidRPr="007228F4">
        <w:rPr>
          <w:bCs/>
        </w:rPr>
        <w:t xml:space="preserve">dezvoltarea de noi produse care să răspundă nevoilor pacienților, medicilor, dar și condițiilor specifice ale companiilor de asigurare; </w:t>
      </w:r>
      <w:r w:rsidRPr="007228F4">
        <w:rPr>
          <w:rFonts w:eastAsiaTheme="minorHAnsi"/>
          <w:lang w:eastAsia="en-US"/>
        </w:rPr>
        <w:t xml:space="preserve">presiunea de a reduce costurile înregistrate în etape incipiente de cercetare și dezvoltare, fără a sacrifica rezultatele; reducerea riscurilor dezvoltării clinice, generând în același timp date de înaltă calitate; </w:t>
      </w:r>
      <w:r w:rsidR="00942E8A" w:rsidRPr="007228F4">
        <w:rPr>
          <w:bCs/>
        </w:rPr>
        <w:t>respectarea standardelor de reglementare; gestionarea tehnologiei în domeniul sănătății</w:t>
      </w:r>
      <w:r w:rsidR="004C166C" w:rsidRPr="007228F4">
        <w:rPr>
          <w:bCs/>
        </w:rPr>
        <w:t xml:space="preserve">, simultan cu </w:t>
      </w:r>
      <w:r w:rsidR="00942E8A" w:rsidRPr="007228F4">
        <w:rPr>
          <w:bCs/>
        </w:rPr>
        <w:t xml:space="preserve"> încerc</w:t>
      </w:r>
      <w:r w:rsidR="004C166C" w:rsidRPr="007228F4">
        <w:rPr>
          <w:bCs/>
        </w:rPr>
        <w:t>area de a</w:t>
      </w:r>
      <w:r w:rsidR="00942E8A" w:rsidRPr="007228F4">
        <w:rPr>
          <w:bCs/>
        </w:rPr>
        <w:t xml:space="preserve"> satisfac</w:t>
      </w:r>
      <w:r w:rsidR="004C166C" w:rsidRPr="007228F4">
        <w:rPr>
          <w:bCs/>
        </w:rPr>
        <w:t>e</w:t>
      </w:r>
      <w:r w:rsidR="0038482C">
        <w:rPr>
          <w:bCs/>
        </w:rPr>
        <w:t xml:space="preserve"> așteptările investitorilor </w:t>
      </w:r>
      <w:r w:rsidR="002F5C2B" w:rsidRPr="007228F4">
        <w:rPr>
          <w:bCs/>
        </w:rPr>
        <w:t>(</w:t>
      </w:r>
      <w:hyperlink r:id="rId8" w:history="1">
        <w:r w:rsidR="00942E8A" w:rsidRPr="007228F4">
          <w:rPr>
            <w:rFonts w:eastAsiaTheme="minorHAnsi"/>
            <w:color w:val="0000FF"/>
            <w:u w:val="single"/>
            <w:lang w:eastAsia="en-US"/>
          </w:rPr>
          <w:t>http://www.politicidesanatate.ro/pacientul-incepe-sa-devina-actor-principal-in-industria-farmaceutica/</w:t>
        </w:r>
      </w:hyperlink>
      <w:r w:rsidR="002F5C2B" w:rsidRPr="007228F4">
        <w:rPr>
          <w:rFonts w:eastAsiaTheme="minorHAnsi"/>
          <w:color w:val="0000FF"/>
          <w:u w:val="single"/>
          <w:lang w:eastAsia="en-US"/>
        </w:rPr>
        <w:t>)</w:t>
      </w:r>
      <w:r w:rsidR="0038482C">
        <w:rPr>
          <w:rFonts w:eastAsiaTheme="minorHAnsi"/>
          <w:color w:val="0000FF"/>
          <w:u w:val="single"/>
          <w:lang w:eastAsia="en-US"/>
        </w:rPr>
        <w:t>.</w:t>
      </w:r>
    </w:p>
    <w:p w:rsidR="006E6429" w:rsidRPr="007228F4" w:rsidRDefault="006E6429" w:rsidP="007228F4">
      <w:pPr>
        <w:pStyle w:val="NormalWeb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proofErr w:type="spellStart"/>
      <w:r w:rsidRPr="007228F4">
        <w:rPr>
          <w:rFonts w:eastAsiaTheme="minorHAnsi"/>
          <w:lang w:eastAsia="en-US"/>
        </w:rPr>
        <w:t>Intr</w:t>
      </w:r>
      <w:proofErr w:type="spellEnd"/>
      <w:r w:rsidRPr="007228F4">
        <w:rPr>
          <w:rFonts w:eastAsiaTheme="minorHAnsi"/>
          <w:lang w:eastAsia="en-US"/>
        </w:rPr>
        <w:t xml:space="preserve">-o analiza efectuata de </w:t>
      </w:r>
      <w:proofErr w:type="spellStart"/>
      <w:r w:rsidRPr="007228F4">
        <w:rPr>
          <w:rFonts w:eastAsiaTheme="minorHAnsi"/>
          <w:lang w:eastAsia="en-US"/>
        </w:rPr>
        <w:t>Delloitte</w:t>
      </w:r>
      <w:proofErr w:type="spellEnd"/>
      <w:r w:rsidRPr="007228F4">
        <w:rPr>
          <w:rFonts w:eastAsiaTheme="minorHAnsi"/>
          <w:lang w:eastAsia="en-US"/>
        </w:rPr>
        <w:t xml:space="preserve"> asupra perspectivei globale a industriei </w:t>
      </w:r>
      <w:proofErr w:type="spellStart"/>
      <w:r w:rsidRPr="007228F4">
        <w:rPr>
          <w:rFonts w:eastAsiaTheme="minorHAnsi"/>
          <w:lang w:eastAsia="en-US"/>
        </w:rPr>
        <w:t>farma</w:t>
      </w:r>
      <w:proofErr w:type="spellEnd"/>
      <w:r w:rsidRPr="007228F4">
        <w:rPr>
          <w:rFonts w:eastAsiaTheme="minorHAnsi"/>
          <w:lang w:eastAsia="en-US"/>
        </w:rPr>
        <w:t xml:space="preserve"> în 2016 </w:t>
      </w:r>
      <w:r w:rsidR="002F5C2B" w:rsidRPr="007228F4">
        <w:rPr>
          <w:rFonts w:eastAsiaTheme="minorHAnsi"/>
          <w:lang w:eastAsia="en-US"/>
        </w:rPr>
        <w:t>(</w:t>
      </w:r>
      <w:hyperlink r:id="rId9" w:history="1">
        <w:r w:rsidRPr="007228F4">
          <w:rPr>
            <w:rFonts w:eastAsiaTheme="minorHAnsi"/>
            <w:color w:val="0000FF"/>
            <w:u w:val="single"/>
            <w:lang w:eastAsia="en-US"/>
          </w:rPr>
          <w:t>https://www2.deloitte.com/ro/ro/pages/life-sciences-and-healthcare/articles/global-life-sciences-sector-outlook.html#</w:t>
        </w:r>
      </w:hyperlink>
      <w:r w:rsidR="002F5C2B" w:rsidRPr="007228F4">
        <w:rPr>
          <w:rFonts w:eastAsiaTheme="minorHAnsi"/>
          <w:color w:val="0000FF"/>
          <w:u w:val="single"/>
          <w:lang w:eastAsia="en-US"/>
        </w:rPr>
        <w:t>)</w:t>
      </w:r>
      <w:r w:rsidRPr="007228F4">
        <w:rPr>
          <w:rFonts w:eastAsiaTheme="minorHAnsi"/>
          <w:lang w:eastAsia="en-US"/>
        </w:rPr>
        <w:t xml:space="preserve"> </w:t>
      </w:r>
      <w:proofErr w:type="spellStart"/>
      <w:r w:rsidRPr="007228F4">
        <w:rPr>
          <w:rFonts w:eastAsiaTheme="minorHAnsi"/>
          <w:lang w:eastAsia="en-US"/>
        </w:rPr>
        <w:t>piata</w:t>
      </w:r>
      <w:proofErr w:type="spellEnd"/>
      <w:r w:rsidRPr="007228F4">
        <w:rPr>
          <w:rFonts w:eastAsiaTheme="minorHAnsi"/>
          <w:lang w:eastAsia="en-US"/>
        </w:rPr>
        <w:t xml:space="preserve"> aces</w:t>
      </w:r>
      <w:r w:rsidR="003C0E63" w:rsidRPr="007228F4">
        <w:rPr>
          <w:rFonts w:eastAsiaTheme="minorHAnsi"/>
          <w:lang w:eastAsia="en-US"/>
        </w:rPr>
        <w:t xml:space="preserve">tei industrii este </w:t>
      </w:r>
      <w:proofErr w:type="spellStart"/>
      <w:r w:rsidR="003C0E63" w:rsidRPr="007228F4">
        <w:rPr>
          <w:rFonts w:eastAsiaTheme="minorHAnsi"/>
          <w:lang w:eastAsia="en-US"/>
        </w:rPr>
        <w:t>vazuta</w:t>
      </w:r>
      <w:proofErr w:type="spellEnd"/>
      <w:r w:rsidR="003C0E63" w:rsidRPr="007228F4">
        <w:rPr>
          <w:rFonts w:eastAsiaTheme="minorHAnsi"/>
          <w:lang w:eastAsia="en-US"/>
        </w:rPr>
        <w:t xml:space="preserve"> ca fii</w:t>
      </w:r>
      <w:r w:rsidR="00006FE4" w:rsidRPr="007228F4">
        <w:rPr>
          <w:rFonts w:eastAsiaTheme="minorHAnsi"/>
          <w:lang w:eastAsia="en-US"/>
        </w:rPr>
        <w:t>nd volati</w:t>
      </w:r>
      <w:r w:rsidRPr="007228F4">
        <w:rPr>
          <w:rFonts w:eastAsiaTheme="minorHAnsi"/>
          <w:lang w:eastAsia="en-US"/>
        </w:rPr>
        <w:t>la datorita incertitudin</w:t>
      </w:r>
      <w:r w:rsidR="00006FE4" w:rsidRPr="007228F4">
        <w:rPr>
          <w:rFonts w:eastAsiaTheme="minorHAnsi"/>
          <w:lang w:eastAsia="en-US"/>
        </w:rPr>
        <w:t>ii</w:t>
      </w:r>
      <w:r w:rsidRPr="007228F4">
        <w:rPr>
          <w:rFonts w:eastAsiaTheme="minorHAnsi"/>
          <w:lang w:eastAsia="en-US"/>
        </w:rPr>
        <w:t xml:space="preserve"> economic</w:t>
      </w:r>
      <w:r w:rsidR="00006FE4" w:rsidRPr="007228F4">
        <w:rPr>
          <w:rFonts w:eastAsiaTheme="minorHAnsi"/>
          <w:lang w:eastAsia="en-US"/>
        </w:rPr>
        <w:t>e</w:t>
      </w:r>
      <w:r w:rsidRPr="007228F4">
        <w:rPr>
          <w:rFonts w:eastAsiaTheme="minorHAnsi"/>
          <w:lang w:eastAsia="en-US"/>
        </w:rPr>
        <w:t>,</w:t>
      </w:r>
      <w:r w:rsidR="00006FE4" w:rsidRPr="007228F4">
        <w:rPr>
          <w:rFonts w:eastAsiaTheme="minorHAnsi"/>
          <w:lang w:eastAsia="en-US"/>
        </w:rPr>
        <w:t xml:space="preserve"> cu condiții economice fluctuante in </w:t>
      </w:r>
      <w:r w:rsidR="00006FE4" w:rsidRPr="007228F4">
        <w:rPr>
          <w:color w:val="000000"/>
          <w:shd w:val="clear" w:color="auto" w:fill="FFFFFF"/>
        </w:rPr>
        <w:t>numeroase regiuni unde își desfășoară activitatea comp</w:t>
      </w:r>
      <w:r w:rsidR="0038482C">
        <w:rPr>
          <w:color w:val="000000"/>
          <w:shd w:val="clear" w:color="auto" w:fill="FFFFFF"/>
        </w:rPr>
        <w:t xml:space="preserve">aniile din sectorul sănătății, </w:t>
      </w:r>
      <w:r w:rsidRPr="007228F4">
        <w:rPr>
          <w:rFonts w:eastAsiaTheme="minorHAnsi"/>
          <w:lang w:eastAsia="en-US"/>
        </w:rPr>
        <w:t>presiuni asupra prețurilor, o cerere mai mare de inovare și valoare adăugată, un accent mai mare pe implicarea consumatorilor și un mediu de reglementare și risc în continuă schimbare</w:t>
      </w:r>
      <w:r w:rsidR="003C0E63" w:rsidRPr="007228F4">
        <w:rPr>
          <w:rFonts w:eastAsiaTheme="minorHAnsi"/>
          <w:lang w:eastAsia="en-US"/>
        </w:rPr>
        <w:t>.</w:t>
      </w:r>
    </w:p>
    <w:p w:rsidR="00006FE4" w:rsidRPr="007228F4" w:rsidRDefault="00581DDA" w:rsidP="007228F4">
      <w:pPr>
        <w:pStyle w:val="NormalWeb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7228F4">
        <w:rPr>
          <w:rFonts w:eastAsiaTheme="minorHAnsi"/>
          <w:lang w:eastAsia="en-US"/>
        </w:rPr>
        <w:t>Companiile se confruntă</w:t>
      </w:r>
      <w:r w:rsidR="00C2609E" w:rsidRPr="007228F4">
        <w:rPr>
          <w:rFonts w:eastAsiaTheme="minorHAnsi"/>
          <w:lang w:eastAsia="en-US"/>
        </w:rPr>
        <w:t xml:space="preserve">, de asemeni, </w:t>
      </w:r>
      <w:r w:rsidRPr="007228F4">
        <w:rPr>
          <w:rFonts w:eastAsiaTheme="minorHAnsi"/>
          <w:lang w:eastAsia="en-US"/>
        </w:rPr>
        <w:t>cu necesitatea de a oferi terapii inovatoare care să asigure, pe de o parte, soluționarea nevoilor nesatisfăcute ale pacienților și tratarea afecțiunilor care le pune viețile în pericol, și pe de altă parte, o creștere profitabilă. Îndeplinirea acestor obiective</w:t>
      </w:r>
      <w:r w:rsidR="009F7FD5">
        <w:rPr>
          <w:rFonts w:eastAsiaTheme="minorHAnsi"/>
          <w:lang w:eastAsia="en-US"/>
        </w:rPr>
        <w:t>,</w:t>
      </w:r>
      <w:r w:rsidRPr="007228F4">
        <w:rPr>
          <w:rFonts w:eastAsiaTheme="minorHAnsi"/>
          <w:lang w:eastAsia="en-US"/>
        </w:rPr>
        <w:t xml:space="preserve"> adesea conflictuale</w:t>
      </w:r>
      <w:r w:rsidR="009F7FD5">
        <w:rPr>
          <w:rFonts w:eastAsiaTheme="minorHAnsi"/>
          <w:lang w:eastAsia="en-US"/>
        </w:rPr>
        <w:t>,</w:t>
      </w:r>
      <w:r w:rsidRPr="007228F4">
        <w:rPr>
          <w:rFonts w:eastAsiaTheme="minorHAnsi"/>
          <w:lang w:eastAsia="en-US"/>
        </w:rPr>
        <w:t xml:space="preserve"> impune companiilor să își transforme modelele operaționale si de a</w:t>
      </w:r>
      <w:r w:rsidR="004917DF" w:rsidRPr="007228F4">
        <w:rPr>
          <w:rFonts w:eastAsiaTheme="minorHAnsi"/>
          <w:lang w:eastAsia="en-US"/>
        </w:rPr>
        <w:t xml:space="preserve">faceri și să adopte </w:t>
      </w:r>
      <w:r w:rsidR="004917DF" w:rsidRPr="007228F4">
        <w:rPr>
          <w:rFonts w:eastAsiaTheme="minorHAnsi"/>
          <w:lang w:eastAsia="en-US"/>
        </w:rPr>
        <w:lastRenderedPageBreak/>
        <w:t>tehnologii</w:t>
      </w:r>
      <w:r w:rsidRPr="007228F4">
        <w:rPr>
          <w:rFonts w:eastAsiaTheme="minorHAnsi"/>
          <w:lang w:eastAsia="en-US"/>
        </w:rPr>
        <w:t xml:space="preserve"> capabile să contribuie la reducerea costurilor și, concomitent, a timpului necesar noilor produse și servicii să ajungă pe piață. </w:t>
      </w:r>
    </w:p>
    <w:p w:rsidR="00006FE4" w:rsidRPr="007228F4" w:rsidRDefault="00006FE4" w:rsidP="007228F4">
      <w:pPr>
        <w:pStyle w:val="NormalWeb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7228F4">
        <w:rPr>
          <w:rFonts w:eastAsiaTheme="minorHAnsi"/>
          <w:lang w:eastAsia="en-US"/>
        </w:rPr>
        <w:t>Pe de alta parte sunt</w:t>
      </w:r>
      <w:r w:rsidR="00774AE3" w:rsidRPr="007228F4">
        <w:rPr>
          <w:rFonts w:eastAsiaTheme="minorHAnsi"/>
          <w:lang w:eastAsia="en-US"/>
        </w:rPr>
        <w:t xml:space="preserve"> si </w:t>
      </w:r>
      <w:proofErr w:type="spellStart"/>
      <w:r w:rsidR="00774AE3" w:rsidRPr="007228F4">
        <w:rPr>
          <w:rFonts w:eastAsiaTheme="minorHAnsi"/>
          <w:lang w:eastAsia="en-US"/>
        </w:rPr>
        <w:t>provocari</w:t>
      </w:r>
      <w:proofErr w:type="spellEnd"/>
      <w:r w:rsidR="00774AE3" w:rsidRPr="007228F4">
        <w:rPr>
          <w:rFonts w:eastAsiaTheme="minorHAnsi"/>
          <w:lang w:eastAsia="en-US"/>
        </w:rPr>
        <w:t xml:space="preserve"> pozitive care </w:t>
      </w:r>
      <w:proofErr w:type="spellStart"/>
      <w:r w:rsidR="00774AE3" w:rsidRPr="007228F4">
        <w:rPr>
          <w:rFonts w:eastAsiaTheme="minorHAnsi"/>
          <w:lang w:eastAsia="en-US"/>
        </w:rPr>
        <w:t>ofera</w:t>
      </w:r>
      <w:proofErr w:type="spellEnd"/>
      <w:r w:rsidR="00774AE3" w:rsidRPr="007228F4">
        <w:rPr>
          <w:rFonts w:eastAsiaTheme="minorHAnsi"/>
          <w:lang w:eastAsia="en-US"/>
        </w:rPr>
        <w:t xml:space="preserve"> </w:t>
      </w:r>
      <w:proofErr w:type="spellStart"/>
      <w:r w:rsidR="00774AE3" w:rsidRPr="007228F4">
        <w:rPr>
          <w:rFonts w:eastAsiaTheme="minorHAnsi"/>
          <w:lang w:eastAsia="en-US"/>
        </w:rPr>
        <w:t>potential</w:t>
      </w:r>
      <w:proofErr w:type="spellEnd"/>
      <w:r w:rsidR="00774AE3" w:rsidRPr="007228F4">
        <w:rPr>
          <w:rFonts w:eastAsiaTheme="minorHAnsi"/>
          <w:lang w:eastAsia="en-US"/>
        </w:rPr>
        <w:t xml:space="preserve"> real de dezvoltare si </w:t>
      </w:r>
      <w:proofErr w:type="spellStart"/>
      <w:r w:rsidR="00774AE3" w:rsidRPr="007228F4">
        <w:rPr>
          <w:rFonts w:eastAsiaTheme="minorHAnsi"/>
          <w:lang w:eastAsia="en-US"/>
        </w:rPr>
        <w:t>crestere</w:t>
      </w:r>
      <w:proofErr w:type="spellEnd"/>
      <w:r w:rsidR="00774AE3" w:rsidRPr="007228F4">
        <w:rPr>
          <w:rFonts w:eastAsiaTheme="minorHAnsi"/>
          <w:lang w:eastAsia="en-US"/>
        </w:rPr>
        <w:t xml:space="preserve"> a veniturilor:</w:t>
      </w:r>
      <w:r w:rsidRPr="007228F4">
        <w:t xml:space="preserve"> </w:t>
      </w:r>
      <w:r w:rsidRPr="007228F4">
        <w:rPr>
          <w:rFonts w:eastAsiaTheme="minorHAnsi"/>
          <w:lang w:eastAsia="en-US"/>
        </w:rPr>
        <w:t xml:space="preserve">îmbătrânirea populației, incidența crescută a bolilor cronice, resursele financiare mai mari la dispoziția consumatorilor și alte caracteristici demografice în schimbare vor da un impuls cheltuielilor pentru îngrijirea sănătății și cererii de produse </w:t>
      </w:r>
      <w:r w:rsidR="00B32E2C" w:rsidRPr="007228F4">
        <w:rPr>
          <w:rFonts w:eastAsiaTheme="minorHAnsi"/>
          <w:lang w:eastAsia="en-US"/>
        </w:rPr>
        <w:t>farmaceutice.</w:t>
      </w:r>
    </w:p>
    <w:p w:rsidR="007F035D" w:rsidRPr="007228F4" w:rsidRDefault="007F035D" w:rsidP="007228F4">
      <w:pPr>
        <w:pStyle w:val="NormalWeb"/>
        <w:spacing w:before="0" w:beforeAutospacing="0" w:after="0" w:afterAutospacing="0"/>
        <w:ind w:firstLine="567"/>
        <w:jc w:val="both"/>
      </w:pPr>
      <w:r w:rsidRPr="007228F4">
        <w:rPr>
          <w:rFonts w:eastAsiaTheme="minorHAnsi"/>
          <w:lang w:eastAsia="en-US"/>
        </w:rPr>
        <w:t>In cifre</w:t>
      </w:r>
      <w:r w:rsidR="0035180A" w:rsidRPr="007228F4">
        <w:rPr>
          <w:rFonts w:eastAsiaTheme="minorHAnsi"/>
          <w:lang w:eastAsia="en-US"/>
        </w:rPr>
        <w:t xml:space="preserve">, conform </w:t>
      </w:r>
      <w:proofErr w:type="spellStart"/>
      <w:r w:rsidR="0035180A" w:rsidRPr="007228F4">
        <w:rPr>
          <w:rFonts w:eastAsiaTheme="minorHAnsi"/>
          <w:lang w:eastAsia="en-US"/>
        </w:rPr>
        <w:t>Medichub</w:t>
      </w:r>
      <w:proofErr w:type="spellEnd"/>
      <w:r w:rsidR="0035180A" w:rsidRPr="007228F4">
        <w:rPr>
          <w:rFonts w:eastAsiaTheme="minorHAnsi"/>
          <w:lang w:eastAsia="en-US"/>
        </w:rPr>
        <w:t>, (</w:t>
      </w:r>
      <w:hyperlink r:id="rId10" w:history="1">
        <w:r w:rsidR="0035180A" w:rsidRPr="007228F4">
          <w:rPr>
            <w:rStyle w:val="Hyperlink"/>
            <w:rFonts w:eastAsiaTheme="minorHAnsi"/>
            <w:lang w:eastAsia="en-US"/>
          </w:rPr>
          <w:t>https://www.medichub.ro/stiri/top-10-companii-farmaceutice-in-2018-id-1506-cmsid-2</w:t>
        </w:r>
      </w:hyperlink>
      <w:r w:rsidR="0035180A" w:rsidRPr="007228F4">
        <w:rPr>
          <w:rFonts w:eastAsiaTheme="minorHAnsi"/>
          <w:lang w:eastAsia="en-US"/>
        </w:rPr>
        <w:t>)</w:t>
      </w:r>
      <w:r w:rsidRPr="007228F4">
        <w:rPr>
          <w:rFonts w:eastAsiaTheme="minorHAnsi"/>
          <w:lang w:eastAsia="en-US"/>
        </w:rPr>
        <w:t xml:space="preserve"> </w:t>
      </w:r>
      <w:proofErr w:type="spellStart"/>
      <w:r w:rsidRPr="007228F4">
        <w:rPr>
          <w:rFonts w:eastAsiaTheme="minorHAnsi"/>
          <w:lang w:eastAsia="en-US"/>
        </w:rPr>
        <w:t>piata</w:t>
      </w:r>
      <w:proofErr w:type="spellEnd"/>
      <w:r w:rsidRPr="007228F4">
        <w:rPr>
          <w:rFonts w:eastAsiaTheme="minorHAnsi"/>
          <w:lang w:eastAsia="en-US"/>
        </w:rPr>
        <w:t xml:space="preserve"> farmaceuticelor este estimata la </w:t>
      </w:r>
      <w:r w:rsidRPr="007228F4">
        <w:t>aproximativ 1,11 trilioane de dolari la nivelul anului 2017 și se preconizează că va ajunge la 1,43 trilioa</w:t>
      </w:r>
      <w:r w:rsidR="007C4371">
        <w:t>ne de dolari până în anul 2020.</w:t>
      </w:r>
    </w:p>
    <w:p w:rsidR="007F035D" w:rsidRPr="007228F4" w:rsidRDefault="007F035D" w:rsidP="009F7FD5">
      <w:pPr>
        <w:pStyle w:val="NormalWeb"/>
        <w:spacing w:before="0" w:beforeAutospacing="0" w:after="0" w:afterAutospacing="0"/>
        <w:ind w:firstLine="567"/>
        <w:jc w:val="both"/>
      </w:pPr>
      <w:r w:rsidRPr="007228F4">
        <w:t>În anul 2017, primele 10 companii farmaceutice au generat vânzări de 437.257 bilioane de dolari reprezentând aproximativ 40% din vânzările globale din piață.</w:t>
      </w:r>
    </w:p>
    <w:p w:rsidR="00740969" w:rsidRPr="007228F4" w:rsidRDefault="00740969" w:rsidP="0072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La nivel global, c</w:t>
      </w:r>
      <w:r w:rsidRPr="007228F4">
        <w:rPr>
          <w:rFonts w:ascii="Times New Roman" w:hAnsi="Times New Roman" w:cs="Times New Roman"/>
          <w:sz w:val="24"/>
          <w:szCs w:val="24"/>
        </w:rPr>
        <w:t>lasamentul realizat</w:t>
      </w:r>
      <w:r w:rsidR="008D66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3710" w:rsidRPr="007228F4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="001C3710" w:rsidRPr="0072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710" w:rsidRPr="007228F4">
        <w:rPr>
          <w:rFonts w:ascii="Times New Roman" w:hAnsi="Times New Roman" w:cs="Times New Roman"/>
          <w:sz w:val="24"/>
          <w:szCs w:val="24"/>
        </w:rPr>
        <w:t>Reviews</w:t>
      </w:r>
      <w:proofErr w:type="spellEnd"/>
      <w:r w:rsidR="001C3710" w:rsidRPr="007228F4">
        <w:rPr>
          <w:rFonts w:ascii="Times New Roman" w:hAnsi="Times New Roman" w:cs="Times New Roman"/>
          <w:sz w:val="24"/>
          <w:szCs w:val="24"/>
        </w:rPr>
        <w:t xml:space="preserve"> Drug Discovery, preluat de </w:t>
      </w:r>
      <w:proofErr w:type="spellStart"/>
      <w:r w:rsidR="001C3710" w:rsidRPr="007228F4">
        <w:rPr>
          <w:rFonts w:ascii="Times New Roman" w:hAnsi="Times New Roman" w:cs="Times New Roman"/>
          <w:sz w:val="24"/>
          <w:szCs w:val="24"/>
        </w:rPr>
        <w:t>D</w:t>
      </w:r>
      <w:r w:rsidR="008C648B" w:rsidRPr="007228F4">
        <w:rPr>
          <w:rFonts w:ascii="Times New Roman" w:hAnsi="Times New Roman" w:cs="Times New Roman"/>
          <w:sz w:val="24"/>
          <w:szCs w:val="24"/>
        </w:rPr>
        <w:t>CM</w:t>
      </w:r>
      <w:r w:rsidR="001C3710" w:rsidRPr="007228F4">
        <w:rPr>
          <w:rFonts w:ascii="Times New Roman" w:hAnsi="Times New Roman" w:cs="Times New Roman"/>
          <w:sz w:val="24"/>
          <w:szCs w:val="24"/>
        </w:rPr>
        <w:t>edical</w:t>
      </w:r>
      <w:proofErr w:type="spellEnd"/>
      <w:r w:rsidR="001C3710" w:rsidRPr="007228F4">
        <w:rPr>
          <w:rFonts w:ascii="Times New Roman" w:hAnsi="Times New Roman" w:cs="Times New Roman"/>
          <w:sz w:val="24"/>
          <w:szCs w:val="24"/>
        </w:rPr>
        <w:t xml:space="preserve"> (</w:t>
      </w:r>
      <w:hyperlink r:id="rId11" w:history="1">
        <w:r w:rsidR="001C3710" w:rsidRPr="007228F4">
          <w:rPr>
            <w:rStyle w:val="Hyperlink"/>
            <w:rFonts w:ascii="Times New Roman" w:hAnsi="Times New Roman" w:cs="Times New Roman"/>
            <w:sz w:val="24"/>
            <w:szCs w:val="24"/>
          </w:rPr>
          <w:t>https://www.dcmedical.ro/top-10-companii-farmaceutice-vanzari-de-zeci-de-miliarde-de-dolari-fiecare_607202.html</w:t>
        </w:r>
      </w:hyperlink>
      <w:r w:rsidR="001C3710" w:rsidRPr="007228F4">
        <w:rPr>
          <w:rFonts w:ascii="Times New Roman" w:hAnsi="Times New Roman" w:cs="Times New Roman"/>
          <w:sz w:val="24"/>
          <w:szCs w:val="24"/>
        </w:rPr>
        <w:t>), în funcție de vânzările de medicamente cu sau fără prescripție, arata astfel:</w:t>
      </w:r>
    </w:p>
    <w:p w:rsidR="008142B9" w:rsidRPr="007228F4" w:rsidRDefault="008142B9" w:rsidP="001C37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42B9" w:rsidRPr="007228F4" w:rsidRDefault="007C4371" w:rsidP="008142B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Table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no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. 1. </w:t>
      </w:r>
      <w:r w:rsidR="008142B9" w:rsidRPr="007228F4">
        <w:rPr>
          <w:rFonts w:ascii="Times New Roman" w:eastAsia="Calibri" w:hAnsi="Times New Roman" w:cs="Times New Roman"/>
          <w:b/>
          <w:sz w:val="20"/>
          <w:szCs w:val="20"/>
        </w:rPr>
        <w:t xml:space="preserve">Top 5 companii farmaceutice în anul 2017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la nivel </w:t>
      </w:r>
      <w:r w:rsidR="008142B9" w:rsidRPr="007228F4">
        <w:rPr>
          <w:rFonts w:ascii="Times New Roman" w:eastAsia="Calibri" w:hAnsi="Times New Roman" w:cs="Times New Roman"/>
          <w:b/>
          <w:sz w:val="20"/>
          <w:szCs w:val="20"/>
        </w:rPr>
        <w:t>global</w:t>
      </w:r>
    </w:p>
    <w:tbl>
      <w:tblPr>
        <w:tblStyle w:val="TableGrid1"/>
        <w:tblW w:w="4440" w:type="pct"/>
        <w:jc w:val="center"/>
        <w:tblLook w:val="04A0" w:firstRow="1" w:lastRow="0" w:firstColumn="1" w:lastColumn="0" w:noHBand="0" w:noVBand="1"/>
      </w:tblPr>
      <w:tblGrid>
        <w:gridCol w:w="639"/>
        <w:gridCol w:w="4998"/>
        <w:gridCol w:w="934"/>
        <w:gridCol w:w="934"/>
        <w:gridCol w:w="1045"/>
      </w:tblGrid>
      <w:tr w:rsidR="00123236" w:rsidRPr="007228F4" w:rsidTr="00B66B8F">
        <w:trPr>
          <w:trHeight w:val="87"/>
          <w:jc w:val="center"/>
        </w:trPr>
        <w:tc>
          <w:tcPr>
            <w:tcW w:w="374" w:type="pct"/>
            <w:vMerge w:val="restart"/>
            <w:shd w:val="clear" w:color="auto" w:fill="A6A6A6"/>
            <w:vAlign w:val="center"/>
          </w:tcPr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Loc</w:t>
            </w:r>
          </w:p>
        </w:tc>
        <w:tc>
          <w:tcPr>
            <w:tcW w:w="2923" w:type="pct"/>
            <w:vMerge w:val="restart"/>
            <w:shd w:val="clear" w:color="auto" w:fill="A6A6A6"/>
            <w:vAlign w:val="center"/>
          </w:tcPr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228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Explicatii</w:t>
            </w:r>
            <w:proofErr w:type="spellEnd"/>
          </w:p>
        </w:tc>
        <w:tc>
          <w:tcPr>
            <w:tcW w:w="1091" w:type="pct"/>
            <w:gridSpan w:val="2"/>
            <w:shd w:val="clear" w:color="auto" w:fill="A6A6A6"/>
            <w:vAlign w:val="center"/>
          </w:tcPr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Anii</w:t>
            </w:r>
          </w:p>
        </w:tc>
        <w:tc>
          <w:tcPr>
            <w:tcW w:w="612" w:type="pct"/>
            <w:vMerge w:val="restart"/>
            <w:shd w:val="clear" w:color="auto" w:fill="A6A6A6"/>
            <w:vAlign w:val="center"/>
          </w:tcPr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Evoluția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(%)</w:t>
            </w:r>
          </w:p>
        </w:tc>
      </w:tr>
      <w:tr w:rsidR="00123236" w:rsidRPr="007228F4" w:rsidTr="00B66B8F">
        <w:trPr>
          <w:trHeight w:val="58"/>
          <w:jc w:val="center"/>
        </w:trPr>
        <w:tc>
          <w:tcPr>
            <w:tcW w:w="374" w:type="pct"/>
            <w:vMerge/>
            <w:shd w:val="clear" w:color="auto" w:fill="A6A6A6"/>
            <w:vAlign w:val="center"/>
          </w:tcPr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3" w:type="pct"/>
            <w:vMerge/>
            <w:shd w:val="clear" w:color="auto" w:fill="A6A6A6"/>
            <w:vAlign w:val="center"/>
          </w:tcPr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6A6A6"/>
            <w:vAlign w:val="center"/>
          </w:tcPr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546" w:type="pct"/>
            <w:shd w:val="clear" w:color="auto" w:fill="A6A6A6"/>
            <w:vAlign w:val="center"/>
          </w:tcPr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612" w:type="pct"/>
            <w:vMerge/>
            <w:shd w:val="clear" w:color="auto" w:fill="A6A6A6"/>
            <w:vAlign w:val="center"/>
          </w:tcPr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23236" w:rsidRPr="007228F4" w:rsidTr="00B66B8F">
        <w:trPr>
          <w:jc w:val="center"/>
        </w:trPr>
        <w:tc>
          <w:tcPr>
            <w:tcW w:w="374" w:type="pct"/>
          </w:tcPr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23" w:type="pct"/>
          </w:tcPr>
          <w:p w:rsidR="00123236" w:rsidRPr="007228F4" w:rsidRDefault="00123236" w:rsidP="00A477D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Pfizer Inc (</w:t>
            </w:r>
            <w:r w:rsidR="005337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$ </w:t>
            </w:r>
            <w:proofErr w:type="spellStart"/>
            <w:r w:rsidRPr="007228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mil</w:t>
            </w:r>
            <w:r w:rsidR="005337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lion</w:t>
            </w:r>
            <w:proofErr w:type="spellEnd"/>
            <w:r w:rsidRPr="007228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123236" w:rsidRPr="007228F4" w:rsidRDefault="00123236" w:rsidP="00A477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a)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Revenues</w:t>
            </w:r>
            <w:proofErr w:type="spellEnd"/>
          </w:p>
          <w:p w:rsidR="00123236" w:rsidRPr="007228F4" w:rsidRDefault="00123236" w:rsidP="00A477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b)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Operating</w:t>
            </w:r>
            <w:proofErr w:type="spellEnd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income</w:t>
            </w:r>
            <w:proofErr w:type="spellEnd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23236" w:rsidRPr="007228F4" w:rsidRDefault="00123236" w:rsidP="00A477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% of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revenues</w:t>
            </w:r>
            <w:proofErr w:type="spellEnd"/>
          </w:p>
          <w:p w:rsidR="00123236" w:rsidRPr="007228F4" w:rsidRDefault="00123236" w:rsidP="00A477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c) Net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income</w:t>
            </w:r>
            <w:proofErr w:type="spellEnd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attributable</w:t>
            </w:r>
            <w:proofErr w:type="spellEnd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to</w:t>
            </w:r>
            <w:proofErr w:type="spellEnd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Pfizer Inc</w:t>
            </w:r>
          </w:p>
          <w:p w:rsidR="00123236" w:rsidRPr="007228F4" w:rsidRDefault="00123236" w:rsidP="00A477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% of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revenues</w:t>
            </w:r>
            <w:proofErr w:type="spellEnd"/>
          </w:p>
        </w:tc>
        <w:tc>
          <w:tcPr>
            <w:tcW w:w="546" w:type="pct"/>
          </w:tcPr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52,824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7,229</w:t>
            </w:r>
          </w:p>
          <w:p w:rsidR="00123236" w:rsidRPr="007228F4" w:rsidRDefault="00F10320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13.7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7,215</w:t>
            </w:r>
          </w:p>
          <w:p w:rsidR="00123236" w:rsidRPr="007228F4" w:rsidRDefault="00F10320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13.7</w:t>
            </w:r>
          </w:p>
        </w:tc>
        <w:tc>
          <w:tcPr>
            <w:tcW w:w="546" w:type="pct"/>
          </w:tcPr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3236" w:rsidRPr="007228F4" w:rsidRDefault="006952D3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52,546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21,353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40.64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21,308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40.6</w:t>
            </w:r>
          </w:p>
        </w:tc>
        <w:tc>
          <w:tcPr>
            <w:tcW w:w="612" w:type="pct"/>
          </w:tcPr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99.47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295.38</w:t>
            </w:r>
          </w:p>
          <w:p w:rsidR="00123236" w:rsidRPr="007228F4" w:rsidRDefault="00F10320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296.6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295.33</w:t>
            </w:r>
          </w:p>
          <w:p w:rsidR="00123236" w:rsidRPr="007228F4" w:rsidRDefault="00B66B8F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296.35</w:t>
            </w:r>
          </w:p>
        </w:tc>
      </w:tr>
      <w:tr w:rsidR="00123236" w:rsidRPr="007228F4" w:rsidTr="00B66B8F">
        <w:trPr>
          <w:jc w:val="center"/>
        </w:trPr>
        <w:tc>
          <w:tcPr>
            <w:tcW w:w="374" w:type="pct"/>
          </w:tcPr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23" w:type="pct"/>
          </w:tcPr>
          <w:p w:rsidR="00123236" w:rsidRPr="007228F4" w:rsidRDefault="00123236" w:rsidP="00A477D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F.</w:t>
            </w:r>
            <w:r w:rsidR="005337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Hoffmann–La Roche, Ltd. (CHF </w:t>
            </w:r>
            <w:proofErr w:type="spellStart"/>
            <w:r w:rsidR="005337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million</w:t>
            </w:r>
            <w:proofErr w:type="spellEnd"/>
            <w:r w:rsidRPr="007228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123236" w:rsidRPr="007228F4" w:rsidRDefault="00123236" w:rsidP="00A477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a)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Revenues</w:t>
            </w:r>
            <w:proofErr w:type="spellEnd"/>
          </w:p>
          <w:p w:rsidR="00123236" w:rsidRPr="007228F4" w:rsidRDefault="00123236" w:rsidP="00A477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b)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Operating</w:t>
            </w:r>
            <w:proofErr w:type="spellEnd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income</w:t>
            </w:r>
            <w:proofErr w:type="spellEnd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23236" w:rsidRPr="007228F4" w:rsidRDefault="00123236" w:rsidP="00A477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% of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revenues</w:t>
            </w:r>
            <w:proofErr w:type="spellEnd"/>
          </w:p>
          <w:p w:rsidR="00123236" w:rsidRPr="007228F4" w:rsidRDefault="00123236" w:rsidP="00A477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c) Net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income</w:t>
            </w:r>
            <w:proofErr w:type="spellEnd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attributable</w:t>
            </w:r>
            <w:proofErr w:type="spellEnd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to</w:t>
            </w:r>
            <w:proofErr w:type="spellEnd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Roche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shareholders</w:t>
            </w:r>
            <w:proofErr w:type="spellEnd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23236" w:rsidRPr="007228F4" w:rsidRDefault="00123236" w:rsidP="00A477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% of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revenue</w:t>
            </w:r>
            <w:proofErr w:type="spellEnd"/>
          </w:p>
        </w:tc>
        <w:tc>
          <w:tcPr>
            <w:tcW w:w="546" w:type="pct"/>
          </w:tcPr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50,576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14,069</w:t>
            </w:r>
          </w:p>
          <w:p w:rsidR="00123236" w:rsidRPr="007228F4" w:rsidRDefault="00B66B8F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27.82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9,576</w:t>
            </w:r>
          </w:p>
          <w:p w:rsidR="00123236" w:rsidRPr="007228F4" w:rsidRDefault="00B66B8F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18.93</w:t>
            </w:r>
          </w:p>
        </w:tc>
        <w:tc>
          <w:tcPr>
            <w:tcW w:w="546" w:type="pct"/>
          </w:tcPr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53,299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13,003</w:t>
            </w:r>
          </w:p>
          <w:p w:rsidR="00123236" w:rsidRPr="007228F4" w:rsidRDefault="00B66B8F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24.40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8,633</w:t>
            </w:r>
          </w:p>
          <w:p w:rsidR="00123236" w:rsidRPr="007228F4" w:rsidRDefault="00B66B8F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16.20</w:t>
            </w:r>
          </w:p>
        </w:tc>
        <w:tc>
          <w:tcPr>
            <w:tcW w:w="612" w:type="pct"/>
          </w:tcPr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105.38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92.42</w:t>
            </w:r>
          </w:p>
          <w:p w:rsidR="00123236" w:rsidRPr="007228F4" w:rsidRDefault="006952D3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87.71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90.15</w:t>
            </w:r>
          </w:p>
          <w:p w:rsidR="00123236" w:rsidRPr="007228F4" w:rsidRDefault="006952D3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85.58</w:t>
            </w:r>
          </w:p>
        </w:tc>
      </w:tr>
      <w:tr w:rsidR="00123236" w:rsidRPr="007228F4" w:rsidTr="00B66B8F">
        <w:trPr>
          <w:jc w:val="center"/>
        </w:trPr>
        <w:tc>
          <w:tcPr>
            <w:tcW w:w="374" w:type="pct"/>
          </w:tcPr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23" w:type="pct"/>
          </w:tcPr>
          <w:p w:rsidR="00123236" w:rsidRPr="007228F4" w:rsidRDefault="00123236" w:rsidP="00A477D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228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Novartis</w:t>
            </w:r>
            <w:proofErr w:type="spellEnd"/>
            <w:r w:rsidRPr="007228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AG(</w:t>
            </w:r>
            <w:r w:rsidR="005337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$ </w:t>
            </w:r>
            <w:proofErr w:type="spellStart"/>
            <w:r w:rsidRPr="007228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mil</w:t>
            </w:r>
            <w:r w:rsidR="005337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lion</w:t>
            </w:r>
            <w:proofErr w:type="spellEnd"/>
            <w:r w:rsidR="005337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123236" w:rsidRPr="007228F4" w:rsidRDefault="00123236" w:rsidP="00A477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a)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Revenues</w:t>
            </w:r>
            <w:proofErr w:type="spellEnd"/>
          </w:p>
          <w:p w:rsidR="00123236" w:rsidRPr="007228F4" w:rsidRDefault="00123236" w:rsidP="00A477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b)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Operating</w:t>
            </w:r>
            <w:proofErr w:type="spellEnd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income</w:t>
            </w:r>
            <w:proofErr w:type="spellEnd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23236" w:rsidRPr="007228F4" w:rsidRDefault="00123236" w:rsidP="00A477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% of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revenues</w:t>
            </w:r>
            <w:proofErr w:type="spellEnd"/>
          </w:p>
          <w:p w:rsidR="00123236" w:rsidRPr="007228F4" w:rsidRDefault="00123236" w:rsidP="00A477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c) Net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income</w:t>
            </w:r>
            <w:proofErr w:type="spellEnd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attributable</w:t>
            </w:r>
            <w:proofErr w:type="spellEnd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shareholders</w:t>
            </w:r>
            <w:proofErr w:type="spellEnd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Novartis</w:t>
            </w:r>
            <w:proofErr w:type="spellEnd"/>
          </w:p>
          <w:p w:rsidR="00123236" w:rsidRPr="007228F4" w:rsidRDefault="00123236" w:rsidP="00A477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% of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revenues</w:t>
            </w:r>
            <w:proofErr w:type="spellEnd"/>
          </w:p>
        </w:tc>
        <w:tc>
          <w:tcPr>
            <w:tcW w:w="546" w:type="pct"/>
          </w:tcPr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48,518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8,268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17.0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6,712</w:t>
            </w:r>
          </w:p>
          <w:p w:rsidR="00123236" w:rsidRPr="007228F4" w:rsidRDefault="00B66B8F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13.83</w:t>
            </w:r>
          </w:p>
        </w:tc>
        <w:tc>
          <w:tcPr>
            <w:tcW w:w="546" w:type="pct"/>
          </w:tcPr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49,109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8,629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17.6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7,703</w:t>
            </w:r>
          </w:p>
          <w:p w:rsidR="00123236" w:rsidRPr="007228F4" w:rsidRDefault="00B66B8F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15.70</w:t>
            </w:r>
          </w:p>
        </w:tc>
        <w:tc>
          <w:tcPr>
            <w:tcW w:w="612" w:type="pct"/>
          </w:tcPr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101.22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104.37</w:t>
            </w:r>
          </w:p>
          <w:p w:rsidR="00123236" w:rsidRPr="007228F4" w:rsidRDefault="008A0D07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103.53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114.76</w:t>
            </w:r>
          </w:p>
          <w:p w:rsidR="00123236" w:rsidRPr="007228F4" w:rsidRDefault="00182604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113.52</w:t>
            </w:r>
          </w:p>
        </w:tc>
      </w:tr>
      <w:tr w:rsidR="00123236" w:rsidRPr="007228F4" w:rsidTr="00B66B8F">
        <w:trPr>
          <w:jc w:val="center"/>
        </w:trPr>
        <w:tc>
          <w:tcPr>
            <w:tcW w:w="374" w:type="pct"/>
          </w:tcPr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23" w:type="pct"/>
          </w:tcPr>
          <w:p w:rsidR="00123236" w:rsidRPr="007228F4" w:rsidRDefault="00123236" w:rsidP="00A477D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Johnson &amp; Johnson (</w:t>
            </w:r>
            <w:r w:rsidR="0053371E" w:rsidRPr="007228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="005337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$ </w:t>
            </w:r>
            <w:proofErr w:type="spellStart"/>
            <w:r w:rsidR="0053371E" w:rsidRPr="007228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mil</w:t>
            </w:r>
            <w:r w:rsidR="005337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lion</w:t>
            </w:r>
            <w:proofErr w:type="spellEnd"/>
            <w:r w:rsidRPr="007228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123236" w:rsidRPr="007228F4" w:rsidRDefault="00123236" w:rsidP="00A477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a)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Revenues</w:t>
            </w:r>
            <w:proofErr w:type="spellEnd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, total</w:t>
            </w:r>
          </w:p>
          <w:p w:rsidR="00123236" w:rsidRPr="007228F4" w:rsidRDefault="00123236" w:rsidP="00A477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pharmaceutical</w:t>
            </w:r>
            <w:proofErr w:type="spellEnd"/>
          </w:p>
          <w:p w:rsidR="00123236" w:rsidRPr="007228F4" w:rsidRDefault="00123236" w:rsidP="00A477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b) Net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earnings</w:t>
            </w:r>
            <w:proofErr w:type="spellEnd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(GAAP)</w:t>
            </w:r>
          </w:p>
          <w:p w:rsidR="00123236" w:rsidRPr="007228F4" w:rsidRDefault="00123236" w:rsidP="00A477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% of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revenues</w:t>
            </w:r>
            <w:proofErr w:type="spellEnd"/>
          </w:p>
          <w:p w:rsidR="00123236" w:rsidRPr="007228F4" w:rsidRDefault="00123236" w:rsidP="00A477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c) Net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earnings</w:t>
            </w:r>
            <w:proofErr w:type="spellEnd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adjusted</w:t>
            </w:r>
            <w:proofErr w:type="spellEnd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(Non-GAAP Financial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Measures</w:t>
            </w:r>
            <w:proofErr w:type="spellEnd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123236" w:rsidRPr="007228F4" w:rsidRDefault="00123236" w:rsidP="00A477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% of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revenues</w:t>
            </w:r>
            <w:proofErr w:type="spellEnd"/>
          </w:p>
        </w:tc>
        <w:tc>
          <w:tcPr>
            <w:tcW w:w="546" w:type="pct"/>
          </w:tcPr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71,890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33,464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1,300</w:t>
            </w:r>
          </w:p>
          <w:p w:rsidR="00123236" w:rsidRPr="007228F4" w:rsidRDefault="00B66B8F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1.80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18,764</w:t>
            </w:r>
          </w:p>
          <w:p w:rsidR="00123236" w:rsidRPr="007228F4" w:rsidRDefault="00B66B8F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546" w:type="pct"/>
          </w:tcPr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76,450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36,256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16,540</w:t>
            </w:r>
          </w:p>
          <w:p w:rsidR="00123236" w:rsidRPr="007228F4" w:rsidRDefault="00B66B8F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21.64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20,040</w:t>
            </w:r>
          </w:p>
          <w:p w:rsidR="00123236" w:rsidRPr="007228F4" w:rsidRDefault="00B66B8F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26.21</w:t>
            </w:r>
          </w:p>
        </w:tc>
        <w:tc>
          <w:tcPr>
            <w:tcW w:w="612" w:type="pct"/>
          </w:tcPr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106.34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108.34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1272.31</w:t>
            </w:r>
          </w:p>
          <w:p w:rsidR="00123236" w:rsidRPr="007228F4" w:rsidRDefault="00182604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1202.22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106.80</w:t>
            </w:r>
          </w:p>
          <w:p w:rsidR="00123236" w:rsidRPr="007228F4" w:rsidRDefault="00182604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100.42</w:t>
            </w:r>
          </w:p>
        </w:tc>
      </w:tr>
      <w:tr w:rsidR="00123236" w:rsidRPr="007228F4" w:rsidTr="00B66B8F">
        <w:trPr>
          <w:jc w:val="center"/>
        </w:trPr>
        <w:tc>
          <w:tcPr>
            <w:tcW w:w="374" w:type="pct"/>
          </w:tcPr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23" w:type="pct"/>
          </w:tcPr>
          <w:p w:rsidR="00123236" w:rsidRPr="007228F4" w:rsidRDefault="00123236" w:rsidP="00A477D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228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Sanofi</w:t>
            </w:r>
            <w:proofErr w:type="spellEnd"/>
            <w:r w:rsidRPr="007228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(€ </w:t>
            </w:r>
            <w:proofErr w:type="spellStart"/>
            <w:r w:rsidRPr="007228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million</w:t>
            </w:r>
            <w:proofErr w:type="spellEnd"/>
            <w:r w:rsidRPr="007228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123236" w:rsidRPr="007228F4" w:rsidRDefault="00123236" w:rsidP="00A477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a)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Revenues</w:t>
            </w:r>
            <w:proofErr w:type="spellEnd"/>
          </w:p>
          <w:p w:rsidR="00123236" w:rsidRPr="007228F4" w:rsidRDefault="00123236" w:rsidP="00A477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b)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Operating</w:t>
            </w:r>
            <w:proofErr w:type="spellEnd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income</w:t>
            </w:r>
            <w:proofErr w:type="spellEnd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23236" w:rsidRPr="007228F4" w:rsidRDefault="00123236" w:rsidP="00A477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% of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revenues</w:t>
            </w:r>
            <w:proofErr w:type="spellEnd"/>
          </w:p>
          <w:p w:rsidR="00123236" w:rsidRPr="007228F4" w:rsidRDefault="00123236" w:rsidP="00A477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c) Net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income</w:t>
            </w:r>
            <w:proofErr w:type="spellEnd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attributable</w:t>
            </w:r>
            <w:proofErr w:type="spellEnd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shareholders</w:t>
            </w:r>
            <w:proofErr w:type="spellEnd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Sanofi</w:t>
            </w:r>
            <w:proofErr w:type="spellEnd"/>
          </w:p>
          <w:p w:rsidR="00123236" w:rsidRPr="007228F4" w:rsidRDefault="00123236" w:rsidP="00A477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% of </w:t>
            </w:r>
            <w:proofErr w:type="spellStart"/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revenues</w:t>
            </w:r>
            <w:proofErr w:type="spellEnd"/>
          </w:p>
        </w:tc>
        <w:tc>
          <w:tcPr>
            <w:tcW w:w="546" w:type="pct"/>
          </w:tcPr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33,821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6,534</w:t>
            </w:r>
          </w:p>
          <w:p w:rsidR="00123236" w:rsidRPr="007228F4" w:rsidRDefault="00B66B8F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19.32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4,709</w:t>
            </w:r>
          </w:p>
          <w:p w:rsidR="00123236" w:rsidRPr="007228F4" w:rsidRDefault="00B66B8F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13.92</w:t>
            </w:r>
          </w:p>
        </w:tc>
        <w:tc>
          <w:tcPr>
            <w:tcW w:w="546" w:type="pct"/>
          </w:tcPr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35,055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5,803</w:t>
            </w:r>
          </w:p>
          <w:p w:rsidR="00123236" w:rsidRPr="007228F4" w:rsidRDefault="00B66B8F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16.55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8,434</w:t>
            </w:r>
          </w:p>
          <w:p w:rsidR="00123236" w:rsidRPr="007228F4" w:rsidRDefault="00B66B8F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24.06</w:t>
            </w:r>
          </w:p>
        </w:tc>
        <w:tc>
          <w:tcPr>
            <w:tcW w:w="612" w:type="pct"/>
          </w:tcPr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103.65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88.81</w:t>
            </w:r>
          </w:p>
          <w:p w:rsidR="00123236" w:rsidRPr="007228F4" w:rsidRDefault="00182604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86.66</w:t>
            </w:r>
          </w:p>
          <w:p w:rsidR="00123236" w:rsidRPr="007228F4" w:rsidRDefault="00123236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28F4">
              <w:rPr>
                <w:rFonts w:ascii="Times New Roman" w:eastAsia="Calibri" w:hAnsi="Times New Roman" w:cs="Times New Roman"/>
                <w:sz w:val="20"/>
                <w:szCs w:val="20"/>
              </w:rPr>
              <w:t>179.10</w:t>
            </w:r>
          </w:p>
          <w:p w:rsidR="00123236" w:rsidRPr="00340041" w:rsidRDefault="00182604" w:rsidP="00A477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172.84</w:t>
            </w:r>
          </w:p>
        </w:tc>
      </w:tr>
    </w:tbl>
    <w:p w:rsidR="00740969" w:rsidRPr="007228F4" w:rsidRDefault="00740969" w:rsidP="00B66B8F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7228F4">
        <w:rPr>
          <w:rFonts w:ascii="Times New Roman" w:hAnsi="Times New Roman" w:cs="Times New Roman"/>
          <w:b/>
          <w:sz w:val="20"/>
          <w:szCs w:val="20"/>
        </w:rPr>
        <w:t xml:space="preserve">Sursa: </w:t>
      </w:r>
      <w:r w:rsidR="004E391E">
        <w:rPr>
          <w:rFonts w:ascii="Times New Roman" w:hAnsi="Times New Roman" w:cs="Times New Roman"/>
          <w:sz w:val="20"/>
          <w:szCs w:val="20"/>
        </w:rPr>
        <w:t>Elaborare</w:t>
      </w:r>
      <w:r w:rsidRPr="007228F4">
        <w:rPr>
          <w:rFonts w:ascii="Times New Roman" w:hAnsi="Times New Roman" w:cs="Times New Roman"/>
          <w:sz w:val="20"/>
          <w:szCs w:val="20"/>
        </w:rPr>
        <w:t xml:space="preserve"> proprie</w:t>
      </w:r>
      <w:r w:rsidR="0078669F">
        <w:rPr>
          <w:rFonts w:ascii="Times New Roman" w:hAnsi="Times New Roman" w:cs="Times New Roman"/>
          <w:sz w:val="20"/>
          <w:szCs w:val="20"/>
        </w:rPr>
        <w:t xml:space="preserve"> a autorilor</w:t>
      </w:r>
      <w:r w:rsidRPr="007228F4">
        <w:rPr>
          <w:rFonts w:ascii="Times New Roman" w:hAnsi="Times New Roman" w:cs="Times New Roman"/>
          <w:sz w:val="20"/>
          <w:szCs w:val="20"/>
        </w:rPr>
        <w:t xml:space="preserve"> după </w:t>
      </w:r>
    </w:p>
    <w:p w:rsidR="00F524B4" w:rsidRPr="007228F4" w:rsidRDefault="00513089" w:rsidP="00B66B8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hyperlink r:id="rId12" w:history="1">
        <w:r w:rsidR="00F524B4" w:rsidRPr="007228F4">
          <w:rPr>
            <w:rStyle w:val="Hyperlink"/>
            <w:rFonts w:ascii="Times New Roman" w:eastAsia="Times New Roman" w:hAnsi="Times New Roman" w:cs="Times New Roman"/>
            <w:sz w:val="20"/>
            <w:szCs w:val="20"/>
            <w:lang w:eastAsia="ro-RO"/>
          </w:rPr>
          <w:t>https://investors.pfizer.com/financials/annual-reports/default.aspx</w:t>
        </w:r>
      </w:hyperlink>
    </w:p>
    <w:p w:rsidR="0040745F" w:rsidRPr="007228F4" w:rsidRDefault="00513089" w:rsidP="00B66B8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hyperlink r:id="rId13" w:history="1">
        <w:r w:rsidR="0040745F" w:rsidRPr="007228F4">
          <w:rPr>
            <w:rStyle w:val="Hyperlink"/>
            <w:rFonts w:ascii="Times New Roman" w:eastAsia="Times New Roman" w:hAnsi="Times New Roman" w:cs="Times New Roman"/>
            <w:sz w:val="20"/>
            <w:szCs w:val="20"/>
            <w:lang w:eastAsia="ro-RO"/>
          </w:rPr>
          <w:t>https://www.roche.com/dam/jcr:b70415c0-954f-4a2a-a0e2-47f94bd280e0/en/fb17e.pdf</w:t>
        </w:r>
      </w:hyperlink>
    </w:p>
    <w:p w:rsidR="008C6CA1" w:rsidRPr="007228F4" w:rsidRDefault="00513089" w:rsidP="00B66B8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hyperlink r:id="rId14" w:history="1">
        <w:r w:rsidR="008C6CA1" w:rsidRPr="007228F4">
          <w:rPr>
            <w:rStyle w:val="Hyperlink"/>
            <w:rFonts w:ascii="Times New Roman" w:eastAsia="Times New Roman" w:hAnsi="Times New Roman" w:cs="Times New Roman"/>
            <w:sz w:val="20"/>
            <w:szCs w:val="20"/>
            <w:lang w:eastAsia="ro-RO"/>
          </w:rPr>
          <w:t>https://www.novartis.com/sites/www.novartis.com/files/novartis-annual-report-2017-en.pdf</w:t>
        </w:r>
      </w:hyperlink>
    </w:p>
    <w:p w:rsidR="00883037" w:rsidRPr="007228F4" w:rsidRDefault="00513089" w:rsidP="00B66B8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hyperlink r:id="rId15" w:history="1">
        <w:r w:rsidR="00883037" w:rsidRPr="007228F4">
          <w:rPr>
            <w:rStyle w:val="Hyperlink"/>
            <w:rFonts w:ascii="Times New Roman" w:eastAsia="Times New Roman" w:hAnsi="Times New Roman" w:cs="Times New Roman"/>
            <w:sz w:val="20"/>
            <w:szCs w:val="20"/>
            <w:lang w:eastAsia="ro-RO"/>
          </w:rPr>
          <w:t>https://johnsonandjohnson.gcs-web.com/news-releases/news-release-details/johnson-johnson-reports-2017-fourth-quarter-results</w:t>
        </w:r>
      </w:hyperlink>
    </w:p>
    <w:p w:rsidR="00883037" w:rsidRPr="007228F4" w:rsidRDefault="00513089" w:rsidP="00B66B8F">
      <w:pPr>
        <w:spacing w:after="0" w:line="240" w:lineRule="auto"/>
        <w:ind w:left="567"/>
        <w:jc w:val="both"/>
        <w:rPr>
          <w:rStyle w:val="Hyperlink"/>
          <w:rFonts w:ascii="Times New Roman" w:eastAsia="Times New Roman" w:hAnsi="Times New Roman" w:cs="Times New Roman"/>
          <w:sz w:val="20"/>
          <w:szCs w:val="20"/>
          <w:lang w:eastAsia="ro-RO"/>
        </w:rPr>
      </w:pPr>
      <w:hyperlink r:id="rId16" w:history="1">
        <w:r w:rsidR="001C3710" w:rsidRPr="007228F4">
          <w:rPr>
            <w:rStyle w:val="Hyperlink"/>
            <w:rFonts w:ascii="Times New Roman" w:eastAsia="Times New Roman" w:hAnsi="Times New Roman" w:cs="Times New Roman"/>
            <w:sz w:val="20"/>
            <w:szCs w:val="20"/>
            <w:lang w:eastAsia="ro-RO"/>
          </w:rPr>
          <w:t>https://www.sanofi.com/-/media/Project/One-Sanofi-Web/Websites/Global/Sanofi-COM/Home/en/investors/docs/S-Z/Sanofi-20-F-2017-EN-PDF-e-accessible_01.pdf?la=en&amp;hash=D0E72A3136750CBBC738C87495F0FF4651141027</w:t>
        </w:r>
      </w:hyperlink>
    </w:p>
    <w:p w:rsidR="00160293" w:rsidRPr="007228F4" w:rsidRDefault="00160293" w:rsidP="00F524B4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8C648B" w:rsidRPr="007228F4" w:rsidRDefault="0053371E" w:rsidP="007228F4">
      <w:pPr>
        <w:spacing w:after="0" w:line="240" w:lineRule="auto"/>
        <w:ind w:firstLine="567"/>
        <w:jc w:val="both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o-RO"/>
        </w:rPr>
      </w:pPr>
      <w: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o-RO"/>
        </w:rPr>
        <w:lastRenderedPageBreak/>
        <w:t>Se observă că</w:t>
      </w:r>
      <w:r w:rsidR="00160293" w:rsidRPr="007228F4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o-RO"/>
        </w:rPr>
        <w:t xml:space="preserve"> pentru primii 5 </w:t>
      </w:r>
      <w:proofErr w:type="spellStart"/>
      <w:r w:rsidR="00160293" w:rsidRPr="007228F4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o-RO"/>
        </w:rPr>
        <w:t>producatori</w:t>
      </w:r>
      <w:proofErr w:type="spellEnd"/>
      <w:r w:rsidR="00160293" w:rsidRPr="007228F4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o-RO"/>
        </w:rPr>
        <w:t xml:space="preserve"> din lume marja neta de profit </w:t>
      </w:r>
      <w:proofErr w:type="spellStart"/>
      <w:r w:rsidR="00160293" w:rsidRPr="007228F4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o-RO"/>
        </w:rPr>
        <w:t>variaza</w:t>
      </w:r>
      <w:proofErr w:type="spellEnd"/>
      <w:r w:rsidR="00160293" w:rsidRPr="007228F4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o-RO"/>
        </w:rPr>
        <w:t xml:space="preserve"> </w:t>
      </w:r>
      <w:r w:rsidR="00951B5B" w:rsidRPr="007228F4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o-RO"/>
        </w:rPr>
        <w:t>intre 13-22%,</w:t>
      </w:r>
      <w:r w:rsidR="009F7FD5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o-RO"/>
        </w:rPr>
        <w:t xml:space="preserve"> mult peste media </w:t>
      </w:r>
      <w:proofErr w:type="spellStart"/>
      <w:r w:rsidR="009F7FD5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o-RO"/>
        </w:rPr>
        <w:t>inregistrata</w:t>
      </w:r>
      <w:proofErr w:type="spellEnd"/>
      <w:r w:rsidR="009F7FD5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o-RO"/>
        </w:rPr>
        <w:t xml:space="preserve"> in 2016,</w:t>
      </w:r>
      <w:r w:rsidR="00951B5B" w:rsidRPr="007228F4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o-RO"/>
        </w:rPr>
        <w:t xml:space="preserve"> mai mare in 2017 la Pfizer ca urmare a unor </w:t>
      </w:r>
      <w:proofErr w:type="spellStart"/>
      <w:r w:rsidR="00951B5B" w:rsidRPr="007228F4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o-RO"/>
        </w:rPr>
        <w:t>ajustari</w:t>
      </w:r>
      <w:proofErr w:type="spellEnd"/>
      <w:r w:rsidR="00951B5B" w:rsidRPr="007228F4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o-RO"/>
        </w:rPr>
        <w:t xml:space="preserve"> contabile. </w:t>
      </w:r>
    </w:p>
    <w:p w:rsidR="00160293" w:rsidRPr="007228F4" w:rsidRDefault="00232255" w:rsidP="007228F4">
      <w:pPr>
        <w:spacing w:after="0" w:line="240" w:lineRule="auto"/>
        <w:ind w:firstLine="567"/>
        <w:jc w:val="both"/>
        <w:rPr>
          <w:rStyle w:val="Hyperlink"/>
          <w:rFonts w:ascii="Times New Roman" w:eastAsia="Times New Roman" w:hAnsi="Times New Roman" w:cs="Times New Roman"/>
          <w:color w:val="FF0000"/>
          <w:sz w:val="24"/>
          <w:szCs w:val="24"/>
          <w:u w:val="none"/>
          <w:lang w:eastAsia="ro-RO"/>
        </w:rPr>
      </w:pPr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The </w:t>
      </w:r>
      <w:proofErr w:type="spellStart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average</w:t>
      </w:r>
      <w:proofErr w:type="spellEnd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net profit </w:t>
      </w:r>
      <w:proofErr w:type="spellStart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margin</w:t>
      </w:r>
      <w:proofErr w:type="spellEnd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for drug </w:t>
      </w:r>
      <w:proofErr w:type="spellStart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companies</w:t>
      </w:r>
      <w:proofErr w:type="spellEnd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including</w:t>
      </w:r>
      <w:proofErr w:type="spellEnd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pharmaceuticals</w:t>
      </w:r>
      <w:proofErr w:type="spellEnd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and</w:t>
      </w:r>
      <w:proofErr w:type="spellEnd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biotech</w:t>
      </w:r>
      <w:proofErr w:type="spellEnd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was</w:t>
      </w:r>
      <w:proofErr w:type="spellEnd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about</w:t>
      </w:r>
      <w:proofErr w:type="spellEnd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12.5 </w:t>
      </w:r>
      <w:proofErr w:type="spellStart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percent</w:t>
      </w:r>
      <w:proofErr w:type="spellEnd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to</w:t>
      </w:r>
      <w:proofErr w:type="spellEnd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14 </w:t>
      </w:r>
      <w:proofErr w:type="spellStart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percent</w:t>
      </w:r>
      <w:proofErr w:type="spellEnd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according</w:t>
      </w:r>
      <w:proofErr w:type="spellEnd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to</w:t>
      </w:r>
      <w:proofErr w:type="spellEnd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January</w:t>
      </w:r>
      <w:proofErr w:type="spellEnd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2018 </w:t>
      </w:r>
      <w:proofErr w:type="spellStart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study</w:t>
      </w:r>
      <w:proofErr w:type="spellEnd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by</w:t>
      </w:r>
      <w:proofErr w:type="spellEnd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New York </w:t>
      </w:r>
      <w:proofErr w:type="spellStart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Univer</w:t>
      </w:r>
      <w:r w:rsidR="00340041">
        <w:rPr>
          <w:rFonts w:ascii="Times New Roman" w:eastAsia="Times New Roman" w:hAnsi="Times New Roman" w:cs="Times New Roman"/>
          <w:sz w:val="24"/>
          <w:szCs w:val="24"/>
          <w:lang w:eastAsia="ro-RO"/>
        </w:rPr>
        <w:t>sity’s</w:t>
      </w:r>
      <w:proofErr w:type="spellEnd"/>
      <w:r w:rsidR="0034004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Stern </w:t>
      </w:r>
      <w:proofErr w:type="spellStart"/>
      <w:r w:rsidR="00340041">
        <w:rPr>
          <w:rFonts w:ascii="Times New Roman" w:eastAsia="Times New Roman" w:hAnsi="Times New Roman" w:cs="Times New Roman"/>
          <w:sz w:val="24"/>
          <w:szCs w:val="24"/>
          <w:lang w:eastAsia="ro-RO"/>
        </w:rPr>
        <w:t>School</w:t>
      </w:r>
      <w:proofErr w:type="spellEnd"/>
      <w:r w:rsidR="0034004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of Business</w:t>
      </w:r>
      <w:r w:rsidR="00AD5B3D"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</w:t>
      </w:r>
      <w:hyperlink r:id="rId17" w:history="1">
        <w:r w:rsidRPr="007228F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o-RO"/>
          </w:rPr>
          <w:t>https://yourbusiness.azcentral.com/average-profit-margin-pharmaceuticals-20671.html</w:t>
        </w:r>
      </w:hyperlink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)</w:t>
      </w:r>
      <w:r w:rsidR="00340041" w:rsidRPr="003400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.</w:t>
      </w:r>
    </w:p>
    <w:p w:rsidR="00740969" w:rsidRPr="007228F4" w:rsidRDefault="00740969" w:rsidP="007228F4">
      <w:pPr>
        <w:pStyle w:val="NormalWeb"/>
        <w:spacing w:before="0" w:beforeAutospacing="0" w:after="0" w:afterAutospacing="0"/>
        <w:ind w:firstLine="567"/>
        <w:jc w:val="both"/>
      </w:pPr>
      <w:r w:rsidRPr="007228F4">
        <w:t xml:space="preserve">Potrivit </w:t>
      </w:r>
      <w:proofErr w:type="spellStart"/>
      <w:r w:rsidR="00AD5B3D" w:rsidRPr="007228F4">
        <w:t>aceluiasi</w:t>
      </w:r>
      <w:proofErr w:type="spellEnd"/>
      <w:r w:rsidR="00AD5B3D" w:rsidRPr="007228F4">
        <w:t xml:space="preserve"> studiu</w:t>
      </w:r>
      <w:r w:rsidRPr="007228F4">
        <w:t xml:space="preserve"> viitorul pieței farmaceutice este strâns legat de dezvoltarea companiilor de biotehnologie, care dezvoltă noi tratamente, în special </w:t>
      </w:r>
      <w:r w:rsidR="00AD5B3D" w:rsidRPr="007228F4">
        <w:t xml:space="preserve">pe segmentul </w:t>
      </w:r>
      <w:proofErr w:type="spellStart"/>
      <w:r w:rsidR="00AD5B3D" w:rsidRPr="007228F4">
        <w:t>imuno</w:t>
      </w:r>
      <w:proofErr w:type="spellEnd"/>
      <w:r w:rsidR="00AD5B3D" w:rsidRPr="007228F4">
        <w:t>-oncologic.</w:t>
      </w:r>
    </w:p>
    <w:p w:rsidR="00656A38" w:rsidRPr="007228F4" w:rsidRDefault="00656A38" w:rsidP="007228F4">
      <w:pPr>
        <w:pStyle w:val="NormalWeb"/>
        <w:spacing w:before="0" w:beforeAutospacing="0" w:after="0" w:afterAutospacing="0"/>
        <w:ind w:firstLine="567"/>
        <w:jc w:val="both"/>
        <w:rPr>
          <w:b/>
        </w:rPr>
      </w:pPr>
      <w:r w:rsidRPr="007228F4">
        <w:rPr>
          <w:b/>
        </w:rPr>
        <w:t>Europa</w:t>
      </w:r>
    </w:p>
    <w:p w:rsidR="00CB7522" w:rsidRPr="007228F4" w:rsidRDefault="00CB7522" w:rsidP="007228F4">
      <w:pPr>
        <w:pStyle w:val="NormalWeb"/>
        <w:spacing w:before="0" w:beforeAutospacing="0" w:after="0" w:afterAutospacing="0"/>
        <w:ind w:firstLine="567"/>
        <w:jc w:val="both"/>
      </w:pPr>
      <w:r w:rsidRPr="007228F4">
        <w:t>La nivel european, Uniunea Europeană este lider mondial în industria farmaceutică și cea mai mare putere comercială din lume în domeniul produselor farmaceutice și al medicamentelor.</w:t>
      </w:r>
    </w:p>
    <w:p w:rsidR="000C50AB" w:rsidRPr="007228F4" w:rsidRDefault="000C50AB" w:rsidP="007228F4">
      <w:pPr>
        <w:pStyle w:val="NormalWeb"/>
        <w:spacing w:before="0" w:beforeAutospacing="0" w:after="0" w:afterAutospacing="0"/>
        <w:ind w:firstLine="567"/>
        <w:jc w:val="both"/>
      </w:pPr>
      <w:r w:rsidRPr="007228F4">
        <w:t xml:space="preserve">În Europa, Germania este liderul incontestabil în </w:t>
      </w:r>
      <w:proofErr w:type="spellStart"/>
      <w:r w:rsidRPr="007228F4">
        <w:t>privinţa</w:t>
      </w:r>
      <w:proofErr w:type="spellEnd"/>
      <w:r w:rsidRPr="007228F4">
        <w:t xml:space="preserve"> </w:t>
      </w:r>
      <w:proofErr w:type="spellStart"/>
      <w:r w:rsidRPr="007228F4">
        <w:t>producţiei</w:t>
      </w:r>
      <w:proofErr w:type="spellEnd"/>
      <w:r w:rsidRPr="007228F4">
        <w:t xml:space="preserve"> de medicamente. În clasament urmează companiile din Marea Britanie, </w:t>
      </w:r>
      <w:proofErr w:type="spellStart"/>
      <w:r w:rsidRPr="007228F4">
        <w:t>Elveţia</w:t>
      </w:r>
      <w:proofErr w:type="spellEnd"/>
      <w:r w:rsidRPr="007228F4">
        <w:t xml:space="preserve">, </w:t>
      </w:r>
      <w:proofErr w:type="spellStart"/>
      <w:r w:rsidRPr="007228F4">
        <w:t>Franţa</w:t>
      </w:r>
      <w:proofErr w:type="spellEnd"/>
      <w:r w:rsidRPr="007228F4">
        <w:t>, Suedia, Danemarca.</w:t>
      </w:r>
    </w:p>
    <w:p w:rsidR="00F10320" w:rsidRPr="007228F4" w:rsidRDefault="00F10320" w:rsidP="007228F4">
      <w:pPr>
        <w:pStyle w:val="NormalWeb"/>
        <w:spacing w:before="0" w:beforeAutospacing="0" w:after="0" w:afterAutospacing="0"/>
        <w:ind w:firstLine="567"/>
        <w:jc w:val="both"/>
      </w:pPr>
      <w:proofErr w:type="spellStart"/>
      <w:r w:rsidRPr="007228F4">
        <w:t>Intr</w:t>
      </w:r>
      <w:proofErr w:type="spellEnd"/>
      <w:r w:rsidRPr="007228F4">
        <w:t xml:space="preserve">-un clasament realizat de </w:t>
      </w:r>
      <w:proofErr w:type="spellStart"/>
      <w:r w:rsidRPr="007228F4">
        <w:t>europe.businesschief</w:t>
      </w:r>
      <w:proofErr w:type="spellEnd"/>
      <w:r w:rsidRPr="007228F4">
        <w:t xml:space="preserve"> </w:t>
      </w:r>
      <w:proofErr w:type="spellStart"/>
      <w:r w:rsidRPr="007228F4">
        <w:t>avand</w:t>
      </w:r>
      <w:proofErr w:type="spellEnd"/>
      <w:r w:rsidRPr="007228F4">
        <w:t xml:space="preserve"> drept criteriu valoarea </w:t>
      </w:r>
      <w:proofErr w:type="spellStart"/>
      <w:r w:rsidRPr="007228F4">
        <w:t>vanzarilor</w:t>
      </w:r>
      <w:proofErr w:type="spellEnd"/>
      <w:r w:rsidRPr="007228F4">
        <w:t>,</w:t>
      </w:r>
    </w:p>
    <w:p w:rsidR="00F10320" w:rsidRPr="007228F4" w:rsidRDefault="00F10320" w:rsidP="007228F4">
      <w:pPr>
        <w:pStyle w:val="NormalWeb"/>
        <w:spacing w:before="0" w:beforeAutospacing="0" w:after="0" w:afterAutospacing="0"/>
        <w:ind w:firstLine="567"/>
        <w:jc w:val="both"/>
      </w:pPr>
      <w:r w:rsidRPr="007228F4">
        <w:t>in Europa</w:t>
      </w:r>
      <w:r w:rsidR="00AD5B3D" w:rsidRPr="007228F4">
        <w:t>,</w:t>
      </w:r>
      <w:r w:rsidRPr="007228F4">
        <w:t xml:space="preserve"> primele 5 companii sunt</w:t>
      </w:r>
      <w:r w:rsidR="00AD5B3D" w:rsidRPr="007228F4">
        <w:t>,</w:t>
      </w:r>
      <w:r w:rsidRPr="007228F4">
        <w:t xml:space="preserve"> in ordine: Bayer AG,  </w:t>
      </w:r>
      <w:r w:rsidR="008A3198" w:rsidRPr="007228F4">
        <w:t xml:space="preserve">F. Hoffman-La Roche AG, </w:t>
      </w:r>
      <w:proofErr w:type="spellStart"/>
      <w:r w:rsidR="008A3198" w:rsidRPr="007228F4">
        <w:t>Novartis</w:t>
      </w:r>
      <w:proofErr w:type="spellEnd"/>
      <w:r w:rsidR="008A3198" w:rsidRPr="007228F4">
        <w:t xml:space="preserve">, </w:t>
      </w:r>
      <w:proofErr w:type="spellStart"/>
      <w:r w:rsidR="008A3198" w:rsidRPr="007228F4">
        <w:t>Sanofi</w:t>
      </w:r>
      <w:proofErr w:type="spellEnd"/>
      <w:r w:rsidR="008A3198" w:rsidRPr="007228F4">
        <w:t xml:space="preserve">, </w:t>
      </w:r>
      <w:proofErr w:type="spellStart"/>
      <w:r w:rsidR="008A3198" w:rsidRPr="007228F4">
        <w:t>GlaxoSmithKline</w:t>
      </w:r>
      <w:proofErr w:type="spellEnd"/>
      <w:r w:rsidR="008A3198" w:rsidRPr="007228F4">
        <w:t>.</w:t>
      </w:r>
      <w:r w:rsidR="00AD5B3D" w:rsidRPr="007228F4">
        <w:rPr>
          <w:sz w:val="20"/>
          <w:szCs w:val="20"/>
        </w:rPr>
        <w:t xml:space="preserve"> (</w:t>
      </w:r>
      <w:hyperlink r:id="rId18" w:history="1">
        <w:r w:rsidR="00AD5B3D" w:rsidRPr="007228F4">
          <w:rPr>
            <w:rStyle w:val="Hyperlink"/>
          </w:rPr>
          <w:t>https://europe.businesschief.com/top10/1543/Top-10-pharmaceutical-companies-in-Europe</w:t>
        </w:r>
      </w:hyperlink>
      <w:r w:rsidR="00AD5B3D" w:rsidRPr="007228F4">
        <w:rPr>
          <w:sz w:val="20"/>
          <w:szCs w:val="20"/>
        </w:rPr>
        <w:t>)</w:t>
      </w:r>
    </w:p>
    <w:p w:rsidR="00C476BA" w:rsidRPr="007228F4" w:rsidRDefault="0053371E" w:rsidP="007228F4">
      <w:pPr>
        <w:pStyle w:val="NormalWeb"/>
        <w:spacing w:before="0" w:beforeAutospacing="0" w:after="0" w:afterAutospacing="0"/>
        <w:ind w:firstLine="567"/>
        <w:jc w:val="both"/>
      </w:pPr>
      <w:r>
        <w:t>Ș</w:t>
      </w:r>
      <w:r w:rsidR="00CB7522" w:rsidRPr="007228F4">
        <w:t xml:space="preserve">i Europa se confrunta in domeniul farmaceutic cu o serie de </w:t>
      </w:r>
      <w:proofErr w:type="spellStart"/>
      <w:r w:rsidR="00CB7522" w:rsidRPr="007228F4">
        <w:t>provocari</w:t>
      </w:r>
      <w:proofErr w:type="spellEnd"/>
      <w:r w:rsidR="00CB7522" w:rsidRPr="007228F4">
        <w:t xml:space="preserve"> specifice</w:t>
      </w:r>
      <w:r w:rsidR="00C476BA" w:rsidRPr="007228F4">
        <w:t xml:space="preserve">: </w:t>
      </w:r>
    </w:p>
    <w:p w:rsidR="00AC3AEE" w:rsidRPr="007228F4" w:rsidRDefault="00AC3AEE" w:rsidP="007228F4">
      <w:pPr>
        <w:pStyle w:val="NormalWeb"/>
        <w:numPr>
          <w:ilvl w:val="0"/>
          <w:numId w:val="11"/>
        </w:numPr>
        <w:spacing w:before="0" w:beforeAutospacing="0" w:after="0" w:afterAutospacing="0"/>
        <w:ind w:left="0" w:firstLine="567"/>
        <w:jc w:val="both"/>
      </w:pPr>
      <w:proofErr w:type="spellStart"/>
      <w:r w:rsidRPr="007228F4">
        <w:t>advances</w:t>
      </w:r>
      <w:proofErr w:type="spellEnd"/>
      <w:r w:rsidRPr="007228F4">
        <w:t xml:space="preserve"> in </w:t>
      </w:r>
      <w:proofErr w:type="spellStart"/>
      <w:r w:rsidRPr="007228F4">
        <w:t>science</w:t>
      </w:r>
      <w:proofErr w:type="spellEnd"/>
      <w:r w:rsidRPr="007228F4">
        <w:t xml:space="preserve"> </w:t>
      </w:r>
      <w:proofErr w:type="spellStart"/>
      <w:r w:rsidRPr="007228F4">
        <w:t>and</w:t>
      </w:r>
      <w:proofErr w:type="spellEnd"/>
      <w:r w:rsidRPr="007228F4">
        <w:t xml:space="preserve"> </w:t>
      </w:r>
      <w:proofErr w:type="spellStart"/>
      <w:r w:rsidRPr="007228F4">
        <w:t>technology</w:t>
      </w:r>
      <w:proofErr w:type="spellEnd"/>
      <w:r w:rsidRPr="007228F4">
        <w:t xml:space="preserve">, </w:t>
      </w:r>
      <w:proofErr w:type="spellStart"/>
      <w:r w:rsidRPr="007228F4">
        <w:t>who</w:t>
      </w:r>
      <w:proofErr w:type="spellEnd"/>
      <w:r w:rsidRPr="007228F4">
        <w:t xml:space="preserve"> made </w:t>
      </w:r>
      <w:proofErr w:type="spellStart"/>
      <w:r w:rsidRPr="007228F4">
        <w:t>the</w:t>
      </w:r>
      <w:proofErr w:type="spellEnd"/>
      <w:r w:rsidRPr="007228F4">
        <w:t xml:space="preserve"> </w:t>
      </w:r>
      <w:proofErr w:type="spellStart"/>
      <w:r w:rsidRPr="007228F4">
        <w:t>research-based</w:t>
      </w:r>
      <w:proofErr w:type="spellEnd"/>
      <w:r w:rsidRPr="007228F4">
        <w:t xml:space="preserve"> </w:t>
      </w:r>
      <w:proofErr w:type="spellStart"/>
      <w:r w:rsidRPr="007228F4">
        <w:t>pharmaceutical</w:t>
      </w:r>
      <w:proofErr w:type="spellEnd"/>
      <w:r w:rsidRPr="007228F4">
        <w:t xml:space="preserve"> </w:t>
      </w:r>
      <w:proofErr w:type="spellStart"/>
      <w:r w:rsidRPr="007228F4">
        <w:t>industry</w:t>
      </w:r>
      <w:proofErr w:type="spellEnd"/>
      <w:r w:rsidRPr="007228F4">
        <w:t xml:space="preserve">,  </w:t>
      </w:r>
      <w:proofErr w:type="spellStart"/>
      <w:r w:rsidRPr="007228F4">
        <w:t>one</w:t>
      </w:r>
      <w:proofErr w:type="spellEnd"/>
      <w:r w:rsidRPr="007228F4">
        <w:t xml:space="preserve"> of </w:t>
      </w:r>
      <w:proofErr w:type="spellStart"/>
      <w:r w:rsidRPr="007228F4">
        <w:t>Europe’s</w:t>
      </w:r>
      <w:proofErr w:type="spellEnd"/>
      <w:r w:rsidRPr="007228F4">
        <w:t xml:space="preserve"> top </w:t>
      </w:r>
      <w:proofErr w:type="spellStart"/>
      <w:r w:rsidRPr="007228F4">
        <w:t>performing</w:t>
      </w:r>
      <w:proofErr w:type="spellEnd"/>
      <w:r w:rsidRPr="007228F4">
        <w:t xml:space="preserve"> </w:t>
      </w:r>
      <w:proofErr w:type="spellStart"/>
      <w:r w:rsidRPr="007228F4">
        <w:t>high-technology</w:t>
      </w:r>
      <w:proofErr w:type="spellEnd"/>
      <w:r w:rsidRPr="007228F4">
        <w:t xml:space="preserve"> </w:t>
      </w:r>
      <w:proofErr w:type="spellStart"/>
      <w:r w:rsidRPr="007228F4">
        <w:t>sectors</w:t>
      </w:r>
      <w:proofErr w:type="spellEnd"/>
      <w:r w:rsidRPr="007228F4">
        <w:t xml:space="preserve">, </w:t>
      </w:r>
      <w:proofErr w:type="spellStart"/>
      <w:r w:rsidRPr="007228F4">
        <w:t>to</w:t>
      </w:r>
      <w:proofErr w:type="spellEnd"/>
      <w:r w:rsidRPr="007228F4">
        <w:t xml:space="preserve"> </w:t>
      </w:r>
      <w:proofErr w:type="spellStart"/>
      <w:r w:rsidRPr="007228F4">
        <w:t>entering</w:t>
      </w:r>
      <w:proofErr w:type="spellEnd"/>
      <w:r w:rsidRPr="007228F4">
        <w:t xml:space="preserve"> in a </w:t>
      </w:r>
      <w:proofErr w:type="spellStart"/>
      <w:r w:rsidRPr="007228F4">
        <w:t>new</w:t>
      </w:r>
      <w:proofErr w:type="spellEnd"/>
      <w:r w:rsidRPr="007228F4">
        <w:t xml:space="preserve"> era in </w:t>
      </w:r>
      <w:proofErr w:type="spellStart"/>
      <w:r w:rsidRPr="007228F4">
        <w:t>medicines</w:t>
      </w:r>
      <w:proofErr w:type="spellEnd"/>
      <w:r w:rsidRPr="007228F4">
        <w:t xml:space="preserve"> </w:t>
      </w:r>
      <w:proofErr w:type="spellStart"/>
      <w:r w:rsidRPr="007228F4">
        <w:t>development</w:t>
      </w:r>
      <w:proofErr w:type="spellEnd"/>
      <w:r w:rsidRPr="007228F4">
        <w:t>.</w:t>
      </w:r>
      <w:r w:rsidRPr="007228F4">
        <w:rPr>
          <w:rFonts w:eastAsiaTheme="minorHAnsi"/>
          <w:sz w:val="22"/>
          <w:szCs w:val="22"/>
          <w:lang w:eastAsia="en-US"/>
        </w:rPr>
        <w:t xml:space="preserve"> </w:t>
      </w:r>
      <w:r w:rsidRPr="007228F4">
        <w:t xml:space="preserve"> </w:t>
      </w:r>
    </w:p>
    <w:p w:rsidR="0040458E" w:rsidRPr="007228F4" w:rsidRDefault="0040458E" w:rsidP="007228F4">
      <w:pPr>
        <w:pStyle w:val="NormalWeb"/>
        <w:numPr>
          <w:ilvl w:val="0"/>
          <w:numId w:val="11"/>
        </w:numPr>
        <w:spacing w:before="0" w:beforeAutospacing="0" w:after="0" w:afterAutospacing="0"/>
        <w:ind w:left="0" w:firstLine="567"/>
        <w:jc w:val="both"/>
      </w:pPr>
      <w:proofErr w:type="spellStart"/>
      <w:r w:rsidRPr="007228F4">
        <w:t>differences</w:t>
      </w:r>
      <w:proofErr w:type="spellEnd"/>
      <w:r w:rsidRPr="007228F4">
        <w:t xml:space="preserve"> in </w:t>
      </w:r>
      <w:proofErr w:type="spellStart"/>
      <w:r w:rsidRPr="007228F4">
        <w:t>how</w:t>
      </w:r>
      <w:proofErr w:type="spellEnd"/>
      <w:r w:rsidRPr="007228F4">
        <w:t xml:space="preserve"> European </w:t>
      </w:r>
      <w:proofErr w:type="spellStart"/>
      <w:r w:rsidRPr="007228F4">
        <w:t>countries</w:t>
      </w:r>
      <w:proofErr w:type="spellEnd"/>
      <w:r w:rsidRPr="007228F4">
        <w:t xml:space="preserve"> </w:t>
      </w:r>
      <w:proofErr w:type="spellStart"/>
      <w:r w:rsidRPr="007228F4">
        <w:t>assess</w:t>
      </w:r>
      <w:proofErr w:type="spellEnd"/>
      <w:r w:rsidRPr="007228F4">
        <w:t xml:space="preserve"> </w:t>
      </w:r>
      <w:proofErr w:type="spellStart"/>
      <w:r w:rsidRPr="007228F4">
        <w:t>health</w:t>
      </w:r>
      <w:proofErr w:type="spellEnd"/>
      <w:r w:rsidRPr="007228F4">
        <w:t xml:space="preserve"> </w:t>
      </w:r>
      <w:proofErr w:type="spellStart"/>
      <w:r w:rsidRPr="007228F4">
        <w:t>technology</w:t>
      </w:r>
      <w:proofErr w:type="spellEnd"/>
      <w:r w:rsidR="00160293" w:rsidRPr="007228F4">
        <w:t xml:space="preserve"> si nevoia de a dezvolta  </w:t>
      </w:r>
      <w:proofErr w:type="spellStart"/>
      <w:r w:rsidR="00160293" w:rsidRPr="007228F4">
        <w:t>the</w:t>
      </w:r>
      <w:proofErr w:type="spellEnd"/>
      <w:r w:rsidR="00160293" w:rsidRPr="007228F4">
        <w:t xml:space="preserve"> </w:t>
      </w:r>
      <w:proofErr w:type="spellStart"/>
      <w:r w:rsidR="00160293" w:rsidRPr="007228F4">
        <w:t>collaborative</w:t>
      </w:r>
      <w:proofErr w:type="spellEnd"/>
      <w:r w:rsidR="00160293" w:rsidRPr="007228F4">
        <w:t xml:space="preserve"> </w:t>
      </w:r>
      <w:proofErr w:type="spellStart"/>
      <w:r w:rsidR="00160293" w:rsidRPr="007228F4">
        <w:t>research</w:t>
      </w:r>
      <w:proofErr w:type="spellEnd"/>
      <w:r w:rsidR="00160293" w:rsidRPr="007228F4">
        <w:t xml:space="preserve"> </w:t>
      </w:r>
      <w:proofErr w:type="spellStart"/>
      <w:r w:rsidR="00160293" w:rsidRPr="007228F4">
        <w:t>space</w:t>
      </w:r>
      <w:proofErr w:type="spellEnd"/>
      <w:r w:rsidR="00340041">
        <w:rPr>
          <w:color w:val="5B9BD5" w:themeColor="accent1"/>
        </w:rPr>
        <w:t xml:space="preserve"> </w:t>
      </w:r>
      <w:r w:rsidR="00160293" w:rsidRPr="00340041">
        <w:rPr>
          <w:color w:val="000000" w:themeColor="text1"/>
        </w:rPr>
        <w:t>(</w:t>
      </w:r>
      <w:r w:rsidR="00160293" w:rsidRPr="00340041">
        <w:rPr>
          <w:bCs/>
          <w:color w:val="000000" w:themeColor="text1"/>
        </w:rPr>
        <w:t xml:space="preserve">Andy </w:t>
      </w:r>
      <w:proofErr w:type="spellStart"/>
      <w:r w:rsidR="00160293" w:rsidRPr="00340041">
        <w:rPr>
          <w:bCs/>
          <w:color w:val="000000" w:themeColor="text1"/>
        </w:rPr>
        <w:t>Powrie</w:t>
      </w:r>
      <w:proofErr w:type="spellEnd"/>
      <w:r w:rsidR="00160293" w:rsidRPr="00340041">
        <w:rPr>
          <w:bCs/>
          <w:color w:val="000000" w:themeColor="text1"/>
        </w:rPr>
        <w:t>-Smith, 2019)</w:t>
      </w:r>
      <w:r w:rsidR="00340041" w:rsidRPr="00340041">
        <w:rPr>
          <w:bCs/>
          <w:color w:val="000000" w:themeColor="text1"/>
        </w:rPr>
        <w:t>.</w:t>
      </w:r>
    </w:p>
    <w:p w:rsidR="0040458E" w:rsidRPr="007228F4" w:rsidRDefault="0040458E" w:rsidP="007228F4">
      <w:pPr>
        <w:pStyle w:val="NormalWeb"/>
        <w:numPr>
          <w:ilvl w:val="0"/>
          <w:numId w:val="11"/>
        </w:numPr>
        <w:spacing w:before="0" w:beforeAutospacing="0" w:after="0" w:afterAutospacing="0"/>
        <w:ind w:left="0" w:firstLine="567"/>
        <w:jc w:val="both"/>
      </w:pPr>
      <w:proofErr w:type="spellStart"/>
      <w:r w:rsidRPr="007228F4">
        <w:t>schimbari</w:t>
      </w:r>
      <w:proofErr w:type="spellEnd"/>
      <w:r w:rsidRPr="007228F4">
        <w:t xml:space="preserve"> majore in mediul de afaceri, cu multe incertitudini</w:t>
      </w:r>
    </w:p>
    <w:p w:rsidR="0040458E" w:rsidRPr="007228F4" w:rsidRDefault="00AC3AEE" w:rsidP="007228F4">
      <w:pPr>
        <w:pStyle w:val="NormalWeb"/>
        <w:numPr>
          <w:ilvl w:val="0"/>
          <w:numId w:val="11"/>
        </w:numPr>
        <w:spacing w:before="0" w:beforeAutospacing="0" w:after="0" w:afterAutospacing="0"/>
        <w:ind w:left="0" w:firstLine="567"/>
        <w:jc w:val="both"/>
      </w:pPr>
      <w:proofErr w:type="spellStart"/>
      <w:r w:rsidRPr="007228F4">
        <w:t>all</w:t>
      </w:r>
      <w:proofErr w:type="spellEnd"/>
      <w:r w:rsidRPr="007228F4">
        <w:t xml:space="preserve"> drug </w:t>
      </w:r>
      <w:proofErr w:type="spellStart"/>
      <w:r w:rsidRPr="007228F4">
        <w:t>companies</w:t>
      </w:r>
      <w:proofErr w:type="spellEnd"/>
      <w:r w:rsidRPr="007228F4">
        <w:t xml:space="preserve"> are </w:t>
      </w:r>
      <w:proofErr w:type="spellStart"/>
      <w:r w:rsidRPr="007228F4">
        <w:t>faced</w:t>
      </w:r>
      <w:proofErr w:type="spellEnd"/>
      <w:r w:rsidRPr="007228F4">
        <w:t xml:space="preserve"> </w:t>
      </w:r>
      <w:proofErr w:type="spellStart"/>
      <w:r w:rsidRPr="007228F4">
        <w:t>with</w:t>
      </w:r>
      <w:proofErr w:type="spellEnd"/>
      <w:r w:rsidRPr="007228F4">
        <w:t xml:space="preserve"> </w:t>
      </w:r>
      <w:proofErr w:type="spellStart"/>
      <w:r w:rsidRPr="007228F4">
        <w:t>tougher</w:t>
      </w:r>
      <w:proofErr w:type="spellEnd"/>
      <w:r w:rsidRPr="007228F4">
        <w:t xml:space="preserve"> </w:t>
      </w:r>
      <w:proofErr w:type="spellStart"/>
      <w:r w:rsidRPr="007228F4">
        <w:t>pricing</w:t>
      </w:r>
      <w:proofErr w:type="spellEnd"/>
      <w:r w:rsidRPr="007228F4">
        <w:t xml:space="preserve"> </w:t>
      </w:r>
      <w:proofErr w:type="spellStart"/>
      <w:r w:rsidRPr="007228F4">
        <w:t>negotiations</w:t>
      </w:r>
      <w:proofErr w:type="spellEnd"/>
      <w:r w:rsidRPr="007228F4">
        <w:t xml:space="preserve"> </w:t>
      </w:r>
      <w:proofErr w:type="spellStart"/>
      <w:r w:rsidRPr="007228F4">
        <w:t>that</w:t>
      </w:r>
      <w:proofErr w:type="spellEnd"/>
      <w:r w:rsidRPr="007228F4">
        <w:t xml:space="preserve"> are </w:t>
      </w:r>
      <w:proofErr w:type="spellStart"/>
      <w:r w:rsidRPr="007228F4">
        <w:t>driven</w:t>
      </w:r>
      <w:proofErr w:type="spellEnd"/>
      <w:r w:rsidRPr="007228F4">
        <w:t xml:space="preserve"> </w:t>
      </w:r>
      <w:proofErr w:type="spellStart"/>
      <w:r w:rsidRPr="007228F4">
        <w:t>by</w:t>
      </w:r>
      <w:proofErr w:type="spellEnd"/>
      <w:r w:rsidRPr="007228F4">
        <w:t xml:space="preserve"> </w:t>
      </w:r>
      <w:proofErr w:type="spellStart"/>
      <w:r w:rsidRPr="007228F4">
        <w:t>ever-tighter</w:t>
      </w:r>
      <w:proofErr w:type="spellEnd"/>
      <w:r w:rsidRPr="007228F4">
        <w:t xml:space="preserve"> </w:t>
      </w:r>
      <w:proofErr w:type="spellStart"/>
      <w:r w:rsidRPr="007228F4">
        <w:t>controls</w:t>
      </w:r>
      <w:proofErr w:type="spellEnd"/>
      <w:r w:rsidRPr="007228F4">
        <w:t xml:space="preserve"> on </w:t>
      </w:r>
      <w:proofErr w:type="spellStart"/>
      <w:r w:rsidRPr="007228F4">
        <w:t>national</w:t>
      </w:r>
      <w:proofErr w:type="spellEnd"/>
      <w:r w:rsidRPr="007228F4">
        <w:t xml:space="preserve"> </w:t>
      </w:r>
      <w:proofErr w:type="spellStart"/>
      <w:r w:rsidRPr="007228F4">
        <w:t>health</w:t>
      </w:r>
      <w:proofErr w:type="spellEnd"/>
      <w:r w:rsidRPr="007228F4">
        <w:t xml:space="preserve"> </w:t>
      </w:r>
      <w:proofErr w:type="spellStart"/>
      <w:r w:rsidRPr="007228F4">
        <w:t>system</w:t>
      </w:r>
      <w:proofErr w:type="spellEnd"/>
      <w:r w:rsidRPr="007228F4">
        <w:t xml:space="preserve"> </w:t>
      </w:r>
      <w:proofErr w:type="spellStart"/>
      <w:r w:rsidRPr="007228F4">
        <w:t>funding</w:t>
      </w:r>
      <w:proofErr w:type="spellEnd"/>
      <w:r w:rsidRPr="007228F4">
        <w:t xml:space="preserve"> </w:t>
      </w:r>
      <w:proofErr w:type="spellStart"/>
      <w:r w:rsidRPr="007228F4">
        <w:t>across</w:t>
      </w:r>
      <w:proofErr w:type="spellEnd"/>
      <w:r w:rsidRPr="007228F4">
        <w:t xml:space="preserve"> Europe.</w:t>
      </w:r>
    </w:p>
    <w:p w:rsidR="00BE36F9" w:rsidRPr="007228F4" w:rsidRDefault="00160293" w:rsidP="007228F4">
      <w:pPr>
        <w:pStyle w:val="NormalWeb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7228F4">
        <w:t>Dar cea mai mare provocare vine din</w:t>
      </w:r>
      <w:r w:rsidR="00D224FE" w:rsidRPr="007228F4">
        <w:t xml:space="preserve"> </w:t>
      </w:r>
      <w:proofErr w:type="spellStart"/>
      <w:r w:rsidR="00D224FE" w:rsidRPr="007228F4">
        <w:t>Britain’s</w:t>
      </w:r>
      <w:proofErr w:type="spellEnd"/>
      <w:r w:rsidR="00D224FE" w:rsidRPr="007228F4">
        <w:t xml:space="preserve"> </w:t>
      </w:r>
      <w:proofErr w:type="spellStart"/>
      <w:r w:rsidR="00D224FE" w:rsidRPr="007228F4">
        <w:t>exit</w:t>
      </w:r>
      <w:proofErr w:type="spellEnd"/>
      <w:r w:rsidR="00D224FE" w:rsidRPr="007228F4">
        <w:t xml:space="preserve"> </w:t>
      </w:r>
      <w:proofErr w:type="spellStart"/>
      <w:r w:rsidR="00D224FE" w:rsidRPr="007228F4">
        <w:t>from</w:t>
      </w:r>
      <w:proofErr w:type="spellEnd"/>
      <w:r w:rsidR="00D224FE" w:rsidRPr="007228F4">
        <w:t xml:space="preserve"> </w:t>
      </w:r>
      <w:proofErr w:type="spellStart"/>
      <w:r w:rsidR="00D224FE" w:rsidRPr="007228F4">
        <w:t>the</w:t>
      </w:r>
      <w:proofErr w:type="spellEnd"/>
      <w:r w:rsidR="00D224FE" w:rsidRPr="007228F4">
        <w:t xml:space="preserve"> </w:t>
      </w:r>
      <w:proofErr w:type="spellStart"/>
      <w:r w:rsidR="00D224FE" w:rsidRPr="007228F4">
        <w:t>coalition</w:t>
      </w:r>
      <w:proofErr w:type="spellEnd"/>
      <w:r w:rsidR="00CB7522" w:rsidRPr="007228F4">
        <w:t>.</w:t>
      </w:r>
      <w:r w:rsidR="00BE36F9" w:rsidRPr="007228F4">
        <w:t xml:space="preserve"> </w:t>
      </w:r>
      <w:proofErr w:type="spellStart"/>
      <w:r w:rsidR="00BE36F9" w:rsidRPr="007228F4">
        <w:t>This</w:t>
      </w:r>
      <w:proofErr w:type="spellEnd"/>
      <w:r w:rsidR="00BE36F9" w:rsidRPr="007228F4">
        <w:t xml:space="preserve"> exclude </w:t>
      </w:r>
      <w:proofErr w:type="spellStart"/>
      <w:r w:rsidR="00BE36F9" w:rsidRPr="007228F4">
        <w:t>one</w:t>
      </w:r>
      <w:proofErr w:type="spellEnd"/>
      <w:r w:rsidR="00BE36F9" w:rsidRPr="007228F4">
        <w:t xml:space="preserve"> of </w:t>
      </w:r>
      <w:proofErr w:type="spellStart"/>
      <w:r w:rsidR="00BE36F9" w:rsidRPr="007228F4">
        <w:t>the</w:t>
      </w:r>
      <w:proofErr w:type="spellEnd"/>
      <w:r w:rsidR="00BE36F9" w:rsidRPr="007228F4">
        <w:t xml:space="preserve"> </w:t>
      </w:r>
      <w:proofErr w:type="spellStart"/>
      <w:r w:rsidR="00BE36F9" w:rsidRPr="007228F4">
        <w:t>continent's</w:t>
      </w:r>
      <w:proofErr w:type="spellEnd"/>
      <w:r w:rsidR="00BE36F9" w:rsidRPr="007228F4">
        <w:t xml:space="preserve"> </w:t>
      </w:r>
      <w:proofErr w:type="spellStart"/>
      <w:r w:rsidR="00BE36F9" w:rsidRPr="007228F4">
        <w:t>biggest</w:t>
      </w:r>
      <w:proofErr w:type="spellEnd"/>
      <w:r w:rsidR="00BE36F9" w:rsidRPr="007228F4">
        <w:t xml:space="preserve"> </w:t>
      </w:r>
      <w:proofErr w:type="spellStart"/>
      <w:r w:rsidR="00BE36F9" w:rsidRPr="007228F4">
        <w:t>buyers</w:t>
      </w:r>
      <w:proofErr w:type="spellEnd"/>
      <w:r w:rsidR="00BE36F9" w:rsidRPr="007228F4">
        <w:t xml:space="preserve"> </w:t>
      </w:r>
      <w:proofErr w:type="spellStart"/>
      <w:r w:rsidR="00BE36F9" w:rsidRPr="007228F4">
        <w:t>from</w:t>
      </w:r>
      <w:proofErr w:type="spellEnd"/>
      <w:r w:rsidR="00BE36F9" w:rsidRPr="007228F4">
        <w:t xml:space="preserve"> </w:t>
      </w:r>
      <w:proofErr w:type="spellStart"/>
      <w:r w:rsidR="00BE36F9" w:rsidRPr="007228F4">
        <w:t>the</w:t>
      </w:r>
      <w:proofErr w:type="spellEnd"/>
      <w:r w:rsidR="00BE36F9" w:rsidRPr="007228F4">
        <w:t xml:space="preserve"> </w:t>
      </w:r>
      <w:proofErr w:type="spellStart"/>
      <w:r w:rsidR="00BE36F9" w:rsidRPr="007228F4">
        <w:t>EU's</w:t>
      </w:r>
      <w:proofErr w:type="spellEnd"/>
      <w:r w:rsidR="00BE36F9" w:rsidRPr="007228F4">
        <w:t xml:space="preserve"> single market as </w:t>
      </w:r>
      <w:proofErr w:type="spellStart"/>
      <w:r w:rsidR="00BE36F9" w:rsidRPr="007228F4">
        <w:t>from</w:t>
      </w:r>
      <w:proofErr w:type="spellEnd"/>
      <w:r w:rsidR="00BE36F9" w:rsidRPr="007228F4">
        <w:t xml:space="preserve"> 2018 (</w:t>
      </w:r>
      <w:proofErr w:type="spellStart"/>
      <w:r w:rsidR="00BE36F9" w:rsidRPr="007228F4">
        <w:t>and</w:t>
      </w:r>
      <w:proofErr w:type="spellEnd"/>
      <w:r w:rsidR="00BE36F9" w:rsidRPr="007228F4">
        <w:t xml:space="preserve"> </w:t>
      </w:r>
      <w:proofErr w:type="spellStart"/>
      <w:r w:rsidR="00BE36F9" w:rsidRPr="007228F4">
        <w:t>consequently</w:t>
      </w:r>
      <w:proofErr w:type="spellEnd"/>
      <w:r w:rsidR="00BE36F9" w:rsidRPr="007228F4">
        <w:t xml:space="preserve"> oblige </w:t>
      </w:r>
      <w:proofErr w:type="spellStart"/>
      <w:r w:rsidR="00BE36F9" w:rsidRPr="007228F4">
        <w:t>companies</w:t>
      </w:r>
      <w:proofErr w:type="spellEnd"/>
      <w:r w:rsidR="00BE36F9" w:rsidRPr="007228F4">
        <w:t xml:space="preserve"> </w:t>
      </w:r>
      <w:proofErr w:type="spellStart"/>
      <w:r w:rsidR="00BE36F9" w:rsidRPr="007228F4">
        <w:t>to</w:t>
      </w:r>
      <w:proofErr w:type="spellEnd"/>
      <w:r w:rsidR="00BE36F9" w:rsidRPr="007228F4">
        <w:t xml:space="preserve"> start </w:t>
      </w:r>
      <w:proofErr w:type="spellStart"/>
      <w:r w:rsidR="00BE36F9" w:rsidRPr="007228F4">
        <w:t>obtaining</w:t>
      </w:r>
      <w:proofErr w:type="spellEnd"/>
      <w:r w:rsidR="00BE36F9" w:rsidRPr="007228F4">
        <w:t xml:space="preserve"> separate marketing </w:t>
      </w:r>
      <w:proofErr w:type="spellStart"/>
      <w:r w:rsidR="00BE36F9" w:rsidRPr="007228F4">
        <w:t>authorizations</w:t>
      </w:r>
      <w:proofErr w:type="spellEnd"/>
      <w:r w:rsidR="00BE36F9" w:rsidRPr="007228F4">
        <w:t xml:space="preserve"> for </w:t>
      </w:r>
      <w:proofErr w:type="spellStart"/>
      <w:r w:rsidR="00BE36F9" w:rsidRPr="007228F4">
        <w:t>products</w:t>
      </w:r>
      <w:proofErr w:type="spellEnd"/>
      <w:r w:rsidR="00BE36F9" w:rsidRPr="007228F4">
        <w:t xml:space="preserve"> </w:t>
      </w:r>
      <w:proofErr w:type="spellStart"/>
      <w:r w:rsidR="00BE36F9" w:rsidRPr="007228F4">
        <w:t>there</w:t>
      </w:r>
      <w:proofErr w:type="spellEnd"/>
      <w:r w:rsidR="00BE36F9" w:rsidRPr="007228F4">
        <w:t xml:space="preserve">) </w:t>
      </w:r>
      <w:r w:rsidR="00BE36F9" w:rsidRPr="00340041">
        <w:rPr>
          <w:color w:val="000000" w:themeColor="text1"/>
        </w:rPr>
        <w:t>(PharmExec.com, 2018)</w:t>
      </w:r>
      <w:r w:rsidR="00BE36F9" w:rsidRPr="007228F4">
        <w:t>.</w:t>
      </w:r>
      <w:r w:rsidR="00BE36F9" w:rsidRPr="007228F4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="00BE36F9" w:rsidRPr="007228F4">
        <w:rPr>
          <w:rFonts w:eastAsiaTheme="minorHAnsi"/>
          <w:lang w:eastAsia="en-US"/>
        </w:rPr>
        <w:t>Brexit</w:t>
      </w:r>
      <w:proofErr w:type="spellEnd"/>
      <w:r w:rsidR="00BE36F9" w:rsidRPr="007228F4">
        <w:rPr>
          <w:rFonts w:eastAsiaTheme="minorHAnsi"/>
          <w:lang w:eastAsia="en-US"/>
        </w:rPr>
        <w:t xml:space="preserve"> </w:t>
      </w:r>
      <w:proofErr w:type="spellStart"/>
      <w:r w:rsidR="00BE36F9" w:rsidRPr="007228F4">
        <w:rPr>
          <w:rFonts w:eastAsiaTheme="minorHAnsi"/>
          <w:lang w:eastAsia="en-US"/>
        </w:rPr>
        <w:t>will</w:t>
      </w:r>
      <w:proofErr w:type="spellEnd"/>
      <w:r w:rsidR="00BE36F9" w:rsidRPr="007228F4">
        <w:rPr>
          <w:rFonts w:eastAsiaTheme="minorHAnsi"/>
          <w:lang w:eastAsia="en-US"/>
        </w:rPr>
        <w:t xml:space="preserve"> </w:t>
      </w:r>
      <w:proofErr w:type="spellStart"/>
      <w:r w:rsidR="00BE36F9" w:rsidRPr="007228F4">
        <w:rPr>
          <w:rFonts w:eastAsiaTheme="minorHAnsi"/>
          <w:lang w:eastAsia="en-US"/>
        </w:rPr>
        <w:t>also</w:t>
      </w:r>
      <w:proofErr w:type="spellEnd"/>
      <w:r w:rsidR="00BE36F9" w:rsidRPr="007228F4">
        <w:rPr>
          <w:rFonts w:eastAsiaTheme="minorHAnsi"/>
          <w:lang w:eastAsia="en-US"/>
        </w:rPr>
        <w:t xml:space="preserve"> </w:t>
      </w:r>
      <w:proofErr w:type="spellStart"/>
      <w:r w:rsidR="00BE36F9" w:rsidRPr="007228F4">
        <w:rPr>
          <w:rFonts w:eastAsiaTheme="minorHAnsi"/>
          <w:lang w:eastAsia="en-US"/>
        </w:rPr>
        <w:t>require</w:t>
      </w:r>
      <w:proofErr w:type="spellEnd"/>
      <w:r w:rsidR="00BE36F9" w:rsidRPr="007228F4">
        <w:rPr>
          <w:rFonts w:eastAsiaTheme="minorHAnsi"/>
          <w:lang w:eastAsia="en-US"/>
        </w:rPr>
        <w:t xml:space="preserve"> major </w:t>
      </w:r>
      <w:proofErr w:type="spellStart"/>
      <w:r w:rsidR="00BE36F9" w:rsidRPr="007228F4">
        <w:rPr>
          <w:rFonts w:eastAsiaTheme="minorHAnsi"/>
          <w:lang w:eastAsia="en-US"/>
        </w:rPr>
        <w:t>readjustment</w:t>
      </w:r>
      <w:proofErr w:type="spellEnd"/>
      <w:r w:rsidR="00BE36F9" w:rsidRPr="007228F4">
        <w:rPr>
          <w:rFonts w:eastAsiaTheme="minorHAnsi"/>
          <w:lang w:eastAsia="en-US"/>
        </w:rPr>
        <w:t xml:space="preserve"> </w:t>
      </w:r>
      <w:proofErr w:type="spellStart"/>
      <w:r w:rsidR="00BE36F9" w:rsidRPr="007228F4">
        <w:rPr>
          <w:rFonts w:eastAsiaTheme="minorHAnsi"/>
          <w:lang w:eastAsia="en-US"/>
        </w:rPr>
        <w:t>to</w:t>
      </w:r>
      <w:proofErr w:type="spellEnd"/>
      <w:r w:rsidR="00BE36F9" w:rsidRPr="007228F4">
        <w:rPr>
          <w:rFonts w:eastAsiaTheme="minorHAnsi"/>
          <w:lang w:eastAsia="en-US"/>
        </w:rPr>
        <w:t xml:space="preserve"> </w:t>
      </w:r>
      <w:proofErr w:type="spellStart"/>
      <w:r w:rsidR="00BE36F9" w:rsidRPr="007228F4">
        <w:rPr>
          <w:rFonts w:eastAsiaTheme="minorHAnsi"/>
          <w:lang w:eastAsia="en-US"/>
        </w:rPr>
        <w:t>existing</w:t>
      </w:r>
      <w:proofErr w:type="spellEnd"/>
      <w:r w:rsidR="00BE36F9" w:rsidRPr="007228F4">
        <w:rPr>
          <w:rFonts w:eastAsiaTheme="minorHAnsi"/>
          <w:lang w:eastAsia="en-US"/>
        </w:rPr>
        <w:t xml:space="preserve"> </w:t>
      </w:r>
      <w:proofErr w:type="spellStart"/>
      <w:r w:rsidR="00BE36F9" w:rsidRPr="007228F4">
        <w:rPr>
          <w:rFonts w:eastAsiaTheme="minorHAnsi"/>
          <w:lang w:eastAsia="en-US"/>
        </w:rPr>
        <w:t>and</w:t>
      </w:r>
      <w:proofErr w:type="spellEnd"/>
      <w:r w:rsidR="00BE36F9" w:rsidRPr="007228F4">
        <w:rPr>
          <w:rFonts w:eastAsiaTheme="minorHAnsi"/>
          <w:lang w:eastAsia="en-US"/>
        </w:rPr>
        <w:t xml:space="preserve"> </w:t>
      </w:r>
      <w:proofErr w:type="spellStart"/>
      <w:r w:rsidR="00BE36F9" w:rsidRPr="007228F4">
        <w:rPr>
          <w:rFonts w:eastAsiaTheme="minorHAnsi"/>
          <w:lang w:eastAsia="en-US"/>
        </w:rPr>
        <w:t>pending</w:t>
      </w:r>
      <w:proofErr w:type="spellEnd"/>
      <w:r w:rsidR="00BE36F9" w:rsidRPr="007228F4">
        <w:rPr>
          <w:rFonts w:eastAsiaTheme="minorHAnsi"/>
          <w:lang w:eastAsia="en-US"/>
        </w:rPr>
        <w:t xml:space="preserve"> European </w:t>
      </w:r>
      <w:proofErr w:type="spellStart"/>
      <w:r w:rsidR="00BE36F9" w:rsidRPr="007228F4">
        <w:rPr>
          <w:rFonts w:eastAsiaTheme="minorHAnsi"/>
          <w:lang w:eastAsia="en-US"/>
        </w:rPr>
        <w:t>initiatives</w:t>
      </w:r>
      <w:proofErr w:type="spellEnd"/>
      <w:r w:rsidR="00BE36F9" w:rsidRPr="007228F4">
        <w:rPr>
          <w:rFonts w:eastAsiaTheme="minorHAnsi"/>
          <w:lang w:eastAsia="en-US"/>
        </w:rPr>
        <w:t xml:space="preserve"> on </w:t>
      </w:r>
      <w:proofErr w:type="spellStart"/>
      <w:r w:rsidR="00BE36F9" w:rsidRPr="007228F4">
        <w:rPr>
          <w:rFonts w:eastAsiaTheme="minorHAnsi"/>
          <w:lang w:eastAsia="en-US"/>
        </w:rPr>
        <w:t>everything</w:t>
      </w:r>
      <w:proofErr w:type="spellEnd"/>
      <w:r w:rsidR="00BE36F9" w:rsidRPr="007228F4">
        <w:rPr>
          <w:rFonts w:eastAsiaTheme="minorHAnsi"/>
          <w:lang w:eastAsia="en-US"/>
        </w:rPr>
        <w:t xml:space="preserve"> </w:t>
      </w:r>
      <w:proofErr w:type="spellStart"/>
      <w:r w:rsidR="00BE36F9" w:rsidRPr="007228F4">
        <w:rPr>
          <w:rFonts w:eastAsiaTheme="minorHAnsi"/>
          <w:lang w:eastAsia="en-US"/>
        </w:rPr>
        <w:t>from</w:t>
      </w:r>
      <w:proofErr w:type="spellEnd"/>
      <w:r w:rsidR="00BE36F9" w:rsidRPr="007228F4">
        <w:rPr>
          <w:rFonts w:eastAsiaTheme="minorHAnsi"/>
          <w:lang w:eastAsia="en-US"/>
        </w:rPr>
        <w:t xml:space="preserve"> </w:t>
      </w:r>
      <w:proofErr w:type="spellStart"/>
      <w:r w:rsidR="00BE36F9" w:rsidRPr="007228F4">
        <w:rPr>
          <w:rFonts w:eastAsiaTheme="minorHAnsi"/>
          <w:lang w:eastAsia="en-US"/>
        </w:rPr>
        <w:t>clinical</w:t>
      </w:r>
      <w:proofErr w:type="spellEnd"/>
      <w:r w:rsidR="00BE36F9" w:rsidRPr="007228F4">
        <w:rPr>
          <w:rFonts w:eastAsiaTheme="minorHAnsi"/>
          <w:lang w:eastAsia="en-US"/>
        </w:rPr>
        <w:t xml:space="preserve"> </w:t>
      </w:r>
      <w:proofErr w:type="spellStart"/>
      <w:r w:rsidR="00BE36F9" w:rsidRPr="007228F4">
        <w:rPr>
          <w:rFonts w:eastAsiaTheme="minorHAnsi"/>
          <w:lang w:eastAsia="en-US"/>
        </w:rPr>
        <w:t>trials</w:t>
      </w:r>
      <w:proofErr w:type="spellEnd"/>
      <w:r w:rsidR="00BE36F9" w:rsidRPr="007228F4">
        <w:rPr>
          <w:rFonts w:eastAsiaTheme="minorHAnsi"/>
          <w:lang w:eastAsia="en-US"/>
        </w:rPr>
        <w:t xml:space="preserve"> </w:t>
      </w:r>
      <w:proofErr w:type="spellStart"/>
      <w:r w:rsidR="00BE36F9" w:rsidRPr="007228F4">
        <w:rPr>
          <w:rFonts w:eastAsiaTheme="minorHAnsi"/>
          <w:lang w:eastAsia="en-US"/>
        </w:rPr>
        <w:t>regulation</w:t>
      </w:r>
      <w:proofErr w:type="spellEnd"/>
      <w:r w:rsidR="00BE36F9" w:rsidRPr="007228F4">
        <w:rPr>
          <w:rFonts w:eastAsiaTheme="minorHAnsi"/>
          <w:lang w:eastAsia="en-US"/>
        </w:rPr>
        <w:t xml:space="preserve"> </w:t>
      </w:r>
      <w:proofErr w:type="spellStart"/>
      <w:r w:rsidR="00BE36F9" w:rsidRPr="007228F4">
        <w:rPr>
          <w:rFonts w:eastAsiaTheme="minorHAnsi"/>
          <w:lang w:eastAsia="en-US"/>
        </w:rPr>
        <w:t>to</w:t>
      </w:r>
      <w:proofErr w:type="spellEnd"/>
      <w:r w:rsidR="00BE36F9" w:rsidRPr="007228F4">
        <w:rPr>
          <w:rFonts w:eastAsiaTheme="minorHAnsi"/>
          <w:lang w:eastAsia="en-US"/>
        </w:rPr>
        <w:t xml:space="preserve"> </w:t>
      </w:r>
      <w:proofErr w:type="spellStart"/>
      <w:r w:rsidR="00BE36F9" w:rsidRPr="007228F4">
        <w:rPr>
          <w:rFonts w:eastAsiaTheme="minorHAnsi"/>
          <w:lang w:eastAsia="en-US"/>
        </w:rPr>
        <w:t>health</w:t>
      </w:r>
      <w:proofErr w:type="spellEnd"/>
      <w:r w:rsidR="00BE36F9" w:rsidRPr="007228F4">
        <w:rPr>
          <w:rFonts w:eastAsiaTheme="minorHAnsi"/>
          <w:lang w:eastAsia="en-US"/>
        </w:rPr>
        <w:t xml:space="preserve"> </w:t>
      </w:r>
      <w:proofErr w:type="spellStart"/>
      <w:r w:rsidR="00BE36F9" w:rsidRPr="007228F4">
        <w:rPr>
          <w:rFonts w:eastAsiaTheme="minorHAnsi"/>
          <w:lang w:eastAsia="en-US"/>
        </w:rPr>
        <w:t>technology</w:t>
      </w:r>
      <w:proofErr w:type="spellEnd"/>
      <w:r w:rsidR="00BE36F9" w:rsidRPr="007228F4">
        <w:rPr>
          <w:rFonts w:eastAsiaTheme="minorHAnsi"/>
          <w:lang w:eastAsia="en-US"/>
        </w:rPr>
        <w:t xml:space="preserve"> </w:t>
      </w:r>
      <w:proofErr w:type="spellStart"/>
      <w:r w:rsidR="00BE36F9" w:rsidRPr="007228F4">
        <w:rPr>
          <w:rFonts w:eastAsiaTheme="minorHAnsi"/>
          <w:lang w:eastAsia="en-US"/>
        </w:rPr>
        <w:t>assessment</w:t>
      </w:r>
      <w:proofErr w:type="spellEnd"/>
      <w:r w:rsidR="00BE36F9" w:rsidRPr="007228F4">
        <w:rPr>
          <w:rFonts w:eastAsiaTheme="minorHAnsi"/>
          <w:lang w:eastAsia="en-US"/>
        </w:rPr>
        <w:t xml:space="preserve">, </w:t>
      </w:r>
      <w:proofErr w:type="spellStart"/>
      <w:r w:rsidR="00BE36F9" w:rsidRPr="007228F4">
        <w:rPr>
          <w:rFonts w:eastAsiaTheme="minorHAnsi"/>
          <w:lang w:eastAsia="en-US"/>
        </w:rPr>
        <w:t>and</w:t>
      </w:r>
      <w:proofErr w:type="spellEnd"/>
      <w:r w:rsidR="00BE36F9" w:rsidRPr="007228F4">
        <w:rPr>
          <w:rFonts w:eastAsiaTheme="minorHAnsi"/>
          <w:lang w:eastAsia="en-US"/>
        </w:rPr>
        <w:t xml:space="preserve"> </w:t>
      </w:r>
      <w:proofErr w:type="spellStart"/>
      <w:r w:rsidR="00BE36F9" w:rsidRPr="007228F4">
        <w:rPr>
          <w:rFonts w:eastAsiaTheme="minorHAnsi"/>
          <w:lang w:eastAsia="en-US"/>
        </w:rPr>
        <w:t>from</w:t>
      </w:r>
      <w:proofErr w:type="spellEnd"/>
      <w:r w:rsidR="00BE36F9" w:rsidRPr="007228F4">
        <w:rPr>
          <w:rFonts w:eastAsiaTheme="minorHAnsi"/>
          <w:lang w:eastAsia="en-US"/>
        </w:rPr>
        <w:t xml:space="preserve"> digital </w:t>
      </w:r>
      <w:proofErr w:type="spellStart"/>
      <w:r w:rsidR="00BE36F9" w:rsidRPr="007228F4">
        <w:rPr>
          <w:rFonts w:eastAsiaTheme="minorHAnsi"/>
          <w:lang w:eastAsia="en-US"/>
        </w:rPr>
        <w:t>health</w:t>
      </w:r>
      <w:proofErr w:type="spellEnd"/>
      <w:r w:rsidR="00BE36F9" w:rsidRPr="007228F4">
        <w:rPr>
          <w:rFonts w:eastAsiaTheme="minorHAnsi"/>
          <w:lang w:eastAsia="en-US"/>
        </w:rPr>
        <w:t xml:space="preserve"> </w:t>
      </w:r>
      <w:proofErr w:type="spellStart"/>
      <w:r w:rsidR="00BE36F9" w:rsidRPr="007228F4">
        <w:rPr>
          <w:rFonts w:eastAsiaTheme="minorHAnsi"/>
          <w:lang w:eastAsia="en-US"/>
        </w:rPr>
        <w:t>to</w:t>
      </w:r>
      <w:proofErr w:type="spellEnd"/>
      <w:r w:rsidR="00BE36F9" w:rsidRPr="007228F4">
        <w:rPr>
          <w:rFonts w:eastAsiaTheme="minorHAnsi"/>
          <w:lang w:eastAsia="en-US"/>
        </w:rPr>
        <w:t xml:space="preserve"> </w:t>
      </w:r>
      <w:proofErr w:type="spellStart"/>
      <w:r w:rsidR="00BE36F9" w:rsidRPr="007228F4">
        <w:rPr>
          <w:rFonts w:eastAsiaTheme="minorHAnsi"/>
          <w:lang w:eastAsia="en-US"/>
        </w:rPr>
        <w:t>modernized</w:t>
      </w:r>
      <w:proofErr w:type="spellEnd"/>
      <w:r w:rsidR="00BE36F9" w:rsidRPr="007228F4">
        <w:rPr>
          <w:rFonts w:eastAsiaTheme="minorHAnsi"/>
          <w:lang w:eastAsia="en-US"/>
        </w:rPr>
        <w:t xml:space="preserve"> </w:t>
      </w:r>
      <w:proofErr w:type="spellStart"/>
      <w:r w:rsidR="00BE36F9" w:rsidRPr="007228F4">
        <w:rPr>
          <w:rFonts w:eastAsiaTheme="minorHAnsi"/>
          <w:lang w:eastAsia="en-US"/>
        </w:rPr>
        <w:t>pathways</w:t>
      </w:r>
      <w:proofErr w:type="spellEnd"/>
      <w:r w:rsidR="00BE36F9" w:rsidRPr="007228F4">
        <w:rPr>
          <w:rFonts w:eastAsiaTheme="minorHAnsi"/>
          <w:lang w:eastAsia="en-US"/>
        </w:rPr>
        <w:t xml:space="preserve"> </w:t>
      </w:r>
      <w:proofErr w:type="spellStart"/>
      <w:r w:rsidR="00BE36F9" w:rsidRPr="007228F4">
        <w:rPr>
          <w:rFonts w:eastAsiaTheme="minorHAnsi"/>
          <w:lang w:eastAsia="en-US"/>
        </w:rPr>
        <w:t>to</w:t>
      </w:r>
      <w:proofErr w:type="spellEnd"/>
      <w:r w:rsidR="00BE36F9" w:rsidRPr="007228F4">
        <w:rPr>
          <w:rFonts w:eastAsiaTheme="minorHAnsi"/>
          <w:lang w:eastAsia="en-US"/>
        </w:rPr>
        <w:t xml:space="preserve"> </w:t>
      </w:r>
      <w:proofErr w:type="spellStart"/>
      <w:r w:rsidR="00BE36F9" w:rsidRPr="007228F4">
        <w:rPr>
          <w:rFonts w:eastAsiaTheme="minorHAnsi"/>
          <w:lang w:eastAsia="en-US"/>
        </w:rPr>
        <w:t>medicines</w:t>
      </w:r>
      <w:proofErr w:type="spellEnd"/>
      <w:r w:rsidR="00BE36F9" w:rsidRPr="007228F4">
        <w:rPr>
          <w:rFonts w:eastAsiaTheme="minorHAnsi"/>
          <w:lang w:eastAsia="en-US"/>
        </w:rPr>
        <w:t xml:space="preserve"> </w:t>
      </w:r>
      <w:proofErr w:type="spellStart"/>
      <w:r w:rsidR="00BE36F9" w:rsidRPr="007228F4">
        <w:rPr>
          <w:rFonts w:eastAsiaTheme="minorHAnsi"/>
          <w:lang w:eastAsia="en-US"/>
        </w:rPr>
        <w:t>authorization</w:t>
      </w:r>
      <w:proofErr w:type="spellEnd"/>
      <w:r w:rsidR="00BE36F9" w:rsidRPr="007228F4">
        <w:rPr>
          <w:rFonts w:eastAsiaTheme="minorHAnsi"/>
          <w:lang w:eastAsia="en-US"/>
        </w:rPr>
        <w:t>.</w:t>
      </w:r>
    </w:p>
    <w:p w:rsidR="00E27F2C" w:rsidRPr="007228F4" w:rsidRDefault="00E27F2C" w:rsidP="007228F4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rStyle w:val="Strong"/>
        </w:rPr>
      </w:pPr>
      <w:r w:rsidRPr="007228F4">
        <w:rPr>
          <w:rStyle w:val="Strong"/>
        </w:rPr>
        <w:t xml:space="preserve">Cazul </w:t>
      </w:r>
      <w:proofErr w:type="spellStart"/>
      <w:r w:rsidRPr="007228F4">
        <w:rPr>
          <w:rStyle w:val="Strong"/>
        </w:rPr>
        <w:t>Romaniei</w:t>
      </w:r>
      <w:proofErr w:type="spellEnd"/>
    </w:p>
    <w:p w:rsidR="00656A38" w:rsidRPr="007228F4" w:rsidRDefault="00656A38" w:rsidP="007228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8F4">
        <w:rPr>
          <w:rFonts w:ascii="Times New Roman" w:hAnsi="Times New Roman" w:cs="Times New Roman"/>
          <w:sz w:val="24"/>
          <w:szCs w:val="24"/>
        </w:rPr>
        <w:t xml:space="preserve">Conform datelor furnizate de firma de cercetare de piață </w:t>
      </w:r>
      <w:r w:rsidRPr="007228F4">
        <w:rPr>
          <w:rFonts w:ascii="Times New Roman" w:hAnsi="Times New Roman" w:cs="Times New Roman"/>
          <w:i/>
          <w:sz w:val="24"/>
          <w:szCs w:val="24"/>
        </w:rPr>
        <w:t xml:space="preserve">IMS </w:t>
      </w:r>
      <w:proofErr w:type="spellStart"/>
      <w:r w:rsidRPr="007228F4">
        <w:rPr>
          <w:rFonts w:ascii="Times New Roman" w:hAnsi="Times New Roman" w:cs="Times New Roman"/>
          <w:i/>
          <w:sz w:val="24"/>
          <w:szCs w:val="24"/>
        </w:rPr>
        <w:t>Health</w:t>
      </w:r>
      <w:proofErr w:type="spellEnd"/>
      <w:r w:rsidRPr="007228F4">
        <w:rPr>
          <w:rFonts w:ascii="Times New Roman" w:hAnsi="Times New Roman" w:cs="Times New Roman"/>
          <w:sz w:val="24"/>
          <w:szCs w:val="24"/>
        </w:rPr>
        <w:t>, p</w:t>
      </w:r>
      <w:r w:rsidRPr="007228F4">
        <w:rPr>
          <w:rFonts w:ascii="Times New Roman" w:hAnsi="Times New Roman" w:cs="Times New Roman"/>
          <w:color w:val="000000" w:themeColor="text1"/>
          <w:sz w:val="24"/>
          <w:szCs w:val="24"/>
        </w:rPr>
        <w:t>iața farmaceutică românească a înregistrat următoarele valori în perioada 201</w:t>
      </w:r>
      <w:r w:rsidR="005B4658" w:rsidRPr="007228F4">
        <w:rPr>
          <w:rFonts w:ascii="Times New Roman" w:hAnsi="Times New Roman" w:cs="Times New Roman"/>
          <w:color w:val="000000" w:themeColor="text1"/>
          <w:sz w:val="24"/>
          <w:szCs w:val="24"/>
        </w:rPr>
        <w:t>5-2017:</w:t>
      </w:r>
    </w:p>
    <w:p w:rsidR="00656A38" w:rsidRPr="007228F4" w:rsidRDefault="00656A38" w:rsidP="00656A3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6A38" w:rsidRPr="007228F4" w:rsidRDefault="001463C8" w:rsidP="00656A38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Tabel</w:t>
      </w:r>
      <w:r w:rsidR="00656A38" w:rsidRPr="007228F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nr. </w:t>
      </w:r>
      <w:r w:rsidR="0053371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2.</w:t>
      </w:r>
      <w:r w:rsidR="00656A38" w:rsidRPr="007228F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Piața farmaceutică românească</w:t>
      </w:r>
    </w:p>
    <w:tbl>
      <w:tblPr>
        <w:tblStyle w:val="TableGrid"/>
        <w:tblW w:w="7330" w:type="dxa"/>
        <w:jc w:val="center"/>
        <w:tblLook w:val="04A0" w:firstRow="1" w:lastRow="0" w:firstColumn="1" w:lastColumn="0" w:noHBand="0" w:noVBand="1"/>
      </w:tblPr>
      <w:tblGrid>
        <w:gridCol w:w="2706"/>
        <w:gridCol w:w="760"/>
        <w:gridCol w:w="760"/>
        <w:gridCol w:w="760"/>
        <w:gridCol w:w="1172"/>
        <w:gridCol w:w="1172"/>
      </w:tblGrid>
      <w:tr w:rsidR="00340041" w:rsidRPr="007228F4" w:rsidTr="00340041">
        <w:trPr>
          <w:jc w:val="center"/>
        </w:trPr>
        <w:tc>
          <w:tcPr>
            <w:tcW w:w="2706" w:type="dxa"/>
            <w:vMerge w:val="restart"/>
            <w:shd w:val="clear" w:color="auto" w:fill="A6A6A6" w:themeFill="background1" w:themeFillShade="A6"/>
            <w:vAlign w:val="center"/>
          </w:tcPr>
          <w:p w:rsidR="00340041" w:rsidRPr="007228F4" w:rsidRDefault="00340041" w:rsidP="00A477D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28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Explicații</w:t>
            </w:r>
          </w:p>
        </w:tc>
        <w:tc>
          <w:tcPr>
            <w:tcW w:w="2280" w:type="dxa"/>
            <w:gridSpan w:val="3"/>
            <w:shd w:val="clear" w:color="auto" w:fill="A6A6A6" w:themeFill="background1" w:themeFillShade="A6"/>
          </w:tcPr>
          <w:p w:rsidR="00340041" w:rsidRPr="007228F4" w:rsidRDefault="00340041" w:rsidP="00A477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7228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Valori (milioane EUR)</w:t>
            </w:r>
          </w:p>
        </w:tc>
        <w:tc>
          <w:tcPr>
            <w:tcW w:w="2344" w:type="dxa"/>
            <w:gridSpan w:val="2"/>
            <w:shd w:val="clear" w:color="auto" w:fill="A6A6A6" w:themeFill="background1" w:themeFillShade="A6"/>
          </w:tcPr>
          <w:p w:rsidR="00340041" w:rsidRPr="007228F4" w:rsidRDefault="00340041" w:rsidP="00A477D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7228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Evoluția (%)</w:t>
            </w:r>
          </w:p>
        </w:tc>
      </w:tr>
      <w:tr w:rsidR="00340041" w:rsidRPr="007228F4" w:rsidTr="00340041">
        <w:trPr>
          <w:jc w:val="center"/>
        </w:trPr>
        <w:tc>
          <w:tcPr>
            <w:tcW w:w="2706" w:type="dxa"/>
            <w:vMerge/>
            <w:shd w:val="clear" w:color="auto" w:fill="A6A6A6" w:themeFill="background1" w:themeFillShade="A6"/>
          </w:tcPr>
          <w:p w:rsidR="00340041" w:rsidRPr="007228F4" w:rsidRDefault="00340041" w:rsidP="00A477DC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:rsidR="00340041" w:rsidRPr="007228F4" w:rsidRDefault="00340041" w:rsidP="00A477D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28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760" w:type="dxa"/>
            <w:shd w:val="clear" w:color="auto" w:fill="A6A6A6" w:themeFill="background1" w:themeFillShade="A6"/>
          </w:tcPr>
          <w:p w:rsidR="00340041" w:rsidRPr="007228F4" w:rsidRDefault="00340041" w:rsidP="00A477D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28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760" w:type="dxa"/>
            <w:shd w:val="clear" w:color="auto" w:fill="A6A6A6" w:themeFill="background1" w:themeFillShade="A6"/>
          </w:tcPr>
          <w:p w:rsidR="00340041" w:rsidRPr="007228F4" w:rsidRDefault="00340041" w:rsidP="00A477D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28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1172" w:type="dxa"/>
            <w:shd w:val="clear" w:color="auto" w:fill="A6A6A6" w:themeFill="background1" w:themeFillShade="A6"/>
          </w:tcPr>
          <w:p w:rsidR="00340041" w:rsidRPr="007228F4" w:rsidRDefault="00340041" w:rsidP="00A477D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28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2016/2015</w:t>
            </w:r>
          </w:p>
        </w:tc>
        <w:tc>
          <w:tcPr>
            <w:tcW w:w="1172" w:type="dxa"/>
            <w:shd w:val="clear" w:color="auto" w:fill="A6A6A6" w:themeFill="background1" w:themeFillShade="A6"/>
          </w:tcPr>
          <w:p w:rsidR="00340041" w:rsidRPr="007228F4" w:rsidRDefault="00340041" w:rsidP="00A477D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28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2017/2016</w:t>
            </w:r>
          </w:p>
        </w:tc>
      </w:tr>
      <w:tr w:rsidR="00340041" w:rsidRPr="007228F4" w:rsidTr="00340041">
        <w:trPr>
          <w:jc w:val="center"/>
        </w:trPr>
        <w:tc>
          <w:tcPr>
            <w:tcW w:w="2706" w:type="dxa"/>
          </w:tcPr>
          <w:p w:rsidR="00340041" w:rsidRPr="007228F4" w:rsidRDefault="00340041" w:rsidP="00A477DC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28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Piața farmaceutică românească</w:t>
            </w:r>
          </w:p>
        </w:tc>
        <w:tc>
          <w:tcPr>
            <w:tcW w:w="760" w:type="dxa"/>
          </w:tcPr>
          <w:p w:rsidR="00340041" w:rsidRPr="007228F4" w:rsidRDefault="00340041" w:rsidP="00A477D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28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2.609</w:t>
            </w:r>
          </w:p>
        </w:tc>
        <w:tc>
          <w:tcPr>
            <w:tcW w:w="760" w:type="dxa"/>
          </w:tcPr>
          <w:p w:rsidR="00340041" w:rsidRPr="007228F4" w:rsidRDefault="00340041" w:rsidP="00A477D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28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2.922</w:t>
            </w:r>
          </w:p>
        </w:tc>
        <w:tc>
          <w:tcPr>
            <w:tcW w:w="760" w:type="dxa"/>
          </w:tcPr>
          <w:p w:rsidR="00340041" w:rsidRPr="007228F4" w:rsidRDefault="00340041" w:rsidP="00A477D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28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3.053</w:t>
            </w:r>
          </w:p>
        </w:tc>
        <w:tc>
          <w:tcPr>
            <w:tcW w:w="1172" w:type="dxa"/>
          </w:tcPr>
          <w:p w:rsidR="00340041" w:rsidRPr="007228F4" w:rsidRDefault="00340041" w:rsidP="00A477D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28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1172" w:type="dxa"/>
          </w:tcPr>
          <w:p w:rsidR="00340041" w:rsidRPr="007228F4" w:rsidRDefault="00340041" w:rsidP="00A477D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28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104,48</w:t>
            </w:r>
          </w:p>
        </w:tc>
      </w:tr>
    </w:tbl>
    <w:p w:rsidR="00656A38" w:rsidRPr="00EC038E" w:rsidRDefault="00656A38" w:rsidP="00340041">
      <w:pPr>
        <w:spacing w:after="0" w:line="240" w:lineRule="auto"/>
        <w:ind w:firstLine="1134"/>
        <w:jc w:val="both"/>
        <w:outlineLvl w:val="0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7228F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Sursa: </w:t>
      </w:r>
      <w:r w:rsidR="004E391E">
        <w:rPr>
          <w:rFonts w:ascii="Times New Roman" w:hAnsi="Times New Roman" w:cs="Times New Roman"/>
          <w:color w:val="000000" w:themeColor="text1"/>
          <w:sz w:val="20"/>
          <w:szCs w:val="20"/>
        </w:rPr>
        <w:t>Elaborare</w:t>
      </w:r>
      <w:r w:rsidRPr="007228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proprie a autorilor</w:t>
      </w:r>
      <w:r w:rsidR="00EC038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după datele furnizate de </w:t>
      </w:r>
      <w:r w:rsidR="00EC038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IMS </w:t>
      </w:r>
      <w:proofErr w:type="spellStart"/>
      <w:r w:rsidR="00EC038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Health</w:t>
      </w:r>
      <w:proofErr w:type="spellEnd"/>
    </w:p>
    <w:p w:rsidR="00656A38" w:rsidRPr="007228F4" w:rsidRDefault="00656A38" w:rsidP="00656A38">
      <w:pPr>
        <w:spacing w:after="0" w:line="240" w:lineRule="auto"/>
        <w:ind w:firstLine="1134"/>
        <w:jc w:val="both"/>
        <w:outlineLvl w:val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56A38" w:rsidRPr="007228F4" w:rsidRDefault="00656A38" w:rsidP="007228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228F4">
        <w:rPr>
          <w:rFonts w:ascii="Times New Roman" w:hAnsi="Times New Roman" w:cs="Times New Roman"/>
          <w:sz w:val="24"/>
          <w:szCs w:val="24"/>
        </w:rPr>
        <w:t xml:space="preserve">Așa cum reiese din tabelul de mai sus, piața farmaceutică românească a totalizat în anul 2017 valoarea de 3.053 milioane EUR (la nivelul prețului de producător), cu o creștere de 4,48% față de anul 2016 </w:t>
      </w:r>
      <w:r w:rsidR="008D3247" w:rsidRPr="007228F4">
        <w:rPr>
          <w:rFonts w:ascii="Times New Roman" w:hAnsi="Times New Roman" w:cs="Times New Roman"/>
          <w:sz w:val="24"/>
          <w:szCs w:val="24"/>
        </w:rPr>
        <w:t xml:space="preserve">si cu </w:t>
      </w:r>
      <w:r w:rsidRPr="007228F4">
        <w:rPr>
          <w:rFonts w:ascii="Times New Roman" w:hAnsi="Times New Roman" w:cs="Times New Roman"/>
          <w:sz w:val="24"/>
          <w:szCs w:val="24"/>
        </w:rPr>
        <w:t>+12% comparativ cu anul 2015</w:t>
      </w:r>
      <w:r w:rsidR="008D3247" w:rsidRPr="007228F4">
        <w:rPr>
          <w:rFonts w:ascii="Times New Roman" w:hAnsi="Times New Roman" w:cs="Times New Roman"/>
          <w:sz w:val="24"/>
          <w:szCs w:val="24"/>
        </w:rPr>
        <w:t>.</w:t>
      </w:r>
      <w:r w:rsidRPr="007228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4CA" w:rsidRPr="0038482C" w:rsidRDefault="008D3247" w:rsidP="007228F4">
      <w:pPr>
        <w:pStyle w:val="NormalWeb"/>
        <w:spacing w:before="0" w:beforeAutospacing="0" w:after="0" w:afterAutospacing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7228F4">
        <w:t xml:space="preserve">În opinia experților de la </w:t>
      </w:r>
      <w:proofErr w:type="spellStart"/>
      <w:r w:rsidRPr="007228F4">
        <w:t>KeysFin</w:t>
      </w:r>
      <w:proofErr w:type="spellEnd"/>
      <w:r w:rsidRPr="007228F4">
        <w:t xml:space="preserve">, </w:t>
      </w:r>
      <w:r w:rsidRPr="007228F4">
        <w:rPr>
          <w:i/>
        </w:rPr>
        <w:t xml:space="preserve">creșterea cifrei de afaceri din industria </w:t>
      </w:r>
      <w:proofErr w:type="spellStart"/>
      <w:r w:rsidRPr="007228F4">
        <w:rPr>
          <w:i/>
        </w:rPr>
        <w:t>farma</w:t>
      </w:r>
      <w:proofErr w:type="spellEnd"/>
      <w:r w:rsidRPr="007228F4">
        <w:rPr>
          <w:i/>
        </w:rPr>
        <w:t xml:space="preserve"> vine în principal pe fondul extinderii susținute a lanțurilor de farmacii și a campaniilor de promovare agresive. Urmând modelul implementat cu succes în alte țări, piața </w:t>
      </w:r>
      <w:proofErr w:type="spellStart"/>
      <w:r w:rsidRPr="007228F4">
        <w:rPr>
          <w:i/>
        </w:rPr>
        <w:t>farma</w:t>
      </w:r>
      <w:proofErr w:type="spellEnd"/>
      <w:r w:rsidRPr="007228F4">
        <w:rPr>
          <w:i/>
        </w:rPr>
        <w:t xml:space="preserve"> a devenit principalul consumator de bugete de promovare, iar efectele s-au văzut rapid, în creșterea afacerilor și a numărului de clienți</w:t>
      </w:r>
      <w:r w:rsidR="0038482C">
        <w:rPr>
          <w:i/>
        </w:rPr>
        <w:t xml:space="preserve"> </w:t>
      </w:r>
      <w:r w:rsidRPr="007228F4">
        <w:t>(</w:t>
      </w:r>
      <w:hyperlink r:id="rId19" w:history="1">
        <w:r w:rsidRPr="007228F4">
          <w:rPr>
            <w:rStyle w:val="Hyperlink"/>
          </w:rPr>
          <w:t>https://www.dcnews.ro/pia-a-farmaceutica-din-romania-afaceri-record-in-2018_586158.html</w:t>
        </w:r>
      </w:hyperlink>
      <w:r w:rsidR="005C2BA7" w:rsidRPr="007228F4">
        <w:rPr>
          <w:rStyle w:val="Hyperlink"/>
        </w:rPr>
        <w:t>)</w:t>
      </w:r>
      <w:r w:rsidR="0038482C" w:rsidRPr="0038482C">
        <w:rPr>
          <w:rStyle w:val="Hyperlink"/>
          <w:color w:val="000000" w:themeColor="text1"/>
          <w:u w:val="none"/>
        </w:rPr>
        <w:t>.</w:t>
      </w:r>
    </w:p>
    <w:p w:rsidR="000C50AB" w:rsidRPr="007228F4" w:rsidRDefault="000C50AB" w:rsidP="007228F4">
      <w:pPr>
        <w:pStyle w:val="NormalWeb"/>
        <w:tabs>
          <w:tab w:val="left" w:pos="0"/>
        </w:tabs>
        <w:spacing w:before="0" w:beforeAutospacing="0" w:after="0" w:afterAutospacing="0"/>
        <w:ind w:firstLine="567"/>
        <w:jc w:val="both"/>
      </w:pPr>
      <w:r w:rsidRPr="007228F4">
        <w:t xml:space="preserve">Din perspectiva </w:t>
      </w:r>
      <w:proofErr w:type="spellStart"/>
      <w:r w:rsidRPr="007228F4">
        <w:t>asociatiilor</w:t>
      </w:r>
      <w:proofErr w:type="spellEnd"/>
      <w:r w:rsidRPr="007228F4">
        <w:t xml:space="preserve"> </w:t>
      </w:r>
      <w:proofErr w:type="spellStart"/>
      <w:r w:rsidRPr="007228F4">
        <w:t>producatorilor</w:t>
      </w:r>
      <w:proofErr w:type="spellEnd"/>
      <w:r w:rsidRPr="007228F4">
        <w:t xml:space="preserve"> de medicamente, cea mai importanta problema a industriei farmaceutice din Romania </w:t>
      </w:r>
      <w:proofErr w:type="spellStart"/>
      <w:r w:rsidRPr="007228F4">
        <w:t>ramane</w:t>
      </w:r>
      <w:proofErr w:type="spellEnd"/>
      <w:r w:rsidRPr="007228F4">
        <w:t xml:space="preserve"> </w:t>
      </w:r>
      <w:proofErr w:type="spellStart"/>
      <w:r w:rsidRPr="007228F4">
        <w:t>subfinantarea</w:t>
      </w:r>
      <w:proofErr w:type="spellEnd"/>
      <w:r w:rsidRPr="007228F4">
        <w:t xml:space="preserve"> sistemului de </w:t>
      </w:r>
      <w:proofErr w:type="spellStart"/>
      <w:r w:rsidRPr="007228F4">
        <w:t>sanatate</w:t>
      </w:r>
      <w:proofErr w:type="spellEnd"/>
      <w:r w:rsidRPr="007228F4">
        <w:t xml:space="preserve">, care continua sa </w:t>
      </w:r>
      <w:r w:rsidRPr="007228F4">
        <w:lastRenderedPageBreak/>
        <w:t xml:space="preserve">afecteze major </w:t>
      </w:r>
      <w:proofErr w:type="spellStart"/>
      <w:r w:rsidRPr="007228F4">
        <w:t>toti</w:t>
      </w:r>
      <w:proofErr w:type="spellEnd"/>
      <w:r w:rsidRPr="007228F4">
        <w:t xml:space="preserve"> </w:t>
      </w:r>
      <w:proofErr w:type="spellStart"/>
      <w:r w:rsidRPr="007228F4">
        <w:t>jucatorii</w:t>
      </w:r>
      <w:proofErr w:type="spellEnd"/>
      <w:r w:rsidRPr="007228F4">
        <w:t xml:space="preserve"> din</w:t>
      </w:r>
      <w:r w:rsidR="008D6614">
        <w:t xml:space="preserve"> </w:t>
      </w:r>
      <w:proofErr w:type="spellStart"/>
      <w:r w:rsidR="008D6614">
        <w:t>piata</w:t>
      </w:r>
      <w:proofErr w:type="spellEnd"/>
      <w:r w:rsidR="008D6614">
        <w:t xml:space="preserve">, si in special </w:t>
      </w:r>
      <w:proofErr w:type="spellStart"/>
      <w:r w:rsidR="008D6614">
        <w:t>pacientii</w:t>
      </w:r>
      <w:proofErr w:type="spellEnd"/>
      <w:r w:rsidRPr="007228F4">
        <w:rPr>
          <w:rFonts w:eastAsiaTheme="minorHAnsi"/>
          <w:sz w:val="22"/>
          <w:szCs w:val="22"/>
          <w:lang w:eastAsia="en-US"/>
        </w:rPr>
        <w:t xml:space="preserve"> </w:t>
      </w:r>
      <w:r w:rsidR="005C2BA7" w:rsidRPr="007228F4">
        <w:rPr>
          <w:rFonts w:eastAsiaTheme="minorHAnsi"/>
          <w:sz w:val="22"/>
          <w:szCs w:val="22"/>
          <w:lang w:eastAsia="en-US"/>
        </w:rPr>
        <w:t>(</w:t>
      </w:r>
      <w:hyperlink r:id="rId20" w:history="1">
        <w:r w:rsidRPr="007228F4">
          <w:rPr>
            <w:rStyle w:val="Hyperlink"/>
          </w:rPr>
          <w:t>http://www.forumpharma.ro/poze/2017/FIF_2017.pdf</w:t>
        </w:r>
      </w:hyperlink>
      <w:r w:rsidR="005C2BA7" w:rsidRPr="007228F4">
        <w:rPr>
          <w:rStyle w:val="Hyperlink"/>
        </w:rPr>
        <w:t>)</w:t>
      </w:r>
      <w:r w:rsidR="008D6614">
        <w:rPr>
          <w:rStyle w:val="Hyperlink"/>
        </w:rPr>
        <w:t>.</w:t>
      </w:r>
    </w:p>
    <w:p w:rsidR="0053371E" w:rsidRDefault="006876EE" w:rsidP="007228F4">
      <w:pPr>
        <w:pStyle w:val="NormalWeb"/>
        <w:tabs>
          <w:tab w:val="left" w:pos="0"/>
        </w:tabs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7228F4">
        <w:rPr>
          <w:rFonts w:eastAsiaTheme="minorHAnsi"/>
          <w:lang w:eastAsia="en-US"/>
        </w:rPr>
        <w:t>Conform datelor publicate in raportul "</w:t>
      </w:r>
      <w:proofErr w:type="spellStart"/>
      <w:r w:rsidRPr="007228F4">
        <w:rPr>
          <w:rFonts w:eastAsiaTheme="minorHAnsi"/>
          <w:lang w:eastAsia="en-US"/>
        </w:rPr>
        <w:t>Health</w:t>
      </w:r>
      <w:proofErr w:type="spellEnd"/>
      <w:r w:rsidRPr="007228F4">
        <w:rPr>
          <w:rFonts w:eastAsiaTheme="minorHAnsi"/>
          <w:lang w:eastAsia="en-US"/>
        </w:rPr>
        <w:t xml:space="preserve"> at a </w:t>
      </w:r>
      <w:proofErr w:type="spellStart"/>
      <w:r w:rsidRPr="007228F4">
        <w:rPr>
          <w:rFonts w:eastAsiaTheme="minorHAnsi"/>
          <w:lang w:eastAsia="en-US"/>
        </w:rPr>
        <w:t>Glance</w:t>
      </w:r>
      <w:proofErr w:type="spellEnd"/>
      <w:r w:rsidRPr="007228F4">
        <w:rPr>
          <w:rFonts w:eastAsiaTheme="minorHAnsi"/>
          <w:lang w:eastAsia="en-US"/>
        </w:rPr>
        <w:t>: Europe 2018", Romania a alocat in anul 201</w:t>
      </w:r>
      <w:r w:rsidR="0038482C">
        <w:rPr>
          <w:rFonts w:eastAsiaTheme="minorHAnsi"/>
          <w:lang w:eastAsia="en-US"/>
        </w:rPr>
        <w:t xml:space="preserve">7 5,1% din PIB pentru </w:t>
      </w:r>
      <w:proofErr w:type="spellStart"/>
      <w:r w:rsidR="0038482C">
        <w:rPr>
          <w:rFonts w:eastAsiaTheme="minorHAnsi"/>
          <w:lang w:eastAsia="en-US"/>
        </w:rPr>
        <w:t>sanatate</w:t>
      </w:r>
      <w:proofErr w:type="spellEnd"/>
      <w:r w:rsidR="0038482C">
        <w:rPr>
          <w:rFonts w:eastAsiaTheme="minorHAnsi"/>
          <w:lang w:eastAsia="en-US"/>
        </w:rPr>
        <w:t xml:space="preserve">, </w:t>
      </w:r>
      <w:r w:rsidRPr="00E52D8D">
        <w:rPr>
          <w:rFonts w:eastAsiaTheme="minorHAnsi"/>
          <w:bCs/>
          <w:i/>
          <w:lang w:eastAsia="en-US"/>
        </w:rPr>
        <w:t>cel mai mic procent din Uniunea Europeana</w:t>
      </w:r>
      <w:r w:rsidRPr="007228F4">
        <w:rPr>
          <w:rFonts w:eastAsiaTheme="minorHAnsi"/>
          <w:lang w:eastAsia="en-US"/>
        </w:rPr>
        <w:t xml:space="preserve">. Media </w:t>
      </w:r>
      <w:proofErr w:type="spellStart"/>
      <w:r w:rsidRPr="007228F4">
        <w:rPr>
          <w:rFonts w:eastAsiaTheme="minorHAnsi"/>
          <w:lang w:eastAsia="en-US"/>
        </w:rPr>
        <w:t>inregistrata</w:t>
      </w:r>
      <w:proofErr w:type="spellEnd"/>
      <w:r w:rsidRPr="007228F4">
        <w:rPr>
          <w:rFonts w:eastAsiaTheme="minorHAnsi"/>
          <w:lang w:eastAsia="en-US"/>
        </w:rPr>
        <w:t xml:space="preserve"> la nivelul Blocului comunitar este de 9,6%, cel mai mare buget fiind alocat in </w:t>
      </w:r>
      <w:proofErr w:type="spellStart"/>
      <w:r w:rsidRPr="007228F4">
        <w:rPr>
          <w:rFonts w:eastAsiaTheme="minorHAnsi"/>
          <w:lang w:eastAsia="en-US"/>
        </w:rPr>
        <w:t>Franta</w:t>
      </w:r>
      <w:proofErr w:type="spellEnd"/>
      <w:r w:rsidRPr="007228F4">
        <w:rPr>
          <w:rFonts w:eastAsiaTheme="minorHAnsi"/>
          <w:lang w:eastAsia="en-US"/>
        </w:rPr>
        <w:t>, 11,5% din PIB.</w:t>
      </w:r>
      <w:r w:rsidR="00F257E3" w:rsidRPr="007228F4">
        <w:rPr>
          <w:rFonts w:eastAsiaTheme="minorHAnsi"/>
          <w:lang w:eastAsia="en-US"/>
        </w:rPr>
        <w:t xml:space="preserve"> </w:t>
      </w:r>
      <w:r w:rsidRPr="007228F4">
        <w:rPr>
          <w:rFonts w:eastAsiaTheme="minorHAnsi"/>
          <w:lang w:eastAsia="en-US"/>
        </w:rPr>
        <w:t>(</w:t>
      </w:r>
      <w:hyperlink r:id="rId21" w:anchor="page137" w:history="1">
        <w:r w:rsidRPr="007228F4">
          <w:rPr>
            <w:rStyle w:val="Hyperlink"/>
            <w:rFonts w:eastAsiaTheme="minorHAnsi"/>
            <w:lang w:eastAsia="en-US"/>
          </w:rPr>
          <w:t>https://read.oecd-ilibrary.org/social-issues-migration-health/health-at-a-glance-europe-2018_health_glance_eur-2018-en#page137</w:t>
        </w:r>
      </w:hyperlink>
      <w:r w:rsidRPr="007228F4">
        <w:rPr>
          <w:rFonts w:eastAsiaTheme="minorHAnsi"/>
          <w:lang w:eastAsia="en-US"/>
        </w:rPr>
        <w:t>)</w:t>
      </w:r>
    </w:p>
    <w:p w:rsidR="008D3247" w:rsidRDefault="0053371E" w:rsidP="007228F4">
      <w:pPr>
        <w:pStyle w:val="NormalWeb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FF0000"/>
        </w:rPr>
      </w:pPr>
      <w:r>
        <w:t>Se adaugă faptul că</w:t>
      </w:r>
      <w:r w:rsidR="004917DF" w:rsidRPr="007228F4">
        <w:t xml:space="preserve"> Romania </w:t>
      </w:r>
      <w:r w:rsidR="00B83007" w:rsidRPr="007228F4">
        <w:t>are</w:t>
      </w:r>
      <w:r w:rsidR="004917DF" w:rsidRPr="007228F4">
        <w:t xml:space="preserve"> preturile</w:t>
      </w:r>
      <w:r w:rsidR="000C50AB" w:rsidRPr="007228F4">
        <w:t xml:space="preserve"> cel</w:t>
      </w:r>
      <w:r w:rsidR="004917DF" w:rsidRPr="007228F4">
        <w:t>e</w:t>
      </w:r>
      <w:r w:rsidR="000C50AB" w:rsidRPr="007228F4">
        <w:t xml:space="preserve"> mai mic</w:t>
      </w:r>
      <w:r w:rsidR="004917DF" w:rsidRPr="007228F4">
        <w:t>i</w:t>
      </w:r>
      <w:r w:rsidR="000C50AB" w:rsidRPr="007228F4">
        <w:t xml:space="preserve"> din Europa</w:t>
      </w:r>
      <w:r w:rsidR="003E0281">
        <w:t xml:space="preserve"> la care decontează Guvernul României medicamen</w:t>
      </w:r>
      <w:r w:rsidR="00B83007" w:rsidRPr="007228F4">
        <w:t>tele</w:t>
      </w:r>
      <w:r w:rsidR="00D2230B" w:rsidRPr="007228F4">
        <w:t xml:space="preserve"> (pe principiul celui mai mic </w:t>
      </w:r>
      <w:proofErr w:type="spellStart"/>
      <w:r w:rsidR="00D2230B" w:rsidRPr="007228F4">
        <w:t>pret</w:t>
      </w:r>
      <w:proofErr w:type="spellEnd"/>
      <w:r w:rsidR="00D2230B" w:rsidRPr="007228F4">
        <w:t xml:space="preserve"> din 12 tari de </w:t>
      </w:r>
      <w:proofErr w:type="spellStart"/>
      <w:r w:rsidR="00D2230B" w:rsidRPr="007228F4">
        <w:t>referinta</w:t>
      </w:r>
      <w:proofErr w:type="spellEnd"/>
      <w:r w:rsidR="00D2230B" w:rsidRPr="007228F4">
        <w:t>)</w:t>
      </w:r>
      <w:r w:rsidR="003E0281">
        <w:t xml:space="preserve"> </w:t>
      </w:r>
      <w:r w:rsidR="00D2230B" w:rsidRPr="007228F4">
        <w:t>(</w:t>
      </w:r>
      <w:hyperlink r:id="rId22" w:history="1">
        <w:r w:rsidR="00D2230B" w:rsidRPr="007228F4">
          <w:rPr>
            <w:rStyle w:val="Hyperlink"/>
          </w:rPr>
          <w:t>https://www.investingromania.com/static/i/analysts-reports/Antibiotice-Iasi-bate-pasul-pe-loc-in-2017-2017-Apr-19-ro-(4).pdf</w:t>
        </w:r>
      </w:hyperlink>
      <w:r w:rsidR="00D2230B" w:rsidRPr="007228F4">
        <w:rPr>
          <w:sz w:val="20"/>
          <w:szCs w:val="20"/>
        </w:rPr>
        <w:t>)</w:t>
      </w:r>
      <w:r w:rsidR="00D2230B" w:rsidRPr="007228F4">
        <w:t xml:space="preserve"> </w:t>
      </w:r>
      <w:r w:rsidR="00B83007" w:rsidRPr="007228F4">
        <w:t xml:space="preserve">ceea ce a </w:t>
      </w:r>
      <w:proofErr w:type="spellStart"/>
      <w:r w:rsidR="00B83007" w:rsidRPr="007228F4">
        <w:t>facut</w:t>
      </w:r>
      <w:proofErr w:type="spellEnd"/>
      <w:r w:rsidR="00B83007" w:rsidRPr="007228F4">
        <w:t xml:space="preserve"> ca in 2017 marii producători </w:t>
      </w:r>
      <w:proofErr w:type="spellStart"/>
      <w:r w:rsidR="00B83007" w:rsidRPr="007228F4">
        <w:t>internaţionali</w:t>
      </w:r>
      <w:proofErr w:type="spellEnd"/>
      <w:r w:rsidR="00B83007" w:rsidRPr="007228F4">
        <w:t xml:space="preserve"> de medicamente sa </w:t>
      </w:r>
      <w:proofErr w:type="spellStart"/>
      <w:r w:rsidR="00B83007" w:rsidRPr="007228F4">
        <w:t>retraga</w:t>
      </w:r>
      <w:proofErr w:type="spellEnd"/>
      <w:r w:rsidR="00B83007" w:rsidRPr="007228F4">
        <w:t xml:space="preserve"> mii de medicamente </w:t>
      </w:r>
      <w:proofErr w:type="spellStart"/>
      <w:r w:rsidR="00B83007" w:rsidRPr="007228F4">
        <w:t>şi</w:t>
      </w:r>
      <w:proofErr w:type="spellEnd"/>
      <w:r w:rsidR="00B83007" w:rsidRPr="007228F4">
        <w:t xml:space="preserve"> vaccinu</w:t>
      </w:r>
      <w:r w:rsidR="003E0281">
        <w:t xml:space="preserve">ri de pe </w:t>
      </w:r>
      <w:proofErr w:type="spellStart"/>
      <w:r w:rsidR="003E0281">
        <w:t>piaţă</w:t>
      </w:r>
      <w:proofErr w:type="spellEnd"/>
      <w:r w:rsidR="003E0281">
        <w:t xml:space="preserve"> pentru că nu le-a conveni</w:t>
      </w:r>
      <w:r w:rsidR="00B83007" w:rsidRPr="007228F4">
        <w:t xml:space="preserve">t </w:t>
      </w:r>
      <w:proofErr w:type="spellStart"/>
      <w:r w:rsidR="00B83007" w:rsidRPr="007228F4">
        <w:t>preţul</w:t>
      </w:r>
      <w:proofErr w:type="spellEnd"/>
      <w:r w:rsidR="00E13169" w:rsidRPr="007228F4">
        <w:t>.</w:t>
      </w:r>
      <w:r w:rsidR="004022B2" w:rsidRPr="007228F4">
        <w:t xml:space="preserve"> T</w:t>
      </w:r>
      <w:r w:rsidR="000C50AB" w:rsidRPr="007228F4">
        <w:t xml:space="preserve">axa </w:t>
      </w:r>
      <w:proofErr w:type="spellStart"/>
      <w:r w:rsidR="000C50AB" w:rsidRPr="007228F4">
        <w:t>clawback</w:t>
      </w:r>
      <w:proofErr w:type="spellEnd"/>
      <w:r w:rsidR="000C50AB" w:rsidRPr="007228F4">
        <w:t xml:space="preserve"> </w:t>
      </w:r>
      <w:proofErr w:type="spellStart"/>
      <w:r w:rsidR="004022B2" w:rsidRPr="007228F4">
        <w:t>ramane</w:t>
      </w:r>
      <w:proofErr w:type="spellEnd"/>
      <w:r w:rsidR="004022B2" w:rsidRPr="007228F4">
        <w:t xml:space="preserve"> si ea la un nivel destul de ridicat, </w:t>
      </w:r>
      <w:r w:rsidR="000C50AB" w:rsidRPr="007228F4">
        <w:t>de 20%</w:t>
      </w:r>
      <w:r w:rsidR="004022B2" w:rsidRPr="007228F4">
        <w:t xml:space="preserve"> din </w:t>
      </w:r>
      <w:proofErr w:type="spellStart"/>
      <w:r w:rsidR="004022B2" w:rsidRPr="007228F4">
        <w:t>pretul</w:t>
      </w:r>
      <w:proofErr w:type="spellEnd"/>
      <w:r w:rsidR="004022B2" w:rsidRPr="007228F4">
        <w:t xml:space="preserve"> medicamentelor, acestea constituind</w:t>
      </w:r>
      <w:r w:rsidR="000C50AB" w:rsidRPr="007228F4">
        <w:t xml:space="preserve"> 80-90% din problemele </w:t>
      </w:r>
      <w:proofErr w:type="spellStart"/>
      <w:r w:rsidR="000C50AB" w:rsidRPr="007228F4">
        <w:t>pietei</w:t>
      </w:r>
      <w:proofErr w:type="spellEnd"/>
      <w:r w:rsidR="000C50AB" w:rsidRPr="007228F4">
        <w:t xml:space="preserve"> farmaceutice din Romania</w:t>
      </w:r>
      <w:r w:rsidR="000C50AB" w:rsidRPr="007228F4">
        <w:rPr>
          <w:color w:val="FF0000"/>
        </w:rPr>
        <w:t>.</w:t>
      </w:r>
    </w:p>
    <w:p w:rsidR="00291EE7" w:rsidRDefault="00291EE7" w:rsidP="007228F4">
      <w:pPr>
        <w:pStyle w:val="NormalWeb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FF0000"/>
        </w:rPr>
      </w:pPr>
      <w:r>
        <w:rPr>
          <w:color w:val="FF0000"/>
        </w:rPr>
        <w:t>Cu toate acestea  r</w:t>
      </w:r>
      <w:r w:rsidRPr="00291EE7">
        <w:rPr>
          <w:color w:val="FF0000"/>
        </w:rPr>
        <w:t xml:space="preserve">itmul de creștere a producției din sectorul farmaceutic </w:t>
      </w:r>
      <w:r>
        <w:rPr>
          <w:color w:val="FF0000"/>
        </w:rPr>
        <w:t xml:space="preserve">in 2017 </w:t>
      </w:r>
      <w:r w:rsidRPr="00291EE7">
        <w:rPr>
          <w:color w:val="FF0000"/>
        </w:rPr>
        <w:t>a depășit de peste două ori rata de creștere a industriei r</w:t>
      </w:r>
      <w:r>
        <w:rPr>
          <w:color w:val="FF0000"/>
        </w:rPr>
        <w:t>omânești în ansamblu, d</w:t>
      </w:r>
      <w:r w:rsidRPr="00291EE7">
        <w:rPr>
          <w:color w:val="FF0000"/>
        </w:rPr>
        <w:t xml:space="preserve">e 3,5% </w:t>
      </w:r>
      <w:r>
        <w:rPr>
          <w:color w:val="FF0000"/>
        </w:rPr>
        <w:t>in 2016</w:t>
      </w:r>
      <w:r w:rsidRPr="00291EE7">
        <w:rPr>
          <w:color w:val="FF0000"/>
        </w:rPr>
        <w:t>.</w:t>
      </w:r>
      <w:r w:rsidRPr="00291EE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13089">
        <w:fldChar w:fldCharType="begin"/>
      </w:r>
      <w:r w:rsidR="00513089">
        <w:instrText xml:space="preserve"> HYPERLINK "https://360medical.ro/stiri/industria-farmaceutica-din-romania-si-a-marit-productia-cu-75-in-2018/2019/02/26/" </w:instrText>
      </w:r>
      <w:r w:rsidR="00513089">
        <w:fldChar w:fldCharType="separate"/>
      </w:r>
      <w:r w:rsidRPr="00291EE7">
        <w:rPr>
          <w:rStyle w:val="Hyperlink"/>
        </w:rPr>
        <w:t>https://360medical.ro/stiri/industria-farmaceutica-din-romania-si-a-marit-productia-cu-75-in-2018/2019/02/26/</w:t>
      </w:r>
      <w:r w:rsidR="00513089">
        <w:rPr>
          <w:rStyle w:val="Hyperlink"/>
        </w:rPr>
        <w:fldChar w:fldCharType="end"/>
      </w:r>
    </w:p>
    <w:p w:rsidR="00736C50" w:rsidRPr="007228F4" w:rsidRDefault="00736C50" w:rsidP="007228F4">
      <w:pPr>
        <w:pStyle w:val="NormalWeb"/>
        <w:tabs>
          <w:tab w:val="left" w:pos="0"/>
        </w:tabs>
        <w:spacing w:before="0" w:beforeAutospacing="0" w:after="0" w:afterAutospacing="0"/>
        <w:ind w:firstLine="567"/>
        <w:jc w:val="both"/>
      </w:pPr>
    </w:p>
    <w:p w:rsidR="00501DB2" w:rsidRPr="007228F4" w:rsidRDefault="00501DB2" w:rsidP="007400F1">
      <w:pPr>
        <w:pStyle w:val="NormalWeb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/>
        </w:rPr>
      </w:pPr>
      <w:proofErr w:type="spellStart"/>
      <w:r w:rsidRPr="007228F4">
        <w:rPr>
          <w:b/>
        </w:rPr>
        <w:t>Literature</w:t>
      </w:r>
      <w:proofErr w:type="spellEnd"/>
      <w:r w:rsidRPr="007228F4">
        <w:rPr>
          <w:b/>
        </w:rPr>
        <w:t xml:space="preserve"> </w:t>
      </w:r>
      <w:proofErr w:type="spellStart"/>
      <w:r w:rsidRPr="007228F4">
        <w:rPr>
          <w:b/>
        </w:rPr>
        <w:t>rewiew</w:t>
      </w:r>
      <w:proofErr w:type="spellEnd"/>
    </w:p>
    <w:p w:rsidR="00756884" w:rsidRPr="007228F4" w:rsidRDefault="00D22F87" w:rsidP="007228F4">
      <w:pPr>
        <w:pStyle w:val="NormalWeb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proofErr w:type="spellStart"/>
      <w:r w:rsidRPr="007228F4">
        <w:rPr>
          <w:shd w:val="clear" w:color="auto" w:fill="FFFFFF"/>
        </w:rPr>
        <w:t>Various</w:t>
      </w:r>
      <w:proofErr w:type="spellEnd"/>
      <w:r w:rsidRPr="007228F4">
        <w:rPr>
          <w:shd w:val="clear" w:color="auto" w:fill="FFFFFF"/>
        </w:rPr>
        <w:t xml:space="preserve"> </w:t>
      </w:r>
      <w:proofErr w:type="spellStart"/>
      <w:r w:rsidRPr="007228F4">
        <w:rPr>
          <w:shd w:val="clear" w:color="auto" w:fill="FFFFFF"/>
        </w:rPr>
        <w:t>studies</w:t>
      </w:r>
      <w:proofErr w:type="spellEnd"/>
      <w:r w:rsidRPr="007228F4">
        <w:rPr>
          <w:shd w:val="clear" w:color="auto" w:fill="FFFFFF"/>
        </w:rPr>
        <w:t xml:space="preserve"> </w:t>
      </w:r>
      <w:proofErr w:type="spellStart"/>
      <w:r w:rsidRPr="007228F4">
        <w:rPr>
          <w:shd w:val="clear" w:color="auto" w:fill="FFFFFF"/>
        </w:rPr>
        <w:t>have</w:t>
      </w:r>
      <w:proofErr w:type="spellEnd"/>
      <w:r w:rsidRPr="007228F4">
        <w:rPr>
          <w:shd w:val="clear" w:color="auto" w:fill="FFFFFF"/>
        </w:rPr>
        <w:t xml:space="preserve"> </w:t>
      </w:r>
      <w:proofErr w:type="spellStart"/>
      <w:r w:rsidRPr="007228F4">
        <w:rPr>
          <w:shd w:val="clear" w:color="auto" w:fill="FFFFFF"/>
        </w:rPr>
        <w:t>been</w:t>
      </w:r>
      <w:proofErr w:type="spellEnd"/>
      <w:r w:rsidRPr="007228F4">
        <w:rPr>
          <w:shd w:val="clear" w:color="auto" w:fill="FFFFFF"/>
        </w:rPr>
        <w:t xml:space="preserve"> </w:t>
      </w:r>
      <w:proofErr w:type="spellStart"/>
      <w:r w:rsidRPr="007228F4">
        <w:rPr>
          <w:shd w:val="clear" w:color="auto" w:fill="FFFFFF"/>
        </w:rPr>
        <w:t>done</w:t>
      </w:r>
      <w:proofErr w:type="spellEnd"/>
      <w:r w:rsidRPr="007228F4">
        <w:rPr>
          <w:shd w:val="clear" w:color="auto" w:fill="FFFFFF"/>
        </w:rPr>
        <w:t xml:space="preserve"> on profit </w:t>
      </w:r>
      <w:proofErr w:type="spellStart"/>
      <w:r w:rsidRPr="007228F4">
        <w:rPr>
          <w:shd w:val="clear" w:color="auto" w:fill="FFFFFF"/>
        </w:rPr>
        <w:t>and</w:t>
      </w:r>
      <w:proofErr w:type="spellEnd"/>
      <w:r w:rsidRPr="007228F4">
        <w:rPr>
          <w:shd w:val="clear" w:color="auto" w:fill="FFFFFF"/>
        </w:rPr>
        <w:t xml:space="preserve"> </w:t>
      </w:r>
      <w:proofErr w:type="spellStart"/>
      <w:r w:rsidRPr="007228F4">
        <w:rPr>
          <w:shd w:val="clear" w:color="auto" w:fill="FFFFFF"/>
        </w:rPr>
        <w:t>profitability</w:t>
      </w:r>
      <w:proofErr w:type="spellEnd"/>
      <w:r w:rsidRPr="007228F4">
        <w:rPr>
          <w:shd w:val="clear" w:color="auto" w:fill="FFFFFF"/>
        </w:rPr>
        <w:t xml:space="preserve"> </w:t>
      </w:r>
      <w:proofErr w:type="spellStart"/>
      <w:r w:rsidRPr="007228F4">
        <w:rPr>
          <w:shd w:val="clear" w:color="auto" w:fill="FFFFFF"/>
        </w:rPr>
        <w:t>area</w:t>
      </w:r>
      <w:proofErr w:type="spellEnd"/>
      <w:r w:rsidR="005B4658" w:rsidRPr="007228F4">
        <w:rPr>
          <w:shd w:val="clear" w:color="auto" w:fill="FFFFFF"/>
        </w:rPr>
        <w:t>.</w:t>
      </w:r>
    </w:p>
    <w:p w:rsidR="00756884" w:rsidRPr="007228F4" w:rsidRDefault="005B4658" w:rsidP="007228F4">
      <w:pPr>
        <w:pStyle w:val="NormalWeb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proofErr w:type="spellStart"/>
      <w:r w:rsidRPr="007228F4">
        <w:rPr>
          <w:shd w:val="clear" w:color="auto" w:fill="FFFFFF"/>
        </w:rPr>
        <w:t>Drury</w:t>
      </w:r>
      <w:proofErr w:type="spellEnd"/>
      <w:r w:rsidRPr="007228F4">
        <w:rPr>
          <w:shd w:val="clear" w:color="auto" w:fill="FFFFFF"/>
        </w:rPr>
        <w:t xml:space="preserve"> </w:t>
      </w:r>
      <w:r w:rsidR="00756884" w:rsidRPr="007228F4">
        <w:rPr>
          <w:color w:val="0070C0"/>
          <w:shd w:val="clear" w:color="auto" w:fill="FFFFFF"/>
        </w:rPr>
        <w:t>(</w:t>
      </w:r>
      <w:proofErr w:type="spellStart"/>
      <w:r w:rsidR="00756884" w:rsidRPr="007228F4">
        <w:rPr>
          <w:color w:val="0070C0"/>
          <w:shd w:val="clear" w:color="auto" w:fill="FFFFFF"/>
        </w:rPr>
        <w:t>Drury</w:t>
      </w:r>
      <w:proofErr w:type="spellEnd"/>
      <w:r w:rsidR="00756884" w:rsidRPr="007228F4">
        <w:rPr>
          <w:color w:val="0070C0"/>
          <w:shd w:val="clear" w:color="auto" w:fill="FFFFFF"/>
        </w:rPr>
        <w:t xml:space="preserve"> </w:t>
      </w:r>
      <w:proofErr w:type="spellStart"/>
      <w:r w:rsidR="00756884" w:rsidRPr="007228F4">
        <w:rPr>
          <w:color w:val="0070C0"/>
          <w:shd w:val="clear" w:color="auto" w:fill="FFFFFF"/>
        </w:rPr>
        <w:t>and</w:t>
      </w:r>
      <w:proofErr w:type="spellEnd"/>
      <w:r w:rsidR="00756884" w:rsidRPr="007228F4">
        <w:rPr>
          <w:color w:val="0070C0"/>
          <w:shd w:val="clear" w:color="auto" w:fill="FFFFFF"/>
        </w:rPr>
        <w:t xml:space="preserve"> </w:t>
      </w:r>
      <w:proofErr w:type="spellStart"/>
      <w:r w:rsidR="00756884" w:rsidRPr="007228F4">
        <w:rPr>
          <w:color w:val="0070C0"/>
          <w:shd w:val="clear" w:color="auto" w:fill="FFFFFF"/>
        </w:rPr>
        <w:t>Tayles</w:t>
      </w:r>
      <w:proofErr w:type="spellEnd"/>
      <w:r w:rsidR="00756884" w:rsidRPr="007228F4">
        <w:rPr>
          <w:color w:val="0070C0"/>
          <w:shd w:val="clear" w:color="auto" w:fill="FFFFFF"/>
        </w:rPr>
        <w:t>, 2006</w:t>
      </w:r>
      <w:r w:rsidRPr="007228F4">
        <w:rPr>
          <w:shd w:val="clear" w:color="auto" w:fill="FFFFFF"/>
        </w:rPr>
        <w:t>)</w:t>
      </w:r>
      <w:r w:rsidR="00756884" w:rsidRPr="007228F4">
        <w:rPr>
          <w:shd w:val="clear" w:color="auto" w:fill="FFFFFF"/>
        </w:rPr>
        <w:t xml:space="preserve">, </w:t>
      </w:r>
      <w:proofErr w:type="spellStart"/>
      <w:r w:rsidR="00756884" w:rsidRPr="007228F4">
        <w:rPr>
          <w:shd w:val="clear" w:color="auto" w:fill="FFFFFF"/>
        </w:rPr>
        <w:t>said</w:t>
      </w:r>
      <w:proofErr w:type="spellEnd"/>
      <w:r w:rsidR="00756884" w:rsidRPr="007228F4">
        <w:rPr>
          <w:shd w:val="clear" w:color="auto" w:fill="FFFFFF"/>
        </w:rPr>
        <w:t xml:space="preserve"> </w:t>
      </w:r>
      <w:proofErr w:type="spellStart"/>
      <w:r w:rsidR="00756884" w:rsidRPr="007228F4">
        <w:rPr>
          <w:shd w:val="clear" w:color="auto" w:fill="FFFFFF"/>
        </w:rPr>
        <w:t>that</w:t>
      </w:r>
      <w:proofErr w:type="spellEnd"/>
      <w:r w:rsidR="00756884" w:rsidRPr="007228F4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="00756884" w:rsidRPr="007228F4">
        <w:rPr>
          <w:rFonts w:eastAsiaTheme="minorHAnsi"/>
          <w:lang w:eastAsia="en-US"/>
        </w:rPr>
        <w:t>profitability</w:t>
      </w:r>
      <w:proofErr w:type="spellEnd"/>
      <w:r w:rsidR="00756884" w:rsidRPr="007228F4">
        <w:rPr>
          <w:rFonts w:eastAsiaTheme="minorHAnsi"/>
          <w:lang w:eastAsia="en-US"/>
        </w:rPr>
        <w:t xml:space="preserve"> </w:t>
      </w:r>
      <w:proofErr w:type="spellStart"/>
      <w:r w:rsidR="00756884" w:rsidRPr="007228F4">
        <w:rPr>
          <w:rFonts w:eastAsiaTheme="minorHAnsi"/>
          <w:lang w:eastAsia="en-US"/>
        </w:rPr>
        <w:t>analysis</w:t>
      </w:r>
      <w:proofErr w:type="spellEnd"/>
      <w:r w:rsidR="00756884" w:rsidRPr="007228F4">
        <w:rPr>
          <w:rFonts w:eastAsiaTheme="minorHAnsi"/>
          <w:lang w:eastAsia="en-US"/>
        </w:rPr>
        <w:t xml:space="preserve"> </w:t>
      </w:r>
      <w:proofErr w:type="spellStart"/>
      <w:r w:rsidR="00756884" w:rsidRPr="007228F4">
        <w:rPr>
          <w:rFonts w:eastAsiaTheme="minorHAnsi"/>
          <w:lang w:eastAsia="en-US"/>
        </w:rPr>
        <w:t>is</w:t>
      </w:r>
      <w:proofErr w:type="spellEnd"/>
      <w:r w:rsidR="00756884" w:rsidRPr="007228F4">
        <w:rPr>
          <w:rFonts w:eastAsiaTheme="minorHAnsi"/>
          <w:lang w:eastAsia="en-US"/>
        </w:rPr>
        <w:t xml:space="preserve"> </w:t>
      </w:r>
      <w:proofErr w:type="spellStart"/>
      <w:r w:rsidR="00756884" w:rsidRPr="007228F4">
        <w:rPr>
          <w:rFonts w:eastAsiaTheme="minorHAnsi"/>
          <w:lang w:eastAsia="en-US"/>
        </w:rPr>
        <w:t>regarded</w:t>
      </w:r>
      <w:proofErr w:type="spellEnd"/>
      <w:r w:rsidR="00756884" w:rsidRPr="007228F4">
        <w:rPr>
          <w:rFonts w:eastAsiaTheme="minorHAnsi"/>
          <w:lang w:eastAsia="en-US"/>
        </w:rPr>
        <w:t xml:space="preserve"> as “</w:t>
      </w:r>
      <w:proofErr w:type="spellStart"/>
      <w:r w:rsidR="00756884" w:rsidRPr="007228F4">
        <w:rPr>
          <w:rFonts w:eastAsiaTheme="minorHAnsi"/>
          <w:lang w:eastAsia="en-US"/>
        </w:rPr>
        <w:t>one</w:t>
      </w:r>
      <w:proofErr w:type="spellEnd"/>
      <w:r w:rsidR="00756884" w:rsidRPr="007228F4">
        <w:rPr>
          <w:rFonts w:eastAsiaTheme="minorHAnsi"/>
          <w:lang w:eastAsia="en-US"/>
        </w:rPr>
        <w:t xml:space="preserve"> of </w:t>
      </w:r>
      <w:proofErr w:type="spellStart"/>
      <w:r w:rsidR="00756884" w:rsidRPr="007228F4">
        <w:rPr>
          <w:rFonts w:eastAsiaTheme="minorHAnsi"/>
          <w:lang w:eastAsia="en-US"/>
        </w:rPr>
        <w:t>the</w:t>
      </w:r>
      <w:proofErr w:type="spellEnd"/>
      <w:r w:rsidR="00756884" w:rsidRPr="007228F4">
        <w:rPr>
          <w:rFonts w:eastAsiaTheme="minorHAnsi"/>
          <w:lang w:eastAsia="en-US"/>
        </w:rPr>
        <w:t xml:space="preserve"> </w:t>
      </w:r>
      <w:proofErr w:type="spellStart"/>
      <w:r w:rsidR="00756884" w:rsidRPr="007228F4">
        <w:rPr>
          <w:rFonts w:eastAsiaTheme="minorHAnsi"/>
          <w:lang w:eastAsia="en-US"/>
        </w:rPr>
        <w:t>most</w:t>
      </w:r>
      <w:proofErr w:type="spellEnd"/>
      <w:r w:rsidR="00756884" w:rsidRPr="007228F4">
        <w:rPr>
          <w:rFonts w:eastAsiaTheme="minorHAnsi"/>
          <w:lang w:eastAsia="en-US"/>
        </w:rPr>
        <w:t xml:space="preserve"> important management </w:t>
      </w:r>
      <w:proofErr w:type="spellStart"/>
      <w:r w:rsidR="00756884" w:rsidRPr="007228F4">
        <w:rPr>
          <w:rFonts w:eastAsiaTheme="minorHAnsi"/>
          <w:lang w:eastAsia="en-US"/>
        </w:rPr>
        <w:t>accounting</w:t>
      </w:r>
      <w:proofErr w:type="spellEnd"/>
      <w:r w:rsidR="00756884" w:rsidRPr="007228F4">
        <w:rPr>
          <w:rFonts w:eastAsiaTheme="minorHAnsi"/>
          <w:lang w:eastAsia="en-US"/>
        </w:rPr>
        <w:t xml:space="preserve"> </w:t>
      </w:r>
      <w:proofErr w:type="spellStart"/>
      <w:r w:rsidR="00756884" w:rsidRPr="007228F4">
        <w:rPr>
          <w:rFonts w:eastAsiaTheme="minorHAnsi"/>
          <w:lang w:eastAsia="en-US"/>
        </w:rPr>
        <w:t>practices</w:t>
      </w:r>
      <w:proofErr w:type="spellEnd"/>
      <w:r w:rsidR="00756884" w:rsidRPr="007228F4">
        <w:rPr>
          <w:rFonts w:eastAsiaTheme="minorHAnsi"/>
          <w:lang w:eastAsia="en-US"/>
        </w:rPr>
        <w:t>”.</w:t>
      </w:r>
    </w:p>
    <w:p w:rsidR="00756884" w:rsidRPr="007228F4" w:rsidRDefault="00756884" w:rsidP="007228F4">
      <w:pPr>
        <w:pStyle w:val="NormalWeb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7228F4">
        <w:rPr>
          <w:shd w:val="clear" w:color="auto" w:fill="FFFFFF"/>
        </w:rPr>
        <w:t xml:space="preserve">Management </w:t>
      </w:r>
      <w:proofErr w:type="spellStart"/>
      <w:r w:rsidRPr="007228F4">
        <w:rPr>
          <w:shd w:val="clear" w:color="auto" w:fill="FFFFFF"/>
        </w:rPr>
        <w:t>uses</w:t>
      </w:r>
      <w:proofErr w:type="spellEnd"/>
      <w:r w:rsidRPr="007228F4">
        <w:rPr>
          <w:shd w:val="clear" w:color="auto" w:fill="FFFFFF"/>
        </w:rPr>
        <w:t xml:space="preserve"> profit </w:t>
      </w:r>
      <w:proofErr w:type="spellStart"/>
      <w:r w:rsidR="006D3D69" w:rsidRPr="007228F4">
        <w:rPr>
          <w:shd w:val="clear" w:color="auto" w:fill="FFFFFF"/>
        </w:rPr>
        <w:t>and</w:t>
      </w:r>
      <w:proofErr w:type="spellEnd"/>
      <w:r w:rsidR="006D3D69" w:rsidRPr="007228F4">
        <w:rPr>
          <w:shd w:val="clear" w:color="auto" w:fill="FFFFFF"/>
        </w:rPr>
        <w:t xml:space="preserve"> </w:t>
      </w:r>
      <w:proofErr w:type="spellStart"/>
      <w:r w:rsidR="006D3D69" w:rsidRPr="007228F4">
        <w:rPr>
          <w:shd w:val="clear" w:color="auto" w:fill="FFFFFF"/>
        </w:rPr>
        <w:t>profitability</w:t>
      </w:r>
      <w:proofErr w:type="spellEnd"/>
      <w:r w:rsidR="006D3D69" w:rsidRPr="007228F4">
        <w:rPr>
          <w:shd w:val="clear" w:color="auto" w:fill="FFFFFF"/>
        </w:rPr>
        <w:t xml:space="preserve"> </w:t>
      </w:r>
      <w:r w:rsidRPr="007228F4">
        <w:rPr>
          <w:shd w:val="clear" w:color="auto" w:fill="FFFFFF"/>
        </w:rPr>
        <w:t xml:space="preserve">as a performance </w:t>
      </w:r>
      <w:proofErr w:type="spellStart"/>
      <w:r w:rsidRPr="007228F4">
        <w:rPr>
          <w:shd w:val="clear" w:color="auto" w:fill="FFFFFF"/>
        </w:rPr>
        <w:t>measure</w:t>
      </w:r>
      <w:proofErr w:type="spellEnd"/>
      <w:r w:rsidRPr="007228F4">
        <w:rPr>
          <w:shd w:val="clear" w:color="auto" w:fill="FFFFFF"/>
        </w:rPr>
        <w:t>.(</w:t>
      </w:r>
      <w:r w:rsidRPr="007228F4">
        <w:rPr>
          <w:color w:val="0070C0"/>
          <w:shd w:val="clear" w:color="auto" w:fill="FFFFFF"/>
        </w:rPr>
        <w:t xml:space="preserve">Charles H. Gibson, </w:t>
      </w:r>
      <w:r w:rsidR="006D3D69" w:rsidRPr="007228F4">
        <w:rPr>
          <w:color w:val="0070C0"/>
          <w:shd w:val="clear" w:color="auto" w:fill="FFFFFF"/>
        </w:rPr>
        <w:t>2009)</w:t>
      </w:r>
      <w:r w:rsidR="00CD3E7E" w:rsidRPr="007228F4">
        <w:rPr>
          <w:color w:val="0070C0"/>
          <w:shd w:val="clear" w:color="auto" w:fill="FFFFFF"/>
        </w:rPr>
        <w:t xml:space="preserve">. </w:t>
      </w:r>
      <w:proofErr w:type="spellStart"/>
      <w:r w:rsidR="002D035A" w:rsidRPr="007228F4">
        <w:rPr>
          <w:shd w:val="clear" w:color="auto" w:fill="FFFFFF"/>
        </w:rPr>
        <w:t>Desi</w:t>
      </w:r>
      <w:proofErr w:type="spellEnd"/>
      <w:r w:rsidR="002D035A" w:rsidRPr="007228F4">
        <w:rPr>
          <w:shd w:val="clear" w:color="auto" w:fill="FFFFFF"/>
        </w:rPr>
        <w:t xml:space="preserve"> sunt voci </w:t>
      </w:r>
      <w:r w:rsidR="002D639B">
        <w:rPr>
          <w:shd w:val="clear" w:color="auto" w:fill="FFFFFF"/>
        </w:rPr>
        <w:t xml:space="preserve">care </w:t>
      </w:r>
      <w:proofErr w:type="spellStart"/>
      <w:r w:rsidR="002D639B">
        <w:rPr>
          <w:shd w:val="clear" w:color="auto" w:fill="FFFFFF"/>
        </w:rPr>
        <w:t>sustin</w:t>
      </w:r>
      <w:proofErr w:type="spellEnd"/>
      <w:r w:rsidR="002D639B">
        <w:rPr>
          <w:shd w:val="clear" w:color="auto" w:fill="FFFFFF"/>
        </w:rPr>
        <w:t xml:space="preserve"> ca profitabilitatea</w:t>
      </w:r>
      <w:r w:rsidR="0067073D" w:rsidRPr="007228F4">
        <w:rPr>
          <w:shd w:val="clear" w:color="auto" w:fill="FFFFFF"/>
        </w:rPr>
        <w:t xml:space="preserve"> </w:t>
      </w:r>
      <w:proofErr w:type="spellStart"/>
      <w:r w:rsidR="0067073D" w:rsidRPr="007228F4">
        <w:rPr>
          <w:shd w:val="clear" w:color="auto" w:fill="FFFFFF"/>
        </w:rPr>
        <w:t>is</w:t>
      </w:r>
      <w:proofErr w:type="spellEnd"/>
      <w:r w:rsidR="0067073D" w:rsidRPr="007228F4">
        <w:rPr>
          <w:shd w:val="clear" w:color="auto" w:fill="FFFFFF"/>
        </w:rPr>
        <w:t xml:space="preserve"> an old-</w:t>
      </w:r>
      <w:proofErr w:type="spellStart"/>
      <w:r w:rsidR="0067073D" w:rsidRPr="007228F4">
        <w:rPr>
          <w:shd w:val="clear" w:color="auto" w:fill="FFFFFF"/>
        </w:rPr>
        <w:t>fashioned</w:t>
      </w:r>
      <w:proofErr w:type="spellEnd"/>
      <w:r w:rsidR="0067073D" w:rsidRPr="007228F4">
        <w:rPr>
          <w:shd w:val="clear" w:color="auto" w:fill="FFFFFF"/>
        </w:rPr>
        <w:t xml:space="preserve"> concept, </w:t>
      </w:r>
      <w:proofErr w:type="spellStart"/>
      <w:r w:rsidR="0067073D" w:rsidRPr="007228F4">
        <w:rPr>
          <w:shd w:val="clear" w:color="auto" w:fill="FFFFFF"/>
        </w:rPr>
        <w:t>that</w:t>
      </w:r>
      <w:proofErr w:type="spellEnd"/>
      <w:r w:rsidR="0067073D" w:rsidRPr="007228F4">
        <w:rPr>
          <w:shd w:val="clear" w:color="auto" w:fill="FFFFFF"/>
        </w:rPr>
        <w:t xml:space="preserve"> in </w:t>
      </w:r>
      <w:proofErr w:type="spellStart"/>
      <w:r w:rsidR="0067073D" w:rsidRPr="007228F4">
        <w:rPr>
          <w:shd w:val="clear" w:color="auto" w:fill="FFFFFF"/>
        </w:rPr>
        <w:t>the</w:t>
      </w:r>
      <w:proofErr w:type="spellEnd"/>
      <w:r w:rsidR="0067073D" w:rsidRPr="007228F4">
        <w:rPr>
          <w:shd w:val="clear" w:color="auto" w:fill="FFFFFF"/>
        </w:rPr>
        <w:t xml:space="preserve"> </w:t>
      </w:r>
      <w:proofErr w:type="spellStart"/>
      <w:r w:rsidR="0067073D" w:rsidRPr="007228F4">
        <w:rPr>
          <w:shd w:val="clear" w:color="auto" w:fill="FFFFFF"/>
        </w:rPr>
        <w:t>new</w:t>
      </w:r>
      <w:proofErr w:type="spellEnd"/>
      <w:r w:rsidR="0067073D" w:rsidRPr="007228F4">
        <w:rPr>
          <w:shd w:val="clear" w:color="auto" w:fill="FFFFFF"/>
        </w:rPr>
        <w:t xml:space="preserve"> </w:t>
      </w:r>
      <w:proofErr w:type="spellStart"/>
      <w:r w:rsidR="0067073D" w:rsidRPr="007228F4">
        <w:rPr>
          <w:shd w:val="clear" w:color="auto" w:fill="FFFFFF"/>
        </w:rPr>
        <w:t>economy</w:t>
      </w:r>
      <w:proofErr w:type="spellEnd"/>
      <w:r w:rsidR="0067073D" w:rsidRPr="007228F4">
        <w:rPr>
          <w:shd w:val="clear" w:color="auto" w:fill="FFFFFF"/>
        </w:rPr>
        <w:t xml:space="preserve">, </w:t>
      </w:r>
      <w:proofErr w:type="spellStart"/>
      <w:r w:rsidR="0067073D" w:rsidRPr="007228F4">
        <w:rPr>
          <w:shd w:val="clear" w:color="auto" w:fill="FFFFFF"/>
        </w:rPr>
        <w:t>the</w:t>
      </w:r>
      <w:proofErr w:type="spellEnd"/>
      <w:r w:rsidR="0067073D" w:rsidRPr="007228F4">
        <w:rPr>
          <w:shd w:val="clear" w:color="auto" w:fill="FFFFFF"/>
        </w:rPr>
        <w:t xml:space="preserve"> old </w:t>
      </w:r>
      <w:proofErr w:type="spellStart"/>
      <w:r w:rsidR="0067073D" w:rsidRPr="007228F4">
        <w:rPr>
          <w:shd w:val="clear" w:color="auto" w:fill="FFFFFF"/>
        </w:rPr>
        <w:t>fashioned</w:t>
      </w:r>
      <w:proofErr w:type="spellEnd"/>
      <w:r w:rsidR="0067073D" w:rsidRPr="007228F4">
        <w:rPr>
          <w:shd w:val="clear" w:color="auto" w:fill="FFFFFF"/>
        </w:rPr>
        <w:t xml:space="preserve"> </w:t>
      </w:r>
      <w:proofErr w:type="spellStart"/>
      <w:r w:rsidR="0067073D" w:rsidRPr="007228F4">
        <w:rPr>
          <w:shd w:val="clear" w:color="auto" w:fill="FFFFFF"/>
        </w:rPr>
        <w:t>principle</w:t>
      </w:r>
      <w:proofErr w:type="spellEnd"/>
      <w:r w:rsidR="0067073D" w:rsidRPr="007228F4">
        <w:rPr>
          <w:shd w:val="clear" w:color="auto" w:fill="FFFFFF"/>
        </w:rPr>
        <w:t xml:space="preserve"> of </w:t>
      </w:r>
      <w:proofErr w:type="spellStart"/>
      <w:r w:rsidR="0067073D" w:rsidRPr="007228F4">
        <w:rPr>
          <w:shd w:val="clear" w:color="auto" w:fill="FFFFFF"/>
        </w:rPr>
        <w:t>achieving</w:t>
      </w:r>
      <w:proofErr w:type="spellEnd"/>
      <w:r w:rsidR="0067073D" w:rsidRPr="007228F4">
        <w:rPr>
          <w:shd w:val="clear" w:color="auto" w:fill="FFFFFF"/>
        </w:rPr>
        <w:t xml:space="preserve"> </w:t>
      </w:r>
      <w:proofErr w:type="spellStart"/>
      <w:r w:rsidR="0067073D" w:rsidRPr="007228F4">
        <w:rPr>
          <w:shd w:val="clear" w:color="auto" w:fill="FFFFFF"/>
        </w:rPr>
        <w:t>sustained</w:t>
      </w:r>
      <w:proofErr w:type="spellEnd"/>
      <w:r w:rsidR="0067073D" w:rsidRPr="007228F4">
        <w:rPr>
          <w:shd w:val="clear" w:color="auto" w:fill="FFFFFF"/>
        </w:rPr>
        <w:t xml:space="preserve"> </w:t>
      </w:r>
      <w:proofErr w:type="spellStart"/>
      <w:r w:rsidR="0067073D" w:rsidRPr="007228F4">
        <w:rPr>
          <w:shd w:val="clear" w:color="auto" w:fill="FFFFFF"/>
        </w:rPr>
        <w:t>profitability</w:t>
      </w:r>
      <w:proofErr w:type="spellEnd"/>
      <w:r w:rsidR="0067073D" w:rsidRPr="007228F4">
        <w:rPr>
          <w:shd w:val="clear" w:color="auto" w:fill="FFFFFF"/>
        </w:rPr>
        <w:t xml:space="preserve"> </w:t>
      </w:r>
      <w:proofErr w:type="spellStart"/>
      <w:r w:rsidR="0067073D" w:rsidRPr="007228F4">
        <w:rPr>
          <w:shd w:val="clear" w:color="auto" w:fill="FFFFFF"/>
        </w:rPr>
        <w:t>is</w:t>
      </w:r>
      <w:proofErr w:type="spellEnd"/>
      <w:r w:rsidR="0067073D" w:rsidRPr="007228F4">
        <w:rPr>
          <w:shd w:val="clear" w:color="auto" w:fill="FFFFFF"/>
        </w:rPr>
        <w:t xml:space="preserve"> </w:t>
      </w:r>
      <w:proofErr w:type="spellStart"/>
      <w:r w:rsidR="0067073D" w:rsidRPr="007228F4">
        <w:rPr>
          <w:shd w:val="clear" w:color="auto" w:fill="FFFFFF"/>
        </w:rPr>
        <w:t>obsolete</w:t>
      </w:r>
      <w:proofErr w:type="spellEnd"/>
      <w:r w:rsidR="000856E4" w:rsidRPr="007228F4">
        <w:rPr>
          <w:shd w:val="clear" w:color="auto" w:fill="FFFFFF"/>
        </w:rPr>
        <w:t>,</w:t>
      </w:r>
      <w:r w:rsidR="0067073D" w:rsidRPr="007228F4">
        <w:rPr>
          <w:shd w:val="clear" w:color="auto" w:fill="FFFFFF"/>
        </w:rPr>
        <w:t xml:space="preserve"> ca alte elemente descriu, in noua economie, performanta </w:t>
      </w:r>
      <w:proofErr w:type="spellStart"/>
      <w:r w:rsidR="0067073D" w:rsidRPr="007228F4">
        <w:rPr>
          <w:shd w:val="clear" w:color="auto" w:fill="FFFFFF"/>
        </w:rPr>
        <w:t>intreprinderii</w:t>
      </w:r>
      <w:proofErr w:type="spellEnd"/>
      <w:r w:rsidR="0067073D" w:rsidRPr="007228F4">
        <w:rPr>
          <w:shd w:val="clear" w:color="auto" w:fill="FFFFFF"/>
        </w:rPr>
        <w:t xml:space="preserve">, sunt autori </w:t>
      </w:r>
      <w:r w:rsidR="0067073D" w:rsidRPr="007228F4">
        <w:rPr>
          <w:color w:val="0070C0"/>
          <w:shd w:val="clear" w:color="auto" w:fill="FFFFFF"/>
        </w:rPr>
        <w:t xml:space="preserve">(Erich </w:t>
      </w:r>
      <w:proofErr w:type="spellStart"/>
      <w:r w:rsidR="0067073D" w:rsidRPr="007228F4">
        <w:rPr>
          <w:color w:val="0070C0"/>
          <w:shd w:val="clear" w:color="auto" w:fill="FFFFFF"/>
        </w:rPr>
        <w:t>Helfert</w:t>
      </w:r>
      <w:proofErr w:type="spellEnd"/>
      <w:r w:rsidR="0067073D" w:rsidRPr="007228F4">
        <w:rPr>
          <w:color w:val="0070C0"/>
          <w:shd w:val="clear" w:color="auto" w:fill="FFFFFF"/>
        </w:rPr>
        <w:t xml:space="preserve">, 2001) </w:t>
      </w:r>
      <w:r w:rsidR="000856E4" w:rsidRPr="007228F4">
        <w:rPr>
          <w:shd w:val="clear" w:color="auto" w:fill="FFFFFF"/>
        </w:rPr>
        <w:t xml:space="preserve">care </w:t>
      </w:r>
      <w:proofErr w:type="spellStart"/>
      <w:r w:rsidR="000856E4" w:rsidRPr="007228F4">
        <w:rPr>
          <w:shd w:val="clear" w:color="auto" w:fill="FFFFFF"/>
        </w:rPr>
        <w:t>demonstreaza</w:t>
      </w:r>
      <w:proofErr w:type="spellEnd"/>
      <w:r w:rsidR="000856E4" w:rsidRPr="007228F4">
        <w:rPr>
          <w:shd w:val="clear" w:color="auto" w:fill="FFFFFF"/>
        </w:rPr>
        <w:t xml:space="preserve"> ca </w:t>
      </w:r>
      <w:proofErr w:type="spellStart"/>
      <w:r w:rsidR="000856E4" w:rsidRPr="007228F4">
        <w:rPr>
          <w:shd w:val="clear" w:color="auto" w:fill="FFFFFF"/>
        </w:rPr>
        <w:t>the</w:t>
      </w:r>
      <w:proofErr w:type="spellEnd"/>
      <w:r w:rsidR="000856E4" w:rsidRPr="007228F4">
        <w:rPr>
          <w:shd w:val="clear" w:color="auto" w:fill="FFFFFF"/>
        </w:rPr>
        <w:t xml:space="preserve"> </w:t>
      </w:r>
      <w:proofErr w:type="spellStart"/>
      <w:r w:rsidR="000856E4" w:rsidRPr="007228F4">
        <w:rPr>
          <w:shd w:val="clear" w:color="auto" w:fill="FFFFFF"/>
        </w:rPr>
        <w:t>viability</w:t>
      </w:r>
      <w:proofErr w:type="spellEnd"/>
      <w:r w:rsidR="000856E4" w:rsidRPr="007228F4">
        <w:rPr>
          <w:shd w:val="clear" w:color="auto" w:fill="FFFFFF"/>
        </w:rPr>
        <w:t xml:space="preserve"> of </w:t>
      </w:r>
      <w:proofErr w:type="spellStart"/>
      <w:r w:rsidR="000856E4" w:rsidRPr="007228F4">
        <w:rPr>
          <w:shd w:val="clear" w:color="auto" w:fill="FFFFFF"/>
        </w:rPr>
        <w:t>a</w:t>
      </w:r>
      <w:r w:rsidR="001B5DB1" w:rsidRPr="007228F4">
        <w:rPr>
          <w:shd w:val="clear" w:color="auto" w:fill="FFFFFF"/>
        </w:rPr>
        <w:t>ny</w:t>
      </w:r>
      <w:proofErr w:type="spellEnd"/>
      <w:r w:rsidR="001B5DB1" w:rsidRPr="007228F4">
        <w:rPr>
          <w:shd w:val="clear" w:color="auto" w:fill="FFFFFF"/>
        </w:rPr>
        <w:t xml:space="preserve"> business </w:t>
      </w:r>
      <w:proofErr w:type="spellStart"/>
      <w:r w:rsidR="001B5DB1" w:rsidRPr="007228F4">
        <w:rPr>
          <w:shd w:val="clear" w:color="auto" w:fill="FFFFFF"/>
        </w:rPr>
        <w:t>depends</w:t>
      </w:r>
      <w:proofErr w:type="spellEnd"/>
      <w:r w:rsidR="001B5DB1" w:rsidRPr="007228F4">
        <w:rPr>
          <w:shd w:val="clear" w:color="auto" w:fill="FFFFFF"/>
        </w:rPr>
        <w:t xml:space="preserve"> on </w:t>
      </w:r>
      <w:proofErr w:type="spellStart"/>
      <w:r w:rsidR="001B5DB1" w:rsidRPr="007228F4">
        <w:rPr>
          <w:shd w:val="clear" w:color="auto" w:fill="FFFFFF"/>
        </w:rPr>
        <w:t>earnings</w:t>
      </w:r>
      <w:proofErr w:type="spellEnd"/>
      <w:r w:rsidR="001B5DB1" w:rsidRPr="007228F4">
        <w:rPr>
          <w:shd w:val="clear" w:color="auto" w:fill="FFFFFF"/>
        </w:rPr>
        <w:t xml:space="preserve"> iar profitabilitatea devine relevanta </w:t>
      </w:r>
      <w:proofErr w:type="spellStart"/>
      <w:r w:rsidR="001B5DB1" w:rsidRPr="007228F4">
        <w:rPr>
          <w:shd w:val="clear" w:color="auto" w:fill="FFFFFF"/>
        </w:rPr>
        <w:t>putand</w:t>
      </w:r>
      <w:proofErr w:type="spellEnd"/>
      <w:r w:rsidR="001B5DB1" w:rsidRPr="007228F4">
        <w:rPr>
          <w:shd w:val="clear" w:color="auto" w:fill="FFFFFF"/>
        </w:rPr>
        <w:t xml:space="preserve"> fi interpretata din punct de vedere contabil, economic, managerial.</w:t>
      </w:r>
    </w:p>
    <w:p w:rsidR="0067073D" w:rsidRPr="007228F4" w:rsidRDefault="002D639B" w:rsidP="007228F4">
      <w:pPr>
        <w:pStyle w:val="NormalWeb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De altfel î</w:t>
      </w:r>
      <w:r w:rsidR="00A477DC" w:rsidRPr="007228F4">
        <w:rPr>
          <w:shd w:val="clear" w:color="auto" w:fill="FFFFFF"/>
        </w:rPr>
        <w:t xml:space="preserve">n toata literatura economica profitul si profitabilitatea ocupa un loc special. </w:t>
      </w:r>
    </w:p>
    <w:p w:rsidR="0067073D" w:rsidRPr="007228F4" w:rsidRDefault="00A477DC" w:rsidP="007228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abon-Roman" w:hAnsi="Times New Roman" w:cs="Times New Roman"/>
          <w:sz w:val="24"/>
          <w:szCs w:val="24"/>
        </w:rPr>
      </w:pPr>
      <w:proofErr w:type="spellStart"/>
      <w:r w:rsidRPr="007228F4">
        <w:rPr>
          <w:rFonts w:ascii="Times New Roman" w:hAnsi="Times New Roman" w:cs="Times New Roman"/>
          <w:sz w:val="24"/>
          <w:szCs w:val="24"/>
        </w:rPr>
        <w:t>P</w:t>
      </w:r>
      <w:r w:rsidRPr="007228F4">
        <w:rPr>
          <w:rFonts w:ascii="Times New Roman" w:eastAsia="Sabon-Roman" w:hAnsi="Times New Roman" w:cs="Times New Roman"/>
          <w:sz w:val="24"/>
          <w:szCs w:val="24"/>
        </w:rPr>
        <w:t>rofits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hold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an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exalted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place in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the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business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world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and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in economic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theory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. The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necessity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of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producing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profits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imposes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order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and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discipline on business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organizations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. It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fosters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cost-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reducing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innovations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,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which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in turn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promote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the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efficient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use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of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scarce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resources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. The profit motive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also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encourages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savings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and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risk-taking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,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two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indispensable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elements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of economic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development</w:t>
      </w:r>
      <w:proofErr w:type="spellEnd"/>
      <w:r w:rsidRPr="007228F4">
        <w:rPr>
          <w:rFonts w:ascii="Times New Roman" w:eastAsia="Sabon-Roman" w:hAnsi="Times New Roman" w:cs="Times New Roman"/>
          <w:sz w:val="20"/>
          <w:szCs w:val="20"/>
        </w:rPr>
        <w:t xml:space="preserve">. </w:t>
      </w:r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In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the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same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time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profitability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is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a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yardstick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by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which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businesspeople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can</w:t>
      </w:r>
      <w:proofErr w:type="spellEnd"/>
      <w:r w:rsidR="00CD3E7E" w:rsidRPr="007228F4">
        <w:rPr>
          <w:rFonts w:ascii="Times New Roman" w:eastAsia="Sabon-Roman" w:hAnsi="Times New Roman" w:cs="Times New Roman"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measure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their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Sabon-Roman" w:hAnsi="Times New Roman" w:cs="Times New Roman"/>
          <w:sz w:val="24"/>
          <w:szCs w:val="24"/>
        </w:rPr>
        <w:t>achievements</w:t>
      </w:r>
      <w:proofErr w:type="spellEnd"/>
      <w:r w:rsidRPr="007228F4">
        <w:rPr>
          <w:rFonts w:ascii="Times New Roman" w:eastAsia="Sabon-Roman" w:hAnsi="Times New Roman" w:cs="Times New Roman"/>
          <w:sz w:val="24"/>
          <w:szCs w:val="24"/>
        </w:rPr>
        <w:t xml:space="preserve">. </w:t>
      </w:r>
      <w:r w:rsidRPr="007228F4">
        <w:rPr>
          <w:rFonts w:ascii="Times New Roman" w:eastAsia="Sabon-Roman" w:hAnsi="Times New Roman" w:cs="Times New Roman"/>
          <w:color w:val="0070C0"/>
          <w:sz w:val="24"/>
          <w:szCs w:val="24"/>
        </w:rPr>
        <w:t xml:space="preserve">(M. </w:t>
      </w:r>
      <w:proofErr w:type="spellStart"/>
      <w:r w:rsidRPr="007228F4">
        <w:rPr>
          <w:rFonts w:ascii="Times New Roman" w:eastAsia="Sabon-Roman" w:hAnsi="Times New Roman" w:cs="Times New Roman"/>
          <w:color w:val="0070C0"/>
          <w:sz w:val="24"/>
          <w:szCs w:val="24"/>
        </w:rPr>
        <w:t>Fridson</w:t>
      </w:r>
      <w:proofErr w:type="spellEnd"/>
      <w:r w:rsidRPr="007228F4">
        <w:rPr>
          <w:rFonts w:ascii="Times New Roman" w:eastAsia="Sabon-Roman" w:hAnsi="Times New Roman" w:cs="Times New Roman"/>
          <w:color w:val="0070C0"/>
          <w:sz w:val="24"/>
          <w:szCs w:val="24"/>
        </w:rPr>
        <w:t>, F. Alvarez, 2002)</w:t>
      </w:r>
    </w:p>
    <w:p w:rsidR="000D3678" w:rsidRPr="007228F4" w:rsidRDefault="000D3678" w:rsidP="007228F4">
      <w:pPr>
        <w:pStyle w:val="NormalWeb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7228F4">
        <w:rPr>
          <w:shd w:val="clear" w:color="auto" w:fill="FFFFFF"/>
        </w:rPr>
        <w:t xml:space="preserve">J.B. </w:t>
      </w:r>
      <w:proofErr w:type="spellStart"/>
      <w:r w:rsidRPr="007228F4">
        <w:rPr>
          <w:shd w:val="clear" w:color="auto" w:fill="FFFFFF"/>
        </w:rPr>
        <w:t>Maverick</w:t>
      </w:r>
      <w:proofErr w:type="spellEnd"/>
      <w:r w:rsidRPr="007228F4">
        <w:rPr>
          <w:shd w:val="clear" w:color="auto" w:fill="FFFFFF"/>
        </w:rPr>
        <w:t xml:space="preserve">, </w:t>
      </w:r>
      <w:proofErr w:type="spellStart"/>
      <w:r w:rsidRPr="007228F4">
        <w:rPr>
          <w:shd w:val="clear" w:color="auto" w:fill="FFFFFF"/>
        </w:rPr>
        <w:t>intr</w:t>
      </w:r>
      <w:proofErr w:type="spellEnd"/>
      <w:r w:rsidRPr="007228F4">
        <w:rPr>
          <w:shd w:val="clear" w:color="auto" w:fill="FFFFFF"/>
        </w:rPr>
        <w:t xml:space="preserve">-un articol </w:t>
      </w:r>
      <w:proofErr w:type="spellStart"/>
      <w:r w:rsidRPr="007228F4">
        <w:rPr>
          <w:shd w:val="clear" w:color="auto" w:fill="FFFFFF"/>
        </w:rPr>
        <w:t>aparut</w:t>
      </w:r>
      <w:proofErr w:type="spellEnd"/>
      <w:r w:rsidRPr="007228F4">
        <w:rPr>
          <w:shd w:val="clear" w:color="auto" w:fill="FFFFFF"/>
        </w:rPr>
        <w:t xml:space="preserve"> in 2018 pe </w:t>
      </w:r>
      <w:proofErr w:type="spellStart"/>
      <w:r w:rsidR="00D22F87" w:rsidRPr="007228F4">
        <w:rPr>
          <w:shd w:val="clear" w:color="auto" w:fill="FFFFFF"/>
        </w:rPr>
        <w:t>I</w:t>
      </w:r>
      <w:r w:rsidRPr="007228F4">
        <w:rPr>
          <w:shd w:val="clear" w:color="auto" w:fill="FFFFFF"/>
        </w:rPr>
        <w:t>nvest</w:t>
      </w:r>
      <w:r w:rsidR="00D22F87" w:rsidRPr="007228F4">
        <w:rPr>
          <w:shd w:val="clear" w:color="auto" w:fill="FFFFFF"/>
        </w:rPr>
        <w:t>o</w:t>
      </w:r>
      <w:r w:rsidRPr="007228F4">
        <w:rPr>
          <w:shd w:val="clear" w:color="auto" w:fill="FFFFFF"/>
        </w:rPr>
        <w:t>pedia</w:t>
      </w:r>
      <w:proofErr w:type="spellEnd"/>
      <w:r w:rsidRPr="007228F4">
        <w:rPr>
          <w:shd w:val="clear" w:color="auto" w:fill="FFFFFF"/>
        </w:rPr>
        <w:t xml:space="preserve"> referitor la </w:t>
      </w:r>
      <w:proofErr w:type="spellStart"/>
      <w:r w:rsidRPr="007228F4">
        <w:rPr>
          <w:shd w:val="clear" w:color="auto" w:fill="FFFFFF"/>
        </w:rPr>
        <w:t>Key</w:t>
      </w:r>
      <w:proofErr w:type="spellEnd"/>
      <w:r w:rsidRPr="007228F4">
        <w:rPr>
          <w:shd w:val="clear" w:color="auto" w:fill="FFFFFF"/>
        </w:rPr>
        <w:t xml:space="preserve"> Financial </w:t>
      </w:r>
      <w:proofErr w:type="spellStart"/>
      <w:r w:rsidRPr="007228F4">
        <w:rPr>
          <w:shd w:val="clear" w:color="auto" w:fill="FFFFFF"/>
        </w:rPr>
        <w:t>Ratios</w:t>
      </w:r>
      <w:proofErr w:type="spellEnd"/>
      <w:r w:rsidRPr="007228F4">
        <w:rPr>
          <w:shd w:val="clear" w:color="auto" w:fill="FFFFFF"/>
        </w:rPr>
        <w:t xml:space="preserve"> for </w:t>
      </w:r>
      <w:proofErr w:type="spellStart"/>
      <w:r w:rsidRPr="007228F4">
        <w:rPr>
          <w:shd w:val="clear" w:color="auto" w:fill="FFFFFF"/>
        </w:rPr>
        <w:t>Pharmaceutical</w:t>
      </w:r>
      <w:proofErr w:type="spellEnd"/>
      <w:r w:rsidRPr="007228F4">
        <w:rPr>
          <w:shd w:val="clear" w:color="auto" w:fill="FFFFFF"/>
        </w:rPr>
        <w:t xml:space="preserve"> </w:t>
      </w:r>
      <w:proofErr w:type="spellStart"/>
      <w:r w:rsidRPr="007228F4">
        <w:rPr>
          <w:shd w:val="clear" w:color="auto" w:fill="FFFFFF"/>
        </w:rPr>
        <w:t>Companies</w:t>
      </w:r>
      <w:proofErr w:type="spellEnd"/>
      <w:r w:rsidR="005A46B8" w:rsidRPr="007228F4">
        <w:rPr>
          <w:shd w:val="clear" w:color="auto" w:fill="FFFFFF"/>
        </w:rPr>
        <w:t xml:space="preserve"> </w:t>
      </w:r>
      <w:r w:rsidR="005A46B8" w:rsidRPr="007228F4">
        <w:rPr>
          <w:color w:val="0070C0"/>
          <w:shd w:val="clear" w:color="auto" w:fill="FFFFFF"/>
        </w:rPr>
        <w:t xml:space="preserve">(J.B. </w:t>
      </w:r>
      <w:proofErr w:type="spellStart"/>
      <w:r w:rsidR="005A46B8" w:rsidRPr="007228F4">
        <w:rPr>
          <w:color w:val="0070C0"/>
          <w:shd w:val="clear" w:color="auto" w:fill="FFFFFF"/>
        </w:rPr>
        <w:t>Maverick</w:t>
      </w:r>
      <w:proofErr w:type="spellEnd"/>
      <w:r w:rsidR="005A46B8" w:rsidRPr="007228F4">
        <w:rPr>
          <w:color w:val="0070C0"/>
          <w:shd w:val="clear" w:color="auto" w:fill="FFFFFF"/>
        </w:rPr>
        <w:t>, 2018)</w:t>
      </w:r>
      <w:r w:rsidR="009A5FFF" w:rsidRPr="007228F4">
        <w:rPr>
          <w:color w:val="0070C0"/>
          <w:shd w:val="clear" w:color="auto" w:fill="FFFFFF"/>
        </w:rPr>
        <w:t xml:space="preserve">, </w:t>
      </w:r>
      <w:r w:rsidR="00D22F87" w:rsidRPr="007228F4">
        <w:rPr>
          <w:shd w:val="clear" w:color="auto" w:fill="FFFFFF"/>
        </w:rPr>
        <w:t xml:space="preserve">enumera si explica o serie de indicatori de profitabilitate </w:t>
      </w:r>
      <w:proofErr w:type="spellStart"/>
      <w:r w:rsidR="00D22F87" w:rsidRPr="007228F4">
        <w:rPr>
          <w:shd w:val="clear" w:color="auto" w:fill="FFFFFF"/>
        </w:rPr>
        <w:t>considerati</w:t>
      </w:r>
      <w:proofErr w:type="spellEnd"/>
      <w:r w:rsidR="00D22F87" w:rsidRPr="007228F4">
        <w:rPr>
          <w:shd w:val="clear" w:color="auto" w:fill="FFFFFF"/>
        </w:rPr>
        <w:t xml:space="preserve"> a fi </w:t>
      </w:r>
      <w:proofErr w:type="spellStart"/>
      <w:r w:rsidR="00D22F87" w:rsidRPr="007228F4">
        <w:rPr>
          <w:shd w:val="clear" w:color="auto" w:fill="FFFFFF"/>
        </w:rPr>
        <w:t>importanti</w:t>
      </w:r>
      <w:proofErr w:type="spellEnd"/>
      <w:r w:rsidR="00D22F87" w:rsidRPr="007228F4">
        <w:rPr>
          <w:shd w:val="clear" w:color="auto" w:fill="FFFFFF"/>
        </w:rPr>
        <w:t xml:space="preserve"> in </w:t>
      </w:r>
      <w:proofErr w:type="spellStart"/>
      <w:r w:rsidR="00D22F87" w:rsidRPr="007228F4">
        <w:rPr>
          <w:shd w:val="clear" w:color="auto" w:fill="FFFFFF"/>
        </w:rPr>
        <w:t>masurarea</w:t>
      </w:r>
      <w:proofErr w:type="spellEnd"/>
      <w:r w:rsidR="00D22F87" w:rsidRPr="007228F4">
        <w:rPr>
          <w:shd w:val="clear" w:color="auto" w:fill="FFFFFF"/>
        </w:rPr>
        <w:t xml:space="preserve"> acesteia in industria farmaceutica.</w:t>
      </w:r>
    </w:p>
    <w:p w:rsidR="00D22F87" w:rsidRPr="002D639B" w:rsidRDefault="00D22F87" w:rsidP="007228F4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hd w:val="clear" w:color="auto" w:fill="FFFFFF"/>
        </w:rPr>
      </w:pPr>
      <w:r w:rsidRPr="002D639B">
        <w:rPr>
          <w:color w:val="000000" w:themeColor="text1"/>
          <w:shd w:val="clear" w:color="auto" w:fill="FFFFFF"/>
        </w:rPr>
        <w:t xml:space="preserve">In opinia acestuia </w:t>
      </w:r>
      <w:proofErr w:type="spellStart"/>
      <w:r w:rsidRPr="002D639B">
        <w:rPr>
          <w:color w:val="000000" w:themeColor="text1"/>
          <w:shd w:val="clear" w:color="auto" w:fill="FFFFFF"/>
        </w:rPr>
        <w:t>Key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financial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ratios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for </w:t>
      </w:r>
      <w:proofErr w:type="spellStart"/>
      <w:r w:rsidRPr="002D639B">
        <w:rPr>
          <w:color w:val="000000" w:themeColor="text1"/>
          <w:shd w:val="clear" w:color="auto" w:fill="FFFFFF"/>
        </w:rPr>
        <w:t>pharmaceutical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companies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are: </w:t>
      </w:r>
    </w:p>
    <w:p w:rsidR="00DD3FB4" w:rsidRPr="0038482C" w:rsidRDefault="00DD3FB4" w:rsidP="007228F4">
      <w:pPr>
        <w:pStyle w:val="NormalWeb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i/>
          <w:color w:val="000000" w:themeColor="text1"/>
          <w:shd w:val="clear" w:color="auto" w:fill="FFFFFF"/>
        </w:rPr>
      </w:pPr>
      <w:r w:rsidRPr="0038482C">
        <w:rPr>
          <w:i/>
          <w:color w:val="000000" w:themeColor="text1"/>
          <w:shd w:val="clear" w:color="auto" w:fill="FFFFFF"/>
        </w:rPr>
        <w:t>Profit</w:t>
      </w:r>
      <w:r w:rsidR="00032095" w:rsidRPr="0038482C">
        <w:rPr>
          <w:i/>
          <w:color w:val="000000" w:themeColor="text1"/>
          <w:shd w:val="clear" w:color="auto" w:fill="FFFFFF"/>
        </w:rPr>
        <w:t>, profitabilitate</w:t>
      </w:r>
    </w:p>
    <w:p w:rsidR="00B97080" w:rsidRPr="002D639B" w:rsidRDefault="00B97080" w:rsidP="007228F4">
      <w:pPr>
        <w:pStyle w:val="BodyTextIndent"/>
        <w:tabs>
          <w:tab w:val="left" w:pos="851"/>
        </w:tabs>
        <w:spacing w:line="240" w:lineRule="auto"/>
        <w:ind w:firstLine="567"/>
        <w:rPr>
          <w:rFonts w:ascii="Times New Roman" w:hAnsi="Times New Roman"/>
          <w:color w:val="000000" w:themeColor="text1"/>
        </w:rPr>
      </w:pPr>
      <w:proofErr w:type="spellStart"/>
      <w:r w:rsidRPr="00C11E7C">
        <w:rPr>
          <w:rFonts w:ascii="Times New Roman" w:hAnsi="Times New Roman"/>
          <w:i/>
          <w:color w:val="000000" w:themeColor="text1"/>
        </w:rPr>
        <w:t>Profitul</w:t>
      </w:r>
      <w:proofErr w:type="spellEnd"/>
      <w:r w:rsidRPr="002D639B">
        <w:rPr>
          <w:rFonts w:ascii="Times New Roman" w:hAnsi="Times New Roman"/>
          <w:color w:val="000000" w:themeColor="text1"/>
        </w:rPr>
        <w:t xml:space="preserve"> </w:t>
      </w:r>
      <w:proofErr w:type="spellStart"/>
      <w:proofErr w:type="gramStart"/>
      <w:r w:rsidRPr="002D639B">
        <w:rPr>
          <w:rFonts w:ascii="Times New Roman" w:hAnsi="Times New Roman"/>
          <w:color w:val="000000" w:themeColor="text1"/>
        </w:rPr>
        <w:t>este</w:t>
      </w:r>
      <w:proofErr w:type="spellEnd"/>
      <w:proofErr w:type="gramEnd"/>
      <w:r w:rsidRPr="002D639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2D639B">
        <w:rPr>
          <w:rFonts w:ascii="Times New Roman" w:hAnsi="Times New Roman"/>
          <w:color w:val="000000" w:themeColor="text1"/>
        </w:rPr>
        <w:t>frecvent</w:t>
      </w:r>
      <w:proofErr w:type="spellEnd"/>
      <w:r w:rsidRPr="002D639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2D639B">
        <w:rPr>
          <w:rFonts w:ascii="Times New Roman" w:hAnsi="Times New Roman"/>
          <w:color w:val="000000" w:themeColor="text1"/>
        </w:rPr>
        <w:t>utilizat</w:t>
      </w:r>
      <w:proofErr w:type="spellEnd"/>
      <w:r w:rsidRPr="002D639B">
        <w:rPr>
          <w:rFonts w:ascii="Times New Roman" w:hAnsi="Times New Roman"/>
          <w:color w:val="000000" w:themeColor="text1"/>
        </w:rPr>
        <w:t xml:space="preserve"> ca o </w:t>
      </w:r>
      <w:proofErr w:type="spellStart"/>
      <w:r w:rsidRPr="002D639B">
        <w:rPr>
          <w:rFonts w:ascii="Times New Roman" w:hAnsi="Times New Roman"/>
          <w:color w:val="000000" w:themeColor="text1"/>
        </w:rPr>
        <w:t>masură</w:t>
      </w:r>
      <w:proofErr w:type="spellEnd"/>
      <w:r w:rsidRPr="002D639B">
        <w:rPr>
          <w:rFonts w:ascii="Times New Roman" w:hAnsi="Times New Roman"/>
          <w:color w:val="000000" w:themeColor="text1"/>
        </w:rPr>
        <w:t xml:space="preserve"> a </w:t>
      </w:r>
      <w:proofErr w:type="spellStart"/>
      <w:r w:rsidRPr="002D639B">
        <w:rPr>
          <w:rFonts w:ascii="Times New Roman" w:hAnsi="Times New Roman"/>
          <w:color w:val="000000" w:themeColor="text1"/>
        </w:rPr>
        <w:t>performanţei</w:t>
      </w:r>
      <w:proofErr w:type="spellEnd"/>
      <w:r w:rsidRPr="002D639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2D639B">
        <w:rPr>
          <w:rFonts w:ascii="Times New Roman" w:hAnsi="Times New Roman"/>
          <w:color w:val="000000" w:themeColor="text1"/>
        </w:rPr>
        <w:t>sau</w:t>
      </w:r>
      <w:proofErr w:type="spellEnd"/>
      <w:r w:rsidRPr="002D639B">
        <w:rPr>
          <w:rFonts w:ascii="Times New Roman" w:hAnsi="Times New Roman"/>
          <w:color w:val="000000" w:themeColor="text1"/>
        </w:rPr>
        <w:t xml:space="preserve"> ca </w:t>
      </w:r>
      <w:proofErr w:type="spellStart"/>
      <w:r w:rsidRPr="002D639B">
        <w:rPr>
          <w:rFonts w:ascii="Times New Roman" w:hAnsi="Times New Roman"/>
          <w:color w:val="000000" w:themeColor="text1"/>
        </w:rPr>
        <w:t>bază</w:t>
      </w:r>
      <w:proofErr w:type="spellEnd"/>
      <w:r w:rsidRPr="002D639B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2D639B">
        <w:rPr>
          <w:rFonts w:ascii="Times New Roman" w:hAnsi="Times New Roman"/>
          <w:color w:val="000000" w:themeColor="text1"/>
        </w:rPr>
        <w:t>referinţă</w:t>
      </w:r>
      <w:proofErr w:type="spellEnd"/>
      <w:r w:rsidRPr="002D639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2D639B">
        <w:rPr>
          <w:rFonts w:ascii="Times New Roman" w:hAnsi="Times New Roman"/>
          <w:color w:val="000000" w:themeColor="text1"/>
        </w:rPr>
        <w:t>pentru</w:t>
      </w:r>
      <w:proofErr w:type="spellEnd"/>
      <w:r w:rsidRPr="002D639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2D639B">
        <w:rPr>
          <w:rFonts w:ascii="Times New Roman" w:hAnsi="Times New Roman"/>
          <w:color w:val="000000" w:themeColor="text1"/>
        </w:rPr>
        <w:t>alţi</w:t>
      </w:r>
      <w:proofErr w:type="spellEnd"/>
      <w:r w:rsidRPr="002D639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2D639B">
        <w:rPr>
          <w:rFonts w:ascii="Times New Roman" w:hAnsi="Times New Roman"/>
          <w:color w:val="000000" w:themeColor="text1"/>
        </w:rPr>
        <w:t>indicatori</w:t>
      </w:r>
      <w:proofErr w:type="spellEnd"/>
      <w:r w:rsidRPr="002D639B">
        <w:rPr>
          <w:rFonts w:ascii="Times New Roman" w:hAnsi="Times New Roman"/>
          <w:color w:val="000000" w:themeColor="text1"/>
        </w:rPr>
        <w:t xml:space="preserve">, cum </w:t>
      </w:r>
      <w:proofErr w:type="spellStart"/>
      <w:r w:rsidRPr="002D639B">
        <w:rPr>
          <w:rFonts w:ascii="Times New Roman" w:hAnsi="Times New Roman"/>
          <w:color w:val="000000" w:themeColor="text1"/>
        </w:rPr>
        <w:t>ar</w:t>
      </w:r>
      <w:proofErr w:type="spellEnd"/>
      <w:r w:rsidRPr="002D639B">
        <w:rPr>
          <w:rFonts w:ascii="Times New Roman" w:hAnsi="Times New Roman"/>
          <w:color w:val="000000" w:themeColor="text1"/>
        </w:rPr>
        <w:t xml:space="preserve"> fi </w:t>
      </w:r>
      <w:proofErr w:type="spellStart"/>
      <w:r w:rsidRPr="002D639B">
        <w:rPr>
          <w:rFonts w:ascii="Times New Roman" w:hAnsi="Times New Roman"/>
          <w:color w:val="000000" w:themeColor="text1"/>
        </w:rPr>
        <w:t>rentabilitatea</w:t>
      </w:r>
      <w:proofErr w:type="spellEnd"/>
      <w:r w:rsidRPr="002D639B">
        <w:rPr>
          <w:rFonts w:ascii="Times New Roman" w:hAnsi="Times New Roman"/>
          <w:color w:val="000000" w:themeColor="text1"/>
        </w:rPr>
        <w:t xml:space="preserve"> (</w:t>
      </w:r>
      <w:proofErr w:type="spellStart"/>
      <w:r w:rsidRPr="002D639B">
        <w:rPr>
          <w:rFonts w:ascii="Times New Roman" w:hAnsi="Times New Roman"/>
          <w:color w:val="000000" w:themeColor="text1"/>
        </w:rPr>
        <w:t>activităţii</w:t>
      </w:r>
      <w:proofErr w:type="spellEnd"/>
      <w:r w:rsidRPr="002D639B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2D639B">
        <w:rPr>
          <w:rFonts w:ascii="Times New Roman" w:hAnsi="Times New Roman"/>
          <w:color w:val="000000" w:themeColor="text1"/>
        </w:rPr>
        <w:t>investiţiei</w:t>
      </w:r>
      <w:proofErr w:type="spellEnd"/>
      <w:r w:rsidRPr="002D639B">
        <w:rPr>
          <w:rFonts w:ascii="Times New Roman" w:hAnsi="Times New Roman"/>
          <w:color w:val="000000" w:themeColor="text1"/>
        </w:rPr>
        <w:t xml:space="preserve">) </w:t>
      </w:r>
      <w:proofErr w:type="spellStart"/>
      <w:r w:rsidRPr="002D639B">
        <w:rPr>
          <w:rFonts w:ascii="Times New Roman" w:hAnsi="Times New Roman"/>
          <w:color w:val="000000" w:themeColor="text1"/>
        </w:rPr>
        <w:t>sau</w:t>
      </w:r>
      <w:proofErr w:type="spellEnd"/>
      <w:r w:rsidRPr="002D639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2D639B">
        <w:rPr>
          <w:rFonts w:ascii="Times New Roman" w:hAnsi="Times New Roman"/>
          <w:color w:val="000000" w:themeColor="text1"/>
        </w:rPr>
        <w:t>rezultatul</w:t>
      </w:r>
      <w:proofErr w:type="spellEnd"/>
      <w:r w:rsidRPr="002D639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2D639B">
        <w:rPr>
          <w:rFonts w:ascii="Times New Roman" w:hAnsi="Times New Roman"/>
          <w:color w:val="000000" w:themeColor="text1"/>
        </w:rPr>
        <w:t>pe</w:t>
      </w:r>
      <w:proofErr w:type="spellEnd"/>
      <w:r w:rsidRPr="002D639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2D639B">
        <w:rPr>
          <w:rFonts w:ascii="Times New Roman" w:hAnsi="Times New Roman"/>
          <w:color w:val="000000" w:themeColor="text1"/>
        </w:rPr>
        <w:t>acţiune</w:t>
      </w:r>
      <w:proofErr w:type="spellEnd"/>
      <w:r w:rsidRPr="002D639B">
        <w:rPr>
          <w:rFonts w:ascii="Times New Roman" w:hAnsi="Times New Roman"/>
          <w:color w:val="000000" w:themeColor="text1"/>
        </w:rPr>
        <w:t>.</w:t>
      </w:r>
    </w:p>
    <w:p w:rsidR="00DD3FB4" w:rsidRPr="002D639B" w:rsidRDefault="00B97080" w:rsidP="003B7AF2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color w:val="000000" w:themeColor="text1"/>
          <w:shd w:val="clear" w:color="auto" w:fill="FFFFFF"/>
        </w:rPr>
      </w:pPr>
      <w:r w:rsidRPr="00C11E7C">
        <w:rPr>
          <w:i/>
          <w:color w:val="000000" w:themeColor="text1"/>
          <w:shd w:val="clear" w:color="auto" w:fill="FFFFFF"/>
        </w:rPr>
        <w:t>Profitabilitatea</w:t>
      </w:r>
      <w:r w:rsidRPr="002D639B">
        <w:rPr>
          <w:color w:val="000000" w:themeColor="text1"/>
          <w:shd w:val="clear" w:color="auto" w:fill="FFFFFF"/>
        </w:rPr>
        <w:t xml:space="preserve"> se referă la aptitudinea întreprinderii de a </w:t>
      </w:r>
      <w:proofErr w:type="spellStart"/>
      <w:r w:rsidRPr="002D639B">
        <w:rPr>
          <w:color w:val="000000" w:themeColor="text1"/>
          <w:shd w:val="clear" w:color="auto" w:fill="FFFFFF"/>
        </w:rPr>
        <w:t>obţine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un anumit nivel al rezultatului pentru un </w:t>
      </w:r>
      <w:r w:rsidRPr="002D639B">
        <w:rPr>
          <w:i/>
          <w:color w:val="000000" w:themeColor="text1"/>
          <w:shd w:val="clear" w:color="auto" w:fill="FFFFFF"/>
        </w:rPr>
        <w:t>volum dat al afacerilor</w:t>
      </w:r>
      <w:r w:rsidR="003B7AF2">
        <w:rPr>
          <w:i/>
          <w:color w:val="000000" w:themeColor="text1"/>
          <w:shd w:val="clear" w:color="auto" w:fill="FFFFFF"/>
        </w:rPr>
        <w:t xml:space="preserve"> (</w:t>
      </w:r>
      <w:proofErr w:type="spellStart"/>
      <w:r w:rsidR="003B7AF2" w:rsidRPr="0038482C">
        <w:rPr>
          <w:i/>
          <w:color w:val="000000" w:themeColor="text1"/>
          <w:shd w:val="clear" w:color="auto" w:fill="FFFFFF"/>
        </w:rPr>
        <w:t>Return</w:t>
      </w:r>
      <w:proofErr w:type="spellEnd"/>
      <w:r w:rsidR="003B7AF2" w:rsidRPr="0038482C">
        <w:rPr>
          <w:i/>
          <w:color w:val="000000" w:themeColor="text1"/>
          <w:shd w:val="clear" w:color="auto" w:fill="FFFFFF"/>
        </w:rPr>
        <w:t xml:space="preserve"> on Sale</w:t>
      </w:r>
      <w:r w:rsidR="003B7AF2">
        <w:rPr>
          <w:i/>
          <w:color w:val="000000" w:themeColor="text1"/>
          <w:shd w:val="clear" w:color="auto" w:fill="FFFFFF"/>
        </w:rPr>
        <w:t>).</w:t>
      </w:r>
    </w:p>
    <w:p w:rsidR="00DD3FB4" w:rsidRPr="002D639B" w:rsidRDefault="00DD3FB4" w:rsidP="007228F4">
      <w:pPr>
        <w:pStyle w:val="NormalWeb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color w:val="000000" w:themeColor="text1"/>
          <w:shd w:val="clear" w:color="auto" w:fill="FFFFFF"/>
        </w:rPr>
      </w:pPr>
      <w:proofErr w:type="spellStart"/>
      <w:r w:rsidRPr="0038482C">
        <w:rPr>
          <w:i/>
          <w:color w:val="000000" w:themeColor="text1"/>
          <w:shd w:val="clear" w:color="auto" w:fill="FFFFFF"/>
        </w:rPr>
        <w:t>Profitability</w:t>
      </w:r>
      <w:proofErr w:type="spellEnd"/>
      <w:r w:rsidRPr="0038482C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38482C">
        <w:rPr>
          <w:i/>
          <w:color w:val="000000" w:themeColor="text1"/>
          <w:shd w:val="clear" w:color="auto" w:fill="FFFFFF"/>
        </w:rPr>
        <w:t>Ratios</w:t>
      </w:r>
      <w:proofErr w:type="spellEnd"/>
      <w:r w:rsidR="001F5355" w:rsidRPr="0038482C">
        <w:rPr>
          <w:rFonts w:eastAsiaTheme="minorHAnsi"/>
          <w:i/>
          <w:color w:val="000000" w:themeColor="text1"/>
          <w:sz w:val="26"/>
          <w:szCs w:val="26"/>
          <w:shd w:val="clear" w:color="auto" w:fill="FFFFFF"/>
          <w:lang w:eastAsia="en-US"/>
        </w:rPr>
        <w:t>:</w:t>
      </w:r>
      <w:r w:rsidR="009A5FFF" w:rsidRPr="0038482C">
        <w:rPr>
          <w:i/>
          <w:color w:val="000000" w:themeColor="text1"/>
          <w:shd w:val="clear" w:color="auto" w:fill="FFFFFF"/>
        </w:rPr>
        <w:t xml:space="preserve"> </w:t>
      </w:r>
      <w:hyperlink r:id="rId23" w:history="1">
        <w:proofErr w:type="spellStart"/>
        <w:r w:rsidRPr="0038482C">
          <w:rPr>
            <w:rStyle w:val="Hyperlink"/>
            <w:i/>
            <w:color w:val="000000" w:themeColor="text1"/>
            <w:u w:val="none"/>
            <w:shd w:val="clear" w:color="auto" w:fill="FFFFFF"/>
          </w:rPr>
          <w:t>Return</w:t>
        </w:r>
        <w:proofErr w:type="spellEnd"/>
        <w:r w:rsidRPr="0038482C">
          <w:rPr>
            <w:rStyle w:val="Hyperlink"/>
            <w:i/>
            <w:color w:val="000000" w:themeColor="text1"/>
            <w:u w:val="none"/>
            <w:shd w:val="clear" w:color="auto" w:fill="FFFFFF"/>
          </w:rPr>
          <w:t xml:space="preserve"> on </w:t>
        </w:r>
        <w:proofErr w:type="spellStart"/>
        <w:r w:rsidRPr="0038482C">
          <w:rPr>
            <w:rStyle w:val="Hyperlink"/>
            <w:i/>
            <w:color w:val="000000" w:themeColor="text1"/>
            <w:u w:val="none"/>
            <w:shd w:val="clear" w:color="auto" w:fill="FFFFFF"/>
          </w:rPr>
          <w:t>Assets</w:t>
        </w:r>
        <w:proofErr w:type="spellEnd"/>
      </w:hyperlink>
      <w:r w:rsidR="0038482C" w:rsidRPr="0038482C">
        <w:rPr>
          <w:i/>
          <w:color w:val="000000" w:themeColor="text1"/>
          <w:shd w:val="clear" w:color="auto" w:fill="FFFFFF"/>
        </w:rPr>
        <w:t xml:space="preserve">, </w:t>
      </w:r>
      <w:hyperlink r:id="rId24" w:history="1">
        <w:proofErr w:type="spellStart"/>
        <w:r w:rsidRPr="0038482C">
          <w:rPr>
            <w:rStyle w:val="Hyperlink"/>
            <w:i/>
            <w:color w:val="000000" w:themeColor="text1"/>
            <w:u w:val="none"/>
            <w:shd w:val="clear" w:color="auto" w:fill="FFFFFF"/>
          </w:rPr>
          <w:t>Return</w:t>
        </w:r>
        <w:proofErr w:type="spellEnd"/>
        <w:r w:rsidRPr="0038482C">
          <w:rPr>
            <w:rStyle w:val="Hyperlink"/>
            <w:i/>
            <w:color w:val="000000" w:themeColor="text1"/>
            <w:u w:val="none"/>
            <w:shd w:val="clear" w:color="auto" w:fill="FFFFFF"/>
          </w:rPr>
          <w:t xml:space="preserve"> on </w:t>
        </w:r>
        <w:proofErr w:type="spellStart"/>
        <w:r w:rsidRPr="0038482C">
          <w:rPr>
            <w:rStyle w:val="Hyperlink"/>
            <w:i/>
            <w:color w:val="000000" w:themeColor="text1"/>
            <w:u w:val="none"/>
            <w:shd w:val="clear" w:color="auto" w:fill="FFFFFF"/>
          </w:rPr>
          <w:t>Equity</w:t>
        </w:r>
        <w:proofErr w:type="spellEnd"/>
      </w:hyperlink>
      <w:r w:rsidR="0038482C" w:rsidRPr="0038482C">
        <w:rPr>
          <w:i/>
          <w:color w:val="000000" w:themeColor="text1"/>
          <w:shd w:val="clear" w:color="auto" w:fill="FFFFFF"/>
        </w:rPr>
        <w:t xml:space="preserve">, </w:t>
      </w:r>
      <w:hyperlink r:id="rId25" w:history="1">
        <w:proofErr w:type="spellStart"/>
        <w:r w:rsidRPr="0038482C">
          <w:rPr>
            <w:rStyle w:val="Hyperlink"/>
            <w:i/>
            <w:color w:val="000000" w:themeColor="text1"/>
            <w:u w:val="none"/>
            <w:shd w:val="clear" w:color="auto" w:fill="FFFFFF"/>
          </w:rPr>
          <w:t>Return</w:t>
        </w:r>
        <w:proofErr w:type="spellEnd"/>
        <w:r w:rsidRPr="0038482C">
          <w:rPr>
            <w:rStyle w:val="Hyperlink"/>
            <w:i/>
            <w:color w:val="000000" w:themeColor="text1"/>
            <w:u w:val="none"/>
            <w:shd w:val="clear" w:color="auto" w:fill="FFFFFF"/>
          </w:rPr>
          <w:t xml:space="preserve"> on </w:t>
        </w:r>
        <w:proofErr w:type="spellStart"/>
        <w:r w:rsidRPr="0038482C">
          <w:rPr>
            <w:rStyle w:val="Hyperlink"/>
            <w:i/>
            <w:color w:val="000000" w:themeColor="text1"/>
            <w:u w:val="none"/>
            <w:shd w:val="clear" w:color="auto" w:fill="FFFFFF"/>
          </w:rPr>
          <w:t>Invested</w:t>
        </w:r>
        <w:proofErr w:type="spellEnd"/>
        <w:r w:rsidRPr="0038482C">
          <w:rPr>
            <w:rStyle w:val="Hyperlink"/>
            <w:i/>
            <w:color w:val="000000" w:themeColor="text1"/>
            <w:u w:val="none"/>
            <w:shd w:val="clear" w:color="auto" w:fill="FFFFFF"/>
          </w:rPr>
          <w:t xml:space="preserve"> Capital</w:t>
        </w:r>
      </w:hyperlink>
      <w:r w:rsidRPr="0038482C">
        <w:rPr>
          <w:i/>
          <w:color w:val="000000" w:themeColor="text1"/>
          <w:shd w:val="clear" w:color="auto" w:fill="FFFFFF"/>
        </w:rPr>
        <w:t xml:space="preserve">, </w:t>
      </w:r>
      <w:proofErr w:type="spellStart"/>
      <w:r w:rsidRPr="0038482C">
        <w:rPr>
          <w:i/>
          <w:color w:val="000000" w:themeColor="text1"/>
          <w:shd w:val="clear" w:color="auto" w:fill="FFFFFF"/>
        </w:rPr>
        <w:t>and</w:t>
      </w:r>
      <w:proofErr w:type="spellEnd"/>
      <w:r w:rsidRPr="0038482C">
        <w:rPr>
          <w:i/>
          <w:color w:val="000000" w:themeColor="text1"/>
          <w:shd w:val="clear" w:color="auto" w:fill="FFFFFF"/>
        </w:rPr>
        <w:t> </w:t>
      </w:r>
      <w:proofErr w:type="spellStart"/>
      <w:r w:rsidR="00513089">
        <w:fldChar w:fldCharType="begin"/>
      </w:r>
      <w:r w:rsidR="00513089">
        <w:instrText xml:space="preserve"> HYPERLINK "https://www.investopedia.com/terms/r/roce.asp" </w:instrText>
      </w:r>
      <w:r w:rsidR="00513089">
        <w:fldChar w:fldCharType="separate"/>
      </w:r>
      <w:r w:rsidRPr="0038482C">
        <w:rPr>
          <w:rStyle w:val="Hyperlink"/>
          <w:i/>
          <w:color w:val="000000" w:themeColor="text1"/>
          <w:u w:val="none"/>
          <w:shd w:val="clear" w:color="auto" w:fill="FFFFFF"/>
        </w:rPr>
        <w:t>Return</w:t>
      </w:r>
      <w:proofErr w:type="spellEnd"/>
      <w:r w:rsidRPr="0038482C">
        <w:rPr>
          <w:rStyle w:val="Hyperlink"/>
          <w:i/>
          <w:color w:val="000000" w:themeColor="text1"/>
          <w:u w:val="none"/>
          <w:shd w:val="clear" w:color="auto" w:fill="FFFFFF"/>
        </w:rPr>
        <w:t xml:space="preserve"> on Capital </w:t>
      </w:r>
      <w:proofErr w:type="spellStart"/>
      <w:r w:rsidRPr="0038482C">
        <w:rPr>
          <w:rStyle w:val="Hyperlink"/>
          <w:i/>
          <w:color w:val="000000" w:themeColor="text1"/>
          <w:u w:val="none"/>
          <w:shd w:val="clear" w:color="auto" w:fill="FFFFFF"/>
        </w:rPr>
        <w:t>Employed</w:t>
      </w:r>
      <w:proofErr w:type="spellEnd"/>
      <w:r w:rsidR="00513089">
        <w:rPr>
          <w:rStyle w:val="Hyperlink"/>
          <w:i/>
          <w:color w:val="000000" w:themeColor="text1"/>
          <w:u w:val="none"/>
          <w:shd w:val="clear" w:color="auto" w:fill="FFFFFF"/>
        </w:rPr>
        <w:fldChar w:fldCharType="end"/>
      </w:r>
      <w:r w:rsidR="001F5355" w:rsidRPr="0038482C">
        <w:rPr>
          <w:i/>
          <w:color w:val="000000" w:themeColor="text1"/>
          <w:shd w:val="clear" w:color="auto" w:fill="FFFFFF"/>
        </w:rPr>
        <w:t xml:space="preserve">,  </w:t>
      </w:r>
      <w:r w:rsidR="001F5355" w:rsidRPr="002D639B">
        <w:rPr>
          <w:color w:val="000000" w:themeColor="text1"/>
          <w:shd w:val="clear" w:color="auto" w:fill="FFFFFF"/>
        </w:rPr>
        <w:t xml:space="preserve">(Arthur S. </w:t>
      </w:r>
      <w:proofErr w:type="spellStart"/>
      <w:r w:rsidR="001F5355" w:rsidRPr="002D639B">
        <w:rPr>
          <w:color w:val="000000" w:themeColor="text1"/>
          <w:shd w:val="clear" w:color="auto" w:fill="FFFFFF"/>
        </w:rPr>
        <w:t>Leahy</w:t>
      </w:r>
      <w:proofErr w:type="spellEnd"/>
      <w:r w:rsidR="001F5355" w:rsidRPr="002D639B">
        <w:rPr>
          <w:color w:val="000000" w:themeColor="text1"/>
          <w:shd w:val="clear" w:color="auto" w:fill="FFFFFF"/>
        </w:rPr>
        <w:t xml:space="preserve">, </w:t>
      </w:r>
      <w:r w:rsidR="001F5355" w:rsidRPr="003B7AF2">
        <w:rPr>
          <w:color w:val="0070C0"/>
          <w:shd w:val="clear" w:color="auto" w:fill="FFFFFF"/>
        </w:rPr>
        <w:t>2012</w:t>
      </w:r>
      <w:r w:rsidR="001F5355" w:rsidRPr="002D639B">
        <w:rPr>
          <w:color w:val="000000" w:themeColor="text1"/>
          <w:shd w:val="clear" w:color="auto" w:fill="FFFFFF"/>
        </w:rPr>
        <w:t>)</w:t>
      </w:r>
    </w:p>
    <w:p w:rsidR="00B97080" w:rsidRPr="002D639B" w:rsidRDefault="00B97080" w:rsidP="007228F4">
      <w:pPr>
        <w:pStyle w:val="ListParagraph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</w:pPr>
      <w:r w:rsidRPr="002D63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Rentabilitatea reflectă capacitatea întreprinderii de a degaja un anumit rezultat pentru o mărime dată a </w:t>
      </w:r>
      <w:r w:rsidRPr="002D639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ro-RO"/>
        </w:rPr>
        <w:t>capitalurilor angajate/avansate.</w:t>
      </w:r>
      <w:r w:rsidRPr="002D63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 </w:t>
      </w:r>
    </w:p>
    <w:p w:rsidR="00DD3FB4" w:rsidRPr="0038482C" w:rsidRDefault="00B97080" w:rsidP="007228F4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i/>
          <w:color w:val="000000" w:themeColor="text1"/>
          <w:shd w:val="clear" w:color="auto" w:fill="FFFFFF"/>
        </w:rPr>
      </w:pPr>
      <w:r w:rsidRPr="0038482C">
        <w:rPr>
          <w:i/>
          <w:color w:val="000000" w:themeColor="text1"/>
          <w:shd w:val="clear" w:color="auto" w:fill="FFFFFF"/>
        </w:rPr>
        <w:t>c)</w:t>
      </w:r>
      <w:r w:rsidR="00DD3FB4" w:rsidRPr="0038482C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="00DD3FB4" w:rsidRPr="0038482C">
        <w:rPr>
          <w:i/>
          <w:color w:val="000000" w:themeColor="text1"/>
          <w:shd w:val="clear" w:color="auto" w:fill="FFFFFF"/>
        </w:rPr>
        <w:t>Return</w:t>
      </w:r>
      <w:proofErr w:type="spellEnd"/>
      <w:r w:rsidR="00DD3FB4" w:rsidRPr="0038482C">
        <w:rPr>
          <w:i/>
          <w:color w:val="000000" w:themeColor="text1"/>
          <w:shd w:val="clear" w:color="auto" w:fill="FFFFFF"/>
        </w:rPr>
        <w:t xml:space="preserve"> on </w:t>
      </w:r>
      <w:proofErr w:type="spellStart"/>
      <w:r w:rsidR="00DD3FB4" w:rsidRPr="0038482C">
        <w:rPr>
          <w:i/>
          <w:color w:val="000000" w:themeColor="text1"/>
          <w:shd w:val="clear" w:color="auto" w:fill="FFFFFF"/>
        </w:rPr>
        <w:t>Research</w:t>
      </w:r>
      <w:proofErr w:type="spellEnd"/>
      <w:r w:rsidR="00DD3FB4" w:rsidRPr="0038482C">
        <w:rPr>
          <w:i/>
          <w:color w:val="000000" w:themeColor="text1"/>
          <w:shd w:val="clear" w:color="auto" w:fill="FFFFFF"/>
        </w:rPr>
        <w:t xml:space="preserve"> Capital </w:t>
      </w:r>
      <w:proofErr w:type="spellStart"/>
      <w:r w:rsidR="00DD3FB4" w:rsidRPr="0038482C">
        <w:rPr>
          <w:i/>
          <w:color w:val="000000" w:themeColor="text1"/>
          <w:shd w:val="clear" w:color="auto" w:fill="FFFFFF"/>
        </w:rPr>
        <w:t>Ratio</w:t>
      </w:r>
      <w:proofErr w:type="spellEnd"/>
      <w:r w:rsidR="00DD3FB4" w:rsidRPr="0038482C">
        <w:rPr>
          <w:i/>
          <w:color w:val="000000" w:themeColor="text1"/>
          <w:shd w:val="clear" w:color="auto" w:fill="FFFFFF"/>
        </w:rPr>
        <w:t xml:space="preserve"> (RORC)</w:t>
      </w:r>
    </w:p>
    <w:p w:rsidR="00DD3FB4" w:rsidRPr="002D639B" w:rsidRDefault="00DD3FB4" w:rsidP="007228F4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hd w:val="clear" w:color="auto" w:fill="FFFFFF"/>
        </w:rPr>
      </w:pPr>
      <w:r w:rsidRPr="002D639B">
        <w:rPr>
          <w:color w:val="000000" w:themeColor="text1"/>
          <w:shd w:val="clear" w:color="auto" w:fill="FFFFFF"/>
        </w:rPr>
        <w:t xml:space="preserve">R&amp;D </w:t>
      </w:r>
      <w:proofErr w:type="spellStart"/>
      <w:r w:rsidRPr="002D639B">
        <w:rPr>
          <w:color w:val="000000" w:themeColor="text1"/>
          <w:shd w:val="clear" w:color="auto" w:fill="FFFFFF"/>
        </w:rPr>
        <w:t>expenses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are an important cost fo</w:t>
      </w:r>
      <w:r w:rsidR="002D639B">
        <w:rPr>
          <w:color w:val="000000" w:themeColor="text1"/>
          <w:shd w:val="clear" w:color="auto" w:fill="FFFFFF"/>
        </w:rPr>
        <w:t xml:space="preserve">r </w:t>
      </w:r>
      <w:proofErr w:type="spellStart"/>
      <w:r w:rsidR="002D639B">
        <w:rPr>
          <w:color w:val="000000" w:themeColor="text1"/>
          <w:shd w:val="clear" w:color="auto" w:fill="FFFFFF"/>
        </w:rPr>
        <w:t>pharmaceutical</w:t>
      </w:r>
      <w:proofErr w:type="spellEnd"/>
      <w:r w:rsid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="002D639B">
        <w:rPr>
          <w:color w:val="000000" w:themeColor="text1"/>
          <w:shd w:val="clear" w:color="auto" w:fill="FFFFFF"/>
        </w:rPr>
        <w:t>companies</w:t>
      </w:r>
      <w:proofErr w:type="spellEnd"/>
      <w:r w:rsid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="002D639B">
        <w:rPr>
          <w:color w:val="000000" w:themeColor="text1"/>
          <w:shd w:val="clear" w:color="auto" w:fill="FFFFFF"/>
        </w:rPr>
        <w:t>and</w:t>
      </w:r>
      <w:proofErr w:type="spellEnd"/>
      <w:r w:rsid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examining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the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RORC </w:t>
      </w:r>
      <w:proofErr w:type="spellStart"/>
      <w:r w:rsidRPr="002D639B">
        <w:rPr>
          <w:color w:val="000000" w:themeColor="text1"/>
          <w:shd w:val="clear" w:color="auto" w:fill="FFFFFF"/>
        </w:rPr>
        <w:t>investors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has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an idea of </w:t>
      </w:r>
      <w:proofErr w:type="spellStart"/>
      <w:r w:rsidRPr="002D639B">
        <w:rPr>
          <w:color w:val="000000" w:themeColor="text1"/>
          <w:shd w:val="clear" w:color="auto" w:fill="FFFFFF"/>
        </w:rPr>
        <w:t>how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well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the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company </w:t>
      </w:r>
      <w:proofErr w:type="spellStart"/>
      <w:r w:rsidRPr="002D639B">
        <w:rPr>
          <w:color w:val="000000" w:themeColor="text1"/>
          <w:shd w:val="clear" w:color="auto" w:fill="FFFFFF"/>
        </w:rPr>
        <w:t>is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managing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to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translate </w:t>
      </w:r>
      <w:proofErr w:type="spellStart"/>
      <w:r w:rsidRPr="002D639B">
        <w:rPr>
          <w:color w:val="000000" w:themeColor="text1"/>
          <w:shd w:val="clear" w:color="auto" w:fill="FFFFFF"/>
        </w:rPr>
        <w:t>the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previous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year's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R&amp;D </w:t>
      </w:r>
      <w:proofErr w:type="spellStart"/>
      <w:r w:rsidRPr="002D639B">
        <w:rPr>
          <w:color w:val="000000" w:themeColor="text1"/>
          <w:shd w:val="clear" w:color="auto" w:fill="FFFFFF"/>
        </w:rPr>
        <w:lastRenderedPageBreak/>
        <w:t>expenses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into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current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year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revenues</w:t>
      </w:r>
      <w:proofErr w:type="spellEnd"/>
      <w:r w:rsidRPr="002D639B">
        <w:rPr>
          <w:color w:val="000000" w:themeColor="text1"/>
          <w:shd w:val="clear" w:color="auto" w:fill="FFFFFF"/>
        </w:rPr>
        <w:t xml:space="preserve">. </w:t>
      </w:r>
      <w:proofErr w:type="spellStart"/>
      <w:r w:rsidRPr="002D639B">
        <w:rPr>
          <w:color w:val="000000" w:themeColor="text1"/>
          <w:shd w:val="clear" w:color="auto" w:fill="FFFFFF"/>
        </w:rPr>
        <w:t>Thus</w:t>
      </w:r>
      <w:proofErr w:type="spellEnd"/>
      <w:r w:rsidRPr="002D639B">
        <w:rPr>
          <w:color w:val="000000" w:themeColor="text1"/>
          <w:shd w:val="clear" w:color="auto" w:fill="FFFFFF"/>
        </w:rPr>
        <w:t>,</w:t>
      </w:r>
      <w:r w:rsidR="00E5102C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the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ratio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is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calculated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by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dividing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the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current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year's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gross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profit </w:t>
      </w:r>
      <w:proofErr w:type="spellStart"/>
      <w:r w:rsidRPr="002D639B">
        <w:rPr>
          <w:color w:val="000000" w:themeColor="text1"/>
          <w:shd w:val="clear" w:color="auto" w:fill="FFFFFF"/>
        </w:rPr>
        <w:t>by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the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previous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year's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total R&amp;D </w:t>
      </w:r>
      <w:proofErr w:type="spellStart"/>
      <w:r w:rsidRPr="002D639B">
        <w:rPr>
          <w:color w:val="000000" w:themeColor="text1"/>
          <w:shd w:val="clear" w:color="auto" w:fill="FFFFFF"/>
        </w:rPr>
        <w:t>expenditures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and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it </w:t>
      </w:r>
      <w:proofErr w:type="spellStart"/>
      <w:r w:rsidRPr="002D639B">
        <w:rPr>
          <w:color w:val="000000" w:themeColor="text1"/>
          <w:shd w:val="clear" w:color="auto" w:fill="FFFFFF"/>
        </w:rPr>
        <w:t>reveals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the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gross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profit </w:t>
      </w:r>
      <w:proofErr w:type="spellStart"/>
      <w:r w:rsidRPr="002D639B">
        <w:rPr>
          <w:color w:val="000000" w:themeColor="text1"/>
          <w:shd w:val="clear" w:color="auto" w:fill="FFFFFF"/>
        </w:rPr>
        <w:t>that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a company </w:t>
      </w:r>
      <w:proofErr w:type="spellStart"/>
      <w:r w:rsidRPr="002D639B">
        <w:rPr>
          <w:color w:val="000000" w:themeColor="text1"/>
          <w:shd w:val="clear" w:color="auto" w:fill="FFFFFF"/>
        </w:rPr>
        <w:t>realizes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from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each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dollar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of R&amp;D </w:t>
      </w:r>
      <w:proofErr w:type="spellStart"/>
      <w:r w:rsidRPr="002D639B">
        <w:rPr>
          <w:color w:val="000000" w:themeColor="text1"/>
          <w:shd w:val="clear" w:color="auto" w:fill="FFFFFF"/>
        </w:rPr>
        <w:t>expenditures</w:t>
      </w:r>
      <w:proofErr w:type="spellEnd"/>
      <w:r w:rsidRPr="002D639B">
        <w:rPr>
          <w:color w:val="000000" w:themeColor="text1"/>
          <w:shd w:val="clear" w:color="auto" w:fill="FFFFFF"/>
        </w:rPr>
        <w:t>.</w:t>
      </w:r>
    </w:p>
    <w:p w:rsidR="00DD3FB4" w:rsidRDefault="00DD3FB4" w:rsidP="007228F4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hd w:val="clear" w:color="auto" w:fill="FFFFFF"/>
        </w:rPr>
      </w:pPr>
      <w:proofErr w:type="spellStart"/>
      <w:r w:rsidRPr="002D639B">
        <w:rPr>
          <w:color w:val="000000" w:themeColor="text1"/>
          <w:shd w:val="clear" w:color="auto" w:fill="FFFFFF"/>
        </w:rPr>
        <w:t>Alti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autori (</w:t>
      </w:r>
      <w:proofErr w:type="spellStart"/>
      <w:r w:rsidRPr="003B7AF2">
        <w:rPr>
          <w:color w:val="0070C0"/>
          <w:shd w:val="clear" w:color="auto" w:fill="FFFFFF"/>
        </w:rPr>
        <w:t>Bronwyn</w:t>
      </w:r>
      <w:proofErr w:type="spellEnd"/>
      <w:r w:rsidRPr="003B7AF2">
        <w:rPr>
          <w:color w:val="0070C0"/>
          <w:shd w:val="clear" w:color="auto" w:fill="FFFFFF"/>
        </w:rPr>
        <w:t xml:space="preserve"> H. </w:t>
      </w:r>
      <w:proofErr w:type="spellStart"/>
      <w:r w:rsidRPr="003B7AF2">
        <w:rPr>
          <w:color w:val="0070C0"/>
          <w:shd w:val="clear" w:color="auto" w:fill="FFFFFF"/>
        </w:rPr>
        <w:t>Hall</w:t>
      </w:r>
      <w:proofErr w:type="spellEnd"/>
      <w:r w:rsidRPr="003B7AF2">
        <w:rPr>
          <w:color w:val="0070C0"/>
          <w:shd w:val="clear" w:color="auto" w:fill="FFFFFF"/>
        </w:rPr>
        <w:t xml:space="preserve">, Jacques </w:t>
      </w:r>
      <w:proofErr w:type="spellStart"/>
      <w:r w:rsidRPr="003B7AF2">
        <w:rPr>
          <w:color w:val="0070C0"/>
          <w:shd w:val="clear" w:color="auto" w:fill="FFFFFF"/>
        </w:rPr>
        <w:t>Mairesse</w:t>
      </w:r>
      <w:proofErr w:type="spellEnd"/>
      <w:r w:rsidRPr="003B7AF2">
        <w:rPr>
          <w:color w:val="0070C0"/>
          <w:shd w:val="clear" w:color="auto" w:fill="FFFFFF"/>
        </w:rPr>
        <w:t xml:space="preserve">, 2009 </w:t>
      </w:r>
      <w:r w:rsidR="00C20BDF" w:rsidRPr="002D639B">
        <w:rPr>
          <w:color w:val="000000" w:themeColor="text1"/>
          <w:shd w:val="clear" w:color="auto" w:fill="FFFFFF"/>
        </w:rPr>
        <w:t xml:space="preserve">) </w:t>
      </w:r>
      <w:proofErr w:type="spellStart"/>
      <w:r w:rsidRPr="002D639B">
        <w:rPr>
          <w:color w:val="000000" w:themeColor="text1"/>
        </w:rPr>
        <w:t>use</w:t>
      </w:r>
      <w:proofErr w:type="spellEnd"/>
      <w:r w:rsidRPr="002D639B">
        <w:rPr>
          <w:color w:val="000000" w:themeColor="text1"/>
        </w:rPr>
        <w:t xml:space="preserve"> in formula </w:t>
      </w:r>
      <w:proofErr w:type="spellStart"/>
      <w:r w:rsidRPr="002D639B">
        <w:rPr>
          <w:color w:val="000000" w:themeColor="text1"/>
          <w:shd w:val="clear" w:color="auto" w:fill="FFFFFF"/>
        </w:rPr>
        <w:t>operating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income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</w:t>
      </w:r>
      <w:proofErr w:type="spellStart"/>
      <w:r w:rsidRPr="002D639B">
        <w:rPr>
          <w:color w:val="000000" w:themeColor="text1"/>
          <w:shd w:val="clear" w:color="auto" w:fill="FFFFFF"/>
        </w:rPr>
        <w:t>instead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of </w:t>
      </w:r>
      <w:proofErr w:type="spellStart"/>
      <w:r w:rsidRPr="002D639B">
        <w:rPr>
          <w:color w:val="000000" w:themeColor="text1"/>
          <w:shd w:val="clear" w:color="auto" w:fill="FFFFFF"/>
        </w:rPr>
        <w:t>gross</w:t>
      </w:r>
      <w:proofErr w:type="spellEnd"/>
      <w:r w:rsidRPr="002D639B">
        <w:rPr>
          <w:color w:val="000000" w:themeColor="text1"/>
          <w:shd w:val="clear" w:color="auto" w:fill="FFFFFF"/>
        </w:rPr>
        <w:t xml:space="preserve"> profit</w:t>
      </w:r>
      <w:r w:rsidR="00C20BDF" w:rsidRPr="002D639B">
        <w:rPr>
          <w:color w:val="000000" w:themeColor="text1"/>
          <w:shd w:val="clear" w:color="auto" w:fill="FFFFFF"/>
        </w:rPr>
        <w:t>.</w:t>
      </w:r>
    </w:p>
    <w:p w:rsidR="00736C50" w:rsidRPr="002D639B" w:rsidRDefault="00736C50" w:rsidP="007228F4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hd w:val="clear" w:color="auto" w:fill="FFFFFF"/>
        </w:rPr>
      </w:pPr>
    </w:p>
    <w:p w:rsidR="00DE60EA" w:rsidRPr="007228F4" w:rsidRDefault="00DE60EA" w:rsidP="002D639B">
      <w:pPr>
        <w:pStyle w:val="NormalWeb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Strong"/>
        </w:rPr>
      </w:pPr>
      <w:r w:rsidRPr="007228F4">
        <w:rPr>
          <w:rStyle w:val="Strong"/>
        </w:rPr>
        <w:t>Date și metodologie</w:t>
      </w:r>
    </w:p>
    <w:p w:rsidR="002F01FA" w:rsidRPr="007228F4" w:rsidRDefault="00DE60EA" w:rsidP="007228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2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Cercetarea </w:t>
      </w:r>
      <w:r w:rsidR="005A46B8" w:rsidRPr="00722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fata </w:t>
      </w:r>
      <w:r w:rsidRPr="00722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are în vedere aprecierea </w:t>
      </w:r>
      <w:proofErr w:type="spellStart"/>
      <w:r w:rsidR="00A41120" w:rsidRPr="007228F4">
        <w:rPr>
          <w:rFonts w:ascii="Times New Roman" w:hAnsi="Times New Roman" w:cs="Times New Roman"/>
          <w:color w:val="000000" w:themeColor="text1"/>
          <w:sz w:val="24"/>
          <w:szCs w:val="24"/>
        </w:rPr>
        <w:t>profitabili</w:t>
      </w:r>
      <w:r w:rsidR="00735849" w:rsidRPr="007228F4">
        <w:rPr>
          <w:rFonts w:ascii="Times New Roman" w:hAnsi="Times New Roman" w:cs="Times New Roman"/>
          <w:color w:val="000000" w:themeColor="text1"/>
          <w:sz w:val="24"/>
          <w:szCs w:val="24"/>
        </w:rPr>
        <w:t>tatii</w:t>
      </w:r>
      <w:proofErr w:type="spellEnd"/>
      <w:r w:rsidR="00735849" w:rsidRPr="00722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0425" w:rsidRPr="00722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 a managementului </w:t>
      </w:r>
      <w:r w:rsidR="00A41120" w:rsidRPr="007228F4">
        <w:rPr>
          <w:rFonts w:ascii="Times New Roman" w:hAnsi="Times New Roman" w:cs="Times New Roman"/>
          <w:color w:val="000000" w:themeColor="text1"/>
          <w:sz w:val="24"/>
          <w:szCs w:val="24"/>
        </w:rPr>
        <w:t>companiilor</w:t>
      </w:r>
      <w:r w:rsidRPr="00722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1120" w:rsidRPr="007228F4">
        <w:rPr>
          <w:rFonts w:ascii="Times New Roman" w:hAnsi="Times New Roman" w:cs="Times New Roman"/>
          <w:color w:val="000000" w:themeColor="text1"/>
          <w:sz w:val="24"/>
          <w:szCs w:val="24"/>
        </w:rPr>
        <w:t>care au ca obiect de activitate fabricarea produselor farmaceutice de bază și a preparatelor farmaceutice (cod CAEN</w:t>
      </w:r>
      <w:r w:rsidR="00E51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0734" w:rsidRPr="007228F4">
        <w:rPr>
          <w:rFonts w:ascii="Times New Roman" w:hAnsi="Times New Roman" w:cs="Times New Roman"/>
          <w:color w:val="000000" w:themeColor="text1"/>
          <w:sz w:val="24"/>
          <w:szCs w:val="24"/>
        </w:rPr>
        <w:t>21: fabricarea produselor farmaceutice de bază și a preparatelor farmaceutice</w:t>
      </w:r>
      <w:r w:rsidR="00A41120" w:rsidRPr="00722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A6570C" w:rsidRPr="007228F4">
        <w:rPr>
          <w:rFonts w:ascii="Times New Roman" w:hAnsi="Times New Roman" w:cs="Times New Roman"/>
          <w:color w:val="000000" w:themeColor="text1"/>
          <w:sz w:val="24"/>
          <w:szCs w:val="24"/>
        </w:rPr>
        <w:t>lis</w:t>
      </w:r>
      <w:r w:rsidR="00A41120" w:rsidRPr="00722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tate la Bursa de Valori, </w:t>
      </w:r>
      <w:r w:rsidR="00D96340" w:rsidRPr="007228F4">
        <w:rPr>
          <w:rFonts w:ascii="Times New Roman" w:hAnsi="Times New Roman" w:cs="Times New Roman"/>
          <w:color w:val="000000" w:themeColor="text1"/>
          <w:sz w:val="24"/>
          <w:szCs w:val="24"/>
        </w:rPr>
        <w:t>sub impactul schimbă</w:t>
      </w:r>
      <w:r w:rsidR="003C5308" w:rsidRPr="007228F4">
        <w:rPr>
          <w:rFonts w:ascii="Times New Roman" w:hAnsi="Times New Roman" w:cs="Times New Roman"/>
          <w:color w:val="000000" w:themeColor="text1"/>
          <w:sz w:val="24"/>
          <w:szCs w:val="24"/>
        </w:rPr>
        <w:t>rilor in mediul de afaceri specific acestui domeniu</w:t>
      </w:r>
      <w:r w:rsidR="00327C79" w:rsidRPr="007228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E60EA" w:rsidRDefault="005A46B8" w:rsidP="0072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2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Trei companii au </w:t>
      </w:r>
      <w:proofErr w:type="spellStart"/>
      <w:r w:rsidRPr="007228F4">
        <w:rPr>
          <w:rFonts w:ascii="Times New Roman" w:hAnsi="Times New Roman" w:cs="Times New Roman"/>
          <w:color w:val="000000" w:themeColor="text1"/>
          <w:sz w:val="24"/>
          <w:szCs w:val="24"/>
        </w:rPr>
        <w:t>indepli</w:t>
      </w:r>
      <w:r w:rsidR="00CB41BA">
        <w:rPr>
          <w:rFonts w:ascii="Times New Roman" w:hAnsi="Times New Roman" w:cs="Times New Roman"/>
          <w:color w:val="000000" w:themeColor="text1"/>
          <w:sz w:val="24"/>
          <w:szCs w:val="24"/>
        </w:rPr>
        <w:t>nit</w:t>
      </w:r>
      <w:proofErr w:type="spellEnd"/>
      <w:r w:rsidR="00CB4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criteriile impuse de această</w:t>
      </w:r>
      <w:r w:rsidRPr="00722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cercetare:</w:t>
      </w:r>
      <w:r w:rsidR="00CB4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4F88" w:rsidRPr="007228F4">
        <w:rPr>
          <w:rFonts w:ascii="Times New Roman" w:hAnsi="Times New Roman" w:cs="Times New Roman"/>
          <w:sz w:val="24"/>
          <w:szCs w:val="24"/>
        </w:rPr>
        <w:t xml:space="preserve">S.C. Antibiotice S.A., S.C. </w:t>
      </w:r>
      <w:proofErr w:type="spellStart"/>
      <w:r w:rsidR="00B04F88" w:rsidRPr="007228F4">
        <w:rPr>
          <w:rFonts w:ascii="Times New Roman" w:hAnsi="Times New Roman" w:cs="Times New Roman"/>
          <w:sz w:val="24"/>
          <w:szCs w:val="24"/>
        </w:rPr>
        <w:t>Biofarm</w:t>
      </w:r>
      <w:proofErr w:type="spellEnd"/>
      <w:r w:rsidR="00B04F88" w:rsidRPr="007228F4">
        <w:rPr>
          <w:rFonts w:ascii="Times New Roman" w:hAnsi="Times New Roman" w:cs="Times New Roman"/>
          <w:sz w:val="24"/>
          <w:szCs w:val="24"/>
        </w:rPr>
        <w:t xml:space="preserve"> S.A. </w:t>
      </w:r>
      <w:r w:rsidR="00974BEE" w:rsidRPr="007228F4">
        <w:rPr>
          <w:rFonts w:ascii="Times New Roman" w:hAnsi="Times New Roman" w:cs="Times New Roman"/>
          <w:sz w:val="24"/>
          <w:szCs w:val="24"/>
        </w:rPr>
        <w:t>și</w:t>
      </w:r>
      <w:r w:rsidR="00B04F88" w:rsidRPr="007228F4">
        <w:rPr>
          <w:rFonts w:ascii="Times New Roman" w:hAnsi="Times New Roman" w:cs="Times New Roman"/>
          <w:sz w:val="24"/>
          <w:szCs w:val="24"/>
        </w:rPr>
        <w:t xml:space="preserve"> S.C. </w:t>
      </w:r>
      <w:proofErr w:type="spellStart"/>
      <w:r w:rsidR="00B04F88" w:rsidRPr="007228F4">
        <w:rPr>
          <w:rFonts w:ascii="Times New Roman" w:hAnsi="Times New Roman" w:cs="Times New Roman"/>
          <w:sz w:val="24"/>
          <w:szCs w:val="24"/>
        </w:rPr>
        <w:t>Zentiva</w:t>
      </w:r>
      <w:proofErr w:type="spellEnd"/>
      <w:r w:rsidR="00B04F88" w:rsidRPr="007228F4">
        <w:rPr>
          <w:rFonts w:ascii="Times New Roman" w:hAnsi="Times New Roman" w:cs="Times New Roman"/>
          <w:sz w:val="24"/>
          <w:szCs w:val="24"/>
        </w:rPr>
        <w:t xml:space="preserve"> S.A.</w:t>
      </w:r>
      <w:r w:rsidR="00DE60EA" w:rsidRPr="007228F4">
        <w:rPr>
          <w:rFonts w:ascii="Times New Roman" w:hAnsi="Times New Roman" w:cs="Times New Roman"/>
          <w:sz w:val="24"/>
          <w:szCs w:val="24"/>
        </w:rPr>
        <w:t xml:space="preserve"> </w:t>
      </w:r>
      <w:r w:rsidR="00CB0734" w:rsidRPr="007228F4">
        <w:rPr>
          <w:rFonts w:ascii="Times New Roman" w:hAnsi="Times New Roman" w:cs="Times New Roman"/>
          <w:sz w:val="24"/>
          <w:szCs w:val="24"/>
        </w:rPr>
        <w:t xml:space="preserve">Analiza </w:t>
      </w:r>
      <w:proofErr w:type="spellStart"/>
      <w:r w:rsidR="00CB0734" w:rsidRPr="007228F4">
        <w:rPr>
          <w:rFonts w:ascii="Times New Roman" w:hAnsi="Times New Roman" w:cs="Times New Roman"/>
          <w:sz w:val="24"/>
          <w:szCs w:val="24"/>
        </w:rPr>
        <w:t>profitabilitatii</w:t>
      </w:r>
      <w:proofErr w:type="spellEnd"/>
      <w:r w:rsidR="00CB0734" w:rsidRPr="007228F4">
        <w:rPr>
          <w:rFonts w:ascii="Times New Roman" w:hAnsi="Times New Roman" w:cs="Times New Roman"/>
          <w:sz w:val="24"/>
          <w:szCs w:val="24"/>
        </w:rPr>
        <w:t xml:space="preserve"> s-a </w:t>
      </w:r>
      <w:r w:rsidR="00CB41BA">
        <w:rPr>
          <w:rFonts w:ascii="Times New Roman" w:hAnsi="Times New Roman" w:cs="Times New Roman"/>
          <w:sz w:val="24"/>
          <w:szCs w:val="24"/>
        </w:rPr>
        <w:t>realizat</w:t>
      </w:r>
      <w:r w:rsidR="00CB0734" w:rsidRPr="007228F4">
        <w:rPr>
          <w:rFonts w:ascii="Times New Roman" w:hAnsi="Times New Roman" w:cs="Times New Roman"/>
          <w:sz w:val="24"/>
          <w:szCs w:val="24"/>
        </w:rPr>
        <w:t xml:space="preserve"> prin calculul indicatorilor </w:t>
      </w:r>
      <w:proofErr w:type="spellStart"/>
      <w:r w:rsidR="00CB0734" w:rsidRPr="007228F4">
        <w:rPr>
          <w:rFonts w:ascii="Times New Roman" w:hAnsi="Times New Roman" w:cs="Times New Roman"/>
          <w:sz w:val="24"/>
          <w:szCs w:val="24"/>
        </w:rPr>
        <w:t>mentionati</w:t>
      </w:r>
      <w:proofErr w:type="spellEnd"/>
      <w:r w:rsidR="00CB0734" w:rsidRPr="007228F4">
        <w:rPr>
          <w:rFonts w:ascii="Times New Roman" w:hAnsi="Times New Roman" w:cs="Times New Roman"/>
          <w:sz w:val="24"/>
          <w:szCs w:val="24"/>
        </w:rPr>
        <w:t xml:space="preserve"> de literatura de specialitate pentru un orizont de timp de 5 ani, 2013-2017. </w:t>
      </w:r>
    </w:p>
    <w:p w:rsidR="003B7AF2" w:rsidRPr="007228F4" w:rsidRDefault="003B7AF2" w:rsidP="007228F4">
      <w:pPr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completarea tabloului privind profitabilitatea, pentru o mai buna imagine asupra impactului mediului  </w:t>
      </w:r>
      <w:r w:rsidR="00622083">
        <w:rPr>
          <w:rFonts w:ascii="Times New Roman" w:hAnsi="Times New Roman" w:cs="Times New Roman"/>
          <w:sz w:val="24"/>
          <w:szCs w:val="24"/>
        </w:rPr>
        <w:t>in rezultatele companiei</w:t>
      </w:r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adaugat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083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="00622083">
        <w:rPr>
          <w:rFonts w:ascii="Times New Roman" w:hAnsi="Times New Roman" w:cs="Times New Roman"/>
          <w:sz w:val="24"/>
          <w:szCs w:val="24"/>
        </w:rPr>
        <w:t xml:space="preserve"> suplimentare referitoare si la alte aspecte financiare: </w:t>
      </w:r>
      <w:r w:rsidR="00622083" w:rsidRPr="00622083">
        <w:rPr>
          <w:rFonts w:ascii="Times New Roman" w:hAnsi="Times New Roman" w:cs="Times New Roman"/>
          <w:sz w:val="24"/>
          <w:szCs w:val="24"/>
        </w:rPr>
        <w:t xml:space="preserve">indicatori bursieri, structura financiara, </w:t>
      </w:r>
      <w:r w:rsidR="00CE4D09">
        <w:rPr>
          <w:rFonts w:ascii="Times New Roman" w:hAnsi="Times New Roman" w:cs="Times New Roman"/>
          <w:sz w:val="24"/>
          <w:szCs w:val="24"/>
        </w:rPr>
        <w:t xml:space="preserve">ratele de </w:t>
      </w:r>
      <w:proofErr w:type="spellStart"/>
      <w:r w:rsidR="00CE4D09">
        <w:rPr>
          <w:rFonts w:ascii="Times New Roman" w:hAnsi="Times New Roman" w:cs="Times New Roman"/>
          <w:sz w:val="24"/>
          <w:szCs w:val="24"/>
        </w:rPr>
        <w:t>finantare</w:t>
      </w:r>
      <w:proofErr w:type="spellEnd"/>
      <w:r w:rsidR="00CE4D09">
        <w:rPr>
          <w:rFonts w:ascii="Times New Roman" w:hAnsi="Times New Roman" w:cs="Times New Roman"/>
          <w:sz w:val="24"/>
          <w:szCs w:val="24"/>
        </w:rPr>
        <w:t xml:space="preserve">, </w:t>
      </w:r>
      <w:r w:rsidR="00622083" w:rsidRPr="00622083">
        <w:rPr>
          <w:rFonts w:ascii="Times New Roman" w:hAnsi="Times New Roman" w:cs="Times New Roman"/>
          <w:sz w:val="24"/>
          <w:szCs w:val="24"/>
        </w:rPr>
        <w:t>lichiditatea, solvabilitatea.</w:t>
      </w:r>
    </w:p>
    <w:p w:rsidR="007B497A" w:rsidRDefault="00181FED" w:rsidP="007228F4">
      <w:pPr>
        <w:pStyle w:val="NormalWeb"/>
        <w:spacing w:before="0" w:beforeAutospacing="0" w:after="0" w:afterAutospacing="0"/>
        <w:ind w:firstLine="567"/>
        <w:jc w:val="both"/>
      </w:pPr>
      <w:r w:rsidRPr="007228F4">
        <w:t>Informațiile</w:t>
      </w:r>
      <w:r w:rsidR="00DE60EA" w:rsidRPr="007228F4">
        <w:t xml:space="preserve"> necesare aprecierii performanței </w:t>
      </w:r>
      <w:proofErr w:type="spellStart"/>
      <w:r w:rsidR="002E1307" w:rsidRPr="007228F4">
        <w:t>economico</w:t>
      </w:r>
      <w:proofErr w:type="spellEnd"/>
      <w:r w:rsidR="002E1307" w:rsidRPr="007228F4">
        <w:t>-</w:t>
      </w:r>
      <w:r w:rsidR="00DE60EA" w:rsidRPr="007228F4">
        <w:t xml:space="preserve">financiare </w:t>
      </w:r>
      <w:r w:rsidR="00CB0734" w:rsidRPr="007228F4">
        <w:t>pr</w:t>
      </w:r>
      <w:r w:rsidR="004E0210">
        <w:t xml:space="preserve">in intermediul </w:t>
      </w:r>
      <w:r w:rsidR="00DE60EA" w:rsidRPr="007228F4">
        <w:t xml:space="preserve">au fost preluate din raportările financiare anuale </w:t>
      </w:r>
      <w:r w:rsidR="002E1307" w:rsidRPr="007228F4">
        <w:t>pentru perioada 2013-2017</w:t>
      </w:r>
      <w:r w:rsidR="00DE60EA" w:rsidRPr="007228F4">
        <w:t xml:space="preserve">, publicate pe site-urile companiilor </w:t>
      </w:r>
      <w:r w:rsidR="00B24963" w:rsidRPr="007228F4">
        <w:t xml:space="preserve">farmaceutice românești </w:t>
      </w:r>
      <w:r w:rsidR="008B083D" w:rsidRPr="007228F4">
        <w:t>(</w:t>
      </w:r>
      <w:hyperlink r:id="rId26" w:history="1">
        <w:r w:rsidR="008B083D" w:rsidRPr="007228F4">
          <w:rPr>
            <w:rStyle w:val="Hyperlink"/>
          </w:rPr>
          <w:t>www.antibiotice.ro</w:t>
        </w:r>
      </w:hyperlink>
      <w:r w:rsidR="008B083D" w:rsidRPr="007228F4">
        <w:t xml:space="preserve">, </w:t>
      </w:r>
      <w:hyperlink r:id="rId27" w:history="1">
        <w:r w:rsidR="008B083D" w:rsidRPr="007228F4">
          <w:rPr>
            <w:rStyle w:val="Hyperlink"/>
          </w:rPr>
          <w:t>www.biofarm.ro</w:t>
        </w:r>
      </w:hyperlink>
      <w:r w:rsidR="008B083D" w:rsidRPr="007228F4">
        <w:t xml:space="preserve">, </w:t>
      </w:r>
      <w:hyperlink r:id="rId28" w:history="1">
        <w:r w:rsidR="008B083D" w:rsidRPr="007228F4">
          <w:rPr>
            <w:rStyle w:val="Hyperlink"/>
          </w:rPr>
          <w:t>www.zentiva.ro</w:t>
        </w:r>
      </w:hyperlink>
      <w:r w:rsidR="00B24963" w:rsidRPr="007228F4">
        <w:t>)</w:t>
      </w:r>
      <w:r w:rsidR="00DE60EA" w:rsidRPr="007228F4">
        <w:t xml:space="preserve"> </w:t>
      </w:r>
      <w:r w:rsidR="008B083D" w:rsidRPr="007228F4">
        <w:t>și site-ul Bursei de Valori din București (</w:t>
      </w:r>
      <w:hyperlink r:id="rId29" w:tgtFrame="_blank" w:history="1">
        <w:r w:rsidR="00DE60EA" w:rsidRPr="007228F4">
          <w:rPr>
            <w:rStyle w:val="Hyperlink"/>
          </w:rPr>
          <w:t>www.bvb.ro</w:t>
        </w:r>
      </w:hyperlink>
      <w:r w:rsidR="008B083D" w:rsidRPr="007228F4">
        <w:rPr>
          <w:rStyle w:val="Hyperlink"/>
        </w:rPr>
        <w:t>)</w:t>
      </w:r>
      <w:r w:rsidR="00DE60EA" w:rsidRPr="007228F4">
        <w:t xml:space="preserve">, fiind prelucrate </w:t>
      </w:r>
      <w:r w:rsidR="00B24963" w:rsidRPr="007228F4">
        <w:t xml:space="preserve">ulterior </w:t>
      </w:r>
      <w:r w:rsidR="00DE60EA" w:rsidRPr="007228F4">
        <w:t>în programul informatic Excel.</w:t>
      </w:r>
    </w:p>
    <w:p w:rsidR="00736C50" w:rsidRDefault="00736C50" w:rsidP="007228F4">
      <w:pPr>
        <w:pStyle w:val="NormalWeb"/>
        <w:spacing w:before="0" w:beforeAutospacing="0" w:after="0" w:afterAutospacing="0"/>
        <w:ind w:firstLine="567"/>
        <w:jc w:val="both"/>
      </w:pPr>
    </w:p>
    <w:p w:rsidR="00DB26FE" w:rsidRPr="007228F4" w:rsidRDefault="00ED0425" w:rsidP="002D639B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228F4">
        <w:rPr>
          <w:rFonts w:ascii="Times New Roman" w:hAnsi="Times New Roman" w:cs="Times New Roman"/>
          <w:b/>
          <w:sz w:val="24"/>
          <w:szCs w:val="24"/>
        </w:rPr>
        <w:t>Descrierea companiilor</w:t>
      </w:r>
    </w:p>
    <w:p w:rsidR="005D1B5D" w:rsidRPr="007228F4" w:rsidRDefault="005D1B5D" w:rsidP="007228F4">
      <w:pPr>
        <w:pStyle w:val="ListParagraph"/>
        <w:tabs>
          <w:tab w:val="left" w:pos="1134"/>
        </w:tabs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228F4">
        <w:rPr>
          <w:rFonts w:ascii="Times New Roman" w:hAnsi="Times New Roman" w:cs="Times New Roman"/>
          <w:b/>
          <w:sz w:val="24"/>
          <w:szCs w:val="24"/>
        </w:rPr>
        <w:t>Compania ANTIBIOTICE</w:t>
      </w:r>
      <w:r w:rsidRPr="007228F4">
        <w:rPr>
          <w:rFonts w:ascii="Times New Roman" w:hAnsi="Times New Roman" w:cs="Times New Roman"/>
          <w:sz w:val="24"/>
          <w:szCs w:val="24"/>
        </w:rPr>
        <w:t xml:space="preserve">, </w:t>
      </w:r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principalul producător de medicamente generice din Romania, a fost fondată în decembrie 1955, ulterior fiind listată la Bursa de Valori </w:t>
      </w:r>
      <w:r w:rsidR="00A70FF7"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din </w:t>
      </w:r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București în aprilie 1997. Se distinge încă de atunci ca </w:t>
      </w:r>
      <w:r w:rsidR="00A70FF7"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fiind </w:t>
      </w:r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una dintre cele mai importante companii cu capital integral românesc.</w:t>
      </w:r>
    </w:p>
    <w:p w:rsidR="005D1B5D" w:rsidRPr="007228F4" w:rsidRDefault="005D1B5D" w:rsidP="007228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Activitatea de bază a companiei este producția de antiinfecțioase în forme solide orale, fiind și singura companie farmaceutică din Romania care divizează pulberi sterile pentru tratamente injectabile antiinfecțioase. </w:t>
      </w:r>
      <w:r w:rsidR="00BA189F"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Compania </w:t>
      </w:r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Antibiotice S.A. din Iași este lider pentru producția destinată spitalelor din Romania, având cea mai importantă cotă</w:t>
      </w:r>
      <w:r w:rsidR="00637B67"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de piață pentru produsele topice (unguente, creme, geluri) pentru piața din Romania, dezvoltând în același timp și un important segment de produse pentru sistemul cardiovascular, sistemul nervos central, dar și oncologie (</w:t>
      </w:r>
      <w:hyperlink r:id="rId30" w:history="1">
        <w:r w:rsidRPr="007228F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o-RO"/>
          </w:rPr>
          <w:t>http://bvb.ro/FinancialInstruments/Details/FinancialInstrumentsDetails.aspx?s=atb</w:t>
        </w:r>
      </w:hyperlink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).</w:t>
      </w:r>
    </w:p>
    <w:p w:rsidR="005D1B5D" w:rsidRPr="007228F4" w:rsidRDefault="005D1B5D" w:rsidP="007228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Numeroasele audituri internaționale (în versiunea europeană, cât și din partea inspectorilor de la </w:t>
      </w:r>
      <w:proofErr w:type="spellStart"/>
      <w:r w:rsidRPr="007228F4">
        <w:rPr>
          <w:rFonts w:ascii="Times New Roman" w:hAnsi="Times New Roman" w:cs="Times New Roman"/>
          <w:i/>
          <w:sz w:val="24"/>
          <w:szCs w:val="24"/>
        </w:rPr>
        <w:t>F</w:t>
      </w:r>
      <w:r w:rsidR="00637B67" w:rsidRPr="007228F4">
        <w:rPr>
          <w:rFonts w:ascii="Times New Roman" w:hAnsi="Times New Roman" w:cs="Times New Roman"/>
          <w:i/>
          <w:sz w:val="24"/>
          <w:szCs w:val="24"/>
        </w:rPr>
        <w:t>ood</w:t>
      </w:r>
      <w:proofErr w:type="spellEnd"/>
      <w:r w:rsidR="00637B67" w:rsidRPr="007228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37B67" w:rsidRPr="007228F4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637B67" w:rsidRPr="007228F4">
        <w:rPr>
          <w:rFonts w:ascii="Times New Roman" w:hAnsi="Times New Roman" w:cs="Times New Roman"/>
          <w:i/>
          <w:sz w:val="24"/>
          <w:szCs w:val="24"/>
        </w:rPr>
        <w:t xml:space="preserve"> Drug </w:t>
      </w:r>
      <w:proofErr w:type="spellStart"/>
      <w:r w:rsidR="00637B67" w:rsidRPr="007228F4">
        <w:rPr>
          <w:rFonts w:ascii="Times New Roman" w:hAnsi="Times New Roman" w:cs="Times New Roman"/>
          <w:i/>
          <w:sz w:val="24"/>
          <w:szCs w:val="24"/>
        </w:rPr>
        <w:t>Alimentation</w:t>
      </w:r>
      <w:proofErr w:type="spellEnd"/>
      <w:r w:rsidRPr="007228F4">
        <w:rPr>
          <w:rFonts w:ascii="Times New Roman" w:hAnsi="Times New Roman" w:cs="Times New Roman"/>
          <w:sz w:val="24"/>
          <w:szCs w:val="24"/>
        </w:rPr>
        <w:t>, autoritatea S.U.A. din domeniul medicamentelor și al produselor alimentare</w:t>
      </w:r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) (</w:t>
      </w:r>
      <w:hyperlink r:id="rId31" w:history="1">
        <w:r w:rsidRPr="007228F4">
          <w:rPr>
            <w:rStyle w:val="Hyperlink"/>
            <w:rFonts w:ascii="Times New Roman" w:hAnsi="Times New Roman" w:cs="Times New Roman"/>
            <w:sz w:val="24"/>
            <w:szCs w:val="24"/>
          </w:rPr>
          <w:t>http://www.economica.net/antibiotice-iasi-va-creste-exporturile-in-sua-firma-vinde-de-4-ori-mai-mult-ca-in-2007_44323.html</w:t>
        </w:r>
      </w:hyperlink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), care vin mereu să certifice sistemul bunelor practici de fabricație</w:t>
      </w:r>
      <w:r w:rsidRPr="007228F4">
        <w:rPr>
          <w:rFonts w:ascii="Times New Roman" w:hAnsi="Times New Roman" w:cs="Times New Roman"/>
          <w:sz w:val="24"/>
          <w:szCs w:val="24"/>
        </w:rPr>
        <w:t xml:space="preserve">, </w:t>
      </w:r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au permis companiei să dezvolte parteneriate solide în peste 80 de țări din lume, aproximativ 30% din cifra de afaceri fiind realizată pe piața internațională. De asemenea, compania Antibiotice a devenit în ultimii ani lider mondial pentru produsul </w:t>
      </w:r>
      <w:proofErr w:type="spellStart"/>
      <w:r w:rsidRPr="007228F4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Nistatină</w:t>
      </w:r>
      <w:proofErr w:type="spellEnd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, produs ce este vândut pe toate continentele lumii.</w:t>
      </w:r>
    </w:p>
    <w:p w:rsidR="005D1B5D" w:rsidRPr="007228F4" w:rsidRDefault="00F76578" w:rsidP="0072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28F4">
        <w:rPr>
          <w:rFonts w:ascii="Times New Roman" w:hAnsi="Times New Roman" w:cs="Times New Roman"/>
          <w:sz w:val="24"/>
          <w:szCs w:val="24"/>
        </w:rPr>
        <w:t>Acț</w:t>
      </w:r>
      <w:r w:rsidR="007821DE" w:rsidRPr="007228F4">
        <w:rPr>
          <w:rFonts w:ascii="Times New Roman" w:hAnsi="Times New Roman" w:cs="Times New Roman"/>
          <w:sz w:val="24"/>
          <w:szCs w:val="24"/>
        </w:rPr>
        <w:t>ionar</w:t>
      </w:r>
      <w:r w:rsidRPr="007228F4">
        <w:rPr>
          <w:rFonts w:ascii="Times New Roman" w:hAnsi="Times New Roman" w:cs="Times New Roman"/>
          <w:sz w:val="24"/>
          <w:szCs w:val="24"/>
        </w:rPr>
        <w:t xml:space="preserve">ii principali ai </w:t>
      </w:r>
      <w:r w:rsidR="004E0514" w:rsidRPr="007228F4">
        <w:rPr>
          <w:rFonts w:ascii="Times New Roman" w:hAnsi="Times New Roman" w:cs="Times New Roman"/>
          <w:sz w:val="24"/>
          <w:szCs w:val="24"/>
        </w:rPr>
        <w:t xml:space="preserve">companiei </w:t>
      </w:r>
      <w:r w:rsidRPr="007228F4">
        <w:rPr>
          <w:rFonts w:ascii="Times New Roman" w:hAnsi="Times New Roman" w:cs="Times New Roman"/>
          <w:sz w:val="24"/>
          <w:szCs w:val="24"/>
        </w:rPr>
        <w:t>Antibiotice sunt Statul Român, cu o participaț</w:t>
      </w:r>
      <w:r w:rsidR="007821DE" w:rsidRPr="007228F4">
        <w:rPr>
          <w:rFonts w:ascii="Times New Roman" w:hAnsi="Times New Roman" w:cs="Times New Roman"/>
          <w:sz w:val="24"/>
          <w:szCs w:val="24"/>
        </w:rPr>
        <w:t xml:space="preserve">ie de 53,02% din capitalul social, </w:t>
      </w:r>
      <w:r w:rsidRPr="007228F4">
        <w:rPr>
          <w:rFonts w:ascii="Times New Roman" w:hAnsi="Times New Roman" w:cs="Times New Roman"/>
          <w:sz w:val="24"/>
          <w:szCs w:val="24"/>
        </w:rPr>
        <w:t>și SIF Oltenia, cu o participaț</w:t>
      </w:r>
      <w:r w:rsidR="007821DE" w:rsidRPr="007228F4">
        <w:rPr>
          <w:rFonts w:ascii="Times New Roman" w:hAnsi="Times New Roman" w:cs="Times New Roman"/>
          <w:sz w:val="24"/>
          <w:szCs w:val="24"/>
        </w:rPr>
        <w:t>ie d</w:t>
      </w:r>
      <w:r w:rsidRPr="007228F4">
        <w:rPr>
          <w:rFonts w:ascii="Times New Roman" w:hAnsi="Times New Roman" w:cs="Times New Roman"/>
          <w:sz w:val="24"/>
          <w:szCs w:val="24"/>
        </w:rPr>
        <w:t>e 13,76% din capitalul social. Î</w:t>
      </w:r>
      <w:r w:rsidR="007821DE" w:rsidRPr="007228F4">
        <w:rPr>
          <w:rFonts w:ascii="Times New Roman" w:hAnsi="Times New Roman" w:cs="Times New Roman"/>
          <w:sz w:val="24"/>
          <w:szCs w:val="24"/>
        </w:rPr>
        <w:t>n ultimii ani, se</w:t>
      </w:r>
      <w:r w:rsidR="00C66A09" w:rsidRPr="007228F4">
        <w:rPr>
          <w:rFonts w:ascii="Times New Roman" w:hAnsi="Times New Roman" w:cs="Times New Roman"/>
          <w:sz w:val="24"/>
          <w:szCs w:val="24"/>
        </w:rPr>
        <w:t xml:space="preserve"> remarcă</w:t>
      </w:r>
      <w:r w:rsidRPr="007228F4">
        <w:rPr>
          <w:rFonts w:ascii="Times New Roman" w:hAnsi="Times New Roman" w:cs="Times New Roman"/>
          <w:sz w:val="24"/>
          <w:szCs w:val="24"/>
        </w:rPr>
        <w:t xml:space="preserve"> consolidarea participației de că</w:t>
      </w:r>
      <w:r w:rsidR="007821DE" w:rsidRPr="007228F4">
        <w:rPr>
          <w:rFonts w:ascii="Times New Roman" w:hAnsi="Times New Roman" w:cs="Times New Roman"/>
          <w:sz w:val="24"/>
          <w:szCs w:val="24"/>
        </w:rPr>
        <w:t>tre SIF Oltenia, prin mai</w:t>
      </w:r>
      <w:r w:rsidRPr="007228F4">
        <w:rPr>
          <w:rFonts w:ascii="Times New Roman" w:hAnsi="Times New Roman" w:cs="Times New Roman"/>
          <w:sz w:val="24"/>
          <w:szCs w:val="24"/>
        </w:rPr>
        <w:t xml:space="preserve"> multe achiziț</w:t>
      </w:r>
      <w:r w:rsidR="007821DE" w:rsidRPr="007228F4">
        <w:rPr>
          <w:rFonts w:ascii="Times New Roman" w:hAnsi="Times New Roman" w:cs="Times New Roman"/>
          <w:sz w:val="24"/>
          <w:szCs w:val="24"/>
        </w:rPr>
        <w:t>ii de pachete mai mici (</w:t>
      </w:r>
      <w:hyperlink r:id="rId32" w:history="1">
        <w:r w:rsidR="007821DE" w:rsidRPr="007228F4">
          <w:rPr>
            <w:rStyle w:val="Hyperlink"/>
            <w:rFonts w:ascii="Times New Roman" w:hAnsi="Times New Roman" w:cs="Times New Roman"/>
            <w:sz w:val="24"/>
            <w:szCs w:val="24"/>
          </w:rPr>
          <w:t>https://www.investingromania.com/static/i/analysts-reports/Antibiotice-Iasi-bate-pasul-pe-loc-in-2017-2017-Apr-19-ro-(4).pdf</w:t>
        </w:r>
      </w:hyperlink>
      <w:r w:rsidR="007821DE" w:rsidRPr="007228F4">
        <w:rPr>
          <w:rFonts w:ascii="Times New Roman" w:hAnsi="Times New Roman" w:cs="Times New Roman"/>
          <w:sz w:val="24"/>
          <w:szCs w:val="24"/>
        </w:rPr>
        <w:t>).</w:t>
      </w:r>
    </w:p>
    <w:p w:rsidR="00F071FF" w:rsidRPr="007228F4" w:rsidRDefault="00F071FF" w:rsidP="0072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28F4">
        <w:rPr>
          <w:rFonts w:ascii="Times New Roman" w:hAnsi="Times New Roman" w:cs="Times New Roman"/>
          <w:sz w:val="24"/>
          <w:szCs w:val="24"/>
        </w:rPr>
        <w:t xml:space="preserve">Compania Antibiotice este o societate solidă, dezvoltată pe un fundament economic trainic, </w:t>
      </w:r>
      <w:r w:rsidR="00FD3BDA" w:rsidRPr="007228F4">
        <w:rPr>
          <w:rFonts w:ascii="Times New Roman" w:hAnsi="Times New Roman" w:cs="Times New Roman"/>
          <w:sz w:val="24"/>
          <w:szCs w:val="24"/>
        </w:rPr>
        <w:t>aspect reflectat</w:t>
      </w:r>
      <w:r w:rsidRPr="007228F4">
        <w:rPr>
          <w:rFonts w:ascii="Times New Roman" w:hAnsi="Times New Roman" w:cs="Times New Roman"/>
          <w:sz w:val="24"/>
          <w:szCs w:val="24"/>
        </w:rPr>
        <w:t xml:space="preserve"> de faptul că</w:t>
      </w:r>
      <w:r w:rsidR="00FD3BDA" w:rsidRPr="007228F4">
        <w:rPr>
          <w:rFonts w:ascii="Times New Roman" w:hAnsi="Times New Roman" w:cs="Times New Roman"/>
          <w:sz w:val="24"/>
          <w:szCs w:val="24"/>
        </w:rPr>
        <w:t xml:space="preserve"> acțiunile societății tranzacționate la Bursa de Valori din București</w:t>
      </w:r>
      <w:r w:rsidRPr="007228F4">
        <w:rPr>
          <w:rFonts w:ascii="Times New Roman" w:hAnsi="Times New Roman" w:cs="Times New Roman"/>
          <w:sz w:val="24"/>
          <w:szCs w:val="24"/>
        </w:rPr>
        <w:t>:</w:t>
      </w:r>
    </w:p>
    <w:p w:rsidR="00F071FF" w:rsidRPr="007228F4" w:rsidRDefault="00FD3BDA" w:rsidP="007228F4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28F4">
        <w:rPr>
          <w:rFonts w:ascii="Times New Roman" w:hAnsi="Times New Roman" w:cs="Times New Roman"/>
          <w:sz w:val="24"/>
          <w:szCs w:val="24"/>
        </w:rPr>
        <w:lastRenderedPageBreak/>
        <w:t>Sunt</w:t>
      </w:r>
      <w:r w:rsidR="00F071FF" w:rsidRPr="007228F4">
        <w:rPr>
          <w:rFonts w:ascii="Times New Roman" w:hAnsi="Times New Roman" w:cs="Times New Roman"/>
          <w:sz w:val="24"/>
          <w:szCs w:val="24"/>
        </w:rPr>
        <w:t xml:space="preserve"> incluse în componenta indicelui BET-Plus, care include societățile românești listate pe piața BVB care îndeplinesc criteriile minime de selecție cu excepția societăților de investiții financiare;</w:t>
      </w:r>
    </w:p>
    <w:p w:rsidR="00F071FF" w:rsidRPr="007228F4" w:rsidRDefault="00F071FF" w:rsidP="007228F4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28F4">
        <w:rPr>
          <w:rFonts w:ascii="Times New Roman" w:hAnsi="Times New Roman" w:cs="Times New Roman"/>
          <w:sz w:val="24"/>
          <w:szCs w:val="24"/>
        </w:rPr>
        <w:t>Sunt incluse în componenta indicelui BET-BK, indice care re</w:t>
      </w:r>
      <w:r w:rsidR="00C76C1D" w:rsidRPr="007228F4">
        <w:rPr>
          <w:rFonts w:ascii="Times New Roman" w:hAnsi="Times New Roman" w:cs="Times New Roman"/>
          <w:sz w:val="24"/>
          <w:szCs w:val="24"/>
        </w:rPr>
        <w:t>flectă</w:t>
      </w:r>
      <w:r w:rsidRPr="007228F4">
        <w:rPr>
          <w:rFonts w:ascii="Times New Roman" w:hAnsi="Times New Roman" w:cs="Times New Roman"/>
          <w:sz w:val="24"/>
          <w:szCs w:val="24"/>
        </w:rPr>
        <w:t xml:space="preserve"> evoluția prețurilor acțiunilor emise de companii locale și străine admise la tranzacționare pe piața reglementată administrată</w:t>
      </w:r>
      <w:r w:rsidR="00F13049" w:rsidRPr="007228F4">
        <w:rPr>
          <w:rFonts w:ascii="Times New Roman" w:hAnsi="Times New Roman" w:cs="Times New Roman"/>
          <w:sz w:val="24"/>
          <w:szCs w:val="24"/>
        </w:rPr>
        <w:t xml:space="preserve"> de BVB (</w:t>
      </w:r>
      <w:hyperlink r:id="rId33" w:history="1">
        <w:r w:rsidR="00F13049" w:rsidRPr="007228F4">
          <w:rPr>
            <w:rStyle w:val="Hyperlink"/>
            <w:rFonts w:ascii="Times New Roman" w:hAnsi="Times New Roman" w:cs="Times New Roman"/>
            <w:sz w:val="24"/>
            <w:szCs w:val="24"/>
          </w:rPr>
          <w:t>http://www.bvb.ro/infocont/infocont18/ATB_20180426171210_Raport-anual-2017.pdf</w:t>
        </w:r>
      </w:hyperlink>
      <w:r w:rsidR="00B93A50" w:rsidRPr="007228F4">
        <w:rPr>
          <w:rFonts w:ascii="Times New Roman" w:hAnsi="Times New Roman" w:cs="Times New Roman"/>
          <w:sz w:val="24"/>
          <w:szCs w:val="24"/>
        </w:rPr>
        <w:t>, p.18</w:t>
      </w:r>
      <w:r w:rsidR="00F13049" w:rsidRPr="007228F4">
        <w:rPr>
          <w:rFonts w:ascii="Times New Roman" w:hAnsi="Times New Roman" w:cs="Times New Roman"/>
          <w:sz w:val="24"/>
          <w:szCs w:val="24"/>
        </w:rPr>
        <w:t>).</w:t>
      </w:r>
    </w:p>
    <w:p w:rsidR="00F24C88" w:rsidRPr="007228F4" w:rsidRDefault="00672DE7" w:rsidP="007228F4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228F4">
        <w:rPr>
          <w:rFonts w:ascii="Times New Roman" w:hAnsi="Times New Roman" w:cs="Times New Roman"/>
          <w:b/>
          <w:sz w:val="24"/>
          <w:szCs w:val="24"/>
        </w:rPr>
        <w:t>Compania BIOFARM</w:t>
      </w:r>
      <w:r w:rsidR="003C5E70" w:rsidRPr="007228F4">
        <w:rPr>
          <w:rFonts w:ascii="Times New Roman" w:hAnsi="Times New Roman" w:cs="Times New Roman"/>
          <w:sz w:val="24"/>
          <w:szCs w:val="24"/>
        </w:rPr>
        <w:t xml:space="preserve">, </w:t>
      </w:r>
      <w:r w:rsidRPr="007228F4">
        <w:rPr>
          <w:rFonts w:ascii="Times New Roman" w:hAnsi="Times New Roman" w:cs="Times New Roman"/>
          <w:sz w:val="24"/>
          <w:szCs w:val="24"/>
        </w:rPr>
        <w:t>înființat</w:t>
      </w:r>
      <w:r w:rsidR="003C5E70" w:rsidRPr="007228F4">
        <w:rPr>
          <w:rFonts w:ascii="Times New Roman" w:hAnsi="Times New Roman" w:cs="Times New Roman"/>
          <w:sz w:val="24"/>
          <w:szCs w:val="24"/>
        </w:rPr>
        <w:t>ă</w:t>
      </w:r>
      <w:r w:rsidRPr="007228F4">
        <w:rPr>
          <w:rFonts w:ascii="Times New Roman" w:hAnsi="Times New Roman" w:cs="Times New Roman"/>
          <w:sz w:val="24"/>
          <w:szCs w:val="24"/>
        </w:rPr>
        <w:t xml:space="preserve"> î</w:t>
      </w:r>
      <w:r w:rsidR="003C5E70" w:rsidRPr="007228F4">
        <w:rPr>
          <w:rFonts w:ascii="Times New Roman" w:hAnsi="Times New Roman" w:cs="Times New Roman"/>
          <w:sz w:val="24"/>
          <w:szCs w:val="24"/>
        </w:rPr>
        <w:t>n anul 1990 prin transformarea Î</w:t>
      </w:r>
      <w:r w:rsidRPr="007228F4">
        <w:rPr>
          <w:rFonts w:ascii="Times New Roman" w:hAnsi="Times New Roman" w:cs="Times New Roman"/>
          <w:sz w:val="24"/>
          <w:szCs w:val="24"/>
        </w:rPr>
        <w:t xml:space="preserve">ntreprinderii de medicamente „BIOFARM” în S.C. BIOFARM S.A., </w:t>
      </w:r>
      <w:r w:rsidR="00BA0176" w:rsidRPr="007228F4">
        <w:rPr>
          <w:rFonts w:ascii="Times New Roman" w:hAnsi="Times New Roman" w:cs="Times New Roman"/>
          <w:sz w:val="24"/>
          <w:szCs w:val="24"/>
        </w:rPr>
        <w:t xml:space="preserve">are </w:t>
      </w:r>
      <w:r w:rsidRPr="007228F4">
        <w:rPr>
          <w:rFonts w:ascii="Times New Roman" w:hAnsi="Times New Roman" w:cs="Times New Roman"/>
          <w:sz w:val="24"/>
          <w:szCs w:val="24"/>
        </w:rPr>
        <w:t xml:space="preserve">un portofoliu competitiv de peste 200 de produse </w:t>
      </w:r>
      <w:r w:rsidR="00BA0176" w:rsidRPr="007228F4">
        <w:rPr>
          <w:rFonts w:ascii="Times New Roman" w:hAnsi="Times New Roman" w:cs="Times New Roman"/>
          <w:sz w:val="24"/>
          <w:szCs w:val="24"/>
        </w:rPr>
        <w:t>care acoperă 62 de arii terapeutice, pe 8 dintre acestea fiind lider, iar pe 3 având șanse reale de a deveni lider</w:t>
      </w:r>
      <w:r w:rsidR="00605D49" w:rsidRPr="007228F4">
        <w:rPr>
          <w:rFonts w:ascii="Times New Roman" w:hAnsi="Times New Roman" w:cs="Times New Roman"/>
          <w:sz w:val="24"/>
          <w:szCs w:val="24"/>
        </w:rPr>
        <w:t>, investind</w:t>
      </w:r>
      <w:r w:rsidRPr="007228F4">
        <w:rPr>
          <w:rFonts w:ascii="Times New Roman" w:hAnsi="Times New Roman" w:cs="Times New Roman"/>
          <w:sz w:val="24"/>
          <w:szCs w:val="24"/>
        </w:rPr>
        <w:t xml:space="preserve"> în mod continuu în campanii media, comerciale și de marketing pentru promovarea propriilor produse.</w:t>
      </w:r>
    </w:p>
    <w:p w:rsidR="00C4745F" w:rsidRPr="007228F4" w:rsidRDefault="00672DE7" w:rsidP="007228F4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228F4">
        <w:rPr>
          <w:rFonts w:ascii="Times New Roman" w:hAnsi="Times New Roman" w:cs="Times New Roman"/>
          <w:sz w:val="24"/>
          <w:szCs w:val="24"/>
        </w:rPr>
        <w:t xml:space="preserve">Având o poziție stabilă pe piața farmaceutică românească, </w:t>
      </w:r>
      <w:r w:rsidR="006C613A" w:rsidRPr="007228F4">
        <w:rPr>
          <w:rFonts w:ascii="Times New Roman" w:hAnsi="Times New Roman" w:cs="Times New Roman"/>
          <w:sz w:val="24"/>
          <w:szCs w:val="24"/>
        </w:rPr>
        <w:t xml:space="preserve">compania </w:t>
      </w:r>
      <w:proofErr w:type="spellStart"/>
      <w:r w:rsidRPr="007228F4">
        <w:rPr>
          <w:rFonts w:ascii="Times New Roman" w:hAnsi="Times New Roman" w:cs="Times New Roman"/>
          <w:sz w:val="24"/>
          <w:szCs w:val="24"/>
        </w:rPr>
        <w:t>Biofarm</w:t>
      </w:r>
      <w:proofErr w:type="spellEnd"/>
      <w:r w:rsidRPr="007228F4">
        <w:rPr>
          <w:rFonts w:ascii="Times New Roman" w:hAnsi="Times New Roman" w:cs="Times New Roman"/>
          <w:sz w:val="24"/>
          <w:szCs w:val="24"/>
        </w:rPr>
        <w:t xml:space="preserve"> urmărește să își îmbunătățească poz</w:t>
      </w:r>
      <w:r w:rsidR="00F24C88" w:rsidRPr="007228F4">
        <w:rPr>
          <w:rFonts w:ascii="Times New Roman" w:hAnsi="Times New Roman" w:cs="Times New Roman"/>
          <w:sz w:val="24"/>
          <w:szCs w:val="24"/>
        </w:rPr>
        <w:t>iția și în arena internațională.</w:t>
      </w:r>
      <w:r w:rsidR="00AA04E2" w:rsidRPr="007228F4">
        <w:rPr>
          <w:rFonts w:ascii="Times New Roman" w:hAnsi="Times New Roman" w:cs="Times New Roman"/>
          <w:sz w:val="24"/>
          <w:szCs w:val="24"/>
        </w:rPr>
        <w:t>), în momentul de față fiind</w:t>
      </w:r>
      <w:r w:rsidR="00F24C88" w:rsidRPr="007228F4">
        <w:rPr>
          <w:rFonts w:ascii="Times New Roman" w:hAnsi="Times New Roman" w:cs="Times New Roman"/>
          <w:sz w:val="24"/>
          <w:szCs w:val="24"/>
        </w:rPr>
        <w:t xml:space="preserve"> prezentă î</w:t>
      </w:r>
      <w:r w:rsidR="00AA04E2" w:rsidRPr="007228F4">
        <w:rPr>
          <w:rFonts w:ascii="Times New Roman" w:hAnsi="Times New Roman" w:cs="Times New Roman"/>
          <w:sz w:val="24"/>
          <w:szCs w:val="24"/>
        </w:rPr>
        <w:t>n 12 țări</w:t>
      </w:r>
      <w:r w:rsidR="00C4745F" w:rsidRPr="007228F4">
        <w:rPr>
          <w:rFonts w:ascii="Times New Roman" w:hAnsi="Times New Roman" w:cs="Times New Roman"/>
          <w:sz w:val="24"/>
          <w:szCs w:val="24"/>
        </w:rPr>
        <w:t xml:space="preserve"> (</w:t>
      </w:r>
      <w:hyperlink r:id="rId34" w:history="1">
        <w:r w:rsidR="00C4745F" w:rsidRPr="007228F4">
          <w:rPr>
            <w:rStyle w:val="Hyperlink"/>
            <w:rFonts w:ascii="Times New Roman" w:hAnsi="Times New Roman" w:cs="Times New Roman"/>
            <w:sz w:val="24"/>
            <w:szCs w:val="24"/>
          </w:rPr>
          <w:t>http://bvb.ro/FinancialInstruments/Details/FinancialInstrumentsDetails.aspx?s=bio</w:t>
        </w:r>
      </w:hyperlink>
      <w:r w:rsidR="00F24C88" w:rsidRPr="007228F4">
        <w:rPr>
          <w:rFonts w:ascii="Times New Roman" w:hAnsi="Times New Roman" w:cs="Times New Roman"/>
          <w:sz w:val="24"/>
          <w:szCs w:val="24"/>
        </w:rPr>
        <w:t>.</w:t>
      </w:r>
    </w:p>
    <w:p w:rsidR="00F24C88" w:rsidRPr="007228F4" w:rsidRDefault="00F24C88" w:rsidP="007228F4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228F4">
        <w:rPr>
          <w:rFonts w:ascii="Times New Roman" w:hAnsi="Times New Roman" w:cs="Times New Roman"/>
          <w:sz w:val="24"/>
          <w:szCs w:val="24"/>
        </w:rPr>
        <w:t>Lansarea de noi produse și îmbunătățirea portofoliului sunt puncte cheie ale strategiei de dezvoltare a companiei. Pentru a-și îmbunătăți poziția atât pe piața internă</w:t>
      </w:r>
      <w:r w:rsidR="005039A3" w:rsidRPr="007228F4">
        <w:rPr>
          <w:rFonts w:ascii="Times New Roman" w:hAnsi="Times New Roman" w:cs="Times New Roman"/>
          <w:sz w:val="24"/>
          <w:szCs w:val="24"/>
        </w:rPr>
        <w:t xml:space="preserve"> (i</w:t>
      </w:r>
      <w:r w:rsidR="005039A3" w:rsidRPr="007228F4">
        <w:rPr>
          <w:rFonts w:ascii="Times New Roman" w:hAnsi="Times New Roman" w:cs="Times New Roman"/>
          <w:sz w:val="24"/>
          <w:szCs w:val="20"/>
        </w:rPr>
        <w:t xml:space="preserve">n cursul anului 2017, </w:t>
      </w:r>
      <w:proofErr w:type="spellStart"/>
      <w:r w:rsidR="005039A3" w:rsidRPr="007228F4">
        <w:rPr>
          <w:rFonts w:ascii="Times New Roman" w:hAnsi="Times New Roman" w:cs="Times New Roman"/>
          <w:sz w:val="24"/>
          <w:szCs w:val="20"/>
        </w:rPr>
        <w:t>Biofarm</w:t>
      </w:r>
      <w:proofErr w:type="spellEnd"/>
      <w:r w:rsidR="005039A3" w:rsidRPr="007228F4">
        <w:rPr>
          <w:rFonts w:ascii="Times New Roman" w:hAnsi="Times New Roman" w:cs="Times New Roman"/>
          <w:sz w:val="24"/>
          <w:szCs w:val="20"/>
        </w:rPr>
        <w:t xml:space="preserve"> și-a păstrat poziția între primii 10 producători români din punct de vedere al vânzărilor în unități comerciale, realizând o cotă de piață de aproximativ 75% din totalul unităților vândute către pacienți de pe piața farmaceutică românească)</w:t>
      </w:r>
      <w:r w:rsidRPr="007228F4">
        <w:rPr>
          <w:rFonts w:ascii="Times New Roman" w:hAnsi="Times New Roman" w:cs="Times New Roman"/>
          <w:sz w:val="24"/>
          <w:szCs w:val="24"/>
        </w:rPr>
        <w:t xml:space="preserve">, cât și pe cea internațională, </w:t>
      </w:r>
      <w:proofErr w:type="spellStart"/>
      <w:r w:rsidRPr="007228F4">
        <w:rPr>
          <w:rFonts w:ascii="Times New Roman" w:hAnsi="Times New Roman" w:cs="Times New Roman"/>
          <w:sz w:val="24"/>
          <w:szCs w:val="24"/>
        </w:rPr>
        <w:t>Biofarm</w:t>
      </w:r>
      <w:proofErr w:type="spellEnd"/>
      <w:r w:rsidRPr="007228F4">
        <w:rPr>
          <w:rFonts w:ascii="Times New Roman" w:hAnsi="Times New Roman" w:cs="Times New Roman"/>
          <w:sz w:val="24"/>
          <w:szCs w:val="24"/>
        </w:rPr>
        <w:t xml:space="preserve"> va dezvolta și lansa aproximativ 10 produse în fiecare an.</w:t>
      </w:r>
    </w:p>
    <w:p w:rsidR="004E0514" w:rsidRPr="007228F4" w:rsidRDefault="004E0514" w:rsidP="007228F4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228F4">
        <w:rPr>
          <w:rFonts w:ascii="Times New Roman" w:hAnsi="Times New Roman" w:cs="Times New Roman"/>
          <w:sz w:val="24"/>
          <w:szCs w:val="24"/>
        </w:rPr>
        <w:t xml:space="preserve">Acționarii principali ai </w:t>
      </w:r>
      <w:proofErr w:type="spellStart"/>
      <w:r w:rsidRPr="007228F4">
        <w:rPr>
          <w:rFonts w:ascii="Times New Roman" w:hAnsi="Times New Roman" w:cs="Times New Roman"/>
          <w:sz w:val="24"/>
          <w:szCs w:val="24"/>
        </w:rPr>
        <w:t>Biofarm</w:t>
      </w:r>
      <w:proofErr w:type="spellEnd"/>
      <w:r w:rsidRPr="007228F4">
        <w:rPr>
          <w:rFonts w:ascii="Times New Roman" w:hAnsi="Times New Roman" w:cs="Times New Roman"/>
          <w:sz w:val="24"/>
          <w:szCs w:val="24"/>
        </w:rPr>
        <w:t xml:space="preserve"> sunt SIF Muntenia (50,98%), urmată de SIF Banat-Crișana (23,22%), SIF Moldova (13,62%) și alți acționari minoritari persoane fizice și juridice (aproximativ 12%)</w:t>
      </w:r>
      <w:r w:rsidR="005B7861" w:rsidRPr="007228F4">
        <w:rPr>
          <w:rFonts w:ascii="Times New Roman" w:hAnsi="Times New Roman" w:cs="Times New Roman"/>
          <w:sz w:val="24"/>
          <w:szCs w:val="24"/>
        </w:rPr>
        <w:t xml:space="preserve"> (</w:t>
      </w:r>
      <w:hyperlink r:id="rId35" w:history="1">
        <w:r w:rsidR="005B7861" w:rsidRPr="007228F4">
          <w:rPr>
            <w:rStyle w:val="Hyperlink"/>
            <w:rFonts w:ascii="Times New Roman" w:hAnsi="Times New Roman" w:cs="Times New Roman"/>
            <w:sz w:val="24"/>
            <w:szCs w:val="24"/>
          </w:rPr>
          <w:t>http://www.bvb.ro/infocont/infocont18/BIO_20180419165954_Raportul-anual-2017.pdf</w:t>
        </w:r>
      </w:hyperlink>
      <w:r w:rsidR="00C4745F" w:rsidRPr="007228F4">
        <w:rPr>
          <w:rFonts w:ascii="Times New Roman" w:hAnsi="Times New Roman" w:cs="Times New Roman"/>
          <w:sz w:val="24"/>
          <w:szCs w:val="24"/>
        </w:rPr>
        <w:t>, p. 4</w:t>
      </w:r>
      <w:r w:rsidR="005B7861" w:rsidRPr="007228F4">
        <w:rPr>
          <w:rFonts w:ascii="Times New Roman" w:hAnsi="Times New Roman" w:cs="Times New Roman"/>
          <w:sz w:val="24"/>
          <w:szCs w:val="24"/>
        </w:rPr>
        <w:t>)</w:t>
      </w:r>
      <w:r w:rsidRPr="007228F4">
        <w:rPr>
          <w:rFonts w:ascii="Times New Roman" w:hAnsi="Times New Roman" w:cs="Times New Roman"/>
          <w:sz w:val="24"/>
          <w:szCs w:val="24"/>
        </w:rPr>
        <w:t>.</w:t>
      </w:r>
    </w:p>
    <w:p w:rsidR="001B1BE2" w:rsidRPr="007228F4" w:rsidRDefault="006C2253" w:rsidP="007228F4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228F4">
        <w:rPr>
          <w:rFonts w:ascii="Times New Roman" w:hAnsi="Times New Roman" w:cs="Times New Roman"/>
          <w:b/>
          <w:sz w:val="24"/>
          <w:szCs w:val="24"/>
        </w:rPr>
        <w:t>Compania ZENTIVA</w:t>
      </w:r>
      <w:r w:rsidR="001B1BE2" w:rsidRPr="007228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, </w:t>
      </w:r>
      <w:r w:rsidR="001B1BE2" w:rsidRPr="007228F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parte a Grupului </w:t>
      </w:r>
      <w:proofErr w:type="spellStart"/>
      <w:r w:rsidR="001B1BE2" w:rsidRPr="007228F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Sanofi</w:t>
      </w:r>
      <w:proofErr w:type="spellEnd"/>
      <w:r w:rsidR="001B1BE2"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începând cu luna martie 2009, este orientată pe dezvoltarea, producerea și comercializarea de produse farmaceutice generice moderne, de calitate și la prețuri accesibile.</w:t>
      </w:r>
    </w:p>
    <w:p w:rsidR="001B1BE2" w:rsidRPr="007228F4" w:rsidRDefault="001B1BE2" w:rsidP="007228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Cu o tradiție de peste 50 de ani pe piața autohtonă, </w:t>
      </w:r>
      <w:proofErr w:type="spellStart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Zentiva</w:t>
      </w:r>
      <w:proofErr w:type="spellEnd"/>
      <w:r w:rsidR="00840063"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7228F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este unul dintre cei mai mari producători de medicamente din Romania din punct de vedere al volumelor</w:t>
      </w:r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, desfășurându-și operațiunile industriale în cadrul fabricii din București, unitate industrială ce deține echipamente de ultimă generație, unele dintre ele unice pe piaț</w:t>
      </w:r>
      <w:r w:rsidR="00840063"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a din Româ</w:t>
      </w:r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nia precum </w:t>
      </w:r>
      <w:r w:rsidR="004E0514"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este tehnologia pe bază de </w:t>
      </w:r>
      <w:proofErr w:type="spellStart"/>
      <w:r w:rsidR="004E0514"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peleț</w:t>
      </w:r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proofErr w:type="spellEnd"/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C4745F" w:rsidRDefault="001B1BE2" w:rsidP="00722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Compania deține un </w:t>
      </w:r>
      <w:r w:rsidRPr="007228F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portofoliu complex de produse</w:t>
      </w:r>
      <w:r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, care acoperă o gamă largă de arii terapeutice</w:t>
      </w:r>
      <w:r w:rsidR="005039A3"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cu deschidere </w:t>
      </w:r>
      <w:proofErr w:type="spellStart"/>
      <w:r w:rsidR="005039A3"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catre</w:t>
      </w:r>
      <w:proofErr w:type="spellEnd"/>
      <w:r w:rsidR="005039A3"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039A3"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>piata</w:t>
      </w:r>
      <w:proofErr w:type="spellEnd"/>
      <w:r w:rsidR="005039A3" w:rsidRPr="007228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5039A3" w:rsidRPr="007228F4">
        <w:rPr>
          <w:rFonts w:ascii="Times New Roman" w:hAnsi="Times New Roman" w:cs="Times New Roman"/>
          <w:sz w:val="24"/>
          <w:szCs w:val="24"/>
        </w:rPr>
        <w:t xml:space="preserve">din Europa (Germania, Franța, Cehia, Slovacia, Rusia, etc): exportul a reprezentat 51% din planul de producție realizat in </w:t>
      </w:r>
      <w:proofErr w:type="spellStart"/>
      <w:r w:rsidR="005039A3" w:rsidRPr="007228F4">
        <w:rPr>
          <w:rFonts w:ascii="Times New Roman" w:hAnsi="Times New Roman" w:cs="Times New Roman"/>
          <w:sz w:val="24"/>
          <w:szCs w:val="24"/>
        </w:rPr>
        <w:t>unitati</w:t>
      </w:r>
      <w:proofErr w:type="spellEnd"/>
      <w:r w:rsidR="005039A3" w:rsidRPr="007228F4">
        <w:rPr>
          <w:rFonts w:ascii="Times New Roman" w:hAnsi="Times New Roman" w:cs="Times New Roman"/>
          <w:sz w:val="24"/>
          <w:szCs w:val="24"/>
        </w:rPr>
        <w:t xml:space="preserve"> comerciale si </w:t>
      </w:r>
      <w:r w:rsidR="004917DF" w:rsidRPr="007228F4">
        <w:rPr>
          <w:rFonts w:ascii="Times New Roman" w:hAnsi="Times New Roman" w:cs="Times New Roman"/>
          <w:sz w:val="24"/>
          <w:szCs w:val="24"/>
        </w:rPr>
        <w:t>43% din totalul cifrei de afaceri).</w:t>
      </w:r>
      <w:r w:rsidR="002D639B">
        <w:rPr>
          <w:rFonts w:ascii="Times New Roman" w:hAnsi="Times New Roman" w:cs="Times New Roman"/>
          <w:sz w:val="24"/>
          <w:szCs w:val="24"/>
        </w:rPr>
        <w:t xml:space="preserve"> (</w:t>
      </w:r>
      <w:hyperlink r:id="rId36" w:history="1">
        <w:r w:rsidR="002D639B" w:rsidRPr="006B1B08">
          <w:rPr>
            <w:rStyle w:val="Hyperlink"/>
            <w:rFonts w:ascii="Times New Roman" w:hAnsi="Times New Roman" w:cs="Times New Roman"/>
            <w:sz w:val="24"/>
            <w:szCs w:val="24"/>
          </w:rPr>
          <w:t>http://bvb.ro/FinancialInstruments/Details/FinancialInstrumentsDetails.aspx?s=SCD</w:t>
        </w:r>
      </w:hyperlink>
      <w:r w:rsidR="002D639B">
        <w:rPr>
          <w:rFonts w:ascii="Times New Roman" w:hAnsi="Times New Roman" w:cs="Times New Roman"/>
          <w:sz w:val="24"/>
          <w:szCs w:val="24"/>
        </w:rPr>
        <w:t>)</w:t>
      </w:r>
    </w:p>
    <w:p w:rsidR="002D639B" w:rsidRDefault="002D639B" w:rsidP="002D6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Structura sintetică a acționariatului la 31 decembrie 2017 era următoarea: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Venoma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Holdings Limited (50,98%),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Zentiva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NV (23,93%),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Sanofi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Aventis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Europe (6,68%) și alți acționari minoritari în proporție de 18,40%. (</w:t>
      </w:r>
      <w:hyperlink r:id="rId37" w:history="1">
        <w:r w:rsidRPr="004438F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o-RO"/>
          </w:rPr>
          <w:t>http://www.bvb.ro/infocont/infocont18/SCD_20180426102611_SCD-Zentiva-Raport-anual-2017.pdf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, p. 2, accesat la 1.04.2019).</w:t>
      </w:r>
    </w:p>
    <w:p w:rsidR="002D639B" w:rsidRDefault="009724B9" w:rsidP="002D6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Indicatorii </w:t>
      </w:r>
      <w:proofErr w:type="spellStart"/>
      <w:r w:rsidR="00861999">
        <w:rPr>
          <w:rFonts w:ascii="Times New Roman" w:eastAsia="Times New Roman" w:hAnsi="Times New Roman" w:cs="Times New Roman"/>
          <w:sz w:val="24"/>
          <w:szCs w:val="24"/>
          <w:lang w:eastAsia="ro-RO"/>
        </w:rPr>
        <w:t>economico</w:t>
      </w:r>
      <w:proofErr w:type="spellEnd"/>
      <w:r w:rsidR="0086199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-financiari </w:t>
      </w:r>
      <w:r w:rsidR="0085561B">
        <w:rPr>
          <w:rFonts w:ascii="Times New Roman" w:eastAsia="Times New Roman" w:hAnsi="Times New Roman" w:cs="Times New Roman"/>
          <w:sz w:val="24"/>
          <w:szCs w:val="24"/>
          <w:lang w:eastAsia="ro-RO"/>
        </w:rPr>
        <w:t>calculați la nivelul celor 3 companii supuse cercetării pentru evidențierea profitabilității și performanței financiare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sunt </w:t>
      </w:r>
      <w:r w:rsidR="004E391E">
        <w:rPr>
          <w:rFonts w:ascii="Times New Roman" w:eastAsia="Times New Roman" w:hAnsi="Times New Roman" w:cs="Times New Roman"/>
          <w:sz w:val="24"/>
          <w:szCs w:val="24"/>
          <w:lang w:eastAsia="ro-RO"/>
        </w:rPr>
        <w:t>sistematizați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tabelele următoare:</w:t>
      </w:r>
    </w:p>
    <w:p w:rsidR="009724B9" w:rsidRDefault="009724B9" w:rsidP="009724B9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724B9" w:rsidRPr="00861B7A" w:rsidRDefault="001463C8" w:rsidP="009724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Tabel</w:t>
      </w:r>
      <w:r w:rsidR="004E391E">
        <w:rPr>
          <w:rFonts w:ascii="Times New Roman" w:hAnsi="Times New Roman" w:cs="Times New Roman"/>
          <w:b/>
          <w:sz w:val="20"/>
          <w:szCs w:val="20"/>
        </w:rPr>
        <w:t xml:space="preserve"> nr. 3</w:t>
      </w:r>
      <w:r w:rsidR="009724B9" w:rsidRPr="00861B7A">
        <w:rPr>
          <w:rFonts w:ascii="Times New Roman" w:hAnsi="Times New Roman" w:cs="Times New Roman"/>
          <w:b/>
          <w:sz w:val="20"/>
          <w:szCs w:val="20"/>
        </w:rPr>
        <w:t>. Nivelul și dinamica cifrei de afaceri</w:t>
      </w:r>
    </w:p>
    <w:tbl>
      <w:tblPr>
        <w:tblW w:w="8564" w:type="dxa"/>
        <w:jc w:val="center"/>
        <w:tblLook w:val="04A0" w:firstRow="1" w:lastRow="0" w:firstColumn="1" w:lastColumn="0" w:noHBand="0" w:noVBand="1"/>
      </w:tblPr>
      <w:tblGrid>
        <w:gridCol w:w="2484"/>
        <w:gridCol w:w="1216"/>
        <w:gridCol w:w="1216"/>
        <w:gridCol w:w="1216"/>
        <w:gridCol w:w="1216"/>
        <w:gridCol w:w="1216"/>
      </w:tblGrid>
      <w:tr w:rsidR="009724B9" w:rsidRPr="00E86EAF" w:rsidTr="004203B0">
        <w:trPr>
          <w:trHeight w:val="288"/>
          <w:jc w:val="center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724B9" w:rsidRPr="00E86EAF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6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Compania</w:t>
            </w:r>
          </w:p>
        </w:tc>
        <w:tc>
          <w:tcPr>
            <w:tcW w:w="6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724B9" w:rsidRPr="00E86EAF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Perioada de analiză</w:t>
            </w:r>
          </w:p>
        </w:tc>
      </w:tr>
      <w:tr w:rsidR="009724B9" w:rsidRPr="00E86EAF" w:rsidTr="004203B0">
        <w:trPr>
          <w:trHeight w:val="288"/>
          <w:jc w:val="center"/>
        </w:trPr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724B9" w:rsidRPr="00E86EAF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724B9" w:rsidRPr="00E86EAF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6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2013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724B9" w:rsidRPr="00E86EAF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6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2014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724B9" w:rsidRPr="00E86EAF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6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724B9" w:rsidRPr="00E86EAF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6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724B9" w:rsidRPr="00E86EAF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E86E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2017</w:t>
            </w:r>
          </w:p>
        </w:tc>
      </w:tr>
      <w:tr w:rsidR="009724B9" w:rsidRPr="00E86EAF" w:rsidTr="004203B0">
        <w:trPr>
          <w:trHeight w:val="288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B9" w:rsidRPr="00E86EA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E86E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S.C. ANTIBIOTICE S.A.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E86EA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E86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318.625.015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E86EA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E86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320.058.303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E86EA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E86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331.740.206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E86EA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E86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334.990.734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E86EA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E86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337.629.448</w:t>
            </w:r>
          </w:p>
        </w:tc>
      </w:tr>
      <w:tr w:rsidR="009724B9" w:rsidRPr="00E86EAF" w:rsidTr="004203B0">
        <w:trPr>
          <w:trHeight w:val="288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E86EA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E86E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S.C. BIOFARM S.A.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E86EA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E86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119.072.518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E86EA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E86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128.508.056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E86EA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E86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149.691.393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E86EA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E86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152.304.091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E86EA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E86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170.256.235</w:t>
            </w:r>
          </w:p>
        </w:tc>
      </w:tr>
      <w:tr w:rsidR="009724B9" w:rsidRPr="00E86EAF" w:rsidTr="004203B0">
        <w:trPr>
          <w:trHeight w:val="288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E86EA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E86E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S.C. ZENTIVA S.A.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E86EA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E86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290.362.767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E86EA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E86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394.072.622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E86EA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E86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396.824.592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E86EA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E86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420.004.308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E86EA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E86E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458.377.044</w:t>
            </w:r>
          </w:p>
        </w:tc>
      </w:tr>
    </w:tbl>
    <w:p w:rsidR="004E391E" w:rsidRPr="007228F4" w:rsidRDefault="004E391E" w:rsidP="004E391E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228F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Sursa: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Elaborare</w:t>
      </w:r>
      <w:r w:rsidRPr="007228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proprie a autorilor</w:t>
      </w:r>
      <w:r w:rsidR="007866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după raportările fi</w:t>
      </w:r>
      <w:r w:rsidR="009E09FC">
        <w:rPr>
          <w:rFonts w:ascii="Times New Roman" w:hAnsi="Times New Roman" w:cs="Times New Roman"/>
          <w:color w:val="000000" w:themeColor="text1"/>
          <w:sz w:val="20"/>
          <w:szCs w:val="20"/>
        </w:rPr>
        <w:t>nanciare anuale ale companiilor</w:t>
      </w:r>
    </w:p>
    <w:p w:rsidR="009724B9" w:rsidRPr="00861B7A" w:rsidRDefault="009724B9" w:rsidP="009724B9">
      <w:pPr>
        <w:rPr>
          <w:rFonts w:ascii="Times New Roman" w:hAnsi="Times New Roman" w:cs="Times New Roman"/>
        </w:rPr>
      </w:pPr>
    </w:p>
    <w:p w:rsidR="009724B9" w:rsidRDefault="009724B9" w:rsidP="009724B9">
      <w:pPr>
        <w:jc w:val="center"/>
        <w:rPr>
          <w:rFonts w:ascii="Times New Roman" w:hAnsi="Times New Roman" w:cs="Times New Roman"/>
        </w:rPr>
      </w:pPr>
      <w:r w:rsidRPr="00861B7A">
        <w:rPr>
          <w:rFonts w:ascii="Times New Roman" w:hAnsi="Times New Roman" w:cs="Times New Roman"/>
          <w:noProof/>
          <w:lang w:eastAsia="ro-RO"/>
        </w:rPr>
        <w:lastRenderedPageBreak/>
        <w:drawing>
          <wp:inline distT="0" distB="0" distL="0" distR="0" wp14:anchorId="15668E32" wp14:editId="1A69E371">
            <wp:extent cx="4671060" cy="2433955"/>
            <wp:effectExtent l="0" t="0" r="15240" b="444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9724B9" w:rsidRPr="00861B7A" w:rsidRDefault="001463C8" w:rsidP="009724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Tabel</w:t>
      </w:r>
      <w:r w:rsidR="009724B9">
        <w:rPr>
          <w:rFonts w:ascii="Times New Roman" w:hAnsi="Times New Roman" w:cs="Times New Roman"/>
          <w:b/>
          <w:sz w:val="20"/>
          <w:szCs w:val="20"/>
        </w:rPr>
        <w:t xml:space="preserve"> nr. </w:t>
      </w:r>
      <w:r w:rsidR="0078669F">
        <w:rPr>
          <w:rFonts w:ascii="Times New Roman" w:hAnsi="Times New Roman" w:cs="Times New Roman"/>
          <w:b/>
          <w:sz w:val="20"/>
          <w:szCs w:val="20"/>
        </w:rPr>
        <w:t>4</w:t>
      </w:r>
      <w:r w:rsidR="009724B9" w:rsidRPr="00861B7A">
        <w:rPr>
          <w:rFonts w:ascii="Times New Roman" w:hAnsi="Times New Roman" w:cs="Times New Roman"/>
          <w:b/>
          <w:sz w:val="20"/>
          <w:szCs w:val="20"/>
        </w:rPr>
        <w:t>. Nivelul și dinamica EBIT</w:t>
      </w:r>
    </w:p>
    <w:tbl>
      <w:tblPr>
        <w:tblW w:w="8420" w:type="dxa"/>
        <w:jc w:val="center"/>
        <w:tblLook w:val="04A0" w:firstRow="1" w:lastRow="0" w:firstColumn="1" w:lastColumn="0" w:noHBand="0" w:noVBand="1"/>
      </w:tblPr>
      <w:tblGrid>
        <w:gridCol w:w="2484"/>
        <w:gridCol w:w="1180"/>
        <w:gridCol w:w="1180"/>
        <w:gridCol w:w="1180"/>
        <w:gridCol w:w="1180"/>
        <w:gridCol w:w="1216"/>
      </w:tblGrid>
      <w:tr w:rsidR="009724B9" w:rsidRPr="00861B7A" w:rsidTr="004203B0">
        <w:trPr>
          <w:trHeight w:val="288"/>
          <w:jc w:val="center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724B9" w:rsidRPr="00861B7A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Compania</w:t>
            </w:r>
          </w:p>
        </w:tc>
        <w:tc>
          <w:tcPr>
            <w:tcW w:w="5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724B9" w:rsidRPr="00E86EAF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Perioada de analiză</w:t>
            </w:r>
          </w:p>
        </w:tc>
      </w:tr>
      <w:tr w:rsidR="009724B9" w:rsidRPr="00861B7A" w:rsidTr="004203B0">
        <w:trPr>
          <w:trHeight w:val="288"/>
          <w:jc w:val="center"/>
        </w:trPr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724B9" w:rsidRPr="00861B7A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724B9" w:rsidRPr="00861B7A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724B9" w:rsidRPr="00861B7A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724B9" w:rsidRPr="00861B7A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724B9" w:rsidRPr="00861B7A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724B9" w:rsidRPr="00861B7A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2017</w:t>
            </w:r>
          </w:p>
        </w:tc>
      </w:tr>
      <w:tr w:rsidR="009724B9" w:rsidRPr="00861B7A" w:rsidTr="004203B0">
        <w:trPr>
          <w:trHeight w:val="288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B9" w:rsidRPr="00861B7A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S.C. ANTIBIOTICE S.A.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861B7A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37.489.730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861B7A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39.492.317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861B7A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33.532.973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861B7A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35.917.356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861B7A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36.709.260</w:t>
            </w:r>
          </w:p>
        </w:tc>
      </w:tr>
      <w:tr w:rsidR="009724B9" w:rsidRPr="00861B7A" w:rsidTr="004203B0">
        <w:trPr>
          <w:trHeight w:val="288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861B7A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S.C. BIOFARM S.A.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861B7A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29.135.855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861B7A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27.245.770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861B7A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31.749.991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861B7A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35.441.221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861B7A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42.678.027</w:t>
            </w:r>
          </w:p>
        </w:tc>
      </w:tr>
      <w:tr w:rsidR="009724B9" w:rsidRPr="00861B7A" w:rsidTr="004203B0">
        <w:trPr>
          <w:trHeight w:val="288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861B7A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S.C. ZENTIVA S.A.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861B7A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51.784.314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861B7A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64.456.563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861B7A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60.114.119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861B7A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89.467.957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861B7A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106.926.031</w:t>
            </w:r>
          </w:p>
        </w:tc>
      </w:tr>
    </w:tbl>
    <w:p w:rsidR="0078669F" w:rsidRPr="007228F4" w:rsidRDefault="0078669F" w:rsidP="0078669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228F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Sursa: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Elaborare</w:t>
      </w:r>
      <w:r w:rsidRPr="007228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proprie a autorilor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după raportările fi</w:t>
      </w:r>
      <w:r w:rsidR="009E09FC">
        <w:rPr>
          <w:rFonts w:ascii="Times New Roman" w:hAnsi="Times New Roman" w:cs="Times New Roman"/>
          <w:color w:val="000000" w:themeColor="text1"/>
          <w:sz w:val="20"/>
          <w:szCs w:val="20"/>
        </w:rPr>
        <w:t>nanciare anuale ale companiilor</w:t>
      </w:r>
    </w:p>
    <w:p w:rsidR="009724B9" w:rsidRPr="00861B7A" w:rsidRDefault="009724B9" w:rsidP="0078669F">
      <w:pPr>
        <w:rPr>
          <w:rFonts w:ascii="Times New Roman" w:hAnsi="Times New Roman" w:cs="Times New Roman"/>
        </w:rPr>
      </w:pPr>
    </w:p>
    <w:p w:rsidR="009724B9" w:rsidRPr="00861B7A" w:rsidRDefault="009724B9" w:rsidP="009724B9">
      <w:pPr>
        <w:jc w:val="center"/>
        <w:rPr>
          <w:rFonts w:ascii="Times New Roman" w:hAnsi="Times New Roman" w:cs="Times New Roman"/>
        </w:rPr>
      </w:pPr>
      <w:r w:rsidRPr="00861B7A">
        <w:rPr>
          <w:rFonts w:ascii="Times New Roman" w:hAnsi="Times New Roman" w:cs="Times New Roman"/>
          <w:noProof/>
          <w:lang w:eastAsia="ro-RO"/>
        </w:rPr>
        <w:drawing>
          <wp:inline distT="0" distB="0" distL="0" distR="0" wp14:anchorId="6B472045" wp14:editId="22ADD614">
            <wp:extent cx="4922520" cy="2393315"/>
            <wp:effectExtent l="0" t="0" r="11430" b="698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78669F" w:rsidRDefault="0078669F" w:rsidP="009724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724B9" w:rsidRPr="00861B7A" w:rsidRDefault="001463C8" w:rsidP="009724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Tabel </w:t>
      </w:r>
      <w:r w:rsidR="0078669F">
        <w:rPr>
          <w:rFonts w:ascii="Times New Roman" w:hAnsi="Times New Roman" w:cs="Times New Roman"/>
          <w:b/>
          <w:sz w:val="20"/>
          <w:szCs w:val="20"/>
        </w:rPr>
        <w:t>nr. 5</w:t>
      </w:r>
      <w:r w:rsidR="009724B9" w:rsidRPr="00861B7A">
        <w:rPr>
          <w:rFonts w:ascii="Times New Roman" w:hAnsi="Times New Roman" w:cs="Times New Roman"/>
          <w:b/>
          <w:sz w:val="20"/>
          <w:szCs w:val="20"/>
        </w:rPr>
        <w:t xml:space="preserve">. Nivelul și dinamica </w:t>
      </w:r>
      <w:r w:rsidR="009724B9">
        <w:rPr>
          <w:rFonts w:ascii="Times New Roman" w:hAnsi="Times New Roman" w:cs="Times New Roman"/>
          <w:b/>
          <w:sz w:val="20"/>
          <w:szCs w:val="20"/>
        </w:rPr>
        <w:t>profitului net</w:t>
      </w:r>
    </w:p>
    <w:tbl>
      <w:tblPr>
        <w:tblW w:w="8384" w:type="dxa"/>
        <w:jc w:val="center"/>
        <w:tblLook w:val="04A0" w:firstRow="1" w:lastRow="0" w:firstColumn="1" w:lastColumn="0" w:noHBand="0" w:noVBand="1"/>
      </w:tblPr>
      <w:tblGrid>
        <w:gridCol w:w="2484"/>
        <w:gridCol w:w="1180"/>
        <w:gridCol w:w="1180"/>
        <w:gridCol w:w="1180"/>
        <w:gridCol w:w="1180"/>
        <w:gridCol w:w="1180"/>
      </w:tblGrid>
      <w:tr w:rsidR="009724B9" w:rsidRPr="00861B7A" w:rsidTr="004203B0">
        <w:trPr>
          <w:trHeight w:val="288"/>
          <w:jc w:val="center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724B9" w:rsidRPr="00861B7A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Compania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724B9" w:rsidRPr="00E86EAF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Perioada de analiză</w:t>
            </w:r>
          </w:p>
        </w:tc>
      </w:tr>
      <w:tr w:rsidR="009724B9" w:rsidRPr="00861B7A" w:rsidTr="004203B0">
        <w:trPr>
          <w:trHeight w:val="288"/>
          <w:jc w:val="center"/>
        </w:trPr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724B9" w:rsidRPr="00861B7A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724B9" w:rsidRPr="00861B7A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724B9" w:rsidRPr="00861B7A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724B9" w:rsidRPr="00861B7A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724B9" w:rsidRPr="00861B7A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724B9" w:rsidRPr="00861B7A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2017</w:t>
            </w:r>
          </w:p>
        </w:tc>
      </w:tr>
      <w:tr w:rsidR="009724B9" w:rsidRPr="00861B7A" w:rsidTr="004203B0">
        <w:trPr>
          <w:trHeight w:val="288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B9" w:rsidRPr="00861B7A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S.C. ANTIBIOTICE S.A.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861B7A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31.380.855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861B7A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31.138.739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861B7A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27.178.823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861B7A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30.370.811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861B7A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33.558.354</w:t>
            </w:r>
          </w:p>
        </w:tc>
      </w:tr>
      <w:tr w:rsidR="009724B9" w:rsidRPr="00861B7A" w:rsidTr="004203B0">
        <w:trPr>
          <w:trHeight w:val="288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861B7A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S.C. BIOFARM S.A.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861B7A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25.581.079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861B7A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26.559.851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861B7A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27.226.492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861B7A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29.477.747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861B7A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36.027.723</w:t>
            </w:r>
          </w:p>
        </w:tc>
      </w:tr>
      <w:tr w:rsidR="009724B9" w:rsidRPr="00861B7A" w:rsidTr="004203B0">
        <w:trPr>
          <w:trHeight w:val="288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861B7A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S.C. ZENTIVA S.A.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861B7A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40.297.608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861B7A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54.242.886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861B7A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46.204.961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861B7A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73.026.646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861B7A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89.241.756</w:t>
            </w:r>
          </w:p>
        </w:tc>
      </w:tr>
    </w:tbl>
    <w:p w:rsidR="0078669F" w:rsidRPr="007228F4" w:rsidRDefault="0078669F" w:rsidP="0078669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228F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Sursa: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Elaborare</w:t>
      </w:r>
      <w:r w:rsidRPr="007228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proprie a autorilor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după raportările fi</w:t>
      </w:r>
      <w:r w:rsidR="009E09FC">
        <w:rPr>
          <w:rFonts w:ascii="Times New Roman" w:hAnsi="Times New Roman" w:cs="Times New Roman"/>
          <w:color w:val="000000" w:themeColor="text1"/>
          <w:sz w:val="20"/>
          <w:szCs w:val="20"/>
        </w:rPr>
        <w:t>nanciare anuale ale companiilor</w:t>
      </w:r>
    </w:p>
    <w:p w:rsidR="009724B9" w:rsidRDefault="009724B9" w:rsidP="0078669F">
      <w:pPr>
        <w:rPr>
          <w:rFonts w:ascii="Times New Roman" w:hAnsi="Times New Roman" w:cs="Times New Roman"/>
        </w:rPr>
      </w:pPr>
    </w:p>
    <w:p w:rsidR="009724B9" w:rsidRDefault="009724B9" w:rsidP="009724B9">
      <w:pPr>
        <w:jc w:val="center"/>
        <w:rPr>
          <w:rFonts w:ascii="Times New Roman" w:hAnsi="Times New Roman" w:cs="Times New Roman"/>
        </w:rPr>
      </w:pPr>
      <w:r>
        <w:rPr>
          <w:noProof/>
          <w:lang w:eastAsia="ro-RO"/>
        </w:rPr>
        <w:lastRenderedPageBreak/>
        <w:drawing>
          <wp:inline distT="0" distB="0" distL="0" distR="0" wp14:anchorId="01FA7D09" wp14:editId="019B657D">
            <wp:extent cx="4404360" cy="2417445"/>
            <wp:effectExtent l="0" t="0" r="15240" b="190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9724B9" w:rsidRDefault="009724B9" w:rsidP="009724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724B9" w:rsidRPr="00861B7A" w:rsidRDefault="001463C8" w:rsidP="009724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Tabel</w:t>
      </w:r>
      <w:r w:rsidR="0078669F">
        <w:rPr>
          <w:rFonts w:ascii="Times New Roman" w:hAnsi="Times New Roman" w:cs="Times New Roman"/>
          <w:b/>
          <w:sz w:val="20"/>
          <w:szCs w:val="20"/>
        </w:rPr>
        <w:t xml:space="preserve"> nr. 6</w:t>
      </w:r>
      <w:r w:rsidR="009724B9" w:rsidRPr="00861B7A">
        <w:rPr>
          <w:rFonts w:ascii="Times New Roman" w:hAnsi="Times New Roman" w:cs="Times New Roman"/>
          <w:b/>
          <w:sz w:val="20"/>
          <w:szCs w:val="20"/>
        </w:rPr>
        <w:t xml:space="preserve">. Nivelul și dinamica </w:t>
      </w:r>
      <w:r w:rsidR="009724B9">
        <w:rPr>
          <w:rFonts w:ascii="Times New Roman" w:hAnsi="Times New Roman" w:cs="Times New Roman"/>
          <w:b/>
          <w:sz w:val="20"/>
          <w:szCs w:val="20"/>
        </w:rPr>
        <w:t>ratelor de rentabilitate</w:t>
      </w:r>
    </w:p>
    <w:tbl>
      <w:tblPr>
        <w:tblW w:w="7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1072"/>
        <w:gridCol w:w="766"/>
        <w:gridCol w:w="766"/>
        <w:gridCol w:w="766"/>
        <w:gridCol w:w="766"/>
        <w:gridCol w:w="766"/>
      </w:tblGrid>
      <w:tr w:rsidR="009724B9" w:rsidRPr="00E86EAF" w:rsidTr="004203B0">
        <w:trPr>
          <w:trHeight w:val="288"/>
          <w:jc w:val="center"/>
        </w:trPr>
        <w:tc>
          <w:tcPr>
            <w:tcW w:w="2484" w:type="dxa"/>
            <w:vMerge w:val="restart"/>
            <w:shd w:val="clear" w:color="auto" w:fill="A6A6A6" w:themeFill="background1" w:themeFillShade="A6"/>
            <w:vAlign w:val="center"/>
            <w:hideMark/>
          </w:tcPr>
          <w:p w:rsidR="009724B9" w:rsidRPr="00861B7A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Compania</w:t>
            </w:r>
          </w:p>
        </w:tc>
        <w:tc>
          <w:tcPr>
            <w:tcW w:w="1072" w:type="dxa"/>
            <w:vMerge w:val="restart"/>
            <w:shd w:val="clear" w:color="auto" w:fill="A6A6A6" w:themeFill="background1" w:themeFillShade="A6"/>
            <w:vAlign w:val="center"/>
          </w:tcPr>
          <w:p w:rsidR="009724B9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Indicatori</w:t>
            </w:r>
          </w:p>
        </w:tc>
        <w:tc>
          <w:tcPr>
            <w:tcW w:w="3830" w:type="dxa"/>
            <w:gridSpan w:val="5"/>
            <w:shd w:val="clear" w:color="auto" w:fill="A6A6A6" w:themeFill="background1" w:themeFillShade="A6"/>
            <w:noWrap/>
            <w:vAlign w:val="center"/>
          </w:tcPr>
          <w:p w:rsidR="009724B9" w:rsidRPr="00E86EAF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Perioada de analiză</w:t>
            </w:r>
          </w:p>
        </w:tc>
      </w:tr>
      <w:tr w:rsidR="009724B9" w:rsidRPr="00861B7A" w:rsidTr="004203B0">
        <w:trPr>
          <w:trHeight w:val="288"/>
          <w:jc w:val="center"/>
        </w:trPr>
        <w:tc>
          <w:tcPr>
            <w:tcW w:w="2484" w:type="dxa"/>
            <w:vMerge/>
            <w:shd w:val="clear" w:color="auto" w:fill="A6A6A6" w:themeFill="background1" w:themeFillShade="A6"/>
            <w:vAlign w:val="center"/>
          </w:tcPr>
          <w:p w:rsidR="009724B9" w:rsidRPr="00861B7A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2" w:type="dxa"/>
            <w:vMerge/>
            <w:shd w:val="clear" w:color="auto" w:fill="A6A6A6" w:themeFill="background1" w:themeFillShade="A6"/>
          </w:tcPr>
          <w:p w:rsidR="009724B9" w:rsidRPr="00861B7A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766" w:type="dxa"/>
            <w:shd w:val="clear" w:color="auto" w:fill="A6A6A6" w:themeFill="background1" w:themeFillShade="A6"/>
            <w:noWrap/>
            <w:vAlign w:val="center"/>
          </w:tcPr>
          <w:p w:rsidR="009724B9" w:rsidRPr="00861B7A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2013</w:t>
            </w:r>
          </w:p>
        </w:tc>
        <w:tc>
          <w:tcPr>
            <w:tcW w:w="766" w:type="dxa"/>
            <w:shd w:val="clear" w:color="auto" w:fill="A6A6A6" w:themeFill="background1" w:themeFillShade="A6"/>
            <w:noWrap/>
            <w:vAlign w:val="center"/>
          </w:tcPr>
          <w:p w:rsidR="009724B9" w:rsidRPr="00861B7A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2014</w:t>
            </w:r>
          </w:p>
        </w:tc>
        <w:tc>
          <w:tcPr>
            <w:tcW w:w="766" w:type="dxa"/>
            <w:shd w:val="clear" w:color="auto" w:fill="A6A6A6" w:themeFill="background1" w:themeFillShade="A6"/>
            <w:noWrap/>
            <w:vAlign w:val="center"/>
          </w:tcPr>
          <w:p w:rsidR="009724B9" w:rsidRPr="00861B7A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2015</w:t>
            </w:r>
          </w:p>
        </w:tc>
        <w:tc>
          <w:tcPr>
            <w:tcW w:w="766" w:type="dxa"/>
            <w:shd w:val="clear" w:color="auto" w:fill="A6A6A6" w:themeFill="background1" w:themeFillShade="A6"/>
            <w:noWrap/>
            <w:vAlign w:val="center"/>
          </w:tcPr>
          <w:p w:rsidR="009724B9" w:rsidRPr="00861B7A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2016</w:t>
            </w:r>
          </w:p>
        </w:tc>
        <w:tc>
          <w:tcPr>
            <w:tcW w:w="766" w:type="dxa"/>
            <w:shd w:val="clear" w:color="auto" w:fill="A6A6A6" w:themeFill="background1" w:themeFillShade="A6"/>
            <w:noWrap/>
            <w:vAlign w:val="center"/>
          </w:tcPr>
          <w:p w:rsidR="009724B9" w:rsidRPr="00861B7A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2017</w:t>
            </w:r>
          </w:p>
        </w:tc>
      </w:tr>
      <w:tr w:rsidR="009724B9" w:rsidRPr="00861B7A" w:rsidTr="004203B0">
        <w:trPr>
          <w:trHeight w:val="288"/>
          <w:jc w:val="center"/>
        </w:trPr>
        <w:tc>
          <w:tcPr>
            <w:tcW w:w="2484" w:type="dxa"/>
            <w:vMerge w:val="restart"/>
            <w:shd w:val="clear" w:color="auto" w:fill="auto"/>
            <w:vAlign w:val="center"/>
            <w:hideMark/>
          </w:tcPr>
          <w:p w:rsidR="009724B9" w:rsidRPr="00861B7A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S.C. ANTIBIOTICE S.A.</w:t>
            </w:r>
          </w:p>
        </w:tc>
        <w:tc>
          <w:tcPr>
            <w:tcW w:w="1072" w:type="dxa"/>
          </w:tcPr>
          <w:p w:rsidR="009724B9" w:rsidRPr="00861B7A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ROS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9,85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9,73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8,19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9,07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9,94</w:t>
            </w:r>
          </w:p>
        </w:tc>
      </w:tr>
      <w:tr w:rsidR="009724B9" w:rsidRPr="00861B7A" w:rsidTr="004203B0">
        <w:trPr>
          <w:trHeight w:val="288"/>
          <w:jc w:val="center"/>
        </w:trPr>
        <w:tc>
          <w:tcPr>
            <w:tcW w:w="2484" w:type="dxa"/>
            <w:vMerge/>
            <w:shd w:val="clear" w:color="auto" w:fill="auto"/>
            <w:vAlign w:val="center"/>
          </w:tcPr>
          <w:p w:rsidR="009724B9" w:rsidRPr="00047F0B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2" w:type="dxa"/>
          </w:tcPr>
          <w:p w:rsidR="009724B9" w:rsidRPr="00861B7A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ROA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6,13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6,18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4,99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5,69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5,86</w:t>
            </w:r>
          </w:p>
        </w:tc>
      </w:tr>
      <w:tr w:rsidR="009724B9" w:rsidRPr="00861B7A" w:rsidTr="004203B0">
        <w:trPr>
          <w:trHeight w:val="288"/>
          <w:jc w:val="center"/>
        </w:trPr>
        <w:tc>
          <w:tcPr>
            <w:tcW w:w="2484" w:type="dxa"/>
            <w:vMerge/>
            <w:shd w:val="clear" w:color="auto" w:fill="auto"/>
            <w:vAlign w:val="center"/>
          </w:tcPr>
          <w:p w:rsidR="009724B9" w:rsidRPr="00047F0B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2" w:type="dxa"/>
          </w:tcPr>
          <w:p w:rsidR="009724B9" w:rsidRPr="00861B7A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ROE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8,55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6,92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7,42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8,05</w:t>
            </w:r>
          </w:p>
        </w:tc>
      </w:tr>
      <w:tr w:rsidR="009724B9" w:rsidRPr="00861B7A" w:rsidTr="004203B0">
        <w:trPr>
          <w:trHeight w:val="288"/>
          <w:jc w:val="center"/>
        </w:trPr>
        <w:tc>
          <w:tcPr>
            <w:tcW w:w="2484" w:type="dxa"/>
            <w:vMerge w:val="restart"/>
            <w:shd w:val="clear" w:color="auto" w:fill="auto"/>
            <w:noWrap/>
            <w:vAlign w:val="center"/>
            <w:hideMark/>
          </w:tcPr>
          <w:p w:rsidR="009724B9" w:rsidRPr="00861B7A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S.C. BIOFARM S.A.</w:t>
            </w:r>
          </w:p>
        </w:tc>
        <w:tc>
          <w:tcPr>
            <w:tcW w:w="1072" w:type="dxa"/>
          </w:tcPr>
          <w:p w:rsidR="009724B9" w:rsidRPr="00861B7A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ROS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21,48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20,67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18,19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19,35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21,16</w:t>
            </w:r>
          </w:p>
        </w:tc>
      </w:tr>
      <w:tr w:rsidR="009724B9" w:rsidRPr="00861B7A" w:rsidTr="004203B0">
        <w:trPr>
          <w:trHeight w:val="288"/>
          <w:jc w:val="center"/>
        </w:trPr>
        <w:tc>
          <w:tcPr>
            <w:tcW w:w="2484" w:type="dxa"/>
            <w:vMerge/>
            <w:shd w:val="clear" w:color="auto" w:fill="auto"/>
            <w:noWrap/>
            <w:vAlign w:val="bottom"/>
          </w:tcPr>
          <w:p w:rsidR="009724B9" w:rsidRPr="00047F0B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2" w:type="dxa"/>
          </w:tcPr>
          <w:p w:rsidR="009724B9" w:rsidRPr="00861B7A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ROA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12,15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12,74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12,61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12,40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13,91</w:t>
            </w:r>
          </w:p>
        </w:tc>
      </w:tr>
      <w:tr w:rsidR="009724B9" w:rsidRPr="00861B7A" w:rsidTr="004203B0">
        <w:trPr>
          <w:trHeight w:val="288"/>
          <w:jc w:val="center"/>
        </w:trPr>
        <w:tc>
          <w:tcPr>
            <w:tcW w:w="2484" w:type="dxa"/>
            <w:vMerge/>
            <w:shd w:val="clear" w:color="auto" w:fill="auto"/>
            <w:noWrap/>
            <w:vAlign w:val="bottom"/>
          </w:tcPr>
          <w:p w:rsidR="009724B9" w:rsidRPr="00047F0B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2" w:type="dxa"/>
          </w:tcPr>
          <w:p w:rsidR="009724B9" w:rsidRPr="00861B7A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ROE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14,54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15,73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14,95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14,95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16,65</w:t>
            </w:r>
          </w:p>
        </w:tc>
      </w:tr>
      <w:tr w:rsidR="009724B9" w:rsidRPr="00861B7A" w:rsidTr="004203B0">
        <w:trPr>
          <w:trHeight w:val="288"/>
          <w:jc w:val="center"/>
        </w:trPr>
        <w:tc>
          <w:tcPr>
            <w:tcW w:w="2484" w:type="dxa"/>
            <w:vMerge w:val="restart"/>
            <w:shd w:val="clear" w:color="auto" w:fill="auto"/>
            <w:noWrap/>
            <w:vAlign w:val="center"/>
            <w:hideMark/>
          </w:tcPr>
          <w:p w:rsidR="009724B9" w:rsidRPr="00861B7A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861B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S.C. ZENTIVA S.A.</w:t>
            </w:r>
          </w:p>
        </w:tc>
        <w:tc>
          <w:tcPr>
            <w:tcW w:w="1072" w:type="dxa"/>
          </w:tcPr>
          <w:p w:rsidR="009724B9" w:rsidRPr="00861B7A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ROS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13,88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13,76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11,64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17,39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19,47</w:t>
            </w:r>
          </w:p>
        </w:tc>
      </w:tr>
      <w:tr w:rsidR="009724B9" w:rsidRPr="00861B7A" w:rsidTr="004203B0">
        <w:trPr>
          <w:trHeight w:val="288"/>
          <w:jc w:val="center"/>
        </w:trPr>
        <w:tc>
          <w:tcPr>
            <w:tcW w:w="2484" w:type="dxa"/>
            <w:vMerge/>
            <w:shd w:val="clear" w:color="auto" w:fill="auto"/>
            <w:noWrap/>
            <w:vAlign w:val="bottom"/>
          </w:tcPr>
          <w:p w:rsidR="009724B9" w:rsidRPr="00861B7A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2" w:type="dxa"/>
          </w:tcPr>
          <w:p w:rsidR="009724B9" w:rsidRPr="00861B7A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ROA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11,19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13,96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11,94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16,59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17,95</w:t>
            </w:r>
          </w:p>
        </w:tc>
      </w:tr>
      <w:tr w:rsidR="009724B9" w:rsidRPr="00861B7A" w:rsidTr="004203B0">
        <w:trPr>
          <w:trHeight w:val="288"/>
          <w:jc w:val="center"/>
        </w:trPr>
        <w:tc>
          <w:tcPr>
            <w:tcW w:w="2484" w:type="dxa"/>
            <w:vMerge/>
            <w:shd w:val="clear" w:color="auto" w:fill="auto"/>
            <w:noWrap/>
            <w:vAlign w:val="bottom"/>
          </w:tcPr>
          <w:p w:rsidR="009724B9" w:rsidRPr="00861B7A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2" w:type="dxa"/>
          </w:tcPr>
          <w:p w:rsidR="009724B9" w:rsidRPr="00861B7A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ROE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14,81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18,28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16,94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23,88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2C3241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3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24,24</w:t>
            </w:r>
          </w:p>
        </w:tc>
      </w:tr>
    </w:tbl>
    <w:p w:rsidR="0078669F" w:rsidRPr="007228F4" w:rsidRDefault="0078669F" w:rsidP="0078669F">
      <w:pPr>
        <w:spacing w:after="0" w:line="240" w:lineRule="auto"/>
        <w:ind w:firstLine="1134"/>
        <w:jc w:val="both"/>
        <w:outlineLvl w:val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228F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Sursa: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Elaborare</w:t>
      </w:r>
      <w:r w:rsidRPr="007228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proprie a autorilor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după raportările fi</w:t>
      </w:r>
      <w:r w:rsidR="009E09FC">
        <w:rPr>
          <w:rFonts w:ascii="Times New Roman" w:hAnsi="Times New Roman" w:cs="Times New Roman"/>
          <w:color w:val="000000" w:themeColor="text1"/>
          <w:sz w:val="20"/>
          <w:szCs w:val="20"/>
        </w:rPr>
        <w:t>nanciare anuale ale companiilor</w:t>
      </w:r>
    </w:p>
    <w:p w:rsidR="009724B9" w:rsidRDefault="009724B9" w:rsidP="009724B9">
      <w:pPr>
        <w:rPr>
          <w:rFonts w:ascii="Times New Roman" w:hAnsi="Times New Roman" w:cs="Times New Roman"/>
        </w:rPr>
      </w:pPr>
    </w:p>
    <w:p w:rsidR="009724B9" w:rsidRDefault="009724B9" w:rsidP="009724B9">
      <w:pPr>
        <w:jc w:val="center"/>
        <w:rPr>
          <w:rFonts w:ascii="Times New Roman" w:hAnsi="Times New Roman" w:cs="Times New Roman"/>
        </w:rPr>
      </w:pPr>
      <w:r>
        <w:rPr>
          <w:noProof/>
          <w:lang w:eastAsia="ro-RO"/>
        </w:rPr>
        <w:drawing>
          <wp:inline distT="0" distB="0" distL="0" distR="0" wp14:anchorId="41912E20" wp14:editId="79A3578F">
            <wp:extent cx="4572000" cy="2529840"/>
            <wp:effectExtent l="0" t="0" r="0" b="381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9724B9" w:rsidRDefault="009724B9" w:rsidP="009724B9">
      <w:pPr>
        <w:jc w:val="center"/>
        <w:rPr>
          <w:rFonts w:ascii="Times New Roman" w:hAnsi="Times New Roman" w:cs="Times New Roman"/>
        </w:rPr>
      </w:pPr>
    </w:p>
    <w:p w:rsidR="009724B9" w:rsidRDefault="009724B9" w:rsidP="009724B9">
      <w:pPr>
        <w:jc w:val="center"/>
        <w:rPr>
          <w:rFonts w:ascii="Times New Roman" w:hAnsi="Times New Roman" w:cs="Times New Roman"/>
        </w:rPr>
      </w:pPr>
      <w:r>
        <w:rPr>
          <w:noProof/>
          <w:lang w:eastAsia="ro-RO"/>
        </w:rPr>
        <w:lastRenderedPageBreak/>
        <w:drawing>
          <wp:inline distT="0" distB="0" distL="0" distR="0" wp14:anchorId="0A630329" wp14:editId="137CF944">
            <wp:extent cx="4559935" cy="2689860"/>
            <wp:effectExtent l="0" t="0" r="12065" b="1524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9724B9" w:rsidRDefault="009724B9" w:rsidP="009724B9">
      <w:pPr>
        <w:jc w:val="center"/>
        <w:rPr>
          <w:rFonts w:ascii="Times New Roman" w:hAnsi="Times New Roman" w:cs="Times New Roman"/>
        </w:rPr>
      </w:pPr>
      <w:r>
        <w:rPr>
          <w:noProof/>
          <w:lang w:eastAsia="ro-RO"/>
        </w:rPr>
        <w:drawing>
          <wp:inline distT="0" distB="0" distL="0" distR="0" wp14:anchorId="3C73501D" wp14:editId="2ED53B08">
            <wp:extent cx="4572000" cy="2606040"/>
            <wp:effectExtent l="0" t="0" r="0" b="381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9724B9" w:rsidRPr="00237DF5" w:rsidRDefault="001463C8" w:rsidP="00237DF5">
      <w:pPr>
        <w:tabs>
          <w:tab w:val="left" w:pos="851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Tabel</w:t>
      </w:r>
      <w:r w:rsidR="00237DF5">
        <w:rPr>
          <w:rFonts w:ascii="Times New Roman" w:hAnsi="Times New Roman" w:cs="Times New Roman"/>
          <w:b/>
          <w:sz w:val="20"/>
          <w:szCs w:val="20"/>
        </w:rPr>
        <w:t xml:space="preserve"> nr. 7. Nivelul și dinamica indicatorilor bursieri</w:t>
      </w:r>
    </w:p>
    <w:tbl>
      <w:tblPr>
        <w:tblW w:w="10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2794"/>
        <w:gridCol w:w="1216"/>
        <w:gridCol w:w="1216"/>
        <w:gridCol w:w="1216"/>
        <w:gridCol w:w="1216"/>
        <w:gridCol w:w="1466"/>
      </w:tblGrid>
      <w:tr w:rsidR="009724B9" w:rsidRPr="00D40FC7" w:rsidTr="004203B0">
        <w:trPr>
          <w:trHeight w:val="288"/>
          <w:jc w:val="center"/>
        </w:trPr>
        <w:tc>
          <w:tcPr>
            <w:tcW w:w="1680" w:type="dxa"/>
            <w:vMerge w:val="restart"/>
            <w:shd w:val="clear" w:color="auto" w:fill="A6A6A6" w:themeFill="background1" w:themeFillShade="A6"/>
            <w:vAlign w:val="center"/>
            <w:hideMark/>
          </w:tcPr>
          <w:p w:rsidR="009724B9" w:rsidRPr="00D40FC7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D40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Compania</w:t>
            </w:r>
          </w:p>
        </w:tc>
        <w:tc>
          <w:tcPr>
            <w:tcW w:w="2794" w:type="dxa"/>
            <w:vMerge w:val="restart"/>
            <w:shd w:val="clear" w:color="auto" w:fill="A6A6A6" w:themeFill="background1" w:themeFillShade="A6"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D40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Indicatori</w:t>
            </w:r>
          </w:p>
        </w:tc>
        <w:tc>
          <w:tcPr>
            <w:tcW w:w="6330" w:type="dxa"/>
            <w:gridSpan w:val="5"/>
            <w:shd w:val="clear" w:color="auto" w:fill="A6A6A6" w:themeFill="background1" w:themeFillShade="A6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D40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Perioada de analiză</w:t>
            </w:r>
          </w:p>
        </w:tc>
      </w:tr>
      <w:tr w:rsidR="009724B9" w:rsidRPr="00D40FC7" w:rsidTr="004203B0">
        <w:trPr>
          <w:trHeight w:val="288"/>
          <w:jc w:val="center"/>
        </w:trPr>
        <w:tc>
          <w:tcPr>
            <w:tcW w:w="1680" w:type="dxa"/>
            <w:vMerge/>
            <w:shd w:val="clear" w:color="auto" w:fill="A6A6A6" w:themeFill="background1" w:themeFillShade="A6"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794" w:type="dxa"/>
            <w:vMerge/>
            <w:shd w:val="clear" w:color="auto" w:fill="A6A6A6" w:themeFill="background1" w:themeFillShade="A6"/>
          </w:tcPr>
          <w:p w:rsidR="009724B9" w:rsidRPr="00D40FC7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216" w:type="dxa"/>
            <w:shd w:val="clear" w:color="auto" w:fill="A6A6A6" w:themeFill="background1" w:themeFillShade="A6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D40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31.12.2013</w:t>
            </w:r>
          </w:p>
        </w:tc>
        <w:tc>
          <w:tcPr>
            <w:tcW w:w="1216" w:type="dxa"/>
            <w:shd w:val="clear" w:color="auto" w:fill="A6A6A6" w:themeFill="background1" w:themeFillShade="A6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D40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31.12.2014</w:t>
            </w:r>
          </w:p>
        </w:tc>
        <w:tc>
          <w:tcPr>
            <w:tcW w:w="1216" w:type="dxa"/>
            <w:shd w:val="clear" w:color="auto" w:fill="A6A6A6" w:themeFill="background1" w:themeFillShade="A6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D40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31.12.2015</w:t>
            </w:r>
          </w:p>
        </w:tc>
        <w:tc>
          <w:tcPr>
            <w:tcW w:w="1216" w:type="dxa"/>
            <w:shd w:val="clear" w:color="auto" w:fill="A6A6A6" w:themeFill="background1" w:themeFillShade="A6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D40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31.12.2016</w:t>
            </w:r>
          </w:p>
        </w:tc>
        <w:tc>
          <w:tcPr>
            <w:tcW w:w="1466" w:type="dxa"/>
            <w:shd w:val="clear" w:color="auto" w:fill="A6A6A6" w:themeFill="background1" w:themeFillShade="A6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D40F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31.12.2017</w:t>
            </w:r>
          </w:p>
        </w:tc>
      </w:tr>
      <w:tr w:rsidR="009724B9" w:rsidRPr="00D40FC7" w:rsidTr="004203B0">
        <w:trPr>
          <w:trHeight w:val="288"/>
          <w:jc w:val="center"/>
        </w:trPr>
        <w:tc>
          <w:tcPr>
            <w:tcW w:w="1680" w:type="dxa"/>
            <w:vMerge w:val="restart"/>
            <w:shd w:val="clear" w:color="auto" w:fill="auto"/>
            <w:vAlign w:val="center"/>
            <w:hideMark/>
          </w:tcPr>
          <w:p w:rsidR="009724B9" w:rsidRPr="00D40FC7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D40F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S.C.</w:t>
            </w:r>
          </w:p>
          <w:p w:rsidR="009724B9" w:rsidRPr="00D40FC7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D40F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ANTIBIOTICE</w:t>
            </w:r>
          </w:p>
          <w:p w:rsidR="009724B9" w:rsidRPr="00D40FC7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D40F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S.A.</w:t>
            </w:r>
          </w:p>
        </w:tc>
        <w:tc>
          <w:tcPr>
            <w:tcW w:w="2794" w:type="dxa"/>
            <w:vAlign w:val="center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Capitalizarea bursieră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374.606.626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392.732.753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357.151.837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349.095.781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361.179.866</w:t>
            </w:r>
          </w:p>
        </w:tc>
      </w:tr>
      <w:tr w:rsidR="009724B9" w:rsidRPr="00D40FC7" w:rsidTr="004203B0">
        <w:trPr>
          <w:trHeight w:val="359"/>
          <w:jc w:val="center"/>
        </w:trPr>
        <w:tc>
          <w:tcPr>
            <w:tcW w:w="1680" w:type="dxa"/>
            <w:vMerge/>
            <w:shd w:val="clear" w:color="auto" w:fill="auto"/>
            <w:vAlign w:val="center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794" w:type="dxa"/>
            <w:vAlign w:val="center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Evoluția (%)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104,84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90,94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97,74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103,46</w:t>
            </w:r>
          </w:p>
        </w:tc>
      </w:tr>
      <w:tr w:rsidR="009724B9" w:rsidRPr="00D40FC7" w:rsidTr="004203B0">
        <w:trPr>
          <w:trHeight w:val="288"/>
          <w:jc w:val="center"/>
        </w:trPr>
        <w:tc>
          <w:tcPr>
            <w:tcW w:w="1680" w:type="dxa"/>
            <w:vMerge/>
            <w:shd w:val="clear" w:color="auto" w:fill="auto"/>
            <w:vAlign w:val="center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794" w:type="dxa"/>
            <w:vAlign w:val="center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Capitaluri proprii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348.651.360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364.331.008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392.649.884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409.066.368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416.877.824</w:t>
            </w:r>
          </w:p>
        </w:tc>
      </w:tr>
      <w:tr w:rsidR="009724B9" w:rsidRPr="00D40FC7" w:rsidTr="004203B0">
        <w:trPr>
          <w:trHeight w:val="288"/>
          <w:jc w:val="center"/>
        </w:trPr>
        <w:tc>
          <w:tcPr>
            <w:tcW w:w="1680" w:type="dxa"/>
            <w:vMerge/>
            <w:shd w:val="clear" w:color="auto" w:fill="auto"/>
            <w:vAlign w:val="center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794" w:type="dxa"/>
            <w:vAlign w:val="center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Evoluția (%)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104,50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107,77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104,18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101,91</w:t>
            </w:r>
          </w:p>
        </w:tc>
      </w:tr>
      <w:tr w:rsidR="009724B9" w:rsidRPr="00D40FC7" w:rsidTr="004203B0">
        <w:trPr>
          <w:trHeight w:val="288"/>
          <w:jc w:val="center"/>
        </w:trPr>
        <w:tc>
          <w:tcPr>
            <w:tcW w:w="1680" w:type="dxa"/>
            <w:vMerge/>
            <w:shd w:val="clear" w:color="auto" w:fill="auto"/>
            <w:vAlign w:val="center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794" w:type="dxa"/>
            <w:vAlign w:val="center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Price </w:t>
            </w:r>
            <w:proofErr w:type="spellStart"/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earnings</w:t>
            </w:r>
            <w:proofErr w:type="spellEnd"/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ratio</w:t>
            </w:r>
            <w:proofErr w:type="spellEnd"/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11,43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12,84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11,89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</w:tr>
      <w:tr w:rsidR="009724B9" w:rsidRPr="00D40FC7" w:rsidTr="004203B0">
        <w:trPr>
          <w:trHeight w:val="288"/>
          <w:jc w:val="center"/>
        </w:trPr>
        <w:tc>
          <w:tcPr>
            <w:tcW w:w="1680" w:type="dxa"/>
            <w:vMerge/>
            <w:shd w:val="clear" w:color="auto" w:fill="auto"/>
            <w:vAlign w:val="center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794" w:type="dxa"/>
            <w:vAlign w:val="center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Evoluția (%)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90,71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112,34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92,60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82,42</w:t>
            </w:r>
          </w:p>
        </w:tc>
      </w:tr>
      <w:tr w:rsidR="009724B9" w:rsidRPr="00D40FC7" w:rsidTr="004203B0">
        <w:trPr>
          <w:trHeight w:val="288"/>
          <w:jc w:val="center"/>
        </w:trPr>
        <w:tc>
          <w:tcPr>
            <w:tcW w:w="1680" w:type="dxa"/>
            <w:vMerge/>
            <w:shd w:val="clear" w:color="auto" w:fill="auto"/>
            <w:vAlign w:val="center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794" w:type="dxa"/>
            <w:vAlign w:val="center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Randamentul dividendului (%)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3,91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4,43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7,13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5,42</w:t>
            </w:r>
          </w:p>
        </w:tc>
      </w:tr>
      <w:tr w:rsidR="009724B9" w:rsidRPr="00D40FC7" w:rsidTr="004203B0">
        <w:trPr>
          <w:trHeight w:val="288"/>
          <w:jc w:val="center"/>
        </w:trPr>
        <w:tc>
          <w:tcPr>
            <w:tcW w:w="1680" w:type="dxa"/>
            <w:vMerge/>
            <w:shd w:val="clear" w:color="auto" w:fill="auto"/>
            <w:vAlign w:val="center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794" w:type="dxa"/>
            <w:vAlign w:val="center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Evoluția (%)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113,30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90,29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178,25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76,02</w:t>
            </w:r>
          </w:p>
        </w:tc>
      </w:tr>
      <w:tr w:rsidR="009724B9" w:rsidRPr="00D40FC7" w:rsidTr="004203B0">
        <w:trPr>
          <w:trHeight w:val="288"/>
          <w:jc w:val="center"/>
        </w:trPr>
        <w:tc>
          <w:tcPr>
            <w:tcW w:w="1680" w:type="dxa"/>
            <w:vMerge w:val="restart"/>
            <w:shd w:val="clear" w:color="auto" w:fill="auto"/>
            <w:noWrap/>
            <w:vAlign w:val="center"/>
            <w:hideMark/>
          </w:tcPr>
          <w:p w:rsidR="009724B9" w:rsidRPr="00D40FC7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D40F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S.C.</w:t>
            </w:r>
          </w:p>
          <w:p w:rsidR="009724B9" w:rsidRPr="00D40FC7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D40F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BIOFARM</w:t>
            </w:r>
          </w:p>
          <w:p w:rsidR="009724B9" w:rsidRPr="00D40FC7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D40F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S.A.</w:t>
            </w:r>
          </w:p>
        </w:tc>
        <w:tc>
          <w:tcPr>
            <w:tcW w:w="2794" w:type="dxa"/>
            <w:vAlign w:val="center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Capitalizarea bursieră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330.648.173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306.670.706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277.875.849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266.051.345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287.729.602</w:t>
            </w:r>
          </w:p>
        </w:tc>
      </w:tr>
      <w:tr w:rsidR="009724B9" w:rsidRPr="00D40FC7" w:rsidTr="004203B0">
        <w:trPr>
          <w:trHeight w:val="288"/>
          <w:jc w:val="center"/>
        </w:trPr>
        <w:tc>
          <w:tcPr>
            <w:tcW w:w="1680" w:type="dxa"/>
            <w:vMerge/>
            <w:shd w:val="clear" w:color="auto" w:fill="auto"/>
            <w:noWrap/>
            <w:vAlign w:val="bottom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794" w:type="dxa"/>
            <w:vAlign w:val="center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Evoluția (%)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92,75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90,61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95,74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108,15</w:t>
            </w:r>
          </w:p>
        </w:tc>
      </w:tr>
      <w:tr w:rsidR="009724B9" w:rsidRPr="00D40FC7" w:rsidTr="004203B0">
        <w:trPr>
          <w:trHeight w:val="288"/>
          <w:jc w:val="center"/>
        </w:trPr>
        <w:tc>
          <w:tcPr>
            <w:tcW w:w="1680" w:type="dxa"/>
            <w:vMerge/>
            <w:shd w:val="clear" w:color="auto" w:fill="auto"/>
            <w:noWrap/>
            <w:vAlign w:val="bottom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794" w:type="dxa"/>
            <w:vAlign w:val="center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Capitaluri proprii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175.887.136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168.798.960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182.130.615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197.146.496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216.422.832</w:t>
            </w:r>
          </w:p>
        </w:tc>
      </w:tr>
      <w:tr w:rsidR="009724B9" w:rsidRPr="00D40FC7" w:rsidTr="004203B0">
        <w:trPr>
          <w:trHeight w:val="288"/>
          <w:jc w:val="center"/>
        </w:trPr>
        <w:tc>
          <w:tcPr>
            <w:tcW w:w="1680" w:type="dxa"/>
            <w:vMerge/>
            <w:shd w:val="clear" w:color="auto" w:fill="auto"/>
            <w:noWrap/>
            <w:vAlign w:val="bottom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794" w:type="dxa"/>
            <w:vAlign w:val="center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Evoluția (%)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95,97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107,90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108,24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109,78</w:t>
            </w:r>
          </w:p>
        </w:tc>
      </w:tr>
      <w:tr w:rsidR="009724B9" w:rsidRPr="00D40FC7" w:rsidTr="004203B0">
        <w:trPr>
          <w:trHeight w:val="288"/>
          <w:jc w:val="center"/>
        </w:trPr>
        <w:tc>
          <w:tcPr>
            <w:tcW w:w="1680" w:type="dxa"/>
            <w:vMerge/>
            <w:shd w:val="clear" w:color="auto" w:fill="auto"/>
            <w:noWrap/>
            <w:vAlign w:val="bottom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794" w:type="dxa"/>
            <w:vAlign w:val="center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Price </w:t>
            </w:r>
            <w:proofErr w:type="spellStart"/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earnings</w:t>
            </w:r>
            <w:proofErr w:type="spellEnd"/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ratio</w:t>
            </w:r>
            <w:proofErr w:type="spellEnd"/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9,33</w:t>
            </w:r>
          </w:p>
        </w:tc>
      </w:tr>
      <w:tr w:rsidR="009724B9" w:rsidRPr="00D40FC7" w:rsidTr="004203B0">
        <w:trPr>
          <w:trHeight w:val="288"/>
          <w:jc w:val="center"/>
        </w:trPr>
        <w:tc>
          <w:tcPr>
            <w:tcW w:w="1680" w:type="dxa"/>
            <w:vMerge/>
            <w:shd w:val="clear" w:color="auto" w:fill="auto"/>
            <w:noWrap/>
            <w:vAlign w:val="bottom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794" w:type="dxa"/>
            <w:vAlign w:val="center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Evoluția (%)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96,58</w:t>
            </w:r>
          </w:p>
        </w:tc>
      </w:tr>
      <w:tr w:rsidR="009724B9" w:rsidRPr="00D40FC7" w:rsidTr="004203B0">
        <w:trPr>
          <w:trHeight w:val="288"/>
          <w:jc w:val="center"/>
        </w:trPr>
        <w:tc>
          <w:tcPr>
            <w:tcW w:w="1680" w:type="dxa"/>
            <w:vMerge/>
            <w:shd w:val="clear" w:color="auto" w:fill="auto"/>
            <w:noWrap/>
            <w:vAlign w:val="bottom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794" w:type="dxa"/>
            <w:vAlign w:val="center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Randamentul dividendului (%)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5,57</w:t>
            </w:r>
          </w:p>
        </w:tc>
      </w:tr>
      <w:tr w:rsidR="009724B9" w:rsidRPr="00D40FC7" w:rsidTr="004203B0">
        <w:trPr>
          <w:trHeight w:val="288"/>
          <w:jc w:val="center"/>
        </w:trPr>
        <w:tc>
          <w:tcPr>
            <w:tcW w:w="1680" w:type="dxa"/>
            <w:vMerge/>
            <w:shd w:val="clear" w:color="auto" w:fill="auto"/>
            <w:noWrap/>
            <w:vAlign w:val="bottom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794" w:type="dxa"/>
            <w:vAlign w:val="center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Evoluția (%)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111,84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98,82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94,73</w:t>
            </w:r>
          </w:p>
        </w:tc>
      </w:tr>
      <w:tr w:rsidR="009724B9" w:rsidRPr="00D40FC7" w:rsidTr="004203B0">
        <w:trPr>
          <w:trHeight w:val="288"/>
          <w:jc w:val="center"/>
        </w:trPr>
        <w:tc>
          <w:tcPr>
            <w:tcW w:w="1680" w:type="dxa"/>
            <w:vMerge w:val="restart"/>
            <w:shd w:val="clear" w:color="auto" w:fill="auto"/>
            <w:noWrap/>
            <w:vAlign w:val="center"/>
            <w:hideMark/>
          </w:tcPr>
          <w:p w:rsidR="009724B9" w:rsidRPr="00D40FC7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D40F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lastRenderedPageBreak/>
              <w:t>S.C.</w:t>
            </w:r>
          </w:p>
          <w:p w:rsidR="009724B9" w:rsidRPr="00D40FC7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D40F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ZENTIVA</w:t>
            </w:r>
          </w:p>
          <w:p w:rsidR="009724B9" w:rsidRPr="00D40FC7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D40F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S.A.</w:t>
            </w:r>
          </w:p>
        </w:tc>
        <w:tc>
          <w:tcPr>
            <w:tcW w:w="2794" w:type="dxa"/>
            <w:vAlign w:val="center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Capitalizarea bursieră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446.148.431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659.632.539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850.600.746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813.074.243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1.434.346.356</w:t>
            </w:r>
          </w:p>
        </w:tc>
      </w:tr>
      <w:tr w:rsidR="009724B9" w:rsidRPr="00D40FC7" w:rsidTr="004203B0">
        <w:trPr>
          <w:trHeight w:val="288"/>
          <w:jc w:val="center"/>
        </w:trPr>
        <w:tc>
          <w:tcPr>
            <w:tcW w:w="1680" w:type="dxa"/>
            <w:vMerge/>
            <w:shd w:val="clear" w:color="auto" w:fill="auto"/>
            <w:noWrap/>
            <w:vAlign w:val="bottom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794" w:type="dxa"/>
            <w:vAlign w:val="center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Evoluția (%)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147,85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128,95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95,59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176,41</w:t>
            </w:r>
          </w:p>
        </w:tc>
      </w:tr>
      <w:tr w:rsidR="009724B9" w:rsidRPr="00D40FC7" w:rsidTr="004203B0">
        <w:trPr>
          <w:trHeight w:val="288"/>
          <w:jc w:val="center"/>
        </w:trPr>
        <w:tc>
          <w:tcPr>
            <w:tcW w:w="1680" w:type="dxa"/>
            <w:vMerge/>
            <w:shd w:val="clear" w:color="auto" w:fill="auto"/>
            <w:noWrap/>
            <w:vAlign w:val="bottom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794" w:type="dxa"/>
            <w:vAlign w:val="center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Capitaluri proprii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272.064.608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296.673.504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272.758.528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305.801.664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368.094.976</w:t>
            </w:r>
          </w:p>
        </w:tc>
      </w:tr>
      <w:tr w:rsidR="009724B9" w:rsidRPr="00D40FC7" w:rsidTr="004203B0">
        <w:trPr>
          <w:trHeight w:val="288"/>
          <w:jc w:val="center"/>
        </w:trPr>
        <w:tc>
          <w:tcPr>
            <w:tcW w:w="1680" w:type="dxa"/>
            <w:vMerge/>
            <w:shd w:val="clear" w:color="auto" w:fill="auto"/>
            <w:noWrap/>
            <w:vAlign w:val="bottom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794" w:type="dxa"/>
            <w:vAlign w:val="center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Evoluția (%)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120,37</w:t>
            </w:r>
          </w:p>
        </w:tc>
      </w:tr>
      <w:tr w:rsidR="009724B9" w:rsidRPr="00D40FC7" w:rsidTr="004203B0">
        <w:trPr>
          <w:trHeight w:val="288"/>
          <w:jc w:val="center"/>
        </w:trPr>
        <w:tc>
          <w:tcPr>
            <w:tcW w:w="1680" w:type="dxa"/>
            <w:vMerge/>
            <w:shd w:val="clear" w:color="auto" w:fill="auto"/>
            <w:noWrap/>
            <w:vAlign w:val="bottom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794" w:type="dxa"/>
            <w:vAlign w:val="center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Price </w:t>
            </w:r>
            <w:proofErr w:type="spellStart"/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earnings</w:t>
            </w:r>
            <w:proofErr w:type="spellEnd"/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ratio</w:t>
            </w:r>
            <w:proofErr w:type="spellEnd"/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19,62</w:t>
            </w:r>
          </w:p>
        </w:tc>
      </w:tr>
      <w:tr w:rsidR="009724B9" w:rsidRPr="00D40FC7" w:rsidTr="004203B0">
        <w:trPr>
          <w:trHeight w:val="288"/>
          <w:jc w:val="center"/>
        </w:trPr>
        <w:tc>
          <w:tcPr>
            <w:tcW w:w="1680" w:type="dxa"/>
            <w:vMerge/>
            <w:shd w:val="clear" w:color="auto" w:fill="auto"/>
            <w:noWrap/>
            <w:vAlign w:val="bottom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794" w:type="dxa"/>
            <w:vAlign w:val="center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Evoluția (%)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113,31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100,20</w:t>
            </w:r>
          </w:p>
        </w:tc>
      </w:tr>
      <w:tr w:rsidR="009724B9" w:rsidRPr="00D40FC7" w:rsidTr="004203B0">
        <w:trPr>
          <w:trHeight w:val="288"/>
          <w:jc w:val="center"/>
        </w:trPr>
        <w:tc>
          <w:tcPr>
            <w:tcW w:w="1680" w:type="dxa"/>
            <w:vMerge/>
            <w:shd w:val="clear" w:color="auto" w:fill="auto"/>
            <w:noWrap/>
            <w:vAlign w:val="bottom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794" w:type="dxa"/>
            <w:vAlign w:val="center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Randamentul dividendului (%)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724B9" w:rsidRPr="00D40FC7" w:rsidTr="004203B0">
        <w:trPr>
          <w:trHeight w:val="288"/>
          <w:jc w:val="center"/>
        </w:trPr>
        <w:tc>
          <w:tcPr>
            <w:tcW w:w="1680" w:type="dxa"/>
            <w:vMerge/>
            <w:shd w:val="clear" w:color="auto" w:fill="auto"/>
            <w:noWrap/>
            <w:vAlign w:val="bottom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794" w:type="dxa"/>
            <w:vAlign w:val="center"/>
          </w:tcPr>
          <w:p w:rsidR="009724B9" w:rsidRPr="00D40FC7" w:rsidRDefault="009724B9" w:rsidP="00420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Evoluția (%)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183,08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59,36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D40FC7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866C12" w:rsidRPr="007228F4" w:rsidRDefault="00866C12" w:rsidP="00866C1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228F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Sursa: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Elaborare</w:t>
      </w:r>
      <w:r w:rsidRPr="007228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proprie a autorilor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după raportările fi</w:t>
      </w:r>
      <w:r w:rsidR="009E09FC">
        <w:rPr>
          <w:rFonts w:ascii="Times New Roman" w:hAnsi="Times New Roman" w:cs="Times New Roman"/>
          <w:color w:val="000000" w:themeColor="text1"/>
          <w:sz w:val="20"/>
          <w:szCs w:val="20"/>
        </w:rPr>
        <w:t>nanciare anuale ale companiilor</w:t>
      </w:r>
    </w:p>
    <w:p w:rsidR="009724B9" w:rsidRDefault="009724B9" w:rsidP="009724B9">
      <w:pPr>
        <w:tabs>
          <w:tab w:val="left" w:pos="851"/>
        </w:tabs>
        <w:spacing w:after="0" w:line="240" w:lineRule="auto"/>
        <w:ind w:left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724B9" w:rsidRPr="00237DF5" w:rsidRDefault="001463C8" w:rsidP="00237DF5">
      <w:pPr>
        <w:pStyle w:val="ListParagraph"/>
        <w:tabs>
          <w:tab w:val="left" w:pos="0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Tabel</w:t>
      </w:r>
      <w:r w:rsidR="00237DF5" w:rsidRPr="00237DF5">
        <w:rPr>
          <w:rFonts w:ascii="Times New Roman" w:hAnsi="Times New Roman" w:cs="Times New Roman"/>
          <w:b/>
          <w:sz w:val="20"/>
          <w:szCs w:val="20"/>
        </w:rPr>
        <w:t xml:space="preserve"> nr. 8. </w:t>
      </w:r>
      <w:r w:rsidR="00237DF5">
        <w:rPr>
          <w:rFonts w:ascii="Times New Roman" w:hAnsi="Times New Roman" w:cs="Times New Roman"/>
          <w:b/>
          <w:sz w:val="20"/>
          <w:szCs w:val="20"/>
        </w:rPr>
        <w:t>Ratele de structură</w:t>
      </w:r>
    </w:p>
    <w:tbl>
      <w:tblPr>
        <w:tblpPr w:leftFromText="180" w:rightFromText="180" w:vertAnchor="text" w:tblpXSpec="center" w:tblpY="1"/>
        <w:tblOverlap w:val="never"/>
        <w:tblW w:w="8958" w:type="dxa"/>
        <w:tblLook w:val="04A0" w:firstRow="1" w:lastRow="0" w:firstColumn="1" w:lastColumn="0" w:noHBand="0" w:noVBand="1"/>
      </w:tblPr>
      <w:tblGrid>
        <w:gridCol w:w="2296"/>
        <w:gridCol w:w="2832"/>
        <w:gridCol w:w="766"/>
        <w:gridCol w:w="766"/>
        <w:gridCol w:w="766"/>
        <w:gridCol w:w="766"/>
        <w:gridCol w:w="766"/>
      </w:tblGrid>
      <w:tr w:rsidR="009724B9" w:rsidRPr="001479BF" w:rsidTr="004203B0">
        <w:trPr>
          <w:trHeight w:val="264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Compania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Indicatori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Perioada de analiză</w:t>
            </w:r>
          </w:p>
        </w:tc>
      </w:tr>
      <w:tr w:rsidR="009724B9" w:rsidRPr="001479BF" w:rsidTr="004203B0">
        <w:trPr>
          <w:trHeight w:val="264"/>
        </w:trPr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2017</w:t>
            </w:r>
          </w:p>
        </w:tc>
      </w:tr>
      <w:tr w:rsidR="009724B9" w:rsidRPr="001479BF" w:rsidTr="004203B0">
        <w:trPr>
          <w:trHeight w:val="154"/>
        </w:trPr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S.C. ANTIBIOTICE S.A.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Rata stabilității financiare (%)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73,86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76,64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76,99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81,51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76,73</w:t>
            </w:r>
          </w:p>
        </w:tc>
      </w:tr>
      <w:tr w:rsidR="009724B9" w:rsidRPr="001479BF" w:rsidTr="004203B0">
        <w:trPr>
          <w:trHeight w:val="58"/>
        </w:trPr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Rata autonomiei financiare (%)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68,15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72,34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72,09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76,69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72,76</w:t>
            </w:r>
          </w:p>
        </w:tc>
      </w:tr>
      <w:tr w:rsidR="009724B9" w:rsidRPr="001479BF" w:rsidTr="004203B0">
        <w:trPr>
          <w:trHeight w:val="58"/>
        </w:trPr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Gradul de îndatorare (%)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31,85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27,66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27,91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23,31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27,24</w:t>
            </w:r>
          </w:p>
        </w:tc>
      </w:tr>
      <w:tr w:rsidR="009724B9" w:rsidRPr="001479BF" w:rsidTr="004203B0">
        <w:trPr>
          <w:trHeight w:val="136"/>
        </w:trPr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S.C. BIOFARM S.A.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Rata stabilității financiare (%)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84,66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81,80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85,10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83,91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84,55</w:t>
            </w:r>
          </w:p>
        </w:tc>
      </w:tr>
      <w:tr w:rsidR="009724B9" w:rsidRPr="001479BF" w:rsidTr="004203B0">
        <w:trPr>
          <w:trHeight w:val="171"/>
        </w:trPr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Rata autonomiei financiare (%)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83,51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80,95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84,38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82,91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83,56</w:t>
            </w:r>
          </w:p>
        </w:tc>
      </w:tr>
      <w:tr w:rsidR="009724B9" w:rsidRPr="001479BF" w:rsidTr="004203B0">
        <w:trPr>
          <w:trHeight w:val="58"/>
        </w:trPr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Gradul de îndatorare (%)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16,49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19,05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15,62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17,09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16,44</w:t>
            </w:r>
          </w:p>
        </w:tc>
      </w:tr>
      <w:tr w:rsidR="009724B9" w:rsidRPr="001479BF" w:rsidTr="004203B0">
        <w:trPr>
          <w:trHeight w:val="58"/>
        </w:trPr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S.C. ZENTIVA S.A.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Rata stabilității financiare (%)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81,58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82,82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79,43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77,63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79,77</w:t>
            </w:r>
          </w:p>
        </w:tc>
      </w:tr>
      <w:tr w:rsidR="009724B9" w:rsidRPr="001479BF" w:rsidTr="004203B0">
        <w:trPr>
          <w:trHeight w:val="58"/>
        </w:trPr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Rata autonomiei financiare (%)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75,56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76,37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70,48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69,49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74,05</w:t>
            </w:r>
          </w:p>
        </w:tc>
      </w:tr>
      <w:tr w:rsidR="009724B9" w:rsidRPr="001479BF" w:rsidTr="004203B0">
        <w:trPr>
          <w:trHeight w:val="58"/>
        </w:trPr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Gradul de îndatorare (%)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24,44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23,63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29,52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30,51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25,95</w:t>
            </w:r>
          </w:p>
        </w:tc>
      </w:tr>
    </w:tbl>
    <w:p w:rsidR="00866C12" w:rsidRPr="007228F4" w:rsidRDefault="00866C12" w:rsidP="00866C12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228F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Sursa: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Elaborare</w:t>
      </w:r>
      <w:r w:rsidRPr="007228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proprie a autorilor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după raportările fi</w:t>
      </w:r>
      <w:r w:rsidR="009E09FC">
        <w:rPr>
          <w:rFonts w:ascii="Times New Roman" w:hAnsi="Times New Roman" w:cs="Times New Roman"/>
          <w:color w:val="000000" w:themeColor="text1"/>
          <w:sz w:val="20"/>
          <w:szCs w:val="20"/>
        </w:rPr>
        <w:t>nanciare anuale ale companiilor</w:t>
      </w:r>
    </w:p>
    <w:p w:rsidR="009724B9" w:rsidRDefault="009724B9" w:rsidP="009724B9">
      <w:pPr>
        <w:tabs>
          <w:tab w:val="left" w:pos="851"/>
        </w:tabs>
        <w:spacing w:after="0" w:line="240" w:lineRule="auto"/>
        <w:ind w:left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724B9" w:rsidRPr="001463C8" w:rsidRDefault="001463C8" w:rsidP="001463C8">
      <w:pPr>
        <w:pStyle w:val="ListParagraph"/>
        <w:tabs>
          <w:tab w:val="left" w:pos="851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Tabel</w:t>
      </w:r>
      <w:r w:rsidRPr="001463C8">
        <w:rPr>
          <w:rFonts w:ascii="Times New Roman" w:hAnsi="Times New Roman" w:cs="Times New Roman"/>
          <w:b/>
          <w:sz w:val="20"/>
          <w:szCs w:val="20"/>
        </w:rPr>
        <w:t xml:space="preserve"> nr. 9. </w:t>
      </w:r>
      <w:r w:rsidR="009724B9" w:rsidRPr="001463C8">
        <w:rPr>
          <w:rFonts w:ascii="Times New Roman" w:hAnsi="Times New Roman" w:cs="Times New Roman"/>
          <w:b/>
          <w:sz w:val="20"/>
          <w:szCs w:val="20"/>
        </w:rPr>
        <w:t>Ratele de finanțare</w:t>
      </w:r>
    </w:p>
    <w:tbl>
      <w:tblPr>
        <w:tblpPr w:leftFromText="180" w:rightFromText="180" w:vertAnchor="text" w:tblpXSpec="center" w:tblpY="1"/>
        <w:tblOverlap w:val="never"/>
        <w:tblW w:w="8958" w:type="dxa"/>
        <w:tblLook w:val="04A0" w:firstRow="1" w:lastRow="0" w:firstColumn="1" w:lastColumn="0" w:noHBand="0" w:noVBand="1"/>
      </w:tblPr>
      <w:tblGrid>
        <w:gridCol w:w="2296"/>
        <w:gridCol w:w="2797"/>
        <w:gridCol w:w="773"/>
        <w:gridCol w:w="773"/>
        <w:gridCol w:w="773"/>
        <w:gridCol w:w="773"/>
        <w:gridCol w:w="773"/>
      </w:tblGrid>
      <w:tr w:rsidR="009724B9" w:rsidRPr="008067CC" w:rsidTr="004203B0">
        <w:trPr>
          <w:trHeight w:val="264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724B9" w:rsidRPr="008067CC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0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Compania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724B9" w:rsidRPr="008067CC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0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Indicatori</w:t>
            </w:r>
          </w:p>
        </w:tc>
        <w:tc>
          <w:tcPr>
            <w:tcW w:w="3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724B9" w:rsidRPr="008067CC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0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Perioada de analiză</w:t>
            </w:r>
          </w:p>
        </w:tc>
      </w:tr>
      <w:tr w:rsidR="009724B9" w:rsidRPr="008067CC" w:rsidTr="004203B0">
        <w:trPr>
          <w:trHeight w:val="264"/>
        </w:trPr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4B9" w:rsidRPr="008067CC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4B9" w:rsidRPr="008067CC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724B9" w:rsidRPr="008067CC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0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724B9" w:rsidRPr="008067CC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0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724B9" w:rsidRPr="008067CC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0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724B9" w:rsidRPr="008067CC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0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724B9" w:rsidRPr="008067CC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806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2017</w:t>
            </w:r>
          </w:p>
        </w:tc>
      </w:tr>
      <w:tr w:rsidR="009724B9" w:rsidRPr="008067CC" w:rsidTr="004203B0">
        <w:trPr>
          <w:trHeight w:val="154"/>
        </w:trPr>
        <w:tc>
          <w:tcPr>
            <w:tcW w:w="2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4B9" w:rsidRPr="008067CC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067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Rata finanțării stabile (%)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4B9" w:rsidRPr="008067CC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067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S.C. ANTIBIOTICE S.A.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8067CC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7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192,09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8067CC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7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196,39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8067CC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7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194,42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8067CC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7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200,38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8067CC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7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183,58</w:t>
            </w:r>
          </w:p>
        </w:tc>
      </w:tr>
      <w:tr w:rsidR="009724B9" w:rsidRPr="008067CC" w:rsidTr="004203B0">
        <w:trPr>
          <w:trHeight w:val="136"/>
        </w:trPr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8067CC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4B9" w:rsidRPr="008067CC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067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S.C. BIOFARM S.A.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8067CC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7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224,50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8067CC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7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231,91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8067CC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7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203,98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8067CC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7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192,84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8067CC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7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187,56</w:t>
            </w:r>
          </w:p>
        </w:tc>
      </w:tr>
      <w:tr w:rsidR="009724B9" w:rsidRPr="008067CC" w:rsidTr="004203B0">
        <w:trPr>
          <w:trHeight w:val="58"/>
        </w:trPr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8067CC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4B9" w:rsidRPr="008067CC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8067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S.C. ZENTIVA S.A.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8067CC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7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322,18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8067CC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7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332,41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8067CC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7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308,93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8067CC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7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352,46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8067CC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7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288,20</w:t>
            </w:r>
          </w:p>
        </w:tc>
      </w:tr>
    </w:tbl>
    <w:p w:rsidR="00866C12" w:rsidRPr="007228F4" w:rsidRDefault="00866C12" w:rsidP="00866C12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228F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Sursa: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Elaborare</w:t>
      </w:r>
      <w:r w:rsidRPr="007228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proprie a autorilor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după raportările financiare anuale ale companiilor.</w:t>
      </w:r>
    </w:p>
    <w:p w:rsidR="009724B9" w:rsidRDefault="009724B9" w:rsidP="009724B9">
      <w:pPr>
        <w:tabs>
          <w:tab w:val="left" w:pos="851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724B9" w:rsidRPr="005A5999" w:rsidRDefault="001463C8" w:rsidP="009724B9">
      <w:pPr>
        <w:pStyle w:val="ListParagraph"/>
        <w:tabs>
          <w:tab w:val="left" w:pos="851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Tabel nr. 10</w:t>
      </w:r>
      <w:r w:rsidR="009724B9">
        <w:rPr>
          <w:rFonts w:ascii="Times New Roman" w:hAnsi="Times New Roman" w:cs="Times New Roman"/>
          <w:b/>
          <w:sz w:val="20"/>
          <w:szCs w:val="20"/>
        </w:rPr>
        <w:t>. Ratele de solvabilitate</w:t>
      </w:r>
    </w:p>
    <w:tbl>
      <w:tblPr>
        <w:tblpPr w:leftFromText="180" w:rightFromText="180" w:vertAnchor="text" w:tblpXSpec="center" w:tblpY="1"/>
        <w:tblOverlap w:val="never"/>
        <w:tblW w:w="8825" w:type="dxa"/>
        <w:tblLook w:val="04A0" w:firstRow="1" w:lastRow="0" w:firstColumn="1" w:lastColumn="0" w:noHBand="0" w:noVBand="1"/>
      </w:tblPr>
      <w:tblGrid>
        <w:gridCol w:w="2296"/>
        <w:gridCol w:w="2699"/>
        <w:gridCol w:w="766"/>
        <w:gridCol w:w="766"/>
        <w:gridCol w:w="766"/>
        <w:gridCol w:w="766"/>
        <w:gridCol w:w="766"/>
      </w:tblGrid>
      <w:tr w:rsidR="009724B9" w:rsidRPr="00302E4B" w:rsidTr="00302E4B">
        <w:trPr>
          <w:trHeight w:val="264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724B9" w:rsidRPr="00302E4B" w:rsidRDefault="009724B9" w:rsidP="0030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02E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Compania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724B9" w:rsidRPr="00302E4B" w:rsidRDefault="009724B9" w:rsidP="0030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02E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Indicatori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724B9" w:rsidRPr="00302E4B" w:rsidRDefault="009724B9" w:rsidP="0030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02E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Perioada de analiză</w:t>
            </w:r>
          </w:p>
        </w:tc>
      </w:tr>
      <w:tr w:rsidR="009724B9" w:rsidRPr="00302E4B" w:rsidTr="00302E4B">
        <w:trPr>
          <w:trHeight w:val="264"/>
        </w:trPr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4B9" w:rsidRPr="00302E4B" w:rsidRDefault="009724B9" w:rsidP="00302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4B9" w:rsidRPr="00302E4B" w:rsidRDefault="009724B9" w:rsidP="00302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724B9" w:rsidRPr="00302E4B" w:rsidRDefault="009724B9" w:rsidP="0030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02E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724B9" w:rsidRPr="00302E4B" w:rsidRDefault="009724B9" w:rsidP="0030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02E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724B9" w:rsidRPr="00302E4B" w:rsidRDefault="009724B9" w:rsidP="0030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02E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724B9" w:rsidRPr="00302E4B" w:rsidRDefault="009724B9" w:rsidP="0030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02E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724B9" w:rsidRPr="00302E4B" w:rsidRDefault="009724B9" w:rsidP="0030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02E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2017</w:t>
            </w:r>
          </w:p>
        </w:tc>
      </w:tr>
      <w:tr w:rsidR="009724B9" w:rsidRPr="00302E4B" w:rsidTr="00302E4B">
        <w:trPr>
          <w:trHeight w:val="154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B9" w:rsidRPr="00302E4B" w:rsidRDefault="009724B9" w:rsidP="00302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302E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S.C. ANTIBIOTICE S.A.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4B9" w:rsidRPr="00302E4B" w:rsidRDefault="009724B9" w:rsidP="00302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302E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Rata solvabilității generale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302E4B" w:rsidRDefault="009724B9" w:rsidP="00302E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302E4B" w:rsidRDefault="009724B9" w:rsidP="00302E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302E4B" w:rsidRDefault="009724B9" w:rsidP="00302E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302E4B" w:rsidRDefault="009724B9" w:rsidP="00302E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302E4B" w:rsidRDefault="009724B9" w:rsidP="00302E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3,67</w:t>
            </w:r>
          </w:p>
        </w:tc>
      </w:tr>
      <w:tr w:rsidR="009724B9" w:rsidRPr="00302E4B" w:rsidTr="00302E4B">
        <w:trPr>
          <w:trHeight w:val="136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302E4B" w:rsidRDefault="009724B9" w:rsidP="00302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302E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S.C. BIOFARM S.A.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4B9" w:rsidRPr="00302E4B" w:rsidRDefault="009724B9" w:rsidP="00302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302E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Rata solvabilității generale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302E4B" w:rsidRDefault="009724B9" w:rsidP="00302E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302E4B" w:rsidRDefault="009724B9" w:rsidP="00302E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302E4B" w:rsidRDefault="009724B9" w:rsidP="00302E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302E4B" w:rsidRDefault="009724B9" w:rsidP="00302E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302E4B" w:rsidRDefault="009724B9" w:rsidP="00302E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6,08</w:t>
            </w:r>
          </w:p>
        </w:tc>
      </w:tr>
      <w:tr w:rsidR="009724B9" w:rsidRPr="00302E4B" w:rsidTr="00302E4B">
        <w:trPr>
          <w:trHeight w:val="58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B9" w:rsidRPr="00302E4B" w:rsidRDefault="009724B9" w:rsidP="00302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302E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S.C. ZENTIVA S.A.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4B9" w:rsidRPr="00302E4B" w:rsidRDefault="009724B9" w:rsidP="00302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302E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Rata solvabilității generale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302E4B" w:rsidRDefault="009724B9" w:rsidP="00302E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302E4B" w:rsidRDefault="009724B9" w:rsidP="00302E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302E4B" w:rsidRDefault="009724B9" w:rsidP="00302E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302E4B" w:rsidRDefault="009724B9" w:rsidP="00302E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4B9" w:rsidRPr="00302E4B" w:rsidRDefault="009724B9" w:rsidP="00302E4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3,85</w:t>
            </w:r>
          </w:p>
        </w:tc>
      </w:tr>
    </w:tbl>
    <w:p w:rsidR="00866C12" w:rsidRPr="007228F4" w:rsidRDefault="00866C12" w:rsidP="00866C12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228F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Sursa: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Elaborare</w:t>
      </w:r>
      <w:r w:rsidRPr="007228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proprie a autorilor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după raportările fi</w:t>
      </w:r>
      <w:r w:rsidR="009E09FC">
        <w:rPr>
          <w:rFonts w:ascii="Times New Roman" w:hAnsi="Times New Roman" w:cs="Times New Roman"/>
          <w:color w:val="000000" w:themeColor="text1"/>
          <w:sz w:val="20"/>
          <w:szCs w:val="20"/>
        </w:rPr>
        <w:t>nanciare anuale ale companiilor</w:t>
      </w:r>
    </w:p>
    <w:p w:rsidR="009724B9" w:rsidRPr="00794A43" w:rsidRDefault="009724B9" w:rsidP="009724B9">
      <w:pPr>
        <w:pStyle w:val="ListParagraph"/>
        <w:tabs>
          <w:tab w:val="left" w:pos="851"/>
        </w:tabs>
        <w:spacing w:after="0" w:line="240" w:lineRule="auto"/>
        <w:ind w:left="92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724B9" w:rsidRPr="005A5999" w:rsidRDefault="00B36A47" w:rsidP="009724B9">
      <w:pPr>
        <w:pStyle w:val="ListParagraph"/>
        <w:tabs>
          <w:tab w:val="left" w:pos="851"/>
        </w:tabs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Tabel nr. 11</w:t>
      </w:r>
      <w:r w:rsidR="009724B9">
        <w:rPr>
          <w:rFonts w:ascii="Times New Roman" w:hAnsi="Times New Roman" w:cs="Times New Roman"/>
          <w:b/>
          <w:sz w:val="20"/>
          <w:szCs w:val="20"/>
        </w:rPr>
        <w:t>. Ratele de lichiditate</w:t>
      </w:r>
    </w:p>
    <w:tbl>
      <w:tblPr>
        <w:tblpPr w:leftFromText="180" w:rightFromText="180" w:vertAnchor="text" w:tblpXSpec="center" w:tblpY="1"/>
        <w:tblOverlap w:val="never"/>
        <w:tblW w:w="8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582"/>
        <w:gridCol w:w="766"/>
        <w:gridCol w:w="766"/>
        <w:gridCol w:w="766"/>
        <w:gridCol w:w="766"/>
        <w:gridCol w:w="766"/>
      </w:tblGrid>
      <w:tr w:rsidR="009724B9" w:rsidRPr="001479BF" w:rsidTr="004203B0">
        <w:trPr>
          <w:trHeight w:val="264"/>
        </w:trPr>
        <w:tc>
          <w:tcPr>
            <w:tcW w:w="2296" w:type="dxa"/>
            <w:vMerge w:val="restart"/>
            <w:shd w:val="clear" w:color="000000" w:fill="A6A6A6"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Compania</w:t>
            </w:r>
          </w:p>
        </w:tc>
        <w:tc>
          <w:tcPr>
            <w:tcW w:w="2582" w:type="dxa"/>
            <w:vMerge w:val="restart"/>
            <w:shd w:val="clear" w:color="000000" w:fill="A6A6A6"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Indicatori</w:t>
            </w:r>
          </w:p>
        </w:tc>
        <w:tc>
          <w:tcPr>
            <w:tcW w:w="3830" w:type="dxa"/>
            <w:gridSpan w:val="5"/>
            <w:shd w:val="clear" w:color="000000" w:fill="A6A6A6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Perioada de analiză</w:t>
            </w:r>
          </w:p>
        </w:tc>
      </w:tr>
      <w:tr w:rsidR="009724B9" w:rsidRPr="001479BF" w:rsidTr="004203B0">
        <w:trPr>
          <w:trHeight w:val="264"/>
        </w:trPr>
        <w:tc>
          <w:tcPr>
            <w:tcW w:w="2296" w:type="dxa"/>
            <w:vMerge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582" w:type="dxa"/>
            <w:vMerge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2013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2014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2015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2016</w:t>
            </w:r>
          </w:p>
        </w:tc>
        <w:tc>
          <w:tcPr>
            <w:tcW w:w="766" w:type="dxa"/>
            <w:shd w:val="clear" w:color="000000" w:fill="A6A6A6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2017</w:t>
            </w:r>
          </w:p>
        </w:tc>
      </w:tr>
      <w:tr w:rsidR="009724B9" w:rsidRPr="001479BF" w:rsidTr="004203B0">
        <w:trPr>
          <w:trHeight w:val="154"/>
        </w:trPr>
        <w:tc>
          <w:tcPr>
            <w:tcW w:w="2296" w:type="dxa"/>
            <w:vMerge w:val="restart"/>
            <w:shd w:val="clear" w:color="auto" w:fill="auto"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S.C. ANTIBIOTICE S.A.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Rata lichidității generale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2,35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2,68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2,68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2,54</w:t>
            </w:r>
          </w:p>
        </w:tc>
      </w:tr>
      <w:tr w:rsidR="009724B9" w:rsidRPr="001479BF" w:rsidTr="004203B0">
        <w:trPr>
          <w:trHeight w:val="58"/>
        </w:trPr>
        <w:tc>
          <w:tcPr>
            <w:tcW w:w="2296" w:type="dxa"/>
            <w:vMerge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Rata lichidității intermediare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1,97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2,18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2,18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2,66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2,02</w:t>
            </w:r>
          </w:p>
        </w:tc>
      </w:tr>
      <w:tr w:rsidR="009724B9" w:rsidRPr="001479BF" w:rsidTr="004203B0">
        <w:trPr>
          <w:trHeight w:val="58"/>
        </w:trPr>
        <w:tc>
          <w:tcPr>
            <w:tcW w:w="2296" w:type="dxa"/>
            <w:vMerge/>
            <w:vAlign w:val="center"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Rata lichidității imediate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</w:tr>
      <w:tr w:rsidR="009724B9" w:rsidRPr="001479BF" w:rsidTr="004203B0">
        <w:trPr>
          <w:trHeight w:val="136"/>
        </w:trPr>
        <w:tc>
          <w:tcPr>
            <w:tcW w:w="2296" w:type="dxa"/>
            <w:vMerge w:val="restart"/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S.C. BIOFARM S.A.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Rata lichidității generale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3,88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3,49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3,54</w:t>
            </w:r>
          </w:p>
        </w:tc>
      </w:tr>
      <w:tr w:rsidR="009724B9" w:rsidRPr="001479BF" w:rsidTr="004203B0">
        <w:trPr>
          <w:trHeight w:val="136"/>
        </w:trPr>
        <w:tc>
          <w:tcPr>
            <w:tcW w:w="2296" w:type="dxa"/>
            <w:vMerge/>
            <w:shd w:val="clear" w:color="auto" w:fill="auto"/>
            <w:noWrap/>
            <w:vAlign w:val="center"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Rata lichidității intermediare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3,26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2,98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3,05</w:t>
            </w:r>
          </w:p>
        </w:tc>
      </w:tr>
      <w:tr w:rsidR="009724B9" w:rsidRPr="001479BF" w:rsidTr="004203B0">
        <w:trPr>
          <w:trHeight w:val="171"/>
        </w:trPr>
        <w:tc>
          <w:tcPr>
            <w:tcW w:w="2296" w:type="dxa"/>
            <w:vMerge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Rata lichidității imediate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0,93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0,94</w:t>
            </w:r>
          </w:p>
        </w:tc>
      </w:tr>
      <w:tr w:rsidR="009724B9" w:rsidRPr="001479BF" w:rsidTr="004203B0">
        <w:trPr>
          <w:trHeight w:val="58"/>
        </w:trPr>
        <w:tc>
          <w:tcPr>
            <w:tcW w:w="2296" w:type="dxa"/>
            <w:vMerge w:val="restart"/>
            <w:shd w:val="clear" w:color="auto" w:fill="auto"/>
            <w:noWrap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147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S.C. ZENTIVA S.A.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Rata lichidității generale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4,36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3,61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3,48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3,57</w:t>
            </w:r>
          </w:p>
        </w:tc>
      </w:tr>
      <w:tr w:rsidR="009724B9" w:rsidRPr="001479BF" w:rsidTr="004203B0">
        <w:trPr>
          <w:trHeight w:val="58"/>
        </w:trPr>
        <w:tc>
          <w:tcPr>
            <w:tcW w:w="2296" w:type="dxa"/>
            <w:vMerge/>
            <w:vAlign w:val="center"/>
            <w:hideMark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Rata lichidității intermediare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3,30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2,98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3,17</w:t>
            </w:r>
          </w:p>
        </w:tc>
      </w:tr>
      <w:tr w:rsidR="009724B9" w:rsidRPr="001479BF" w:rsidTr="004203B0">
        <w:trPr>
          <w:trHeight w:val="58"/>
        </w:trPr>
        <w:tc>
          <w:tcPr>
            <w:tcW w:w="2296" w:type="dxa"/>
            <w:vMerge/>
            <w:vAlign w:val="center"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:rsidR="009724B9" w:rsidRPr="001479BF" w:rsidRDefault="009724B9" w:rsidP="004203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Rata lichidității imediate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0,59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9724B9" w:rsidRPr="00D143AF" w:rsidRDefault="009724B9" w:rsidP="004203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1,60</w:t>
            </w:r>
          </w:p>
        </w:tc>
      </w:tr>
    </w:tbl>
    <w:p w:rsidR="00866C12" w:rsidRPr="007228F4" w:rsidRDefault="00866C12" w:rsidP="00866C12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228F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Sursa: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Elaborare</w:t>
      </w:r>
      <w:r w:rsidRPr="007228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proprie a autorilor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după raportările fi</w:t>
      </w:r>
      <w:r w:rsidR="009E09FC">
        <w:rPr>
          <w:rFonts w:ascii="Times New Roman" w:hAnsi="Times New Roman" w:cs="Times New Roman"/>
          <w:color w:val="000000" w:themeColor="text1"/>
          <w:sz w:val="20"/>
          <w:szCs w:val="20"/>
        </w:rPr>
        <w:t>nanciare anuale ale companiilor</w:t>
      </w:r>
    </w:p>
    <w:p w:rsidR="0090604F" w:rsidRDefault="0090604F" w:rsidP="004203B0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rStyle w:val="Strong"/>
          <w:b w:val="0"/>
        </w:rPr>
      </w:pPr>
    </w:p>
    <w:p w:rsidR="00463759" w:rsidRPr="00E35EE1" w:rsidRDefault="0090604F" w:rsidP="004203B0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70C0"/>
        </w:rPr>
      </w:pPr>
      <w:r w:rsidRPr="00E35EE1">
        <w:rPr>
          <w:rStyle w:val="Strong"/>
          <w:b w:val="0"/>
          <w:color w:val="0070C0"/>
        </w:rPr>
        <w:t>Pentru</w:t>
      </w:r>
      <w:r w:rsidR="00117E56" w:rsidRPr="00E35EE1">
        <w:rPr>
          <w:rStyle w:val="Strong"/>
          <w:b w:val="0"/>
          <w:color w:val="0070C0"/>
        </w:rPr>
        <w:t xml:space="preserve"> compani</w:t>
      </w:r>
      <w:r w:rsidRPr="00E35EE1">
        <w:rPr>
          <w:rStyle w:val="Strong"/>
          <w:b w:val="0"/>
          <w:color w:val="0070C0"/>
        </w:rPr>
        <w:t>a</w:t>
      </w:r>
      <w:r w:rsidR="00117E56" w:rsidRPr="00E35EE1">
        <w:rPr>
          <w:rStyle w:val="Strong"/>
          <w:b w:val="0"/>
          <w:color w:val="0070C0"/>
        </w:rPr>
        <w:t xml:space="preserve"> ANTIBIOTICE, valorile obținute</w:t>
      </w:r>
      <w:r w:rsidR="00463759" w:rsidRPr="00E35EE1">
        <w:rPr>
          <w:rStyle w:val="Strong"/>
          <w:b w:val="0"/>
          <w:color w:val="0070C0"/>
        </w:rPr>
        <w:t>, peste cele considerate optime,</w:t>
      </w:r>
      <w:r w:rsidR="00117E56" w:rsidRPr="00E35EE1">
        <w:rPr>
          <w:rStyle w:val="Strong"/>
          <w:b w:val="0"/>
          <w:color w:val="0070C0"/>
        </w:rPr>
        <w:t xml:space="preserve"> </w:t>
      </w:r>
      <w:r w:rsidR="0027661B" w:rsidRPr="00E35EE1">
        <w:rPr>
          <w:rStyle w:val="Strong"/>
          <w:b w:val="0"/>
          <w:color w:val="0070C0"/>
        </w:rPr>
        <w:t xml:space="preserve">și dinamica </w:t>
      </w:r>
      <w:r w:rsidR="00117E56" w:rsidRPr="00E35EE1">
        <w:rPr>
          <w:color w:val="0070C0"/>
        </w:rPr>
        <w:t xml:space="preserve">indicatorilor </w:t>
      </w:r>
      <w:proofErr w:type="spellStart"/>
      <w:r w:rsidR="00861999" w:rsidRPr="00E35EE1">
        <w:rPr>
          <w:color w:val="0070C0"/>
        </w:rPr>
        <w:t>economico</w:t>
      </w:r>
      <w:proofErr w:type="spellEnd"/>
      <w:r w:rsidR="00861999" w:rsidRPr="00E35EE1">
        <w:rPr>
          <w:color w:val="0070C0"/>
        </w:rPr>
        <w:t xml:space="preserve">-financiari </w:t>
      </w:r>
      <w:r w:rsidR="00117E56" w:rsidRPr="00E35EE1">
        <w:rPr>
          <w:color w:val="0070C0"/>
        </w:rPr>
        <w:t>ce caracterizează profitabilitatea și performanța</w:t>
      </w:r>
      <w:r w:rsidR="0027661B" w:rsidRPr="00E35EE1">
        <w:rPr>
          <w:color w:val="0070C0"/>
        </w:rPr>
        <w:t xml:space="preserve"> financiară </w:t>
      </w:r>
      <w:r w:rsidR="00117E56" w:rsidRPr="00E35EE1">
        <w:rPr>
          <w:color w:val="0070C0"/>
        </w:rPr>
        <w:lastRenderedPageBreak/>
        <w:t>evidențiază</w:t>
      </w:r>
      <w:r w:rsidR="00905DA6" w:rsidRPr="00E35EE1">
        <w:rPr>
          <w:color w:val="0070C0"/>
        </w:rPr>
        <w:t xml:space="preserve"> echilibrul financiar și preocuparea continuă pentru eficienț</w:t>
      </w:r>
      <w:r w:rsidR="00117E56" w:rsidRPr="00E35EE1">
        <w:rPr>
          <w:color w:val="0070C0"/>
        </w:rPr>
        <w:t>a</w:t>
      </w:r>
      <w:r w:rsidR="00905DA6" w:rsidRPr="00E35EE1">
        <w:rPr>
          <w:color w:val="0070C0"/>
        </w:rPr>
        <w:t xml:space="preserve"> afacerii și adaptarea la schimbă</w:t>
      </w:r>
      <w:r w:rsidR="00117E56" w:rsidRPr="00E35EE1">
        <w:rPr>
          <w:color w:val="0070C0"/>
        </w:rPr>
        <w:t>rile din climatul de afaceri</w:t>
      </w:r>
      <w:r w:rsidR="00905DA6" w:rsidRPr="00E35EE1">
        <w:rPr>
          <w:color w:val="0070C0"/>
        </w:rPr>
        <w:t xml:space="preserve">. </w:t>
      </w:r>
      <w:proofErr w:type="spellStart"/>
      <w:r w:rsidR="00463759" w:rsidRPr="00E35EE1">
        <w:rPr>
          <w:color w:val="0070C0"/>
        </w:rPr>
        <w:t>Intreaga</w:t>
      </w:r>
      <w:proofErr w:type="spellEnd"/>
      <w:r w:rsidR="00463759" w:rsidRPr="00E35EE1">
        <w:rPr>
          <w:color w:val="0070C0"/>
        </w:rPr>
        <w:t xml:space="preserve"> activitate </w:t>
      </w:r>
      <w:r w:rsidR="00463759" w:rsidRPr="00E35EE1">
        <w:rPr>
          <w:color w:val="0070C0"/>
        </w:rPr>
        <w:t xml:space="preserve">s-a derulat sub semnul </w:t>
      </w:r>
      <w:proofErr w:type="spellStart"/>
      <w:r w:rsidR="00463759" w:rsidRPr="00E35EE1">
        <w:rPr>
          <w:color w:val="0070C0"/>
        </w:rPr>
        <w:t>continuitatii</w:t>
      </w:r>
      <w:proofErr w:type="spellEnd"/>
      <w:r w:rsidR="00463759" w:rsidRPr="00E35EE1">
        <w:rPr>
          <w:color w:val="0070C0"/>
        </w:rPr>
        <w:t xml:space="preserve"> si performantei, </w:t>
      </w:r>
      <w:proofErr w:type="spellStart"/>
      <w:r w:rsidR="00463759" w:rsidRPr="00E35EE1">
        <w:rPr>
          <w:color w:val="0070C0"/>
        </w:rPr>
        <w:t>confirmand</w:t>
      </w:r>
      <w:proofErr w:type="spellEnd"/>
      <w:r w:rsidR="00463759" w:rsidRPr="00E35EE1">
        <w:rPr>
          <w:color w:val="0070C0"/>
        </w:rPr>
        <w:t xml:space="preserve"> trendul </w:t>
      </w:r>
      <w:proofErr w:type="spellStart"/>
      <w:r w:rsidR="00463759" w:rsidRPr="00E35EE1">
        <w:rPr>
          <w:color w:val="0070C0"/>
        </w:rPr>
        <w:t>cresterii</w:t>
      </w:r>
      <w:proofErr w:type="spellEnd"/>
      <w:r w:rsidR="00463759" w:rsidRPr="00E35EE1">
        <w:rPr>
          <w:color w:val="0070C0"/>
        </w:rPr>
        <w:t xml:space="preserve"> constante pe care </w:t>
      </w:r>
      <w:r w:rsidR="00463759" w:rsidRPr="00E35EE1">
        <w:rPr>
          <w:color w:val="0070C0"/>
        </w:rPr>
        <w:t>managementul si l</w:t>
      </w:r>
      <w:r w:rsidR="00463759" w:rsidRPr="00E35EE1">
        <w:rPr>
          <w:color w:val="0070C0"/>
        </w:rPr>
        <w:t>-a propus s</w:t>
      </w:r>
      <w:r w:rsidR="00463759" w:rsidRPr="00E35EE1">
        <w:rPr>
          <w:color w:val="0070C0"/>
        </w:rPr>
        <w:t xml:space="preserve">i </w:t>
      </w:r>
      <w:proofErr w:type="spellStart"/>
      <w:r w:rsidR="00463759" w:rsidRPr="00E35EE1">
        <w:rPr>
          <w:color w:val="0070C0"/>
        </w:rPr>
        <w:t>il</w:t>
      </w:r>
      <w:proofErr w:type="spellEnd"/>
      <w:r w:rsidR="00463759" w:rsidRPr="00E35EE1">
        <w:rPr>
          <w:color w:val="0070C0"/>
        </w:rPr>
        <w:t xml:space="preserve"> </w:t>
      </w:r>
      <w:proofErr w:type="spellStart"/>
      <w:r w:rsidR="00463759" w:rsidRPr="00E35EE1">
        <w:rPr>
          <w:color w:val="0070C0"/>
        </w:rPr>
        <w:t>sustine</w:t>
      </w:r>
      <w:proofErr w:type="spellEnd"/>
      <w:r w:rsidR="00463759" w:rsidRPr="00E35EE1">
        <w:rPr>
          <w:color w:val="0070C0"/>
        </w:rPr>
        <w:t xml:space="preserve">. </w:t>
      </w:r>
    </w:p>
    <w:p w:rsidR="00463759" w:rsidRPr="00E35EE1" w:rsidRDefault="00463759" w:rsidP="00463759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70C0"/>
        </w:rPr>
      </w:pPr>
      <w:r w:rsidRPr="00E35EE1">
        <w:rPr>
          <w:color w:val="0070C0"/>
        </w:rPr>
        <w:t xml:space="preserve">Printr-un efort important de ordin </w:t>
      </w:r>
      <w:proofErr w:type="spellStart"/>
      <w:r w:rsidRPr="00E35EE1">
        <w:rPr>
          <w:color w:val="0070C0"/>
        </w:rPr>
        <w:t>investitional</w:t>
      </w:r>
      <w:proofErr w:type="spellEnd"/>
      <w:r w:rsidRPr="00E35EE1">
        <w:rPr>
          <w:color w:val="0070C0"/>
        </w:rPr>
        <w:t xml:space="preserve">, menit sa duca la dezvoltarea </w:t>
      </w:r>
      <w:proofErr w:type="spellStart"/>
      <w:r w:rsidRPr="00E35EE1">
        <w:rPr>
          <w:color w:val="0070C0"/>
        </w:rPr>
        <w:t>capacitatii</w:t>
      </w:r>
      <w:proofErr w:type="spellEnd"/>
      <w:r w:rsidRPr="00E35EE1">
        <w:rPr>
          <w:color w:val="0070C0"/>
        </w:rPr>
        <w:t xml:space="preserve"> de </w:t>
      </w:r>
      <w:proofErr w:type="spellStart"/>
      <w:r w:rsidRPr="00E35EE1">
        <w:rPr>
          <w:color w:val="0070C0"/>
        </w:rPr>
        <w:t>productie</w:t>
      </w:r>
      <w:proofErr w:type="spellEnd"/>
      <w:r w:rsidRPr="00E35EE1">
        <w:rPr>
          <w:color w:val="0070C0"/>
        </w:rPr>
        <w:t xml:space="preserve"> si </w:t>
      </w:r>
      <w:proofErr w:type="spellStart"/>
      <w:r w:rsidRPr="00E35EE1">
        <w:rPr>
          <w:color w:val="0070C0"/>
        </w:rPr>
        <w:t>mentinerea</w:t>
      </w:r>
      <w:proofErr w:type="spellEnd"/>
      <w:r w:rsidRPr="00E35EE1">
        <w:rPr>
          <w:color w:val="0070C0"/>
        </w:rPr>
        <w:t xml:space="preserve"> standardelor de calitate pentru care este recunoscuta, compania si-a consolidat afacerea pe plan </w:t>
      </w:r>
      <w:proofErr w:type="spellStart"/>
      <w:r w:rsidRPr="00E35EE1">
        <w:rPr>
          <w:color w:val="0070C0"/>
        </w:rPr>
        <w:t>national</w:t>
      </w:r>
      <w:proofErr w:type="spellEnd"/>
      <w:r w:rsidRPr="00E35EE1">
        <w:rPr>
          <w:color w:val="0070C0"/>
        </w:rPr>
        <w:t xml:space="preserve"> si </w:t>
      </w:r>
      <w:proofErr w:type="spellStart"/>
      <w:r w:rsidRPr="00E35EE1">
        <w:rPr>
          <w:color w:val="0070C0"/>
        </w:rPr>
        <w:t>international</w:t>
      </w:r>
      <w:proofErr w:type="spellEnd"/>
      <w:r w:rsidRPr="00E35EE1">
        <w:rPr>
          <w:color w:val="0070C0"/>
        </w:rPr>
        <w:t>.</w:t>
      </w:r>
    </w:p>
    <w:p w:rsidR="00463759" w:rsidRPr="00E35EE1" w:rsidRDefault="00463759" w:rsidP="004203B0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70C0"/>
        </w:rPr>
      </w:pPr>
      <w:r w:rsidRPr="00E35EE1">
        <w:rPr>
          <w:color w:val="0070C0"/>
        </w:rPr>
        <w:t xml:space="preserve">Investițiile masive realizate in ultimii 20 de ani – in retehnologizare, echipamente moderne si alinierea la standardele de calitate internaționale au permis nu doar consolidarea poziției pe </w:t>
      </w:r>
      <w:proofErr w:type="spellStart"/>
      <w:r w:rsidRPr="00E35EE1">
        <w:rPr>
          <w:color w:val="0070C0"/>
        </w:rPr>
        <w:t>piata</w:t>
      </w:r>
      <w:proofErr w:type="spellEnd"/>
      <w:r w:rsidRPr="00E35EE1">
        <w:rPr>
          <w:color w:val="0070C0"/>
        </w:rPr>
        <w:t xml:space="preserve"> autohtona ci si dezvoltarea exporturilor</w:t>
      </w:r>
      <w:r w:rsidRPr="00E35EE1">
        <w:rPr>
          <w:color w:val="0070C0"/>
        </w:rPr>
        <w:t>. De altfel s</w:t>
      </w:r>
      <w:r w:rsidR="004203B0" w:rsidRPr="00E35EE1">
        <w:rPr>
          <w:color w:val="0070C0"/>
        </w:rPr>
        <w:t xml:space="preserve">oliditatea </w:t>
      </w:r>
      <w:r w:rsidR="0090604F" w:rsidRPr="00E35EE1">
        <w:rPr>
          <w:color w:val="0070C0"/>
        </w:rPr>
        <w:t>afacerii</w:t>
      </w:r>
      <w:r w:rsidR="00905DA6" w:rsidRPr="00E35EE1">
        <w:rPr>
          <w:color w:val="0070C0"/>
        </w:rPr>
        <w:t xml:space="preserve"> Antibiotic</w:t>
      </w:r>
      <w:r w:rsidR="0090604F" w:rsidRPr="00E35EE1">
        <w:rPr>
          <w:color w:val="0070C0"/>
        </w:rPr>
        <w:t>e este demonstrată prin orientarea</w:t>
      </w:r>
      <w:r w:rsidR="00905DA6" w:rsidRPr="00E35EE1">
        <w:rPr>
          <w:color w:val="0070C0"/>
        </w:rPr>
        <w:t xml:space="preserve"> strategică a </w:t>
      </w:r>
      <w:r w:rsidR="0090604F" w:rsidRPr="00E35EE1">
        <w:rPr>
          <w:color w:val="0070C0"/>
        </w:rPr>
        <w:t>companiei</w:t>
      </w:r>
      <w:r w:rsidR="00905DA6" w:rsidRPr="00E35EE1">
        <w:rPr>
          <w:color w:val="0070C0"/>
        </w:rPr>
        <w:t xml:space="preserve"> </w:t>
      </w:r>
      <w:r w:rsidR="001A3036" w:rsidRPr="00E35EE1">
        <w:rPr>
          <w:color w:val="0070C0"/>
        </w:rPr>
        <w:t xml:space="preserve">cu strategii de dezvoltare adaptate </w:t>
      </w:r>
      <w:proofErr w:type="spellStart"/>
      <w:r w:rsidR="001A3036" w:rsidRPr="00E35EE1">
        <w:rPr>
          <w:color w:val="0070C0"/>
        </w:rPr>
        <w:t>pietei</w:t>
      </w:r>
      <w:proofErr w:type="spellEnd"/>
      <w:r w:rsidR="001A3036" w:rsidRPr="00E35EE1">
        <w:rPr>
          <w:color w:val="0070C0"/>
        </w:rPr>
        <w:t xml:space="preserve"> farmaceutice </w:t>
      </w:r>
      <w:proofErr w:type="spellStart"/>
      <w:r w:rsidR="001A3036" w:rsidRPr="00E35EE1">
        <w:rPr>
          <w:color w:val="0070C0"/>
        </w:rPr>
        <w:t>internationale</w:t>
      </w:r>
      <w:proofErr w:type="spellEnd"/>
      <w:r w:rsidR="001A3036" w:rsidRPr="00E35EE1">
        <w:rPr>
          <w:color w:val="0070C0"/>
        </w:rPr>
        <w:t xml:space="preserve"> </w:t>
      </w:r>
      <w:r w:rsidR="00905DA6" w:rsidRPr="00E35EE1">
        <w:rPr>
          <w:color w:val="0070C0"/>
        </w:rPr>
        <w:t>ș</w:t>
      </w:r>
      <w:r w:rsidR="004203B0" w:rsidRPr="00E35EE1">
        <w:rPr>
          <w:color w:val="0070C0"/>
        </w:rPr>
        <w:t>i prom</w:t>
      </w:r>
      <w:r w:rsidR="00905DA6" w:rsidRPr="00E35EE1">
        <w:rPr>
          <w:color w:val="0070C0"/>
        </w:rPr>
        <w:t>ptitudinea cu care este capabilă să reacționeze, dezvoltâ</w:t>
      </w:r>
      <w:r w:rsidR="004203B0" w:rsidRPr="00E35EE1">
        <w:rPr>
          <w:color w:val="0070C0"/>
        </w:rPr>
        <w:t>nd pr</w:t>
      </w:r>
      <w:r w:rsidR="00905DA6" w:rsidRPr="00E35EE1">
        <w:rPr>
          <w:color w:val="0070C0"/>
        </w:rPr>
        <w:t>actici de afaceri responsabile ș</w:t>
      </w:r>
      <w:r w:rsidR="004203B0" w:rsidRPr="00E35EE1">
        <w:rPr>
          <w:color w:val="0070C0"/>
        </w:rPr>
        <w:t xml:space="preserve">i transparente. </w:t>
      </w:r>
    </w:p>
    <w:p w:rsidR="00463759" w:rsidRPr="00E35EE1" w:rsidRDefault="00463759" w:rsidP="004203B0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70C0"/>
        </w:rPr>
      </w:pPr>
    </w:p>
    <w:p w:rsidR="00EE4765" w:rsidRPr="0014321C" w:rsidRDefault="00AE64B0" w:rsidP="004203B0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70C0"/>
        </w:rPr>
      </w:pPr>
      <w:r w:rsidRPr="0014321C">
        <w:rPr>
          <w:color w:val="0070C0"/>
        </w:rPr>
        <w:t>Valorile</w:t>
      </w:r>
      <w:r w:rsidR="00EE4765" w:rsidRPr="0014321C">
        <w:rPr>
          <w:color w:val="0070C0"/>
        </w:rPr>
        <w:t xml:space="preserve"> și </w:t>
      </w:r>
      <w:r w:rsidRPr="0014321C">
        <w:rPr>
          <w:color w:val="0070C0"/>
        </w:rPr>
        <w:t>dinamica</w:t>
      </w:r>
      <w:r w:rsidR="00EE4765" w:rsidRPr="0014321C">
        <w:rPr>
          <w:color w:val="0070C0"/>
        </w:rPr>
        <w:t xml:space="preserve"> indicatorilor </w:t>
      </w:r>
      <w:proofErr w:type="spellStart"/>
      <w:r w:rsidRPr="0014321C">
        <w:rPr>
          <w:color w:val="0070C0"/>
        </w:rPr>
        <w:t>economico</w:t>
      </w:r>
      <w:proofErr w:type="spellEnd"/>
      <w:r w:rsidRPr="0014321C">
        <w:rPr>
          <w:color w:val="0070C0"/>
        </w:rPr>
        <w:t xml:space="preserve">-financiari </w:t>
      </w:r>
      <w:r w:rsidR="00EE4765" w:rsidRPr="0014321C">
        <w:rPr>
          <w:color w:val="0070C0"/>
        </w:rPr>
        <w:t xml:space="preserve">confirmă </w:t>
      </w:r>
      <w:r w:rsidRPr="0014321C">
        <w:rPr>
          <w:color w:val="0070C0"/>
        </w:rPr>
        <w:t>și în cazul BIOFARM că s</w:t>
      </w:r>
      <w:r w:rsidR="00EE4765" w:rsidRPr="0014321C">
        <w:rPr>
          <w:color w:val="0070C0"/>
        </w:rPr>
        <w:t xml:space="preserve">trategiile implementate de managementul </w:t>
      </w:r>
      <w:r w:rsidRPr="0014321C">
        <w:rPr>
          <w:color w:val="0070C0"/>
        </w:rPr>
        <w:t>companiei au permis consolidarea poziț</w:t>
      </w:r>
      <w:r w:rsidR="00EE4765" w:rsidRPr="0014321C">
        <w:rPr>
          <w:color w:val="0070C0"/>
        </w:rPr>
        <w:t xml:space="preserve">iei </w:t>
      </w:r>
      <w:r w:rsidRPr="0014321C">
        <w:rPr>
          <w:color w:val="0070C0"/>
        </w:rPr>
        <w:t>acesteia în piața farmaceutică</w:t>
      </w:r>
      <w:r w:rsidR="00EE4765" w:rsidRPr="0014321C">
        <w:rPr>
          <w:color w:val="0070C0"/>
        </w:rPr>
        <w:t xml:space="preserve"> din Romani</w:t>
      </w:r>
      <w:r w:rsidRPr="0014321C">
        <w:rPr>
          <w:color w:val="0070C0"/>
        </w:rPr>
        <w:t>a, o piață foarte dinamică și î</w:t>
      </w:r>
      <w:r w:rsidR="00EE4765" w:rsidRPr="0014321C">
        <w:rPr>
          <w:color w:val="0070C0"/>
        </w:rPr>
        <w:t>ntr-</w:t>
      </w:r>
      <w:r w:rsidRPr="0014321C">
        <w:rPr>
          <w:color w:val="0070C0"/>
        </w:rPr>
        <w:t>o continuă</w:t>
      </w:r>
      <w:r w:rsidR="00EE4765" w:rsidRPr="0014321C">
        <w:rPr>
          <w:color w:val="0070C0"/>
        </w:rPr>
        <w:t xml:space="preserve"> schimbare.</w:t>
      </w:r>
    </w:p>
    <w:p w:rsidR="00BE4395" w:rsidRPr="0014321C" w:rsidRDefault="00BE4395" w:rsidP="004203B0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70C0"/>
        </w:rPr>
      </w:pPr>
      <w:r w:rsidRPr="0014321C">
        <w:rPr>
          <w:color w:val="0070C0"/>
        </w:rPr>
        <w:t>Creșterile au la bază, printre altele, schimbarea strategiei comerciale, de reorganizare a structurii forțelor de vânzare, respectiv consolidarea piețelor interne și externe, reconfigurarea unor procese si diminuarea unor consumuri.</w:t>
      </w:r>
      <w:r w:rsidR="00910425" w:rsidRPr="0014321C">
        <w:rPr>
          <w:color w:val="0070C0"/>
        </w:rPr>
        <w:t xml:space="preserve"> . Marjele de profitabilitate cu care operează </w:t>
      </w:r>
      <w:proofErr w:type="spellStart"/>
      <w:r w:rsidR="00910425" w:rsidRPr="0014321C">
        <w:rPr>
          <w:color w:val="0070C0"/>
        </w:rPr>
        <w:t>Biofarm</w:t>
      </w:r>
      <w:proofErr w:type="spellEnd"/>
      <w:r w:rsidR="00910425" w:rsidRPr="0014321C">
        <w:rPr>
          <w:color w:val="0070C0"/>
        </w:rPr>
        <w:t xml:space="preserve"> arată că aceasta este o firmă stabilă, care este capabilă să-și gestioneze eficient activitatea și să mențină o structură stabilă a cheltuielilor sale.</w:t>
      </w:r>
    </w:p>
    <w:p w:rsidR="00513089" w:rsidRPr="0014321C" w:rsidRDefault="00581FC2" w:rsidP="00581FC2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70C0"/>
        </w:rPr>
      </w:pPr>
      <w:r w:rsidRPr="0014321C">
        <w:rPr>
          <w:color w:val="0070C0"/>
        </w:rPr>
        <w:t xml:space="preserve">Strategiile adoptate </w:t>
      </w:r>
      <w:proofErr w:type="spellStart"/>
      <w:r w:rsidRPr="0014321C">
        <w:rPr>
          <w:color w:val="0070C0"/>
        </w:rPr>
        <w:t>sustin</w:t>
      </w:r>
      <w:proofErr w:type="spellEnd"/>
      <w:r w:rsidRPr="0014321C">
        <w:rPr>
          <w:color w:val="0070C0"/>
        </w:rPr>
        <w:t xml:space="preserve"> procesul </w:t>
      </w:r>
      <w:r w:rsidRPr="0014321C">
        <w:rPr>
          <w:color w:val="0070C0"/>
        </w:rPr>
        <w:t>de consolidare</w:t>
      </w:r>
      <w:r w:rsidRPr="0014321C">
        <w:rPr>
          <w:color w:val="0070C0"/>
        </w:rPr>
        <w:t xml:space="preserve"> al companiei in contextul actual al petei farmaceutice. Pentru anii </w:t>
      </w:r>
      <w:proofErr w:type="spellStart"/>
      <w:r w:rsidRPr="0014321C">
        <w:rPr>
          <w:color w:val="0070C0"/>
        </w:rPr>
        <w:t>urmatori</w:t>
      </w:r>
      <w:proofErr w:type="spellEnd"/>
      <w:r w:rsidRPr="0014321C">
        <w:rPr>
          <w:color w:val="0070C0"/>
        </w:rPr>
        <w:t xml:space="preserve"> echipa de management </w:t>
      </w:r>
      <w:proofErr w:type="spellStart"/>
      <w:r w:rsidRPr="0014321C">
        <w:rPr>
          <w:color w:val="0070C0"/>
        </w:rPr>
        <w:t>isi</w:t>
      </w:r>
      <w:proofErr w:type="spellEnd"/>
      <w:r w:rsidRPr="0014321C">
        <w:rPr>
          <w:color w:val="0070C0"/>
        </w:rPr>
        <w:t xml:space="preserve"> propune </w:t>
      </w:r>
      <w:proofErr w:type="spellStart"/>
      <w:r w:rsidRPr="0014321C">
        <w:rPr>
          <w:color w:val="0070C0"/>
        </w:rPr>
        <w:t>cresterea</w:t>
      </w:r>
      <w:proofErr w:type="spellEnd"/>
      <w:r w:rsidRPr="0014321C">
        <w:rPr>
          <w:color w:val="0070C0"/>
        </w:rPr>
        <w:t xml:space="preserve"> cotei de </w:t>
      </w:r>
      <w:proofErr w:type="spellStart"/>
      <w:r w:rsidRPr="0014321C">
        <w:rPr>
          <w:color w:val="0070C0"/>
        </w:rPr>
        <w:t>piata</w:t>
      </w:r>
      <w:proofErr w:type="spellEnd"/>
      <w:r w:rsidRPr="0014321C">
        <w:rPr>
          <w:color w:val="0070C0"/>
        </w:rPr>
        <w:t xml:space="preserve"> si eficientizarea </w:t>
      </w:r>
      <w:proofErr w:type="spellStart"/>
      <w:r w:rsidRPr="0014321C">
        <w:rPr>
          <w:color w:val="0070C0"/>
        </w:rPr>
        <w:t>activitatii</w:t>
      </w:r>
      <w:proofErr w:type="spellEnd"/>
      <w:r w:rsidRPr="0014321C">
        <w:rPr>
          <w:color w:val="0070C0"/>
        </w:rPr>
        <w:t xml:space="preserve"> </w:t>
      </w:r>
      <w:proofErr w:type="spellStart"/>
      <w:r w:rsidRPr="0014321C">
        <w:rPr>
          <w:color w:val="0070C0"/>
        </w:rPr>
        <w:t>operationale</w:t>
      </w:r>
      <w:proofErr w:type="spellEnd"/>
      <w:r w:rsidRPr="0014321C">
        <w:rPr>
          <w:color w:val="0070C0"/>
        </w:rPr>
        <w:t xml:space="preserve"> in vederea </w:t>
      </w:r>
      <w:proofErr w:type="spellStart"/>
      <w:r w:rsidRPr="0014321C">
        <w:rPr>
          <w:color w:val="0070C0"/>
        </w:rPr>
        <w:t>cresterii</w:t>
      </w:r>
      <w:proofErr w:type="spellEnd"/>
      <w:r w:rsidRPr="0014321C">
        <w:rPr>
          <w:color w:val="0070C0"/>
        </w:rPr>
        <w:t xml:space="preserve"> cotei de profitabilitate.</w:t>
      </w:r>
    </w:p>
    <w:p w:rsidR="00513089" w:rsidRDefault="00513089" w:rsidP="004203B0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</w:pPr>
    </w:p>
    <w:p w:rsidR="00C82DE2" w:rsidRPr="00CC16A0" w:rsidRDefault="00416A47" w:rsidP="004203B0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70C0"/>
        </w:rPr>
      </w:pPr>
      <w:r w:rsidRPr="00CC16A0">
        <w:rPr>
          <w:color w:val="0070C0"/>
        </w:rPr>
        <w:t xml:space="preserve">În ceea ce privește </w:t>
      </w:r>
      <w:r w:rsidR="006D26EE" w:rsidRPr="00CC16A0">
        <w:rPr>
          <w:color w:val="0070C0"/>
        </w:rPr>
        <w:t>compania ZENTIVA</w:t>
      </w:r>
      <w:r w:rsidR="00892AEE" w:rsidRPr="00CC16A0">
        <w:rPr>
          <w:color w:val="0070C0"/>
        </w:rPr>
        <w:t xml:space="preserve"> aceasta </w:t>
      </w:r>
      <w:r w:rsidR="00D01DA5" w:rsidRPr="00CC16A0">
        <w:rPr>
          <w:color w:val="0070C0"/>
        </w:rPr>
        <w:t xml:space="preserve"> </w:t>
      </w:r>
      <w:r w:rsidR="00892AEE" w:rsidRPr="00CC16A0">
        <w:rPr>
          <w:color w:val="0070C0"/>
        </w:rPr>
        <w:t>își ameliorează semnificativ rezultatele financiare,</w:t>
      </w:r>
      <w:r w:rsidR="00892AEE" w:rsidRPr="00CC16A0">
        <w:rPr>
          <w:color w:val="0070C0"/>
        </w:rPr>
        <w:t xml:space="preserve"> </w:t>
      </w:r>
      <w:proofErr w:type="spellStart"/>
      <w:r w:rsidR="00892AEE" w:rsidRPr="00CC16A0">
        <w:rPr>
          <w:color w:val="0070C0"/>
        </w:rPr>
        <w:t>avand</w:t>
      </w:r>
      <w:proofErr w:type="spellEnd"/>
      <w:r w:rsidR="00892AEE" w:rsidRPr="00CC16A0">
        <w:rPr>
          <w:color w:val="0070C0"/>
        </w:rPr>
        <w:t xml:space="preserve"> o p</w:t>
      </w:r>
      <w:r w:rsidR="00892AEE" w:rsidRPr="00CC16A0">
        <w:rPr>
          <w:color w:val="0070C0"/>
        </w:rPr>
        <w:t>rofitabilitate</w:t>
      </w:r>
      <w:r w:rsidR="00892AEE" w:rsidRPr="00CC16A0">
        <w:rPr>
          <w:color w:val="0070C0"/>
        </w:rPr>
        <w:t xml:space="preserve"> cu</w:t>
      </w:r>
      <w:r w:rsidR="00892AEE" w:rsidRPr="00CC16A0">
        <w:rPr>
          <w:color w:val="0070C0"/>
        </w:rPr>
        <w:t xml:space="preserve"> o dinamică </w:t>
      </w:r>
      <w:r w:rsidR="00892AEE" w:rsidRPr="00CC16A0">
        <w:rPr>
          <w:color w:val="0070C0"/>
        </w:rPr>
        <w:t>foarte</w:t>
      </w:r>
      <w:r w:rsidR="00892AEE" w:rsidRPr="00CC16A0">
        <w:rPr>
          <w:color w:val="0070C0"/>
        </w:rPr>
        <w:t xml:space="preserve"> bună. </w:t>
      </w:r>
      <w:proofErr w:type="spellStart"/>
      <w:r w:rsidR="008E24F4" w:rsidRPr="00CC16A0">
        <w:rPr>
          <w:color w:val="0070C0"/>
        </w:rPr>
        <w:t>C</w:t>
      </w:r>
      <w:r w:rsidR="00892AEE" w:rsidRPr="00CC16A0">
        <w:rPr>
          <w:color w:val="0070C0"/>
        </w:rPr>
        <w:t>resterea</w:t>
      </w:r>
      <w:proofErr w:type="spellEnd"/>
      <w:r w:rsidR="00892AEE" w:rsidRPr="00CC16A0">
        <w:rPr>
          <w:color w:val="0070C0"/>
        </w:rPr>
        <w:t xml:space="preserve"> acestora </w:t>
      </w:r>
      <w:r w:rsidR="006D26EE" w:rsidRPr="00CC16A0">
        <w:rPr>
          <w:color w:val="0070C0"/>
        </w:rPr>
        <w:t>se datorează atât performanței din zona industrială, cât și une</w:t>
      </w:r>
      <w:r w:rsidR="0013741A" w:rsidRPr="00CC16A0">
        <w:rPr>
          <w:color w:val="0070C0"/>
        </w:rPr>
        <w:t>i strategii comerciale</w:t>
      </w:r>
      <w:r w:rsidR="002713E0" w:rsidRPr="00CC16A0">
        <w:rPr>
          <w:color w:val="0070C0"/>
        </w:rPr>
        <w:t xml:space="preserve"> și investiționale</w:t>
      </w:r>
      <w:r w:rsidR="00C82DE2" w:rsidRPr="00CC16A0">
        <w:rPr>
          <w:color w:val="0070C0"/>
        </w:rPr>
        <w:t xml:space="preserve"> adecvate</w:t>
      </w:r>
      <w:r w:rsidR="00892AEE" w:rsidRPr="00CC16A0">
        <w:rPr>
          <w:color w:val="0070C0"/>
        </w:rPr>
        <w:t xml:space="preserve">. </w:t>
      </w:r>
    </w:p>
    <w:p w:rsidR="00E27A6E" w:rsidRPr="00CC16A0" w:rsidRDefault="006877FF" w:rsidP="006877FF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70C0"/>
        </w:rPr>
      </w:pPr>
      <w:r w:rsidRPr="00CC16A0">
        <w:rPr>
          <w:color w:val="0070C0"/>
        </w:rPr>
        <w:t xml:space="preserve">Pentru anul 2018 sunt </w:t>
      </w:r>
      <w:proofErr w:type="spellStart"/>
      <w:r w:rsidRPr="00CC16A0">
        <w:rPr>
          <w:color w:val="0070C0"/>
        </w:rPr>
        <w:t>prevazute</w:t>
      </w:r>
      <w:proofErr w:type="spellEnd"/>
      <w:r w:rsidRPr="00CC16A0">
        <w:rPr>
          <w:color w:val="0070C0"/>
        </w:rPr>
        <w:t xml:space="preserve"> </w:t>
      </w:r>
      <w:proofErr w:type="spellStart"/>
      <w:r w:rsidRPr="00CC16A0">
        <w:rPr>
          <w:color w:val="0070C0"/>
        </w:rPr>
        <w:t>investitii</w:t>
      </w:r>
      <w:proofErr w:type="spellEnd"/>
      <w:r w:rsidRPr="00CC16A0">
        <w:rPr>
          <w:color w:val="0070C0"/>
        </w:rPr>
        <w:t xml:space="preserve"> relativ mari (</w:t>
      </w:r>
      <w:r w:rsidRPr="00CC16A0">
        <w:rPr>
          <w:color w:val="0070C0"/>
        </w:rPr>
        <w:t>de 4,1 milioane EUR</w:t>
      </w:r>
      <w:r w:rsidRPr="00CC16A0">
        <w:rPr>
          <w:color w:val="0070C0"/>
        </w:rPr>
        <w:t>)</w:t>
      </w:r>
      <w:r w:rsidRPr="00CC16A0">
        <w:rPr>
          <w:color w:val="0070C0"/>
        </w:rPr>
        <w:t xml:space="preserve"> </w:t>
      </w:r>
      <w:r w:rsidRPr="00CC16A0">
        <w:rPr>
          <w:color w:val="0070C0"/>
        </w:rPr>
        <w:t xml:space="preserve">in </w:t>
      </w:r>
      <w:proofErr w:type="spellStart"/>
      <w:r w:rsidRPr="00CC16A0">
        <w:rPr>
          <w:color w:val="0070C0"/>
        </w:rPr>
        <w:t>imobilizari</w:t>
      </w:r>
      <w:proofErr w:type="spellEnd"/>
      <w:r w:rsidRPr="00CC16A0">
        <w:rPr>
          <w:color w:val="0070C0"/>
        </w:rPr>
        <w:t xml:space="preserve"> corporale pentru </w:t>
      </w:r>
      <w:proofErr w:type="spellStart"/>
      <w:r w:rsidRPr="00CC16A0">
        <w:rPr>
          <w:color w:val="0070C0"/>
        </w:rPr>
        <w:t>cresterea</w:t>
      </w:r>
      <w:proofErr w:type="spellEnd"/>
      <w:r w:rsidRPr="00CC16A0">
        <w:rPr>
          <w:color w:val="0070C0"/>
        </w:rPr>
        <w:t xml:space="preserve"> </w:t>
      </w:r>
      <w:proofErr w:type="spellStart"/>
      <w:r w:rsidRPr="00CC16A0">
        <w:rPr>
          <w:color w:val="0070C0"/>
        </w:rPr>
        <w:t>capacitatii</w:t>
      </w:r>
      <w:proofErr w:type="spellEnd"/>
      <w:r w:rsidRPr="00CC16A0">
        <w:rPr>
          <w:color w:val="0070C0"/>
        </w:rPr>
        <w:t xml:space="preserve"> de </w:t>
      </w:r>
      <w:proofErr w:type="spellStart"/>
      <w:r w:rsidRPr="00CC16A0">
        <w:rPr>
          <w:color w:val="0070C0"/>
        </w:rPr>
        <w:t>productie</w:t>
      </w:r>
      <w:proofErr w:type="spellEnd"/>
      <w:r w:rsidRPr="00CC16A0">
        <w:rPr>
          <w:color w:val="0070C0"/>
        </w:rPr>
        <w:t xml:space="preserve">, </w:t>
      </w:r>
      <w:r w:rsidRPr="00CC16A0">
        <w:rPr>
          <w:color w:val="0070C0"/>
        </w:rPr>
        <w:t>modernizarea echi</w:t>
      </w:r>
      <w:r w:rsidRPr="00CC16A0">
        <w:rPr>
          <w:color w:val="0070C0"/>
        </w:rPr>
        <w:t xml:space="preserve">pamentelor de </w:t>
      </w:r>
      <w:proofErr w:type="spellStart"/>
      <w:r w:rsidRPr="00CC16A0">
        <w:rPr>
          <w:color w:val="0070C0"/>
        </w:rPr>
        <w:t>productie</w:t>
      </w:r>
      <w:proofErr w:type="spellEnd"/>
      <w:r w:rsidRPr="00CC16A0">
        <w:rPr>
          <w:color w:val="0070C0"/>
        </w:rPr>
        <w:t xml:space="preserve">, asigurarea </w:t>
      </w:r>
      <w:proofErr w:type="spellStart"/>
      <w:r w:rsidRPr="00CC16A0">
        <w:rPr>
          <w:color w:val="0070C0"/>
        </w:rPr>
        <w:t>respectarii</w:t>
      </w:r>
      <w:proofErr w:type="spellEnd"/>
      <w:r w:rsidRPr="00CC16A0">
        <w:rPr>
          <w:color w:val="0070C0"/>
        </w:rPr>
        <w:t xml:space="preserve"> normelor de buna practica de </w:t>
      </w:r>
      <w:proofErr w:type="spellStart"/>
      <w:r w:rsidRPr="00CC16A0">
        <w:rPr>
          <w:color w:val="0070C0"/>
        </w:rPr>
        <w:t>fabricatie</w:t>
      </w:r>
      <w:proofErr w:type="spellEnd"/>
      <w:r w:rsidRPr="00CC16A0">
        <w:rPr>
          <w:color w:val="0070C0"/>
        </w:rPr>
        <w:t xml:space="preserve"> si, nu in ultimul </w:t>
      </w:r>
      <w:proofErr w:type="spellStart"/>
      <w:r w:rsidRPr="00CC16A0">
        <w:rPr>
          <w:color w:val="0070C0"/>
        </w:rPr>
        <w:t>rand</w:t>
      </w:r>
      <w:proofErr w:type="spellEnd"/>
      <w:r w:rsidRPr="00CC16A0">
        <w:rPr>
          <w:color w:val="0070C0"/>
        </w:rPr>
        <w:t xml:space="preserve">, </w:t>
      </w:r>
      <w:proofErr w:type="spellStart"/>
      <w:r w:rsidRPr="00CC16A0">
        <w:rPr>
          <w:color w:val="0070C0"/>
        </w:rPr>
        <w:t>mentinerea</w:t>
      </w:r>
      <w:proofErr w:type="spellEnd"/>
      <w:r w:rsidRPr="00CC16A0">
        <w:rPr>
          <w:color w:val="0070C0"/>
        </w:rPr>
        <w:t xml:space="preserve"> </w:t>
      </w:r>
      <w:proofErr w:type="spellStart"/>
      <w:r w:rsidRPr="00CC16A0">
        <w:rPr>
          <w:color w:val="0070C0"/>
        </w:rPr>
        <w:t>profitabilitatii</w:t>
      </w:r>
      <w:proofErr w:type="spellEnd"/>
      <w:r w:rsidRPr="00CC16A0">
        <w:rPr>
          <w:color w:val="0070C0"/>
        </w:rPr>
        <w:t>.</w:t>
      </w:r>
    </w:p>
    <w:p w:rsidR="006D26EE" w:rsidRPr="00CC16A0" w:rsidRDefault="006D26EE" w:rsidP="004203B0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70C0"/>
        </w:rPr>
      </w:pPr>
    </w:p>
    <w:p w:rsidR="00E27013" w:rsidRPr="00CC16A0" w:rsidRDefault="00E27013" w:rsidP="002D639B">
      <w:pPr>
        <w:pStyle w:val="NormalWeb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Strong"/>
          <w:color w:val="0070C0"/>
        </w:rPr>
      </w:pPr>
      <w:r w:rsidRPr="00CC16A0">
        <w:rPr>
          <w:rStyle w:val="Strong"/>
          <w:color w:val="0070C0"/>
        </w:rPr>
        <w:t>Concluzii</w:t>
      </w:r>
    </w:p>
    <w:p w:rsidR="006877FF" w:rsidRPr="00CC16A0" w:rsidRDefault="006877FF" w:rsidP="006877FF">
      <w:pPr>
        <w:pStyle w:val="NormalWeb"/>
        <w:tabs>
          <w:tab w:val="left" w:pos="851"/>
        </w:tabs>
        <w:spacing w:before="0" w:beforeAutospacing="0" w:after="0" w:afterAutospacing="0"/>
        <w:jc w:val="both"/>
        <w:rPr>
          <w:color w:val="0070C0"/>
        </w:rPr>
      </w:pPr>
      <w:r w:rsidRPr="00CC16A0">
        <w:rPr>
          <w:color w:val="0070C0"/>
        </w:rPr>
        <w:tab/>
      </w:r>
    </w:p>
    <w:p w:rsidR="00135E8C" w:rsidRPr="00CC16A0" w:rsidRDefault="00FB4CE0" w:rsidP="00FB4CE0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color w:val="0070C0"/>
        </w:rPr>
      </w:pPr>
      <w:r w:rsidRPr="00CC16A0">
        <w:rPr>
          <w:color w:val="0070C0"/>
        </w:rPr>
        <w:tab/>
      </w:r>
      <w:r w:rsidR="00135E8C" w:rsidRPr="00CC16A0">
        <w:rPr>
          <w:color w:val="0070C0"/>
        </w:rPr>
        <w:t xml:space="preserve">Sectorul farmaceutic a fost </w:t>
      </w:r>
      <w:proofErr w:type="spellStart"/>
      <w:r w:rsidR="00135E8C" w:rsidRPr="00CC16A0">
        <w:rPr>
          <w:color w:val="0070C0"/>
        </w:rPr>
        <w:t>şi</w:t>
      </w:r>
      <w:proofErr w:type="spellEnd"/>
      <w:r w:rsidR="00135E8C" w:rsidRPr="00CC16A0">
        <w:rPr>
          <w:color w:val="0070C0"/>
        </w:rPr>
        <w:t xml:space="preserve"> rămâne un sector strategic de bază în </w:t>
      </w:r>
      <w:proofErr w:type="spellStart"/>
      <w:r w:rsidR="00135E8C" w:rsidRPr="00CC16A0">
        <w:rPr>
          <w:color w:val="0070C0"/>
        </w:rPr>
        <w:t>intreaga</w:t>
      </w:r>
      <w:proofErr w:type="spellEnd"/>
      <w:r w:rsidR="00135E8C" w:rsidRPr="00CC16A0">
        <w:rPr>
          <w:color w:val="0070C0"/>
        </w:rPr>
        <w:t xml:space="preserve"> lume.</w:t>
      </w:r>
    </w:p>
    <w:p w:rsidR="00135E8C" w:rsidRPr="00CC16A0" w:rsidRDefault="006877FF" w:rsidP="00135E8C">
      <w:pPr>
        <w:pStyle w:val="NormalWeb"/>
        <w:spacing w:before="0" w:beforeAutospacing="0" w:after="0" w:afterAutospacing="0"/>
        <w:ind w:firstLine="567"/>
        <w:jc w:val="both"/>
        <w:rPr>
          <w:color w:val="0070C0"/>
        </w:rPr>
      </w:pPr>
      <w:r w:rsidRPr="00CC16A0">
        <w:rPr>
          <w:color w:val="0070C0"/>
        </w:rPr>
        <w:t xml:space="preserve">Toate </w:t>
      </w:r>
      <w:proofErr w:type="spellStart"/>
      <w:r w:rsidRPr="00CC16A0">
        <w:rPr>
          <w:color w:val="0070C0"/>
        </w:rPr>
        <w:t>susele</w:t>
      </w:r>
      <w:proofErr w:type="spellEnd"/>
      <w:r w:rsidRPr="00CC16A0">
        <w:rPr>
          <w:color w:val="0070C0"/>
        </w:rPr>
        <w:t xml:space="preserve"> de </w:t>
      </w:r>
      <w:proofErr w:type="spellStart"/>
      <w:r w:rsidRPr="00CC16A0">
        <w:rPr>
          <w:color w:val="0070C0"/>
        </w:rPr>
        <w:t>informatii</w:t>
      </w:r>
      <w:proofErr w:type="spellEnd"/>
      <w:r w:rsidRPr="00CC16A0">
        <w:rPr>
          <w:color w:val="0070C0"/>
        </w:rPr>
        <w:t xml:space="preserve"> studiate </w:t>
      </w:r>
      <w:proofErr w:type="spellStart"/>
      <w:r w:rsidRPr="00CC16A0">
        <w:rPr>
          <w:color w:val="0070C0"/>
        </w:rPr>
        <w:t>evidentiaza</w:t>
      </w:r>
      <w:proofErr w:type="spellEnd"/>
      <w:r w:rsidRPr="00CC16A0">
        <w:rPr>
          <w:color w:val="0070C0"/>
        </w:rPr>
        <w:t xml:space="preserve"> faptul ca </w:t>
      </w:r>
      <w:proofErr w:type="spellStart"/>
      <w:r w:rsidRPr="00CC16A0">
        <w:rPr>
          <w:color w:val="0070C0"/>
        </w:rPr>
        <w:t>piata</w:t>
      </w:r>
      <w:proofErr w:type="spellEnd"/>
      <w:r w:rsidRPr="00CC16A0">
        <w:rPr>
          <w:color w:val="0070C0"/>
        </w:rPr>
        <w:t xml:space="preserve"> farmaceutica, </w:t>
      </w:r>
      <w:proofErr w:type="spellStart"/>
      <w:r w:rsidRPr="00CC16A0">
        <w:rPr>
          <w:color w:val="0070C0"/>
        </w:rPr>
        <w:t>atat</w:t>
      </w:r>
      <w:proofErr w:type="spellEnd"/>
      <w:r w:rsidRPr="00CC16A0">
        <w:rPr>
          <w:color w:val="0070C0"/>
        </w:rPr>
        <w:t xml:space="preserve"> externa cat si interna este o </w:t>
      </w:r>
      <w:proofErr w:type="spellStart"/>
      <w:r w:rsidRPr="00CC16A0">
        <w:rPr>
          <w:color w:val="0070C0"/>
        </w:rPr>
        <w:t>piata</w:t>
      </w:r>
      <w:proofErr w:type="spellEnd"/>
      <w:r w:rsidRPr="00CC16A0">
        <w:rPr>
          <w:color w:val="0070C0"/>
        </w:rPr>
        <w:t xml:space="preserve"> cu rentabilitate ridicata, cu numeroase </w:t>
      </w:r>
      <w:proofErr w:type="spellStart"/>
      <w:r w:rsidRPr="00CC16A0">
        <w:rPr>
          <w:color w:val="0070C0"/>
        </w:rPr>
        <w:t>oportunitati</w:t>
      </w:r>
      <w:proofErr w:type="spellEnd"/>
      <w:r w:rsidRPr="00CC16A0">
        <w:rPr>
          <w:color w:val="0070C0"/>
        </w:rPr>
        <w:t xml:space="preserve"> de dezvoltare si </w:t>
      </w:r>
      <w:proofErr w:type="spellStart"/>
      <w:r w:rsidRPr="00CC16A0">
        <w:rPr>
          <w:color w:val="0070C0"/>
        </w:rPr>
        <w:t>crestere</w:t>
      </w:r>
      <w:proofErr w:type="spellEnd"/>
      <w:r w:rsidR="00363B1D" w:rsidRPr="00CC16A0">
        <w:rPr>
          <w:color w:val="0070C0"/>
        </w:rPr>
        <w:t>.</w:t>
      </w:r>
      <w:r w:rsidRPr="00CC16A0">
        <w:rPr>
          <w:color w:val="0070C0"/>
        </w:rPr>
        <w:t xml:space="preserve"> </w:t>
      </w:r>
      <w:r w:rsidR="00363B1D" w:rsidRPr="00CC16A0">
        <w:rPr>
          <w:color w:val="0070C0"/>
        </w:rPr>
        <w:t xml:space="preserve">In </w:t>
      </w:r>
      <w:proofErr w:type="spellStart"/>
      <w:r w:rsidR="00363B1D" w:rsidRPr="00CC16A0">
        <w:rPr>
          <w:color w:val="0070C0"/>
        </w:rPr>
        <w:t>acelasi</w:t>
      </w:r>
      <w:proofErr w:type="spellEnd"/>
      <w:r w:rsidR="00363B1D" w:rsidRPr="00CC16A0">
        <w:rPr>
          <w:color w:val="0070C0"/>
        </w:rPr>
        <w:t xml:space="preserve"> timp companiile ce </w:t>
      </w:r>
      <w:proofErr w:type="spellStart"/>
      <w:r w:rsidR="00363B1D" w:rsidRPr="00CC16A0">
        <w:rPr>
          <w:color w:val="0070C0"/>
        </w:rPr>
        <w:t>activeaza</w:t>
      </w:r>
      <w:proofErr w:type="spellEnd"/>
      <w:r w:rsidR="00363B1D" w:rsidRPr="00CC16A0">
        <w:rPr>
          <w:color w:val="0070C0"/>
        </w:rPr>
        <w:t xml:space="preserve"> in acest domeniu sunt confruntate</w:t>
      </w:r>
      <w:r w:rsidRPr="00CC16A0">
        <w:rPr>
          <w:color w:val="0070C0"/>
        </w:rPr>
        <w:t xml:space="preserve"> </w:t>
      </w:r>
      <w:r w:rsidR="00363B1D" w:rsidRPr="00CC16A0">
        <w:rPr>
          <w:color w:val="0070C0"/>
        </w:rPr>
        <w:t xml:space="preserve">cu numeroase </w:t>
      </w:r>
      <w:proofErr w:type="spellStart"/>
      <w:r w:rsidR="00363B1D" w:rsidRPr="00CC16A0">
        <w:rPr>
          <w:color w:val="0070C0"/>
        </w:rPr>
        <w:t>provocari</w:t>
      </w:r>
      <w:r w:rsidR="00135E8C" w:rsidRPr="00CC16A0">
        <w:rPr>
          <w:color w:val="0070C0"/>
        </w:rPr>
        <w:t>.</w:t>
      </w:r>
      <w:proofErr w:type="spellEnd"/>
    </w:p>
    <w:p w:rsidR="00363B1D" w:rsidRPr="00CC16A0" w:rsidRDefault="00363B1D" w:rsidP="00135E8C">
      <w:pPr>
        <w:pStyle w:val="NormalWeb"/>
        <w:spacing w:before="0" w:beforeAutospacing="0" w:after="0" w:afterAutospacing="0"/>
        <w:ind w:firstLine="567"/>
        <w:jc w:val="both"/>
        <w:rPr>
          <w:rStyle w:val="Hyperlink"/>
          <w:color w:val="0070C0"/>
        </w:rPr>
      </w:pPr>
      <w:r w:rsidRPr="00CC16A0">
        <w:rPr>
          <w:color w:val="0070C0"/>
        </w:rPr>
        <w:t xml:space="preserve">Europa se confruntă cu provocări noi în domeniul </w:t>
      </w:r>
      <w:proofErr w:type="spellStart"/>
      <w:r w:rsidRPr="00CC16A0">
        <w:rPr>
          <w:color w:val="0070C0"/>
        </w:rPr>
        <w:t>sănătăţii</w:t>
      </w:r>
      <w:proofErr w:type="spellEnd"/>
      <w:r w:rsidRPr="00CC16A0">
        <w:rPr>
          <w:color w:val="0070C0"/>
        </w:rPr>
        <w:t xml:space="preserve"> publice, </w:t>
      </w:r>
      <w:proofErr w:type="spellStart"/>
      <w:r w:rsidRPr="00CC16A0">
        <w:rPr>
          <w:color w:val="0070C0"/>
        </w:rPr>
        <w:t>ştiinţific</w:t>
      </w:r>
      <w:proofErr w:type="spellEnd"/>
      <w:r w:rsidRPr="00CC16A0">
        <w:rPr>
          <w:color w:val="0070C0"/>
        </w:rPr>
        <w:t xml:space="preserve"> </w:t>
      </w:r>
      <w:proofErr w:type="spellStart"/>
      <w:r w:rsidRPr="00CC16A0">
        <w:rPr>
          <w:color w:val="0070C0"/>
        </w:rPr>
        <w:t>şi</w:t>
      </w:r>
      <w:proofErr w:type="spellEnd"/>
      <w:r w:rsidRPr="00CC16A0">
        <w:rPr>
          <w:color w:val="0070C0"/>
        </w:rPr>
        <w:t xml:space="preserve"> economic:  globalizarea sectorului </w:t>
      </w:r>
      <w:proofErr w:type="spellStart"/>
      <w:r w:rsidRPr="00CC16A0">
        <w:rPr>
          <w:color w:val="0070C0"/>
        </w:rPr>
        <w:t>şi</w:t>
      </w:r>
      <w:proofErr w:type="spellEnd"/>
      <w:r w:rsidRPr="00CC16A0">
        <w:rPr>
          <w:color w:val="0070C0"/>
        </w:rPr>
        <w:t xml:space="preserve"> </w:t>
      </w:r>
      <w:proofErr w:type="spellStart"/>
      <w:r w:rsidRPr="00CC16A0">
        <w:rPr>
          <w:color w:val="0070C0"/>
        </w:rPr>
        <w:t>internaţionalizarea</w:t>
      </w:r>
      <w:proofErr w:type="spellEnd"/>
      <w:r w:rsidRPr="00CC16A0">
        <w:rPr>
          <w:color w:val="0070C0"/>
        </w:rPr>
        <w:t xml:space="preserve"> în continuă </w:t>
      </w:r>
      <w:proofErr w:type="spellStart"/>
      <w:r w:rsidRPr="00CC16A0">
        <w:rPr>
          <w:color w:val="0070C0"/>
        </w:rPr>
        <w:t>creştere</w:t>
      </w:r>
      <w:proofErr w:type="spellEnd"/>
      <w:r w:rsidRPr="00CC16A0">
        <w:rPr>
          <w:color w:val="0070C0"/>
        </w:rPr>
        <w:t xml:space="preserve"> a </w:t>
      </w:r>
      <w:proofErr w:type="spellStart"/>
      <w:r w:rsidRPr="00CC16A0">
        <w:rPr>
          <w:color w:val="0070C0"/>
        </w:rPr>
        <w:t>lanţului</w:t>
      </w:r>
      <w:proofErr w:type="spellEnd"/>
      <w:r w:rsidRPr="00CC16A0">
        <w:rPr>
          <w:color w:val="0070C0"/>
        </w:rPr>
        <w:t xml:space="preserve"> de valori; buna </w:t>
      </w:r>
      <w:proofErr w:type="spellStart"/>
      <w:r w:rsidRPr="00CC16A0">
        <w:rPr>
          <w:color w:val="0070C0"/>
        </w:rPr>
        <w:t>funcţionare</w:t>
      </w:r>
      <w:proofErr w:type="spellEnd"/>
      <w:r w:rsidRPr="00CC16A0">
        <w:rPr>
          <w:color w:val="0070C0"/>
        </w:rPr>
        <w:t xml:space="preserve"> a </w:t>
      </w:r>
      <w:proofErr w:type="spellStart"/>
      <w:r w:rsidRPr="00CC16A0">
        <w:rPr>
          <w:color w:val="0070C0"/>
        </w:rPr>
        <w:t>pieţei</w:t>
      </w:r>
      <w:proofErr w:type="spellEnd"/>
      <w:r w:rsidRPr="00CC16A0">
        <w:rPr>
          <w:color w:val="0070C0"/>
        </w:rPr>
        <w:t xml:space="preserve"> interne într-o </w:t>
      </w:r>
      <w:proofErr w:type="spellStart"/>
      <w:r w:rsidRPr="00CC16A0">
        <w:rPr>
          <w:color w:val="0070C0"/>
        </w:rPr>
        <w:t>Europă</w:t>
      </w:r>
      <w:proofErr w:type="spellEnd"/>
      <w:r w:rsidRPr="00CC16A0">
        <w:rPr>
          <w:color w:val="0070C0"/>
        </w:rPr>
        <w:t xml:space="preserve"> în curs de extindere; precum </w:t>
      </w:r>
      <w:proofErr w:type="spellStart"/>
      <w:r w:rsidRPr="00CC16A0">
        <w:rPr>
          <w:color w:val="0070C0"/>
        </w:rPr>
        <w:t>şi</w:t>
      </w:r>
      <w:proofErr w:type="spellEnd"/>
      <w:r w:rsidRPr="00CC16A0">
        <w:rPr>
          <w:color w:val="0070C0"/>
        </w:rPr>
        <w:t xml:space="preserve"> progresele înregistrate în </w:t>
      </w:r>
      <w:proofErr w:type="spellStart"/>
      <w:r w:rsidRPr="00CC16A0">
        <w:rPr>
          <w:color w:val="0070C0"/>
        </w:rPr>
        <w:t>ştiinţă</w:t>
      </w:r>
      <w:proofErr w:type="spellEnd"/>
      <w:r w:rsidRPr="00CC16A0">
        <w:rPr>
          <w:color w:val="0070C0"/>
        </w:rPr>
        <w:t xml:space="preserve"> </w:t>
      </w:r>
      <w:proofErr w:type="spellStart"/>
      <w:r w:rsidRPr="00CC16A0">
        <w:rPr>
          <w:color w:val="0070C0"/>
        </w:rPr>
        <w:t>şi</w:t>
      </w:r>
      <w:proofErr w:type="spellEnd"/>
      <w:r w:rsidRPr="00CC16A0">
        <w:rPr>
          <w:color w:val="0070C0"/>
        </w:rPr>
        <w:t xml:space="preserve"> tehnologie (</w:t>
      </w:r>
      <w:r w:rsidRPr="00CC16A0">
        <w:rPr>
          <w:color w:val="0070C0"/>
        </w:rPr>
        <w:fldChar w:fldCharType="begin"/>
      </w:r>
      <w:r w:rsidRPr="00CC16A0">
        <w:rPr>
          <w:color w:val="0070C0"/>
        </w:rPr>
        <w:instrText xml:space="preserve"> HYPERLINK "http://ec.europa.eu/DocsRoom/documents/2360/attachments/1/translations/ro/renditions/pdf" </w:instrText>
      </w:r>
      <w:r w:rsidRPr="00CC16A0">
        <w:rPr>
          <w:color w:val="0070C0"/>
        </w:rPr>
        <w:fldChar w:fldCharType="separate"/>
      </w:r>
      <w:r w:rsidRPr="00CC16A0">
        <w:rPr>
          <w:rStyle w:val="Hyperlink"/>
          <w:color w:val="0070C0"/>
        </w:rPr>
        <w:t>ec.europa.eu/DocsRoom/documents/2360/attachments/1/translations/ro)</w:t>
      </w:r>
      <w:r w:rsidR="00FB4CE0" w:rsidRPr="00CC16A0">
        <w:rPr>
          <w:rStyle w:val="Hyperlink"/>
          <w:color w:val="0070C0"/>
        </w:rPr>
        <w:t xml:space="preserve">. </w:t>
      </w:r>
    </w:p>
    <w:p w:rsidR="00363B1D" w:rsidRPr="00CC16A0" w:rsidRDefault="00363B1D" w:rsidP="00FB4CE0">
      <w:pPr>
        <w:pStyle w:val="NormalWeb"/>
        <w:spacing w:before="0" w:beforeAutospacing="0" w:after="0" w:afterAutospacing="0"/>
        <w:ind w:firstLine="567"/>
        <w:jc w:val="both"/>
        <w:rPr>
          <w:color w:val="0070C0"/>
        </w:rPr>
      </w:pPr>
      <w:r w:rsidRPr="00CC16A0">
        <w:rPr>
          <w:color w:val="0070C0"/>
        </w:rPr>
        <w:fldChar w:fldCharType="end"/>
      </w:r>
      <w:r w:rsidR="00FB4CE0" w:rsidRPr="00CC16A0">
        <w:rPr>
          <w:color w:val="0070C0"/>
        </w:rPr>
        <w:t xml:space="preserve">Tehnologii, terapii </w:t>
      </w:r>
      <w:proofErr w:type="spellStart"/>
      <w:r w:rsidR="00FB4CE0" w:rsidRPr="00CC16A0">
        <w:rPr>
          <w:color w:val="0070C0"/>
        </w:rPr>
        <w:t>şi</w:t>
      </w:r>
      <w:proofErr w:type="spellEnd"/>
      <w:r w:rsidR="00FB4CE0" w:rsidRPr="00CC16A0">
        <w:rPr>
          <w:color w:val="0070C0"/>
        </w:rPr>
        <w:t xml:space="preserve"> medicamente noi </w:t>
      </w:r>
      <w:proofErr w:type="spellStart"/>
      <w:r w:rsidR="00FB4CE0" w:rsidRPr="00CC16A0">
        <w:rPr>
          <w:color w:val="0070C0"/>
        </w:rPr>
        <w:t>îşi</w:t>
      </w:r>
      <w:proofErr w:type="spellEnd"/>
      <w:r w:rsidR="00FB4CE0" w:rsidRPr="00CC16A0">
        <w:rPr>
          <w:color w:val="0070C0"/>
        </w:rPr>
        <w:t xml:space="preserve"> fac </w:t>
      </w:r>
      <w:proofErr w:type="spellStart"/>
      <w:r w:rsidR="00FB4CE0" w:rsidRPr="00CC16A0">
        <w:rPr>
          <w:color w:val="0070C0"/>
        </w:rPr>
        <w:t>apariţia.afectatand</w:t>
      </w:r>
      <w:proofErr w:type="spellEnd"/>
      <w:r w:rsidR="00FB4CE0" w:rsidRPr="00CC16A0">
        <w:rPr>
          <w:color w:val="0070C0"/>
        </w:rPr>
        <w:t xml:space="preserve"> deja strategia de dezvoltare a companiilor din UE, structura industriei - prin crearea de întreprinderi mici </w:t>
      </w:r>
      <w:proofErr w:type="spellStart"/>
      <w:r w:rsidR="00FB4CE0" w:rsidRPr="00CC16A0">
        <w:rPr>
          <w:color w:val="0070C0"/>
        </w:rPr>
        <w:t>şi</w:t>
      </w:r>
      <w:proofErr w:type="spellEnd"/>
      <w:r w:rsidR="00FB4CE0" w:rsidRPr="00CC16A0">
        <w:rPr>
          <w:color w:val="0070C0"/>
        </w:rPr>
        <w:t xml:space="preserve"> mijlocii deosebit de inovatoare -, </w:t>
      </w:r>
      <w:proofErr w:type="spellStart"/>
      <w:r w:rsidR="00FB4CE0" w:rsidRPr="00CC16A0">
        <w:rPr>
          <w:color w:val="0070C0"/>
        </w:rPr>
        <w:t>concepţia</w:t>
      </w:r>
      <w:proofErr w:type="spellEnd"/>
      <w:r w:rsidR="00FB4CE0" w:rsidRPr="00CC16A0">
        <w:rPr>
          <w:color w:val="0070C0"/>
        </w:rPr>
        <w:t xml:space="preserve"> studiilor clinice </w:t>
      </w:r>
      <w:proofErr w:type="spellStart"/>
      <w:r w:rsidR="00FB4CE0" w:rsidRPr="00CC16A0">
        <w:rPr>
          <w:color w:val="0070C0"/>
        </w:rPr>
        <w:t>şi</w:t>
      </w:r>
      <w:proofErr w:type="spellEnd"/>
      <w:r w:rsidR="00FB4CE0" w:rsidRPr="00CC16A0">
        <w:rPr>
          <w:color w:val="0070C0"/>
        </w:rPr>
        <w:t xml:space="preserve"> modul în care sunt prescrise </w:t>
      </w:r>
      <w:r w:rsidR="00FB4CE0" w:rsidRPr="00CC16A0">
        <w:rPr>
          <w:color w:val="0070C0"/>
        </w:rPr>
        <w:t>medicamentele</w:t>
      </w:r>
      <w:r w:rsidR="00FB4CE0" w:rsidRPr="00CC16A0">
        <w:rPr>
          <w:color w:val="0070C0"/>
        </w:rPr>
        <w:t>.</w:t>
      </w:r>
    </w:p>
    <w:p w:rsidR="006877FF" w:rsidRPr="00CC16A0" w:rsidRDefault="00FB4CE0" w:rsidP="007228F4">
      <w:pPr>
        <w:pStyle w:val="NormalWeb"/>
        <w:spacing w:before="0" w:beforeAutospacing="0" w:after="0" w:afterAutospacing="0"/>
        <w:ind w:firstLine="567"/>
        <w:jc w:val="both"/>
        <w:rPr>
          <w:color w:val="0070C0"/>
        </w:rPr>
      </w:pPr>
      <w:r w:rsidRPr="00CC16A0">
        <w:rPr>
          <w:color w:val="0070C0"/>
        </w:rPr>
        <w:t xml:space="preserve">Devine evident faptul ca </w:t>
      </w:r>
      <w:r w:rsidR="00363B1D" w:rsidRPr="00CC16A0">
        <w:rPr>
          <w:color w:val="0070C0"/>
        </w:rPr>
        <w:t>inovația, viteza de reacție la piață și eficiența costurilor sunt elementele cheie pentru succesul unei companii farmaceutice.</w:t>
      </w:r>
    </w:p>
    <w:p w:rsidR="00C860E3" w:rsidRPr="00CC16A0" w:rsidRDefault="00FB4CE0" w:rsidP="007228F4">
      <w:pPr>
        <w:pStyle w:val="NormalWeb"/>
        <w:spacing w:before="0" w:beforeAutospacing="0" w:after="0" w:afterAutospacing="0"/>
        <w:ind w:firstLine="567"/>
        <w:jc w:val="both"/>
        <w:rPr>
          <w:color w:val="0070C0"/>
        </w:rPr>
      </w:pPr>
      <w:r w:rsidRPr="00CC16A0">
        <w:rPr>
          <w:color w:val="0070C0"/>
        </w:rPr>
        <w:t xml:space="preserve">In  ceea ce </w:t>
      </w:r>
      <w:proofErr w:type="spellStart"/>
      <w:r w:rsidRPr="00CC16A0">
        <w:rPr>
          <w:color w:val="0070C0"/>
        </w:rPr>
        <w:t>priveste</w:t>
      </w:r>
      <w:proofErr w:type="spellEnd"/>
      <w:r w:rsidRPr="00CC16A0">
        <w:rPr>
          <w:color w:val="0070C0"/>
        </w:rPr>
        <w:t xml:space="preserve"> Romania, c</w:t>
      </w:r>
      <w:r w:rsidR="00AB11A5" w:rsidRPr="00CC16A0">
        <w:rPr>
          <w:color w:val="0070C0"/>
        </w:rPr>
        <w:t xml:space="preserve">onform datelor publicate </w:t>
      </w:r>
      <w:r w:rsidR="00AB11A5" w:rsidRPr="00CC16A0">
        <w:rPr>
          <w:bCs/>
          <w:color w:val="0070C0"/>
        </w:rPr>
        <w:t>de Organizația pentru Cooperare și Dezvoltare Economică (</w:t>
      </w:r>
      <w:r w:rsidR="00AB11A5" w:rsidRPr="00CC16A0">
        <w:rPr>
          <w:bCs/>
          <w:i/>
          <w:color w:val="0070C0"/>
        </w:rPr>
        <w:t>OECD</w:t>
      </w:r>
      <w:r w:rsidR="00AB11A5" w:rsidRPr="00CC16A0">
        <w:rPr>
          <w:bCs/>
          <w:color w:val="0070C0"/>
        </w:rPr>
        <w:t xml:space="preserve">) </w:t>
      </w:r>
      <w:r w:rsidR="00AB11A5" w:rsidRPr="00CC16A0">
        <w:rPr>
          <w:color w:val="0070C0"/>
        </w:rPr>
        <w:t>î</w:t>
      </w:r>
      <w:r w:rsidR="00C860E3" w:rsidRPr="00CC16A0">
        <w:rPr>
          <w:color w:val="0070C0"/>
        </w:rPr>
        <w:t xml:space="preserve">n raportul </w:t>
      </w:r>
      <w:r w:rsidR="00C860E3" w:rsidRPr="00CC16A0">
        <w:rPr>
          <w:i/>
          <w:color w:val="0070C0"/>
        </w:rPr>
        <w:t>"</w:t>
      </w:r>
      <w:proofErr w:type="spellStart"/>
      <w:r w:rsidR="00C860E3" w:rsidRPr="00CC16A0">
        <w:rPr>
          <w:i/>
          <w:color w:val="0070C0"/>
        </w:rPr>
        <w:t>Health</w:t>
      </w:r>
      <w:proofErr w:type="spellEnd"/>
      <w:r w:rsidR="00C860E3" w:rsidRPr="00CC16A0">
        <w:rPr>
          <w:i/>
          <w:color w:val="0070C0"/>
        </w:rPr>
        <w:t xml:space="preserve"> at a </w:t>
      </w:r>
      <w:proofErr w:type="spellStart"/>
      <w:r w:rsidR="00C860E3" w:rsidRPr="00CC16A0">
        <w:rPr>
          <w:i/>
          <w:color w:val="0070C0"/>
        </w:rPr>
        <w:t>Glance</w:t>
      </w:r>
      <w:proofErr w:type="spellEnd"/>
      <w:r w:rsidR="00C860E3" w:rsidRPr="00CC16A0">
        <w:rPr>
          <w:i/>
          <w:color w:val="0070C0"/>
        </w:rPr>
        <w:t>: Europe 2018"</w:t>
      </w:r>
      <w:r w:rsidR="00AB11A5" w:rsidRPr="00CC16A0">
        <w:rPr>
          <w:color w:val="0070C0"/>
        </w:rPr>
        <w:t>, România a alocat î</w:t>
      </w:r>
      <w:r w:rsidR="00C860E3" w:rsidRPr="00CC16A0">
        <w:rPr>
          <w:color w:val="0070C0"/>
        </w:rPr>
        <w:t xml:space="preserve">n </w:t>
      </w:r>
      <w:r w:rsidR="00AB11A5" w:rsidRPr="00CC16A0">
        <w:rPr>
          <w:color w:val="0070C0"/>
        </w:rPr>
        <w:t>anul 2017 doar 5,1% din PIB pentru sănă</w:t>
      </w:r>
      <w:r w:rsidR="00C860E3" w:rsidRPr="00CC16A0">
        <w:rPr>
          <w:color w:val="0070C0"/>
        </w:rPr>
        <w:t xml:space="preserve">tate, </w:t>
      </w:r>
      <w:r w:rsidR="00C860E3" w:rsidRPr="00CC16A0">
        <w:rPr>
          <w:bCs/>
          <w:color w:val="0070C0"/>
        </w:rPr>
        <w:t>cel mai m</w:t>
      </w:r>
      <w:r w:rsidR="00AB11A5" w:rsidRPr="00CC16A0">
        <w:rPr>
          <w:bCs/>
          <w:color w:val="0070C0"/>
        </w:rPr>
        <w:t xml:space="preserve">ic procent din Uniunea Europeană, mult sub media europeană </w:t>
      </w:r>
      <w:r w:rsidR="00AB11A5" w:rsidRPr="00CC16A0">
        <w:rPr>
          <w:bCs/>
          <w:color w:val="0070C0"/>
          <w:lang w:val="en-US"/>
        </w:rPr>
        <w:t>(9,6%)</w:t>
      </w:r>
      <w:r w:rsidR="00AB11A5" w:rsidRPr="00CC16A0">
        <w:rPr>
          <w:color w:val="0070C0"/>
        </w:rPr>
        <w:t xml:space="preserve">; </w:t>
      </w:r>
      <w:r w:rsidR="00C860E3" w:rsidRPr="00CC16A0">
        <w:rPr>
          <w:color w:val="0070C0"/>
        </w:rPr>
        <w:t>c</w:t>
      </w:r>
      <w:r w:rsidR="00AB11A5" w:rsidRPr="00CC16A0">
        <w:rPr>
          <w:color w:val="0070C0"/>
        </w:rPr>
        <w:t>el mai mare buget fiind alocat în Franț</w:t>
      </w:r>
      <w:r w:rsidR="00C860E3" w:rsidRPr="00CC16A0">
        <w:rPr>
          <w:color w:val="0070C0"/>
        </w:rPr>
        <w:t>a, 11,5% din PIB.</w:t>
      </w:r>
    </w:p>
    <w:p w:rsidR="00C860E3" w:rsidRPr="00CC16A0" w:rsidRDefault="005E4C77" w:rsidP="007228F4">
      <w:pPr>
        <w:pStyle w:val="NormalWeb"/>
        <w:spacing w:before="0" w:beforeAutospacing="0" w:after="0" w:afterAutospacing="0"/>
        <w:ind w:firstLine="567"/>
        <w:jc w:val="both"/>
        <w:rPr>
          <w:color w:val="0070C0"/>
        </w:rPr>
      </w:pPr>
      <w:r w:rsidRPr="00CC16A0">
        <w:rPr>
          <w:color w:val="0070C0"/>
        </w:rPr>
        <w:lastRenderedPageBreak/>
        <w:t>România se situează</w:t>
      </w:r>
      <w:r w:rsidR="00C860E3" w:rsidRPr="00CC16A0">
        <w:rPr>
          <w:color w:val="0070C0"/>
        </w:rPr>
        <w:t xml:space="preserve"> </w:t>
      </w:r>
      <w:r w:rsidR="00FB4CE0" w:rsidRPr="00CC16A0">
        <w:rPr>
          <w:color w:val="0070C0"/>
        </w:rPr>
        <w:t xml:space="preserve">astfel </w:t>
      </w:r>
      <w:r w:rsidR="00C860E3" w:rsidRPr="00CC16A0">
        <w:rPr>
          <w:color w:val="0070C0"/>
        </w:rPr>
        <w:t xml:space="preserve">la finalul </w:t>
      </w:r>
      <w:r w:rsidRPr="00CC16A0">
        <w:rPr>
          <w:color w:val="0070C0"/>
        </w:rPr>
        <w:t>clasamentului Uniunii Europene și în ceea ce privește cheltuielile pentru sănătate pe cap de locuitor ș</w:t>
      </w:r>
      <w:r w:rsidR="00C860E3" w:rsidRPr="00CC16A0">
        <w:rPr>
          <w:color w:val="0070C0"/>
        </w:rPr>
        <w:t>i cheltuiel</w:t>
      </w:r>
      <w:r w:rsidRPr="00CC16A0">
        <w:rPr>
          <w:color w:val="0070C0"/>
        </w:rPr>
        <w:t>ile cu pacienț</w:t>
      </w:r>
      <w:r w:rsidR="00C860E3" w:rsidRPr="00CC16A0">
        <w:rPr>
          <w:color w:val="0070C0"/>
        </w:rPr>
        <w:t>ii din spitale.</w:t>
      </w:r>
    </w:p>
    <w:p w:rsidR="000232B4" w:rsidRPr="00CC16A0" w:rsidRDefault="000232B4" w:rsidP="007228F4">
      <w:pPr>
        <w:pStyle w:val="NormalWeb"/>
        <w:spacing w:before="0" w:beforeAutospacing="0" w:after="0" w:afterAutospacing="0"/>
        <w:ind w:firstLine="567"/>
        <w:jc w:val="both"/>
        <w:rPr>
          <w:color w:val="0070C0"/>
        </w:rPr>
      </w:pPr>
      <w:r w:rsidRPr="00CC16A0">
        <w:rPr>
          <w:color w:val="0070C0"/>
        </w:rPr>
        <w:t>Bugetul alocat pentru sănă</w:t>
      </w:r>
      <w:r w:rsidR="00C860E3" w:rsidRPr="00CC16A0">
        <w:rPr>
          <w:color w:val="0070C0"/>
        </w:rPr>
        <w:t>ta</w:t>
      </w:r>
      <w:r w:rsidRPr="00CC16A0">
        <w:rPr>
          <w:color w:val="0070C0"/>
        </w:rPr>
        <w:t>te pe cap de locuitor reprezintă o treime din media europeană și este până la de cinci ori mai mic decât în Luxemburg, care alocă cei mai mulți bani pentru sănă</w:t>
      </w:r>
      <w:r w:rsidR="00C860E3" w:rsidRPr="00CC16A0">
        <w:rPr>
          <w:color w:val="0070C0"/>
        </w:rPr>
        <w:t xml:space="preserve">tate din acest punct de vedere. </w:t>
      </w:r>
    </w:p>
    <w:p w:rsidR="00FB4CE0" w:rsidRPr="00CC16A0" w:rsidRDefault="00FB4CE0" w:rsidP="007228F4">
      <w:pPr>
        <w:pStyle w:val="NormalWeb"/>
        <w:spacing w:before="0" w:beforeAutospacing="0" w:after="0" w:afterAutospacing="0"/>
        <w:ind w:firstLine="567"/>
        <w:jc w:val="both"/>
        <w:rPr>
          <w:color w:val="0070C0"/>
        </w:rPr>
      </w:pPr>
      <w:r w:rsidRPr="00CC16A0">
        <w:rPr>
          <w:color w:val="0070C0"/>
        </w:rPr>
        <w:t>Aspectele reliefate în prezentul articol s-au materializat în analiza profitabilității și a performanței financiare pe baza informațiilor degajate din raportările financiare anuale a trei companii farmaceutice listate la Bursa de valori din București</w:t>
      </w:r>
      <w:r w:rsidRPr="00CC16A0">
        <w:rPr>
          <w:color w:val="0070C0"/>
          <w:lang w:val="en-US"/>
        </w:rPr>
        <w:t xml:space="preserve">, </w:t>
      </w:r>
      <w:r w:rsidRPr="00CC16A0">
        <w:rPr>
          <w:color w:val="0070C0"/>
        </w:rPr>
        <w:t xml:space="preserve">în perioada 2013-2017. </w:t>
      </w:r>
    </w:p>
    <w:p w:rsidR="001227AB" w:rsidRPr="00CC16A0" w:rsidRDefault="001227AB" w:rsidP="007228F4">
      <w:pPr>
        <w:pStyle w:val="NormalWeb"/>
        <w:spacing w:before="0" w:beforeAutospacing="0" w:after="0" w:afterAutospacing="0"/>
        <w:ind w:firstLine="567"/>
        <w:jc w:val="both"/>
        <w:rPr>
          <w:color w:val="0070C0"/>
          <w:szCs w:val="20"/>
        </w:rPr>
      </w:pPr>
      <w:r w:rsidRPr="00CC16A0">
        <w:rPr>
          <w:color w:val="0070C0"/>
        </w:rPr>
        <w:t xml:space="preserve">Studiul realizat asupra celor trei companii din industria farmaceutică, listate la Bursa de Valori din București, în perioada 2013-2017, a confirmat faptul că </w:t>
      </w:r>
      <w:r w:rsidR="00FB4CE0" w:rsidRPr="00CC16A0">
        <w:rPr>
          <w:color w:val="0070C0"/>
        </w:rPr>
        <w:t xml:space="preserve">acestea, cu toate </w:t>
      </w:r>
      <w:proofErr w:type="spellStart"/>
      <w:r w:rsidR="00FB4CE0" w:rsidRPr="00CC16A0">
        <w:rPr>
          <w:color w:val="0070C0"/>
        </w:rPr>
        <w:t>provocarile</w:t>
      </w:r>
      <w:proofErr w:type="spellEnd"/>
      <w:r w:rsidR="00FB4CE0" w:rsidRPr="00CC16A0">
        <w:rPr>
          <w:color w:val="0070C0"/>
        </w:rPr>
        <w:t xml:space="preserve"> din mediul de afaceri </w:t>
      </w:r>
      <w:r w:rsidRPr="00CC16A0">
        <w:rPr>
          <w:color w:val="0070C0"/>
        </w:rPr>
        <w:t xml:space="preserve">au fost performante pe întreaga perioadă supusă cercetării, </w:t>
      </w:r>
      <w:r w:rsidR="00FB4CE0" w:rsidRPr="00CC16A0">
        <w:rPr>
          <w:color w:val="0070C0"/>
        </w:rPr>
        <w:t>chiar daca</w:t>
      </w:r>
      <w:r w:rsidRPr="00CC16A0">
        <w:rPr>
          <w:color w:val="0070C0"/>
        </w:rPr>
        <w:t xml:space="preserve"> se constată și unele diminuări ale indicatorilor analizați. </w:t>
      </w:r>
      <w:r w:rsidRPr="00CC16A0">
        <w:rPr>
          <w:color w:val="0070C0"/>
          <w:szCs w:val="20"/>
        </w:rPr>
        <w:t>Strategiile implementate de managementul celor trei companii au permis consolidarea poziției pe piața farmaceutică din Romania, o piață foarte dinamică și într-o continuă schimbare.</w:t>
      </w:r>
    </w:p>
    <w:p w:rsidR="00FB4CE0" w:rsidRPr="00CC16A0" w:rsidRDefault="00FB4CE0" w:rsidP="00CC16A0">
      <w:pPr>
        <w:pStyle w:val="NormalWeb"/>
        <w:spacing w:before="0" w:beforeAutospacing="0" w:after="0" w:afterAutospacing="0"/>
        <w:ind w:firstLine="567"/>
        <w:jc w:val="both"/>
        <w:rPr>
          <w:b/>
          <w:color w:val="0070C0"/>
        </w:rPr>
      </w:pPr>
      <w:r w:rsidRPr="00CC16A0">
        <w:rPr>
          <w:color w:val="0070C0"/>
          <w:szCs w:val="20"/>
        </w:rPr>
        <w:t xml:space="preserve">Aspectele surprinse in acest studiu sunt doar o parte a </w:t>
      </w:r>
      <w:r w:rsidR="00CC16A0" w:rsidRPr="00CC16A0">
        <w:rPr>
          <w:color w:val="0070C0"/>
          <w:szCs w:val="20"/>
        </w:rPr>
        <w:t xml:space="preserve">unei </w:t>
      </w:r>
      <w:proofErr w:type="spellStart"/>
      <w:r w:rsidR="00CC16A0" w:rsidRPr="00CC16A0">
        <w:rPr>
          <w:color w:val="0070C0"/>
          <w:szCs w:val="20"/>
        </w:rPr>
        <w:t>investigatii</w:t>
      </w:r>
      <w:proofErr w:type="spellEnd"/>
      <w:r w:rsidR="00CC16A0" w:rsidRPr="00CC16A0">
        <w:rPr>
          <w:color w:val="0070C0"/>
          <w:szCs w:val="20"/>
        </w:rPr>
        <w:t xml:space="preserve">  ce se poate realiza in acest domeniu extrem de complex si dinamic, </w:t>
      </w:r>
      <w:r w:rsidRPr="00CC16A0">
        <w:rPr>
          <w:color w:val="0070C0"/>
        </w:rPr>
        <w:t>lăsând deschise orizonturile unor cercetări viitoare.</w:t>
      </w:r>
    </w:p>
    <w:p w:rsidR="00FB4CE0" w:rsidRPr="00CC16A0" w:rsidRDefault="00FB4CE0" w:rsidP="007228F4">
      <w:pPr>
        <w:pStyle w:val="NormalWeb"/>
        <w:spacing w:before="0" w:beforeAutospacing="0" w:after="0" w:afterAutospacing="0"/>
        <w:ind w:firstLine="567"/>
        <w:jc w:val="both"/>
        <w:rPr>
          <w:b/>
          <w:color w:val="0070C0"/>
        </w:rPr>
      </w:pPr>
    </w:p>
    <w:p w:rsidR="00FB4CE0" w:rsidRPr="00CC16A0" w:rsidRDefault="00FB4CE0" w:rsidP="007228F4">
      <w:pPr>
        <w:pStyle w:val="NormalWeb"/>
        <w:spacing w:before="0" w:beforeAutospacing="0" w:after="0" w:afterAutospacing="0"/>
        <w:ind w:firstLine="567"/>
        <w:jc w:val="both"/>
        <w:rPr>
          <w:b/>
          <w:color w:val="0070C0"/>
        </w:rPr>
      </w:pPr>
    </w:p>
    <w:p w:rsidR="00FB4CE0" w:rsidRPr="00CC16A0" w:rsidRDefault="00FB4CE0" w:rsidP="007228F4">
      <w:pPr>
        <w:pStyle w:val="NormalWeb"/>
        <w:spacing w:before="0" w:beforeAutospacing="0" w:after="0" w:afterAutospacing="0"/>
        <w:ind w:firstLine="567"/>
        <w:jc w:val="both"/>
        <w:rPr>
          <w:b/>
          <w:color w:val="0070C0"/>
        </w:rPr>
      </w:pPr>
      <w:bookmarkStart w:id="0" w:name="_GoBack"/>
      <w:bookmarkEnd w:id="0"/>
    </w:p>
    <w:p w:rsidR="00FB4CE0" w:rsidRDefault="00FB4CE0" w:rsidP="007228F4">
      <w:pPr>
        <w:pStyle w:val="NormalWeb"/>
        <w:spacing w:before="0" w:beforeAutospacing="0" w:after="0" w:afterAutospacing="0"/>
        <w:ind w:firstLine="567"/>
        <w:jc w:val="both"/>
        <w:rPr>
          <w:b/>
        </w:rPr>
      </w:pPr>
    </w:p>
    <w:p w:rsidR="00C44EBB" w:rsidRPr="007228F4" w:rsidRDefault="00C44EBB" w:rsidP="007228F4">
      <w:pPr>
        <w:pStyle w:val="NormalWeb"/>
        <w:spacing w:before="0" w:beforeAutospacing="0" w:after="0" w:afterAutospacing="0"/>
        <w:ind w:firstLine="567"/>
        <w:jc w:val="both"/>
        <w:rPr>
          <w:b/>
        </w:rPr>
      </w:pPr>
      <w:r w:rsidRPr="007228F4">
        <w:rPr>
          <w:b/>
        </w:rPr>
        <w:t>Bibliografie</w:t>
      </w:r>
    </w:p>
    <w:p w:rsidR="009C5E13" w:rsidRPr="007228F4" w:rsidRDefault="009C5E13" w:rsidP="002D639B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28F4">
        <w:rPr>
          <w:rFonts w:ascii="Times New Roman" w:eastAsia="Calibri" w:hAnsi="Times New Roman" w:cs="Times New Roman"/>
          <w:sz w:val="24"/>
          <w:szCs w:val="24"/>
        </w:rPr>
        <w:t xml:space="preserve">Andy </w:t>
      </w:r>
      <w:proofErr w:type="spellStart"/>
      <w:r w:rsidRPr="007228F4">
        <w:rPr>
          <w:rFonts w:ascii="Times New Roman" w:eastAsia="Calibri" w:hAnsi="Times New Roman" w:cs="Times New Roman"/>
          <w:sz w:val="24"/>
          <w:szCs w:val="24"/>
        </w:rPr>
        <w:t>Powrie</w:t>
      </w:r>
      <w:proofErr w:type="spellEnd"/>
      <w:r w:rsidRPr="007228F4">
        <w:rPr>
          <w:rFonts w:ascii="Times New Roman" w:eastAsia="Calibri" w:hAnsi="Times New Roman" w:cs="Times New Roman"/>
          <w:sz w:val="24"/>
          <w:szCs w:val="24"/>
        </w:rPr>
        <w:t>-Smith</w:t>
      </w:r>
      <w:r w:rsidR="00F32BD3">
        <w:rPr>
          <w:rFonts w:ascii="Times New Roman" w:eastAsia="Calibri" w:hAnsi="Times New Roman" w:cs="Times New Roman"/>
          <w:sz w:val="24"/>
          <w:szCs w:val="24"/>
        </w:rPr>
        <w:t>,</w:t>
      </w:r>
      <w:r w:rsidRPr="007228F4">
        <w:rPr>
          <w:rFonts w:ascii="Times New Roman" w:eastAsia="Calibri" w:hAnsi="Times New Roman" w:cs="Times New Roman"/>
          <w:sz w:val="24"/>
          <w:szCs w:val="24"/>
        </w:rPr>
        <w:t xml:space="preserve"> (2009), </w:t>
      </w:r>
      <w:proofErr w:type="spellStart"/>
      <w:r w:rsidRPr="007228F4">
        <w:rPr>
          <w:rFonts w:ascii="Times New Roman" w:eastAsia="Calibri" w:hAnsi="Times New Roman" w:cs="Times New Roman"/>
          <w:i/>
          <w:sz w:val="24"/>
          <w:szCs w:val="24"/>
        </w:rPr>
        <w:t>Pharmaceutical</w:t>
      </w:r>
      <w:proofErr w:type="spellEnd"/>
      <w:r w:rsidRPr="007228F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Calibri" w:hAnsi="Times New Roman" w:cs="Times New Roman"/>
          <w:i/>
          <w:sz w:val="24"/>
          <w:szCs w:val="24"/>
        </w:rPr>
        <w:t>industries</w:t>
      </w:r>
      <w:proofErr w:type="spellEnd"/>
      <w:r w:rsidRPr="007228F4">
        <w:rPr>
          <w:rFonts w:ascii="Times New Roman" w:eastAsia="Calibri" w:hAnsi="Times New Roman" w:cs="Times New Roman"/>
          <w:i/>
          <w:sz w:val="24"/>
          <w:szCs w:val="24"/>
        </w:rPr>
        <w:t xml:space="preserve">: a </w:t>
      </w:r>
      <w:proofErr w:type="spellStart"/>
      <w:r w:rsidRPr="007228F4">
        <w:rPr>
          <w:rFonts w:ascii="Times New Roman" w:eastAsia="Calibri" w:hAnsi="Times New Roman" w:cs="Times New Roman"/>
          <w:i/>
          <w:sz w:val="24"/>
          <w:szCs w:val="24"/>
        </w:rPr>
        <w:t>healthier</w:t>
      </w:r>
      <w:proofErr w:type="spellEnd"/>
      <w:r w:rsidRPr="007228F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Calibri" w:hAnsi="Times New Roman" w:cs="Times New Roman"/>
          <w:i/>
          <w:sz w:val="24"/>
          <w:szCs w:val="24"/>
        </w:rPr>
        <w:t>future</w:t>
      </w:r>
      <w:proofErr w:type="spellEnd"/>
      <w:r w:rsidRPr="007228F4">
        <w:rPr>
          <w:rFonts w:ascii="Times New Roman" w:eastAsia="Calibri" w:hAnsi="Times New Roman" w:cs="Times New Roman"/>
          <w:i/>
          <w:sz w:val="24"/>
          <w:szCs w:val="24"/>
        </w:rPr>
        <w:t xml:space="preserve"> for Europe?,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28F4">
        <w:rPr>
          <w:rFonts w:ascii="Times New Roman" w:eastAsia="Calibri" w:hAnsi="Times New Roman" w:cs="Times New Roman"/>
          <w:sz w:val="24"/>
          <w:szCs w:val="24"/>
        </w:rPr>
        <w:t xml:space="preserve">The European </w:t>
      </w:r>
      <w:proofErr w:type="spellStart"/>
      <w:r w:rsidRPr="007228F4">
        <w:rPr>
          <w:rFonts w:ascii="Times New Roman" w:eastAsia="Calibri" w:hAnsi="Times New Roman" w:cs="Times New Roman"/>
          <w:sz w:val="24"/>
          <w:szCs w:val="24"/>
        </w:rPr>
        <w:t>Federation</w:t>
      </w:r>
      <w:proofErr w:type="spellEnd"/>
      <w:r w:rsidRPr="007228F4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 w:rsidRPr="007228F4">
        <w:rPr>
          <w:rFonts w:ascii="Times New Roman" w:eastAsia="Calibri" w:hAnsi="Times New Roman" w:cs="Times New Roman"/>
          <w:sz w:val="24"/>
          <w:szCs w:val="24"/>
        </w:rPr>
        <w:t>Pharmaceutical</w:t>
      </w:r>
      <w:proofErr w:type="spellEnd"/>
      <w:r w:rsidRPr="007228F4">
        <w:rPr>
          <w:rFonts w:ascii="Times New Roman" w:eastAsia="Calibri" w:hAnsi="Times New Roman" w:cs="Times New Roman"/>
          <w:sz w:val="24"/>
          <w:szCs w:val="24"/>
        </w:rPr>
        <w:t xml:space="preserve"> Industries </w:t>
      </w:r>
      <w:proofErr w:type="spellStart"/>
      <w:r w:rsidRPr="007228F4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722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Calibri" w:hAnsi="Times New Roman" w:cs="Times New Roman"/>
          <w:sz w:val="24"/>
          <w:szCs w:val="24"/>
        </w:rPr>
        <w:t>Associations</w:t>
      </w:r>
      <w:proofErr w:type="spellEnd"/>
      <w:r w:rsidRPr="007228F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44" w:history="1">
        <w:r w:rsidRPr="007228F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https://www.scitecheuropa.eu/pharmaceutical-industries-a-healthier-future-for-europe/92437/</w:t>
        </w:r>
      </w:hyperlink>
    </w:p>
    <w:p w:rsidR="009C5E13" w:rsidRPr="007228F4" w:rsidRDefault="009C5E13" w:rsidP="002D639B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228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Arthur S. Leahy, (2012), </w:t>
      </w:r>
      <w:r w:rsidRPr="007228F4">
        <w:rPr>
          <w:rFonts w:ascii="Times New Roman" w:eastAsia="Calibri" w:hAnsi="Times New Roman" w:cs="Times New Roman"/>
          <w:i/>
          <w:sz w:val="24"/>
          <w:szCs w:val="24"/>
          <w:lang w:val="en-US"/>
        </w:rPr>
        <w:t>The Determinants Of Profitability In The Pharmaceutical Industry,</w:t>
      </w:r>
      <w:r w:rsidRPr="007228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American Journal of Health Sciences – First Quarter 2012 Volume 3, Number 1, </w:t>
      </w:r>
      <w:hyperlink r:id="rId45" w:history="1">
        <w:r w:rsidRPr="007228F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https://clutejournals.com/index.php/AJHS/article/download/6751/6826</w:t>
        </w:r>
      </w:hyperlink>
    </w:p>
    <w:p w:rsidR="009C5E13" w:rsidRPr="007228F4" w:rsidRDefault="009C5E13" w:rsidP="002D639B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7228F4">
        <w:rPr>
          <w:rFonts w:ascii="Times New Roman" w:eastAsia="Calibri" w:hAnsi="Times New Roman" w:cs="Times New Roman"/>
          <w:sz w:val="24"/>
          <w:szCs w:val="24"/>
        </w:rPr>
        <w:t>Bronwyn</w:t>
      </w:r>
      <w:proofErr w:type="spellEnd"/>
      <w:r w:rsidRPr="007228F4">
        <w:rPr>
          <w:rFonts w:ascii="Times New Roman" w:eastAsia="Calibri" w:hAnsi="Times New Roman" w:cs="Times New Roman"/>
          <w:sz w:val="24"/>
          <w:szCs w:val="24"/>
        </w:rPr>
        <w:t xml:space="preserve"> H. </w:t>
      </w:r>
      <w:proofErr w:type="spellStart"/>
      <w:r w:rsidRPr="007228F4">
        <w:rPr>
          <w:rFonts w:ascii="Times New Roman" w:eastAsia="Calibri" w:hAnsi="Times New Roman" w:cs="Times New Roman"/>
          <w:sz w:val="24"/>
          <w:szCs w:val="24"/>
        </w:rPr>
        <w:t>Hall</w:t>
      </w:r>
      <w:proofErr w:type="spellEnd"/>
      <w:r w:rsidRPr="007228F4">
        <w:rPr>
          <w:rFonts w:ascii="Times New Roman" w:eastAsia="Calibri" w:hAnsi="Times New Roman" w:cs="Times New Roman"/>
          <w:sz w:val="24"/>
          <w:szCs w:val="24"/>
        </w:rPr>
        <w:t xml:space="preserve">, Jacques </w:t>
      </w:r>
      <w:proofErr w:type="spellStart"/>
      <w:r w:rsidRPr="007228F4">
        <w:rPr>
          <w:rFonts w:ascii="Times New Roman" w:eastAsia="Calibri" w:hAnsi="Times New Roman" w:cs="Times New Roman"/>
          <w:sz w:val="24"/>
          <w:szCs w:val="24"/>
        </w:rPr>
        <w:t>Mairesse</w:t>
      </w:r>
      <w:proofErr w:type="spellEnd"/>
      <w:r w:rsidR="00F32BD3">
        <w:rPr>
          <w:rFonts w:ascii="Times New Roman" w:eastAsia="Calibri" w:hAnsi="Times New Roman" w:cs="Times New Roman"/>
          <w:sz w:val="24"/>
          <w:szCs w:val="24"/>
        </w:rPr>
        <w:t>,</w:t>
      </w:r>
      <w:r w:rsidRPr="007228F4">
        <w:rPr>
          <w:rFonts w:ascii="Times New Roman" w:eastAsia="Calibri" w:hAnsi="Times New Roman" w:cs="Times New Roman"/>
          <w:sz w:val="24"/>
          <w:szCs w:val="24"/>
        </w:rPr>
        <w:t xml:space="preserve"> (2009), </w:t>
      </w:r>
      <w:proofErr w:type="spellStart"/>
      <w:r w:rsidRPr="007228F4">
        <w:rPr>
          <w:rFonts w:ascii="Times New Roman" w:eastAsia="Calibri" w:hAnsi="Times New Roman" w:cs="Times New Roman"/>
          <w:i/>
          <w:sz w:val="24"/>
          <w:szCs w:val="24"/>
        </w:rPr>
        <w:t>Measuring</w:t>
      </w:r>
      <w:proofErr w:type="spellEnd"/>
      <w:r w:rsidRPr="007228F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Calibri" w:hAnsi="Times New Roman" w:cs="Times New Roman"/>
          <w:i/>
          <w:sz w:val="24"/>
          <w:szCs w:val="24"/>
        </w:rPr>
        <w:t>corporate</w:t>
      </w:r>
      <w:proofErr w:type="spellEnd"/>
      <w:r w:rsidRPr="007228F4">
        <w:rPr>
          <w:rFonts w:ascii="Times New Roman" w:eastAsia="Calibri" w:hAnsi="Times New Roman" w:cs="Times New Roman"/>
          <w:i/>
          <w:sz w:val="24"/>
          <w:szCs w:val="24"/>
        </w:rPr>
        <w:t xml:space="preserve"> R&amp;D </w:t>
      </w:r>
      <w:proofErr w:type="spellStart"/>
      <w:r w:rsidRPr="007228F4">
        <w:rPr>
          <w:rFonts w:ascii="Times New Roman" w:eastAsia="Calibri" w:hAnsi="Times New Roman" w:cs="Times New Roman"/>
          <w:i/>
          <w:sz w:val="24"/>
          <w:szCs w:val="24"/>
        </w:rPr>
        <w:t>returns</w:t>
      </w:r>
      <w:proofErr w:type="spellEnd"/>
      <w:r w:rsidRPr="007228F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hyperlink r:id="rId46" w:history="1">
        <w:r w:rsidRPr="007228F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http://ec.europa.eu/invest-in-research/pdf/download_en/kfg_report_no6.pdf</w:t>
        </w:r>
      </w:hyperlink>
      <w:r w:rsidRPr="007228F4">
        <w:rPr>
          <w:rFonts w:ascii="Times New Roman" w:eastAsia="Calibri" w:hAnsi="Times New Roman" w:cs="Times New Roman"/>
          <w:sz w:val="24"/>
          <w:szCs w:val="24"/>
        </w:rPr>
        <w:t xml:space="preserve"> ; </w:t>
      </w:r>
    </w:p>
    <w:p w:rsidR="009C5E13" w:rsidRPr="007228F4" w:rsidRDefault="009C5E13" w:rsidP="002D639B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228F4">
        <w:rPr>
          <w:rFonts w:ascii="Times New Roman" w:eastAsia="Calibri" w:hAnsi="Times New Roman" w:cs="Times New Roman"/>
          <w:sz w:val="24"/>
          <w:szCs w:val="24"/>
        </w:rPr>
        <w:t xml:space="preserve">Charles H. Gibson, (2009), </w:t>
      </w:r>
      <w:r w:rsidRPr="007228F4">
        <w:rPr>
          <w:rFonts w:ascii="Times New Roman" w:eastAsia="Calibri" w:hAnsi="Times New Roman" w:cs="Times New Roman"/>
          <w:i/>
          <w:sz w:val="24"/>
          <w:szCs w:val="24"/>
        </w:rPr>
        <w:t xml:space="preserve">Financial </w:t>
      </w:r>
      <w:proofErr w:type="spellStart"/>
      <w:r w:rsidRPr="007228F4">
        <w:rPr>
          <w:rFonts w:ascii="Times New Roman" w:eastAsia="Calibri" w:hAnsi="Times New Roman" w:cs="Times New Roman"/>
          <w:i/>
          <w:sz w:val="24"/>
          <w:szCs w:val="24"/>
        </w:rPr>
        <w:t>Reporting</w:t>
      </w:r>
      <w:proofErr w:type="spellEnd"/>
      <w:r w:rsidRPr="007228F4">
        <w:rPr>
          <w:rFonts w:ascii="Times New Roman" w:eastAsia="Calibri" w:hAnsi="Times New Roman" w:cs="Times New Roman"/>
          <w:i/>
          <w:sz w:val="24"/>
          <w:szCs w:val="24"/>
        </w:rPr>
        <w:t xml:space="preserve"> &amp; </w:t>
      </w:r>
      <w:proofErr w:type="spellStart"/>
      <w:r w:rsidRPr="007228F4">
        <w:rPr>
          <w:rFonts w:ascii="Times New Roman" w:eastAsia="Calibri" w:hAnsi="Times New Roman" w:cs="Times New Roman"/>
          <w:i/>
          <w:sz w:val="24"/>
          <w:szCs w:val="24"/>
        </w:rPr>
        <w:t>Analysis</w:t>
      </w:r>
      <w:proofErr w:type="spellEnd"/>
      <w:r w:rsidRPr="007228F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7228F4">
        <w:rPr>
          <w:rFonts w:ascii="Times New Roman" w:eastAsia="Calibri" w:hAnsi="Times New Roman" w:cs="Times New Roman"/>
          <w:i/>
          <w:sz w:val="24"/>
          <w:szCs w:val="24"/>
        </w:rPr>
        <w:t>Eleventh</w:t>
      </w:r>
      <w:proofErr w:type="spellEnd"/>
      <w:r w:rsidRPr="007228F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Calibri" w:hAnsi="Times New Roman" w:cs="Times New Roman"/>
          <w:i/>
          <w:sz w:val="24"/>
          <w:szCs w:val="24"/>
        </w:rPr>
        <w:t>Edition</w:t>
      </w:r>
      <w:proofErr w:type="spellEnd"/>
      <w:r w:rsidRPr="007228F4">
        <w:rPr>
          <w:rFonts w:ascii="Times New Roman" w:eastAsia="Calibri" w:hAnsi="Times New Roman" w:cs="Times New Roman"/>
          <w:sz w:val="24"/>
          <w:szCs w:val="24"/>
        </w:rPr>
        <w:t xml:space="preserve">, South-Western </w:t>
      </w:r>
      <w:proofErr w:type="spellStart"/>
      <w:r w:rsidRPr="007228F4">
        <w:rPr>
          <w:rFonts w:ascii="Times New Roman" w:eastAsia="Calibri" w:hAnsi="Times New Roman" w:cs="Times New Roman"/>
          <w:sz w:val="24"/>
          <w:szCs w:val="24"/>
        </w:rPr>
        <w:t>Cengage</w:t>
      </w:r>
      <w:proofErr w:type="spellEnd"/>
      <w:r w:rsidRPr="00722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Calibri" w:hAnsi="Times New Roman" w:cs="Times New Roman"/>
          <w:sz w:val="24"/>
          <w:szCs w:val="24"/>
        </w:rPr>
        <w:t>Learning</w:t>
      </w:r>
      <w:proofErr w:type="spellEnd"/>
      <w:r w:rsidRPr="007228F4">
        <w:rPr>
          <w:rFonts w:ascii="Times New Roman" w:eastAsia="Calibri" w:hAnsi="Times New Roman" w:cs="Times New Roman"/>
          <w:sz w:val="24"/>
          <w:szCs w:val="24"/>
        </w:rPr>
        <w:t>, USA;</w:t>
      </w:r>
    </w:p>
    <w:p w:rsidR="009C5E13" w:rsidRPr="007228F4" w:rsidRDefault="009C5E13" w:rsidP="002D639B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Drury, C.,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Tayles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, M.</w:t>
      </w:r>
      <w:r w:rsidR="00F32BD3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(2006), </w:t>
      </w:r>
      <w:r w:rsidRPr="007228F4">
        <w:rPr>
          <w:rFonts w:ascii="Times New Roman" w:eastAsia="Calibri" w:hAnsi="Times New Roman" w:cs="Times New Roman"/>
          <w:i/>
          <w:sz w:val="24"/>
          <w:szCs w:val="24"/>
          <w:lang w:val="en-US"/>
        </w:rPr>
        <w:t>Profitability analysis in UK organizations: an exploratory study</w:t>
      </w:r>
      <w:r w:rsidRPr="007228F4">
        <w:rPr>
          <w:rFonts w:ascii="Times New Roman" w:eastAsia="Calibri" w:hAnsi="Times New Roman" w:cs="Times New Roman"/>
          <w:sz w:val="24"/>
          <w:szCs w:val="24"/>
          <w:lang w:val="en-US"/>
        </w:rPr>
        <w:t>, British Accounting Review, Vol. 38, No. 4, pp.405-425);</w:t>
      </w:r>
    </w:p>
    <w:p w:rsidR="009C5E13" w:rsidRPr="009C5E13" w:rsidRDefault="009C5E13" w:rsidP="004203B0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C5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Erich A. </w:t>
      </w:r>
      <w:proofErr w:type="spellStart"/>
      <w:r w:rsidRPr="009C5E13">
        <w:rPr>
          <w:rFonts w:ascii="Times New Roman" w:eastAsia="Calibri" w:hAnsi="Times New Roman" w:cs="Times New Roman"/>
          <w:sz w:val="24"/>
          <w:szCs w:val="24"/>
          <w:lang w:val="en-US"/>
        </w:rPr>
        <w:t>Helfert</w:t>
      </w:r>
      <w:proofErr w:type="spellEnd"/>
      <w:r w:rsidRPr="009C5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(2001), </w:t>
      </w:r>
      <w:r w:rsidRPr="009C5E13">
        <w:rPr>
          <w:rFonts w:ascii="Times New Roman" w:eastAsia="Calibri" w:hAnsi="Times New Roman" w:cs="Times New Roman"/>
          <w:i/>
          <w:sz w:val="24"/>
          <w:szCs w:val="24"/>
          <w:lang w:val="en-US"/>
        </w:rPr>
        <w:t>Financial analysis: tools and techniques A Guide for Managers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, McGraw-Hill, pp</w:t>
      </w:r>
      <w:r w:rsidRPr="009C5E13">
        <w:rPr>
          <w:rFonts w:ascii="Times New Roman" w:eastAsia="Calibri" w:hAnsi="Times New Roman" w:cs="Times New Roman"/>
          <w:sz w:val="24"/>
          <w:szCs w:val="24"/>
          <w:lang w:val="en-US"/>
        </w:rPr>
        <w:t>.28-32;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hyperlink r:id="rId47" w:history="1">
        <w:r w:rsidRPr="009C5E1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https://www.investopedia.com/articles/financial-analysis/090616/key-financial-ratios-pharmaceutical-companies.asp</w:t>
        </w:r>
      </w:hyperlink>
      <w:r w:rsidRPr="009C5E13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9C5E13" w:rsidRPr="007228F4" w:rsidRDefault="009C5E13" w:rsidP="002D639B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228F4">
        <w:rPr>
          <w:rFonts w:ascii="Times New Roman" w:eastAsia="Calibri" w:hAnsi="Times New Roman" w:cs="Times New Roman"/>
          <w:sz w:val="24"/>
          <w:szCs w:val="24"/>
          <w:lang w:val="en-US"/>
        </w:rPr>
        <w:t>J.B. Maverick,</w:t>
      </w:r>
      <w:r w:rsidR="00F32BD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7228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(2018), </w:t>
      </w:r>
      <w:r w:rsidRPr="007228F4">
        <w:rPr>
          <w:rFonts w:ascii="Times New Roman" w:eastAsia="Calibri" w:hAnsi="Times New Roman" w:cs="Times New Roman"/>
          <w:lang w:val="en-US"/>
        </w:rPr>
        <w:t>K</w:t>
      </w:r>
      <w:r w:rsidRPr="007228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ey-financial-ratios-pharmaceutical-companies, </w:t>
      </w:r>
    </w:p>
    <w:p w:rsidR="009C5E13" w:rsidRPr="007228F4" w:rsidRDefault="009C5E13" w:rsidP="002D639B">
      <w:pPr>
        <w:numPr>
          <w:ilvl w:val="0"/>
          <w:numId w:val="12"/>
        </w:numPr>
        <w:tabs>
          <w:tab w:val="left" w:pos="851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228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Martin </w:t>
      </w:r>
      <w:proofErr w:type="spellStart"/>
      <w:r w:rsidRPr="007228F4">
        <w:rPr>
          <w:rFonts w:ascii="Times New Roman" w:eastAsia="Calibri" w:hAnsi="Times New Roman" w:cs="Times New Roman"/>
          <w:sz w:val="24"/>
          <w:szCs w:val="24"/>
          <w:lang w:val="en-US"/>
        </w:rPr>
        <w:t>Fridson</w:t>
      </w:r>
      <w:proofErr w:type="spellEnd"/>
      <w:r w:rsidRPr="007228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Fernando Alvarez, (2002), </w:t>
      </w:r>
      <w:r w:rsidRPr="007228F4">
        <w:rPr>
          <w:rFonts w:ascii="Times New Roman" w:eastAsia="Calibri" w:hAnsi="Times New Roman" w:cs="Times New Roman"/>
          <w:i/>
          <w:sz w:val="24"/>
          <w:szCs w:val="24"/>
          <w:lang w:val="en-US"/>
        </w:rPr>
        <w:t>Financial Statement analysis A Practitioner’s Guide, Third Edition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, John Wiley &amp; Sons, Inc., p</w:t>
      </w:r>
      <w:r w:rsidRPr="007228F4">
        <w:rPr>
          <w:rFonts w:ascii="Times New Roman" w:eastAsia="Calibri" w:hAnsi="Times New Roman" w:cs="Times New Roman"/>
          <w:sz w:val="24"/>
          <w:szCs w:val="24"/>
          <w:lang w:val="en-US"/>
        </w:rPr>
        <w:t>.117;</w:t>
      </w:r>
    </w:p>
    <w:p w:rsidR="009C5E13" w:rsidRPr="007228F4" w:rsidRDefault="009C5E13" w:rsidP="002D639B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228F4">
        <w:rPr>
          <w:rFonts w:ascii="Times New Roman" w:eastAsia="Calibri" w:hAnsi="Times New Roman" w:cs="Times New Roman"/>
          <w:bCs/>
          <w:sz w:val="24"/>
          <w:szCs w:val="24"/>
        </w:rPr>
        <w:t>Roland Berger</w:t>
      </w:r>
      <w:r w:rsidR="00F248A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7228F4">
        <w:rPr>
          <w:rFonts w:ascii="Times New Roman" w:eastAsia="Calibri" w:hAnsi="Times New Roman" w:cs="Times New Roman"/>
          <w:bCs/>
          <w:sz w:val="24"/>
          <w:szCs w:val="24"/>
        </w:rPr>
        <w:t xml:space="preserve"> (2013),</w:t>
      </w:r>
      <w:r w:rsidRPr="007228F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Global </w:t>
      </w:r>
      <w:proofErr w:type="spellStart"/>
      <w:r w:rsidRPr="007228F4">
        <w:rPr>
          <w:rFonts w:ascii="Times New Roman" w:eastAsia="Calibri" w:hAnsi="Times New Roman" w:cs="Times New Roman"/>
          <w:bCs/>
          <w:i/>
          <w:sz w:val="24"/>
          <w:szCs w:val="24"/>
        </w:rPr>
        <w:t>pharmaceutical</w:t>
      </w:r>
      <w:proofErr w:type="spellEnd"/>
      <w:r w:rsidRPr="007228F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Calibri" w:hAnsi="Times New Roman" w:cs="Times New Roman"/>
          <w:bCs/>
          <w:i/>
          <w:sz w:val="24"/>
          <w:szCs w:val="24"/>
        </w:rPr>
        <w:t>industry</w:t>
      </w:r>
      <w:proofErr w:type="spellEnd"/>
      <w:r w:rsidRPr="007228F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Calibri" w:hAnsi="Times New Roman" w:cs="Times New Roman"/>
          <w:bCs/>
          <w:i/>
          <w:sz w:val="24"/>
          <w:szCs w:val="24"/>
        </w:rPr>
        <w:t>is</w:t>
      </w:r>
      <w:proofErr w:type="spellEnd"/>
      <w:r w:rsidRPr="007228F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in a strategic </w:t>
      </w:r>
      <w:proofErr w:type="spellStart"/>
      <w:r w:rsidRPr="007228F4">
        <w:rPr>
          <w:rFonts w:ascii="Times New Roman" w:eastAsia="Calibri" w:hAnsi="Times New Roman" w:cs="Times New Roman"/>
          <w:bCs/>
          <w:i/>
          <w:sz w:val="24"/>
          <w:szCs w:val="24"/>
        </w:rPr>
        <w:t>crisis</w:t>
      </w:r>
      <w:proofErr w:type="spellEnd"/>
      <w:r w:rsidRPr="007228F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–</w:t>
      </w:r>
      <w:r w:rsidRPr="007228F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228F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Business </w:t>
      </w:r>
      <w:proofErr w:type="spellStart"/>
      <w:r w:rsidRPr="007228F4">
        <w:rPr>
          <w:rFonts w:ascii="Times New Roman" w:eastAsia="Calibri" w:hAnsi="Times New Roman" w:cs="Times New Roman"/>
          <w:bCs/>
          <w:i/>
          <w:sz w:val="24"/>
          <w:szCs w:val="24"/>
        </w:rPr>
        <w:t>models</w:t>
      </w:r>
      <w:proofErr w:type="spellEnd"/>
      <w:r w:rsidRPr="007228F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must </w:t>
      </w:r>
      <w:proofErr w:type="spellStart"/>
      <w:r w:rsidRPr="007228F4">
        <w:rPr>
          <w:rFonts w:ascii="Times New Roman" w:eastAsia="Calibri" w:hAnsi="Times New Roman" w:cs="Times New Roman"/>
          <w:bCs/>
          <w:i/>
          <w:sz w:val="24"/>
          <w:szCs w:val="24"/>
        </w:rPr>
        <w:t>be</w:t>
      </w:r>
      <w:proofErr w:type="spellEnd"/>
      <w:r w:rsidRPr="007228F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228F4">
        <w:rPr>
          <w:rFonts w:ascii="Times New Roman" w:eastAsia="Calibri" w:hAnsi="Times New Roman" w:cs="Times New Roman"/>
          <w:bCs/>
          <w:i/>
          <w:sz w:val="24"/>
          <w:szCs w:val="24"/>
        </w:rPr>
        <w:t>adjusted</w:t>
      </w:r>
      <w:proofErr w:type="spellEnd"/>
      <w:r w:rsidRPr="007228F4">
        <w:rPr>
          <w:rFonts w:ascii="Times New Roman" w:eastAsia="Calibri" w:hAnsi="Times New Roman" w:cs="Times New Roman"/>
          <w:bCs/>
          <w:i/>
          <w:sz w:val="24"/>
          <w:szCs w:val="24"/>
        </w:rPr>
        <w:t>,</w:t>
      </w:r>
      <w:r w:rsidRPr="007228F4">
        <w:rPr>
          <w:rFonts w:ascii="Times New Roman" w:eastAsia="Calibri" w:hAnsi="Times New Roman" w:cs="Times New Roman"/>
          <w:bCs/>
        </w:rPr>
        <w:t xml:space="preserve"> </w:t>
      </w:r>
      <w:hyperlink r:id="rId48" w:history="1">
        <w:r w:rsidRPr="007228F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https://www.rolandberger.com/en/Media/Global-pharmaceutical-industry-is-in-a-strategic-crisis-%E2%80%93-Business-models-must-b.html</w:t>
        </w:r>
      </w:hyperlink>
      <w:r w:rsidRPr="007228F4">
        <w:rPr>
          <w:rFonts w:ascii="Times New Roman" w:eastAsia="Calibri" w:hAnsi="Times New Roman" w:cs="Times New Roman"/>
          <w:bCs/>
          <w:color w:val="0000FF"/>
          <w:sz w:val="24"/>
          <w:szCs w:val="24"/>
          <w:u w:val="single"/>
        </w:rPr>
        <w:t>;</w:t>
      </w:r>
    </w:p>
    <w:p w:rsidR="0045214E" w:rsidRPr="007228F4" w:rsidRDefault="00513089" w:rsidP="002D639B">
      <w:pPr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49" w:history="1">
        <w:r w:rsidR="0045214E" w:rsidRPr="007228F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http://bvb.ro/FinancialInstruments/Details/FinancialInstrumentsDetails.aspx?s=atb</w:t>
        </w:r>
      </w:hyperlink>
    </w:p>
    <w:p w:rsidR="0045214E" w:rsidRPr="007228F4" w:rsidRDefault="00513089" w:rsidP="002D639B">
      <w:pPr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50" w:history="1">
        <w:r w:rsidR="0045214E" w:rsidRPr="007228F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http://bvb.ro/FinancialInstruments/Details/FinancialInstrumentsDetails.aspx?s=bio</w:t>
        </w:r>
      </w:hyperlink>
    </w:p>
    <w:p w:rsidR="0045214E" w:rsidRPr="007228F4" w:rsidRDefault="00513089" w:rsidP="002D639B">
      <w:pPr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51" w:history="1">
        <w:r w:rsidR="0045214E" w:rsidRPr="007228F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http://www.bvb.ro/infocont/infocont18/ATB_20180426171210_Raport-anual-2017.pdf</w:t>
        </w:r>
      </w:hyperlink>
    </w:p>
    <w:p w:rsidR="0045214E" w:rsidRPr="0045214E" w:rsidRDefault="00513089" w:rsidP="002D639B">
      <w:pPr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52" w:history="1">
        <w:r w:rsidR="0045214E" w:rsidRPr="007228F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http://www.bvb.ro/infocont/infocont18/BIO_20180419165954_Raportul-anual-2017.pdf</w:t>
        </w:r>
      </w:hyperlink>
    </w:p>
    <w:p w:rsidR="0045214E" w:rsidRPr="007228F4" w:rsidRDefault="00513089" w:rsidP="002D639B">
      <w:pPr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53" w:history="1">
        <w:r w:rsidR="0045214E" w:rsidRPr="004438F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o-RO"/>
          </w:rPr>
          <w:t>http://www.bvb.ro/infocont/infocont18/SCD_20180426102611_SCD-Zentiva-Raport-anual-2017.pdf</w:t>
        </w:r>
      </w:hyperlink>
    </w:p>
    <w:p w:rsidR="0045214E" w:rsidRPr="007228F4" w:rsidRDefault="00513089" w:rsidP="002D639B">
      <w:pPr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54" w:history="1">
        <w:r w:rsidR="0045214E" w:rsidRPr="007228F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http://www.economica.net/antibiotice-iasi-va-creste-exporturile-in-sua-firma-vinde-de-4-ori-mai-mult-ca-in-2007_44323.html</w:t>
        </w:r>
      </w:hyperlink>
    </w:p>
    <w:p w:rsidR="0045214E" w:rsidRPr="007228F4" w:rsidRDefault="00513089" w:rsidP="002D639B">
      <w:pPr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55" w:history="1">
        <w:r w:rsidR="0045214E" w:rsidRPr="007228F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http://www.forumpharma.ro/poze/2017/FIF_2017.pdf</w:t>
        </w:r>
      </w:hyperlink>
    </w:p>
    <w:p w:rsidR="0045214E" w:rsidRPr="007228F4" w:rsidRDefault="00513089" w:rsidP="002D639B">
      <w:pPr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56" w:history="1">
        <w:r w:rsidR="0045214E" w:rsidRPr="007228F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http://www.politicidesanatate.ro/pacientul-incepe-sa-devina-actor-principal-in-industria-farmaceutica/</w:t>
        </w:r>
      </w:hyperlink>
    </w:p>
    <w:p w:rsidR="0045214E" w:rsidRPr="007228F4" w:rsidRDefault="00513089" w:rsidP="002D639B">
      <w:pPr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57" w:history="1">
        <w:r w:rsidR="0045214E" w:rsidRPr="007228F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https://europe.businesschief.com/top10/1543/Top-10-pharmaceutical-companies-in-Europe</w:t>
        </w:r>
      </w:hyperlink>
    </w:p>
    <w:p w:rsidR="0045214E" w:rsidRPr="007228F4" w:rsidRDefault="00513089" w:rsidP="002D639B">
      <w:pPr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58" w:history="1">
        <w:r w:rsidR="0045214E" w:rsidRPr="007228F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https://investors.pfizer.com/financials/annual-reports/default.aspx</w:t>
        </w:r>
      </w:hyperlink>
    </w:p>
    <w:p w:rsidR="0045214E" w:rsidRPr="007228F4" w:rsidRDefault="00513089" w:rsidP="002D639B">
      <w:pPr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59" w:history="1">
        <w:r w:rsidR="0045214E" w:rsidRPr="007228F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https://johnsonandjohnson.gcs-web.com/news-releases/news-release-details/johnson-johnson-reports-2017-fourth-quarter-results</w:t>
        </w:r>
      </w:hyperlink>
    </w:p>
    <w:p w:rsidR="0045214E" w:rsidRPr="007228F4" w:rsidRDefault="00513089" w:rsidP="002D639B">
      <w:pPr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60" w:anchor="page137" w:history="1">
        <w:r w:rsidR="0045214E" w:rsidRPr="007228F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https://read.oecd-ilibrary.org/social-issues-migration-health/health-at-a-glance-europe-2018_health_glance_eur-2018-en#page137</w:t>
        </w:r>
      </w:hyperlink>
    </w:p>
    <w:p w:rsidR="0045214E" w:rsidRPr="007228F4" w:rsidRDefault="00513089" w:rsidP="002D639B">
      <w:pPr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61" w:history="1">
        <w:r w:rsidR="0045214E" w:rsidRPr="007228F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https://www.dcmedical.ro/top-10-companii-farmaceutice-vanzari-de-zeci-de-miliarde-de-dolari-fiecare_607202.html</w:t>
        </w:r>
      </w:hyperlink>
    </w:p>
    <w:p w:rsidR="0045214E" w:rsidRPr="007228F4" w:rsidRDefault="00513089" w:rsidP="009C5E13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hyperlink r:id="rId62" w:history="1">
        <w:r w:rsidR="0045214E" w:rsidRPr="007228F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o-RO"/>
          </w:rPr>
          <w:t>https://www.dcnews.ro/pia-a-farmaceutica-din-romania-afaceri-record-in-2018_586158.html</w:t>
        </w:r>
      </w:hyperlink>
    </w:p>
    <w:p w:rsidR="0045214E" w:rsidRPr="007228F4" w:rsidRDefault="00513089" w:rsidP="002D639B">
      <w:pPr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63" w:history="1">
        <w:r w:rsidR="0045214E" w:rsidRPr="007228F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https://www.investingromania.com/static/i/analysts-reports/Antibiotice-Iasi-bate-pasul-pe-loc-in-2017-2017-Apr-19-ro-(4).pdf</w:t>
        </w:r>
      </w:hyperlink>
    </w:p>
    <w:p w:rsidR="0045214E" w:rsidRPr="007228F4" w:rsidRDefault="00513089" w:rsidP="002D639B">
      <w:pPr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64" w:history="1">
        <w:r w:rsidR="0045214E" w:rsidRPr="007228F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https://www.investingromania.com/static/i/analysts-reports/Antibiotice-Iasi-bate-pasul-pe-loc-in-2017-2017-Apr-19-ro-(4).pdf</w:t>
        </w:r>
      </w:hyperlink>
    </w:p>
    <w:p w:rsidR="0045214E" w:rsidRPr="007228F4" w:rsidRDefault="00513089" w:rsidP="002D639B">
      <w:pPr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65" w:history="1">
        <w:r w:rsidR="0045214E" w:rsidRPr="007228F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https://www.medichub.ro/stiri/top-10-companii-farmaceutice-in-2018-id-1506-cmsid-2</w:t>
        </w:r>
      </w:hyperlink>
    </w:p>
    <w:p w:rsidR="0045214E" w:rsidRPr="007228F4" w:rsidRDefault="00513089" w:rsidP="002D639B">
      <w:pPr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66" w:history="1">
        <w:r w:rsidR="0045214E" w:rsidRPr="007228F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https://www.novartis.com/sites/www.novartis.com/files/novartis-annual-report-2017-en.pdf</w:t>
        </w:r>
      </w:hyperlink>
    </w:p>
    <w:p w:rsidR="0045214E" w:rsidRPr="007228F4" w:rsidRDefault="00513089" w:rsidP="002D639B">
      <w:pPr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67" w:history="1">
        <w:r w:rsidR="0045214E" w:rsidRPr="007228F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https://www.roche.com/dam/jcr:b70415c0-954f-4a2a-a0e2-47f94bd280e0/en/fb17e.pdf</w:t>
        </w:r>
      </w:hyperlink>
    </w:p>
    <w:p w:rsidR="0045214E" w:rsidRPr="007228F4" w:rsidRDefault="00513089" w:rsidP="002D639B">
      <w:pPr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68" w:history="1">
        <w:r w:rsidR="0045214E" w:rsidRPr="007228F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https://www.sanofi.com/-/media/Project/One-Sanofi-Web/Websites/Global/Sanofi-COM/Home/en/investors/docs/S-Z/Sanofi-20-F-2017-EN-PDF-e-accessible_01.pdf?la=en&amp;hash=D0E72A3136750CBBC738C87495F0FF4651141027</w:t>
        </w:r>
      </w:hyperlink>
    </w:p>
    <w:p w:rsidR="0045214E" w:rsidRPr="007228F4" w:rsidRDefault="00513089" w:rsidP="002D639B">
      <w:pPr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69" w:history="1">
        <w:r w:rsidR="0045214E" w:rsidRPr="007228F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https://www2.deloitte.com/ro/ro/pages/life-sciences-and-healthcare/articles/global-life-sciences-sector-outlook.html#</w:t>
        </w:r>
      </w:hyperlink>
    </w:p>
    <w:p w:rsidR="0045214E" w:rsidRPr="007228F4" w:rsidRDefault="00513089" w:rsidP="002D639B">
      <w:pPr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70" w:history="1">
        <w:r w:rsidR="0045214E" w:rsidRPr="007228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https://yourbusiness.azcentral.com/average-profit-margin-pharmaceuticals-20671.html</w:t>
        </w:r>
      </w:hyperlink>
    </w:p>
    <w:p w:rsidR="0045214E" w:rsidRPr="00F5057F" w:rsidRDefault="0045214E" w:rsidP="002D639B">
      <w:pPr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228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Pharma and Europe 2017: A Year of Greater Uncertainties,  </w:t>
      </w:r>
      <w:hyperlink r:id="rId71" w:history="1">
        <w:r w:rsidRPr="007228F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http://www.pharmexec.com/pharma-and-europe-2017-year-greater-uncertainties</w:t>
        </w:r>
      </w:hyperlink>
    </w:p>
    <w:p w:rsidR="00F5057F" w:rsidRPr="00CC16A0" w:rsidRDefault="00513089" w:rsidP="00CC16A0">
      <w:pPr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  <w:lang w:val="en-US"/>
        </w:rPr>
      </w:pPr>
      <w:hyperlink r:id="rId72" w:history="1">
        <w:r w:rsidR="00F5057F" w:rsidRPr="00F5057F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https://360medical.ro/stiri/industria-farmaceutica-din-romania-si-a-marit-productia-cu-75-in-2018/2019/02/26/</w:t>
        </w:r>
      </w:hyperlink>
    </w:p>
    <w:p w:rsidR="00CC16A0" w:rsidRDefault="00CC16A0" w:rsidP="00CC16A0">
      <w:pPr>
        <w:pStyle w:val="ListParagraph"/>
        <w:numPr>
          <w:ilvl w:val="0"/>
          <w:numId w:val="12"/>
        </w:numPr>
        <w:spacing w:after="0" w:line="240" w:lineRule="auto"/>
        <w:ind w:hanging="153"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73" w:history="1">
        <w:r w:rsidRPr="00847314">
          <w:rPr>
            <w:rStyle w:val="Hyperlink"/>
            <w:rFonts w:ascii="Times New Roman" w:eastAsia="Calibri" w:hAnsi="Times New Roman" w:cs="Times New Roman"/>
            <w:sz w:val="24"/>
            <w:szCs w:val="24"/>
            <w:lang w:val="en-US"/>
          </w:rPr>
          <w:t>https://ec.europa.eu/DocsRoom/documents/2360/attachments/1/translations/ro</w:t>
        </w:r>
      </w:hyperlink>
    </w:p>
    <w:p w:rsidR="0045214E" w:rsidRPr="007228F4" w:rsidRDefault="00513089" w:rsidP="00CC16A0">
      <w:pPr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74" w:history="1">
        <w:r w:rsidR="0045214E" w:rsidRPr="007228F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www.antibiotice.ro</w:t>
        </w:r>
      </w:hyperlink>
      <w:r w:rsidR="0045214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5214E" w:rsidRPr="007228F4" w:rsidRDefault="00513089" w:rsidP="002D639B">
      <w:pPr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75" w:history="1">
        <w:r w:rsidR="0045214E" w:rsidRPr="007228F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www.biofarm.ro</w:t>
        </w:r>
      </w:hyperlink>
      <w:r w:rsidR="0045214E" w:rsidRPr="007228F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5214E" w:rsidRPr="007228F4" w:rsidRDefault="00513089" w:rsidP="002D639B">
      <w:pPr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76" w:tgtFrame="_blank" w:history="1">
        <w:r w:rsidR="0045214E" w:rsidRPr="007228F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www.bvb.ro</w:t>
        </w:r>
      </w:hyperlink>
      <w:r w:rsidR="0045214E" w:rsidRPr="007228F4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;</w:t>
      </w:r>
    </w:p>
    <w:p w:rsidR="0045214E" w:rsidRPr="007228F4" w:rsidRDefault="00513089" w:rsidP="002D639B">
      <w:pPr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77" w:history="1">
        <w:r w:rsidR="0045214E" w:rsidRPr="007228F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www.zentiva.ro</w:t>
        </w:r>
      </w:hyperlink>
      <w:r w:rsidR="0045214E" w:rsidRPr="007228F4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;</w:t>
      </w:r>
    </w:p>
    <w:sectPr w:rsidR="0045214E" w:rsidRPr="007228F4" w:rsidSect="008D661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0BD" w:rsidRDefault="001530BD" w:rsidP="001B1BE2">
      <w:pPr>
        <w:spacing w:after="0" w:line="240" w:lineRule="auto"/>
      </w:pPr>
      <w:r>
        <w:separator/>
      </w:r>
    </w:p>
  </w:endnote>
  <w:endnote w:type="continuationSeparator" w:id="0">
    <w:p w:rsidR="001530BD" w:rsidRDefault="001530BD" w:rsidP="001B1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bon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0BD" w:rsidRDefault="001530BD" w:rsidP="001B1BE2">
      <w:pPr>
        <w:spacing w:after="0" w:line="240" w:lineRule="auto"/>
      </w:pPr>
      <w:r>
        <w:separator/>
      </w:r>
    </w:p>
  </w:footnote>
  <w:footnote w:type="continuationSeparator" w:id="0">
    <w:p w:rsidR="001530BD" w:rsidRDefault="001530BD" w:rsidP="001B1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924"/>
    <w:multiLevelType w:val="hybridMultilevel"/>
    <w:tmpl w:val="0D0E56FE"/>
    <w:lvl w:ilvl="0" w:tplc="BCFCA80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C35A26"/>
    <w:multiLevelType w:val="hybridMultilevel"/>
    <w:tmpl w:val="F62A2A36"/>
    <w:lvl w:ilvl="0" w:tplc="C6D2FB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D206C8"/>
    <w:multiLevelType w:val="hybridMultilevel"/>
    <w:tmpl w:val="A65801AE"/>
    <w:lvl w:ilvl="0" w:tplc="0418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4B86653"/>
    <w:multiLevelType w:val="hybridMultilevel"/>
    <w:tmpl w:val="91501488"/>
    <w:lvl w:ilvl="0" w:tplc="FE0CBAB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97360"/>
    <w:multiLevelType w:val="hybridMultilevel"/>
    <w:tmpl w:val="294EED30"/>
    <w:lvl w:ilvl="0" w:tplc="74BA982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B52F3E"/>
    <w:multiLevelType w:val="hybridMultilevel"/>
    <w:tmpl w:val="CC6A8100"/>
    <w:lvl w:ilvl="0" w:tplc="80C22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565FB3"/>
    <w:multiLevelType w:val="hybridMultilevel"/>
    <w:tmpl w:val="A65801A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C2F57"/>
    <w:multiLevelType w:val="hybridMultilevel"/>
    <w:tmpl w:val="37D2DAD4"/>
    <w:lvl w:ilvl="0" w:tplc="86C2295C">
      <w:start w:val="1"/>
      <w:numFmt w:val="lowerLetter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E87663"/>
    <w:multiLevelType w:val="hybridMultilevel"/>
    <w:tmpl w:val="276A8B86"/>
    <w:lvl w:ilvl="0" w:tplc="61A097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2088A"/>
    <w:multiLevelType w:val="hybridMultilevel"/>
    <w:tmpl w:val="B00A10C8"/>
    <w:lvl w:ilvl="0" w:tplc="2C5041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CF24630"/>
    <w:multiLevelType w:val="hybridMultilevel"/>
    <w:tmpl w:val="50A085E0"/>
    <w:lvl w:ilvl="0" w:tplc="0B7607B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DC61A88"/>
    <w:multiLevelType w:val="hybridMultilevel"/>
    <w:tmpl w:val="2570B116"/>
    <w:lvl w:ilvl="0" w:tplc="0AAA9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82FA1"/>
    <w:multiLevelType w:val="hybridMultilevel"/>
    <w:tmpl w:val="75B077F8"/>
    <w:lvl w:ilvl="0" w:tplc="DF4E5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B471FEE"/>
    <w:multiLevelType w:val="hybridMultilevel"/>
    <w:tmpl w:val="F9108CFA"/>
    <w:lvl w:ilvl="0" w:tplc="5D249964">
      <w:start w:val="29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4"/>
  </w:num>
  <w:num w:numId="5">
    <w:abstractNumId w:val="7"/>
  </w:num>
  <w:num w:numId="6">
    <w:abstractNumId w:val="11"/>
  </w:num>
  <w:num w:numId="7">
    <w:abstractNumId w:val="5"/>
  </w:num>
  <w:num w:numId="8">
    <w:abstractNumId w:val="3"/>
  </w:num>
  <w:num w:numId="9">
    <w:abstractNumId w:val="6"/>
  </w:num>
  <w:num w:numId="10">
    <w:abstractNumId w:val="2"/>
  </w:num>
  <w:num w:numId="11">
    <w:abstractNumId w:val="13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2E"/>
    <w:rsid w:val="000008CE"/>
    <w:rsid w:val="00006FE4"/>
    <w:rsid w:val="00016052"/>
    <w:rsid w:val="00022767"/>
    <w:rsid w:val="000232B4"/>
    <w:rsid w:val="0002355B"/>
    <w:rsid w:val="00032095"/>
    <w:rsid w:val="00042B87"/>
    <w:rsid w:val="0004542E"/>
    <w:rsid w:val="00045F33"/>
    <w:rsid w:val="00052FEA"/>
    <w:rsid w:val="00055F3D"/>
    <w:rsid w:val="00062696"/>
    <w:rsid w:val="00062C47"/>
    <w:rsid w:val="0007445F"/>
    <w:rsid w:val="000851FF"/>
    <w:rsid w:val="000856E4"/>
    <w:rsid w:val="00097CE9"/>
    <w:rsid w:val="000A5077"/>
    <w:rsid w:val="000A6009"/>
    <w:rsid w:val="000B3764"/>
    <w:rsid w:val="000C4885"/>
    <w:rsid w:val="000C50AB"/>
    <w:rsid w:val="000D3678"/>
    <w:rsid w:val="000D6378"/>
    <w:rsid w:val="000E052E"/>
    <w:rsid w:val="000E1BC1"/>
    <w:rsid w:val="000F3AFD"/>
    <w:rsid w:val="000F6018"/>
    <w:rsid w:val="000F7395"/>
    <w:rsid w:val="00116736"/>
    <w:rsid w:val="00117E56"/>
    <w:rsid w:val="00121152"/>
    <w:rsid w:val="001227AB"/>
    <w:rsid w:val="00123236"/>
    <w:rsid w:val="00123C15"/>
    <w:rsid w:val="00125278"/>
    <w:rsid w:val="00135E8C"/>
    <w:rsid w:val="0013741A"/>
    <w:rsid w:val="0014321C"/>
    <w:rsid w:val="001463C8"/>
    <w:rsid w:val="00147106"/>
    <w:rsid w:val="001530BD"/>
    <w:rsid w:val="00160079"/>
    <w:rsid w:val="00160293"/>
    <w:rsid w:val="00160D48"/>
    <w:rsid w:val="00165B6B"/>
    <w:rsid w:val="00180BD2"/>
    <w:rsid w:val="00181FED"/>
    <w:rsid w:val="00182604"/>
    <w:rsid w:val="00184328"/>
    <w:rsid w:val="00191A09"/>
    <w:rsid w:val="001A1020"/>
    <w:rsid w:val="001A2238"/>
    <w:rsid w:val="001A3036"/>
    <w:rsid w:val="001A6375"/>
    <w:rsid w:val="001B1731"/>
    <w:rsid w:val="001B1BE2"/>
    <w:rsid w:val="001B5DB1"/>
    <w:rsid w:val="001C361F"/>
    <w:rsid w:val="001C3710"/>
    <w:rsid w:val="001C4EDC"/>
    <w:rsid w:val="001D270A"/>
    <w:rsid w:val="001E5249"/>
    <w:rsid w:val="001E63EC"/>
    <w:rsid w:val="001F0D40"/>
    <w:rsid w:val="001F2104"/>
    <w:rsid w:val="001F4D28"/>
    <w:rsid w:val="001F5355"/>
    <w:rsid w:val="002005D1"/>
    <w:rsid w:val="00207CF3"/>
    <w:rsid w:val="00214C17"/>
    <w:rsid w:val="002150E5"/>
    <w:rsid w:val="00221D08"/>
    <w:rsid w:val="00232255"/>
    <w:rsid w:val="00237DF5"/>
    <w:rsid w:val="002441FA"/>
    <w:rsid w:val="0024686C"/>
    <w:rsid w:val="0025075D"/>
    <w:rsid w:val="00253519"/>
    <w:rsid w:val="00264E43"/>
    <w:rsid w:val="0026512A"/>
    <w:rsid w:val="00265FA3"/>
    <w:rsid w:val="00270DC6"/>
    <w:rsid w:val="002713E0"/>
    <w:rsid w:val="00271B95"/>
    <w:rsid w:val="00275193"/>
    <w:rsid w:val="0027661B"/>
    <w:rsid w:val="00277479"/>
    <w:rsid w:val="00277555"/>
    <w:rsid w:val="00280C61"/>
    <w:rsid w:val="00287BF9"/>
    <w:rsid w:val="00291EE7"/>
    <w:rsid w:val="002A6007"/>
    <w:rsid w:val="002B25B4"/>
    <w:rsid w:val="002C3B9A"/>
    <w:rsid w:val="002C6C7E"/>
    <w:rsid w:val="002D035A"/>
    <w:rsid w:val="002D639B"/>
    <w:rsid w:val="002D799C"/>
    <w:rsid w:val="002D7F9D"/>
    <w:rsid w:val="002E1307"/>
    <w:rsid w:val="002F01FA"/>
    <w:rsid w:val="002F5C2B"/>
    <w:rsid w:val="002F5DB7"/>
    <w:rsid w:val="00302E4B"/>
    <w:rsid w:val="0031167A"/>
    <w:rsid w:val="00317CBE"/>
    <w:rsid w:val="003234DE"/>
    <w:rsid w:val="00324214"/>
    <w:rsid w:val="00324A6B"/>
    <w:rsid w:val="00327C79"/>
    <w:rsid w:val="00340041"/>
    <w:rsid w:val="00344CAF"/>
    <w:rsid w:val="0035180A"/>
    <w:rsid w:val="00351B08"/>
    <w:rsid w:val="00360E22"/>
    <w:rsid w:val="00362D57"/>
    <w:rsid w:val="00363B1D"/>
    <w:rsid w:val="00366644"/>
    <w:rsid w:val="00371C04"/>
    <w:rsid w:val="003722D3"/>
    <w:rsid w:val="00382BC7"/>
    <w:rsid w:val="0038482C"/>
    <w:rsid w:val="003906FF"/>
    <w:rsid w:val="00392A24"/>
    <w:rsid w:val="003A0115"/>
    <w:rsid w:val="003A6BFD"/>
    <w:rsid w:val="003B174B"/>
    <w:rsid w:val="003B3EBE"/>
    <w:rsid w:val="003B704C"/>
    <w:rsid w:val="003B7AF2"/>
    <w:rsid w:val="003C0E63"/>
    <w:rsid w:val="003C5308"/>
    <w:rsid w:val="003C5E70"/>
    <w:rsid w:val="003D0577"/>
    <w:rsid w:val="003E0281"/>
    <w:rsid w:val="003E6A4E"/>
    <w:rsid w:val="003F16EE"/>
    <w:rsid w:val="003F79D7"/>
    <w:rsid w:val="00400823"/>
    <w:rsid w:val="004022B2"/>
    <w:rsid w:val="004030E4"/>
    <w:rsid w:val="0040458E"/>
    <w:rsid w:val="0040745F"/>
    <w:rsid w:val="004159EC"/>
    <w:rsid w:val="00416A47"/>
    <w:rsid w:val="004203B0"/>
    <w:rsid w:val="0042139C"/>
    <w:rsid w:val="0043665D"/>
    <w:rsid w:val="004419A3"/>
    <w:rsid w:val="0045063D"/>
    <w:rsid w:val="0045214E"/>
    <w:rsid w:val="00463759"/>
    <w:rsid w:val="00464863"/>
    <w:rsid w:val="00467152"/>
    <w:rsid w:val="004701A6"/>
    <w:rsid w:val="00470717"/>
    <w:rsid w:val="004730D6"/>
    <w:rsid w:val="004748DB"/>
    <w:rsid w:val="004837F0"/>
    <w:rsid w:val="0049149E"/>
    <w:rsid w:val="004917DF"/>
    <w:rsid w:val="004A13FB"/>
    <w:rsid w:val="004A48D0"/>
    <w:rsid w:val="004B046E"/>
    <w:rsid w:val="004B546E"/>
    <w:rsid w:val="004B6B2A"/>
    <w:rsid w:val="004B707D"/>
    <w:rsid w:val="004C166C"/>
    <w:rsid w:val="004E0210"/>
    <w:rsid w:val="004E0514"/>
    <w:rsid w:val="004E391E"/>
    <w:rsid w:val="004E79B5"/>
    <w:rsid w:val="004F2639"/>
    <w:rsid w:val="004F55A9"/>
    <w:rsid w:val="005018D3"/>
    <w:rsid w:val="00501C49"/>
    <w:rsid w:val="00501DB2"/>
    <w:rsid w:val="005039A3"/>
    <w:rsid w:val="00504B65"/>
    <w:rsid w:val="005057F3"/>
    <w:rsid w:val="00511392"/>
    <w:rsid w:val="00512C1A"/>
    <w:rsid w:val="00513089"/>
    <w:rsid w:val="005168A3"/>
    <w:rsid w:val="00522203"/>
    <w:rsid w:val="005250D7"/>
    <w:rsid w:val="0053371E"/>
    <w:rsid w:val="00536589"/>
    <w:rsid w:val="00536759"/>
    <w:rsid w:val="005704EF"/>
    <w:rsid w:val="00570D5E"/>
    <w:rsid w:val="00572CB6"/>
    <w:rsid w:val="00573736"/>
    <w:rsid w:val="00574BD1"/>
    <w:rsid w:val="00580142"/>
    <w:rsid w:val="00581DDA"/>
    <w:rsid w:val="00581FC2"/>
    <w:rsid w:val="005925DA"/>
    <w:rsid w:val="00593E81"/>
    <w:rsid w:val="005959E8"/>
    <w:rsid w:val="00597EC7"/>
    <w:rsid w:val="005A46B8"/>
    <w:rsid w:val="005A5A3B"/>
    <w:rsid w:val="005A5D99"/>
    <w:rsid w:val="005B029D"/>
    <w:rsid w:val="005B24B6"/>
    <w:rsid w:val="005B3FA2"/>
    <w:rsid w:val="005B4658"/>
    <w:rsid w:val="005B7409"/>
    <w:rsid w:val="005B7861"/>
    <w:rsid w:val="005C2BA7"/>
    <w:rsid w:val="005C4B7B"/>
    <w:rsid w:val="005C6D05"/>
    <w:rsid w:val="005D077F"/>
    <w:rsid w:val="005D1B5D"/>
    <w:rsid w:val="005E1DF0"/>
    <w:rsid w:val="005E4C77"/>
    <w:rsid w:val="005E7F92"/>
    <w:rsid w:val="005F1CEC"/>
    <w:rsid w:val="005F4D5A"/>
    <w:rsid w:val="005F616D"/>
    <w:rsid w:val="006052B2"/>
    <w:rsid w:val="00605D49"/>
    <w:rsid w:val="00611F30"/>
    <w:rsid w:val="0061446C"/>
    <w:rsid w:val="00620ACA"/>
    <w:rsid w:val="00622083"/>
    <w:rsid w:val="00625523"/>
    <w:rsid w:val="00632AD7"/>
    <w:rsid w:val="00635F19"/>
    <w:rsid w:val="00637B67"/>
    <w:rsid w:val="00655C15"/>
    <w:rsid w:val="00656A38"/>
    <w:rsid w:val="0066431C"/>
    <w:rsid w:val="00666C92"/>
    <w:rsid w:val="0067073D"/>
    <w:rsid w:val="00672DE7"/>
    <w:rsid w:val="00681DD9"/>
    <w:rsid w:val="006876EE"/>
    <w:rsid w:val="006877FF"/>
    <w:rsid w:val="00693C1D"/>
    <w:rsid w:val="006952D3"/>
    <w:rsid w:val="006A138B"/>
    <w:rsid w:val="006A565F"/>
    <w:rsid w:val="006A639F"/>
    <w:rsid w:val="006B2061"/>
    <w:rsid w:val="006C2253"/>
    <w:rsid w:val="006C4466"/>
    <w:rsid w:val="006C613A"/>
    <w:rsid w:val="006D1FB1"/>
    <w:rsid w:val="006D26EE"/>
    <w:rsid w:val="006D3D69"/>
    <w:rsid w:val="006D42FC"/>
    <w:rsid w:val="006D4C2C"/>
    <w:rsid w:val="006D5661"/>
    <w:rsid w:val="006E142E"/>
    <w:rsid w:val="006E6429"/>
    <w:rsid w:val="00710708"/>
    <w:rsid w:val="007156B4"/>
    <w:rsid w:val="007228F4"/>
    <w:rsid w:val="007327F1"/>
    <w:rsid w:val="00734BE9"/>
    <w:rsid w:val="00735849"/>
    <w:rsid w:val="00736C50"/>
    <w:rsid w:val="007400F1"/>
    <w:rsid w:val="00740969"/>
    <w:rsid w:val="007530BF"/>
    <w:rsid w:val="00756837"/>
    <w:rsid w:val="00756884"/>
    <w:rsid w:val="00762747"/>
    <w:rsid w:val="00764052"/>
    <w:rsid w:val="00774AE3"/>
    <w:rsid w:val="0077583F"/>
    <w:rsid w:val="00777D87"/>
    <w:rsid w:val="007821DE"/>
    <w:rsid w:val="007840F3"/>
    <w:rsid w:val="0078669F"/>
    <w:rsid w:val="0078702F"/>
    <w:rsid w:val="00787C79"/>
    <w:rsid w:val="00794D52"/>
    <w:rsid w:val="007A3A6E"/>
    <w:rsid w:val="007B1D1A"/>
    <w:rsid w:val="007B497A"/>
    <w:rsid w:val="007C4371"/>
    <w:rsid w:val="007D06D9"/>
    <w:rsid w:val="007D53B4"/>
    <w:rsid w:val="007E51D8"/>
    <w:rsid w:val="007F035D"/>
    <w:rsid w:val="007F1049"/>
    <w:rsid w:val="00810906"/>
    <w:rsid w:val="008142B9"/>
    <w:rsid w:val="00821D76"/>
    <w:rsid w:val="008308D7"/>
    <w:rsid w:val="00840063"/>
    <w:rsid w:val="00840C94"/>
    <w:rsid w:val="00846218"/>
    <w:rsid w:val="00851B79"/>
    <w:rsid w:val="0085561B"/>
    <w:rsid w:val="00861999"/>
    <w:rsid w:val="00866C12"/>
    <w:rsid w:val="0087183A"/>
    <w:rsid w:val="00873857"/>
    <w:rsid w:val="00874FD9"/>
    <w:rsid w:val="00883037"/>
    <w:rsid w:val="00890A5E"/>
    <w:rsid w:val="00892AEE"/>
    <w:rsid w:val="0089370A"/>
    <w:rsid w:val="008965DC"/>
    <w:rsid w:val="00897E29"/>
    <w:rsid w:val="008A0D07"/>
    <w:rsid w:val="008A3198"/>
    <w:rsid w:val="008A3E77"/>
    <w:rsid w:val="008B07F3"/>
    <w:rsid w:val="008B083D"/>
    <w:rsid w:val="008B6017"/>
    <w:rsid w:val="008C037F"/>
    <w:rsid w:val="008C4AD4"/>
    <w:rsid w:val="008C648B"/>
    <w:rsid w:val="008C6CA1"/>
    <w:rsid w:val="008D3247"/>
    <w:rsid w:val="008D62AC"/>
    <w:rsid w:val="008D6614"/>
    <w:rsid w:val="008E24F4"/>
    <w:rsid w:val="008E556C"/>
    <w:rsid w:val="008E6D65"/>
    <w:rsid w:val="008F0686"/>
    <w:rsid w:val="00902B20"/>
    <w:rsid w:val="00905DA6"/>
    <w:rsid w:val="0090604F"/>
    <w:rsid w:val="00910425"/>
    <w:rsid w:val="00913012"/>
    <w:rsid w:val="00913C9B"/>
    <w:rsid w:val="00923667"/>
    <w:rsid w:val="00925397"/>
    <w:rsid w:val="0093293A"/>
    <w:rsid w:val="00935A85"/>
    <w:rsid w:val="009420F1"/>
    <w:rsid w:val="00942E8A"/>
    <w:rsid w:val="00943D04"/>
    <w:rsid w:val="00951B5B"/>
    <w:rsid w:val="009566F2"/>
    <w:rsid w:val="00961597"/>
    <w:rsid w:val="00965258"/>
    <w:rsid w:val="00966D39"/>
    <w:rsid w:val="009724B9"/>
    <w:rsid w:val="00974BEE"/>
    <w:rsid w:val="00982012"/>
    <w:rsid w:val="0098619B"/>
    <w:rsid w:val="00986AA1"/>
    <w:rsid w:val="009A0E24"/>
    <w:rsid w:val="009A3202"/>
    <w:rsid w:val="009A370A"/>
    <w:rsid w:val="009A37C2"/>
    <w:rsid w:val="009A563A"/>
    <w:rsid w:val="009A5FFF"/>
    <w:rsid w:val="009B406D"/>
    <w:rsid w:val="009B64CB"/>
    <w:rsid w:val="009C5879"/>
    <w:rsid w:val="009C5CF2"/>
    <w:rsid w:val="009C5E13"/>
    <w:rsid w:val="009E09FC"/>
    <w:rsid w:val="009F0E26"/>
    <w:rsid w:val="009F495F"/>
    <w:rsid w:val="009F62EF"/>
    <w:rsid w:val="009F7FD5"/>
    <w:rsid w:val="00A03129"/>
    <w:rsid w:val="00A13694"/>
    <w:rsid w:val="00A14606"/>
    <w:rsid w:val="00A20118"/>
    <w:rsid w:val="00A24AA0"/>
    <w:rsid w:val="00A27AF0"/>
    <w:rsid w:val="00A41120"/>
    <w:rsid w:val="00A42EC2"/>
    <w:rsid w:val="00A477DC"/>
    <w:rsid w:val="00A542C8"/>
    <w:rsid w:val="00A6570C"/>
    <w:rsid w:val="00A70FF7"/>
    <w:rsid w:val="00A72EC4"/>
    <w:rsid w:val="00A84334"/>
    <w:rsid w:val="00A95382"/>
    <w:rsid w:val="00AA04E2"/>
    <w:rsid w:val="00AA4D01"/>
    <w:rsid w:val="00AA4D1B"/>
    <w:rsid w:val="00AB00DC"/>
    <w:rsid w:val="00AB11A5"/>
    <w:rsid w:val="00AC3AEE"/>
    <w:rsid w:val="00AC7695"/>
    <w:rsid w:val="00AD5B3D"/>
    <w:rsid w:val="00AE1271"/>
    <w:rsid w:val="00AE3888"/>
    <w:rsid w:val="00AE64B0"/>
    <w:rsid w:val="00AF12FE"/>
    <w:rsid w:val="00B01874"/>
    <w:rsid w:val="00B018DC"/>
    <w:rsid w:val="00B01C7A"/>
    <w:rsid w:val="00B03C58"/>
    <w:rsid w:val="00B04945"/>
    <w:rsid w:val="00B04F88"/>
    <w:rsid w:val="00B109FC"/>
    <w:rsid w:val="00B13632"/>
    <w:rsid w:val="00B201F3"/>
    <w:rsid w:val="00B2175B"/>
    <w:rsid w:val="00B24963"/>
    <w:rsid w:val="00B31372"/>
    <w:rsid w:val="00B32E2C"/>
    <w:rsid w:val="00B34B8C"/>
    <w:rsid w:val="00B36A47"/>
    <w:rsid w:val="00B36ED4"/>
    <w:rsid w:val="00B42C21"/>
    <w:rsid w:val="00B476A8"/>
    <w:rsid w:val="00B65046"/>
    <w:rsid w:val="00B66B8F"/>
    <w:rsid w:val="00B708BE"/>
    <w:rsid w:val="00B766A8"/>
    <w:rsid w:val="00B80A95"/>
    <w:rsid w:val="00B83007"/>
    <w:rsid w:val="00B93685"/>
    <w:rsid w:val="00B938FB"/>
    <w:rsid w:val="00B93A50"/>
    <w:rsid w:val="00B97080"/>
    <w:rsid w:val="00BA0176"/>
    <w:rsid w:val="00BA189F"/>
    <w:rsid w:val="00BB09EC"/>
    <w:rsid w:val="00BB487D"/>
    <w:rsid w:val="00BC19E7"/>
    <w:rsid w:val="00BC49F9"/>
    <w:rsid w:val="00BC7807"/>
    <w:rsid w:val="00BE36F9"/>
    <w:rsid w:val="00BE4395"/>
    <w:rsid w:val="00BE5C1C"/>
    <w:rsid w:val="00BE5DF3"/>
    <w:rsid w:val="00BF0E4F"/>
    <w:rsid w:val="00BF1DB8"/>
    <w:rsid w:val="00C01891"/>
    <w:rsid w:val="00C06BCA"/>
    <w:rsid w:val="00C06FAF"/>
    <w:rsid w:val="00C104EC"/>
    <w:rsid w:val="00C11E7C"/>
    <w:rsid w:val="00C20BDF"/>
    <w:rsid w:val="00C21744"/>
    <w:rsid w:val="00C245D1"/>
    <w:rsid w:val="00C2609E"/>
    <w:rsid w:val="00C44EBB"/>
    <w:rsid w:val="00C4745F"/>
    <w:rsid w:val="00C476BA"/>
    <w:rsid w:val="00C66A09"/>
    <w:rsid w:val="00C76C1D"/>
    <w:rsid w:val="00C80A8C"/>
    <w:rsid w:val="00C82DE2"/>
    <w:rsid w:val="00C860E3"/>
    <w:rsid w:val="00C94377"/>
    <w:rsid w:val="00C961FB"/>
    <w:rsid w:val="00C977A1"/>
    <w:rsid w:val="00C9792B"/>
    <w:rsid w:val="00C97A06"/>
    <w:rsid w:val="00CA00D5"/>
    <w:rsid w:val="00CA2A58"/>
    <w:rsid w:val="00CB0734"/>
    <w:rsid w:val="00CB1826"/>
    <w:rsid w:val="00CB41BA"/>
    <w:rsid w:val="00CB7522"/>
    <w:rsid w:val="00CC0451"/>
    <w:rsid w:val="00CC16A0"/>
    <w:rsid w:val="00CC373A"/>
    <w:rsid w:val="00CD3E7E"/>
    <w:rsid w:val="00CE25EF"/>
    <w:rsid w:val="00CE4D09"/>
    <w:rsid w:val="00CE5683"/>
    <w:rsid w:val="00CE5CE7"/>
    <w:rsid w:val="00CF46DD"/>
    <w:rsid w:val="00CF51A5"/>
    <w:rsid w:val="00CF6962"/>
    <w:rsid w:val="00D01DA5"/>
    <w:rsid w:val="00D03DB9"/>
    <w:rsid w:val="00D058E3"/>
    <w:rsid w:val="00D061CE"/>
    <w:rsid w:val="00D161BC"/>
    <w:rsid w:val="00D163E1"/>
    <w:rsid w:val="00D2230B"/>
    <w:rsid w:val="00D224FE"/>
    <w:rsid w:val="00D22F87"/>
    <w:rsid w:val="00D27526"/>
    <w:rsid w:val="00D32EB3"/>
    <w:rsid w:val="00D3492E"/>
    <w:rsid w:val="00D422AD"/>
    <w:rsid w:val="00D50976"/>
    <w:rsid w:val="00D55446"/>
    <w:rsid w:val="00D6275F"/>
    <w:rsid w:val="00D6586F"/>
    <w:rsid w:val="00D66BF9"/>
    <w:rsid w:val="00D67EA7"/>
    <w:rsid w:val="00D75F22"/>
    <w:rsid w:val="00D77332"/>
    <w:rsid w:val="00D87382"/>
    <w:rsid w:val="00D92D8D"/>
    <w:rsid w:val="00D9387B"/>
    <w:rsid w:val="00D94896"/>
    <w:rsid w:val="00D96340"/>
    <w:rsid w:val="00DA54CA"/>
    <w:rsid w:val="00DA5D55"/>
    <w:rsid w:val="00DB095C"/>
    <w:rsid w:val="00DB26FE"/>
    <w:rsid w:val="00DD24EE"/>
    <w:rsid w:val="00DD3FB4"/>
    <w:rsid w:val="00DE0EBF"/>
    <w:rsid w:val="00DE20D0"/>
    <w:rsid w:val="00DE60EA"/>
    <w:rsid w:val="00DE6FD8"/>
    <w:rsid w:val="00DF3837"/>
    <w:rsid w:val="00DF5425"/>
    <w:rsid w:val="00E02D0F"/>
    <w:rsid w:val="00E06113"/>
    <w:rsid w:val="00E13169"/>
    <w:rsid w:val="00E141E2"/>
    <w:rsid w:val="00E14B06"/>
    <w:rsid w:val="00E238F8"/>
    <w:rsid w:val="00E25A96"/>
    <w:rsid w:val="00E2684E"/>
    <w:rsid w:val="00E26973"/>
    <w:rsid w:val="00E27013"/>
    <w:rsid w:val="00E27A6E"/>
    <w:rsid w:val="00E27F2C"/>
    <w:rsid w:val="00E33638"/>
    <w:rsid w:val="00E35EE1"/>
    <w:rsid w:val="00E40E83"/>
    <w:rsid w:val="00E43B84"/>
    <w:rsid w:val="00E45E15"/>
    <w:rsid w:val="00E4688C"/>
    <w:rsid w:val="00E5102C"/>
    <w:rsid w:val="00E52D8D"/>
    <w:rsid w:val="00E53DC7"/>
    <w:rsid w:val="00E72EF2"/>
    <w:rsid w:val="00E74AB9"/>
    <w:rsid w:val="00E756FB"/>
    <w:rsid w:val="00E84B21"/>
    <w:rsid w:val="00E84C24"/>
    <w:rsid w:val="00E8714E"/>
    <w:rsid w:val="00E87A3A"/>
    <w:rsid w:val="00E94073"/>
    <w:rsid w:val="00EA32A5"/>
    <w:rsid w:val="00EA449C"/>
    <w:rsid w:val="00EA6AB5"/>
    <w:rsid w:val="00EB0CE8"/>
    <w:rsid w:val="00EB2633"/>
    <w:rsid w:val="00EB2F0C"/>
    <w:rsid w:val="00EC038E"/>
    <w:rsid w:val="00EC73EA"/>
    <w:rsid w:val="00EC79BA"/>
    <w:rsid w:val="00ED0425"/>
    <w:rsid w:val="00ED3B2E"/>
    <w:rsid w:val="00ED5918"/>
    <w:rsid w:val="00EE2F83"/>
    <w:rsid w:val="00EE41F2"/>
    <w:rsid w:val="00EE4765"/>
    <w:rsid w:val="00F0282F"/>
    <w:rsid w:val="00F03097"/>
    <w:rsid w:val="00F071FF"/>
    <w:rsid w:val="00F10320"/>
    <w:rsid w:val="00F13049"/>
    <w:rsid w:val="00F228FA"/>
    <w:rsid w:val="00F248A2"/>
    <w:rsid w:val="00F24C88"/>
    <w:rsid w:val="00F257E3"/>
    <w:rsid w:val="00F303B4"/>
    <w:rsid w:val="00F32BD3"/>
    <w:rsid w:val="00F33D30"/>
    <w:rsid w:val="00F5057F"/>
    <w:rsid w:val="00F50D41"/>
    <w:rsid w:val="00F524B4"/>
    <w:rsid w:val="00F53E70"/>
    <w:rsid w:val="00F54832"/>
    <w:rsid w:val="00F6024D"/>
    <w:rsid w:val="00F66929"/>
    <w:rsid w:val="00F73616"/>
    <w:rsid w:val="00F76578"/>
    <w:rsid w:val="00F773F4"/>
    <w:rsid w:val="00F77D70"/>
    <w:rsid w:val="00F77E0F"/>
    <w:rsid w:val="00F82B5D"/>
    <w:rsid w:val="00F831D1"/>
    <w:rsid w:val="00F858A4"/>
    <w:rsid w:val="00F929D6"/>
    <w:rsid w:val="00F954A9"/>
    <w:rsid w:val="00FA11EB"/>
    <w:rsid w:val="00FA1DD9"/>
    <w:rsid w:val="00FA5684"/>
    <w:rsid w:val="00FB05DB"/>
    <w:rsid w:val="00FB4CE0"/>
    <w:rsid w:val="00FB5363"/>
    <w:rsid w:val="00FC4E0C"/>
    <w:rsid w:val="00FD3BDA"/>
    <w:rsid w:val="00FD4299"/>
    <w:rsid w:val="00FD5F31"/>
    <w:rsid w:val="00FD6A3A"/>
    <w:rsid w:val="00FF4127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1E6EF"/>
  <w15:chartTrackingRefBased/>
  <w15:docId w15:val="{E84EC9C9-125D-4956-B19D-EE39B50B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03D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link w:val="Heading2Char"/>
    <w:uiPriority w:val="9"/>
    <w:qFormat/>
    <w:rsid w:val="00D03D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6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3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0F3AFD"/>
    <w:rPr>
      <w:b/>
      <w:bCs/>
    </w:rPr>
  </w:style>
  <w:style w:type="character" w:styleId="Hyperlink">
    <w:name w:val="Hyperlink"/>
    <w:basedOn w:val="DefaultParagraphFont"/>
    <w:uiPriority w:val="99"/>
    <w:unhideWhenUsed/>
    <w:rsid w:val="000F3AF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3DB9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D03DB9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table" w:styleId="TableGrid">
    <w:name w:val="Table Grid"/>
    <w:basedOn w:val="TableNormal"/>
    <w:uiPriority w:val="39"/>
    <w:rsid w:val="005F6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7D06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F858A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B497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2527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1B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1B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1BE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123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B97080"/>
    <w:pPr>
      <w:spacing w:after="0" w:line="360" w:lineRule="auto"/>
      <w:jc w:val="both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BodyTextIndentChar">
    <w:name w:val="Body Text Indent Char"/>
    <w:basedOn w:val="DefaultParagraphFont"/>
    <w:link w:val="BodyTextIndent"/>
    <w:rsid w:val="00B97080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786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69F"/>
  </w:style>
  <w:style w:type="paragraph" w:styleId="Footer">
    <w:name w:val="footer"/>
    <w:basedOn w:val="Normal"/>
    <w:link w:val="FooterChar"/>
    <w:uiPriority w:val="99"/>
    <w:unhideWhenUsed/>
    <w:rsid w:val="00786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8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96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86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46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37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57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ntibiotice.ro" TargetMode="External"/><Relationship Id="rId21" Type="http://schemas.openxmlformats.org/officeDocument/2006/relationships/hyperlink" Target="https://read.oecd-ilibrary.org/social-issues-migration-health/health-at-a-glance-europe-2018_health_glance_eur-2018-en" TargetMode="External"/><Relationship Id="rId42" Type="http://schemas.openxmlformats.org/officeDocument/2006/relationships/chart" Target="charts/chart5.xml"/><Relationship Id="rId47" Type="http://schemas.openxmlformats.org/officeDocument/2006/relationships/hyperlink" Target="https://www.investopedia.com/articles/financial-analysis/090616/key-financial-ratios-pharmaceutical-companies.asp" TargetMode="External"/><Relationship Id="rId63" Type="http://schemas.openxmlformats.org/officeDocument/2006/relationships/hyperlink" Target="https://www.investingromania.com/static/i/analysts-reports/Antibiotice-Iasi-bate-pasul-pe-loc-in-2017-2017-Apr-19-ro-(4).pdf" TargetMode="External"/><Relationship Id="rId68" Type="http://schemas.openxmlformats.org/officeDocument/2006/relationships/hyperlink" Target="https://www.sanofi.com/-/media/Project/One-Sanofi-Web/Websites/Global/Sanofi-COM/Home/en/investors/docs/S-Z/Sanofi-20-F-2017-EN-PDF-e-accessible_01.pdf?la=en&amp;hash=D0E72A3136750CBBC738C87495F0FF4651141027" TargetMode="External"/><Relationship Id="rId16" Type="http://schemas.openxmlformats.org/officeDocument/2006/relationships/hyperlink" Target="https://www.sanofi.com/-/media/Project/One-Sanofi-Web/Websites/Global/Sanofi-COM/Home/en/investors/docs/S-Z/Sanofi-20-F-2017-EN-PDF-e-accessible_01.pdf?la=en&amp;hash=D0E72A3136750CBBC738C87495F0FF4651141027" TargetMode="External"/><Relationship Id="rId11" Type="http://schemas.openxmlformats.org/officeDocument/2006/relationships/hyperlink" Target="https://www.dcmedical.ro/top-10-companii-farmaceutice-vanzari-de-zeci-de-miliarde-de-dolari-fiecare_607202.html" TargetMode="External"/><Relationship Id="rId24" Type="http://schemas.openxmlformats.org/officeDocument/2006/relationships/hyperlink" Target="https://www.investopedia.com/terms/r/returnonequity.asp" TargetMode="External"/><Relationship Id="rId32" Type="http://schemas.openxmlformats.org/officeDocument/2006/relationships/hyperlink" Target="https://www.investingromania.com/static/i/analysts-reports/Antibiotice-Iasi-bate-pasul-pe-loc-in-2017-2017-Apr-19-ro-(4).pdf" TargetMode="External"/><Relationship Id="rId37" Type="http://schemas.openxmlformats.org/officeDocument/2006/relationships/hyperlink" Target="http://www.bvb.ro/infocont/infocont18/SCD_20180426102611_SCD-Zentiva-Raport-anual-2017.pdf" TargetMode="External"/><Relationship Id="rId40" Type="http://schemas.openxmlformats.org/officeDocument/2006/relationships/chart" Target="charts/chart3.xml"/><Relationship Id="rId45" Type="http://schemas.openxmlformats.org/officeDocument/2006/relationships/hyperlink" Target="https://clutejournals.com/index.php/AJHS/article/download/6751/6826" TargetMode="External"/><Relationship Id="rId53" Type="http://schemas.openxmlformats.org/officeDocument/2006/relationships/hyperlink" Target="http://www.bvb.ro/infocont/infocont18/SCD_20180426102611_SCD-Zentiva-Raport-anual-2017.pdf" TargetMode="External"/><Relationship Id="rId58" Type="http://schemas.openxmlformats.org/officeDocument/2006/relationships/hyperlink" Target="https://investors.pfizer.com/financials/annual-reports/default.aspx" TargetMode="External"/><Relationship Id="rId66" Type="http://schemas.openxmlformats.org/officeDocument/2006/relationships/hyperlink" Target="https://www.novartis.com/sites/www.novartis.com/files/novartis-annual-report-2017-en.pdf" TargetMode="External"/><Relationship Id="rId74" Type="http://schemas.openxmlformats.org/officeDocument/2006/relationships/hyperlink" Target="http://www.antibiotice.ro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www.dcmedical.ro/top-10-companii-farmaceutice-vanzari-de-zeci-de-miliarde-de-dolari-fiecare_607202.html" TargetMode="External"/><Relationship Id="rId19" Type="http://schemas.openxmlformats.org/officeDocument/2006/relationships/hyperlink" Target="https://www.dcnews.ro/pia-a-farmaceutica-din-romania-afaceri-record-in-2018_586158.html" TargetMode="External"/><Relationship Id="rId14" Type="http://schemas.openxmlformats.org/officeDocument/2006/relationships/hyperlink" Target="https://www.novartis.com/sites/www.novartis.com/files/novartis-annual-report-2017-en.pdf" TargetMode="External"/><Relationship Id="rId22" Type="http://schemas.openxmlformats.org/officeDocument/2006/relationships/hyperlink" Target="https://www.investingromania.com/static/i/analysts-reports/Antibiotice-Iasi-bate-pasul-pe-loc-in-2017-2017-Apr-19-ro-(4).pdf" TargetMode="External"/><Relationship Id="rId27" Type="http://schemas.openxmlformats.org/officeDocument/2006/relationships/hyperlink" Target="http://www.biofarm.ro" TargetMode="External"/><Relationship Id="rId30" Type="http://schemas.openxmlformats.org/officeDocument/2006/relationships/hyperlink" Target="http://bvb.ro/FinancialInstruments/Details/FinancialInstrumentsDetails.aspx?s=atb" TargetMode="External"/><Relationship Id="rId35" Type="http://schemas.openxmlformats.org/officeDocument/2006/relationships/hyperlink" Target="http://www.bvb.ro/infocont/infocont18/BIO_20180419165954_Raportul-anual-2017.pdf" TargetMode="External"/><Relationship Id="rId43" Type="http://schemas.openxmlformats.org/officeDocument/2006/relationships/chart" Target="charts/chart6.xml"/><Relationship Id="rId48" Type="http://schemas.openxmlformats.org/officeDocument/2006/relationships/hyperlink" Target="https://www.rolandberger.com/en/Media/Global-pharmaceutical-industry-is-in-a-strategic-crisis-%E2%80%93-Business-models-must-b.html" TargetMode="External"/><Relationship Id="rId56" Type="http://schemas.openxmlformats.org/officeDocument/2006/relationships/hyperlink" Target="http://www.politicidesanatate.ro/pacientul-incepe-sa-devina-actor-principal-in-industria-farmaceutica/" TargetMode="External"/><Relationship Id="rId64" Type="http://schemas.openxmlformats.org/officeDocument/2006/relationships/hyperlink" Target="https://www.investingromania.com/static/i/analysts-reports/Antibiotice-Iasi-bate-pasul-pe-loc-in-2017-2017-Apr-19-ro-(4).pdf" TargetMode="External"/><Relationship Id="rId69" Type="http://schemas.openxmlformats.org/officeDocument/2006/relationships/hyperlink" Target="https://www2.deloitte.com/ro/ro/pages/life-sciences-and-healthcare/articles/global-life-sciences-sector-outlook.html" TargetMode="External"/><Relationship Id="rId77" Type="http://schemas.openxmlformats.org/officeDocument/2006/relationships/hyperlink" Target="http://www.zentiva.ro" TargetMode="External"/><Relationship Id="rId8" Type="http://schemas.openxmlformats.org/officeDocument/2006/relationships/hyperlink" Target="http://www.politicidesanatate.ro/pacientul-incepe-sa-devina-actor-principal-in-industria-farmaceutica/" TargetMode="External"/><Relationship Id="rId51" Type="http://schemas.openxmlformats.org/officeDocument/2006/relationships/hyperlink" Target="http://www.bvb.ro/infocont/infocont18/ATB_20180426171210_Raport-anual-2017.pdf" TargetMode="External"/><Relationship Id="rId72" Type="http://schemas.openxmlformats.org/officeDocument/2006/relationships/hyperlink" Target="https://360medical.ro/stiri/industria-farmaceutica-din-romania-si-a-marit-productia-cu-75-in-2018/2019/02/26/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vestors.pfizer.com/financials/annual-reports/default.aspx" TargetMode="External"/><Relationship Id="rId17" Type="http://schemas.openxmlformats.org/officeDocument/2006/relationships/hyperlink" Target="https://yourbusiness.azcentral.com/average-profit-margin-pharmaceuticals-20671.html" TargetMode="External"/><Relationship Id="rId25" Type="http://schemas.openxmlformats.org/officeDocument/2006/relationships/hyperlink" Target="https://www.investopedia.com/terms/r/returnoninvestmentcapital.asp" TargetMode="External"/><Relationship Id="rId33" Type="http://schemas.openxmlformats.org/officeDocument/2006/relationships/hyperlink" Target="http://www.bvb.ro/infocont/infocont18/ATB_20180426171210_Raport-anual-2017.pdf" TargetMode="External"/><Relationship Id="rId38" Type="http://schemas.openxmlformats.org/officeDocument/2006/relationships/chart" Target="charts/chart1.xml"/><Relationship Id="rId46" Type="http://schemas.openxmlformats.org/officeDocument/2006/relationships/hyperlink" Target="http://ec.europa.eu/invest-in-research/pdf/download_en/kfg_report_no6.pdf" TargetMode="External"/><Relationship Id="rId59" Type="http://schemas.openxmlformats.org/officeDocument/2006/relationships/hyperlink" Target="https://johnsonandjohnson.gcs-web.com/news-releases/news-release-details/johnson-johnson-reports-2017-fourth-quarter-results" TargetMode="External"/><Relationship Id="rId67" Type="http://schemas.openxmlformats.org/officeDocument/2006/relationships/hyperlink" Target="https://www.roche.com/dam/jcr:b70415c0-954f-4a2a-a0e2-47f94bd280e0/en/fb17e.pdf" TargetMode="External"/><Relationship Id="rId20" Type="http://schemas.openxmlformats.org/officeDocument/2006/relationships/hyperlink" Target="http://www.forumpharma.ro/poze/2017/FIF_2017.pdf" TargetMode="External"/><Relationship Id="rId41" Type="http://schemas.openxmlformats.org/officeDocument/2006/relationships/chart" Target="charts/chart4.xml"/><Relationship Id="rId54" Type="http://schemas.openxmlformats.org/officeDocument/2006/relationships/hyperlink" Target="http://www.economica.net/antibiotice-iasi-va-creste-exporturile-in-sua-firma-vinde-de-4-ori-mai-mult-ca-in-2007_44323.html" TargetMode="External"/><Relationship Id="rId62" Type="http://schemas.openxmlformats.org/officeDocument/2006/relationships/hyperlink" Target="https://www.dcnews.ro/pia-a-farmaceutica-din-romania-afaceri-record-in-2018_586158.html" TargetMode="External"/><Relationship Id="rId70" Type="http://schemas.openxmlformats.org/officeDocument/2006/relationships/hyperlink" Target="https://yourbusiness.azcentral.com/average-profit-margin-pharmaceuticals-20671.html" TargetMode="External"/><Relationship Id="rId75" Type="http://schemas.openxmlformats.org/officeDocument/2006/relationships/hyperlink" Target="http://www.biofarm.r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johnsonandjohnson.gcs-web.com/news-releases/news-release-details/johnson-johnson-reports-2017-fourth-quarter-results" TargetMode="External"/><Relationship Id="rId23" Type="http://schemas.openxmlformats.org/officeDocument/2006/relationships/hyperlink" Target="https://www.investopedia.com/terms/r/returnonassets.asp" TargetMode="External"/><Relationship Id="rId28" Type="http://schemas.openxmlformats.org/officeDocument/2006/relationships/hyperlink" Target="http://www.zentiva.ro" TargetMode="External"/><Relationship Id="rId36" Type="http://schemas.openxmlformats.org/officeDocument/2006/relationships/hyperlink" Target="http://bvb.ro/FinancialInstruments/Details/FinancialInstrumentsDetails.aspx?s=SCD" TargetMode="External"/><Relationship Id="rId49" Type="http://schemas.openxmlformats.org/officeDocument/2006/relationships/hyperlink" Target="http://bvb.ro/FinancialInstruments/Details/FinancialInstrumentsDetails.aspx?s=atb" TargetMode="External"/><Relationship Id="rId57" Type="http://schemas.openxmlformats.org/officeDocument/2006/relationships/hyperlink" Target="https://europe.businesschief.com/top10/1543/Top-10-pharmaceutical-companies-in-Europe" TargetMode="External"/><Relationship Id="rId10" Type="http://schemas.openxmlformats.org/officeDocument/2006/relationships/hyperlink" Target="https://www.medichub.ro/stiri/top-10-companii-farmaceutice-in-2018-id-1506-cmsid-2" TargetMode="External"/><Relationship Id="rId31" Type="http://schemas.openxmlformats.org/officeDocument/2006/relationships/hyperlink" Target="http://www.economica.net/antibiotice-iasi-va-creste-exporturile-in-sua-firma-vinde-de-4-ori-mai-mult-ca-in-2007_44323.html" TargetMode="External"/><Relationship Id="rId44" Type="http://schemas.openxmlformats.org/officeDocument/2006/relationships/hyperlink" Target="https://www.scitecheuropa.eu/pharmaceutical-industries-a-healthier-future-for-europe/92437/" TargetMode="External"/><Relationship Id="rId52" Type="http://schemas.openxmlformats.org/officeDocument/2006/relationships/hyperlink" Target="http://www.bvb.ro/infocont/infocont18/BIO_20180419165954_Raportul-anual-2017.pdf" TargetMode="External"/><Relationship Id="rId60" Type="http://schemas.openxmlformats.org/officeDocument/2006/relationships/hyperlink" Target="https://read.oecd-ilibrary.org/social-issues-migration-health/health-at-a-glance-europe-2018_health_glance_eur-2018-en" TargetMode="External"/><Relationship Id="rId65" Type="http://schemas.openxmlformats.org/officeDocument/2006/relationships/hyperlink" Target="https://www.medichub.ro/stiri/top-10-companii-farmaceutice-in-2018-id-1506-cmsid-2" TargetMode="External"/><Relationship Id="rId73" Type="http://schemas.openxmlformats.org/officeDocument/2006/relationships/hyperlink" Target="https://ec.europa.eu/DocsRoom/documents/2360/attachments/1/translations/ro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2.deloitte.com/ro/ro/pages/life-sciences-and-healthcare/articles/global-life-sciences-sector-outlook.html" TargetMode="External"/><Relationship Id="rId13" Type="http://schemas.openxmlformats.org/officeDocument/2006/relationships/hyperlink" Target="https://www.roche.com/dam/jcr:b70415c0-954f-4a2a-a0e2-47f94bd280e0/en/fb17e.pdf" TargetMode="External"/><Relationship Id="rId18" Type="http://schemas.openxmlformats.org/officeDocument/2006/relationships/hyperlink" Target="https://europe.businesschief.com/top10/1543/Top-10-pharmaceutical-companies-in-Europe" TargetMode="External"/><Relationship Id="rId39" Type="http://schemas.openxmlformats.org/officeDocument/2006/relationships/chart" Target="charts/chart2.xml"/><Relationship Id="rId34" Type="http://schemas.openxmlformats.org/officeDocument/2006/relationships/hyperlink" Target="http://bvb.ro/FinancialInstruments/Details/FinancialInstrumentsDetails.aspx?s=bio" TargetMode="External"/><Relationship Id="rId50" Type="http://schemas.openxmlformats.org/officeDocument/2006/relationships/hyperlink" Target="http://bvb.ro/FinancialInstruments/Details/FinancialInstrumentsDetails.aspx?s=bio" TargetMode="External"/><Relationship Id="rId55" Type="http://schemas.openxmlformats.org/officeDocument/2006/relationships/hyperlink" Target="http://www.forumpharma.ro/poze/2017/FIF_2017.pdf" TargetMode="External"/><Relationship Id="rId76" Type="http://schemas.openxmlformats.org/officeDocument/2006/relationships/hyperlink" Target="http://www.bvb.ro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pharmexec.com/pharma-and-europe-2017-year-greater-uncertaintie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bvb.ro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rticole\Propuse\Indicatori_companii%20farmaceutic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rticole\Propuse\Indicatori_companii%20farmaceutic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rticole\Propuse\Indicatori_companii%20farmaceutic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rticole\Propuse\Indicatori_companii%20farmaceutice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rticole\Propuse\Indicatori_companii%20farmaceutice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rticole\Propuse\Indicatori_companii%20farmaceutice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o-RO" sz="1000" b="1">
                <a:latin typeface="Times New Roman" panose="02020603050405020304" pitchFamily="18" charset="0"/>
                <a:cs typeface="Times New Roman" panose="02020603050405020304" pitchFamily="18" charset="0"/>
              </a:rPr>
              <a:t>Grafic</a:t>
            </a:r>
            <a:r>
              <a:rPr lang="ro-RO" sz="10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nr. 1. </a:t>
            </a:r>
            <a:r>
              <a:rPr lang="ro-RO" sz="1000" b="1">
                <a:latin typeface="Times New Roman" panose="02020603050405020304" pitchFamily="18" charset="0"/>
                <a:cs typeface="Times New Roman" panose="02020603050405020304" pitchFamily="18" charset="0"/>
              </a:rPr>
              <a:t>Nivelul și dinamica cifrei de afaceri</a:t>
            </a:r>
          </a:p>
          <a:p>
            <a:pPr>
              <a:defRPr/>
            </a:pPr>
            <a:r>
              <a:rPr lang="ro-RO" sz="1000" b="1">
                <a:latin typeface="Times New Roman" panose="02020603050405020304" pitchFamily="18" charset="0"/>
                <a:cs typeface="Times New Roman" panose="02020603050405020304" pitchFamily="18" charset="0"/>
              </a:rPr>
              <a:t>Sursa</a:t>
            </a:r>
            <a:r>
              <a:rPr lang="ro-RO" sz="1000" b="0">
                <a:latin typeface="Times New Roman" panose="02020603050405020304" pitchFamily="18" charset="0"/>
                <a:cs typeface="Times New Roman" panose="02020603050405020304" pitchFamily="18" charset="0"/>
              </a:rPr>
              <a:t>:</a:t>
            </a:r>
            <a:r>
              <a:rPr lang="ro-RO" sz="1000" b="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Elaborare proprie folosind datele din tabelul nr. 3</a:t>
            </a:r>
            <a:endParaRPr lang="ro-RO" sz="1000" b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7297615530521981"/>
          <c:y val="0.864336029219932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o-RO"/>
        </a:p>
      </c:txPr>
    </c:title>
    <c:autoTitleDeleted val="0"/>
    <c:plotArea>
      <c:layout>
        <c:manualLayout>
          <c:layoutTarget val="inner"/>
          <c:xMode val="edge"/>
          <c:yMode val="edge"/>
          <c:x val="0.11457932092959369"/>
          <c:y val="0.14583333333333334"/>
          <c:w val="0.71265965326927938"/>
          <c:h val="0.54172488809365826"/>
        </c:manualLayout>
      </c:layout>
      <c:lineChart>
        <c:grouping val="standard"/>
        <c:varyColors val="0"/>
        <c:ser>
          <c:idx val="0"/>
          <c:order val="0"/>
          <c:tx>
            <c:strRef>
              <c:f>Sheet2!$B$4</c:f>
              <c:strCache>
                <c:ptCount val="1"/>
                <c:pt idx="0">
                  <c:v>S.C. ANTIBIOTICE S.A.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Sheet2!$C$3:$G$3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Sheet2!$C$4:$G$4</c:f>
              <c:numCache>
                <c:formatCode>#,##0</c:formatCode>
                <c:ptCount val="5"/>
                <c:pt idx="0">
                  <c:v>318625015</c:v>
                </c:pt>
                <c:pt idx="1">
                  <c:v>320058303</c:v>
                </c:pt>
                <c:pt idx="2">
                  <c:v>331740206</c:v>
                </c:pt>
                <c:pt idx="3">
                  <c:v>334990734</c:v>
                </c:pt>
                <c:pt idx="4">
                  <c:v>337629448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3FD-42BA-9CB3-FE176BD013FA}"/>
            </c:ext>
          </c:extLst>
        </c:ser>
        <c:ser>
          <c:idx val="1"/>
          <c:order val="1"/>
          <c:tx>
            <c:strRef>
              <c:f>Sheet2!$B$5</c:f>
              <c:strCache>
                <c:ptCount val="1"/>
                <c:pt idx="0">
                  <c:v>S.C. BIOFARM S.A.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Sheet2!$C$3:$G$3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Sheet2!$C$5:$G$5</c:f>
              <c:numCache>
                <c:formatCode>#,##0</c:formatCode>
                <c:ptCount val="5"/>
                <c:pt idx="0">
                  <c:v>119072518</c:v>
                </c:pt>
                <c:pt idx="1">
                  <c:v>128508056</c:v>
                </c:pt>
                <c:pt idx="2">
                  <c:v>149691393</c:v>
                </c:pt>
                <c:pt idx="3">
                  <c:v>152304091</c:v>
                </c:pt>
                <c:pt idx="4">
                  <c:v>170256235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3FD-42BA-9CB3-FE176BD013FA}"/>
            </c:ext>
          </c:extLst>
        </c:ser>
        <c:ser>
          <c:idx val="2"/>
          <c:order val="2"/>
          <c:tx>
            <c:strRef>
              <c:f>Sheet2!$B$6</c:f>
              <c:strCache>
                <c:ptCount val="1"/>
                <c:pt idx="0">
                  <c:v>S.C. ZENTIVA S.A.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Sheet2!$C$3:$G$3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Sheet2!$C$6:$G$6</c:f>
              <c:numCache>
                <c:formatCode>#,##0</c:formatCode>
                <c:ptCount val="5"/>
                <c:pt idx="0">
                  <c:v>290362767</c:v>
                </c:pt>
                <c:pt idx="1">
                  <c:v>394072622</c:v>
                </c:pt>
                <c:pt idx="2">
                  <c:v>396824592</c:v>
                </c:pt>
                <c:pt idx="3">
                  <c:v>420004308</c:v>
                </c:pt>
                <c:pt idx="4">
                  <c:v>458377044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3FD-42BA-9CB3-FE176BD013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2281552"/>
        <c:axId val="1192286448"/>
      </c:lineChart>
      <c:catAx>
        <c:axId val="1192281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1192286448"/>
        <c:crosses val="autoZero"/>
        <c:auto val="1"/>
        <c:lblAlgn val="ctr"/>
        <c:lblOffset val="100"/>
        <c:noMultiLvlLbl val="0"/>
      </c:catAx>
      <c:valAx>
        <c:axId val="1192286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1192281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6901877649909124E-2"/>
          <c:y val="0.78727585349770224"/>
          <c:w val="0.80381155455078723"/>
          <c:h val="9.81045253507151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o-R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R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o-RO" sz="1000" b="1">
                <a:latin typeface="Times New Roman" panose="02020603050405020304" pitchFamily="18" charset="0"/>
                <a:cs typeface="Times New Roman" panose="02020603050405020304" pitchFamily="18" charset="0"/>
              </a:rPr>
              <a:t>Grafic</a:t>
            </a:r>
            <a:r>
              <a:rPr lang="ro-RO" sz="10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nr. 2. Nivelul și dinamica EBIT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r>
              <a:rPr lang="ro-RO" sz="1000" b="1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Sursa</a:t>
            </a:r>
            <a:r>
              <a:rPr lang="ro-RO" sz="1000" b="0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: Elaborare proprie folosind datele din tabelul nr. 4 </a:t>
            </a:r>
            <a:endParaRPr lang="ro-RO" sz="10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9344868075701063"/>
          <c:y val="0.861679720387830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ro-RO"/>
        </a:p>
      </c:txPr>
    </c:title>
    <c:autoTitleDeleted val="0"/>
    <c:plotArea>
      <c:layout>
        <c:manualLayout>
          <c:layoutTarget val="inner"/>
          <c:xMode val="edge"/>
          <c:yMode val="edge"/>
          <c:x val="0.11240538292088489"/>
          <c:y val="0.12395484923631031"/>
          <c:w val="0.66593327210245512"/>
          <c:h val="0.51946818534125272"/>
        </c:manualLayout>
      </c:layout>
      <c:lineChart>
        <c:grouping val="standard"/>
        <c:varyColors val="0"/>
        <c:ser>
          <c:idx val="0"/>
          <c:order val="0"/>
          <c:tx>
            <c:strRef>
              <c:f>Sheet2!$B$27</c:f>
              <c:strCache>
                <c:ptCount val="1"/>
                <c:pt idx="0">
                  <c:v>S.C. ANTIBIOTICE S.A.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Sheet2!$C$26:$G$26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Sheet2!$C$27:$G$27</c:f>
              <c:numCache>
                <c:formatCode>#,##0</c:formatCode>
                <c:ptCount val="5"/>
                <c:pt idx="0">
                  <c:v>37489730</c:v>
                </c:pt>
                <c:pt idx="1">
                  <c:v>39492317</c:v>
                </c:pt>
                <c:pt idx="2">
                  <c:v>33532973</c:v>
                </c:pt>
                <c:pt idx="3">
                  <c:v>35917356</c:v>
                </c:pt>
                <c:pt idx="4">
                  <c:v>36709260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60D-4D3B-A982-06FB5CD81D2C}"/>
            </c:ext>
          </c:extLst>
        </c:ser>
        <c:ser>
          <c:idx val="1"/>
          <c:order val="1"/>
          <c:tx>
            <c:strRef>
              <c:f>Sheet2!$B$28</c:f>
              <c:strCache>
                <c:ptCount val="1"/>
                <c:pt idx="0">
                  <c:v>S.C. BIOFARM S.A.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Sheet2!$C$26:$G$26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Sheet2!$C$28:$G$28</c:f>
              <c:numCache>
                <c:formatCode>#,##0</c:formatCode>
                <c:ptCount val="5"/>
                <c:pt idx="0">
                  <c:v>29135855</c:v>
                </c:pt>
                <c:pt idx="1">
                  <c:v>27245770</c:v>
                </c:pt>
                <c:pt idx="2">
                  <c:v>31749991</c:v>
                </c:pt>
                <c:pt idx="3">
                  <c:v>35441221</c:v>
                </c:pt>
                <c:pt idx="4">
                  <c:v>42678027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60D-4D3B-A982-06FB5CD81D2C}"/>
            </c:ext>
          </c:extLst>
        </c:ser>
        <c:ser>
          <c:idx val="2"/>
          <c:order val="2"/>
          <c:tx>
            <c:strRef>
              <c:f>Sheet2!$B$29</c:f>
              <c:strCache>
                <c:ptCount val="1"/>
                <c:pt idx="0">
                  <c:v>S.C. ZENTIVA S.A.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Sheet2!$C$26:$G$26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Sheet2!$C$29:$G$29</c:f>
              <c:numCache>
                <c:formatCode>#,##0</c:formatCode>
                <c:ptCount val="5"/>
                <c:pt idx="0">
                  <c:v>51784314</c:v>
                </c:pt>
                <c:pt idx="1">
                  <c:v>64456563</c:v>
                </c:pt>
                <c:pt idx="2">
                  <c:v>60114119</c:v>
                </c:pt>
                <c:pt idx="3">
                  <c:v>89467957</c:v>
                </c:pt>
                <c:pt idx="4">
                  <c:v>106926031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60D-4D3B-A982-06FB5CD81D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6121696"/>
        <c:axId val="1306114624"/>
      </c:lineChart>
      <c:catAx>
        <c:axId val="1306121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1306114624"/>
        <c:crosses val="autoZero"/>
        <c:auto val="1"/>
        <c:lblAlgn val="ctr"/>
        <c:lblOffset val="100"/>
        <c:noMultiLvlLbl val="0"/>
      </c:catAx>
      <c:valAx>
        <c:axId val="1306114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1306121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80968588603844"/>
          <c:y val="0.72726532027752289"/>
          <c:w val="0.77406348780705814"/>
          <c:h val="0.1146221872173115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o-R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R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o-RO" sz="1000" b="1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Grafic nr. 3. Nivelul și dinamica profitului net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r>
              <a:rPr lang="ro-RO" sz="1000" b="1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Sursa</a:t>
            </a:r>
            <a:r>
              <a:rPr lang="ro-RO" sz="1000" b="0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: Elaborare proprie folosind datele din tabelul nr. 5</a:t>
            </a:r>
            <a:endParaRPr lang="ro-RO" sz="10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6528664904649157"/>
          <c:y val="0.8468610454426057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ro-RO"/>
        </a:p>
      </c:txPr>
    </c:title>
    <c:autoTitleDeleted val="0"/>
    <c:plotArea>
      <c:layout>
        <c:manualLayout>
          <c:layoutTarget val="inner"/>
          <c:xMode val="edge"/>
          <c:yMode val="edge"/>
          <c:x val="0.11380251197413882"/>
          <c:y val="0.17171296296296296"/>
          <c:w val="0.73700128963118361"/>
          <c:h val="0.42585911985588087"/>
        </c:manualLayout>
      </c:layout>
      <c:lineChart>
        <c:grouping val="standard"/>
        <c:varyColors val="0"/>
        <c:ser>
          <c:idx val="0"/>
          <c:order val="0"/>
          <c:tx>
            <c:strRef>
              <c:f>Sheet2!$B$49</c:f>
              <c:strCache>
                <c:ptCount val="1"/>
                <c:pt idx="0">
                  <c:v>S.C. ANTIBIOTICE S.A.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Sheet2!$C$48:$G$48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Sheet2!$C$49:$G$49</c:f>
              <c:numCache>
                <c:formatCode>#,##0</c:formatCode>
                <c:ptCount val="5"/>
                <c:pt idx="0">
                  <c:v>31380855</c:v>
                </c:pt>
                <c:pt idx="1">
                  <c:v>31138739</c:v>
                </c:pt>
                <c:pt idx="2">
                  <c:v>27178823</c:v>
                </c:pt>
                <c:pt idx="3">
                  <c:v>30370811</c:v>
                </c:pt>
                <c:pt idx="4">
                  <c:v>33558354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400-43AE-B373-EA37C78010FA}"/>
            </c:ext>
          </c:extLst>
        </c:ser>
        <c:ser>
          <c:idx val="1"/>
          <c:order val="1"/>
          <c:tx>
            <c:strRef>
              <c:f>Sheet2!$B$50</c:f>
              <c:strCache>
                <c:ptCount val="1"/>
                <c:pt idx="0">
                  <c:v>S.C. BIOFARM S.A.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Sheet2!$C$48:$G$48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Sheet2!$C$50:$G$50</c:f>
              <c:numCache>
                <c:formatCode>#,##0</c:formatCode>
                <c:ptCount val="5"/>
                <c:pt idx="0">
                  <c:v>25581079</c:v>
                </c:pt>
                <c:pt idx="1">
                  <c:v>26559851</c:v>
                </c:pt>
                <c:pt idx="2">
                  <c:v>27226492</c:v>
                </c:pt>
                <c:pt idx="3">
                  <c:v>29477747</c:v>
                </c:pt>
                <c:pt idx="4">
                  <c:v>36027723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400-43AE-B373-EA37C78010FA}"/>
            </c:ext>
          </c:extLst>
        </c:ser>
        <c:ser>
          <c:idx val="2"/>
          <c:order val="2"/>
          <c:tx>
            <c:strRef>
              <c:f>Sheet2!$B$51</c:f>
              <c:strCache>
                <c:ptCount val="1"/>
                <c:pt idx="0">
                  <c:v>S.C. ZENTIVA S.A.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Sheet2!$C$48:$G$48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Sheet2!$C$51:$G$51</c:f>
              <c:numCache>
                <c:formatCode>#,##0</c:formatCode>
                <c:ptCount val="5"/>
                <c:pt idx="0">
                  <c:v>40297608</c:v>
                </c:pt>
                <c:pt idx="1">
                  <c:v>54242886</c:v>
                </c:pt>
                <c:pt idx="2">
                  <c:v>46204961</c:v>
                </c:pt>
                <c:pt idx="3">
                  <c:v>73026646</c:v>
                </c:pt>
                <c:pt idx="4">
                  <c:v>89241756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400-43AE-B373-EA37C78010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6117344"/>
        <c:axId val="1306109728"/>
      </c:lineChart>
      <c:catAx>
        <c:axId val="1306117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1306109728"/>
        <c:crosses val="autoZero"/>
        <c:auto val="1"/>
        <c:lblAlgn val="ctr"/>
        <c:lblOffset val="100"/>
        <c:noMultiLvlLbl val="0"/>
      </c:catAx>
      <c:valAx>
        <c:axId val="1306109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1306117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438384450195467E-2"/>
          <c:y val="0.72490170407186094"/>
          <c:w val="0.84194955307160035"/>
          <c:h val="0.111846184711544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o-R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R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o-RO" sz="1000" b="1">
                <a:latin typeface="Times New Roman" panose="02020603050405020304" pitchFamily="18" charset="0"/>
                <a:cs typeface="Times New Roman" panose="02020603050405020304" pitchFamily="18" charset="0"/>
              </a:rPr>
              <a:t>Grafic nr. 4. Nivelul și dinamica ROS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r>
              <a:rPr lang="ro-RO" sz="1000" b="1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Sursa</a:t>
            </a:r>
            <a:r>
              <a:rPr lang="ro-RO" sz="1000" b="0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: Elaborare proprie folosind datele din tabelul nr. 6</a:t>
            </a:r>
            <a:endParaRPr lang="ro-RO" sz="10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9838188976377952"/>
          <c:y val="0.8530246972140530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ro-RO"/>
        </a:p>
      </c:txPr>
    </c:title>
    <c:autoTitleDeleted val="0"/>
    <c:plotArea>
      <c:layout>
        <c:manualLayout>
          <c:layoutTarget val="inner"/>
          <c:xMode val="edge"/>
          <c:yMode val="edge"/>
          <c:x val="9.8150481189851271E-2"/>
          <c:y val="0.13455611106064527"/>
          <c:w val="0.87129396325459318"/>
          <c:h val="0.5514039453060845"/>
        </c:manualLayout>
      </c:layout>
      <c:lineChart>
        <c:grouping val="standard"/>
        <c:varyColors val="0"/>
        <c:ser>
          <c:idx val="0"/>
          <c:order val="0"/>
          <c:tx>
            <c:strRef>
              <c:f>Sheet2!$J$70</c:f>
              <c:strCache>
                <c:ptCount val="1"/>
                <c:pt idx="0">
                  <c:v>S.C. ANTIBIOTICE S.A.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o-R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Sheet2!$K$69:$O$69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Sheet2!$K$70:$O$70</c:f>
              <c:numCache>
                <c:formatCode>0.00</c:formatCode>
                <c:ptCount val="5"/>
                <c:pt idx="0">
                  <c:v>9.8488359427774377</c:v>
                </c:pt>
                <c:pt idx="1">
                  <c:v>9.729083328920856</c:v>
                </c:pt>
                <c:pt idx="2">
                  <c:v>8.1928034372776626</c:v>
                </c:pt>
                <c:pt idx="3">
                  <c:v>9.0661644987470016</c:v>
                </c:pt>
                <c:pt idx="4">
                  <c:v>9.9394037453747224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8D0-4955-825C-80C43405BF26}"/>
            </c:ext>
          </c:extLst>
        </c:ser>
        <c:ser>
          <c:idx val="1"/>
          <c:order val="1"/>
          <c:tx>
            <c:strRef>
              <c:f>Sheet2!$J$71</c:f>
              <c:strCache>
                <c:ptCount val="1"/>
                <c:pt idx="0">
                  <c:v>S.C. BIOFARM S.A.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o-R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Sheet2!$K$69:$O$69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Sheet2!$K$71:$O$71</c:f>
              <c:numCache>
                <c:formatCode>0.00</c:formatCode>
                <c:ptCount val="5"/>
                <c:pt idx="0">
                  <c:v>21.48361303655307</c:v>
                </c:pt>
                <c:pt idx="1">
                  <c:v>20.667849025745124</c:v>
                </c:pt>
                <c:pt idx="2">
                  <c:v>18.188415148224323</c:v>
                </c:pt>
                <c:pt idx="3">
                  <c:v>19.354533950109062</c:v>
                </c:pt>
                <c:pt idx="4">
                  <c:v>21.160883182927194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8D0-4955-825C-80C43405BF26}"/>
            </c:ext>
          </c:extLst>
        </c:ser>
        <c:ser>
          <c:idx val="2"/>
          <c:order val="2"/>
          <c:tx>
            <c:strRef>
              <c:f>Sheet2!$J$72</c:f>
              <c:strCache>
                <c:ptCount val="1"/>
                <c:pt idx="0">
                  <c:v>S.C. ZENTIVA S.A.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dLbl>
              <c:idx val="3"/>
              <c:layout>
                <c:manualLayout>
                  <c:x val="-0.11872922134733159"/>
                  <c:y val="-1.00181659366534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8D0-4955-825C-80C43405BF26}"/>
                </c:ext>
              </c:extLst>
            </c:dLbl>
            <c:dLbl>
              <c:idx val="4"/>
              <c:layout>
                <c:manualLayout>
                  <c:x val="-7.6181102362204729E-3"/>
                  <c:y val="1.00782970858546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8D0-4955-825C-80C43405BF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o-R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Sheet2!$K$69:$O$69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Sheet2!$K$72:$O$72</c:f>
              <c:numCache>
                <c:formatCode>0.00</c:formatCode>
                <c:ptCount val="5"/>
                <c:pt idx="0">
                  <c:v>13.87836616118209</c:v>
                </c:pt>
                <c:pt idx="1">
                  <c:v>13.764692843848461</c:v>
                </c:pt>
                <c:pt idx="2">
                  <c:v>11.643673787233428</c:v>
                </c:pt>
                <c:pt idx="3">
                  <c:v>17.387118324510137</c:v>
                </c:pt>
                <c:pt idx="4">
                  <c:v>19.469071841215506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8D0-4955-825C-80C43405BF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6117888"/>
        <c:axId val="1306118432"/>
      </c:lineChart>
      <c:catAx>
        <c:axId val="1306117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1306118432"/>
        <c:crosses val="autoZero"/>
        <c:auto val="1"/>
        <c:lblAlgn val="ctr"/>
        <c:lblOffset val="100"/>
        <c:noMultiLvlLbl val="0"/>
      </c:catAx>
      <c:valAx>
        <c:axId val="1306118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1306117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8333333333333334E-2"/>
          <c:y val="0.78580399922912836"/>
          <c:w val="0.9"/>
          <c:h val="6.78196198235539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o-R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R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o-RO" sz="1000" b="1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Grafic nr. 5. Nivelul și dinamica ROA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r>
              <a:rPr lang="ro-RO" sz="1000" b="1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Sursa</a:t>
            </a:r>
            <a:r>
              <a:rPr lang="ro-RO" sz="1000" b="0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: Elaborare proprie folosind datele din tabelul nr. 6</a:t>
            </a:r>
            <a:endParaRPr lang="ro-RO" sz="10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8950949958716518"/>
          <c:y val="0.8172142788100498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ro-RO"/>
        </a:p>
      </c:txPr>
    </c:title>
    <c:autoTitleDeleted val="0"/>
    <c:plotArea>
      <c:layout>
        <c:manualLayout>
          <c:layoutTarget val="inner"/>
          <c:xMode val="edge"/>
          <c:yMode val="edge"/>
          <c:x val="9.8150481189851271E-2"/>
          <c:y val="0.15034094916801383"/>
          <c:w val="0.87129396325459318"/>
          <c:h val="0.49266157383987119"/>
        </c:manualLayout>
      </c:layout>
      <c:lineChart>
        <c:grouping val="standard"/>
        <c:varyColors val="0"/>
        <c:ser>
          <c:idx val="0"/>
          <c:order val="0"/>
          <c:tx>
            <c:strRef>
              <c:f>Sheet2!$J$75</c:f>
              <c:strCache>
                <c:ptCount val="1"/>
                <c:pt idx="0">
                  <c:v>S.C. ANTIBIOTICE S.A.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o-R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Sheet2!$K$74:$O$74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Sheet2!$K$75:$O$75</c:f>
              <c:numCache>
                <c:formatCode>0.00</c:formatCode>
                <c:ptCount val="5"/>
                <c:pt idx="0">
                  <c:v>6.1342622050019262</c:v>
                </c:pt>
                <c:pt idx="1">
                  <c:v>6.1826552592282757</c:v>
                </c:pt>
                <c:pt idx="2">
                  <c:v>4.9900293317372872</c:v>
                </c:pt>
                <c:pt idx="3">
                  <c:v>5.6938616956155679</c:v>
                </c:pt>
                <c:pt idx="4">
                  <c:v>5.857265179055692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10E-403F-B27F-41D76D53C562}"/>
            </c:ext>
          </c:extLst>
        </c:ser>
        <c:ser>
          <c:idx val="1"/>
          <c:order val="1"/>
          <c:tx>
            <c:strRef>
              <c:f>Sheet2!$J$76</c:f>
              <c:strCache>
                <c:ptCount val="1"/>
                <c:pt idx="0">
                  <c:v>S.C. BIOFARM S.A.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4.9415178067231225E-2"/>
                  <c:y val="4.4102750534986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10E-403F-B27F-41D76D53C56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o-R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Sheet2!$K$74:$O$74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Sheet2!$K$76:$O$76</c:f>
              <c:numCache>
                <c:formatCode>0.00</c:formatCode>
                <c:ptCount val="5"/>
                <c:pt idx="0">
                  <c:v>12.145220341894138</c:v>
                </c:pt>
                <c:pt idx="1">
                  <c:v>12.736453514048</c:v>
                </c:pt>
                <c:pt idx="2">
                  <c:v>12.614339653244528</c:v>
                </c:pt>
                <c:pt idx="3">
                  <c:v>12.396346083603504</c:v>
                </c:pt>
                <c:pt idx="4">
                  <c:v>13.910887140210709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10E-403F-B27F-41D76D53C562}"/>
            </c:ext>
          </c:extLst>
        </c:ser>
        <c:ser>
          <c:idx val="2"/>
          <c:order val="2"/>
          <c:tx>
            <c:strRef>
              <c:f>Sheet2!$J$77</c:f>
              <c:strCache>
                <c:ptCount val="1"/>
                <c:pt idx="0">
                  <c:v>S.C. ZENTIVA S.A.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0.11068798129797904"/>
                  <c:y val="-6.264510745180986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10E-403F-B27F-41D76D53C562}"/>
                </c:ext>
              </c:extLst>
            </c:dLbl>
            <c:dLbl>
              <c:idx val="1"/>
              <c:layout>
                <c:manualLayout>
                  <c:x val="-0.1218284909762968"/>
                  <c:y val="-5.24345002520015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10E-403F-B27F-41D76D53C562}"/>
                </c:ext>
              </c:extLst>
            </c:dLbl>
            <c:dLbl>
              <c:idx val="2"/>
              <c:layout>
                <c:manualLayout>
                  <c:x val="-0.11347310871755847"/>
                  <c:y val="-0.1028017615321694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10E-403F-B27F-41D76D53C56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o-R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Sheet2!$K$74:$O$74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Sheet2!$K$77:$O$77</c:f>
              <c:numCache>
                <c:formatCode>0.00</c:formatCode>
                <c:ptCount val="5"/>
                <c:pt idx="0">
                  <c:v>11.191795787871776</c:v>
                </c:pt>
                <c:pt idx="1">
                  <c:v>13.963620653994779</c:v>
                </c:pt>
                <c:pt idx="2">
                  <c:v>11.938935203079225</c:v>
                </c:pt>
                <c:pt idx="3">
                  <c:v>16.594269374082927</c:v>
                </c:pt>
                <c:pt idx="4">
                  <c:v>17.952031361927677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E10E-403F-B27F-41D76D53C5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6118976"/>
        <c:axId val="1306122240"/>
      </c:lineChart>
      <c:catAx>
        <c:axId val="1306118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1306122240"/>
        <c:crosses val="autoZero"/>
        <c:auto val="1"/>
        <c:lblAlgn val="ctr"/>
        <c:lblOffset val="100"/>
        <c:noMultiLvlLbl val="0"/>
      </c:catAx>
      <c:valAx>
        <c:axId val="1306122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1306118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9444444444444448E-2"/>
          <c:y val="0.72487436825063478"/>
          <c:w val="0.89999984650714959"/>
          <c:h val="7.08188309609087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o-R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R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o-RO" sz="1000" b="1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Grafic nr. 6. Nivelul și dinamica ROE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r>
              <a:rPr lang="ro-RO" sz="1000" b="1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Sursa</a:t>
            </a:r>
            <a:r>
              <a:rPr lang="ro-RO" sz="1000" b="0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: Elaborare proprie folosind datele din tabelul nr. 6</a:t>
            </a:r>
            <a:endParaRPr lang="ro-RO" sz="10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2615966754155734"/>
          <c:y val="0.8318713450292397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ro-RO"/>
        </a:p>
      </c:txPr>
    </c:title>
    <c:autoTitleDeleted val="0"/>
    <c:plotArea>
      <c:layout>
        <c:manualLayout>
          <c:layoutTarget val="inner"/>
          <c:xMode val="edge"/>
          <c:yMode val="edge"/>
          <c:x val="9.8150481189851271E-2"/>
          <c:y val="0.17171296296296296"/>
          <c:w val="0.87129396325459318"/>
          <c:h val="0.49924358413531644"/>
        </c:manualLayout>
      </c:layout>
      <c:lineChart>
        <c:grouping val="standard"/>
        <c:varyColors val="0"/>
        <c:ser>
          <c:idx val="0"/>
          <c:order val="0"/>
          <c:tx>
            <c:strRef>
              <c:f>Sheet2!$J$80</c:f>
              <c:strCache>
                <c:ptCount val="1"/>
                <c:pt idx="0">
                  <c:v>S.C. ANTIBIOTICE S.A.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o-R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Sheet2!$K$79:$O$79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Sheet2!$K$80:$O$80</c:f>
              <c:numCache>
                <c:formatCode>0.00</c:formatCode>
                <c:ptCount val="5"/>
                <c:pt idx="0">
                  <c:v>9.0006403531596728</c:v>
                </c:pt>
                <c:pt idx="1">
                  <c:v>8.5468264617213148</c:v>
                </c:pt>
                <c:pt idx="2">
                  <c:v>6.9218976262323304</c:v>
                </c:pt>
                <c:pt idx="3">
                  <c:v>7.4244214083128925</c:v>
                </c:pt>
                <c:pt idx="4">
                  <c:v>8.0499254381062979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08C-4131-98EC-63B0A95550A7}"/>
            </c:ext>
          </c:extLst>
        </c:ser>
        <c:ser>
          <c:idx val="1"/>
          <c:order val="1"/>
          <c:tx>
            <c:strRef>
              <c:f>Sheet2!$J$81</c:f>
              <c:strCache>
                <c:ptCount val="1"/>
                <c:pt idx="0">
                  <c:v>S.C. BIOFARM S.A.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9840332458442694E-2"/>
                  <c:y val="-6.7094998541848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08C-4131-98EC-63B0A95550A7}"/>
                </c:ext>
              </c:extLst>
            </c:dLbl>
            <c:dLbl>
              <c:idx val="1"/>
              <c:layout>
                <c:manualLayout>
                  <c:x val="-1.0395888013998249E-2"/>
                  <c:y val="1.16087051618546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08C-4131-98EC-63B0A95550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o-R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Sheet2!$K$79:$O$79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Sheet2!$K$81:$O$81</c:f>
              <c:numCache>
                <c:formatCode>0.00</c:formatCode>
                <c:ptCount val="5"/>
                <c:pt idx="0">
                  <c:v>14.544030667484403</c:v>
                </c:pt>
                <c:pt idx="1">
                  <c:v>15.734605829325016</c:v>
                </c:pt>
                <c:pt idx="2">
                  <c:v>14.948882701571067</c:v>
                </c:pt>
                <c:pt idx="3">
                  <c:v>14.952204374963884</c:v>
                </c:pt>
                <c:pt idx="4">
                  <c:v>16.646914129651531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08C-4131-98EC-63B0A95550A7}"/>
            </c:ext>
          </c:extLst>
        </c:ser>
        <c:ser>
          <c:idx val="2"/>
          <c:order val="2"/>
          <c:tx>
            <c:strRef>
              <c:f>Sheet2!$J$82</c:f>
              <c:strCache>
                <c:ptCount val="1"/>
                <c:pt idx="0">
                  <c:v>S.C. ZENTIVA S.A.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0.11039588801399826"/>
                  <c:y val="-3.9317220764071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08C-4131-98EC-63B0A95550A7}"/>
                </c:ext>
              </c:extLst>
            </c:dLbl>
            <c:dLbl>
              <c:idx val="2"/>
              <c:layout>
                <c:manualLayout>
                  <c:x val="-0.10484033245844275"/>
                  <c:y val="-8.09838874307378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08C-4131-98EC-63B0A95550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o-R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Sheet2!$K$79:$O$79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Sheet2!$K$82:$O$82</c:f>
              <c:numCache>
                <c:formatCode>0.00</c:formatCode>
                <c:ptCount val="5"/>
                <c:pt idx="0">
                  <c:v>14.811778825711869</c:v>
                </c:pt>
                <c:pt idx="1">
                  <c:v>18.283697488536085</c:v>
                </c:pt>
                <c:pt idx="2">
                  <c:v>16.939877678178409</c:v>
                </c:pt>
                <c:pt idx="3">
                  <c:v>23.880395235521021</c:v>
                </c:pt>
                <c:pt idx="4">
                  <c:v>24.244220056945302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D08C-4131-98EC-63B0A95550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6115168"/>
        <c:axId val="1306108096"/>
      </c:lineChart>
      <c:catAx>
        <c:axId val="1306115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1306108096"/>
        <c:crosses val="autoZero"/>
        <c:auto val="1"/>
        <c:lblAlgn val="ctr"/>
        <c:lblOffset val="100"/>
        <c:noMultiLvlLbl val="0"/>
      </c:catAx>
      <c:valAx>
        <c:axId val="1306108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1306115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1111111111111109E-2"/>
          <c:y val="0.75057815689705443"/>
          <c:w val="0.9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o-R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R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C7B1D-1544-421B-9E6E-56094153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6668</Words>
  <Characters>38677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dc:description/>
  <cp:lastModifiedBy>Mihaela</cp:lastModifiedBy>
  <cp:revision>15</cp:revision>
  <dcterms:created xsi:type="dcterms:W3CDTF">2019-04-15T15:16:00Z</dcterms:created>
  <dcterms:modified xsi:type="dcterms:W3CDTF">2019-04-15T20:23:00Z</dcterms:modified>
</cp:coreProperties>
</file>